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46" w:rsidRDefault="0096275A">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veinticinco de octubre de dos mil veintitrés</w:t>
      </w:r>
      <w:r>
        <w:rPr>
          <w:rFonts w:ascii="Palatino Linotype" w:eastAsia="Palatino Linotype" w:hAnsi="Palatino Linotype" w:cs="Palatino Linotype"/>
        </w:rPr>
        <w:t xml:space="preserve">. </w:t>
      </w:r>
    </w:p>
    <w:p w:rsidR="00532F46" w:rsidRDefault="0096275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05649/INFOEM/IP/RR/2023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Zinacantepec,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532F46" w:rsidRDefault="0096275A">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y uno de julio del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00708/ZINACANT/IP/2023, </w:t>
      </w:r>
      <w:r>
        <w:rPr>
          <w:rFonts w:ascii="Palatino Linotype" w:eastAsia="Palatino Linotype" w:hAnsi="Palatino Linotype" w:cs="Palatino Linotype"/>
        </w:rPr>
        <w:t xml:space="preserve">mediante la cual requirió la información siguiente: </w:t>
      </w:r>
    </w:p>
    <w:p w:rsidR="00532F46" w:rsidRDefault="0096275A">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“SOLICITO LOS </w:t>
      </w:r>
      <w:r>
        <w:rPr>
          <w:rFonts w:ascii="Palatino Linotype" w:eastAsia="Palatino Linotype" w:hAnsi="Palatino Linotype" w:cs="Palatino Linotype"/>
          <w:b/>
          <w:i/>
          <w:sz w:val="22"/>
          <w:szCs w:val="22"/>
        </w:rPr>
        <w:t>NOMBRAMIENTOS DE LOS ULTIMOS 3 PRESIDENTES MUNICIPALES</w:t>
      </w:r>
      <w:r>
        <w:rPr>
          <w:rFonts w:ascii="Palatino Linotype" w:eastAsia="Palatino Linotype" w:hAnsi="Palatino Linotype" w:cs="Palatino Linotype"/>
          <w:i/>
          <w:sz w:val="22"/>
          <w:szCs w:val="22"/>
        </w:rPr>
        <w:t>” (Sic) (Énfasis añadido)</w:t>
      </w:r>
    </w:p>
    <w:p w:rsidR="00532F46" w:rsidRDefault="0096275A">
      <w:pPr>
        <w:tabs>
          <w:tab w:val="left" w:pos="1080"/>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b/>
      </w:r>
    </w:p>
    <w:p w:rsidR="00532F46" w:rsidRDefault="009627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rsidR="00532F46" w:rsidRDefault="00532F46">
      <w:pPr>
        <w:spacing w:line="360" w:lineRule="auto"/>
        <w:ind w:right="900"/>
        <w:rPr>
          <w:rFonts w:ascii="Palatino Linotype" w:eastAsia="Palatino Linotype" w:hAnsi="Palatino Linotype" w:cs="Palatino Linotype"/>
          <w:sz w:val="22"/>
          <w:szCs w:val="22"/>
        </w:rPr>
      </w:pPr>
    </w:p>
    <w:p w:rsidR="00532F46" w:rsidRDefault="0096275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veintiuno de agosto de dos mil veintitrés,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proofErr w:type="gramStart"/>
      <w:r>
        <w:rPr>
          <w:rFonts w:ascii="Palatino Linotype" w:eastAsia="Palatino Linotype" w:hAnsi="Palatino Linotype" w:cs="Palatino Linotype"/>
        </w:rPr>
        <w:t>notificó</w:t>
      </w:r>
      <w:proofErr w:type="gramEnd"/>
      <w:r>
        <w:rPr>
          <w:rFonts w:ascii="Palatino Linotype" w:eastAsia="Palatino Linotype" w:hAnsi="Palatino Linotype" w:cs="Palatino Linotype"/>
        </w:rPr>
        <w:t xml:space="preserve"> la prórroga en los siguientes términos: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aprueba prórroga solicitada con la finalidad de dar cabal cumplimiento a su requerimiento.</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BRENDA SELENE HERNANDEZ LOPEZ</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rsidR="00532F46" w:rsidRDefault="0096275A">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treinta de agosto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532F46" w:rsidRDefault="0096275A">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2F46" w:rsidRDefault="0096275A">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00708/ZINACANT/IP/2023, recibida a través del Sistema SAIMEX, en donde se solicita textualmente lo siguiente: “SOLICITO LOS NOMBRAMIENTOS DE LOS ULTIMOS 3 PRESIDENTES MUNICIPALES” (sic). En apego a lo establecido su solicitud fue analizada y turnada a la área poseedora de la información, en este caso a la Secretaría del Ayuntamiento,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w:t>
      </w:r>
      <w:r>
        <w:rPr>
          <w:rFonts w:ascii="Palatino Linotype" w:eastAsia="Palatino Linotype" w:hAnsi="Palatino Linotype" w:cs="Palatino Linotype"/>
          <w:i/>
          <w:sz w:val="22"/>
          <w:szCs w:val="22"/>
        </w:rPr>
        <w:lastRenderedPageBreak/>
        <w:t>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532F46" w:rsidRDefault="0096275A">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rsidR="00532F46" w:rsidRDefault="0096275A">
      <w:pPr>
        <w:spacing w:before="240" w:after="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BRENDA SELENE HERNANDEZ LOPEZ” (Sic) </w:t>
      </w:r>
    </w:p>
    <w:p w:rsidR="00532F46" w:rsidRDefault="0096275A">
      <w:pPr>
        <w:spacing w:before="240" w:after="240" w:line="360" w:lineRule="auto"/>
        <w:ind w:left="567"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Archivos adjuntos: </w:t>
      </w:r>
    </w:p>
    <w:p w:rsidR="00532F46" w:rsidRDefault="0096275A">
      <w:pPr>
        <w:spacing w:before="240" w:after="240" w:line="360" w:lineRule="auto"/>
        <w:ind w:left="567" w:right="49"/>
        <w:jc w:val="both"/>
        <w:rPr>
          <w:rFonts w:ascii="Palatino Linotype" w:eastAsia="Palatino Linotype" w:hAnsi="Palatino Linotype" w:cs="Palatino Linotype"/>
        </w:rPr>
      </w:pPr>
      <w:r>
        <w:rPr>
          <w:rFonts w:ascii="Palatino Linotype" w:eastAsia="Palatino Linotype" w:hAnsi="Palatino Linotype" w:cs="Palatino Linotype"/>
          <w:b/>
          <w:i/>
        </w:rPr>
        <w:t xml:space="preserve">“20230814123656733-13.pdf”: </w:t>
      </w:r>
      <w:r>
        <w:rPr>
          <w:rFonts w:ascii="Palatino Linotype" w:eastAsia="Palatino Linotype" w:hAnsi="Palatino Linotype" w:cs="Palatino Linotype"/>
        </w:rPr>
        <w:t>Documento signado por el Secretario del Ayuntamiento, quien manifiesta que en la administración municipal no se generan nombramientos para el presidente municipal ni para los demás miembros del ayuntamiento.</w:t>
      </w:r>
    </w:p>
    <w:p w:rsidR="00532F46" w:rsidRDefault="0096275A">
      <w:pPr>
        <w:spacing w:before="240" w:after="240" w:line="360" w:lineRule="auto"/>
        <w:ind w:left="567" w:right="49"/>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089215" cy="7126072"/>
            <wp:effectExtent l="0" t="0" r="0" b="0"/>
            <wp:docPr id="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089215" cy="7126072"/>
                    </a:xfrm>
                    <a:prstGeom prst="rect">
                      <a:avLst/>
                    </a:prstGeom>
                    <a:ln/>
                  </pic:spPr>
                </pic:pic>
              </a:graphicData>
            </a:graphic>
          </wp:inline>
        </w:drawing>
      </w:r>
    </w:p>
    <w:p w:rsidR="00532F46" w:rsidRDefault="00532F46">
      <w:pPr>
        <w:spacing w:before="240" w:after="240" w:line="360" w:lineRule="auto"/>
        <w:ind w:left="567" w:right="49"/>
        <w:jc w:val="center"/>
        <w:rPr>
          <w:rFonts w:ascii="Palatino Linotype" w:eastAsia="Palatino Linotype" w:hAnsi="Palatino Linotype" w:cs="Palatino Linotype"/>
        </w:rPr>
      </w:pP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siete de septiembre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rsidR="00532F46" w:rsidRDefault="0096275A">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 Acto impugnado: </w:t>
      </w:r>
      <w:r>
        <w:rPr>
          <w:rFonts w:ascii="Palatino Linotype" w:eastAsia="Palatino Linotype" w:hAnsi="Palatino Linotype" w:cs="Palatino Linotype"/>
          <w:b/>
        </w:rPr>
        <w:tab/>
      </w:r>
    </w:p>
    <w:p w:rsidR="00532F46" w:rsidRDefault="0096275A">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ENTREGA INFORMACIÓN NI LA CONSTANCIA DE MAYORÍA” (Sic)</w:t>
      </w:r>
    </w:p>
    <w:p w:rsidR="00532F46" w:rsidRDefault="00532F46">
      <w:pPr>
        <w:ind w:left="851" w:right="902"/>
        <w:jc w:val="both"/>
        <w:rPr>
          <w:rFonts w:ascii="Palatino Linotype" w:eastAsia="Palatino Linotype" w:hAnsi="Palatino Linotype" w:cs="Palatino Linotype"/>
          <w:i/>
          <w:sz w:val="22"/>
          <w:szCs w:val="22"/>
        </w:rPr>
      </w:pPr>
    </w:p>
    <w:p w:rsidR="00532F46" w:rsidRDefault="009627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w:t>
      </w:r>
    </w:p>
    <w:p w:rsidR="00532F46" w:rsidRDefault="0096275A">
      <w:pPr>
        <w:ind w:left="567" w:right="902"/>
        <w:jc w:val="both"/>
        <w:rPr>
          <w:rFonts w:ascii="Palatino Linotype" w:eastAsia="Palatino Linotype" w:hAnsi="Palatino Linotype" w:cs="Palatino Linotype"/>
          <w:i/>
          <w:sz w:val="22"/>
          <w:szCs w:val="22"/>
        </w:rPr>
      </w:pPr>
      <w:bookmarkStart w:id="2" w:name="_heading=h.30j0zll" w:colFirst="0" w:colLast="0"/>
      <w:bookmarkEnd w:id="2"/>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NO ENTREGA INFORMACIÓN NI LA CONSTANCIA DE MAYORÍA</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(Sic) (Énfasis añadido)</w:t>
      </w:r>
    </w:p>
    <w:p w:rsidR="00532F46" w:rsidRDefault="00532F46">
      <w:pPr>
        <w:ind w:left="567" w:right="902"/>
        <w:jc w:val="both"/>
        <w:rPr>
          <w:rFonts w:ascii="Palatino Linotype" w:eastAsia="Palatino Linotype" w:hAnsi="Palatino Linotype" w:cs="Palatino Linotype"/>
          <w:i/>
          <w:sz w:val="22"/>
          <w:szCs w:val="22"/>
        </w:rPr>
      </w:pPr>
    </w:p>
    <w:p w:rsidR="00532F46" w:rsidRDefault="00532F46">
      <w:pPr>
        <w:ind w:left="851" w:right="902"/>
        <w:jc w:val="both"/>
        <w:rPr>
          <w:rFonts w:ascii="Palatino Linotype" w:eastAsia="Palatino Linotype" w:hAnsi="Palatino Linotype" w:cs="Palatino Linotype"/>
          <w:i/>
          <w:sz w:val="22"/>
          <w:szCs w:val="22"/>
        </w:rPr>
      </w:pPr>
    </w:p>
    <w:p w:rsidR="00532F46" w:rsidRDefault="0096275A">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5.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532F46" w:rsidRDefault="00532F46">
      <w:pPr>
        <w:spacing w:line="360" w:lineRule="auto"/>
        <w:ind w:right="51"/>
        <w:jc w:val="both"/>
        <w:rPr>
          <w:rFonts w:ascii="Palatino Linotype" w:eastAsia="Palatino Linotype" w:hAnsi="Palatino Linotype" w:cs="Palatino Linotype"/>
        </w:rPr>
      </w:pPr>
    </w:p>
    <w:p w:rsidR="00532F46" w:rsidRDefault="0096275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Admisión del Recurso de Revisión.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doce de septiembre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rsidR="00532F46" w:rsidRDefault="0096275A">
      <w:pPr>
        <w:spacing w:after="240" w:line="360" w:lineRule="auto"/>
        <w:jc w:val="both"/>
        <w:rPr>
          <w:rFonts w:ascii="Palatino Linotype" w:eastAsia="Palatino Linotype" w:hAnsi="Palatino Linotype" w:cs="Palatino Linotype"/>
        </w:rPr>
      </w:pPr>
      <w:bookmarkStart w:id="3" w:name="_heading=h.2s8eyo1" w:colFirst="0" w:colLast="0"/>
      <w:bookmarkEnd w:id="3"/>
      <w:r>
        <w:rPr>
          <w:rFonts w:ascii="Palatino Linotype" w:eastAsia="Palatino Linotype" w:hAnsi="Palatino Linotype" w:cs="Palatino Linotype"/>
          <w:b/>
        </w:rPr>
        <w:lastRenderedPageBreak/>
        <w:t>7. Manifestaciones</w:t>
      </w:r>
      <w:r>
        <w:rPr>
          <w:rFonts w:ascii="Palatino Linotype" w:eastAsia="Palatino Linotype" w:hAnsi="Palatino Linotype" w:cs="Palatino Linotype"/>
        </w:rPr>
        <w:t xml:space="preserve">. Durante este plazo, se tiene constancia que las partes fueron omisas en remitir su informe justificado, alegatos o manifestaciones, por lo que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 </w:t>
      </w:r>
    </w:p>
    <w:p w:rsidR="00532F46" w:rsidRDefault="0096275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2130" cy="1483995"/>
            <wp:effectExtent l="0" t="0" r="0" b="0"/>
            <wp:docPr id="7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483995"/>
                    </a:xfrm>
                    <a:prstGeom prst="rect">
                      <a:avLst/>
                    </a:prstGeom>
                    <a:ln/>
                  </pic:spPr>
                </pic:pic>
              </a:graphicData>
            </a:graphic>
          </wp:inline>
        </w:drawing>
      </w:r>
    </w:p>
    <w:p w:rsidR="00532F46" w:rsidRDefault="0096275A">
      <w:pPr>
        <w:widowControl w:val="0"/>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8.</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color w:val="000000"/>
        </w:rPr>
        <w:t>doce de octubre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532F46" w:rsidRDefault="0096275A">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rsidR="00532F46" w:rsidRDefault="00532F46">
      <w:pPr>
        <w:widowControl w:val="0"/>
        <w:spacing w:line="360" w:lineRule="auto"/>
        <w:jc w:val="center"/>
        <w:rPr>
          <w:rFonts w:ascii="Palatino Linotype" w:eastAsia="Palatino Linotype" w:hAnsi="Palatino Linotype" w:cs="Palatino Linotype"/>
          <w:b/>
        </w:rPr>
      </w:pPr>
    </w:p>
    <w:p w:rsidR="00532F46" w:rsidRDefault="009627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conforme a lo dispuesto en los artículos 6, apartado A de la </w:t>
      </w:r>
      <w:r>
        <w:rPr>
          <w:rFonts w:ascii="Palatino Linotype" w:eastAsia="Palatino Linotype" w:hAnsi="Palatino Linotype" w:cs="Palatino Linotype"/>
        </w:rPr>
        <w:lastRenderedPageBreak/>
        <w:t>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32F46" w:rsidRDefault="0096275A">
      <w:pPr>
        <w:spacing w:before="240" w:after="240" w:line="360" w:lineRule="auto"/>
        <w:jc w:val="both"/>
        <w:rPr>
          <w:rFonts w:ascii="Palatino Linotype" w:eastAsia="Palatino Linotype" w:hAnsi="Palatino Linotype" w:cs="Palatino Linotype"/>
        </w:rPr>
      </w:pPr>
      <w:bookmarkStart w:id="4" w:name="_heading=h.tyjcwt" w:colFirst="0" w:colLast="0"/>
      <w:bookmarkEnd w:id="4"/>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 </w:t>
      </w:r>
      <w:r>
        <w:rPr>
          <w:rFonts w:ascii="Palatino Linotype" w:eastAsia="Palatino Linotype" w:hAnsi="Palatino Linotype" w:cs="Palatino Linotype"/>
        </w:rPr>
        <w:t xml:space="preserve">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532F46" w:rsidRDefault="0096275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Pr>
          <w:rFonts w:ascii="Palatino Linotype" w:eastAsia="Palatino Linotype" w:hAnsi="Palatino Linotype" w:cs="Palatino Linotype"/>
          <w:b/>
          <w:color w:val="000000"/>
        </w:rPr>
        <w:t xml:space="preserve">treinta de agosto de dos mil veintitrés, </w:t>
      </w:r>
      <w:r>
        <w:rPr>
          <w:rFonts w:ascii="Palatino Linotype" w:eastAsia="Palatino Linotype" w:hAnsi="Palatino Linotype" w:cs="Palatino Linotype"/>
          <w:color w:val="000000"/>
        </w:rPr>
        <w:t xml:space="preserve">mientras que el recurso de revisión se interpuso el </w:t>
      </w:r>
      <w:r>
        <w:rPr>
          <w:rFonts w:ascii="Palatino Linotype" w:eastAsia="Palatino Linotype" w:hAnsi="Palatino Linotype" w:cs="Palatino Linotype"/>
          <w:b/>
          <w:color w:val="000000"/>
        </w:rPr>
        <w:t>siete de septiembre de dos mil veintitrés</w:t>
      </w:r>
      <w:r>
        <w:rPr>
          <w:rFonts w:ascii="Palatino Linotype" w:eastAsia="Palatino Linotype" w:hAnsi="Palatino Linotype" w:cs="Palatino Linotype"/>
          <w:color w:val="000000"/>
        </w:rPr>
        <w:t xml:space="preserve">, esto es, el </w:t>
      </w:r>
      <w:r>
        <w:rPr>
          <w:rFonts w:ascii="Palatino Linotype" w:eastAsia="Palatino Linotype" w:hAnsi="Palatino Linotype" w:cs="Palatino Linotype"/>
          <w:b/>
          <w:color w:val="000000"/>
        </w:rPr>
        <w:t xml:space="preserve">séptimo día hábil </w:t>
      </w:r>
      <w:r>
        <w:rPr>
          <w:rFonts w:ascii="Palatino Linotype" w:eastAsia="Palatino Linotype" w:hAnsi="Palatino Linotype" w:cs="Palatino Linotype"/>
          <w:color w:val="000000"/>
        </w:rPr>
        <w:t>posterior en que tuvo conocimiento de la respuesta impugnada.</w:t>
      </w:r>
    </w:p>
    <w:p w:rsidR="00532F46" w:rsidRDefault="0096275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sentido, al considerar la fecha en que se formuló la solicitud y la fecha en que respondió a 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así como la fecha en que se interpuso el recurso de revisión, se concluye que el presente recurso de revisión se encuentra dentro de los márgenes temporales previstos las disposiciones legales referidas.</w:t>
      </w:r>
    </w:p>
    <w:p w:rsidR="00532F46" w:rsidRDefault="0096275A">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por cuanto hace a la </w:t>
      </w:r>
      <w:proofErr w:type="spellStart"/>
      <w:r>
        <w:rPr>
          <w:rFonts w:ascii="Palatino Linotype" w:eastAsia="Palatino Linotype" w:hAnsi="Palatino Linotype" w:cs="Palatino Linotype"/>
          <w:color w:val="000000"/>
        </w:rPr>
        <w:t>procedibilidad</w:t>
      </w:r>
      <w:proofErr w:type="spellEnd"/>
      <w:r>
        <w:rPr>
          <w:rFonts w:ascii="Palatino Linotype" w:eastAsia="Palatino Linotype" w:hAnsi="Palatino Linotype" w:cs="Palatino Linotype"/>
          <w:color w:val="000000"/>
        </w:rPr>
        <w:t xml:space="preserve">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xml:space="preserve"> recurso de </w:t>
      </w:r>
      <w:r>
        <w:rPr>
          <w:rFonts w:ascii="Palatino Linotype" w:eastAsia="Palatino Linotype" w:hAnsi="Palatino Linotype" w:cs="Palatino Linotype"/>
        </w:rPr>
        <w:t>revisión</w:t>
      </w:r>
      <w:r>
        <w:rPr>
          <w:rFonts w:ascii="Palatino Linotype" w:eastAsia="Palatino Linotype" w:hAnsi="Palatino Linotype" w:cs="Palatino Linotype"/>
          <w:color w:val="000000"/>
        </w:rPr>
        <w:t xml:space="preserve">,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con el que pueda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32F46" w:rsidRDefault="0096275A">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también,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532F46" w:rsidRDefault="0096275A">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resulta procedente la interposición del recurso, según lo aducido por la parte recurrente en sus razones o motivos de inconformidad, de acuerdo al artículo 179, </w:t>
      </w:r>
      <w:r>
        <w:rPr>
          <w:rFonts w:ascii="Palatino Linotype" w:eastAsia="Palatino Linotype" w:hAnsi="Palatino Linotype" w:cs="Palatino Linotype"/>
        </w:rPr>
        <w:t>fracción</w:t>
      </w:r>
      <w:r>
        <w:rPr>
          <w:rFonts w:ascii="Palatino Linotype" w:eastAsia="Palatino Linotype" w:hAnsi="Palatino Linotype" w:cs="Palatino Linotype"/>
          <w:color w:val="000000"/>
        </w:rPr>
        <w:t xml:space="preserve"> I </w:t>
      </w:r>
      <w:r>
        <w:rPr>
          <w:rFonts w:ascii="Palatino Linotype" w:eastAsia="Palatino Linotype" w:hAnsi="Palatino Linotype" w:cs="Palatino Linotype"/>
        </w:rPr>
        <w:t xml:space="preserve">de </w:t>
      </w:r>
      <w:r>
        <w:rPr>
          <w:rFonts w:ascii="Palatino Linotype" w:eastAsia="Palatino Linotype" w:hAnsi="Palatino Linotype" w:cs="Palatino Linotype"/>
          <w:color w:val="000000"/>
        </w:rPr>
        <w:t>la Ley de Transparencia y Acceso a la Información Pública del Estado de México y Municipios; que a la letra dice:</w:t>
      </w:r>
    </w:p>
    <w:p w:rsidR="00532F46" w:rsidRDefault="0096275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rsidR="00532F46" w:rsidRDefault="0096275A">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I. La negativa a la información solicitada;</w:t>
      </w:r>
      <w:r>
        <w:rPr>
          <w:rFonts w:ascii="Palatino Linotype" w:eastAsia="Palatino Linotype" w:hAnsi="Palatino Linotype" w:cs="Palatino Linotype"/>
          <w:i/>
          <w:color w:val="000000"/>
          <w:sz w:val="22"/>
          <w:szCs w:val="22"/>
        </w:rPr>
        <w:t>” (Énfasis añadido)</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son adecuados y suficientes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o en su defecto, en caso de ser procedente, ordenar la entrega de información oportuna.</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532F46" w:rsidRDefault="0096275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532F46" w:rsidRDefault="0096275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532F46" w:rsidRDefault="0096275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color w:val="000000"/>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532F46" w:rsidRDefault="0096275A">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rsidR="00532F46" w:rsidRDefault="0096275A">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rsidR="00532F46" w:rsidRDefault="0096275A">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color w:val="000000"/>
          <w:sz w:val="22"/>
          <w:szCs w:val="22"/>
        </w:rPr>
        <w:lastRenderedPageBreak/>
        <w:t>públicos y los indicadores que permitan rendir cuenta del cumplimiento de sus objetivos y de los resultados obtenidos.</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532F46" w:rsidRDefault="0096275A">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532F46" w:rsidRDefault="0096275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532F46" w:rsidRDefault="0096275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32F46" w:rsidRDefault="0096275A">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532F46" w:rsidRDefault="0096275A">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532F46" w:rsidRDefault="0096275A">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32F46" w:rsidRDefault="0096275A">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Pr>
          <w:rFonts w:ascii="Palatino Linotype" w:eastAsia="Palatino Linotype" w:hAnsi="Palatino Linotype" w:cs="Palatino Linotype"/>
          <w:color w:val="000000"/>
        </w:rPr>
        <w:lastRenderedPageBreak/>
        <w:t>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32F46" w:rsidRDefault="0096275A">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lastRenderedPageBreak/>
        <w:t>En consecuencia el acceso a la información se refiere a que se cumplan cualquiera de los siguientes tres supuestos:</w:t>
      </w:r>
    </w:p>
    <w:p w:rsidR="00532F46" w:rsidRDefault="0096275A">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rsidR="00532F46" w:rsidRDefault="0096275A">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rsidR="00532F46" w:rsidRDefault="0096275A">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 encuentre en posesión de los Sujetos Obligados.” (Sic)</w:t>
      </w:r>
    </w:p>
    <w:p w:rsidR="00532F46" w:rsidRDefault="0096275A">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532F46" w:rsidRDefault="0096275A">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parte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rsidR="00532F46" w:rsidRDefault="0096275A">
      <w:pPr>
        <w:numPr>
          <w:ilvl w:val="0"/>
          <w:numId w:val="2"/>
        </w:numPr>
        <w:pBdr>
          <w:top w:val="nil"/>
          <w:left w:val="nil"/>
          <w:bottom w:val="nil"/>
          <w:right w:val="nil"/>
          <w:between w:val="nil"/>
        </w:pBdr>
        <w:tabs>
          <w:tab w:val="left" w:pos="7513"/>
        </w:tabs>
        <w:spacing w:line="360" w:lineRule="auto"/>
        <w:ind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Los nombramientos de los últimos 3 presidentes municipales.</w:t>
      </w:r>
    </w:p>
    <w:p w:rsidR="00532F46" w:rsidRDefault="00532F46">
      <w:pPr>
        <w:tabs>
          <w:tab w:val="left" w:pos="7513"/>
        </w:tabs>
        <w:spacing w:line="360" w:lineRule="auto"/>
        <w:ind w:right="49"/>
        <w:jc w:val="both"/>
        <w:rPr>
          <w:rFonts w:ascii="Palatino Linotype" w:eastAsia="Palatino Linotype" w:hAnsi="Palatino Linotype" w:cs="Palatino Linotype"/>
        </w:rPr>
      </w:pPr>
    </w:p>
    <w:p w:rsidR="00532F46" w:rsidRDefault="0096275A">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por conducto del Secretario del Ayuntamiento, manifiesta que en la administración municipal no se generan nombramientos para el presidente municipal ni para los demás miembros del ayuntamiento. </w:t>
      </w:r>
    </w:p>
    <w:p w:rsidR="00532F46" w:rsidRDefault="0096275A">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En esta tesitura, una vez conocida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al no estar conforme con los términos de la misma, interpuso el recurso de revisión que nos ocupa, donde señaló en sus razones o motivos de inconformidad lo siguiente: </w:t>
      </w:r>
      <w:r>
        <w:rPr>
          <w:rFonts w:ascii="Palatino Linotype" w:eastAsia="Palatino Linotype" w:hAnsi="Palatino Linotype" w:cs="Palatino Linotype"/>
          <w:b/>
          <w:i/>
        </w:rPr>
        <w:t xml:space="preserve">“NO ENTREGA INFORMACIÓN NI LA CONSTANCIA DE MAYORÍA” </w:t>
      </w:r>
      <w:r>
        <w:rPr>
          <w:rFonts w:ascii="Palatino Linotype" w:eastAsia="Palatino Linotype" w:hAnsi="Palatino Linotype" w:cs="Palatino Linotype"/>
          <w:i/>
        </w:rPr>
        <w:t xml:space="preserve">(Sic) (Énfasis añadido), </w:t>
      </w:r>
      <w:r>
        <w:rPr>
          <w:rFonts w:ascii="Palatino Linotype" w:eastAsia="Palatino Linotype" w:hAnsi="Palatino Linotype" w:cs="Palatino Linotype"/>
        </w:rPr>
        <w:t>es decir, su inconformidad medularmente versa sobre la negativa a entregar la información.</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durante la etapa de manifestaciones, se tiene que las partes fueron omisas en remitir su informe justificado, alegatos o cualquier manifestación que a su derecho conviniera, por lo tanto, se tiene por </w:t>
      </w:r>
      <w:proofErr w:type="spellStart"/>
      <w:r>
        <w:rPr>
          <w:rFonts w:ascii="Palatino Linotype" w:eastAsia="Palatino Linotype" w:hAnsi="Palatino Linotype" w:cs="Palatino Linotype"/>
        </w:rPr>
        <w:t>precluido</w:t>
      </w:r>
      <w:proofErr w:type="spellEnd"/>
      <w:r>
        <w:rPr>
          <w:rFonts w:ascii="Palatino Linotype" w:eastAsia="Palatino Linotype" w:hAnsi="Palatino Linotype" w:cs="Palatino Linotype"/>
        </w:rPr>
        <w:t xml:space="preserve"> su derecho para tal efecto.</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Expuestas las posturas de las partes, conviene iniciar el presente estudio señalando que si bien es cierto,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empleó la expresión “nombramientos”, esta no debe entenderse en estricto sentido como tal, sino que debe entenderse como el documento con el cual se formaliza su ingreso al servicio público en su carácter de servidor público de elección popular, por lo que se infiere que la documental requerida es la constancia de mayoría. </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por lo anterior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realizar la suplencia de esta deficiencia pues los particulares que formulan solicitudes de acceso a la información, no se encuentran obligados a ser expertos en la materia y conocer con certeza las denominaciones de los documentos, por lo tanto, con fundamento en el artículo 13 de la Ley de Transparencia y Acceso a la Información Pública, este Organismo Garante subsana la deficiencia del requerimiento de información del particular para efecto de analizar y en su caso, ordenar la entrega de las constancias </w:t>
      </w:r>
      <w:r>
        <w:rPr>
          <w:rFonts w:ascii="Palatino Linotype" w:eastAsia="Palatino Linotype" w:hAnsi="Palatino Linotype" w:cs="Palatino Linotype"/>
        </w:rPr>
        <w:lastRenderedPageBreak/>
        <w:t>de mayoría de los últimos tres presidentes municipales, ello atendiendo a las siguientes consideraciones:</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primera instancia, es necesario analizar la emisión de la constancia de mayoría, para ello debemos observar lo previsto por la Constitución Política del Estado Libre y Soberano de México, la cual dispone lo siguiente: </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113.- Cada municipio será gobernado por un ayuntamiento con la competencia que le otorga la Constitución Política de los Estados Unidos Mexicanos, la presente Constitución y las leyes que de ellas emanen.</w:t>
      </w:r>
    </w:p>
    <w:p w:rsidR="00532F46" w:rsidRDefault="0096275A">
      <w:pPr>
        <w:spacing w:after="240" w:line="276"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 xml:space="preserve">Artículo 114.- Los ayuntamientos serán electos mediante sufragio universal, libre, secreto y directo. La ley de la materia determinará la fecha de la elección. Las elecciones de ayuntamientos serán computadas y declaradas válidas por el órgano electoral municipal, </w:t>
      </w:r>
      <w:r>
        <w:rPr>
          <w:rFonts w:ascii="Palatino Linotype" w:eastAsia="Palatino Linotype" w:hAnsi="Palatino Linotype" w:cs="Palatino Linotype"/>
          <w:b/>
          <w:i/>
          <w:sz w:val="22"/>
          <w:szCs w:val="22"/>
          <w:u w:val="single"/>
        </w:rPr>
        <w:t>mismo que otorgará la constancia de mayoría de las y los integrantes de la planilla que hubiere obtenido el mayor número de votos en términos de la ley de la materia.</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cargo de miembro del ayuntamiento no es renunciable, sino por justa causa que calificará el ayuntamiento ante el que se presentará la renuncia y quien conocerá también de las licencias de sus miembros.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115.- En ningún caso los ayuntamientos, como cuerpos colegiados, podrán desempeñar las funciones del presidente municipal, ni éste por sí solo las de los ayuntamientos, ni el ayuntamiento o el presidente municipal, funciones judiciales.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116.- Los ayuntamientos serán asamblea deliberante y tendrán autoridad y competencia propias en los asuntos que se sometan a su decisión, pero la ejecución de ésta corresponderá exclusivamente a los presidentes o presidentas municipales, quienes durarán en sus funciones tres años.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elección consecutiva para el mismo cargo de presidentas o presidentes municipales, regidoras o regidores y síndicas o síndicos, será por un periodo adicional. La postulación solo podrá ser realizada por el mismo partido o por cualquiera de los partidos integrantes de la coalición que los hubiere postulado, salvo </w:t>
      </w:r>
      <w:r>
        <w:rPr>
          <w:rFonts w:ascii="Palatino Linotype" w:eastAsia="Palatino Linotype" w:hAnsi="Palatino Linotype" w:cs="Palatino Linotype"/>
          <w:i/>
          <w:sz w:val="22"/>
          <w:szCs w:val="22"/>
        </w:rPr>
        <w:lastRenderedPageBreak/>
        <w:t>que hayan renunciado o perdido su militancia antes de la mitad de su mandato y de conformidad con lo establecido en la ley respectiva.</w:t>
      </w:r>
    </w:p>
    <w:p w:rsidR="00532F46" w:rsidRDefault="0096275A">
      <w:pPr>
        <w:spacing w:after="240" w:line="276"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Artículo 117.- Los ayuntamientos se integrarán con una jefa o jefe de asamblea que se denominará Presidenta o Presidente Municipal, respectivamente, y con varios miembros más llamados Síndicas o Síndicos y Regidoras o Regidores, cuyo número se determinará en razón directa de la población del municipio que representen, como lo disponga la Ley Orgánica respectiva.</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(Énfasis añadido)</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armonía con lo señalado anteriormente, el Código Electoral del Estado de México, prevé la existencia de los consejos municipales electorales, los cuales entran en funciones únicamente durante el proceso para la elección de ayuntamientos y cuentan con las siguientes atribuciones: </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220. Los consejos municipales electorales tienen las siguientes atribuciones:</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V. Expedir la declaratoria de validez y la constancia de mayoría a la planilla que obtenga el mayor número de votos</w:t>
      </w:r>
      <w:r>
        <w:rPr>
          <w:rFonts w:ascii="Palatino Linotype" w:eastAsia="Palatino Linotype" w:hAnsi="Palatino Linotype" w:cs="Palatino Linotype"/>
          <w:i/>
          <w:sz w:val="22"/>
          <w:szCs w:val="22"/>
        </w:rPr>
        <w:t>, y las constancias de asignación de regidores y síndico, por el principio de representación proporcional.” (Énfasis añadido)</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Con lo anteriormente citado, se advierte claramente que para el caso de integrantes de los ayuntamientos no existe propiamente la figura de los nombramientos sino de las constancias de mayoría que acreditan a determinada planilla que obtuvo el </w:t>
      </w:r>
      <w:r>
        <w:rPr>
          <w:rFonts w:ascii="Palatino Linotype" w:eastAsia="Palatino Linotype" w:hAnsi="Palatino Linotype" w:cs="Palatino Linotype"/>
        </w:rPr>
        <w:lastRenderedPageBreak/>
        <w:t>mayor número de votos, por lo tanto, serán las autoridades que ejercerán el poder político durante un periodo determinado.</w:t>
      </w:r>
    </w:p>
    <w:p w:rsidR="00532F46" w:rsidRDefault="0096275A">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resulta importante señalar que los Lineamientos que Norman la Entrega-Recepción de los Ayuntamientos, sus Dependencias y Organismos Descentralizados Municipales del Estado de México señalan en sus artículos 2, fracción XIV y 22 que la constancia de mayoría es el documento con el que acreditan el cargo para efecto de la entrega-recepción: </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 Para los efectos de estos lineamientos se entenderá por:</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XIV. Documento que acredite el cargo: A la constancia de mayoría emitida por el órgano electoral competente</w:t>
      </w:r>
      <w:r>
        <w:rPr>
          <w:rFonts w:ascii="Palatino Linotype" w:eastAsia="Palatino Linotype" w:hAnsi="Palatino Linotype" w:cs="Palatino Linotype"/>
          <w:i/>
          <w:sz w:val="22"/>
          <w:szCs w:val="22"/>
        </w:rPr>
        <w:t>, nombramiento, acta del Órgano de Gobierno, contrato o cualquier otro documento que acredite al servidor público para ocupar el empleo, cargo o comisión;</w:t>
      </w:r>
    </w:p>
    <w:p w:rsidR="00532F46" w:rsidRDefault="0096275A">
      <w:pPr>
        <w:spacing w:after="240" w:line="276"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rsidR="00532F46" w:rsidRDefault="0096275A">
      <w:pPr>
        <w:spacing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22. Cuando un servidor público saliente tenga que realizar la entrega-recepción y por cualquier causa no se haya nombrado al servidor público entrante o, bien, éste no asista, ello no será obstáculo para llevar a cabo dicho acto; </w:t>
      </w:r>
      <w:r>
        <w:rPr>
          <w:rFonts w:ascii="Palatino Linotype" w:eastAsia="Palatino Linotype" w:hAnsi="Palatino Linotype" w:cs="Palatino Linotype"/>
          <w:b/>
          <w:i/>
          <w:sz w:val="22"/>
          <w:szCs w:val="22"/>
          <w:u w:val="single"/>
        </w:rPr>
        <w:t>el servidor público saliente entregará al superior jerárquico de acuerdo con lo establecido en su estructura orgánica administrativa, con la participación de la persona titular del Órgano Interno de Control o el Síndico o Representante, según corresponda, debiendo adjuntar el documento que acredite el cargo como superior jerárquico que recibe la unidad administrativa</w:t>
      </w:r>
      <w:r>
        <w:rPr>
          <w:rFonts w:ascii="Palatino Linotype" w:eastAsia="Palatino Linotype" w:hAnsi="Palatino Linotype" w:cs="Palatino Linotype"/>
          <w:i/>
          <w:sz w:val="22"/>
          <w:szCs w:val="22"/>
        </w:rPr>
        <w:t xml:space="preserve"> y se asentará en el apartado de observaciones del acta de entrega-recepción.” (Énfasis añadido)</w:t>
      </w: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debemos recordar que en el presente asunto se pronunció el Secretario del Ayuntamiento, quien de conformidad con el Reglamento Orgánico </w:t>
      </w:r>
      <w:r>
        <w:rPr>
          <w:rFonts w:ascii="Palatino Linotype" w:eastAsia="Palatino Linotype" w:hAnsi="Palatino Linotype" w:cs="Palatino Linotype"/>
        </w:rPr>
        <w:lastRenderedPageBreak/>
        <w:t xml:space="preserve">Municipal del Ayuntamiento de Zinacantepec, cuenta con las siguientes atribuciones: </w:t>
      </w:r>
    </w:p>
    <w:p w:rsidR="00532F46" w:rsidRDefault="0096275A">
      <w:pPr>
        <w:spacing w:before="240" w:after="240" w:line="276"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43. La Secretaria del Ayuntamiento es la Unidad Administrativa encargada de brindar certeza jurídica a las acciones del Ayuntamiento y de las diversas Unidades Administrativas en su interrelación con la sociedad y otras instancias gubernamentales.</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44. Además de las previstas en las disposiciones normativas y administrativas en la materia, la Secretaría del Ayuntamiento tiene las siguientes funciones y atribuciones:</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Auxiliar al Presidente Municipal en la atención de los asuntos públicos del Municipio, así como la celebración de las sesiones de Cabildo;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Vigilar la adecuada y oportuna publicación del Bando Municipal, los reglamentos municipales, manuales y demás disposiciones de carácter general del Municipio, en la Gaceta Municipal y estrados de la Secretaria;</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Tener a su cargo y difundir el acervo con que cuenta el archivo municipal, para efectos de consulta e interés interno;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Vigilar el correcto funcionamiento del archivo histórico, con base en la Ley de Archivos y Administración de Documentos del Estado de México y Municipios;</w:t>
      </w:r>
    </w:p>
    <w:p w:rsidR="00532F46" w:rsidRDefault="0096275A">
      <w:pPr>
        <w:spacing w:before="240" w:after="240" w:line="276"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V. Suscribir junto con el Presidente Municipal los nombramientos de los servidores públicos municipales y autoridades auxiliares del Ayuntamiento;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Realizar ante el Sistema Militar Nacional, dependiente de la Secretaría de la Defensa Nacional, los trámites necesarios para la expedición de pre cartillas;</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Fungir como Presidente en el Comité de Bienes Muebles e Inmuebles del Ayuntamiento de Zinacantepec;</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Verificar con la intervención de la Sindicatura Municipal la valoración, destino y conteo exacto de los bienes patrimoniales del Municipio;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IX. Fungir como Presidente de la Comisión del Servicio Profesional de Carrera Policial, Honor y Justicia de Zinacantepec;</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 Respaldar y ordenar la normatividad y reglamentación del Municipio, para uso del Presidente Municipal y de todas las áreas de la Administración Pública Municipal;</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Impulsar y respaldar las actividades encomendadas al Cronista Municipal;</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Expedir constancias de no afectación de bienes de dominio público, dentro del plazo de 10 días hábiles a partir de la solicitud;</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XIII. Expedir constancias de vecindad, identidad o de ultima residencia que solicite la ciudadanía y que previamente cumplan con los requisitos para tal efecto, en un plazo no mayor a 24 horas a partir de su solicitud.</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XIV. Suscribir los convenios de colaboración y coordinación, así como los contratos que celebre el Presidente Municipal en representación del Ayuntamiento;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Vigilar el buen funcionamiento de las Oficialías del Registro Civil que se encuentran en el municipio.”</w:t>
      </w: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Como se puede observar con lo anteriormente abordado, se colige que el Secretario en conjunto con el Presidente Municipal son quienes suscriben los nombramientos del resto de los servidores públicos municipales y autoridades auxiliares del ayuntamiento, sin embargo, no se establece fuente obligacional para que este servidor público habilitado deba contar dentro de su patrimonio documental con este documento en específico, sin embargo, no escapa de la óptica de este Instituto que para dar cabal cumplimiento al artículo 162 de la Ley de Transparencia y Acceso a la Información Pública, debió turnarse a su vez a la Dirección de Administración, y a la Contraloría Municipal, lo anterior en razón de que conforme al Manual de </w:t>
      </w:r>
      <w:r>
        <w:rPr>
          <w:rFonts w:ascii="Palatino Linotype" w:eastAsia="Palatino Linotype" w:hAnsi="Palatino Linotype" w:cs="Palatino Linotype"/>
        </w:rPr>
        <w:lastRenderedPageBreak/>
        <w:t xml:space="preserve">Organización del Ayuntamiento de Zinacantepec, se le atribuyen las siguientes facultades: </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“1.4.- DIRECCIÓN DE ADMINISTRACIÓN.-</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Objetivo: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Funciones:</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before="240" w:after="240" w:line="276" w:lineRule="auto"/>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Vigilar el resguardo y actualización del archivo del personal del ayuntamiento;</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before="240" w:after="240" w:line="276" w:lineRule="auto"/>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1.3.- CONTRALORÍA MUNICIPAL.-</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Objetivo: Dirigir las políticas municipales de fiscalización, control, vigilancia y evaluación de los recursos públicos, promoviendo los principios de economía, eficacia, eficiencia, imparcialidad, honradez, transparencia y apego a la normatividad aplicable; así como promover el cumplimiento de las responsabilidades administrativas de los servidores públicos municipales y coordinar las acciones para el combate de la corrupción.</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Funciones:</w:t>
      </w:r>
      <w:r>
        <w:rPr>
          <w:rFonts w:ascii="Palatino Linotype" w:eastAsia="Palatino Linotype" w:hAnsi="Palatino Linotype" w:cs="Palatino Linotype"/>
          <w:i/>
          <w:sz w:val="22"/>
          <w:szCs w:val="22"/>
        </w:rPr>
        <w:br/>
      </w:r>
      <w:r>
        <w:t xml:space="preserve"> </w:t>
      </w:r>
      <w:r>
        <w:rPr>
          <w:rFonts w:ascii="Palatino Linotype" w:eastAsia="Palatino Linotype" w:hAnsi="Palatino Linotype" w:cs="Palatino Linotype"/>
          <w:b/>
          <w:i/>
          <w:sz w:val="22"/>
          <w:szCs w:val="22"/>
          <w:u w:val="single"/>
        </w:rPr>
        <w:t>Testificar los actos de entrega-recepción de las Unidades Administrativas del Gobierno Municipal de Zinacantepec, de conformidad con lo dispuesto en la normatividad aplicable;</w:t>
      </w:r>
      <w:r>
        <w:rPr>
          <w:rFonts w:ascii="Palatino Linotype" w:eastAsia="Palatino Linotype" w:hAnsi="Palatino Linotype" w:cs="Palatino Linotype"/>
          <w:b/>
          <w:i/>
          <w:sz w:val="22"/>
          <w:szCs w:val="22"/>
          <w:u w:val="single"/>
        </w:rPr>
        <w:br/>
      </w:r>
      <w:r>
        <w:rPr>
          <w:rFonts w:ascii="Palatino Linotype" w:eastAsia="Palatino Linotype" w:hAnsi="Palatino Linotype" w:cs="Palatino Linotype"/>
          <w:i/>
          <w:sz w:val="22"/>
          <w:szCs w:val="22"/>
        </w:rPr>
        <w:t xml:space="preserve"> (Énfasis añadido)</w:t>
      </w: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cita anteriormente insertada, se abordan a las siguientes premisas:</w:t>
      </w:r>
    </w:p>
    <w:p w:rsidR="00532F46" w:rsidRDefault="0096275A">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1.- El Secretario del Ayuntamiento en conjunto con el Presidente Municipal suscribe los nombramientos de los servidores públicos municipales y autoridades auxiliares del Ayuntamiento.</w:t>
      </w:r>
    </w:p>
    <w:p w:rsidR="00532F46" w:rsidRDefault="0096275A">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2.- El Secretario del Ayuntamiento tiene a su cargo y difunde el acervo con que cuenta el archivo municipal, para efectos de consulta e interés interno.</w:t>
      </w:r>
    </w:p>
    <w:p w:rsidR="00532F46" w:rsidRDefault="0096275A">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3.- La Dirección de Administración se encuentra facultada para vigilar el resguardo y actualización del archivo del personal del ayuntamiento, por lo que dichas documentales pudieran obrar en sus archivos.</w:t>
      </w:r>
    </w:p>
    <w:p w:rsidR="00532F46" w:rsidRDefault="0096275A">
      <w:pPr>
        <w:spacing w:before="240" w:after="240" w:line="360" w:lineRule="auto"/>
        <w:ind w:left="567" w:right="900"/>
        <w:jc w:val="both"/>
        <w:rPr>
          <w:rFonts w:ascii="Palatino Linotype" w:eastAsia="Palatino Linotype" w:hAnsi="Palatino Linotype" w:cs="Palatino Linotype"/>
        </w:rPr>
      </w:pPr>
      <w:r>
        <w:rPr>
          <w:rFonts w:ascii="Palatino Linotype" w:eastAsia="Palatino Linotype" w:hAnsi="Palatino Linotype" w:cs="Palatino Linotype"/>
        </w:rPr>
        <w:t>4.- La Contraloría Municipal es la encargada de testificar los actos de entrega-recepción de las Unidades Administrativas del Gobierno Municipal de Zinacantepec, además los Lineamientos que Norman la Entrega-Recepción de los Ayuntamientos, sus Dependencias y Organismos Descentralizados Municipales del Estado de México mandatan a esta unidad administrativa para participar en el acto de la entrega-recepción debiendo adjuntar el documento que acredite el cargo como superior jerárquico que recibe la unidad administrativa.</w:t>
      </w:r>
    </w:p>
    <w:p w:rsidR="00532F46" w:rsidRDefault="0096275A">
      <w:pPr>
        <w:spacing w:before="240" w:after="240" w:line="360" w:lineRule="auto"/>
        <w:ind w:right="4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Es por todo lo anterior que esta autoridad estima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efectivamente cuenta con la información para atender el requerimiento de información de la persona solicitante, por lo que para efecto de brindar la mayor </w:t>
      </w:r>
      <w:r>
        <w:rPr>
          <w:rFonts w:ascii="Palatino Linotype" w:eastAsia="Palatino Linotype" w:hAnsi="Palatino Linotype" w:cs="Palatino Linotype"/>
        </w:rPr>
        <w:lastRenderedPageBreak/>
        <w:t>protección del derecho de acceso a la información pública de la persona solicitante, deberá efectuarse una búsqueda exhaustiva y razonable de la información para efecto de localizar las constancias de mayoría de los tres últimos presidentes municipales del Ayuntamiento de Zinacantepec.</w:t>
      </w: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Así las cosas, se consideran que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es </w:t>
      </w:r>
      <w:r>
        <w:rPr>
          <w:rFonts w:ascii="Palatino Linotype" w:eastAsia="Palatino Linotype" w:hAnsi="Palatino Linotype" w:cs="Palatino Linotype"/>
          <w:b/>
        </w:rPr>
        <w:t>REVOCAR</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 xml:space="preserve">Sujeto Obligado y ordenar la entrega </w:t>
      </w:r>
      <w:r>
        <w:rPr>
          <w:rFonts w:ascii="Palatino Linotype" w:eastAsia="Palatino Linotype" w:hAnsi="Palatino Linotype" w:cs="Palatino Linotype"/>
        </w:rPr>
        <w:t>de las constancias de mayoría de los tres últimos presidentes municipales del Ayuntamiento de Zinacantepec, en versión pública de ser procedente, ello conforme a lo previsto por el considerando siguiente.</w:t>
      </w:r>
    </w:p>
    <w:p w:rsidR="00532F46" w:rsidRDefault="009627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deberá proporcionar el sujeto obligado para dar satisfacción 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532F46" w:rsidRDefault="0096275A">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Pr>
          <w:rFonts w:ascii="Palatino Linotype" w:eastAsia="Palatino Linotype" w:hAnsi="Palatino Linotype" w:cs="Palatino Linotype"/>
        </w:rPr>
        <w:t>fracción</w:t>
      </w:r>
      <w:proofErr w:type="gramEnd"/>
      <w:r>
        <w:rPr>
          <w:rFonts w:ascii="Palatino Linotype" w:eastAsia="Palatino Linotype" w:hAnsi="Palatino Linotype" w:cs="Palatino Linotype"/>
        </w:rPr>
        <w:t xml:space="preserve"> I de la Ley de Transparencia y Acceso a la Información Pública del Estado de México y Municipios que establecen:</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La clasificación de la información se llevará a cabo en el momento en que:</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Pr>
          <w:rFonts w:ascii="Palatino Linotype" w:eastAsia="Palatino Linotype" w:hAnsi="Palatino Linotype" w:cs="Palatino Linotype"/>
          <w:i/>
          <w:sz w:val="22"/>
          <w:szCs w:val="22"/>
        </w:rPr>
        <w:t>jurídico</w:t>
      </w:r>
      <w:proofErr w:type="gramEnd"/>
      <w:r>
        <w:rPr>
          <w:rFonts w:ascii="Palatino Linotype" w:eastAsia="Palatino Linotype" w:hAnsi="Palatino Linotype" w:cs="Palatino Linotype"/>
          <w:i/>
          <w:sz w:val="22"/>
          <w:szCs w:val="22"/>
        </w:rPr>
        <w:t xml:space="preserve"> colectiva identificada o identificable;</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rsidR="00532F46" w:rsidRDefault="0096275A">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532F46" w:rsidRDefault="0096275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w:t>
      </w:r>
      <w:r>
        <w:rPr>
          <w:rFonts w:ascii="Palatino Linotype" w:eastAsia="Palatino Linotype" w:hAnsi="Palatino Linotype" w:cs="Palatino Linotype"/>
          <w:color w:val="000000"/>
        </w:rPr>
        <w:t xml:space="preserve"> los Lineamientos Quincuagésimo, Quincuagésimo primero, Quincuagésimo segundo, Quincuagésimo tercero, Quincuagésimo cuarto y Quincuagésimo quinto</w:t>
      </w:r>
      <w:r>
        <w:rPr>
          <w:rFonts w:ascii="Palatino Linotype" w:eastAsia="Palatino Linotype" w:hAnsi="Palatino Linotype" w:cs="Palatino Linotype"/>
        </w:rPr>
        <w:t xml:space="preserve"> señalan las formalidades que deberá llevar el acuerdo de clasificación que deberá emitir el </w:t>
      </w:r>
      <w:r>
        <w:rPr>
          <w:rFonts w:ascii="Palatino Linotype" w:eastAsia="Palatino Linotype" w:hAnsi="Palatino Linotype" w:cs="Palatino Linotype"/>
          <w:b/>
        </w:rPr>
        <w:t>Sujeto Obligado</w:t>
      </w:r>
      <w:r>
        <w:rPr>
          <w:rFonts w:ascii="Palatino Linotype" w:eastAsia="Palatino Linotype" w:hAnsi="Palatino Linotype" w:cs="Palatino Linotype"/>
        </w:rPr>
        <w:t>, siendo estas las siguientes:</w:t>
      </w:r>
    </w:p>
    <w:p w:rsidR="00532F46" w:rsidRDefault="00532F46">
      <w:pPr>
        <w:spacing w:line="360" w:lineRule="auto"/>
        <w:jc w:val="both"/>
        <w:rPr>
          <w:rFonts w:ascii="Palatino Linotype" w:eastAsia="Palatino Linotype" w:hAnsi="Palatino Linotype" w:cs="Palatino Linotype"/>
        </w:rPr>
      </w:pPr>
    </w:p>
    <w:p w:rsidR="00532F46" w:rsidRDefault="0096275A">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“CAPÍTULO VIII </w:t>
      </w:r>
    </w:p>
    <w:p w:rsidR="00532F46" w:rsidRDefault="0096275A">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LOS ELEMENTOS PARA LA CLASIFICACIÓN </w:t>
      </w:r>
    </w:p>
    <w:p w:rsidR="00532F46" w:rsidRDefault="0096275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w:t>
      </w:r>
      <w:r>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532F46" w:rsidRDefault="0096275A">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Quincuagésimo primero.</w:t>
      </w:r>
      <w:r>
        <w:rPr>
          <w:rFonts w:ascii="Palatino Linotype" w:eastAsia="Palatino Linotype" w:hAnsi="Palatino Linotype" w:cs="Palatino Linotype"/>
          <w:i/>
          <w:sz w:val="22"/>
          <w:szCs w:val="22"/>
        </w:rPr>
        <w:t xml:space="preserve"> Toda acta del Comité de Transparencia deberá contener: </w:t>
      </w:r>
    </w:p>
    <w:p w:rsidR="00532F46" w:rsidRDefault="0096275A">
      <w:pPr>
        <w:numPr>
          <w:ilvl w:val="1"/>
          <w:numId w:val="3"/>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número de sesión y fecha; </w:t>
      </w:r>
    </w:p>
    <w:p w:rsidR="00532F46" w:rsidRDefault="0096275A">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El nombre del área que solicitó la clasificación de información; </w:t>
      </w:r>
    </w:p>
    <w:p w:rsidR="00532F46" w:rsidRDefault="0096275A">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fundamentación legal y motivación correspondiente; </w:t>
      </w:r>
    </w:p>
    <w:p w:rsidR="00532F46" w:rsidRDefault="0096275A">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resolución o resoluciones aprobadas; y </w:t>
      </w:r>
    </w:p>
    <w:p w:rsidR="00532F46" w:rsidRDefault="0096275A">
      <w:pPr>
        <w:numPr>
          <w:ilvl w:val="1"/>
          <w:numId w:val="3"/>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rúbrica o firma digital de cada integrante del Comité de Transparencia.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Las resoluciones del Comité en las que se haya determinado confirmar o modificar la clasificación de información pública como reservada, deberán incluir, cuando menos: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Descripción de las partes o secciones reservadas, en caso de clasificación parcial;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El periodo por el que mantendrá su clasificación y fecha de expiración; y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IV. El nombre del titular y área encargada de realizar la versión pública del documento, en su caso.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segundo. </w:t>
      </w:r>
      <w:r>
        <w:rPr>
          <w:rFonts w:ascii="Palatino Linotype" w:eastAsia="Palatino Linotype" w:hAnsi="Palatino Linotype" w:cs="Palatino Linotype"/>
          <w:i/>
          <w:color w:val="000000"/>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Pr>
          <w:rFonts w:ascii="Palatino Linotype" w:eastAsia="Palatino Linotype" w:hAnsi="Palatino Linotype" w:cs="Palatino Linotype"/>
          <w:i/>
          <w:color w:val="000000"/>
          <w:sz w:val="22"/>
          <w:szCs w:val="22"/>
        </w:rPr>
        <w:t>sobreposición</w:t>
      </w:r>
      <w:proofErr w:type="spellEnd"/>
      <w:r>
        <w:rPr>
          <w:rFonts w:ascii="Palatino Linotype" w:eastAsia="Palatino Linotype" w:hAnsi="Palatino Linotype" w:cs="Palatino Linotype"/>
          <w:i/>
          <w:color w:val="000000"/>
          <w:sz w:val="22"/>
          <w:szCs w:val="22"/>
        </w:rPr>
        <w:t xml:space="preserve"> de contenido distinto al autorizado por el Comité.</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específico de la clasificación y elaboración de versiones públicas de documentos que contengan información confidencial, las áreas de los sujetos obligados deberán:</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Transparencia confirmó dicha versión;</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los documentos de difusión electrónica, señalar en la primera hoja y en el nombre del archivo, que la versión pública corresponde a un documento que contiene información confidencial.</w:t>
      </w:r>
      <w:r>
        <w:rPr>
          <w:noProof/>
          <w:lang w:val="es-MX"/>
        </w:rPr>
        <w:drawing>
          <wp:anchor distT="0" distB="0" distL="114300" distR="114300" simplePos="0" relativeHeight="251658240"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noProof/>
          <w:color w:val="000000"/>
          <w:sz w:val="22"/>
          <w:szCs w:val="22"/>
          <w:lang w:val="es-MX"/>
        </w:rPr>
        <w:drawing>
          <wp:inline distT="0" distB="0" distL="0" distR="0">
            <wp:extent cx="4576404" cy="5139653"/>
            <wp:effectExtent l="0" t="0" r="0" b="0"/>
            <wp:docPr id="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rsidR="00532F46" w:rsidRDefault="00532F46">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cuarto. </w:t>
      </w:r>
      <w:r>
        <w:rPr>
          <w:rFonts w:ascii="Palatino Linotype" w:eastAsia="Palatino Linotype" w:hAnsi="Palatino Linotype" w:cs="Palatino Linotype"/>
          <w:i/>
          <w:color w:val="000000"/>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532F46" w:rsidRDefault="00532F46">
      <w:pPr>
        <w:pBdr>
          <w:top w:val="nil"/>
          <w:left w:val="nil"/>
          <w:bottom w:val="nil"/>
          <w:right w:val="nil"/>
          <w:between w:val="nil"/>
        </w:pBdr>
        <w:spacing w:line="276" w:lineRule="auto"/>
        <w:ind w:left="567" w:right="900"/>
        <w:jc w:val="both"/>
        <w:rPr>
          <w:rFonts w:ascii="Palatino Linotype" w:eastAsia="Palatino Linotype" w:hAnsi="Palatino Linotype" w:cs="Palatino Linotype"/>
          <w:b/>
          <w:i/>
          <w:color w:val="000000"/>
          <w:sz w:val="22"/>
          <w:szCs w:val="22"/>
        </w:rPr>
      </w:pPr>
    </w:p>
    <w:p w:rsidR="00532F46" w:rsidRDefault="0096275A">
      <w:pPr>
        <w:pBdr>
          <w:top w:val="nil"/>
          <w:left w:val="nil"/>
          <w:bottom w:val="nil"/>
          <w:right w:val="nil"/>
          <w:between w:val="nil"/>
        </w:pBdr>
        <w:spacing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Quincuagésimo quinto. </w:t>
      </w:r>
      <w:r>
        <w:rPr>
          <w:rFonts w:ascii="Palatino Linotype" w:eastAsia="Palatino Linotype" w:hAnsi="Palatino Linotype" w:cs="Palatino Linotype"/>
          <w:i/>
          <w:color w:val="000000"/>
          <w:sz w:val="22"/>
          <w:szCs w:val="22"/>
        </w:rPr>
        <w:t xml:space="preserve">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 (Énfasis añadido) </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532F46" w:rsidRDefault="0096275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532F46" w:rsidRDefault="0096275A">
      <w:pPr>
        <w:numPr>
          <w:ilvl w:val="0"/>
          <w:numId w:val="4"/>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532F46" w:rsidRDefault="0096275A">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parcialmente 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lastRenderedPageBreak/>
        <w:t>05649/INFOEM/IP/RR/2023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rsidR="00532F46" w:rsidRDefault="0096275A">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que previa búsqueda exhaustiva y razonable</w:t>
      </w:r>
      <w:r>
        <w:rPr>
          <w:rFonts w:ascii="Palatino Linotype" w:eastAsia="Palatino Linotype" w:hAnsi="Palatino Linotype" w:cs="Palatino Linotype"/>
        </w:rPr>
        <w:t>, entregue, a</w:t>
      </w:r>
      <w:r>
        <w:rPr>
          <w:rFonts w:ascii="Palatino Linotype" w:eastAsia="Palatino Linotype" w:hAnsi="Palatino Linotype" w:cs="Palatino Linotype"/>
          <w:b/>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en términos de los</w:t>
      </w:r>
      <w:r>
        <w:rPr>
          <w:rFonts w:ascii="Palatino Linotype" w:eastAsia="Palatino Linotype" w:hAnsi="Palatino Linotype" w:cs="Palatino Linotype"/>
          <w:b/>
        </w:rPr>
        <w:t xml:space="preserve"> 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 en versión pública de ser procedente, lo siguiente:</w:t>
      </w:r>
    </w:p>
    <w:p w:rsidR="00532F46" w:rsidRDefault="0096275A">
      <w:pPr>
        <w:numPr>
          <w:ilvl w:val="0"/>
          <w:numId w:val="2"/>
        </w:numPr>
        <w:pBdr>
          <w:top w:val="nil"/>
          <w:left w:val="nil"/>
          <w:bottom w:val="nil"/>
          <w:right w:val="nil"/>
          <w:between w:val="nil"/>
        </w:pBdr>
        <w:spacing w:before="240" w:after="240" w:line="276" w:lineRule="auto"/>
        <w:ind w:left="567" w:right="900" w:hanging="141"/>
        <w:jc w:val="both"/>
        <w:rPr>
          <w:rFonts w:ascii="Palatino Linotype" w:eastAsia="Palatino Linotype" w:hAnsi="Palatino Linotype" w:cs="Palatino Linotype"/>
          <w:b/>
          <w:i/>
          <w:color w:val="000000"/>
          <w:sz w:val="22"/>
          <w:szCs w:val="22"/>
        </w:rPr>
      </w:pPr>
      <w:bookmarkStart w:id="6" w:name="_heading=h.1fob9te" w:colFirst="0" w:colLast="0"/>
      <w:bookmarkEnd w:id="6"/>
      <w:r>
        <w:rPr>
          <w:rFonts w:ascii="Palatino Linotype" w:eastAsia="Palatino Linotype" w:hAnsi="Palatino Linotype" w:cs="Palatino Linotype"/>
          <w:b/>
          <w:i/>
          <w:color w:val="000000"/>
          <w:sz w:val="22"/>
          <w:szCs w:val="22"/>
        </w:rPr>
        <w:t>Las constancias de mayoría  de los tres últimos presidentes municipales del Ayuntamiento de Zinacantepec.</w:t>
      </w:r>
    </w:p>
    <w:p w:rsidR="00532F46" w:rsidRDefault="0096275A">
      <w:pPr>
        <w:spacing w:before="240" w:after="240" w:line="276" w:lineRule="auto"/>
        <w:ind w:left="567" w:right="900"/>
        <w:jc w:val="both"/>
        <w:rPr>
          <w:rFonts w:ascii="Palatino Linotype" w:eastAsia="Palatino Linotype" w:hAnsi="Palatino Linotype" w:cs="Palatino Linotype"/>
          <w:i/>
          <w:sz w:val="22"/>
          <w:szCs w:val="22"/>
        </w:rPr>
      </w:pPr>
      <w:bookmarkStart w:id="7" w:name="_heading=h.3dy6vkm" w:colFirst="0" w:colLast="0"/>
      <w:bookmarkEnd w:id="7"/>
      <w:r>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sz w:val="22"/>
          <w:szCs w:val="22"/>
        </w:rPr>
        <w:t>la parte Recurrente</w:t>
      </w:r>
      <w:r>
        <w:rPr>
          <w:rFonts w:ascii="Palatino Linotype" w:eastAsia="Palatino Linotype" w:hAnsi="Palatino Linotype" w:cs="Palatino Linotype"/>
          <w:i/>
          <w:sz w:val="22"/>
          <w:szCs w:val="22"/>
        </w:rPr>
        <w:t>.</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532F46" w:rsidRDefault="0096275A">
      <w:p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color w:val="000000"/>
        </w:rPr>
        <w:t xml:space="preserve">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32F46" w:rsidRDefault="0096275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MEXICO Y MUNICIPIOS, CONFORMADO POR LOS COMISIONADOS JOSÉ MARTÍNEZ VILCHIS; MARÍA DEL ROSARIO MEJÍA AYALA, SHARON CRISTINA MORALES MARTÍNEZ, LUIS GUSTAVO PARRA NORIEGA Y GUADALUPE RAMÍREZ PEÑA; EN LA TRIGÉSIMA OCTAVA SESIÓN ORDINARIA CELEBRADA EL VEINTICINCO DE OCTUBRE DE DOS MIL VEINTITRÉS, ANTE EL SECRETARIO TÉCNICO DEL PLENO ALEXIS TAPIA RAMÍREZ.</w:t>
      </w: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p w:rsidR="00532F46" w:rsidRDefault="00532F46">
      <w:pPr>
        <w:spacing w:before="240" w:after="240" w:line="360" w:lineRule="auto"/>
        <w:jc w:val="both"/>
        <w:rPr>
          <w:rFonts w:ascii="Palatino Linotype" w:eastAsia="Palatino Linotype" w:hAnsi="Palatino Linotype" w:cs="Palatino Linotype"/>
        </w:rPr>
      </w:pPr>
    </w:p>
    <w:sectPr w:rsidR="00532F46">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B26" w:rsidRDefault="00D20B26">
      <w:r>
        <w:separator/>
      </w:r>
    </w:p>
  </w:endnote>
  <w:endnote w:type="continuationSeparator" w:id="0">
    <w:p w:rsidR="00D20B26" w:rsidRDefault="00D2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6" w:rsidRDefault="009627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0B0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0B0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532F46" w:rsidRDefault="00532F4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6" w:rsidRDefault="009627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0B0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0B0E">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532F46" w:rsidRDefault="00532F4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B26" w:rsidRDefault="00D20B26">
      <w:r>
        <w:separator/>
      </w:r>
    </w:p>
  </w:footnote>
  <w:footnote w:type="continuationSeparator" w:id="0">
    <w:p w:rsidR="00D20B26" w:rsidRDefault="00D20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6" w:rsidRDefault="0096275A">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-1127122</wp:posOffset>
          </wp:positionH>
          <wp:positionV relativeFrom="paragraph">
            <wp:posOffset>-344802</wp:posOffset>
          </wp:positionV>
          <wp:extent cx="7809865" cy="10165715"/>
          <wp:effectExtent l="0" t="0" r="0" b="0"/>
          <wp:wrapNone/>
          <wp:docPr id="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6945" w:type="dxa"/>
      <w:tblInd w:w="3261" w:type="dxa"/>
      <w:tblLayout w:type="fixed"/>
      <w:tblLook w:val="0400" w:firstRow="0" w:lastRow="0" w:firstColumn="0" w:lastColumn="0" w:noHBand="0" w:noVBand="1"/>
    </w:tblPr>
    <w:tblGrid>
      <w:gridCol w:w="2489"/>
      <w:gridCol w:w="4456"/>
    </w:tblGrid>
    <w:tr w:rsidR="00532F46">
      <w:tc>
        <w:tcPr>
          <w:tcW w:w="2489" w:type="dxa"/>
          <w:shd w:val="clear" w:color="auto" w:fill="auto"/>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456" w:type="dxa"/>
          <w:shd w:val="clear" w:color="auto" w:fill="auto"/>
          <w:vAlign w:val="center"/>
        </w:tcPr>
        <w:p w:rsidR="00532F46" w:rsidRDefault="0096275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05649/INFOEM/IP/RR/2023</w:t>
          </w:r>
        </w:p>
      </w:tc>
    </w:tr>
    <w:tr w:rsidR="00532F46">
      <w:trPr>
        <w:trHeight w:val="228"/>
      </w:trPr>
      <w:tc>
        <w:tcPr>
          <w:tcW w:w="2489" w:type="dxa"/>
          <w:shd w:val="clear" w:color="auto" w:fill="auto"/>
          <w:vAlign w:val="center"/>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456" w:type="dxa"/>
          <w:shd w:val="clear" w:color="auto" w:fill="auto"/>
          <w:vAlign w:val="center"/>
        </w:tcPr>
        <w:p w:rsidR="00532F46" w:rsidRDefault="0096275A">
          <w:pPr>
            <w:tabs>
              <w:tab w:val="left" w:pos="2215"/>
            </w:tabs>
            <w:ind w:left="-45" w:right="73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32F46">
      <w:tc>
        <w:tcPr>
          <w:tcW w:w="2489" w:type="dxa"/>
          <w:shd w:val="clear" w:color="auto" w:fill="auto"/>
          <w:vAlign w:val="center"/>
        </w:tcPr>
        <w:p w:rsidR="00532F46" w:rsidRDefault="009627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456" w:type="dxa"/>
          <w:shd w:val="clear" w:color="auto" w:fill="auto"/>
          <w:vAlign w:val="center"/>
        </w:tcPr>
        <w:p w:rsidR="00532F46" w:rsidRDefault="0096275A">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32F46" w:rsidRDefault="0096275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F46" w:rsidRDefault="0096275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-1035684</wp:posOffset>
          </wp:positionH>
          <wp:positionV relativeFrom="paragraph">
            <wp:posOffset>-383539</wp:posOffset>
          </wp:positionV>
          <wp:extent cx="7809865" cy="10165715"/>
          <wp:effectExtent l="0" t="0" r="0" b="0"/>
          <wp:wrapNone/>
          <wp:docPr id="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6520" w:type="dxa"/>
      <w:tblInd w:w="3261" w:type="dxa"/>
      <w:tblLayout w:type="fixed"/>
      <w:tblLook w:val="0400" w:firstRow="0" w:lastRow="0" w:firstColumn="0" w:lastColumn="0" w:noHBand="0" w:noVBand="1"/>
    </w:tblPr>
    <w:tblGrid>
      <w:gridCol w:w="2551"/>
      <w:gridCol w:w="3969"/>
    </w:tblGrid>
    <w:tr w:rsidR="00532F46">
      <w:tc>
        <w:tcPr>
          <w:tcW w:w="2551" w:type="dxa"/>
          <w:shd w:val="clear" w:color="auto" w:fill="auto"/>
          <w:vAlign w:val="center"/>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9" w:type="dxa"/>
          <w:shd w:val="clear" w:color="auto" w:fill="auto"/>
          <w:vAlign w:val="center"/>
        </w:tcPr>
        <w:p w:rsidR="00532F46" w:rsidRDefault="0096275A">
          <w:pPr>
            <w:tabs>
              <w:tab w:val="left" w:pos="3153"/>
            </w:tabs>
            <w:ind w:lef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05649/INFOEM/IP/RR/2023</w:t>
          </w:r>
        </w:p>
      </w:tc>
    </w:tr>
    <w:tr w:rsidR="00532F46">
      <w:trPr>
        <w:trHeight w:val="130"/>
      </w:trPr>
      <w:tc>
        <w:tcPr>
          <w:tcW w:w="2551" w:type="dxa"/>
          <w:shd w:val="clear" w:color="auto" w:fill="auto"/>
          <w:vAlign w:val="center"/>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69" w:type="dxa"/>
          <w:shd w:val="clear" w:color="auto" w:fill="auto"/>
          <w:vAlign w:val="center"/>
        </w:tcPr>
        <w:p w:rsidR="00532F46" w:rsidRDefault="00532F46">
          <w:pPr>
            <w:ind w:left="-115" w:right="176"/>
            <w:jc w:val="both"/>
            <w:rPr>
              <w:rFonts w:ascii="Palatino Linotype" w:eastAsia="Palatino Linotype" w:hAnsi="Palatino Linotype" w:cs="Palatino Linotype"/>
              <w:b/>
              <w:sz w:val="22"/>
              <w:szCs w:val="22"/>
            </w:rPr>
          </w:pPr>
        </w:p>
      </w:tc>
    </w:tr>
    <w:tr w:rsidR="00532F46">
      <w:trPr>
        <w:trHeight w:val="228"/>
      </w:trPr>
      <w:tc>
        <w:tcPr>
          <w:tcW w:w="2551" w:type="dxa"/>
          <w:shd w:val="clear" w:color="auto" w:fill="auto"/>
          <w:vAlign w:val="center"/>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9" w:type="dxa"/>
          <w:shd w:val="clear" w:color="auto" w:fill="auto"/>
          <w:vAlign w:val="center"/>
        </w:tcPr>
        <w:p w:rsidR="00532F46" w:rsidRDefault="0096275A">
          <w:pPr>
            <w:ind w:left="-11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532F46">
      <w:tc>
        <w:tcPr>
          <w:tcW w:w="2551" w:type="dxa"/>
          <w:shd w:val="clear" w:color="auto" w:fill="auto"/>
          <w:vAlign w:val="center"/>
        </w:tcPr>
        <w:p w:rsidR="00532F46" w:rsidRDefault="009627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9" w:type="dxa"/>
          <w:shd w:val="clear" w:color="auto" w:fill="auto"/>
          <w:vAlign w:val="center"/>
        </w:tcPr>
        <w:p w:rsidR="00532F46" w:rsidRDefault="0096275A">
          <w:pPr>
            <w:ind w:left="-11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532F46" w:rsidRDefault="00532F4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F5347"/>
    <w:multiLevelType w:val="multilevel"/>
    <w:tmpl w:val="3B0A684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8F55AE6"/>
    <w:multiLevelType w:val="multilevel"/>
    <w:tmpl w:val="F76A5CC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75C6F22"/>
    <w:multiLevelType w:val="multilevel"/>
    <w:tmpl w:val="543016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7EC17BE4"/>
    <w:multiLevelType w:val="multilevel"/>
    <w:tmpl w:val="4334A45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F46"/>
    <w:rsid w:val="00092669"/>
    <w:rsid w:val="00532F46"/>
    <w:rsid w:val="00670B0E"/>
    <w:rsid w:val="0096275A"/>
    <w:rsid w:val="00D20B26"/>
    <w:rsid w:val="00E056DD"/>
    <w:rsid w:val="00F27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D0DAC9-D178-40B8-8AF4-55A0B61A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9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top w:w="0" w:type="dxa"/>
        <w:left w:w="115" w:type="dxa"/>
        <w:bottom w:w="0" w:type="dxa"/>
        <w:right w:w="115" w:type="dxa"/>
      </w:tblCellMar>
    </w:tblPr>
  </w:style>
  <w:style w:type="table" w:customStyle="1" w:styleId="6">
    <w:name w:val="6"/>
    <w:basedOn w:val="TableNormal10"/>
    <w:tblPr>
      <w:tblStyleRowBandSize w:val="1"/>
      <w:tblStyleColBandSize w:val="1"/>
      <w:tblCellMar>
        <w:top w:w="0" w:type="dxa"/>
        <w:left w:w="115" w:type="dxa"/>
        <w:bottom w:w="0" w:type="dxa"/>
        <w:right w:w="115" w:type="dxa"/>
      </w:tblCellMar>
    </w:tblPr>
  </w:style>
  <w:style w:type="table" w:customStyle="1" w:styleId="5">
    <w:name w:val="5"/>
    <w:basedOn w:val="TableNormal10"/>
    <w:tblPr>
      <w:tblStyleRowBandSize w:val="1"/>
      <w:tblStyleColBandSize w:val="1"/>
      <w:tblCellMar>
        <w:top w:w="0" w:type="dxa"/>
        <w:left w:w="108" w:type="dxa"/>
        <w:bottom w:w="0" w:type="dxa"/>
        <w:right w:w="108" w:type="dxa"/>
      </w:tblCellMar>
    </w:tbl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311D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44086B"/>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1"/>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9/aGWJy7hl8zepZRbg+l29Opw==">CgMxLjAyCGguZ2pkZ3hzMgloLjMwajB6bGwyCWguMnM4ZXlvMTIIaC50eWpjd3QyCWguM3pueXNoNzIJaC4xZm9iOXRlMgloLjNkeTZ2a204AHIhMVExMkxlNDdTZXdaYmwzTzhSdl9tRnE5WWNRampTZHJi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7761</Words>
  <Characters>42686</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2023-10-27T19:33:00Z</cp:lastPrinted>
  <dcterms:created xsi:type="dcterms:W3CDTF">2023-11-08T17:32:00Z</dcterms:created>
  <dcterms:modified xsi:type="dcterms:W3CDTF">2023-11-08T17:32:00Z</dcterms:modified>
</cp:coreProperties>
</file>