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3238F"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agosto de dos mil veintitrés. </w:t>
      </w:r>
    </w:p>
    <w:p w14:paraId="533807FF" w14:textId="56716BD4"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VISTO</w:t>
      </w:r>
      <w:r w:rsidRPr="006C1053">
        <w:rPr>
          <w:rFonts w:ascii="Palatino Linotype" w:eastAsia="Palatino Linotype" w:hAnsi="Palatino Linotype" w:cs="Palatino Linotype"/>
        </w:rPr>
        <w:t xml:space="preserve"> el expediente formado con motivo del recurso de revisión </w:t>
      </w:r>
      <w:r w:rsidRPr="006C1053">
        <w:rPr>
          <w:rFonts w:ascii="Palatino Linotype" w:eastAsia="Palatino Linotype" w:hAnsi="Palatino Linotype" w:cs="Palatino Linotype"/>
          <w:b/>
        </w:rPr>
        <w:t>01144/INFOEM/IP/RR/2023</w:t>
      </w:r>
      <w:r w:rsidRPr="006C1053">
        <w:rPr>
          <w:rFonts w:ascii="Palatino Linotype" w:eastAsia="Palatino Linotype" w:hAnsi="Palatino Linotype" w:cs="Palatino Linotype"/>
        </w:rPr>
        <w:t xml:space="preserve">, interpuesto por </w:t>
      </w:r>
      <w:r w:rsidR="001361C4">
        <w:rPr>
          <w:rFonts w:ascii="Palatino Linotype" w:eastAsia="Palatino Linotype" w:hAnsi="Palatino Linotype" w:cs="Palatino Linotype"/>
          <w:b/>
        </w:rPr>
        <w:t>XXXXXX XXX XXXXXXXXXXX</w:t>
      </w:r>
      <w:r w:rsidRPr="006C1053">
        <w:rPr>
          <w:rFonts w:ascii="Palatino Linotype" w:eastAsia="Palatino Linotype" w:hAnsi="Palatino Linotype" w:cs="Palatino Linotype"/>
        </w:rPr>
        <w:t>, en lo sucesivo</w:t>
      </w:r>
      <w:r w:rsidRPr="006C1053">
        <w:rPr>
          <w:rFonts w:ascii="Palatino Linotype" w:eastAsia="Palatino Linotype" w:hAnsi="Palatino Linotype" w:cs="Palatino Linotype"/>
          <w:b/>
        </w:rPr>
        <w:t xml:space="preserve"> </w:t>
      </w:r>
      <w:r w:rsidRPr="006C1053">
        <w:rPr>
          <w:rFonts w:ascii="Palatino Linotype" w:eastAsia="Palatino Linotype" w:hAnsi="Palatino Linotype" w:cs="Palatino Linotype"/>
        </w:rPr>
        <w:t xml:space="preserve">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xml:space="preserve"> en contra de la respuesta a su solicitud por parte del </w:t>
      </w:r>
      <w:r w:rsidRPr="006C1053">
        <w:rPr>
          <w:rFonts w:ascii="Palatino Linotype" w:eastAsia="Palatino Linotype" w:hAnsi="Palatino Linotype" w:cs="Palatino Linotype"/>
          <w:b/>
        </w:rPr>
        <w:t xml:space="preserve">Ayuntamiento de Melchor Ocampo, </w:t>
      </w:r>
      <w:r w:rsidRPr="006C1053">
        <w:rPr>
          <w:rFonts w:ascii="Palatino Linotype" w:eastAsia="Palatino Linotype" w:hAnsi="Palatino Linotype" w:cs="Palatino Linotype"/>
        </w:rPr>
        <w:t xml:space="preserve">en lo sucesivo el </w:t>
      </w:r>
      <w:r w:rsidRPr="006C1053">
        <w:rPr>
          <w:rFonts w:ascii="Palatino Linotype" w:eastAsia="Palatino Linotype" w:hAnsi="Palatino Linotype" w:cs="Palatino Linotype"/>
          <w:b/>
        </w:rPr>
        <w:t xml:space="preserve">SUJETO OBLIGADO, </w:t>
      </w:r>
      <w:r w:rsidRPr="006C1053">
        <w:rPr>
          <w:rFonts w:ascii="Palatino Linotype" w:eastAsia="Palatino Linotype" w:hAnsi="Palatino Linotype" w:cs="Palatino Linotype"/>
        </w:rPr>
        <w:t xml:space="preserve">se procede a dictar la presente resolución con base en los siguientes: </w:t>
      </w:r>
    </w:p>
    <w:p w14:paraId="27979123" w14:textId="77777777" w:rsidR="00D00806" w:rsidRPr="006C1053" w:rsidRDefault="003725E6">
      <w:pPr>
        <w:spacing w:before="240" w:after="240" w:line="360" w:lineRule="auto"/>
        <w:jc w:val="center"/>
        <w:rPr>
          <w:rFonts w:ascii="Palatino Linotype" w:eastAsia="Palatino Linotype" w:hAnsi="Palatino Linotype" w:cs="Palatino Linotype"/>
          <w:b/>
        </w:rPr>
      </w:pPr>
      <w:r w:rsidRPr="006C1053">
        <w:rPr>
          <w:rFonts w:ascii="Palatino Linotype" w:eastAsia="Palatino Linotype" w:hAnsi="Palatino Linotype" w:cs="Palatino Linotype"/>
          <w:b/>
        </w:rPr>
        <w:t>I. A N T E C E D E N T E S</w:t>
      </w:r>
    </w:p>
    <w:p w14:paraId="7CA7BAD6"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1. Solicitud de acceso a la información.</w:t>
      </w:r>
      <w:r w:rsidRPr="006C1053">
        <w:rPr>
          <w:rFonts w:ascii="Palatino Linotype" w:eastAsia="Palatino Linotype" w:hAnsi="Palatino Linotype" w:cs="Palatino Linotype"/>
        </w:rPr>
        <w:t xml:space="preserve"> Con fecha </w:t>
      </w:r>
      <w:r w:rsidRPr="006C1053">
        <w:rPr>
          <w:rFonts w:ascii="Palatino Linotype" w:eastAsia="Palatino Linotype" w:hAnsi="Palatino Linotype" w:cs="Palatino Linotype"/>
          <w:b/>
        </w:rPr>
        <w:t>veintiséis de enero de dos mil veintitrés,</w:t>
      </w:r>
      <w:r w:rsidRPr="006C1053">
        <w:rPr>
          <w:rFonts w:ascii="Palatino Linotype" w:eastAsia="Palatino Linotype" w:hAnsi="Palatino Linotype" w:cs="Palatino Linotype"/>
        </w:rPr>
        <w:t xml:space="preserve"> la parte </w:t>
      </w:r>
      <w:r w:rsidRPr="006C1053">
        <w:rPr>
          <w:rFonts w:ascii="Palatino Linotype" w:eastAsia="Palatino Linotype" w:hAnsi="Palatino Linotype" w:cs="Palatino Linotype"/>
          <w:b/>
        </w:rPr>
        <w:t xml:space="preserve">RECURRENTE </w:t>
      </w:r>
      <w:r w:rsidRPr="006C1053">
        <w:rPr>
          <w:rFonts w:ascii="Palatino Linotype" w:eastAsia="Palatino Linotype" w:hAnsi="Palatino Linotype" w:cs="Palatino Linotype"/>
        </w:rPr>
        <w:t xml:space="preserve">presentó, través del Sistema de Acceso a la Información Mexiquense, en lo subsecuente el </w:t>
      </w:r>
      <w:r w:rsidRPr="006C1053">
        <w:rPr>
          <w:rFonts w:ascii="Palatino Linotype" w:eastAsia="Palatino Linotype" w:hAnsi="Palatino Linotype" w:cs="Palatino Linotype"/>
          <w:b/>
        </w:rPr>
        <w:t>SAIMEX,</w:t>
      </w:r>
      <w:r w:rsidRPr="006C1053">
        <w:rPr>
          <w:rFonts w:ascii="Palatino Linotype" w:eastAsia="Palatino Linotype" w:hAnsi="Palatino Linotype" w:cs="Palatino Linotype"/>
        </w:rPr>
        <w:t xml:space="preserve"> ante 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la solicitud de acceso a la información pública, a la que se le asignó el número</w:t>
      </w:r>
      <w:r w:rsidRPr="006C1053">
        <w:rPr>
          <w:rFonts w:ascii="Palatino Linotype" w:eastAsia="Palatino Linotype" w:hAnsi="Palatino Linotype" w:cs="Palatino Linotype"/>
          <w:b/>
        </w:rPr>
        <w:t xml:space="preserve"> 00016/MELOCAM/IP/2023, </w:t>
      </w:r>
      <w:r w:rsidRPr="006C1053">
        <w:rPr>
          <w:rFonts w:ascii="Palatino Linotype" w:eastAsia="Palatino Linotype" w:hAnsi="Palatino Linotype" w:cs="Palatino Linotype"/>
        </w:rPr>
        <w:t xml:space="preserve">mediante la cual requirió la información siguiente: </w:t>
      </w:r>
    </w:p>
    <w:p w14:paraId="49B79CC0" w14:textId="77777777" w:rsidR="00D00806" w:rsidRPr="006C1053" w:rsidRDefault="003725E6">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6C1053">
        <w:rPr>
          <w:rFonts w:ascii="Palatino Linotype" w:eastAsia="Palatino Linotype" w:hAnsi="Palatino Linotype" w:cs="Palatino Linotype"/>
          <w:i/>
          <w:sz w:val="22"/>
          <w:szCs w:val="22"/>
        </w:rPr>
        <w:t xml:space="preserve">“De los siguientes regidores Israel Ávila Navarrete </w:t>
      </w:r>
      <w:proofErr w:type="spellStart"/>
      <w:r w:rsidRPr="006C1053">
        <w:rPr>
          <w:rFonts w:ascii="Palatino Linotype" w:eastAsia="Palatino Linotype" w:hAnsi="Palatino Linotype" w:cs="Palatino Linotype"/>
          <w:i/>
          <w:sz w:val="22"/>
          <w:szCs w:val="22"/>
        </w:rPr>
        <w:t>Fany</w:t>
      </w:r>
      <w:proofErr w:type="spellEnd"/>
      <w:r w:rsidRPr="006C1053">
        <w:rPr>
          <w:rFonts w:ascii="Palatino Linotype" w:eastAsia="Palatino Linotype" w:hAnsi="Palatino Linotype" w:cs="Palatino Linotype"/>
          <w:i/>
          <w:sz w:val="22"/>
          <w:szCs w:val="22"/>
        </w:rPr>
        <w:t xml:space="preserve"> Trujillo Espinoza Brisa Escalona acciones realizadas en beneficio del municipio con evidencia documental” (Sic)</w:t>
      </w:r>
    </w:p>
    <w:p w14:paraId="24055914" w14:textId="77777777" w:rsidR="00D00806" w:rsidRPr="006C1053" w:rsidRDefault="00D00806">
      <w:pPr>
        <w:ind w:left="851" w:right="902"/>
        <w:jc w:val="both"/>
        <w:rPr>
          <w:rFonts w:ascii="Palatino Linotype" w:eastAsia="Palatino Linotype" w:hAnsi="Palatino Linotype" w:cs="Palatino Linotype"/>
          <w:i/>
          <w:sz w:val="22"/>
          <w:szCs w:val="22"/>
        </w:rPr>
      </w:pPr>
    </w:p>
    <w:p w14:paraId="7C371A3F"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Modalidad de Entrega:</w:t>
      </w:r>
      <w:r w:rsidRPr="006C1053">
        <w:rPr>
          <w:rFonts w:ascii="Palatino Linotype" w:eastAsia="Palatino Linotype" w:hAnsi="Palatino Linotype" w:cs="Palatino Linotype"/>
        </w:rPr>
        <w:t xml:space="preserve"> A través de SAIMEX.</w:t>
      </w:r>
    </w:p>
    <w:p w14:paraId="68F6D5C0" w14:textId="77777777" w:rsidR="00D00806" w:rsidRPr="006C1053" w:rsidRDefault="00D00806">
      <w:pPr>
        <w:spacing w:line="360" w:lineRule="auto"/>
        <w:jc w:val="both"/>
        <w:rPr>
          <w:rFonts w:ascii="Palatino Linotype" w:eastAsia="Palatino Linotype" w:hAnsi="Palatino Linotype" w:cs="Palatino Linotype"/>
        </w:rPr>
      </w:pPr>
    </w:p>
    <w:p w14:paraId="6073121F" w14:textId="77777777" w:rsidR="00D00806" w:rsidRPr="006C1053" w:rsidRDefault="003725E6">
      <w:pPr>
        <w:spacing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b/>
        </w:rPr>
        <w:lastRenderedPageBreak/>
        <w:t xml:space="preserve">2. Prórroga. </w:t>
      </w:r>
      <w:r w:rsidRPr="006C1053">
        <w:rPr>
          <w:rFonts w:ascii="Palatino Linotype" w:eastAsia="Palatino Linotype" w:hAnsi="Palatino Linotype" w:cs="Palatino Linotype"/>
        </w:rPr>
        <w:t xml:space="preserve">En fecha </w:t>
      </w:r>
      <w:r w:rsidRPr="006C1053">
        <w:rPr>
          <w:rFonts w:ascii="Palatino Linotype" w:eastAsia="Palatino Linotype" w:hAnsi="Palatino Linotype" w:cs="Palatino Linotype"/>
          <w:b/>
        </w:rPr>
        <w:t>diecisiete de febrero de dos mil veintitrés</w:t>
      </w:r>
      <w:r w:rsidRPr="006C1053">
        <w:rPr>
          <w:rFonts w:ascii="Palatino Linotype" w:eastAsia="Palatino Linotype" w:hAnsi="Palatino Linotype" w:cs="Palatino Linotype"/>
        </w:rPr>
        <w:t xml:space="preserve">, 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notificó al particular la prórroga para atender sus solicitudes de información, medularmente en los siguientes términos: </w:t>
      </w:r>
    </w:p>
    <w:p w14:paraId="398B1444" w14:textId="77777777" w:rsidR="00D00806" w:rsidRPr="006C1053" w:rsidRDefault="003725E6">
      <w:pPr>
        <w:spacing w:before="240"/>
        <w:ind w:left="567" w:right="851"/>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9548D9" w14:textId="77777777" w:rsidR="00D00806" w:rsidRPr="006C1053" w:rsidRDefault="003725E6">
      <w:pPr>
        <w:ind w:left="567" w:right="851"/>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Prorroga Aprobada</w:t>
      </w:r>
    </w:p>
    <w:p w14:paraId="25188600" w14:textId="77777777" w:rsidR="00D00806" w:rsidRPr="006C1053" w:rsidRDefault="003725E6">
      <w:pPr>
        <w:ind w:left="567" w:right="851"/>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LIC. CRISTIAN PACHECO PINEDA</w:t>
      </w:r>
    </w:p>
    <w:p w14:paraId="38D96752" w14:textId="77777777" w:rsidR="00D00806" w:rsidRPr="006C1053" w:rsidRDefault="003725E6">
      <w:pPr>
        <w:ind w:left="567" w:right="851"/>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Responsable de la Unidad de Transparencia”</w:t>
      </w:r>
    </w:p>
    <w:p w14:paraId="075D8CE9" w14:textId="77777777" w:rsidR="00D00806" w:rsidRPr="006C1053" w:rsidRDefault="00D00806">
      <w:pPr>
        <w:spacing w:line="360" w:lineRule="auto"/>
        <w:ind w:right="851"/>
        <w:jc w:val="both"/>
        <w:rPr>
          <w:rFonts w:ascii="Palatino Linotype" w:eastAsia="Palatino Linotype" w:hAnsi="Palatino Linotype" w:cs="Palatino Linotype"/>
          <w:b/>
          <w:sz w:val="22"/>
          <w:szCs w:val="22"/>
        </w:rPr>
      </w:pPr>
    </w:p>
    <w:p w14:paraId="2AF36B23" w14:textId="77777777" w:rsidR="00D00806" w:rsidRPr="006C1053" w:rsidRDefault="003725E6">
      <w:pPr>
        <w:spacing w:after="240" w:line="360" w:lineRule="auto"/>
        <w:jc w:val="both"/>
        <w:rPr>
          <w:rFonts w:ascii="Palatino Linotype" w:eastAsia="Palatino Linotype" w:hAnsi="Palatino Linotype" w:cs="Palatino Linotype"/>
          <w:b/>
        </w:rPr>
      </w:pPr>
      <w:r w:rsidRPr="006C1053">
        <w:rPr>
          <w:rFonts w:ascii="Palatino Linotype" w:eastAsia="Palatino Linotype" w:hAnsi="Palatino Linotype" w:cs="Palatino Linotype"/>
          <w:b/>
        </w:rPr>
        <w:t xml:space="preserve">3. Respuesta. </w:t>
      </w:r>
      <w:r w:rsidRPr="006C1053">
        <w:rPr>
          <w:rFonts w:ascii="Palatino Linotype" w:eastAsia="Palatino Linotype" w:hAnsi="Palatino Linotype" w:cs="Palatino Linotype"/>
        </w:rPr>
        <w:t xml:space="preserve">Con fecha </w:t>
      </w:r>
      <w:r w:rsidRPr="006C1053">
        <w:rPr>
          <w:rFonts w:ascii="Palatino Linotype" w:eastAsia="Palatino Linotype" w:hAnsi="Palatino Linotype" w:cs="Palatino Linotype"/>
          <w:b/>
        </w:rPr>
        <w:t>veinticuatro de febrero de dos mil veintitrés</w:t>
      </w:r>
      <w:r w:rsidRPr="006C1053">
        <w:rPr>
          <w:rFonts w:ascii="Palatino Linotype" w:eastAsia="Palatino Linotype" w:hAnsi="Palatino Linotype" w:cs="Palatino Linotype"/>
        </w:rPr>
        <w:t xml:space="preserve">, el </w:t>
      </w:r>
      <w:r w:rsidRPr="006C1053">
        <w:rPr>
          <w:rFonts w:ascii="Palatino Linotype" w:eastAsia="Palatino Linotype" w:hAnsi="Palatino Linotype" w:cs="Palatino Linotype"/>
          <w:b/>
        </w:rPr>
        <w:t xml:space="preserve">SUJETO OBLIGADO </w:t>
      </w:r>
      <w:r w:rsidRPr="006C105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761E2CC" w14:textId="1D4E5EC6" w:rsidR="00D00806" w:rsidRPr="006C1053" w:rsidRDefault="003725E6">
      <w:pPr>
        <w:spacing w:before="240" w:after="240"/>
        <w:ind w:left="851"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w:t>
      </w:r>
      <w:r w:rsidRPr="006C1053">
        <w:rPr>
          <w:rFonts w:ascii="Palatino Linotype" w:eastAsia="Palatino Linotype" w:hAnsi="Palatino Linotype" w:cs="Palatino Linotype"/>
          <w:b/>
          <w:i/>
          <w:sz w:val="22"/>
          <w:szCs w:val="22"/>
        </w:rPr>
        <w:t xml:space="preserve">Primera Regiduría, (2) Tercera Regiduría, y (3) Cuarta Regiduría; por lo que en </w:t>
      </w:r>
      <w:r w:rsidR="001361C4">
        <w:rPr>
          <w:rFonts w:ascii="Palatino Linotype" w:eastAsia="Palatino Linotype" w:hAnsi="Palatino Linotype" w:cs="Palatino Linotype"/>
          <w:b/>
          <w:i/>
          <w:sz w:val="22"/>
          <w:szCs w:val="22"/>
        </w:rPr>
        <w:t>ese orden se transcriben: 1.- “XXXXXXXXXXX</w:t>
      </w:r>
      <w:bookmarkStart w:id="1" w:name="_GoBack"/>
      <w:bookmarkEnd w:id="1"/>
      <w:r w:rsidRPr="006C1053">
        <w:rPr>
          <w:rFonts w:ascii="Palatino Linotype" w:eastAsia="Palatino Linotype" w:hAnsi="Palatino Linotype" w:cs="Palatino Linotype"/>
          <w:b/>
          <w:i/>
          <w:sz w:val="22"/>
          <w:szCs w:val="22"/>
        </w:rPr>
        <w:t>, adjunto la respuesta de acuerdo a la información que poseo como primera regidora.</w:t>
      </w:r>
      <w:r w:rsidRPr="006C1053">
        <w:rPr>
          <w:rFonts w:ascii="Palatino Linotype" w:eastAsia="Palatino Linotype" w:hAnsi="Palatino Linotype" w:cs="Palatino Linotype"/>
          <w:i/>
          <w:sz w:val="22"/>
          <w:szCs w:val="22"/>
        </w:rPr>
        <w:t xml:space="preserve">” (Sic); 2.-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número 00016/MEOCAM/IP/2023, a través de la cual requiere lo siguiente: DESCRIPCIÓN DE LA INFORMACIÓN SOLICITADA: De los </w:t>
      </w:r>
      <w:r w:rsidRPr="006C1053">
        <w:rPr>
          <w:rFonts w:ascii="Palatino Linotype" w:eastAsia="Palatino Linotype" w:hAnsi="Palatino Linotype" w:cs="Palatino Linotype"/>
          <w:i/>
          <w:sz w:val="22"/>
          <w:szCs w:val="22"/>
        </w:rPr>
        <w:lastRenderedPageBreak/>
        <w:t xml:space="preserve">siguientes regidores Israel Ávila Navarrete </w:t>
      </w:r>
      <w:proofErr w:type="spellStart"/>
      <w:r w:rsidRPr="006C1053">
        <w:rPr>
          <w:rFonts w:ascii="Palatino Linotype" w:eastAsia="Palatino Linotype" w:hAnsi="Palatino Linotype" w:cs="Palatino Linotype"/>
          <w:i/>
          <w:sz w:val="22"/>
          <w:szCs w:val="22"/>
        </w:rPr>
        <w:t>Fany</w:t>
      </w:r>
      <w:proofErr w:type="spellEnd"/>
      <w:r w:rsidRPr="006C1053">
        <w:rPr>
          <w:rFonts w:ascii="Palatino Linotype" w:eastAsia="Palatino Linotype" w:hAnsi="Palatino Linotype" w:cs="Palatino Linotype"/>
          <w:i/>
          <w:sz w:val="22"/>
          <w:szCs w:val="22"/>
        </w:rPr>
        <w:t xml:space="preserve"> Trujillo Espinoza Brisa Escalona acciones realizadas en beneficio del municipio con evidencia documental La que suscribe </w:t>
      </w:r>
      <w:r w:rsidRPr="006C1053">
        <w:rPr>
          <w:rFonts w:ascii="Palatino Linotype" w:eastAsia="Palatino Linotype" w:hAnsi="Palatino Linotype" w:cs="Palatino Linotype"/>
          <w:b/>
          <w:i/>
          <w:sz w:val="22"/>
          <w:szCs w:val="22"/>
        </w:rPr>
        <w:t>DRA. BRISA ESCALONA PÉREZ, Tercera Regidora del H. Ayuntamiento de Melchor Ocampo, Estado de México, se dirige a Usted a efecto de atender la solicitud de información de referencia, al respecto, le informo las siguientes actividades que se registraron de forma mensual y documental. (Anexo reporte y Evidencias Fotográficas)</w:t>
      </w:r>
      <w:r w:rsidRPr="006C1053">
        <w:rPr>
          <w:rFonts w:ascii="Palatino Linotype" w:eastAsia="Palatino Linotype" w:hAnsi="Palatino Linotype" w:cs="Palatino Linotype"/>
          <w:i/>
          <w:sz w:val="22"/>
          <w:szCs w:val="22"/>
        </w:rPr>
        <w:t xml:space="preserve"> Esperando contar con su valioso respaldo para dar a conocer las diversas Gestiones y Beneficios que hemos logrado con la única intención de apoyar a los Ciudadanos </w:t>
      </w:r>
      <w:proofErr w:type="spellStart"/>
      <w:r w:rsidRPr="006C1053">
        <w:rPr>
          <w:rFonts w:ascii="Palatino Linotype" w:eastAsia="Palatino Linotype" w:hAnsi="Palatino Linotype" w:cs="Palatino Linotype"/>
          <w:i/>
          <w:sz w:val="22"/>
          <w:szCs w:val="22"/>
        </w:rPr>
        <w:t>Melchorocampense</w:t>
      </w:r>
      <w:proofErr w:type="spellEnd"/>
      <w:r w:rsidRPr="006C1053">
        <w:rPr>
          <w:rFonts w:ascii="Palatino Linotype" w:eastAsia="Palatino Linotype" w:hAnsi="Palatino Linotype" w:cs="Palatino Linotype"/>
          <w:i/>
          <w:sz w:val="22"/>
          <w:szCs w:val="22"/>
        </w:rPr>
        <w:t xml:space="preserve">. Sin otro particular, agradeciendo su puntual asistencia, quedo de usted para cualquier aclaración” (Sic); 3.-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Pública con el número de folio 00016/MELOCAM/IP/2023/TSP/0001 turnada a través del sistema SAIMEX en la cual se requiere lo siguiente: DESCRIPCIÓN DE LA INFORMACIÓN SOLICITADA: “De los siguientes regidores Israel Ávila Navarrete </w:t>
      </w:r>
      <w:proofErr w:type="spellStart"/>
      <w:r w:rsidRPr="006C1053">
        <w:rPr>
          <w:rFonts w:ascii="Palatino Linotype" w:eastAsia="Palatino Linotype" w:hAnsi="Palatino Linotype" w:cs="Palatino Linotype"/>
          <w:i/>
          <w:sz w:val="22"/>
          <w:szCs w:val="22"/>
        </w:rPr>
        <w:t>Fany</w:t>
      </w:r>
      <w:proofErr w:type="spellEnd"/>
      <w:r w:rsidRPr="006C1053">
        <w:rPr>
          <w:rFonts w:ascii="Palatino Linotype" w:eastAsia="Palatino Linotype" w:hAnsi="Palatino Linotype" w:cs="Palatino Linotype"/>
          <w:i/>
          <w:sz w:val="22"/>
          <w:szCs w:val="22"/>
        </w:rPr>
        <w:t xml:space="preserve"> Trujillo Espinoza Brisa Escalona acciones realizadas en beneficio del municipio con evidencia documental” (Sic). </w:t>
      </w:r>
      <w:r w:rsidRPr="006C1053">
        <w:rPr>
          <w:rFonts w:ascii="Palatino Linotype" w:eastAsia="Palatino Linotype" w:hAnsi="Palatino Linotype" w:cs="Palatino Linotype"/>
          <w:b/>
          <w:i/>
          <w:sz w:val="22"/>
          <w:szCs w:val="22"/>
        </w:rPr>
        <w:t>El que suscribe C. ISRAEL ÁVILA NAVARRETE, Cuarto Regidor del H. Ayuntamiento de Melchor Ocampo, Estado de México, se dirige a usted a efecto de atender la solicitud de información de referencia, al respecto, le informo las siguientes actividades se adjunta informe trimestral</w:t>
      </w:r>
      <w:r w:rsidRPr="006C1053">
        <w:rPr>
          <w:rFonts w:ascii="Palatino Linotype" w:eastAsia="Palatino Linotype" w:hAnsi="Palatino Linotype" w:cs="Palatino Linotype"/>
          <w:i/>
          <w:sz w:val="22"/>
          <w:szCs w:val="22"/>
        </w:rPr>
        <w:t xml:space="preserve">. Sin otro particular por el momento, le envió un cordial saludo.” (Sic). Por lo anteriormente expuesto y fundado, solicito a Usted se sirva tener a esta Unidad de Transparencia por cumplimentada, en tiempo y forma, la respuesta a su solicitud de acceso a la información pública, a través del Sistema </w:t>
      </w:r>
      <w:proofErr w:type="spellStart"/>
      <w:r w:rsidRPr="006C1053">
        <w:rPr>
          <w:rFonts w:ascii="Palatino Linotype" w:eastAsia="Palatino Linotype" w:hAnsi="Palatino Linotype" w:cs="Palatino Linotype"/>
          <w:i/>
          <w:sz w:val="22"/>
          <w:szCs w:val="22"/>
        </w:rPr>
        <w:t>Saimex</w:t>
      </w:r>
      <w:proofErr w:type="spellEnd"/>
      <w:r w:rsidRPr="006C1053">
        <w:rPr>
          <w:rFonts w:ascii="Palatino Linotype" w:eastAsia="Palatino Linotype" w:hAnsi="Palatino Linotype" w:cs="Palatino Linotype"/>
          <w:i/>
          <w:sz w:val="22"/>
          <w:szCs w:val="22"/>
        </w:rPr>
        <w:t>; lo anterior, para los efectos legales a que haya lugar....” (Sic)</w:t>
      </w:r>
    </w:p>
    <w:p w14:paraId="61469814"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adjuntó los siguientes archivos:</w:t>
      </w:r>
    </w:p>
    <w:p w14:paraId="6C452DA6"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w:t>
      </w:r>
      <w:hyperlink r:id="rId8">
        <w:r w:rsidRPr="006C1053">
          <w:rPr>
            <w:rFonts w:ascii="Palatino Linotype" w:eastAsia="Palatino Linotype" w:hAnsi="Palatino Linotype" w:cs="Palatino Linotype"/>
          </w:rPr>
          <w:t>0016MEL.pdf</w:t>
        </w:r>
      </w:hyperlink>
      <w:r w:rsidRPr="006C1053">
        <w:rPr>
          <w:rFonts w:ascii="Palatino Linotype" w:eastAsia="Palatino Linotype" w:hAnsi="Palatino Linotype" w:cs="Palatino Linotype"/>
        </w:rPr>
        <w:t>”, el cual contiene un escrito dirigido al solicitante por medio del cual la Primera Regidora del Ayuntamiento de Melchor Ocampo, le informó lo siguiente:</w:t>
      </w:r>
    </w:p>
    <w:p w14:paraId="34F53935" w14:textId="77777777" w:rsidR="00D00806" w:rsidRPr="006C1053" w:rsidRDefault="00D00806">
      <w:pPr>
        <w:spacing w:before="240" w:after="240" w:line="360" w:lineRule="auto"/>
        <w:jc w:val="both"/>
        <w:rPr>
          <w:rFonts w:ascii="Palatino Linotype" w:eastAsia="Palatino Linotype" w:hAnsi="Palatino Linotype" w:cs="Palatino Linotype"/>
        </w:rPr>
      </w:pPr>
    </w:p>
    <w:p w14:paraId="3EA0827E"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lastRenderedPageBreak/>
        <w:drawing>
          <wp:inline distT="0" distB="0" distL="0" distR="0" wp14:anchorId="2B18EB84" wp14:editId="760FEECE">
            <wp:extent cx="5608352" cy="2111749"/>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41995" t="42475" r="24916" b="27474"/>
                    <a:stretch>
                      <a:fillRect/>
                    </a:stretch>
                  </pic:blipFill>
                  <pic:spPr>
                    <a:xfrm>
                      <a:off x="0" y="0"/>
                      <a:ext cx="5608352" cy="2111749"/>
                    </a:xfrm>
                    <a:prstGeom prst="rect">
                      <a:avLst/>
                    </a:prstGeom>
                    <a:ln/>
                  </pic:spPr>
                </pic:pic>
              </a:graphicData>
            </a:graphic>
          </wp:inline>
        </w:drawing>
      </w:r>
    </w:p>
    <w:p w14:paraId="2EBAE641"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5C495C74" wp14:editId="056CC5A8">
            <wp:extent cx="5593818" cy="2726837"/>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41683" t="27901" r="26030" b="23567"/>
                    <a:stretch>
                      <a:fillRect/>
                    </a:stretch>
                  </pic:blipFill>
                  <pic:spPr>
                    <a:xfrm>
                      <a:off x="0" y="0"/>
                      <a:ext cx="5593818" cy="2726837"/>
                    </a:xfrm>
                    <a:prstGeom prst="rect">
                      <a:avLst/>
                    </a:prstGeom>
                    <a:ln/>
                  </pic:spPr>
                </pic:pic>
              </a:graphicData>
            </a:graphic>
          </wp:inline>
        </w:drawing>
      </w:r>
    </w:p>
    <w:p w14:paraId="53201438"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38E766A5" wp14:editId="20598CA7">
            <wp:extent cx="5634645" cy="1944623"/>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40294" t="32700" r="30418" b="37250"/>
                    <a:stretch>
                      <a:fillRect/>
                    </a:stretch>
                  </pic:blipFill>
                  <pic:spPr>
                    <a:xfrm>
                      <a:off x="0" y="0"/>
                      <a:ext cx="5634645" cy="1944623"/>
                    </a:xfrm>
                    <a:prstGeom prst="rect">
                      <a:avLst/>
                    </a:prstGeom>
                    <a:ln/>
                  </pic:spPr>
                </pic:pic>
              </a:graphicData>
            </a:graphic>
          </wp:inline>
        </w:drawing>
      </w:r>
    </w:p>
    <w:p w14:paraId="10B48290"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lastRenderedPageBreak/>
        <w:drawing>
          <wp:inline distT="0" distB="0" distL="0" distR="0" wp14:anchorId="2675ABCD" wp14:editId="0B4C95BE">
            <wp:extent cx="5529560" cy="2616225"/>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1692" t="18838" r="26121" b="24804"/>
                    <a:stretch>
                      <a:fillRect/>
                    </a:stretch>
                  </pic:blipFill>
                  <pic:spPr>
                    <a:xfrm>
                      <a:off x="0" y="0"/>
                      <a:ext cx="5529560" cy="2616225"/>
                    </a:xfrm>
                    <a:prstGeom prst="rect">
                      <a:avLst/>
                    </a:prstGeom>
                    <a:ln/>
                  </pic:spPr>
                </pic:pic>
              </a:graphicData>
            </a:graphic>
          </wp:inline>
        </w:drawing>
      </w:r>
    </w:p>
    <w:p w14:paraId="78017619"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14194B54" wp14:editId="296B9CED">
            <wp:extent cx="5552253" cy="4495947"/>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41389" t="15284" r="26126" b="18048"/>
                    <a:stretch>
                      <a:fillRect/>
                    </a:stretch>
                  </pic:blipFill>
                  <pic:spPr>
                    <a:xfrm>
                      <a:off x="0" y="0"/>
                      <a:ext cx="5552253" cy="4495947"/>
                    </a:xfrm>
                    <a:prstGeom prst="rect">
                      <a:avLst/>
                    </a:prstGeom>
                    <a:ln/>
                  </pic:spPr>
                </pic:pic>
              </a:graphicData>
            </a:graphic>
          </wp:inline>
        </w:drawing>
      </w:r>
    </w:p>
    <w:p w14:paraId="6B1C883A"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lastRenderedPageBreak/>
        <w:drawing>
          <wp:inline distT="0" distB="0" distL="0" distR="0" wp14:anchorId="206FE78C" wp14:editId="0012A939">
            <wp:extent cx="5429600" cy="3336747"/>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1487" t="20615" r="25926" b="15561"/>
                    <a:stretch>
                      <a:fillRect/>
                    </a:stretch>
                  </pic:blipFill>
                  <pic:spPr>
                    <a:xfrm>
                      <a:off x="0" y="0"/>
                      <a:ext cx="5429600" cy="3336747"/>
                    </a:xfrm>
                    <a:prstGeom prst="rect">
                      <a:avLst/>
                    </a:prstGeom>
                    <a:ln/>
                  </pic:spPr>
                </pic:pic>
              </a:graphicData>
            </a:graphic>
          </wp:inline>
        </w:drawing>
      </w:r>
    </w:p>
    <w:p w14:paraId="40A30FAF"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66F2AE7F" wp14:editId="071D2039">
            <wp:extent cx="5637413" cy="871713"/>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1599" t="24525" r="26313" b="69784"/>
                    <a:stretch>
                      <a:fillRect/>
                    </a:stretch>
                  </pic:blipFill>
                  <pic:spPr>
                    <a:xfrm>
                      <a:off x="0" y="0"/>
                      <a:ext cx="5637413" cy="871713"/>
                    </a:xfrm>
                    <a:prstGeom prst="rect">
                      <a:avLst/>
                    </a:prstGeom>
                    <a:ln/>
                  </pic:spPr>
                </pic:pic>
              </a:graphicData>
            </a:graphic>
          </wp:inline>
        </w:drawing>
      </w:r>
    </w:p>
    <w:p w14:paraId="4A9D74BB"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0369E2E8" wp14:editId="10329A9A">
            <wp:extent cx="5569391" cy="1367067"/>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1294" t="61491" r="25617" b="13611"/>
                    <a:stretch>
                      <a:fillRect/>
                    </a:stretch>
                  </pic:blipFill>
                  <pic:spPr>
                    <a:xfrm>
                      <a:off x="0" y="0"/>
                      <a:ext cx="5569391" cy="1367067"/>
                    </a:xfrm>
                    <a:prstGeom prst="rect">
                      <a:avLst/>
                    </a:prstGeom>
                    <a:ln/>
                  </pic:spPr>
                </pic:pic>
              </a:graphicData>
            </a:graphic>
          </wp:inline>
        </w:drawing>
      </w:r>
    </w:p>
    <w:p w14:paraId="159400B4"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w:t>
      </w:r>
      <w:hyperlink r:id="rId16">
        <w:r w:rsidRPr="006C1053">
          <w:rPr>
            <w:rFonts w:ascii="Palatino Linotype" w:eastAsia="Palatino Linotype" w:hAnsi="Palatino Linotype" w:cs="Palatino Linotype"/>
          </w:rPr>
          <w:t>00016 cuarto regidor.pdf</w:t>
        </w:r>
      </w:hyperlink>
      <w:r w:rsidRPr="006C1053">
        <w:rPr>
          <w:rFonts w:ascii="Palatino Linotype" w:eastAsia="Palatino Linotype" w:hAnsi="Palatino Linotype" w:cs="Palatino Linotype"/>
        </w:rPr>
        <w:t xml:space="preserve">”, el cual contiene el oficio número R3/MO/0009/2023, por medio del cual el Cuarto Regidor del Ayuntamiento de Melchor Ocampo informó al </w:t>
      </w:r>
      <w:r w:rsidRPr="006C1053">
        <w:rPr>
          <w:rFonts w:ascii="Palatino Linotype" w:eastAsia="Palatino Linotype" w:hAnsi="Palatino Linotype" w:cs="Palatino Linotype"/>
        </w:rPr>
        <w:lastRenderedPageBreak/>
        <w:t>solicitante que adjuntaba el informe trimestral de actividades, como se observa a continuación:</w:t>
      </w:r>
    </w:p>
    <w:p w14:paraId="69EBB9E7"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noProof/>
          <w:lang w:val="es-MX"/>
        </w:rPr>
        <w:drawing>
          <wp:inline distT="0" distB="0" distL="0" distR="0" wp14:anchorId="0061C1E4" wp14:editId="4158074B">
            <wp:extent cx="5438674" cy="2406586"/>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0294" t="18661" r="5330" b="29958"/>
                    <a:stretch>
                      <a:fillRect/>
                    </a:stretch>
                  </pic:blipFill>
                  <pic:spPr>
                    <a:xfrm>
                      <a:off x="0" y="0"/>
                      <a:ext cx="5438674" cy="2406586"/>
                    </a:xfrm>
                    <a:prstGeom prst="rect">
                      <a:avLst/>
                    </a:prstGeom>
                    <a:ln/>
                  </pic:spPr>
                </pic:pic>
              </a:graphicData>
            </a:graphic>
          </wp:inline>
        </w:drawing>
      </w:r>
    </w:p>
    <w:p w14:paraId="1347BBD2"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w:t>
      </w:r>
      <w:hyperlink r:id="rId18">
        <w:r w:rsidRPr="006C1053">
          <w:rPr>
            <w:rFonts w:ascii="Palatino Linotype" w:eastAsia="Palatino Linotype" w:hAnsi="Palatino Linotype" w:cs="Palatino Linotype"/>
          </w:rPr>
          <w:t xml:space="preserve">informe anual 2022 </w:t>
        </w:r>
        <w:proofErr w:type="spellStart"/>
        <w:r w:rsidRPr="006C1053">
          <w:rPr>
            <w:rFonts w:ascii="Palatino Linotype" w:eastAsia="Palatino Linotype" w:hAnsi="Palatino Linotype" w:cs="Palatino Linotype"/>
          </w:rPr>
          <w:t>Dr</w:t>
        </w:r>
        <w:proofErr w:type="spellEnd"/>
        <w:r w:rsidRPr="006C1053">
          <w:rPr>
            <w:rFonts w:ascii="Palatino Linotype" w:eastAsia="Palatino Linotype" w:hAnsi="Palatino Linotype" w:cs="Palatino Linotype"/>
          </w:rPr>
          <w:t>, Brisa Escalona-22.pdf</w:t>
        </w:r>
      </w:hyperlink>
      <w:r w:rsidRPr="006C1053">
        <w:rPr>
          <w:rFonts w:ascii="Palatino Linotype" w:eastAsia="Palatino Linotype" w:hAnsi="Palatino Linotype" w:cs="Palatino Linotype"/>
        </w:rPr>
        <w:t>”, el cual contiene el informe anual 2022 de actividades de la Tercera Regidora del Ayuntamiento de Melchor Ocampo, en tres fojas.</w:t>
      </w:r>
    </w:p>
    <w:p w14:paraId="41FD2627"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b/>
        </w:rPr>
        <w:t xml:space="preserve">4. Interposición del recurso de revisión. </w:t>
      </w:r>
      <w:r w:rsidRPr="006C1053">
        <w:rPr>
          <w:rFonts w:ascii="Palatino Linotype" w:eastAsia="Palatino Linotype" w:hAnsi="Palatino Linotype" w:cs="Palatino Linotype"/>
        </w:rPr>
        <w:t xml:space="preserve">Inconforme con los términos de la respuesta emitida por parte del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el </w:t>
      </w:r>
      <w:r w:rsidRPr="006C1053">
        <w:rPr>
          <w:rFonts w:ascii="Palatino Linotype" w:eastAsia="Palatino Linotype" w:hAnsi="Palatino Linotype" w:cs="Palatino Linotype"/>
          <w:b/>
        </w:rPr>
        <w:t>veintiocho de febrero del año dos mil veintitrés,</w:t>
      </w:r>
      <w:r w:rsidRPr="006C1053">
        <w:rPr>
          <w:rFonts w:ascii="Palatino Linotype" w:eastAsia="Palatino Linotype" w:hAnsi="Palatino Linotype" w:cs="Palatino Linotype"/>
        </w:rPr>
        <w:t xml:space="preserve">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xml:space="preserve"> interpuso el recurso de revisión a través de </w:t>
      </w:r>
      <w:r w:rsidRPr="006C1053">
        <w:rPr>
          <w:rFonts w:ascii="Palatino Linotype" w:eastAsia="Palatino Linotype" w:hAnsi="Palatino Linotype" w:cs="Palatino Linotype"/>
          <w:b/>
        </w:rPr>
        <w:t xml:space="preserve">SAIMEX, </w:t>
      </w:r>
      <w:r w:rsidRPr="006C1053">
        <w:rPr>
          <w:rFonts w:ascii="Palatino Linotype" w:eastAsia="Palatino Linotype" w:hAnsi="Palatino Linotype" w:cs="Palatino Linotype"/>
        </w:rPr>
        <w:t>en donde se manifestó de la siguiente manera:</w:t>
      </w:r>
    </w:p>
    <w:p w14:paraId="27AD8F38" w14:textId="77777777" w:rsidR="00D00806" w:rsidRPr="006C1053" w:rsidRDefault="003725E6">
      <w:pPr>
        <w:tabs>
          <w:tab w:val="left" w:pos="2745"/>
        </w:tabs>
        <w:spacing w:before="240" w:after="240" w:line="360" w:lineRule="auto"/>
        <w:jc w:val="both"/>
        <w:rPr>
          <w:rFonts w:ascii="Palatino Linotype" w:eastAsia="Palatino Linotype" w:hAnsi="Palatino Linotype" w:cs="Palatino Linotype"/>
          <w:b/>
        </w:rPr>
      </w:pPr>
      <w:r w:rsidRPr="006C1053">
        <w:rPr>
          <w:rFonts w:ascii="Palatino Linotype" w:eastAsia="Palatino Linotype" w:hAnsi="Palatino Linotype" w:cs="Palatino Linotype"/>
          <w:b/>
        </w:rPr>
        <w:t xml:space="preserve">Acto impugnado: </w:t>
      </w:r>
      <w:r w:rsidRPr="006C1053">
        <w:rPr>
          <w:rFonts w:ascii="Palatino Linotype" w:eastAsia="Palatino Linotype" w:hAnsi="Palatino Linotype" w:cs="Palatino Linotype"/>
          <w:b/>
        </w:rPr>
        <w:tab/>
      </w:r>
    </w:p>
    <w:p w14:paraId="485C2425" w14:textId="77777777" w:rsidR="00D00806" w:rsidRPr="006C1053" w:rsidRDefault="003725E6">
      <w:pPr>
        <w:spacing w:line="360" w:lineRule="auto"/>
        <w:ind w:left="851" w:right="900"/>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“Respuesta enviada” (Sic)</w:t>
      </w:r>
    </w:p>
    <w:p w14:paraId="11E38040"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Y Razones o motivos de inconformidad</w:t>
      </w:r>
      <w:r w:rsidRPr="006C1053">
        <w:rPr>
          <w:rFonts w:ascii="Palatino Linotype" w:eastAsia="Palatino Linotype" w:hAnsi="Palatino Linotype" w:cs="Palatino Linotype"/>
        </w:rPr>
        <w:t>:</w:t>
      </w:r>
    </w:p>
    <w:p w14:paraId="5FBBE4CD" w14:textId="77777777" w:rsidR="00D00806" w:rsidRPr="006C1053" w:rsidRDefault="003725E6">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6C1053">
        <w:rPr>
          <w:rFonts w:ascii="Palatino Linotype" w:eastAsia="Palatino Linotype" w:hAnsi="Palatino Linotype" w:cs="Palatino Linotype"/>
          <w:i/>
          <w:sz w:val="22"/>
          <w:szCs w:val="22"/>
        </w:rPr>
        <w:lastRenderedPageBreak/>
        <w:t xml:space="preserve"> “El cuarto regidor es una burla su trabajo no hace nada en beneficio de la comunidad y mucho menos tiene evidencia documental. Solicito cumpla con sus obligaciones estipuladas en la ley orgánica” (Sic)</w:t>
      </w:r>
    </w:p>
    <w:p w14:paraId="4645663D" w14:textId="77777777" w:rsidR="00D00806" w:rsidRPr="006C1053" w:rsidRDefault="00D00806">
      <w:pPr>
        <w:spacing w:line="360" w:lineRule="auto"/>
        <w:ind w:right="51"/>
        <w:jc w:val="both"/>
        <w:rPr>
          <w:rFonts w:ascii="Palatino Linotype" w:eastAsia="Palatino Linotype" w:hAnsi="Palatino Linotype" w:cs="Palatino Linotype"/>
          <w:b/>
        </w:rPr>
      </w:pPr>
    </w:p>
    <w:p w14:paraId="6F6FFCDC" w14:textId="77777777" w:rsidR="00D00806" w:rsidRPr="006C1053" w:rsidRDefault="003725E6">
      <w:pPr>
        <w:spacing w:line="360" w:lineRule="auto"/>
        <w:ind w:right="51"/>
        <w:jc w:val="both"/>
        <w:rPr>
          <w:rFonts w:ascii="Palatino Linotype" w:eastAsia="Palatino Linotype" w:hAnsi="Palatino Linotype" w:cs="Palatino Linotype"/>
        </w:rPr>
      </w:pPr>
      <w:r w:rsidRPr="006C1053">
        <w:rPr>
          <w:rFonts w:ascii="Palatino Linotype" w:eastAsia="Palatino Linotype" w:hAnsi="Palatino Linotype" w:cs="Palatino Linotype"/>
          <w:b/>
        </w:rPr>
        <w:t xml:space="preserve">5. Turno. </w:t>
      </w:r>
      <w:r w:rsidRPr="006C105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C1053">
        <w:rPr>
          <w:rFonts w:ascii="Palatino Linotype" w:eastAsia="Palatino Linotype" w:hAnsi="Palatino Linotype" w:cs="Palatino Linotype"/>
          <w:b/>
        </w:rPr>
        <w:t xml:space="preserve">Guadalupe Ramírez Peña, </w:t>
      </w:r>
      <w:r w:rsidRPr="006C1053">
        <w:rPr>
          <w:rFonts w:ascii="Palatino Linotype" w:eastAsia="Palatino Linotype" w:hAnsi="Palatino Linotype" w:cs="Palatino Linotype"/>
        </w:rPr>
        <w:t xml:space="preserve">a efecto de que analizara sobre su admisión o su </w:t>
      </w:r>
      <w:proofErr w:type="spellStart"/>
      <w:r w:rsidRPr="006C1053">
        <w:rPr>
          <w:rFonts w:ascii="Palatino Linotype" w:eastAsia="Palatino Linotype" w:hAnsi="Palatino Linotype" w:cs="Palatino Linotype"/>
        </w:rPr>
        <w:t>desechamiento</w:t>
      </w:r>
      <w:proofErr w:type="spellEnd"/>
      <w:r w:rsidRPr="006C1053">
        <w:rPr>
          <w:rFonts w:ascii="Palatino Linotype" w:eastAsia="Palatino Linotype" w:hAnsi="Palatino Linotype" w:cs="Palatino Linotype"/>
        </w:rPr>
        <w:t>.</w:t>
      </w:r>
    </w:p>
    <w:p w14:paraId="364487CC" w14:textId="77777777" w:rsidR="00D00806" w:rsidRPr="006C1053" w:rsidRDefault="00D00806">
      <w:pPr>
        <w:spacing w:line="360" w:lineRule="auto"/>
        <w:ind w:right="51"/>
        <w:jc w:val="both"/>
        <w:rPr>
          <w:rFonts w:ascii="Palatino Linotype" w:eastAsia="Palatino Linotype" w:hAnsi="Palatino Linotype" w:cs="Palatino Linotype"/>
        </w:rPr>
      </w:pPr>
    </w:p>
    <w:p w14:paraId="7E1A6AF5" w14:textId="77777777" w:rsidR="00D00806" w:rsidRPr="006C1053" w:rsidRDefault="003725E6">
      <w:pPr>
        <w:spacing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6. Admisión del Recurso de revisión.</w:t>
      </w:r>
      <w:r w:rsidRPr="006C1053">
        <w:rPr>
          <w:rFonts w:ascii="Palatino Linotype" w:eastAsia="Palatino Linotype" w:hAnsi="Palatino Linotype" w:cs="Palatino Linotype"/>
        </w:rPr>
        <w:t xml:space="preserve"> Con fecha</w:t>
      </w:r>
      <w:r w:rsidRPr="006C1053">
        <w:rPr>
          <w:rFonts w:ascii="Palatino Linotype" w:eastAsia="Palatino Linotype" w:hAnsi="Palatino Linotype" w:cs="Palatino Linotype"/>
          <w:b/>
        </w:rPr>
        <w:t xml:space="preserve"> seis de marzo de dos mil veintitrés, </w:t>
      </w:r>
      <w:r w:rsidRPr="006C105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C1053">
        <w:rPr>
          <w:rFonts w:ascii="Palatino Linotype" w:eastAsia="Palatino Linotype" w:hAnsi="Palatino Linotype" w:cs="Palatino Linotype"/>
          <w:b/>
        </w:rPr>
        <w:t xml:space="preserve">SUJETO OBLIGADO </w:t>
      </w:r>
      <w:r w:rsidRPr="006C1053">
        <w:rPr>
          <w:rFonts w:ascii="Palatino Linotype" w:eastAsia="Palatino Linotype" w:hAnsi="Palatino Linotype" w:cs="Palatino Linotype"/>
        </w:rPr>
        <w:t>presentara su informe justificado.</w:t>
      </w:r>
    </w:p>
    <w:p w14:paraId="56862EA4" w14:textId="77777777" w:rsidR="00D00806" w:rsidRPr="006C1053" w:rsidRDefault="003725E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6. Manifestaciones</w:t>
      </w:r>
      <w:r w:rsidRPr="006C1053">
        <w:rPr>
          <w:rFonts w:ascii="Palatino Linotype" w:eastAsia="Palatino Linotype" w:hAnsi="Palatino Linotype" w:cs="Palatino Linotype"/>
        </w:rPr>
        <w:t xml:space="preserve">. De las constancias que integran el expediente en que se actúa se advierte que la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fue omiso en presentar sus alegatos o manifestación alguna.</w:t>
      </w:r>
    </w:p>
    <w:p w14:paraId="74B82A4F"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Por su parte 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de igual forma fue omiso en rendir su informe justificado.</w:t>
      </w:r>
    </w:p>
    <w:p w14:paraId="583C05A5" w14:textId="77777777" w:rsidR="00D00806" w:rsidRPr="006C1053" w:rsidRDefault="003725E6">
      <w:pPr>
        <w:spacing w:line="360" w:lineRule="auto"/>
        <w:jc w:val="both"/>
        <w:rPr>
          <w:rFonts w:ascii="Palatino Linotype" w:eastAsia="Palatino Linotype" w:hAnsi="Palatino Linotype" w:cs="Palatino Linotype"/>
        </w:rPr>
      </w:pPr>
      <w:r w:rsidRPr="006C1053">
        <w:rPr>
          <w:noProof/>
          <w:lang w:val="es-MX"/>
        </w:rPr>
        <w:lastRenderedPageBreak/>
        <w:drawing>
          <wp:inline distT="0" distB="0" distL="0" distR="0" wp14:anchorId="691C9C51" wp14:editId="09A5B003">
            <wp:extent cx="5560356" cy="1203175"/>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9195" t="35720" r="20026" b="36366"/>
                    <a:stretch>
                      <a:fillRect/>
                    </a:stretch>
                  </pic:blipFill>
                  <pic:spPr>
                    <a:xfrm>
                      <a:off x="0" y="0"/>
                      <a:ext cx="5560356" cy="1203175"/>
                    </a:xfrm>
                    <a:prstGeom prst="rect">
                      <a:avLst/>
                    </a:prstGeom>
                    <a:ln/>
                  </pic:spPr>
                </pic:pic>
              </a:graphicData>
            </a:graphic>
          </wp:inline>
        </w:drawing>
      </w:r>
    </w:p>
    <w:p w14:paraId="11B168FB" w14:textId="77777777" w:rsidR="00D00806" w:rsidRPr="006C1053" w:rsidRDefault="003725E6">
      <w:pPr>
        <w:spacing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7. Ampliación del plazo.</w:t>
      </w:r>
      <w:r w:rsidRPr="006C1053">
        <w:rPr>
          <w:rFonts w:ascii="Palatino Linotype" w:eastAsia="Palatino Linotype" w:hAnsi="Palatino Linotype" w:cs="Palatino Linotype"/>
        </w:rPr>
        <w:t xml:space="preserve"> En fecha primero de agosto del año dos mil veintitrés, con fundamento en el artículo 181, párrafo tercero de la Ley de Transparencia y Acceso a la Información Pública del Estado de México y Municipios, se acordó la ampliación del plazo para su resolución.</w:t>
      </w:r>
    </w:p>
    <w:p w14:paraId="5E151716" w14:textId="77777777" w:rsidR="00D00806" w:rsidRPr="006C1053" w:rsidRDefault="003725E6">
      <w:pPr>
        <w:widowControl w:val="0"/>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A237FC8" w14:textId="77777777" w:rsidR="00D00806" w:rsidRPr="006C1053" w:rsidRDefault="00D00806">
      <w:pPr>
        <w:spacing w:line="360" w:lineRule="auto"/>
        <w:jc w:val="both"/>
        <w:rPr>
          <w:rFonts w:ascii="Palatino Linotype" w:eastAsia="Palatino Linotype" w:hAnsi="Palatino Linotype" w:cs="Palatino Linotype"/>
        </w:rPr>
      </w:pPr>
    </w:p>
    <w:p w14:paraId="6EE9FEDC"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E32AA5" w14:textId="77777777" w:rsidR="00D00806" w:rsidRPr="006C1053" w:rsidRDefault="00D00806">
      <w:pPr>
        <w:spacing w:line="360" w:lineRule="auto"/>
        <w:jc w:val="both"/>
        <w:rPr>
          <w:rFonts w:ascii="Palatino Linotype" w:eastAsia="Palatino Linotype" w:hAnsi="Palatino Linotype" w:cs="Palatino Linotype"/>
        </w:rPr>
      </w:pPr>
    </w:p>
    <w:p w14:paraId="22E7C500"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7D484C"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4B6765" w14:textId="77777777" w:rsidR="00D00806" w:rsidRPr="006C1053" w:rsidRDefault="00D00806">
      <w:pPr>
        <w:spacing w:line="360" w:lineRule="auto"/>
        <w:jc w:val="both"/>
        <w:rPr>
          <w:rFonts w:ascii="Palatino Linotype" w:eastAsia="Palatino Linotype" w:hAnsi="Palatino Linotype" w:cs="Palatino Linotype"/>
        </w:rPr>
      </w:pPr>
    </w:p>
    <w:p w14:paraId="54CA7B16" w14:textId="77777777" w:rsidR="00D00806" w:rsidRPr="006C1053" w:rsidRDefault="003725E6">
      <w:pPr>
        <w:spacing w:line="360" w:lineRule="auto"/>
        <w:jc w:val="both"/>
        <w:rPr>
          <w:rFonts w:ascii="Palatino Linotype" w:eastAsia="Palatino Linotype" w:hAnsi="Palatino Linotype" w:cs="Palatino Linotype"/>
          <w:strike/>
        </w:rPr>
      </w:pPr>
      <w:r w:rsidRPr="006C105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6E0DC52" w14:textId="77777777" w:rsidR="00D00806" w:rsidRPr="006C1053" w:rsidRDefault="00D00806">
      <w:pPr>
        <w:spacing w:line="360" w:lineRule="auto"/>
        <w:jc w:val="both"/>
        <w:rPr>
          <w:rFonts w:ascii="Palatino Linotype" w:eastAsia="Palatino Linotype" w:hAnsi="Palatino Linotype" w:cs="Palatino Linotype"/>
        </w:rPr>
      </w:pPr>
    </w:p>
    <w:p w14:paraId="2B71341F" w14:textId="77777777" w:rsidR="00D00806" w:rsidRPr="006C1053" w:rsidRDefault="003725E6">
      <w:pPr>
        <w:numPr>
          <w:ilvl w:val="0"/>
          <w:numId w:val="2"/>
        </w:numPr>
        <w:ind w:left="851"/>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0E94654" w14:textId="77777777" w:rsidR="00D00806" w:rsidRPr="006C1053" w:rsidRDefault="00D00806">
      <w:pPr>
        <w:ind w:left="851" w:hanging="360"/>
        <w:jc w:val="both"/>
        <w:rPr>
          <w:rFonts w:ascii="Palatino Linotype" w:eastAsia="Palatino Linotype" w:hAnsi="Palatino Linotype" w:cs="Palatino Linotype"/>
        </w:rPr>
      </w:pPr>
    </w:p>
    <w:p w14:paraId="003BDFC8" w14:textId="77777777" w:rsidR="00D00806" w:rsidRPr="006C1053" w:rsidRDefault="003725E6">
      <w:pPr>
        <w:numPr>
          <w:ilvl w:val="0"/>
          <w:numId w:val="2"/>
        </w:numPr>
        <w:ind w:left="851"/>
        <w:jc w:val="both"/>
        <w:rPr>
          <w:rFonts w:ascii="Palatino Linotype" w:eastAsia="Palatino Linotype" w:hAnsi="Palatino Linotype" w:cs="Palatino Linotype"/>
        </w:rPr>
      </w:pPr>
      <w:r w:rsidRPr="006C1053">
        <w:rPr>
          <w:rFonts w:ascii="Palatino Linotype" w:eastAsia="Palatino Linotype" w:hAnsi="Palatino Linotype" w:cs="Palatino Linotype"/>
        </w:rPr>
        <w:t>Actividad Procesal del interesado. Acciones u omisiones del interesado.</w:t>
      </w:r>
    </w:p>
    <w:p w14:paraId="1404B847" w14:textId="77777777" w:rsidR="00D00806" w:rsidRPr="006C1053" w:rsidRDefault="00D00806">
      <w:pPr>
        <w:ind w:left="851" w:hanging="360"/>
        <w:jc w:val="both"/>
        <w:rPr>
          <w:rFonts w:ascii="Palatino Linotype" w:eastAsia="Palatino Linotype" w:hAnsi="Palatino Linotype" w:cs="Palatino Linotype"/>
        </w:rPr>
      </w:pPr>
    </w:p>
    <w:p w14:paraId="141E2D40" w14:textId="77777777" w:rsidR="00D00806" w:rsidRPr="006C1053" w:rsidRDefault="003725E6">
      <w:pPr>
        <w:numPr>
          <w:ilvl w:val="0"/>
          <w:numId w:val="2"/>
        </w:numPr>
        <w:ind w:left="851"/>
        <w:jc w:val="both"/>
        <w:rPr>
          <w:rFonts w:ascii="Palatino Linotype" w:eastAsia="Palatino Linotype" w:hAnsi="Palatino Linotype" w:cs="Palatino Linotype"/>
        </w:rPr>
      </w:pPr>
      <w:r w:rsidRPr="006C1053">
        <w:rPr>
          <w:rFonts w:ascii="Palatino Linotype" w:eastAsia="Palatino Linotype" w:hAnsi="Palatino Linotype" w:cs="Palatino Linotype"/>
        </w:rPr>
        <w:t>Conducta de la Autoridad: Las Acciones u omisiones realizadas en el procedimiento. Así como si la autoridad actuó con la debida diligencia.</w:t>
      </w:r>
    </w:p>
    <w:p w14:paraId="64BAAD98" w14:textId="77777777" w:rsidR="00D00806" w:rsidRPr="006C1053" w:rsidRDefault="00D00806">
      <w:pPr>
        <w:ind w:left="851" w:hanging="360"/>
        <w:rPr>
          <w:rFonts w:ascii="Palatino Linotype" w:eastAsia="Palatino Linotype" w:hAnsi="Palatino Linotype" w:cs="Palatino Linotype"/>
        </w:rPr>
      </w:pPr>
    </w:p>
    <w:p w14:paraId="68A29F34" w14:textId="77777777" w:rsidR="00D00806" w:rsidRPr="006C1053" w:rsidRDefault="003725E6">
      <w:pPr>
        <w:ind w:left="851" w:hanging="360"/>
        <w:jc w:val="both"/>
        <w:rPr>
          <w:rFonts w:ascii="Palatino Linotype" w:eastAsia="Palatino Linotype" w:hAnsi="Palatino Linotype" w:cs="Palatino Linotype"/>
        </w:rPr>
      </w:pPr>
      <w:r w:rsidRPr="006C1053">
        <w:rPr>
          <w:rFonts w:ascii="Palatino Linotype" w:eastAsia="Palatino Linotype" w:hAnsi="Palatino Linotype" w:cs="Palatino Linotype"/>
        </w:rPr>
        <w:t>d) La afectación generada en la situación jurídica de la persona involucrada en el proceso: Violación a sus derechos humanos.</w:t>
      </w:r>
    </w:p>
    <w:p w14:paraId="41C26B07" w14:textId="77777777" w:rsidR="00D00806" w:rsidRPr="006C1053" w:rsidRDefault="00D00806">
      <w:pPr>
        <w:spacing w:line="360" w:lineRule="auto"/>
        <w:jc w:val="both"/>
        <w:rPr>
          <w:rFonts w:ascii="Palatino Linotype" w:eastAsia="Palatino Linotype" w:hAnsi="Palatino Linotype" w:cs="Palatino Linotype"/>
        </w:rPr>
      </w:pPr>
    </w:p>
    <w:p w14:paraId="5A90BCEA"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C1053">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DAC40E2" w14:textId="77777777" w:rsidR="00D00806" w:rsidRPr="006C1053" w:rsidRDefault="00D00806">
      <w:pPr>
        <w:spacing w:line="360" w:lineRule="auto"/>
        <w:jc w:val="both"/>
        <w:rPr>
          <w:rFonts w:ascii="Palatino Linotype" w:eastAsia="Palatino Linotype" w:hAnsi="Palatino Linotype" w:cs="Palatino Linotype"/>
        </w:rPr>
      </w:pPr>
    </w:p>
    <w:p w14:paraId="5442232C" w14:textId="77777777" w:rsidR="00D00806" w:rsidRPr="006C1053" w:rsidRDefault="003725E6">
      <w:pPr>
        <w:spacing w:line="360" w:lineRule="auto"/>
        <w:jc w:val="both"/>
        <w:rPr>
          <w:rFonts w:ascii="Palatino Linotype" w:eastAsia="Palatino Linotype" w:hAnsi="Palatino Linotype" w:cs="Palatino Linotype"/>
          <w:b/>
        </w:rPr>
      </w:pPr>
      <w:r w:rsidRPr="006C105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C105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C1053">
        <w:rPr>
          <w:rFonts w:ascii="Palatino Linotype" w:eastAsia="Palatino Linotype" w:hAnsi="Palatino Linotype" w:cs="Palatino Linotype"/>
        </w:rPr>
        <w:t>, visible en la Gaceta del Seminario Judicial de la Federación con el registro digital 205635.</w:t>
      </w:r>
    </w:p>
    <w:p w14:paraId="084C3F9B" w14:textId="77777777" w:rsidR="00D00806" w:rsidRPr="006C1053" w:rsidRDefault="00D00806">
      <w:pPr>
        <w:spacing w:line="360" w:lineRule="auto"/>
        <w:jc w:val="both"/>
        <w:rPr>
          <w:rFonts w:ascii="Palatino Linotype" w:eastAsia="Palatino Linotype" w:hAnsi="Palatino Linotype" w:cs="Palatino Linotype"/>
        </w:rPr>
      </w:pPr>
    </w:p>
    <w:p w14:paraId="7030D102"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CF204E" w14:textId="77777777" w:rsidR="00D00806" w:rsidRPr="006C1053" w:rsidRDefault="00D00806">
      <w:pPr>
        <w:spacing w:line="360" w:lineRule="auto"/>
        <w:jc w:val="both"/>
        <w:rPr>
          <w:rFonts w:ascii="Palatino Linotype" w:eastAsia="Palatino Linotype" w:hAnsi="Palatino Linotype" w:cs="Palatino Linotype"/>
        </w:rPr>
      </w:pPr>
    </w:p>
    <w:p w14:paraId="74171D6F"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5D12801" w14:textId="77777777" w:rsidR="00D00806" w:rsidRPr="006C1053" w:rsidRDefault="00D00806">
      <w:pPr>
        <w:spacing w:line="360" w:lineRule="auto"/>
        <w:jc w:val="both"/>
        <w:rPr>
          <w:rFonts w:ascii="Palatino Linotype" w:eastAsia="Palatino Linotype" w:hAnsi="Palatino Linotype" w:cs="Palatino Linotype"/>
        </w:rPr>
      </w:pPr>
    </w:p>
    <w:p w14:paraId="33F891CB"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 </w:t>
      </w:r>
      <w:r w:rsidRPr="006C1053">
        <w:rPr>
          <w:rFonts w:ascii="Palatino Linotype" w:eastAsia="Palatino Linotype" w:hAnsi="Palatino Linotype" w:cs="Palatino Linotype"/>
          <w:i/>
        </w:rPr>
        <w:t>“PLAZO RAZONABLE PARA RESOLVER. DIMENSIÓN Y EFECTOS DE ESTE CONCEPTO CUANDO SE ADUCE EXCESIVA CARGA DE TRABAJO.”</w:t>
      </w:r>
      <w:r w:rsidRPr="006C1053">
        <w:rPr>
          <w:rFonts w:ascii="Palatino Linotype" w:eastAsia="Palatino Linotype" w:hAnsi="Palatino Linotype" w:cs="Palatino Linotype"/>
        </w:rPr>
        <w:t xml:space="preserve"> consultable en el Seminario Judicial de la Federación y su gaceta, con el registro digital 2002351.</w:t>
      </w:r>
    </w:p>
    <w:p w14:paraId="61FDF402" w14:textId="77777777" w:rsidR="00D00806" w:rsidRPr="006C1053" w:rsidRDefault="00D00806">
      <w:pPr>
        <w:spacing w:line="360" w:lineRule="auto"/>
        <w:jc w:val="both"/>
        <w:rPr>
          <w:rFonts w:ascii="Palatino Linotype" w:eastAsia="Palatino Linotype" w:hAnsi="Palatino Linotype" w:cs="Palatino Linotype"/>
          <w:b/>
        </w:rPr>
      </w:pPr>
    </w:p>
    <w:p w14:paraId="6686D3B4"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i/>
        </w:rPr>
        <w:t>“PLAZO RAZONABLE PARA RESOLVER. CONCEPTO Y ELEMENTOS QUE LO INTEGRAN A LA LUZ DEL DERECHO INTERNACIONAL DE LOS DERECHOS HUMANOS.”</w:t>
      </w:r>
      <w:r w:rsidRPr="006C1053">
        <w:rPr>
          <w:rFonts w:ascii="Palatino Linotype" w:eastAsia="Palatino Linotype" w:hAnsi="Palatino Linotype" w:cs="Palatino Linotype"/>
        </w:rPr>
        <w:t>, visible en el Seminario Judicial de la Federación y su gaceta, con el registro digital 2002350.</w:t>
      </w:r>
    </w:p>
    <w:p w14:paraId="5D749E92" w14:textId="77777777" w:rsidR="00D00806" w:rsidRPr="006C1053" w:rsidRDefault="00D00806">
      <w:pPr>
        <w:spacing w:line="360" w:lineRule="auto"/>
        <w:jc w:val="both"/>
        <w:rPr>
          <w:rFonts w:ascii="Palatino Linotype" w:eastAsia="Palatino Linotype" w:hAnsi="Palatino Linotype" w:cs="Palatino Linotype"/>
        </w:rPr>
      </w:pPr>
    </w:p>
    <w:p w14:paraId="5DF41C62"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8F1B12B"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 xml:space="preserve">8. Cierre de instrucción. </w:t>
      </w:r>
      <w:r w:rsidRPr="006C105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6C1053">
        <w:rPr>
          <w:rFonts w:ascii="Palatino Linotype" w:eastAsia="Palatino Linotype" w:hAnsi="Palatino Linotype" w:cs="Palatino Linotype"/>
          <w:b/>
        </w:rPr>
        <w:t xml:space="preserve">primero de agosto de dos mil veintitrés, </w:t>
      </w:r>
      <w:r w:rsidRPr="006C1053">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B26A918"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4531DBE7" w14:textId="77777777" w:rsidR="00D00806" w:rsidRPr="006C1053" w:rsidRDefault="003725E6">
      <w:pPr>
        <w:widowControl w:val="0"/>
        <w:spacing w:line="360" w:lineRule="auto"/>
        <w:jc w:val="center"/>
        <w:rPr>
          <w:rFonts w:ascii="Palatino Linotype" w:eastAsia="Palatino Linotype" w:hAnsi="Palatino Linotype" w:cs="Palatino Linotype"/>
          <w:b/>
        </w:rPr>
      </w:pPr>
      <w:r w:rsidRPr="006C1053">
        <w:rPr>
          <w:rFonts w:ascii="Palatino Linotype" w:eastAsia="Palatino Linotype" w:hAnsi="Palatino Linotype" w:cs="Palatino Linotype"/>
          <w:b/>
        </w:rPr>
        <w:t>II. C O N S I D E R A N D O S</w:t>
      </w:r>
    </w:p>
    <w:p w14:paraId="24CE1332" w14:textId="77777777" w:rsidR="00D00806" w:rsidRPr="006C1053" w:rsidRDefault="00D00806">
      <w:pPr>
        <w:widowControl w:val="0"/>
        <w:spacing w:line="360" w:lineRule="auto"/>
        <w:jc w:val="center"/>
        <w:rPr>
          <w:rFonts w:ascii="Palatino Linotype" w:eastAsia="Palatino Linotype" w:hAnsi="Palatino Linotype" w:cs="Palatino Linotype"/>
          <w:b/>
        </w:rPr>
      </w:pPr>
    </w:p>
    <w:p w14:paraId="10C33CAF"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Primero. Competencia.</w:t>
      </w:r>
      <w:r w:rsidRPr="006C105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8E3ABE" w:rsidRPr="006C1053">
        <w:rPr>
          <w:rFonts w:ascii="Palatino Linotype" w:eastAsia="Palatino Linotype" w:hAnsi="Palatino Linotype" w:cs="Palatino Linotype"/>
        </w:rPr>
        <w:t>trigésimo segundo, trigésimo tercero y trigésimo cuarto; fracciones IV y V</w:t>
      </w:r>
      <w:r w:rsidRPr="006C1053">
        <w:rPr>
          <w:rFonts w:ascii="Palatino Linotype" w:eastAsia="Palatino Linotype" w:hAnsi="Palatino Linotype" w:cs="Palatino Linotype"/>
        </w:rPr>
        <w:t xml:space="preserve">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CFBBF0C" w14:textId="77777777" w:rsidR="00D00806" w:rsidRPr="006C1053" w:rsidRDefault="003725E6">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6C1053">
        <w:rPr>
          <w:rFonts w:ascii="Palatino Linotype" w:eastAsia="Palatino Linotype" w:hAnsi="Palatino Linotype" w:cs="Palatino Linotype"/>
          <w:b/>
        </w:rPr>
        <w:t xml:space="preserve">Segundo. Oportunidad y Procedibilidad del Recurso de Revisión. </w:t>
      </w:r>
      <w:r w:rsidRPr="006C105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0DCEF0C"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46CB8855" w14:textId="77777777" w:rsidR="00D00806" w:rsidRPr="006C1053" w:rsidRDefault="003725E6">
      <w:pPr>
        <w:ind w:left="851" w:right="900"/>
        <w:jc w:val="both"/>
        <w:rPr>
          <w:rFonts w:ascii="Palatino Linotype" w:eastAsia="Palatino Linotype" w:hAnsi="Palatino Linotype" w:cs="Palatino Linotype"/>
          <w:i/>
          <w:sz w:val="28"/>
          <w:szCs w:val="28"/>
        </w:rPr>
      </w:pPr>
      <w:r w:rsidRPr="006C1053">
        <w:rPr>
          <w:rFonts w:ascii="Palatino Linotype" w:eastAsia="Palatino Linotype" w:hAnsi="Palatino Linotype" w:cs="Palatino Linotype"/>
          <w:b/>
          <w:i/>
          <w:sz w:val="22"/>
          <w:szCs w:val="22"/>
        </w:rPr>
        <w:t xml:space="preserve">“Artículo 178. </w:t>
      </w:r>
      <w:r w:rsidRPr="006C105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3A1114"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remitió la respuesta a la solicitud de información el día </w:t>
      </w:r>
      <w:r w:rsidRPr="006C1053">
        <w:rPr>
          <w:rFonts w:ascii="Palatino Linotype" w:eastAsia="Palatino Linotype" w:hAnsi="Palatino Linotype" w:cs="Palatino Linotype"/>
          <w:b/>
        </w:rPr>
        <w:t xml:space="preserve">veinticuatro de febrero de dos mil veintitrés, </w:t>
      </w:r>
      <w:r w:rsidRPr="006C1053">
        <w:rPr>
          <w:rFonts w:ascii="Palatino Linotype" w:eastAsia="Palatino Linotype" w:hAnsi="Palatino Linotype" w:cs="Palatino Linotype"/>
        </w:rPr>
        <w:t xml:space="preserve">mientras que el recurso de revisión interpuesto por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xml:space="preserve">, se tuvo por presentado el día </w:t>
      </w:r>
      <w:r w:rsidRPr="006C1053">
        <w:rPr>
          <w:rFonts w:ascii="Palatino Linotype" w:eastAsia="Palatino Linotype" w:hAnsi="Palatino Linotype" w:cs="Palatino Linotype"/>
          <w:b/>
        </w:rPr>
        <w:t>veintiocho de febrero del año dos mil veintitrés</w:t>
      </w:r>
      <w:r w:rsidRPr="006C1053">
        <w:rPr>
          <w:rFonts w:ascii="Palatino Linotype" w:eastAsia="Palatino Linotype" w:hAnsi="Palatino Linotype" w:cs="Palatino Linotype"/>
        </w:rPr>
        <w:t>; esto es, al segundo día hábil en que tuvo conocimiento de la respuesta impugnada, en términos del calendario oficial de este Organismo Garante para el año 2023.</w:t>
      </w:r>
    </w:p>
    <w:p w14:paraId="13ADEAD5" w14:textId="77777777" w:rsidR="00D00806" w:rsidRPr="006C1053" w:rsidRDefault="003725E6">
      <w:pPr>
        <w:spacing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Al mismo tiempo, tras la revisión del formato de interposición del recurso, es de suma importancia señalar que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xml:space="preserve"> no proporcionó un nombre propio como se advierte en el detalle de seguimiento del SAIMEX, no obstante lo anterior, no proporcionar el nombre no es motivo para archivar la solicitud de acceso a la información pública como concluida, conforme a lo previsto en el artículo 155, </w:t>
      </w:r>
      <w:r w:rsidRPr="006C1053">
        <w:rPr>
          <w:rFonts w:ascii="Palatino Linotype" w:eastAsia="Palatino Linotype" w:hAnsi="Palatino Linotype" w:cs="Palatino Linotype"/>
        </w:rPr>
        <w:lastRenderedPageBreak/>
        <w:t>penúltimo párrafo de la Ley de Transparencia y Acceso a la Información Pública del Estado de México y Municipios que establece lo siguiente:</w:t>
      </w:r>
    </w:p>
    <w:p w14:paraId="1216BA8F" w14:textId="77777777" w:rsidR="00D00806" w:rsidRPr="006C1053" w:rsidRDefault="00D00806">
      <w:pPr>
        <w:ind w:left="567" w:right="474"/>
        <w:jc w:val="both"/>
        <w:rPr>
          <w:rFonts w:ascii="Palatino Linotype" w:eastAsia="Palatino Linotype" w:hAnsi="Palatino Linotype" w:cs="Palatino Linotype"/>
          <w:i/>
        </w:rPr>
      </w:pPr>
    </w:p>
    <w:p w14:paraId="0CFFB6E0" w14:textId="77777777" w:rsidR="00D00806" w:rsidRPr="006C1053" w:rsidRDefault="003725E6">
      <w:pPr>
        <w:spacing w:after="240"/>
        <w:ind w:left="567" w:right="474"/>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w:t>
      </w:r>
      <w:r w:rsidRPr="006C1053">
        <w:rPr>
          <w:rFonts w:ascii="Palatino Linotype" w:eastAsia="Palatino Linotype" w:hAnsi="Palatino Linotype" w:cs="Palatino Linotype"/>
          <w:b/>
          <w:i/>
          <w:sz w:val="22"/>
          <w:szCs w:val="22"/>
        </w:rPr>
        <w:t>Las solicitudes anónimas</w:t>
      </w:r>
      <w:r w:rsidRPr="006C1053">
        <w:rPr>
          <w:rFonts w:ascii="Palatino Linotype" w:eastAsia="Palatino Linotype" w:hAnsi="Palatino Linotype" w:cs="Palatino Linotype"/>
          <w:i/>
          <w:sz w:val="22"/>
          <w:szCs w:val="22"/>
        </w:rPr>
        <w:t xml:space="preserve">, con nombre incompleto o seudónimo </w:t>
      </w:r>
      <w:r w:rsidRPr="006C1053">
        <w:rPr>
          <w:rFonts w:ascii="Palatino Linotype" w:eastAsia="Palatino Linotype" w:hAnsi="Palatino Linotype" w:cs="Palatino Linotype"/>
          <w:b/>
          <w:i/>
          <w:sz w:val="22"/>
          <w:szCs w:val="22"/>
        </w:rPr>
        <w:t>serán procedentes para su trámite por parte del sujeto obligado ante quien se presente</w:t>
      </w:r>
      <w:r w:rsidRPr="006C1053">
        <w:rPr>
          <w:rFonts w:ascii="Palatino Linotype" w:eastAsia="Palatino Linotype" w:hAnsi="Palatino Linotype" w:cs="Palatino Linotype"/>
          <w:i/>
          <w:sz w:val="22"/>
          <w:szCs w:val="22"/>
        </w:rPr>
        <w:t>. No podrá requerirse información adicional con motivo del nombre proporcionado por el solicitante."(Sic)</w:t>
      </w:r>
    </w:p>
    <w:p w14:paraId="49176852" w14:textId="77777777" w:rsidR="00D00806" w:rsidRPr="006C1053" w:rsidRDefault="00D00806">
      <w:pPr>
        <w:spacing w:before="240" w:line="360" w:lineRule="auto"/>
        <w:jc w:val="both"/>
        <w:rPr>
          <w:rFonts w:ascii="Palatino Linotype" w:eastAsia="Palatino Linotype" w:hAnsi="Palatino Linotype" w:cs="Palatino Linotype"/>
        </w:rPr>
      </w:pPr>
    </w:p>
    <w:p w14:paraId="2209ED6E"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1E64E0E" w14:textId="77777777" w:rsidR="00D00806" w:rsidRPr="006C1053" w:rsidRDefault="00D00806">
      <w:pPr>
        <w:spacing w:line="360" w:lineRule="auto"/>
        <w:jc w:val="both"/>
        <w:rPr>
          <w:rFonts w:ascii="Palatino Linotype" w:eastAsia="Palatino Linotype" w:hAnsi="Palatino Linotype" w:cs="Palatino Linotype"/>
        </w:rPr>
      </w:pPr>
    </w:p>
    <w:p w14:paraId="2B4D58A9" w14:textId="77777777" w:rsidR="00D00806" w:rsidRPr="006C1053" w:rsidRDefault="003725E6">
      <w:pPr>
        <w:spacing w:after="240" w:line="360" w:lineRule="auto"/>
        <w:ind w:right="60"/>
        <w:jc w:val="both"/>
        <w:rPr>
          <w:rFonts w:ascii="Palatino Linotype" w:eastAsia="Palatino Linotype" w:hAnsi="Palatino Linotype" w:cs="Palatino Linotype"/>
          <w:b/>
        </w:rPr>
      </w:pPr>
      <w:r w:rsidRPr="006C1053">
        <w:rPr>
          <w:rFonts w:ascii="Palatino Linotype" w:eastAsia="Palatino Linotype" w:hAnsi="Palatino Linotype" w:cs="Palatino Linotype"/>
          <w:b/>
        </w:rPr>
        <w:t xml:space="preserve">Tercero. Análisis de las causales de sobreseimiento. </w:t>
      </w:r>
      <w:r w:rsidRPr="006C1053">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4F22AF" w14:textId="77777777" w:rsidR="00D00806" w:rsidRPr="006C1053" w:rsidRDefault="003725E6">
      <w:pPr>
        <w:spacing w:before="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w:t>
      </w:r>
      <w:r w:rsidRPr="006C1053">
        <w:rPr>
          <w:rFonts w:ascii="Palatino Linotype" w:eastAsia="Palatino Linotype" w:hAnsi="Palatino Linotype" w:cs="Palatino Linotype"/>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63F284DD" w14:textId="77777777" w:rsidR="00D00806" w:rsidRPr="006C1053" w:rsidRDefault="00D00806">
      <w:pPr>
        <w:spacing w:line="360" w:lineRule="auto"/>
        <w:jc w:val="both"/>
      </w:pPr>
    </w:p>
    <w:p w14:paraId="69E004B3" w14:textId="77777777" w:rsidR="00D00806" w:rsidRPr="006C1053" w:rsidRDefault="003725E6">
      <w:pPr>
        <w:spacing w:line="360" w:lineRule="auto"/>
        <w:ind w:right="51"/>
        <w:jc w:val="both"/>
        <w:rPr>
          <w:rFonts w:ascii="Palatino Linotype" w:eastAsia="Palatino Linotype" w:hAnsi="Palatino Linotype" w:cs="Palatino Linotype"/>
        </w:rPr>
      </w:pPr>
      <w:r w:rsidRPr="006C1053">
        <w:rPr>
          <w:rFonts w:ascii="Palatino Linotype" w:eastAsia="Palatino Linotype" w:hAnsi="Palatino Linotype" w:cs="Palatino Linotype"/>
        </w:rPr>
        <w:t>De manera preliminar en el caso concreto conviene analizar si se actualiza alguna de las causales de sobreseimiento del recurso de revisión.</w:t>
      </w:r>
    </w:p>
    <w:p w14:paraId="52212EE1" w14:textId="77777777" w:rsidR="00D00806" w:rsidRPr="006C1053" w:rsidRDefault="00D00806">
      <w:pPr>
        <w:spacing w:line="360" w:lineRule="auto"/>
        <w:ind w:right="51"/>
        <w:jc w:val="both"/>
        <w:rPr>
          <w:rFonts w:ascii="Palatino Linotype" w:eastAsia="Palatino Linotype" w:hAnsi="Palatino Linotype" w:cs="Palatino Linotype"/>
        </w:rPr>
      </w:pPr>
    </w:p>
    <w:p w14:paraId="5E103E23" w14:textId="77777777" w:rsidR="00D00806" w:rsidRPr="006C1053" w:rsidRDefault="003725E6">
      <w:pPr>
        <w:spacing w:line="360" w:lineRule="auto"/>
        <w:jc w:val="both"/>
        <w:rPr>
          <w:rFonts w:ascii="Palatino Linotype" w:eastAsia="Palatino Linotype" w:hAnsi="Palatino Linotype" w:cs="Palatino Linotype"/>
          <w:b/>
        </w:rPr>
      </w:pPr>
      <w:r w:rsidRPr="006C1053">
        <w:rPr>
          <w:rFonts w:ascii="Palatino Linotype" w:eastAsia="Palatino Linotype" w:hAnsi="Palatino Linotype" w:cs="Palatino Linotype"/>
        </w:rPr>
        <w:t>Así, del análisis de la solicitud</w:t>
      </w:r>
      <w:r w:rsidRPr="006C1053">
        <w:rPr>
          <w:rFonts w:ascii="Palatino Linotype" w:eastAsia="Palatino Linotype" w:hAnsi="Palatino Linotype" w:cs="Palatino Linotype"/>
          <w:b/>
        </w:rPr>
        <w:t xml:space="preserve"> </w:t>
      </w:r>
      <w:r w:rsidRPr="006C1053">
        <w:rPr>
          <w:rFonts w:ascii="Palatino Linotype" w:eastAsia="Palatino Linotype" w:hAnsi="Palatino Linotype" w:cs="Palatino Linotype"/>
        </w:rPr>
        <w:t xml:space="preserve">de información motivo del recurso de revisión que ahora se resuelve, se advierte que el particular requirió al  Ayuntamiento de Melchor Ocampo de sus Regidores de nombre Israel Ávila Navarrete, </w:t>
      </w:r>
      <w:proofErr w:type="spellStart"/>
      <w:r w:rsidRPr="006C1053">
        <w:rPr>
          <w:rFonts w:ascii="Palatino Linotype" w:eastAsia="Palatino Linotype" w:hAnsi="Palatino Linotype" w:cs="Palatino Linotype"/>
        </w:rPr>
        <w:t>Fany</w:t>
      </w:r>
      <w:proofErr w:type="spellEnd"/>
      <w:r w:rsidRPr="006C1053">
        <w:rPr>
          <w:rFonts w:ascii="Palatino Linotype" w:eastAsia="Palatino Linotype" w:hAnsi="Palatino Linotype" w:cs="Palatino Linotype"/>
        </w:rPr>
        <w:t xml:space="preserve"> Trujillo Espinoza y Brisa Escalona, lo siguiente:</w:t>
      </w:r>
    </w:p>
    <w:p w14:paraId="302C9ABC" w14:textId="77777777" w:rsidR="00D00806" w:rsidRPr="006C1053" w:rsidRDefault="003725E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Las acciones realizadas en beneficio del municipio con evidencia documental.</w:t>
      </w:r>
    </w:p>
    <w:p w14:paraId="3A38E5DB" w14:textId="77777777" w:rsidR="00D00806" w:rsidRPr="006C1053" w:rsidRDefault="003725E6">
      <w:pPr>
        <w:spacing w:line="360" w:lineRule="auto"/>
        <w:ind w:right="51"/>
        <w:jc w:val="both"/>
        <w:rPr>
          <w:rFonts w:ascii="Palatino Linotype" w:eastAsia="Palatino Linotype" w:hAnsi="Palatino Linotype" w:cs="Palatino Linotype"/>
        </w:rPr>
      </w:pPr>
      <w:r w:rsidRPr="006C1053">
        <w:rPr>
          <w:rFonts w:ascii="Palatino Linotype" w:eastAsia="Palatino Linotype" w:hAnsi="Palatino Linotype" w:cs="Palatino Linotype"/>
        </w:rPr>
        <w:t>En respuesta la Primera Regidora del Ayuntamiento de Melchor Ocampo, le informó sus acciones realizadas con evidencia documental.</w:t>
      </w:r>
    </w:p>
    <w:p w14:paraId="33D6C7F1" w14:textId="77777777" w:rsidR="00D00806" w:rsidRPr="006C1053" w:rsidRDefault="00D00806">
      <w:pPr>
        <w:spacing w:line="360" w:lineRule="auto"/>
        <w:ind w:right="51"/>
        <w:jc w:val="both"/>
        <w:rPr>
          <w:rFonts w:ascii="Palatino Linotype" w:eastAsia="Palatino Linotype" w:hAnsi="Palatino Linotype" w:cs="Palatino Linotype"/>
        </w:rPr>
      </w:pPr>
    </w:p>
    <w:p w14:paraId="51C14A08" w14:textId="77777777" w:rsidR="00D00806" w:rsidRPr="006C1053" w:rsidRDefault="003725E6">
      <w:pPr>
        <w:spacing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El Cuarto Regidor del Ayuntamiento de Melchor Ocampo sólo se concretó a entregar su informe trimestral de actividades.</w:t>
      </w:r>
    </w:p>
    <w:p w14:paraId="7F41FACE"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La Tercera Regidora del Ayuntamiento de Melchor Ocampo, entregó su informe anual 2022 de actividades.</w:t>
      </w:r>
    </w:p>
    <w:p w14:paraId="213FB23D" w14:textId="77777777" w:rsidR="00D00806" w:rsidRPr="006C1053" w:rsidRDefault="003725E6">
      <w:pPr>
        <w:spacing w:before="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Sin embargo el particular de sus motivos de inconformidad se advierte que se quejó de lo siguiente:</w:t>
      </w:r>
    </w:p>
    <w:p w14:paraId="23A59C50" w14:textId="77777777" w:rsidR="00D00806" w:rsidRPr="006C1053" w:rsidRDefault="003725E6">
      <w:pPr>
        <w:spacing w:before="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w:t>
      </w:r>
      <w:r w:rsidRPr="006C1053">
        <w:rPr>
          <w:rFonts w:ascii="Palatino Linotype" w:eastAsia="Palatino Linotype" w:hAnsi="Palatino Linotype" w:cs="Palatino Linotype"/>
          <w:i/>
        </w:rPr>
        <w:t>El cuarto regidor es una burla su trabajo no hace nada en beneficio de la comunidad y mucho menos tiene evidencia documental. Solicito cumpla con sus obligaciones estipuladas en la ley orgánica</w:t>
      </w:r>
      <w:r w:rsidRPr="006C1053">
        <w:rPr>
          <w:rFonts w:ascii="Palatino Linotype" w:eastAsia="Palatino Linotype" w:hAnsi="Palatino Linotype" w:cs="Palatino Linotype"/>
        </w:rPr>
        <w:t>” (Sic)</w:t>
      </w:r>
    </w:p>
    <w:p w14:paraId="236A6DD9" w14:textId="77777777" w:rsidR="00D00806" w:rsidRPr="006C1053" w:rsidRDefault="00D00806">
      <w:pPr>
        <w:spacing w:line="360" w:lineRule="auto"/>
        <w:jc w:val="both"/>
        <w:rPr>
          <w:rFonts w:ascii="Palatino Linotype" w:eastAsia="Palatino Linotype" w:hAnsi="Palatino Linotype" w:cs="Palatino Linotype"/>
        </w:rPr>
      </w:pPr>
    </w:p>
    <w:p w14:paraId="4504EDEE"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Antes del estudio de fondo, se debe establecer que de los motivos de inconformidad de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se advierte que está conforme con la información proporcionada en respuesta, correspondiente a la información proporcionada por la Primera Regidora y Tercer Regidora, ya que de los motivos de inconformidad sólo que inconforma por la información solicitada del Cuarto Regidor.</w:t>
      </w:r>
    </w:p>
    <w:p w14:paraId="6928A3F7" w14:textId="77777777" w:rsidR="00D00806" w:rsidRPr="006C1053" w:rsidRDefault="00D00806">
      <w:pPr>
        <w:spacing w:line="360" w:lineRule="auto"/>
        <w:jc w:val="both"/>
        <w:rPr>
          <w:rFonts w:ascii="Palatino Linotype" w:eastAsia="Palatino Linotype" w:hAnsi="Palatino Linotype" w:cs="Palatino Linotype"/>
        </w:rPr>
      </w:pPr>
    </w:p>
    <w:p w14:paraId="57273922"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6C7B79A" w14:textId="77777777" w:rsidR="00D00806" w:rsidRPr="006C1053" w:rsidRDefault="003725E6">
      <w:pPr>
        <w:spacing w:before="240" w:after="240" w:line="276" w:lineRule="auto"/>
        <w:ind w:left="567" w:right="567"/>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sz w:val="22"/>
          <w:szCs w:val="22"/>
        </w:rPr>
        <w:t>“</w:t>
      </w:r>
      <w:r w:rsidRPr="006C1053">
        <w:rPr>
          <w:rFonts w:ascii="Palatino Linotype" w:eastAsia="Palatino Linotype" w:hAnsi="Palatino Linotype" w:cs="Palatino Linotype"/>
          <w:b/>
          <w:i/>
          <w:sz w:val="22"/>
          <w:szCs w:val="22"/>
        </w:rPr>
        <w:t>REVISIÓN EN AMPARO. LOS RESOLUTIVOS NO COMBATIDOS DEBEN DECLARARSE FIRMES</w:t>
      </w:r>
      <w:r w:rsidRPr="006C1053">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w:t>
      </w:r>
      <w:r w:rsidRPr="006C1053">
        <w:rPr>
          <w:rFonts w:ascii="Palatino Linotype" w:eastAsia="Palatino Linotype" w:hAnsi="Palatino Linotype" w:cs="Palatino Linotype"/>
          <w:i/>
          <w:sz w:val="22"/>
          <w:szCs w:val="22"/>
        </w:rPr>
        <w:lastRenderedPageBreak/>
        <w:t>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06DB5827"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27D19567"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E5D63F7" w14:textId="77777777" w:rsidR="00D00806" w:rsidRPr="006C1053" w:rsidRDefault="003725E6">
      <w:pPr>
        <w:spacing w:before="240" w:after="240" w:line="276" w:lineRule="auto"/>
        <w:ind w:left="567" w:right="567"/>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w:t>
      </w:r>
      <w:r w:rsidRPr="006C1053">
        <w:rPr>
          <w:rFonts w:ascii="Palatino Linotype" w:eastAsia="Palatino Linotype" w:hAnsi="Palatino Linotype" w:cs="Palatino Linotype"/>
          <w:b/>
          <w:i/>
          <w:sz w:val="22"/>
          <w:szCs w:val="22"/>
        </w:rPr>
        <w:t>ACTOS CONSENTIDOS. SON LOS QUE NO SE IMPUGNAN MEDIANTE EL RECURSO IDÓNEO</w:t>
      </w:r>
      <w:r w:rsidRPr="006C1053">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4FD0C283"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Ahora bien, regresando a los motivos de inconformidad de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en donde señaló:</w:t>
      </w:r>
    </w:p>
    <w:p w14:paraId="16C2F5E2" w14:textId="77777777" w:rsidR="00D00806" w:rsidRPr="006C1053" w:rsidRDefault="003725E6">
      <w:pPr>
        <w:spacing w:before="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w:t>
      </w:r>
      <w:r w:rsidRPr="006C1053">
        <w:rPr>
          <w:rFonts w:ascii="Palatino Linotype" w:eastAsia="Palatino Linotype" w:hAnsi="Palatino Linotype" w:cs="Palatino Linotype"/>
          <w:i/>
        </w:rPr>
        <w:t>El cuarto regidor es una burla su trabajo no hace nada en beneficio de la comunidad y mucho menos tiene evidencia documental. Solicito cumpla con sus obligaciones estipuladas en la ley orgánica” (Sic)</w:t>
      </w:r>
    </w:p>
    <w:p w14:paraId="505F8DDB"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Ahora bien, atentos a la inconformidad planteada resulta necesario traer a colación el contenido del artículo 179 de la Ley de Transparencia y Acceso a la Información Pública del Estado de México y Municipios, a saber:</w:t>
      </w:r>
    </w:p>
    <w:p w14:paraId="7CD1F195" w14:textId="77777777" w:rsidR="00D00806" w:rsidRPr="006C1053" w:rsidRDefault="003725E6">
      <w:pPr>
        <w:spacing w:before="120"/>
        <w:ind w:left="851"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“Artículo 179</w:t>
      </w:r>
      <w:r w:rsidRPr="006C1053">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1D2DD7F8"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I.</w:t>
      </w:r>
      <w:r w:rsidRPr="006C1053">
        <w:rPr>
          <w:rFonts w:ascii="Palatino Linotype" w:eastAsia="Palatino Linotype" w:hAnsi="Palatino Linotype" w:cs="Palatino Linotype"/>
          <w:i/>
          <w:sz w:val="22"/>
          <w:szCs w:val="22"/>
        </w:rPr>
        <w:t xml:space="preserve"> La negativa a la información solicitada;</w:t>
      </w:r>
    </w:p>
    <w:p w14:paraId="02C2FBDF"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II</w:t>
      </w:r>
      <w:r w:rsidRPr="006C1053">
        <w:rPr>
          <w:rFonts w:ascii="Palatino Linotype" w:eastAsia="Palatino Linotype" w:hAnsi="Palatino Linotype" w:cs="Palatino Linotype"/>
          <w:i/>
          <w:sz w:val="22"/>
          <w:szCs w:val="22"/>
        </w:rPr>
        <w:t>. La clasificación de la información;</w:t>
      </w:r>
    </w:p>
    <w:p w14:paraId="0D454506"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III</w:t>
      </w:r>
      <w:r w:rsidRPr="006C1053">
        <w:rPr>
          <w:rFonts w:ascii="Palatino Linotype" w:eastAsia="Palatino Linotype" w:hAnsi="Palatino Linotype" w:cs="Palatino Linotype"/>
          <w:i/>
          <w:sz w:val="22"/>
          <w:szCs w:val="22"/>
        </w:rPr>
        <w:t>. La declaración de inexistencia de la información;</w:t>
      </w:r>
    </w:p>
    <w:p w14:paraId="3575B4B3"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IV</w:t>
      </w:r>
      <w:r w:rsidRPr="006C1053">
        <w:rPr>
          <w:rFonts w:ascii="Palatino Linotype" w:eastAsia="Palatino Linotype" w:hAnsi="Palatino Linotype" w:cs="Palatino Linotype"/>
          <w:i/>
          <w:sz w:val="22"/>
          <w:szCs w:val="22"/>
        </w:rPr>
        <w:t>. La declaración de incompetencia por el sujeto obligado;</w:t>
      </w:r>
    </w:p>
    <w:p w14:paraId="7FA2065D"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V</w:t>
      </w:r>
      <w:r w:rsidRPr="006C1053">
        <w:rPr>
          <w:rFonts w:ascii="Palatino Linotype" w:eastAsia="Palatino Linotype" w:hAnsi="Palatino Linotype" w:cs="Palatino Linotype"/>
          <w:i/>
          <w:sz w:val="22"/>
          <w:szCs w:val="22"/>
        </w:rPr>
        <w:t>. La entrega de información incompleta;</w:t>
      </w:r>
    </w:p>
    <w:p w14:paraId="05DB1C6B"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VI.</w:t>
      </w:r>
      <w:r w:rsidRPr="006C1053">
        <w:rPr>
          <w:rFonts w:ascii="Palatino Linotype" w:eastAsia="Palatino Linotype" w:hAnsi="Palatino Linotype" w:cs="Palatino Linotype"/>
          <w:i/>
          <w:sz w:val="22"/>
          <w:szCs w:val="22"/>
        </w:rPr>
        <w:t xml:space="preserve"> La entrega de información que no corresponda con lo solicitado;</w:t>
      </w:r>
    </w:p>
    <w:p w14:paraId="41DDE773"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VII</w:t>
      </w:r>
      <w:r w:rsidRPr="006C1053">
        <w:rPr>
          <w:rFonts w:ascii="Palatino Linotype" w:eastAsia="Palatino Linotype" w:hAnsi="Palatino Linotype" w:cs="Palatino Linotype"/>
          <w:i/>
          <w:sz w:val="22"/>
          <w:szCs w:val="22"/>
        </w:rPr>
        <w:t>. La falta de respuesta a una solicitud de acceso a la información;</w:t>
      </w:r>
    </w:p>
    <w:p w14:paraId="7904F18D"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VIII</w:t>
      </w:r>
      <w:r w:rsidRPr="006C1053">
        <w:rPr>
          <w:rFonts w:ascii="Palatino Linotype" w:eastAsia="Palatino Linotype" w:hAnsi="Palatino Linotype" w:cs="Palatino Linotype"/>
          <w:i/>
          <w:sz w:val="22"/>
          <w:szCs w:val="22"/>
        </w:rPr>
        <w:t>. La notificación, entrega o puesta a disposición de información en una modalidad o formato distinto al solicitado;</w:t>
      </w:r>
    </w:p>
    <w:p w14:paraId="4DB3B910"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IX.</w:t>
      </w:r>
      <w:r w:rsidRPr="006C1053">
        <w:rPr>
          <w:rFonts w:ascii="Palatino Linotype" w:eastAsia="Palatino Linotype" w:hAnsi="Palatino Linotype" w:cs="Palatino Linotype"/>
          <w:i/>
          <w:sz w:val="22"/>
          <w:szCs w:val="22"/>
        </w:rPr>
        <w:t xml:space="preserve"> La entrega o puesta a disposición de información en un formato incomprensible y/o no accesible para el solicitante;</w:t>
      </w:r>
    </w:p>
    <w:p w14:paraId="02CF8AFC"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X.</w:t>
      </w:r>
      <w:r w:rsidRPr="006C1053">
        <w:rPr>
          <w:rFonts w:ascii="Palatino Linotype" w:eastAsia="Palatino Linotype" w:hAnsi="Palatino Linotype" w:cs="Palatino Linotype"/>
          <w:i/>
          <w:sz w:val="22"/>
          <w:szCs w:val="22"/>
        </w:rPr>
        <w:t xml:space="preserve"> Los costos o tiempos de entrega de la información;</w:t>
      </w:r>
    </w:p>
    <w:p w14:paraId="6F1395CC"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XI.</w:t>
      </w:r>
      <w:r w:rsidRPr="006C1053">
        <w:rPr>
          <w:rFonts w:ascii="Palatino Linotype" w:eastAsia="Palatino Linotype" w:hAnsi="Palatino Linotype" w:cs="Palatino Linotype"/>
          <w:i/>
          <w:sz w:val="22"/>
          <w:szCs w:val="22"/>
        </w:rPr>
        <w:t xml:space="preserve"> La falta de trámite a una solicitud;</w:t>
      </w:r>
    </w:p>
    <w:p w14:paraId="5D66B26A"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XII.</w:t>
      </w:r>
      <w:r w:rsidRPr="006C1053">
        <w:rPr>
          <w:rFonts w:ascii="Palatino Linotype" w:eastAsia="Palatino Linotype" w:hAnsi="Palatino Linotype" w:cs="Palatino Linotype"/>
          <w:i/>
          <w:sz w:val="22"/>
          <w:szCs w:val="22"/>
        </w:rPr>
        <w:t xml:space="preserve"> La negativa a permitir la consulta directa de la información;</w:t>
      </w:r>
    </w:p>
    <w:p w14:paraId="47D76E4A"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XIII.</w:t>
      </w:r>
      <w:r w:rsidRPr="006C1053">
        <w:rPr>
          <w:rFonts w:ascii="Palatino Linotype" w:eastAsia="Palatino Linotype" w:hAnsi="Palatino Linotype" w:cs="Palatino Linotype"/>
          <w:i/>
          <w:sz w:val="22"/>
          <w:szCs w:val="22"/>
        </w:rPr>
        <w:t xml:space="preserve"> La falta, deficiencia o insuficiencia de la fundamentación y/o motivación en la respuesta; y</w:t>
      </w:r>
    </w:p>
    <w:p w14:paraId="2EAEE84C"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XIV</w:t>
      </w:r>
      <w:r w:rsidRPr="006C1053">
        <w:rPr>
          <w:rFonts w:ascii="Palatino Linotype" w:eastAsia="Palatino Linotype" w:hAnsi="Palatino Linotype" w:cs="Palatino Linotype"/>
          <w:i/>
          <w:sz w:val="22"/>
          <w:szCs w:val="22"/>
        </w:rPr>
        <w:t>. La orientación a un trámite específico.</w:t>
      </w:r>
    </w:p>
    <w:p w14:paraId="0712762B" w14:textId="77777777" w:rsidR="00D00806" w:rsidRPr="006C1053" w:rsidRDefault="003725E6">
      <w:pPr>
        <w:ind w:left="851"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A4BF8D4" w14:textId="77777777" w:rsidR="00D00806" w:rsidRPr="006C1053" w:rsidRDefault="00D00806">
      <w:pPr>
        <w:spacing w:line="360" w:lineRule="auto"/>
        <w:jc w:val="both"/>
        <w:rPr>
          <w:rFonts w:ascii="Palatino Linotype" w:eastAsia="Palatino Linotype" w:hAnsi="Palatino Linotype" w:cs="Palatino Linotype"/>
        </w:rPr>
      </w:pPr>
    </w:p>
    <w:p w14:paraId="7F95D978"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De la interpretación sistemática del precepto legal citado, no se advierte que la causa invocada por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actualice alguno de los supuestos que la norma jurídica contempla para la procedencia del recurso de revisión, sin que se abierta que impugne la información entregada por el Cuarto Regidor.</w:t>
      </w:r>
    </w:p>
    <w:p w14:paraId="32C4C57C" w14:textId="77777777" w:rsidR="00D00806" w:rsidRPr="006C1053" w:rsidRDefault="00D00806">
      <w:pPr>
        <w:spacing w:line="360" w:lineRule="auto"/>
        <w:jc w:val="both"/>
        <w:rPr>
          <w:rFonts w:ascii="Palatino Linotype" w:eastAsia="Palatino Linotype" w:hAnsi="Palatino Linotype" w:cs="Palatino Linotype"/>
        </w:rPr>
      </w:pPr>
    </w:p>
    <w:p w14:paraId="41D8E74F"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lastRenderedPageBreak/>
        <w:t>Por lo tanto, resulta aplicable al caso concreto el contenido de los artículos 186, 191, y 192, de la de la Ley de Transparencia y Acceso a la Información Pública del Estado de México y Municipios, que disponen lo siguiente:</w:t>
      </w:r>
    </w:p>
    <w:p w14:paraId="392EA38E" w14:textId="77777777" w:rsidR="00D00806" w:rsidRPr="006C1053" w:rsidRDefault="00D00806">
      <w:pPr>
        <w:spacing w:line="360" w:lineRule="auto"/>
        <w:jc w:val="both"/>
        <w:rPr>
          <w:rFonts w:ascii="Palatino Linotype" w:eastAsia="Palatino Linotype" w:hAnsi="Palatino Linotype" w:cs="Palatino Linotype"/>
        </w:rPr>
      </w:pPr>
    </w:p>
    <w:p w14:paraId="4D4560F7" w14:textId="77777777" w:rsidR="00D00806" w:rsidRPr="006C1053" w:rsidRDefault="003725E6">
      <w:pPr>
        <w:ind w:left="851" w:right="902"/>
        <w:jc w:val="both"/>
        <w:rPr>
          <w:rFonts w:ascii="Palatino Linotype" w:eastAsia="Palatino Linotype" w:hAnsi="Palatino Linotype" w:cs="Palatino Linotype"/>
          <w:i/>
          <w:sz w:val="22"/>
          <w:szCs w:val="22"/>
        </w:rPr>
      </w:pPr>
      <w:bookmarkStart w:id="4" w:name="_heading=h.1fob9te" w:colFirst="0" w:colLast="0"/>
      <w:bookmarkEnd w:id="4"/>
      <w:r w:rsidRPr="006C1053">
        <w:rPr>
          <w:rFonts w:ascii="Palatino Linotype" w:eastAsia="Palatino Linotype" w:hAnsi="Palatino Linotype" w:cs="Palatino Linotype"/>
          <w:b/>
          <w:i/>
          <w:sz w:val="22"/>
          <w:szCs w:val="22"/>
        </w:rPr>
        <w:t xml:space="preserve">“Artículo 186. </w:t>
      </w:r>
      <w:r w:rsidRPr="006C1053">
        <w:rPr>
          <w:rFonts w:ascii="Palatino Linotype" w:eastAsia="Palatino Linotype" w:hAnsi="Palatino Linotype" w:cs="Palatino Linotype"/>
          <w:i/>
          <w:sz w:val="22"/>
          <w:szCs w:val="22"/>
        </w:rPr>
        <w:t>Las resoluciones del Instituto podrán:</w:t>
      </w:r>
    </w:p>
    <w:p w14:paraId="79A5D086" w14:textId="77777777" w:rsidR="00D00806" w:rsidRPr="006C1053" w:rsidRDefault="003725E6">
      <w:pPr>
        <w:ind w:left="1134" w:right="902"/>
        <w:jc w:val="both"/>
        <w:rPr>
          <w:rFonts w:ascii="Palatino Linotype" w:eastAsia="Palatino Linotype" w:hAnsi="Palatino Linotype" w:cs="Palatino Linotype"/>
          <w:b/>
          <w:i/>
          <w:sz w:val="22"/>
          <w:szCs w:val="22"/>
        </w:rPr>
      </w:pPr>
      <w:r w:rsidRPr="006C1053">
        <w:rPr>
          <w:rFonts w:ascii="Palatino Linotype" w:eastAsia="Palatino Linotype" w:hAnsi="Palatino Linotype" w:cs="Palatino Linotype"/>
          <w:b/>
          <w:i/>
          <w:sz w:val="22"/>
          <w:szCs w:val="22"/>
        </w:rPr>
        <w:t>I. Desechar o sobreseer el recurso;</w:t>
      </w:r>
    </w:p>
    <w:p w14:paraId="693D9AFD"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II. </w:t>
      </w:r>
      <w:r w:rsidRPr="006C1053">
        <w:rPr>
          <w:rFonts w:ascii="Palatino Linotype" w:eastAsia="Palatino Linotype" w:hAnsi="Palatino Linotype" w:cs="Palatino Linotype"/>
          <w:i/>
          <w:sz w:val="22"/>
          <w:szCs w:val="22"/>
        </w:rPr>
        <w:t>Confirmar la respuesta del sujeto obligado;</w:t>
      </w:r>
    </w:p>
    <w:p w14:paraId="7B6FD4EB"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III. </w:t>
      </w:r>
      <w:r w:rsidRPr="006C1053">
        <w:rPr>
          <w:rFonts w:ascii="Palatino Linotype" w:eastAsia="Palatino Linotype" w:hAnsi="Palatino Linotype" w:cs="Palatino Linotype"/>
          <w:i/>
          <w:sz w:val="22"/>
          <w:szCs w:val="22"/>
        </w:rPr>
        <w:t>Revocar o modificar la respuesta del sujeto obligado; y</w:t>
      </w:r>
    </w:p>
    <w:p w14:paraId="0C4822A0"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IV. </w:t>
      </w:r>
      <w:r w:rsidRPr="006C1053">
        <w:rPr>
          <w:rFonts w:ascii="Palatino Linotype" w:eastAsia="Palatino Linotype" w:hAnsi="Palatino Linotype" w:cs="Palatino Linotype"/>
          <w:i/>
          <w:sz w:val="22"/>
          <w:szCs w:val="22"/>
        </w:rPr>
        <w:t>Ordenar la entrega de la información…”</w:t>
      </w:r>
    </w:p>
    <w:p w14:paraId="4665134A" w14:textId="77777777" w:rsidR="00D00806" w:rsidRPr="006C1053" w:rsidRDefault="003725E6">
      <w:pPr>
        <w:ind w:left="851" w:right="902"/>
        <w:jc w:val="both"/>
        <w:rPr>
          <w:rFonts w:ascii="Palatino Linotype" w:eastAsia="Palatino Linotype" w:hAnsi="Palatino Linotype" w:cs="Palatino Linotype"/>
          <w:b/>
          <w:i/>
          <w:sz w:val="22"/>
          <w:szCs w:val="22"/>
        </w:rPr>
      </w:pPr>
      <w:r w:rsidRPr="006C1053">
        <w:rPr>
          <w:rFonts w:ascii="Palatino Linotype" w:eastAsia="Palatino Linotype" w:hAnsi="Palatino Linotype" w:cs="Palatino Linotype"/>
          <w:b/>
          <w:i/>
          <w:sz w:val="22"/>
          <w:szCs w:val="22"/>
        </w:rPr>
        <w:t>...</w:t>
      </w:r>
    </w:p>
    <w:p w14:paraId="2EA1DC72" w14:textId="77777777" w:rsidR="00D00806" w:rsidRPr="006C1053" w:rsidRDefault="003725E6">
      <w:pPr>
        <w:ind w:left="851"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Artículo 191. </w:t>
      </w:r>
      <w:r w:rsidRPr="006C1053">
        <w:rPr>
          <w:rFonts w:ascii="Palatino Linotype" w:eastAsia="Palatino Linotype" w:hAnsi="Palatino Linotype" w:cs="Palatino Linotype"/>
          <w:i/>
          <w:sz w:val="22"/>
          <w:szCs w:val="22"/>
        </w:rPr>
        <w:t>El recurso será desechado por improcedente cuando:</w:t>
      </w:r>
    </w:p>
    <w:p w14:paraId="1292BDBC" w14:textId="77777777" w:rsidR="00D00806" w:rsidRPr="006C1053" w:rsidRDefault="003725E6">
      <w:pPr>
        <w:tabs>
          <w:tab w:val="left" w:pos="1276"/>
        </w:tabs>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 </w:t>
      </w:r>
      <w:r w:rsidRPr="006C1053">
        <w:rPr>
          <w:rFonts w:ascii="Palatino Linotype" w:eastAsia="Palatino Linotype" w:hAnsi="Palatino Linotype" w:cs="Palatino Linotype"/>
          <w:i/>
          <w:sz w:val="22"/>
          <w:szCs w:val="22"/>
        </w:rPr>
        <w:t>Sea extemporáneo por haber transcurrido el plazo establecido en la presente Ley, a partir de la respuesta;</w:t>
      </w:r>
    </w:p>
    <w:p w14:paraId="2285913E" w14:textId="77777777" w:rsidR="00D00806" w:rsidRPr="006C1053" w:rsidRDefault="003725E6">
      <w:pPr>
        <w:tabs>
          <w:tab w:val="left" w:pos="1276"/>
        </w:tabs>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II. </w:t>
      </w:r>
      <w:r w:rsidRPr="006C1053">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7921B6FC" w14:textId="77777777" w:rsidR="00D00806" w:rsidRPr="006C1053" w:rsidRDefault="003725E6">
      <w:pPr>
        <w:tabs>
          <w:tab w:val="left" w:pos="1276"/>
        </w:tabs>
        <w:ind w:left="1134" w:right="902"/>
        <w:jc w:val="both"/>
        <w:rPr>
          <w:rFonts w:ascii="Palatino Linotype" w:eastAsia="Palatino Linotype" w:hAnsi="Palatino Linotype" w:cs="Palatino Linotype"/>
          <w:b/>
          <w:i/>
          <w:sz w:val="22"/>
          <w:szCs w:val="22"/>
        </w:rPr>
      </w:pPr>
      <w:r w:rsidRPr="006C1053">
        <w:rPr>
          <w:rFonts w:ascii="Palatino Linotype" w:eastAsia="Palatino Linotype" w:hAnsi="Palatino Linotype" w:cs="Palatino Linotype"/>
          <w:b/>
          <w:i/>
          <w:sz w:val="22"/>
          <w:szCs w:val="22"/>
        </w:rPr>
        <w:t>III. No actualice alguno de los supuestos previstos en la presente Ley;</w:t>
      </w:r>
    </w:p>
    <w:p w14:paraId="1D75DBFB" w14:textId="77777777" w:rsidR="00D00806" w:rsidRPr="006C1053" w:rsidRDefault="003725E6">
      <w:pPr>
        <w:tabs>
          <w:tab w:val="left" w:pos="1276"/>
        </w:tabs>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IV. </w:t>
      </w:r>
      <w:r w:rsidRPr="006C1053">
        <w:rPr>
          <w:rFonts w:ascii="Palatino Linotype" w:eastAsia="Palatino Linotype" w:hAnsi="Palatino Linotype" w:cs="Palatino Linotype"/>
          <w:i/>
          <w:sz w:val="22"/>
          <w:szCs w:val="22"/>
        </w:rPr>
        <w:t>No se haya desahogado la prevención en los términos establecidos en la presente Ley;</w:t>
      </w:r>
    </w:p>
    <w:p w14:paraId="4D84FE87" w14:textId="77777777" w:rsidR="00D00806" w:rsidRPr="006C1053" w:rsidRDefault="003725E6">
      <w:pPr>
        <w:tabs>
          <w:tab w:val="left" w:pos="1276"/>
        </w:tabs>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i/>
          <w:sz w:val="22"/>
          <w:szCs w:val="22"/>
        </w:rPr>
        <w:t>V. Se impugne la veracidad de la información proporcionada;</w:t>
      </w:r>
    </w:p>
    <w:p w14:paraId="022572CA" w14:textId="77777777" w:rsidR="00D00806" w:rsidRPr="006C1053" w:rsidRDefault="003725E6">
      <w:pPr>
        <w:tabs>
          <w:tab w:val="left" w:pos="1276"/>
        </w:tabs>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VI. </w:t>
      </w:r>
      <w:r w:rsidRPr="006C1053">
        <w:rPr>
          <w:rFonts w:ascii="Palatino Linotype" w:eastAsia="Palatino Linotype" w:hAnsi="Palatino Linotype" w:cs="Palatino Linotype"/>
          <w:i/>
          <w:sz w:val="22"/>
          <w:szCs w:val="22"/>
        </w:rPr>
        <w:t>Se trate de una consulta, o trámite en específico; y</w:t>
      </w:r>
    </w:p>
    <w:p w14:paraId="71B15884" w14:textId="77777777" w:rsidR="00D00806" w:rsidRPr="006C1053" w:rsidRDefault="003725E6">
      <w:pPr>
        <w:tabs>
          <w:tab w:val="left" w:pos="1276"/>
        </w:tabs>
        <w:ind w:left="1134" w:right="902"/>
        <w:jc w:val="both"/>
        <w:rPr>
          <w:rFonts w:ascii="Palatino Linotype" w:eastAsia="Palatino Linotype" w:hAnsi="Palatino Linotype" w:cs="Palatino Linotype"/>
          <w:b/>
          <w:i/>
          <w:sz w:val="22"/>
          <w:szCs w:val="22"/>
        </w:rPr>
      </w:pPr>
      <w:r w:rsidRPr="006C1053">
        <w:rPr>
          <w:rFonts w:ascii="Palatino Linotype" w:eastAsia="Palatino Linotype" w:hAnsi="Palatino Linotype" w:cs="Palatino Linotype"/>
          <w:b/>
          <w:i/>
          <w:sz w:val="22"/>
          <w:szCs w:val="22"/>
        </w:rPr>
        <w:t xml:space="preserve">VII. </w:t>
      </w:r>
      <w:r w:rsidRPr="006C1053">
        <w:rPr>
          <w:rFonts w:ascii="Palatino Linotype" w:eastAsia="Palatino Linotype" w:hAnsi="Palatino Linotype" w:cs="Palatino Linotype"/>
          <w:i/>
          <w:sz w:val="22"/>
          <w:szCs w:val="22"/>
        </w:rPr>
        <w:t>El recurrente amplíe su solicitud en el recurso de revisión, únicamente respecto de los nuevos contenidos.”</w:t>
      </w:r>
    </w:p>
    <w:p w14:paraId="3B9DB572" w14:textId="77777777" w:rsidR="00D00806" w:rsidRPr="006C1053" w:rsidRDefault="003725E6">
      <w:pPr>
        <w:ind w:left="851"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Artículo 192. </w:t>
      </w:r>
      <w:r w:rsidRPr="006C1053">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C4699C7"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 </w:t>
      </w:r>
      <w:r w:rsidRPr="006C1053">
        <w:rPr>
          <w:rFonts w:ascii="Palatino Linotype" w:eastAsia="Palatino Linotype" w:hAnsi="Palatino Linotype" w:cs="Palatino Linotype"/>
          <w:i/>
          <w:sz w:val="22"/>
          <w:szCs w:val="22"/>
        </w:rPr>
        <w:t>El recurrente se desista expresamente del recurso;</w:t>
      </w:r>
    </w:p>
    <w:p w14:paraId="2B862616"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II. </w:t>
      </w:r>
      <w:r w:rsidRPr="006C1053">
        <w:rPr>
          <w:rFonts w:ascii="Palatino Linotype" w:eastAsia="Palatino Linotype" w:hAnsi="Palatino Linotype" w:cs="Palatino Linotype"/>
          <w:i/>
          <w:sz w:val="22"/>
          <w:szCs w:val="22"/>
        </w:rPr>
        <w:t>El recurrente fallezca o, tratándose de personas jurídicas colectivas, se disuelva;</w:t>
      </w:r>
    </w:p>
    <w:p w14:paraId="546FD5B6" w14:textId="77777777" w:rsidR="00D00806" w:rsidRPr="006C1053" w:rsidRDefault="003725E6">
      <w:pPr>
        <w:ind w:left="1134" w:right="902"/>
        <w:jc w:val="both"/>
        <w:rPr>
          <w:rFonts w:ascii="Palatino Linotype" w:eastAsia="Palatino Linotype" w:hAnsi="Palatino Linotype" w:cs="Palatino Linotype"/>
          <w:i/>
          <w:sz w:val="22"/>
          <w:szCs w:val="22"/>
        </w:rPr>
      </w:pPr>
      <w:r w:rsidRPr="006C1053">
        <w:rPr>
          <w:rFonts w:ascii="Palatino Linotype" w:eastAsia="Palatino Linotype" w:hAnsi="Palatino Linotype" w:cs="Palatino Linotype"/>
          <w:b/>
          <w:i/>
          <w:sz w:val="22"/>
          <w:szCs w:val="22"/>
        </w:rPr>
        <w:t xml:space="preserve">III. </w:t>
      </w:r>
      <w:r w:rsidRPr="006C1053">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6166780A" w14:textId="77777777" w:rsidR="00D00806" w:rsidRPr="006C1053" w:rsidRDefault="003725E6">
      <w:pPr>
        <w:ind w:left="1134" w:right="902"/>
        <w:jc w:val="both"/>
        <w:rPr>
          <w:rFonts w:ascii="Palatino Linotype" w:eastAsia="Palatino Linotype" w:hAnsi="Palatino Linotype" w:cs="Palatino Linotype"/>
          <w:b/>
          <w:i/>
          <w:sz w:val="22"/>
          <w:szCs w:val="22"/>
        </w:rPr>
      </w:pPr>
      <w:r w:rsidRPr="006C1053">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3317F811" w14:textId="77777777" w:rsidR="00D00806" w:rsidRPr="006C1053" w:rsidRDefault="003725E6">
      <w:pPr>
        <w:ind w:left="1134" w:right="902"/>
        <w:jc w:val="both"/>
        <w:rPr>
          <w:rFonts w:ascii="Palatino Linotype" w:eastAsia="Palatino Linotype" w:hAnsi="Palatino Linotype" w:cs="Palatino Linotype"/>
          <w:sz w:val="22"/>
          <w:szCs w:val="22"/>
        </w:rPr>
      </w:pPr>
      <w:r w:rsidRPr="006C1053">
        <w:rPr>
          <w:rFonts w:ascii="Palatino Linotype" w:eastAsia="Palatino Linotype" w:hAnsi="Palatino Linotype" w:cs="Palatino Linotype"/>
          <w:b/>
          <w:i/>
          <w:sz w:val="22"/>
          <w:szCs w:val="22"/>
        </w:rPr>
        <w:t xml:space="preserve">V. </w:t>
      </w:r>
      <w:r w:rsidRPr="006C1053">
        <w:rPr>
          <w:rFonts w:ascii="Palatino Linotype" w:eastAsia="Palatino Linotype" w:hAnsi="Palatino Linotype" w:cs="Palatino Linotype"/>
          <w:i/>
          <w:sz w:val="22"/>
          <w:szCs w:val="22"/>
        </w:rPr>
        <w:t>Cuando por cualquier motivo quede sin materia el recurso</w:t>
      </w:r>
      <w:r w:rsidRPr="006C1053">
        <w:rPr>
          <w:rFonts w:ascii="Palatino Linotype" w:eastAsia="Palatino Linotype" w:hAnsi="Palatino Linotype" w:cs="Palatino Linotype"/>
          <w:sz w:val="22"/>
          <w:szCs w:val="22"/>
        </w:rPr>
        <w:t>.”(Sic)</w:t>
      </w:r>
    </w:p>
    <w:p w14:paraId="39947540" w14:textId="77777777" w:rsidR="00D00806" w:rsidRPr="006C1053" w:rsidRDefault="00D00806">
      <w:pPr>
        <w:spacing w:after="120"/>
        <w:ind w:left="1134" w:right="902"/>
        <w:jc w:val="both"/>
        <w:rPr>
          <w:rFonts w:ascii="Palatino Linotype" w:eastAsia="Palatino Linotype" w:hAnsi="Palatino Linotype" w:cs="Palatino Linotype"/>
          <w:sz w:val="22"/>
          <w:szCs w:val="22"/>
        </w:rPr>
      </w:pPr>
    </w:p>
    <w:p w14:paraId="0F62E042" w14:textId="77777777" w:rsidR="00D00806" w:rsidRPr="006C1053" w:rsidRDefault="003725E6">
      <w:pPr>
        <w:spacing w:before="12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Cabe destacar que, la Ley de la Materia da la posibilidad de desechar el recurso de revisión en el momento procesal en que también se puede admitir, por alguna de </w:t>
      </w:r>
      <w:r w:rsidRPr="006C1053">
        <w:rPr>
          <w:rFonts w:ascii="Palatino Linotype" w:eastAsia="Palatino Linotype" w:hAnsi="Palatino Linotype" w:cs="Palatino Linotype"/>
        </w:rPr>
        <w:lastRenderedPageBreak/>
        <w:t>las causales transcritas, artículo que tiene un momento de aplicabilidad previo a la admisión del recurso de revisión por no reunir los requisitos de procedibilidad previstos en el artículo 179 de la Ley en la Materia.</w:t>
      </w:r>
    </w:p>
    <w:p w14:paraId="5F420CCE"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6C1053">
        <w:rPr>
          <w:rFonts w:ascii="Palatino Linotype" w:eastAsia="Palatino Linotype" w:hAnsi="Palatino Linotype" w:cs="Palatino Linotype"/>
        </w:rPr>
        <w:t>desechamiento</w:t>
      </w:r>
      <w:proofErr w:type="spellEnd"/>
      <w:r w:rsidRPr="006C1053">
        <w:rPr>
          <w:rFonts w:ascii="Palatino Linotype" w:eastAsia="Palatino Linotype" w:hAnsi="Palatino Linotype" w:cs="Palatino Linotype"/>
          <w:vertAlign w:val="superscript"/>
        </w:rPr>
        <w:footnoteReference w:id="1"/>
      </w:r>
      <w:r w:rsidRPr="006C1053">
        <w:rPr>
          <w:rFonts w:ascii="Palatino Linotype" w:eastAsia="Palatino Linotype" w:hAnsi="Palatino Linotype" w:cs="Palatino Linotype"/>
        </w:rPr>
        <w:t>, porque está ya sería posterior a la etapa procedimental en la que debió desecharse.</w:t>
      </w:r>
    </w:p>
    <w:p w14:paraId="03F229F5" w14:textId="77777777" w:rsidR="00D00806" w:rsidRPr="006C1053" w:rsidRDefault="003725E6">
      <w:pPr>
        <w:spacing w:before="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14:paraId="7C405DCA" w14:textId="77777777" w:rsidR="00D00806" w:rsidRPr="006C1053" w:rsidRDefault="003725E6">
      <w:pPr>
        <w:spacing w:line="360" w:lineRule="auto"/>
        <w:ind w:right="51"/>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IV del artículo 192 de la Ley de Transparencia Local, en relación directa con la fracción III del artículo 191 de la misma Ley, toda vez que los motivos de inconformidad no actualizan ninguna causal de procedencia. </w:t>
      </w:r>
    </w:p>
    <w:p w14:paraId="4C5AFAA7" w14:textId="77777777" w:rsidR="00D00806" w:rsidRPr="006C1053" w:rsidRDefault="003725E6">
      <w:pPr>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En consecuencia, resulta procedente </w:t>
      </w:r>
      <w:r w:rsidRPr="006C1053">
        <w:rPr>
          <w:rFonts w:ascii="Palatino Linotype" w:eastAsia="Palatino Linotype" w:hAnsi="Palatino Linotype" w:cs="Palatino Linotype"/>
          <w:i/>
        </w:rPr>
        <w:t>sobreseer</w:t>
      </w:r>
      <w:r w:rsidRPr="006C1053">
        <w:rPr>
          <w:rFonts w:ascii="Palatino Linotype" w:eastAsia="Palatino Linotype" w:hAnsi="Palatino Linotype" w:cs="Palatino Linotype"/>
        </w:rPr>
        <w:t xml:space="preserve"> el recurso de revisión materia de la presente resolución en términos del artículo 186 fracción I de la de la Ley de </w:t>
      </w:r>
      <w:r w:rsidRPr="006C1053">
        <w:rPr>
          <w:rFonts w:ascii="Palatino Linotype" w:eastAsia="Palatino Linotype" w:hAnsi="Palatino Linotype" w:cs="Palatino Linotype"/>
        </w:rPr>
        <w:lastRenderedPageBreak/>
        <w:t>Transparencia y Acceso a la Información Pública del Estado de México y Municipios en relación directa con los artículos 191, fracción III y 192, fracción IV de mismo ordenamiento legal.</w:t>
      </w:r>
    </w:p>
    <w:p w14:paraId="594EC4A3" w14:textId="77777777" w:rsidR="00D00806" w:rsidRPr="006C1053" w:rsidRDefault="003725E6">
      <w:pPr>
        <w:spacing w:before="240" w:after="240" w:line="360" w:lineRule="auto"/>
        <w:jc w:val="both"/>
        <w:rPr>
          <w:rFonts w:ascii="Palatino Linotype" w:eastAsia="Palatino Linotype" w:hAnsi="Palatino Linotype" w:cs="Palatino Linotype"/>
          <w:b/>
        </w:rPr>
      </w:pPr>
      <w:r w:rsidRPr="006C1053">
        <w:rPr>
          <w:rFonts w:ascii="Palatino Linotype" w:eastAsia="Palatino Linotype" w:hAnsi="Palatino Linotype" w:cs="Palatino Linotype"/>
        </w:rPr>
        <w:t xml:space="preserve">Atento a los razonamientos lógico jurídicos que han quedado precisados y toda vez que el  </w:t>
      </w:r>
      <w:r w:rsidRPr="006C1053">
        <w:rPr>
          <w:rFonts w:ascii="Palatino Linotype" w:eastAsia="Palatino Linotype" w:hAnsi="Palatino Linotype" w:cs="Palatino Linotype"/>
          <w:i/>
        </w:rPr>
        <w:t xml:space="preserve">sobreseimiento </w:t>
      </w:r>
      <w:r w:rsidRPr="006C1053">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6C1053">
        <w:rPr>
          <w:rFonts w:ascii="Palatino Linotype" w:eastAsia="Palatino Linotype" w:hAnsi="Palatino Linotype" w:cs="Palatino Linotype"/>
          <w:b/>
        </w:rPr>
        <w:t>SOBRESEIMIENTO, NO PERMITE ENTRAR AL ESTUDIO DE LAS CUESTIONES DE FONDO</w:t>
      </w:r>
      <w:r w:rsidRPr="006C1053">
        <w:rPr>
          <w:rFonts w:ascii="Palatino Linotype" w:eastAsia="Palatino Linotype" w:hAnsi="Palatino Linotype" w:cs="Palatino Linotype"/>
          <w:vertAlign w:val="superscript"/>
        </w:rPr>
        <w:footnoteReference w:id="2"/>
      </w:r>
      <w:r w:rsidRPr="006C1053">
        <w:rPr>
          <w:rFonts w:ascii="Palatino Linotype" w:eastAsia="Palatino Linotype" w:hAnsi="Palatino Linotype" w:cs="Palatino Linotype"/>
          <w:b/>
        </w:rPr>
        <w:t>.</w:t>
      </w:r>
    </w:p>
    <w:p w14:paraId="3DDA979A" w14:textId="77777777" w:rsidR="00D00806" w:rsidRPr="006C1053" w:rsidRDefault="003725E6">
      <w:pPr>
        <w:spacing w:before="240" w:after="240" w:line="360" w:lineRule="auto"/>
        <w:ind w:right="49"/>
        <w:jc w:val="both"/>
        <w:rPr>
          <w:rFonts w:ascii="Palatino Linotype" w:eastAsia="Palatino Linotype" w:hAnsi="Palatino Linotype" w:cs="Palatino Linotype"/>
        </w:rPr>
      </w:pPr>
      <w:r w:rsidRPr="006C1053">
        <w:rPr>
          <w:rFonts w:ascii="Palatino Linotype" w:eastAsia="Palatino Linotype" w:hAnsi="Palatino Linotype" w:cs="Palatino Linotype"/>
        </w:rPr>
        <w:t xml:space="preserve">Así las cosas, con fundamento en lo prescrito en los artículos 5 párrafos </w:t>
      </w:r>
      <w:r w:rsidR="008E3ABE" w:rsidRPr="006C1053">
        <w:rPr>
          <w:rFonts w:ascii="Palatino Linotype" w:eastAsia="Palatino Linotype" w:hAnsi="Palatino Linotype" w:cs="Palatino Linotype"/>
        </w:rPr>
        <w:t xml:space="preserve">trigésimo segundo, trigésimo tercero y trigésimo cuarto; fracciones IV y V </w:t>
      </w:r>
      <w:r w:rsidRPr="006C1053">
        <w:rPr>
          <w:rFonts w:ascii="Palatino Linotype" w:eastAsia="Palatino Linotype" w:hAnsi="Palatino Linotype" w:cs="Palatino Linotype"/>
        </w:rPr>
        <w:t>de la Constitución Política del Estado Libre y Soberano de México; 2, fracción II; 29, 36 fracciones I y II; 176, 178, 179, 181 y 185 de la Ley de Transparencia y Acceso a la Información Pública del Estado de México y Municipios, este Pleno:</w:t>
      </w:r>
    </w:p>
    <w:p w14:paraId="05F6C87D" w14:textId="77777777" w:rsidR="008E3ABE" w:rsidRPr="006C1053" w:rsidRDefault="008E3ABE">
      <w:pPr>
        <w:spacing w:before="240" w:after="240" w:line="360" w:lineRule="auto"/>
        <w:ind w:right="49"/>
        <w:jc w:val="both"/>
        <w:rPr>
          <w:rFonts w:ascii="Palatino Linotype" w:eastAsia="Palatino Linotype" w:hAnsi="Palatino Linotype" w:cs="Palatino Linotype"/>
        </w:rPr>
      </w:pPr>
    </w:p>
    <w:p w14:paraId="67761935" w14:textId="77777777" w:rsidR="008E3ABE" w:rsidRPr="006C1053" w:rsidRDefault="008E3ABE">
      <w:pPr>
        <w:spacing w:before="240" w:line="360" w:lineRule="auto"/>
        <w:ind w:left="360"/>
        <w:jc w:val="center"/>
        <w:rPr>
          <w:rFonts w:ascii="Palatino Linotype" w:eastAsia="Palatino Linotype" w:hAnsi="Palatino Linotype" w:cs="Palatino Linotype"/>
          <w:b/>
        </w:rPr>
      </w:pPr>
    </w:p>
    <w:p w14:paraId="38B1F021" w14:textId="77777777" w:rsidR="00D00806" w:rsidRPr="006C1053" w:rsidRDefault="003725E6">
      <w:pPr>
        <w:spacing w:before="240" w:line="360" w:lineRule="auto"/>
        <w:ind w:left="360"/>
        <w:jc w:val="center"/>
        <w:rPr>
          <w:rFonts w:ascii="Palatino Linotype" w:eastAsia="Palatino Linotype" w:hAnsi="Palatino Linotype" w:cs="Palatino Linotype"/>
          <w:b/>
        </w:rPr>
      </w:pPr>
      <w:r w:rsidRPr="006C1053">
        <w:rPr>
          <w:rFonts w:ascii="Palatino Linotype" w:eastAsia="Palatino Linotype" w:hAnsi="Palatino Linotype" w:cs="Palatino Linotype"/>
          <w:b/>
        </w:rPr>
        <w:lastRenderedPageBreak/>
        <w:t>III. R E S U E L V E:</w:t>
      </w:r>
    </w:p>
    <w:p w14:paraId="1D55EEB8" w14:textId="77777777" w:rsidR="00D00806" w:rsidRPr="006C1053" w:rsidRDefault="003725E6">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PRIMERO.</w:t>
      </w:r>
      <w:r w:rsidRPr="006C1053">
        <w:rPr>
          <w:rFonts w:ascii="Palatino Linotype" w:eastAsia="Palatino Linotype" w:hAnsi="Palatino Linotype" w:cs="Palatino Linotype"/>
        </w:rPr>
        <w:t xml:space="preserve"> Se</w:t>
      </w:r>
      <w:r w:rsidRPr="006C1053">
        <w:rPr>
          <w:rFonts w:ascii="Palatino Linotype" w:eastAsia="Palatino Linotype" w:hAnsi="Palatino Linotype" w:cs="Palatino Linotype"/>
          <w:b/>
        </w:rPr>
        <w:t xml:space="preserve"> SOBRESEE </w:t>
      </w:r>
      <w:r w:rsidRPr="006C1053">
        <w:rPr>
          <w:rFonts w:ascii="Palatino Linotype" w:eastAsia="Palatino Linotype" w:hAnsi="Palatino Linotype" w:cs="Palatino Linotype"/>
        </w:rPr>
        <w:t xml:space="preserve">por improcedente el recurso de revisión número </w:t>
      </w:r>
      <w:r w:rsidRPr="006C1053">
        <w:rPr>
          <w:rFonts w:ascii="Palatino Linotype" w:eastAsia="Palatino Linotype" w:hAnsi="Palatino Linotype" w:cs="Palatino Linotype"/>
          <w:b/>
        </w:rPr>
        <w:t xml:space="preserve">01144/INFOEM/IP/RR/2023, </w:t>
      </w:r>
      <w:r w:rsidRPr="006C1053">
        <w:rPr>
          <w:rFonts w:ascii="Palatino Linotype" w:eastAsia="Palatino Linotype" w:hAnsi="Palatino Linotype" w:cs="Palatino Linotype"/>
        </w:rPr>
        <w:t>por actualizarse la fracción IV del artículo 192, en relación con la fracción III del artículo 191; ambos,  de la Ley de Transparencia y Acceso a la Información Pública del Estado de México y Municipios, en términos del Considerando Tercero de la presente resolución.</w:t>
      </w:r>
    </w:p>
    <w:p w14:paraId="04B3BC53" w14:textId="77777777" w:rsidR="00D00806" w:rsidRPr="006C1053" w:rsidRDefault="003725E6">
      <w:pPr>
        <w:spacing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 xml:space="preserve">SEGUNDO. Notifíquese </w:t>
      </w:r>
      <w:r w:rsidRPr="006C1053">
        <w:rPr>
          <w:rFonts w:ascii="Palatino Linotype" w:eastAsia="Palatino Linotype" w:hAnsi="Palatino Linotype" w:cs="Palatino Linotype"/>
        </w:rPr>
        <w:t>vía SAIMEX</w:t>
      </w:r>
      <w:r w:rsidRPr="006C1053">
        <w:rPr>
          <w:rFonts w:ascii="Palatino Linotype" w:eastAsia="Palatino Linotype" w:hAnsi="Palatino Linotype" w:cs="Palatino Linotype"/>
          <w:b/>
          <w:i/>
        </w:rPr>
        <w:t xml:space="preserve"> </w:t>
      </w:r>
      <w:r w:rsidRPr="006C1053">
        <w:rPr>
          <w:rFonts w:ascii="Palatino Linotype" w:eastAsia="Palatino Linotype" w:hAnsi="Palatino Linotype" w:cs="Palatino Linotype"/>
        </w:rPr>
        <w:t xml:space="preserve">al </w:t>
      </w:r>
      <w:r w:rsidRPr="006C1053">
        <w:rPr>
          <w:rFonts w:ascii="Palatino Linotype" w:eastAsia="Palatino Linotype" w:hAnsi="Palatino Linotype" w:cs="Palatino Linotype"/>
          <w:b/>
        </w:rPr>
        <w:t>SUJETO OBLIGADO</w:t>
      </w:r>
      <w:r w:rsidRPr="006C1053">
        <w:rPr>
          <w:rFonts w:ascii="Palatino Linotype" w:eastAsia="Palatino Linotype" w:hAnsi="Palatino Linotype" w:cs="Palatino Linotype"/>
        </w:rPr>
        <w:t xml:space="preserve"> la presente resolución para su conocimiento, lo anterior en términos del artículo 189 de la Ley de Transparencia y Acceso a la Información Pública del Estado de México y Municipios.</w:t>
      </w:r>
    </w:p>
    <w:p w14:paraId="7E4C6775" w14:textId="77777777" w:rsidR="00D00806" w:rsidRPr="006C1053" w:rsidRDefault="00D00806">
      <w:pPr>
        <w:spacing w:line="360" w:lineRule="auto"/>
        <w:jc w:val="both"/>
        <w:rPr>
          <w:rFonts w:ascii="Palatino Linotype" w:eastAsia="Palatino Linotype" w:hAnsi="Palatino Linotype" w:cs="Palatino Linotype"/>
        </w:rPr>
      </w:pPr>
    </w:p>
    <w:p w14:paraId="5429F341" w14:textId="77777777" w:rsidR="00D00806" w:rsidRPr="006C1053" w:rsidRDefault="003725E6">
      <w:pPr>
        <w:spacing w:after="240" w:line="360" w:lineRule="auto"/>
        <w:jc w:val="both"/>
        <w:rPr>
          <w:rFonts w:ascii="Palatino Linotype" w:eastAsia="Palatino Linotype" w:hAnsi="Palatino Linotype" w:cs="Palatino Linotype"/>
        </w:rPr>
      </w:pPr>
      <w:r w:rsidRPr="006C1053">
        <w:rPr>
          <w:rFonts w:ascii="Palatino Linotype" w:eastAsia="Palatino Linotype" w:hAnsi="Palatino Linotype" w:cs="Palatino Linotype"/>
          <w:b/>
        </w:rPr>
        <w:t xml:space="preserve">TERCERO. Notifíquese </w:t>
      </w:r>
      <w:r w:rsidRPr="006C1053">
        <w:rPr>
          <w:rFonts w:ascii="Palatino Linotype" w:eastAsia="Palatino Linotype" w:hAnsi="Palatino Linotype" w:cs="Palatino Linotype"/>
        </w:rPr>
        <w:t xml:space="preserve">vía SAIMEX la presente resolución a la parte </w:t>
      </w:r>
      <w:r w:rsidRPr="006C1053">
        <w:rPr>
          <w:rFonts w:ascii="Palatino Linotype" w:eastAsia="Palatino Linotype" w:hAnsi="Palatino Linotype" w:cs="Palatino Linotype"/>
          <w:b/>
        </w:rPr>
        <w:t>RECURRENTE</w:t>
      </w:r>
      <w:r w:rsidRPr="006C1053">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en la vía Juicio de Amparo en los términos de las leyes aplicables.</w:t>
      </w:r>
    </w:p>
    <w:p w14:paraId="6865F946" w14:textId="2863F7AC" w:rsidR="00D00806" w:rsidRDefault="003725E6">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6C105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6C1053">
        <w:rPr>
          <w:rFonts w:ascii="Palatino Linotype" w:eastAsia="Palatino Linotype" w:hAnsi="Palatino Linotype" w:cs="Palatino Linotype"/>
        </w:rPr>
        <w:lastRenderedPageBreak/>
        <w:t>RAMÍREZ PEÑA; EN LA VIGÉSIMA OCTAVA SESIÓN ORDINARIA CELEBRADA EL NUEVE DE AGOSTO DEL DOS MIL VEINTITRÉS, ANTE EL SECRETARIO TÉCNICO DEL PLENO ALEXIS TAPIA RAMÍREZ.</w:t>
      </w:r>
    </w:p>
    <w:p w14:paraId="1E2155A2" w14:textId="44D53870" w:rsidR="002D0486" w:rsidRDefault="002D04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2E300BF" wp14:editId="488031E7">
                <wp:simplePos x="0" y="0"/>
                <wp:positionH relativeFrom="column">
                  <wp:posOffset>100965</wp:posOffset>
                </wp:positionH>
                <wp:positionV relativeFrom="paragraph">
                  <wp:posOffset>18415</wp:posOffset>
                </wp:positionV>
                <wp:extent cx="5524500" cy="60198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24500" cy="60198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822F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45pt" to="442.95pt,4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" strokecolor="#f68c36 [3049]"/>
            </w:pict>
          </mc:Fallback>
        </mc:AlternateContent>
      </w:r>
    </w:p>
    <w:p w14:paraId="2377185A" w14:textId="2AEE0CE3" w:rsidR="002D0486" w:rsidRDefault="002D0486">
      <w:pPr>
        <w:spacing w:before="240" w:after="240" w:line="360" w:lineRule="auto"/>
        <w:jc w:val="both"/>
        <w:rPr>
          <w:rFonts w:ascii="Palatino Linotype" w:eastAsia="Palatino Linotype" w:hAnsi="Palatino Linotype" w:cs="Palatino Linotype"/>
        </w:rPr>
      </w:pPr>
    </w:p>
    <w:p w14:paraId="0971324A" w14:textId="56A301D8" w:rsidR="002D0486" w:rsidRDefault="002D0486">
      <w:pPr>
        <w:spacing w:before="240" w:after="240" w:line="360" w:lineRule="auto"/>
        <w:jc w:val="both"/>
        <w:rPr>
          <w:rFonts w:ascii="Palatino Linotype" w:eastAsia="Palatino Linotype" w:hAnsi="Palatino Linotype" w:cs="Palatino Linotype"/>
        </w:rPr>
      </w:pPr>
    </w:p>
    <w:p w14:paraId="468AA7D1" w14:textId="5054C96D" w:rsidR="002D0486" w:rsidRDefault="002D0486">
      <w:pPr>
        <w:spacing w:before="240" w:after="240" w:line="360" w:lineRule="auto"/>
        <w:jc w:val="both"/>
        <w:rPr>
          <w:rFonts w:ascii="Palatino Linotype" w:eastAsia="Palatino Linotype" w:hAnsi="Palatino Linotype" w:cs="Palatino Linotype"/>
        </w:rPr>
      </w:pPr>
    </w:p>
    <w:p w14:paraId="5FC045E5" w14:textId="6E464039" w:rsidR="002D0486" w:rsidRDefault="002D0486">
      <w:pPr>
        <w:spacing w:before="240" w:after="240" w:line="360" w:lineRule="auto"/>
        <w:jc w:val="both"/>
        <w:rPr>
          <w:rFonts w:ascii="Palatino Linotype" w:eastAsia="Palatino Linotype" w:hAnsi="Palatino Linotype" w:cs="Palatino Linotype"/>
        </w:rPr>
      </w:pPr>
    </w:p>
    <w:p w14:paraId="181AC957" w14:textId="56AAC12E" w:rsidR="002D0486" w:rsidRDefault="002D0486">
      <w:pPr>
        <w:spacing w:before="240" w:after="240" w:line="360" w:lineRule="auto"/>
        <w:jc w:val="both"/>
        <w:rPr>
          <w:rFonts w:ascii="Palatino Linotype" w:eastAsia="Palatino Linotype" w:hAnsi="Palatino Linotype" w:cs="Palatino Linotype"/>
        </w:rPr>
      </w:pPr>
    </w:p>
    <w:p w14:paraId="6FC1F2DA" w14:textId="7E8E79AC" w:rsidR="002D0486" w:rsidRDefault="002D0486">
      <w:pPr>
        <w:spacing w:before="240" w:after="240" w:line="360" w:lineRule="auto"/>
        <w:jc w:val="both"/>
        <w:rPr>
          <w:rFonts w:ascii="Palatino Linotype" w:eastAsia="Palatino Linotype" w:hAnsi="Palatino Linotype" w:cs="Palatino Linotype"/>
        </w:rPr>
      </w:pPr>
    </w:p>
    <w:p w14:paraId="3ADEABA7" w14:textId="0B6BFC5D" w:rsidR="002D0486" w:rsidRDefault="002D0486">
      <w:pPr>
        <w:spacing w:before="240" w:after="240" w:line="360" w:lineRule="auto"/>
        <w:jc w:val="both"/>
        <w:rPr>
          <w:rFonts w:ascii="Palatino Linotype" w:eastAsia="Palatino Linotype" w:hAnsi="Palatino Linotype" w:cs="Palatino Linotype"/>
        </w:rPr>
      </w:pPr>
    </w:p>
    <w:p w14:paraId="48BD3554" w14:textId="1DB3C48A" w:rsidR="002D0486" w:rsidRDefault="002D0486">
      <w:pPr>
        <w:spacing w:before="240" w:after="240" w:line="360" w:lineRule="auto"/>
        <w:jc w:val="both"/>
        <w:rPr>
          <w:rFonts w:ascii="Palatino Linotype" w:eastAsia="Palatino Linotype" w:hAnsi="Palatino Linotype" w:cs="Palatino Linotype"/>
        </w:rPr>
      </w:pPr>
    </w:p>
    <w:p w14:paraId="1487A0A0" w14:textId="3229E055" w:rsidR="002D0486" w:rsidRDefault="002D0486">
      <w:pPr>
        <w:spacing w:before="240" w:after="240" w:line="360" w:lineRule="auto"/>
        <w:jc w:val="both"/>
        <w:rPr>
          <w:rFonts w:ascii="Palatino Linotype" w:eastAsia="Palatino Linotype" w:hAnsi="Palatino Linotype" w:cs="Palatino Linotype"/>
        </w:rPr>
      </w:pPr>
    </w:p>
    <w:p w14:paraId="0B8FFE4A" w14:textId="2E1B1575" w:rsidR="002D0486" w:rsidRDefault="002D0486">
      <w:pPr>
        <w:spacing w:before="240" w:after="240" w:line="360" w:lineRule="auto"/>
        <w:jc w:val="both"/>
        <w:rPr>
          <w:rFonts w:ascii="Palatino Linotype" w:eastAsia="Palatino Linotype" w:hAnsi="Palatino Linotype" w:cs="Palatino Linotype"/>
        </w:rPr>
      </w:pPr>
    </w:p>
    <w:p w14:paraId="6012E24C" w14:textId="4F8071AC" w:rsidR="002D0486" w:rsidRDefault="002D0486">
      <w:pPr>
        <w:spacing w:before="240" w:after="240" w:line="360" w:lineRule="auto"/>
        <w:jc w:val="both"/>
        <w:rPr>
          <w:rFonts w:ascii="Palatino Linotype" w:eastAsia="Palatino Linotype" w:hAnsi="Palatino Linotype" w:cs="Palatino Linotype"/>
        </w:rPr>
      </w:pPr>
    </w:p>
    <w:p w14:paraId="0D95BB30" w14:textId="443AE2E6" w:rsidR="002D0486" w:rsidRDefault="002D0486">
      <w:pPr>
        <w:spacing w:before="240" w:after="240" w:line="360" w:lineRule="auto"/>
        <w:jc w:val="both"/>
        <w:rPr>
          <w:rFonts w:ascii="Palatino Linotype" w:eastAsia="Palatino Linotype" w:hAnsi="Palatino Linotype" w:cs="Palatino Linotype"/>
        </w:rPr>
      </w:pPr>
    </w:p>
    <w:p w14:paraId="221F6FD1" w14:textId="2B116BBC" w:rsidR="002D0486" w:rsidRDefault="002D0486">
      <w:pPr>
        <w:spacing w:before="240" w:after="240" w:line="360" w:lineRule="auto"/>
        <w:jc w:val="both"/>
        <w:rPr>
          <w:rFonts w:ascii="Palatino Linotype" w:eastAsia="Palatino Linotype" w:hAnsi="Palatino Linotype" w:cs="Palatino Linotype"/>
        </w:rPr>
      </w:pPr>
    </w:p>
    <w:p w14:paraId="565ED7B9" w14:textId="0F86B88A" w:rsidR="002D0486" w:rsidRDefault="002D0486">
      <w:pPr>
        <w:spacing w:before="240" w:after="240" w:line="360" w:lineRule="auto"/>
        <w:jc w:val="both"/>
        <w:rPr>
          <w:rFonts w:ascii="Palatino Linotype" w:eastAsia="Palatino Linotype" w:hAnsi="Palatino Linotype" w:cs="Palatino Linotype"/>
        </w:rPr>
      </w:pPr>
    </w:p>
    <w:p w14:paraId="3E6241ED" w14:textId="5A87F8FD" w:rsidR="002D0486" w:rsidRDefault="002D0486">
      <w:pPr>
        <w:spacing w:before="240" w:after="240" w:line="360" w:lineRule="auto"/>
        <w:jc w:val="both"/>
        <w:rPr>
          <w:rFonts w:ascii="Palatino Linotype" w:eastAsia="Palatino Linotype" w:hAnsi="Palatino Linotype" w:cs="Palatino Linotype"/>
        </w:rPr>
      </w:pPr>
    </w:p>
    <w:p w14:paraId="2D67DE39" w14:textId="04C50228" w:rsidR="002D0486" w:rsidRDefault="002D0486">
      <w:pPr>
        <w:spacing w:before="240" w:after="240" w:line="360" w:lineRule="auto"/>
        <w:jc w:val="both"/>
        <w:rPr>
          <w:rFonts w:ascii="Palatino Linotype" w:eastAsia="Palatino Linotype" w:hAnsi="Palatino Linotype" w:cs="Palatino Linotype"/>
        </w:rPr>
      </w:pPr>
    </w:p>
    <w:p w14:paraId="14F07D05" w14:textId="68F8DD0A" w:rsidR="002D0486" w:rsidRDefault="002D0486">
      <w:pPr>
        <w:spacing w:before="240" w:after="240" w:line="360" w:lineRule="auto"/>
        <w:jc w:val="both"/>
        <w:rPr>
          <w:rFonts w:ascii="Palatino Linotype" w:eastAsia="Palatino Linotype" w:hAnsi="Palatino Linotype" w:cs="Palatino Linotype"/>
        </w:rPr>
      </w:pPr>
    </w:p>
    <w:p w14:paraId="2E44B9A0" w14:textId="1D9205AB" w:rsidR="002D0486" w:rsidRDefault="002D0486">
      <w:pPr>
        <w:spacing w:before="240" w:after="240" w:line="360" w:lineRule="auto"/>
        <w:jc w:val="both"/>
        <w:rPr>
          <w:rFonts w:ascii="Palatino Linotype" w:eastAsia="Palatino Linotype" w:hAnsi="Palatino Linotype" w:cs="Palatino Linotype"/>
        </w:rPr>
      </w:pPr>
    </w:p>
    <w:p w14:paraId="05F04319" w14:textId="6D4ABE9E" w:rsidR="002D0486" w:rsidRDefault="002D0486">
      <w:pPr>
        <w:spacing w:before="240" w:after="240" w:line="360" w:lineRule="auto"/>
        <w:jc w:val="both"/>
        <w:rPr>
          <w:rFonts w:ascii="Palatino Linotype" w:eastAsia="Palatino Linotype" w:hAnsi="Palatino Linotype" w:cs="Palatino Linotype"/>
        </w:rPr>
      </w:pPr>
    </w:p>
    <w:p w14:paraId="677F9780" w14:textId="24E3FD1E" w:rsidR="002D0486" w:rsidRDefault="002D0486">
      <w:pPr>
        <w:spacing w:before="240" w:after="240" w:line="360" w:lineRule="auto"/>
        <w:jc w:val="both"/>
        <w:rPr>
          <w:rFonts w:ascii="Palatino Linotype" w:eastAsia="Palatino Linotype" w:hAnsi="Palatino Linotype" w:cs="Palatino Linotype"/>
        </w:rPr>
      </w:pPr>
    </w:p>
    <w:p w14:paraId="597225CA" w14:textId="0B209193" w:rsidR="002D0486" w:rsidRDefault="002D0486">
      <w:pPr>
        <w:spacing w:before="240" w:after="240" w:line="360" w:lineRule="auto"/>
        <w:jc w:val="both"/>
        <w:rPr>
          <w:rFonts w:ascii="Palatino Linotype" w:eastAsia="Palatino Linotype" w:hAnsi="Palatino Linotype" w:cs="Palatino Linotype"/>
        </w:rPr>
      </w:pPr>
    </w:p>
    <w:p w14:paraId="7B7D6A0C" w14:textId="77777777" w:rsidR="002D0486" w:rsidRPr="006C1053" w:rsidRDefault="002D0486">
      <w:pPr>
        <w:spacing w:before="240" w:after="240" w:line="360" w:lineRule="auto"/>
        <w:jc w:val="both"/>
        <w:rPr>
          <w:rFonts w:ascii="Palatino Linotype" w:eastAsia="Palatino Linotype" w:hAnsi="Palatino Linotype" w:cs="Palatino Linotype"/>
        </w:rPr>
      </w:pPr>
    </w:p>
    <w:sectPr w:rsidR="002D0486" w:rsidRPr="006C1053">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B3B15" w14:textId="77777777" w:rsidR="0013648A" w:rsidRDefault="0013648A">
      <w:r>
        <w:separator/>
      </w:r>
    </w:p>
  </w:endnote>
  <w:endnote w:type="continuationSeparator" w:id="0">
    <w:p w14:paraId="06A2C777" w14:textId="77777777" w:rsidR="0013648A" w:rsidRDefault="001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4304B" w14:textId="77777777" w:rsidR="00D00806" w:rsidRDefault="003725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361C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361C4">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2F3D6B37" w14:textId="77777777" w:rsidR="00D00806" w:rsidRDefault="00D0080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4AB78" w14:textId="77777777" w:rsidR="00D00806" w:rsidRDefault="003725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361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361C4">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4312E346" w14:textId="77777777" w:rsidR="00D00806" w:rsidRDefault="00D0080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ED830" w14:textId="77777777" w:rsidR="0013648A" w:rsidRDefault="0013648A">
      <w:r>
        <w:separator/>
      </w:r>
    </w:p>
  </w:footnote>
  <w:footnote w:type="continuationSeparator" w:id="0">
    <w:p w14:paraId="2FC5A7F1" w14:textId="77777777" w:rsidR="0013648A" w:rsidRDefault="0013648A">
      <w:r>
        <w:continuationSeparator/>
      </w:r>
    </w:p>
  </w:footnote>
  <w:footnote w:id="1">
    <w:p w14:paraId="0D66CC20" w14:textId="77777777" w:rsidR="00D00806" w:rsidRDefault="003725E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Pr>
          <w:rFonts w:ascii="Palatino Linotype" w:eastAsia="Palatino Linotype" w:hAnsi="Palatino Linotype" w:cs="Palatino Linotype"/>
          <w:i/>
          <w:color w:val="000000"/>
          <w:sz w:val="16"/>
          <w:szCs w:val="16"/>
        </w:rPr>
        <w:t>desechamiento</w:t>
      </w:r>
      <w:proofErr w:type="spellEnd"/>
      <w:r>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3BB1969B" w14:textId="77777777" w:rsidR="00D00806" w:rsidRDefault="00D00806">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26EB8DE1" w14:textId="77777777" w:rsidR="00D00806" w:rsidRDefault="003725E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5AEB4D9" w14:textId="77777777" w:rsidR="00D00806" w:rsidRDefault="003725E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3DAB" w14:textId="77777777" w:rsidR="00D00806" w:rsidRDefault="003725E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CBBFB56" wp14:editId="42A5DED2">
          <wp:simplePos x="0" y="0"/>
          <wp:positionH relativeFrom="column">
            <wp:posOffset>-1080131</wp:posOffset>
          </wp:positionH>
          <wp:positionV relativeFrom="paragraph">
            <wp:posOffset>-488311</wp:posOffset>
          </wp:positionV>
          <wp:extent cx="7809865" cy="1016571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D00806" w14:paraId="29E1F45A" w14:textId="77777777">
      <w:tc>
        <w:tcPr>
          <w:tcW w:w="2489" w:type="dxa"/>
          <w:shd w:val="clear" w:color="auto" w:fill="auto"/>
        </w:tcPr>
        <w:p w14:paraId="75AE8E47"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952CBC" w14:textId="77777777" w:rsidR="00D00806" w:rsidRDefault="003725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01144/INFOEM/IP/RR/2023</w:t>
          </w:r>
        </w:p>
      </w:tc>
    </w:tr>
    <w:tr w:rsidR="00D00806" w14:paraId="4141F8FA" w14:textId="77777777">
      <w:trPr>
        <w:trHeight w:val="228"/>
      </w:trPr>
      <w:tc>
        <w:tcPr>
          <w:tcW w:w="2489" w:type="dxa"/>
          <w:shd w:val="clear" w:color="auto" w:fill="auto"/>
          <w:vAlign w:val="center"/>
        </w:tcPr>
        <w:p w14:paraId="5C67E22E"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85CF57A" w14:textId="77777777" w:rsidR="00D00806" w:rsidRDefault="003725E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Melchor Ocampo.</w:t>
          </w:r>
        </w:p>
      </w:tc>
    </w:tr>
    <w:tr w:rsidR="00D00806" w14:paraId="6DE6913E" w14:textId="77777777">
      <w:tc>
        <w:tcPr>
          <w:tcW w:w="2489" w:type="dxa"/>
          <w:shd w:val="clear" w:color="auto" w:fill="auto"/>
          <w:vAlign w:val="center"/>
        </w:tcPr>
        <w:p w14:paraId="1AF95661" w14:textId="77777777" w:rsidR="00D00806" w:rsidRDefault="003725E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A738C9F" w14:textId="77777777" w:rsidR="00D00806" w:rsidRDefault="003725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5EDD6D" w14:textId="77777777" w:rsidR="00D00806" w:rsidRDefault="003725E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6FBD2" w14:textId="77777777" w:rsidR="00D00806" w:rsidRDefault="00D0080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D00806" w14:paraId="7AE0F32C" w14:textId="77777777">
      <w:tc>
        <w:tcPr>
          <w:tcW w:w="2551" w:type="dxa"/>
          <w:shd w:val="clear" w:color="auto" w:fill="auto"/>
          <w:vAlign w:val="center"/>
        </w:tcPr>
        <w:p w14:paraId="68278399"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EF07C64" w14:textId="77777777" w:rsidR="00D00806" w:rsidRDefault="003725E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01144/INFOEM/IP/RR/2023</w:t>
          </w:r>
        </w:p>
      </w:tc>
    </w:tr>
    <w:tr w:rsidR="00D00806" w14:paraId="47623C57" w14:textId="77777777">
      <w:trPr>
        <w:trHeight w:val="130"/>
      </w:trPr>
      <w:tc>
        <w:tcPr>
          <w:tcW w:w="2551" w:type="dxa"/>
          <w:shd w:val="clear" w:color="auto" w:fill="auto"/>
          <w:vAlign w:val="center"/>
        </w:tcPr>
        <w:p w14:paraId="22DDDFF0"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4E4C4E4" w14:textId="7DBF31C2" w:rsidR="00D00806" w:rsidRDefault="001361C4" w:rsidP="001361C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D00806" w14:paraId="51EA48E0" w14:textId="77777777">
      <w:trPr>
        <w:trHeight w:val="228"/>
      </w:trPr>
      <w:tc>
        <w:tcPr>
          <w:tcW w:w="2551" w:type="dxa"/>
          <w:shd w:val="clear" w:color="auto" w:fill="auto"/>
          <w:vAlign w:val="center"/>
        </w:tcPr>
        <w:p w14:paraId="1EB1A375"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FD88EC8" w14:textId="77777777" w:rsidR="00D00806" w:rsidRDefault="003725E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Melchor Ocampo.</w:t>
          </w:r>
        </w:p>
      </w:tc>
    </w:tr>
    <w:tr w:rsidR="00D00806" w14:paraId="36454884" w14:textId="77777777">
      <w:tc>
        <w:tcPr>
          <w:tcW w:w="2551" w:type="dxa"/>
          <w:shd w:val="clear" w:color="auto" w:fill="auto"/>
          <w:vAlign w:val="center"/>
        </w:tcPr>
        <w:p w14:paraId="23FA9863" w14:textId="77777777" w:rsidR="00D00806" w:rsidRDefault="003725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FB4CDBA" w14:textId="77777777" w:rsidR="00D00806" w:rsidRDefault="003725E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FBB1AB" w14:textId="77777777" w:rsidR="00D00806" w:rsidRDefault="003725E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061EA30" wp14:editId="776233B6">
          <wp:simplePos x="0" y="0"/>
          <wp:positionH relativeFrom="column">
            <wp:posOffset>-1089656</wp:posOffset>
          </wp:positionH>
          <wp:positionV relativeFrom="paragraph">
            <wp:posOffset>-1169666</wp:posOffset>
          </wp:positionV>
          <wp:extent cx="7809865" cy="10165715"/>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B4BDA"/>
    <w:multiLevelType w:val="multilevel"/>
    <w:tmpl w:val="38FC6DD8"/>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1D729D1"/>
    <w:multiLevelType w:val="multilevel"/>
    <w:tmpl w:val="ECDC5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806"/>
    <w:rsid w:val="001361C4"/>
    <w:rsid w:val="0013648A"/>
    <w:rsid w:val="002D0486"/>
    <w:rsid w:val="003725E6"/>
    <w:rsid w:val="00484AE6"/>
    <w:rsid w:val="006C1053"/>
    <w:rsid w:val="008E3ABE"/>
    <w:rsid w:val="00CE1473"/>
    <w:rsid w:val="00D008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F5B1"/>
  <w15:docId w15:val="{6E5853C3-2F93-400D-BC77-67266D43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7788.page" TargetMode="External"/><Relationship Id="rId13" Type="http://schemas.openxmlformats.org/officeDocument/2006/relationships/image" Target="media/image5.png"/><Relationship Id="rId18" Type="http://schemas.openxmlformats.org/officeDocument/2006/relationships/hyperlink" Target="https://saimex.org.mx/saimex/solicitud/downloadAttach/1716384.pa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713045.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9pnvPiEO9Rk1TW28O1vbS7yQ==">CgMxLjAyCGguZ2pkZ3hzMgloLjMwajB6bGwyCGgudHlqY3d0MgloLjFmb2I5dGUyCWguMnM4ZXlvMTgAciExYUFjR18yaWJRYUdoUnNUMklrYjRLV19CVlplU1VsTlk=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4750</Words>
  <Characters>26128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2023-08-12T18:49:00Z</cp:lastPrinted>
  <dcterms:created xsi:type="dcterms:W3CDTF">2023-08-16T20:06:00Z</dcterms:created>
  <dcterms:modified xsi:type="dcterms:W3CDTF">2023-08-16T20:06:00Z</dcterms:modified>
</cp:coreProperties>
</file>