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Pr>
          <w:rFonts w:ascii="Palatino Linotype" w:eastAsia="Times New Roman" w:hAnsi="Palatino Linotype" w:cs="Arial"/>
          <w:color w:val="000000"/>
          <w:sz w:val="24"/>
          <w:szCs w:val="24"/>
          <w:lang w:val="es-419" w:eastAsia="es-MX"/>
        </w:rPr>
        <w:t xml:space="preserve"> </w:t>
      </w:r>
      <w:r w:rsidR="00004900">
        <w:rPr>
          <w:rFonts w:ascii="Palatino Linotype" w:eastAsia="Times New Roman" w:hAnsi="Palatino Linotype" w:cs="Arial"/>
          <w:color w:val="000000"/>
          <w:sz w:val="24"/>
          <w:szCs w:val="24"/>
          <w:lang w:eastAsia="es-MX"/>
        </w:rPr>
        <w:t xml:space="preserve">a </w:t>
      </w:r>
      <w:r w:rsidR="007659B2">
        <w:rPr>
          <w:rFonts w:ascii="Palatino Linotype" w:eastAsia="Times New Roman" w:hAnsi="Palatino Linotype" w:cs="Arial"/>
          <w:color w:val="000000"/>
          <w:sz w:val="24"/>
          <w:szCs w:val="24"/>
          <w:lang w:val="es-419" w:eastAsia="es-MX"/>
        </w:rPr>
        <w:t>diecinueve de abril</w:t>
      </w:r>
      <w:r w:rsidRPr="00AD2A55">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 dos mil </w:t>
      </w:r>
      <w:r w:rsidR="00D2733F">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DE7467">
        <w:rPr>
          <w:rFonts w:ascii="Palatino Linotype" w:hAnsi="Palatino Linotype" w:cs="Arial"/>
          <w:b/>
          <w:bCs/>
          <w:sz w:val="24"/>
          <w:lang w:val="es-419" w:eastAsia="es-MX"/>
        </w:rPr>
        <w:t>1</w:t>
      </w:r>
      <w:r w:rsidR="00DE7467" w:rsidRPr="00A9483D">
        <w:rPr>
          <w:rFonts w:ascii="Palatino Linotype" w:hAnsi="Palatino Linotype" w:cs="Arial"/>
          <w:b/>
          <w:bCs/>
          <w:sz w:val="24"/>
          <w:szCs w:val="24"/>
          <w:lang w:val="es-419" w:eastAsia="es-MX"/>
        </w:rPr>
        <w:t>3</w:t>
      </w:r>
      <w:r w:rsidR="009F58DF" w:rsidRPr="00A9483D">
        <w:rPr>
          <w:rFonts w:ascii="Palatino Linotype" w:hAnsi="Palatino Linotype" w:cs="Arial"/>
          <w:b/>
          <w:bCs/>
          <w:sz w:val="24"/>
          <w:szCs w:val="24"/>
          <w:lang w:val="es-419" w:eastAsia="es-MX"/>
        </w:rPr>
        <w:t>3</w:t>
      </w:r>
      <w:r w:rsidR="00A9483D" w:rsidRPr="00A9483D">
        <w:rPr>
          <w:rFonts w:ascii="Palatino Linotype" w:hAnsi="Palatino Linotype" w:cs="Arial"/>
          <w:b/>
          <w:bCs/>
          <w:sz w:val="24"/>
          <w:szCs w:val="24"/>
          <w:lang w:val="es-419" w:eastAsia="es-MX"/>
        </w:rPr>
        <w:t>9</w:t>
      </w:r>
      <w:r w:rsidR="00911346" w:rsidRPr="00A9483D">
        <w:rPr>
          <w:rFonts w:ascii="Palatino Linotype" w:hAnsi="Palatino Linotype" w:cs="Arial"/>
          <w:b/>
          <w:bCs/>
          <w:sz w:val="24"/>
          <w:szCs w:val="24"/>
          <w:lang w:val="es-419" w:eastAsia="es-MX"/>
        </w:rPr>
        <w:t>0</w:t>
      </w:r>
      <w:r w:rsidR="005D6927" w:rsidRPr="00A9483D">
        <w:rPr>
          <w:rFonts w:ascii="Palatino Linotype" w:hAnsi="Palatino Linotype" w:cs="Arial"/>
          <w:b/>
          <w:bCs/>
          <w:sz w:val="24"/>
          <w:szCs w:val="24"/>
          <w:lang w:eastAsia="es-MX"/>
        </w:rPr>
        <w:t>/INFOEM/IP/RR/202</w:t>
      </w:r>
      <w:r w:rsidR="006055A5" w:rsidRPr="00A9483D">
        <w:rPr>
          <w:rFonts w:ascii="Palatino Linotype" w:hAnsi="Palatino Linotype" w:cs="Arial"/>
          <w:b/>
          <w:bCs/>
          <w:sz w:val="24"/>
          <w:szCs w:val="24"/>
          <w:lang w:val="es-419" w:eastAsia="es-MX"/>
        </w:rPr>
        <w:t>2</w:t>
      </w:r>
      <w:r w:rsidRPr="00A9483D">
        <w:rPr>
          <w:rFonts w:ascii="Palatino Linotype" w:hAnsi="Palatino Linotype" w:cs="Arial"/>
          <w:sz w:val="24"/>
          <w:szCs w:val="24"/>
        </w:rPr>
        <w:t xml:space="preserve">, </w:t>
      </w:r>
      <w:r w:rsidR="006055A5" w:rsidRPr="00A9483D">
        <w:rPr>
          <w:rFonts w:ascii="Palatino Linotype" w:hAnsi="Palatino Linotype"/>
          <w:sz w:val="24"/>
          <w:szCs w:val="24"/>
        </w:rPr>
        <w:t xml:space="preserve">interpuesto por </w:t>
      </w:r>
      <w:r w:rsidR="00911346" w:rsidRPr="00A9483D">
        <w:rPr>
          <w:rFonts w:ascii="Palatino Linotype" w:hAnsi="Palatino Linotype"/>
          <w:sz w:val="24"/>
          <w:szCs w:val="24"/>
          <w:lang w:val="es-419"/>
        </w:rPr>
        <w:t>l</w:t>
      </w:r>
      <w:r w:rsidR="005C4F93">
        <w:rPr>
          <w:rFonts w:ascii="Palatino Linotype" w:hAnsi="Palatino Linotype"/>
          <w:sz w:val="24"/>
          <w:szCs w:val="24"/>
          <w:lang w:val="es-419"/>
        </w:rPr>
        <w:t>a</w:t>
      </w:r>
      <w:r w:rsidR="00911346" w:rsidRPr="00A9483D">
        <w:rPr>
          <w:rFonts w:ascii="Palatino Linotype" w:hAnsi="Palatino Linotype"/>
          <w:sz w:val="24"/>
          <w:szCs w:val="24"/>
          <w:lang w:val="es-419"/>
        </w:rPr>
        <w:t xml:space="preserve"> </w:t>
      </w:r>
      <w:r w:rsidR="00911346" w:rsidRPr="00A9483D">
        <w:rPr>
          <w:rFonts w:ascii="Palatino Linotype" w:hAnsi="Palatino Linotype"/>
          <w:b/>
          <w:sz w:val="24"/>
          <w:szCs w:val="24"/>
          <w:lang w:val="es-419"/>
        </w:rPr>
        <w:t>C.</w:t>
      </w:r>
      <w:r w:rsidR="00911346" w:rsidRPr="00A9483D">
        <w:rPr>
          <w:rFonts w:ascii="Palatino Linotype" w:hAnsi="Palatino Linotype"/>
          <w:sz w:val="24"/>
          <w:szCs w:val="24"/>
          <w:lang w:val="es-419"/>
        </w:rPr>
        <w:t xml:space="preserve"> </w:t>
      </w:r>
      <w:r w:rsidR="00EE3835">
        <w:rPr>
          <w:rFonts w:ascii="Palatino Linotype" w:hAnsi="Palatino Linotype" w:cs="Arial"/>
          <w:b/>
          <w:sz w:val="24"/>
          <w:szCs w:val="24"/>
          <w:lang w:val="es-419"/>
        </w:rPr>
        <w:t>XXXXXXXXXXXXX</w:t>
      </w:r>
      <w:r w:rsidR="00A9483D" w:rsidRPr="00A9483D">
        <w:rPr>
          <w:rFonts w:ascii="Palatino Linotype" w:hAnsi="Palatino Linotype" w:cs="Arial"/>
          <w:b/>
          <w:sz w:val="24"/>
          <w:szCs w:val="24"/>
          <w:lang w:val="es-419"/>
        </w:rPr>
        <w:t xml:space="preserve"> </w:t>
      </w:r>
      <w:r w:rsidR="00EE3835">
        <w:rPr>
          <w:rFonts w:ascii="Palatino Linotype" w:hAnsi="Palatino Linotype" w:cs="Arial"/>
          <w:b/>
          <w:sz w:val="24"/>
          <w:szCs w:val="24"/>
          <w:lang w:val="es-419"/>
        </w:rPr>
        <w:t>XXXXXXXX</w:t>
      </w:r>
      <w:r w:rsidR="00D2733F" w:rsidRPr="00A9483D">
        <w:rPr>
          <w:rFonts w:ascii="Palatino Linotype" w:hAnsi="Palatino Linotype"/>
          <w:sz w:val="24"/>
          <w:szCs w:val="24"/>
          <w:lang w:val="es-419"/>
        </w:rPr>
        <w:t>,</w:t>
      </w:r>
      <w:r w:rsidR="00D2733F" w:rsidRPr="00911346">
        <w:rPr>
          <w:rFonts w:ascii="Palatino Linotype" w:hAnsi="Palatino Linotype"/>
          <w:sz w:val="24"/>
          <w:szCs w:val="24"/>
          <w:lang w:val="es-419"/>
        </w:rPr>
        <w:t xml:space="preserve"> </w:t>
      </w:r>
      <w:r w:rsidR="006055A5" w:rsidRPr="00911346">
        <w:rPr>
          <w:rFonts w:ascii="Palatino Linotype" w:hAnsi="Palatino Linotype"/>
          <w:sz w:val="24"/>
          <w:szCs w:val="24"/>
        </w:rPr>
        <w:t xml:space="preserve">en lo sucesivo será </w:t>
      </w:r>
      <w:r w:rsidR="00DE7467" w:rsidRPr="00911346">
        <w:rPr>
          <w:rFonts w:ascii="Palatino Linotype" w:hAnsi="Palatino Linotype"/>
          <w:sz w:val="24"/>
          <w:szCs w:val="24"/>
          <w:lang w:val="es-419"/>
        </w:rPr>
        <w:t xml:space="preserve">la parte </w:t>
      </w:r>
      <w:r w:rsidR="006055A5" w:rsidRPr="00911346">
        <w:rPr>
          <w:rFonts w:ascii="Palatino Linotype" w:hAnsi="Palatino Linotype"/>
          <w:b/>
          <w:sz w:val="24"/>
          <w:szCs w:val="24"/>
        </w:rPr>
        <w:t>Recurrente</w:t>
      </w:r>
      <w:r w:rsidR="006055A5" w:rsidRPr="00911346">
        <w:rPr>
          <w:rFonts w:ascii="Palatino Linotype" w:hAnsi="Palatino Linotype"/>
          <w:sz w:val="24"/>
          <w:szCs w:val="24"/>
        </w:rPr>
        <w:t xml:space="preserve">, en contra de la respuesta </w:t>
      </w:r>
      <w:r w:rsidR="006055A5" w:rsidRPr="00911346">
        <w:rPr>
          <w:rFonts w:ascii="Palatino Linotype" w:hAnsi="Palatino Linotype" w:cs="Arial"/>
          <w:sz w:val="24"/>
          <w:szCs w:val="24"/>
        </w:rPr>
        <w:t xml:space="preserve">proporcionada por </w:t>
      </w:r>
      <w:r w:rsidR="00911346">
        <w:rPr>
          <w:rFonts w:ascii="Palatino Linotype" w:hAnsi="Palatino Linotype" w:cs="Arial"/>
          <w:sz w:val="24"/>
          <w:szCs w:val="24"/>
          <w:lang w:val="es-419"/>
        </w:rPr>
        <w:t>e</w:t>
      </w:r>
      <w:r w:rsidR="00186AAF" w:rsidRPr="00911346">
        <w:rPr>
          <w:rFonts w:ascii="Palatino Linotype" w:hAnsi="Palatino Linotype" w:cs="Arial"/>
          <w:sz w:val="24"/>
          <w:szCs w:val="24"/>
          <w:lang w:val="es-419"/>
        </w:rPr>
        <w:t>l</w:t>
      </w:r>
      <w:r w:rsidR="006055A5">
        <w:rPr>
          <w:rFonts w:ascii="Palatino Linotype" w:hAnsi="Palatino Linotype" w:cs="Arial"/>
          <w:sz w:val="24"/>
          <w:szCs w:val="24"/>
        </w:rPr>
        <w:t xml:space="preserve"> </w:t>
      </w:r>
      <w:r w:rsidR="00911346" w:rsidRPr="00911346">
        <w:rPr>
          <w:rFonts w:ascii="Palatino Linotype" w:hAnsi="Palatino Linotype" w:cs="Arial"/>
          <w:b/>
          <w:szCs w:val="20"/>
          <w:lang w:val="es-419"/>
        </w:rPr>
        <w:t xml:space="preserve">Ayuntamiento de </w:t>
      </w:r>
      <w:r w:rsidR="00A9483D">
        <w:rPr>
          <w:rFonts w:ascii="Palatino Linotype" w:hAnsi="Palatino Linotype" w:cs="Arial"/>
          <w:b/>
          <w:szCs w:val="20"/>
          <w:lang w:val="es-419"/>
        </w:rPr>
        <w:t xml:space="preserve">Toluca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5C4F93">
        <w:rPr>
          <w:rFonts w:ascii="Palatino Linotype" w:hAnsi="Palatino Linotype" w:cs="Arial"/>
          <w:sz w:val="24"/>
          <w:szCs w:val="24"/>
        </w:rPr>
        <w:t xml:space="preserve">Con fecha </w:t>
      </w:r>
      <w:r w:rsidR="00A9483D" w:rsidRPr="005C4F93">
        <w:rPr>
          <w:rFonts w:ascii="Palatino Linotype" w:hAnsi="Palatino Linotype" w:cs="Arial"/>
          <w:sz w:val="24"/>
          <w:szCs w:val="24"/>
          <w:lang w:val="es-419"/>
        </w:rPr>
        <w:t>primero</w:t>
      </w:r>
      <w:r w:rsidR="00DE7467"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de </w:t>
      </w:r>
      <w:r w:rsidR="00D64C60" w:rsidRPr="005C4F93">
        <w:rPr>
          <w:rFonts w:ascii="Palatino Linotype" w:hAnsi="Palatino Linotype" w:cs="Arial"/>
          <w:sz w:val="24"/>
          <w:szCs w:val="24"/>
          <w:lang w:val="es-419"/>
        </w:rPr>
        <w:t>ju</w:t>
      </w:r>
      <w:r w:rsidR="00A9483D" w:rsidRPr="005C4F93">
        <w:rPr>
          <w:rFonts w:ascii="Palatino Linotype" w:hAnsi="Palatino Linotype" w:cs="Arial"/>
          <w:sz w:val="24"/>
          <w:szCs w:val="24"/>
          <w:lang w:val="es-419"/>
        </w:rPr>
        <w:t>l</w:t>
      </w:r>
      <w:r w:rsidR="00D64C60" w:rsidRPr="005C4F93">
        <w:rPr>
          <w:rFonts w:ascii="Palatino Linotype" w:hAnsi="Palatino Linotype" w:cs="Arial"/>
          <w:sz w:val="24"/>
          <w:szCs w:val="24"/>
          <w:lang w:val="es-419"/>
        </w:rPr>
        <w:t>io</w:t>
      </w:r>
      <w:r w:rsidR="00F44891"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de dos mil </w:t>
      </w:r>
      <w:r w:rsidR="006055A5" w:rsidRPr="005C4F93">
        <w:rPr>
          <w:rFonts w:ascii="Palatino Linotype" w:hAnsi="Palatino Linotype" w:cs="Arial"/>
          <w:sz w:val="24"/>
          <w:szCs w:val="24"/>
        </w:rPr>
        <w:t>veintidós</w:t>
      </w:r>
      <w:r w:rsidR="006055A5"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el </w:t>
      </w:r>
      <w:r w:rsidRPr="005C4F93">
        <w:rPr>
          <w:rFonts w:ascii="Palatino Linotype" w:hAnsi="Palatino Linotype" w:cs="Arial"/>
          <w:b/>
          <w:sz w:val="24"/>
          <w:szCs w:val="24"/>
        </w:rPr>
        <w:t>Recurrente</w:t>
      </w:r>
      <w:r w:rsidRPr="005C4F93">
        <w:rPr>
          <w:rFonts w:ascii="Palatino Linotype" w:hAnsi="Palatino Linotype" w:cs="Arial"/>
          <w:sz w:val="24"/>
          <w:szCs w:val="24"/>
        </w:rPr>
        <w:t xml:space="preserve"> presentó a través del Sistema de Acceso a la Información Mexiquense, </w:t>
      </w:r>
      <w:r w:rsidR="00F43B74" w:rsidRPr="005C4F93">
        <w:rPr>
          <w:rFonts w:ascii="Palatino Linotype" w:hAnsi="Palatino Linotype" w:cs="Arial"/>
          <w:sz w:val="24"/>
          <w:szCs w:val="24"/>
        </w:rPr>
        <w:t>(</w:t>
      </w:r>
      <w:r w:rsidRPr="005C4F93">
        <w:rPr>
          <w:rFonts w:ascii="Palatino Linotype" w:hAnsi="Palatino Linotype" w:cs="Arial"/>
          <w:b/>
          <w:sz w:val="24"/>
          <w:szCs w:val="24"/>
        </w:rPr>
        <w:t>SAIMEX</w:t>
      </w:r>
      <w:r w:rsidR="00F43B74" w:rsidRPr="005C4F93">
        <w:rPr>
          <w:rFonts w:ascii="Palatino Linotype" w:hAnsi="Palatino Linotype" w:cs="Arial"/>
          <w:b/>
          <w:sz w:val="24"/>
          <w:szCs w:val="24"/>
        </w:rPr>
        <w:t>)</w:t>
      </w:r>
      <w:r w:rsidRPr="005C4F93">
        <w:rPr>
          <w:rFonts w:ascii="Palatino Linotype" w:hAnsi="Palatino Linotype" w:cs="Arial"/>
          <w:sz w:val="24"/>
          <w:szCs w:val="24"/>
        </w:rPr>
        <w:t xml:space="preserve">, ante </w:t>
      </w:r>
      <w:r w:rsidRPr="005C4F93">
        <w:rPr>
          <w:rFonts w:ascii="Palatino Linotype" w:hAnsi="Palatino Linotype" w:cs="Arial"/>
          <w:b/>
          <w:sz w:val="24"/>
          <w:szCs w:val="24"/>
        </w:rPr>
        <w:t>el Sujeto Obligado</w:t>
      </w:r>
      <w:r w:rsidRPr="005C4F93">
        <w:rPr>
          <w:rFonts w:ascii="Palatino Linotype" w:hAnsi="Palatino Linotype" w:cs="Arial"/>
          <w:sz w:val="24"/>
          <w:szCs w:val="24"/>
        </w:rPr>
        <w:t xml:space="preserve">, </w:t>
      </w:r>
      <w:r w:rsidR="00064E75" w:rsidRPr="005C4F93">
        <w:rPr>
          <w:rFonts w:ascii="Palatino Linotype" w:hAnsi="Palatino Linotype" w:cs="Arial"/>
          <w:sz w:val="24"/>
          <w:szCs w:val="24"/>
        </w:rPr>
        <w:t xml:space="preserve">la </w:t>
      </w:r>
      <w:r w:rsidRPr="005C4F93">
        <w:rPr>
          <w:rFonts w:ascii="Palatino Linotype" w:hAnsi="Palatino Linotype" w:cs="Arial"/>
          <w:sz w:val="24"/>
          <w:szCs w:val="24"/>
        </w:rPr>
        <w:t>solicitud de acceso a la información</w:t>
      </w:r>
      <w:r w:rsidRPr="00AD2A55">
        <w:rPr>
          <w:rFonts w:ascii="Palatino Linotype" w:hAnsi="Palatino Linotype" w:cs="Arial"/>
          <w:sz w:val="24"/>
          <w:szCs w:val="24"/>
        </w:rPr>
        <w:t xml:space="preserve">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AD0E11">
        <w:rPr>
          <w:rFonts w:ascii="Palatino Linotype" w:hAnsi="Palatino Linotype" w:cs="Arial"/>
          <w:b/>
          <w:sz w:val="24"/>
          <w:szCs w:val="24"/>
          <w:lang w:val="es-419"/>
        </w:rPr>
        <w:t>0</w:t>
      </w:r>
      <w:r w:rsidR="005C4F93">
        <w:rPr>
          <w:rFonts w:ascii="Palatino Linotype" w:hAnsi="Palatino Linotype" w:cs="Arial"/>
          <w:b/>
          <w:sz w:val="24"/>
          <w:szCs w:val="24"/>
          <w:lang w:val="es-419"/>
        </w:rPr>
        <w:t>1563</w:t>
      </w:r>
      <w:r w:rsidR="005766BE" w:rsidRPr="00AD0E11">
        <w:rPr>
          <w:rFonts w:ascii="Palatino Linotype" w:hAnsi="Palatino Linotype" w:cs="Arial"/>
          <w:b/>
          <w:sz w:val="24"/>
          <w:szCs w:val="24"/>
          <w:lang w:val="es-419"/>
        </w:rPr>
        <w:t>/</w:t>
      </w:r>
      <w:r w:rsidR="005C4F93">
        <w:rPr>
          <w:rFonts w:ascii="Palatino Linotype" w:hAnsi="Palatino Linotype" w:cs="Arial"/>
          <w:b/>
          <w:sz w:val="24"/>
          <w:szCs w:val="24"/>
          <w:lang w:val="es-419"/>
        </w:rPr>
        <w:t>TOLUCA</w:t>
      </w:r>
      <w:r w:rsidR="008F3C7E" w:rsidRPr="00AD0E11">
        <w:rPr>
          <w:rFonts w:ascii="Palatino Linotype" w:hAnsi="Palatino Linotype" w:cs="Arial"/>
          <w:b/>
          <w:sz w:val="24"/>
          <w:szCs w:val="24"/>
          <w:lang w:val="es-419"/>
        </w:rPr>
        <w:t>/IP/</w:t>
      </w:r>
      <w:r w:rsidR="008F3C7E">
        <w:rPr>
          <w:rFonts w:ascii="Palatino Linotype" w:hAnsi="Palatino Linotype" w:cs="Arial"/>
          <w:b/>
          <w:sz w:val="24"/>
          <w:szCs w:val="24"/>
        </w:rPr>
        <w:t>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C4F93" w:rsidRDefault="00337A3D" w:rsidP="005C4F9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5C4F93" w:rsidRPr="005C4F93">
        <w:rPr>
          <w:rFonts w:ascii="Palatino Linotype" w:eastAsia="Times New Roman" w:hAnsi="Palatino Linotype" w:cs="Times New Roman"/>
          <w:i/>
          <w:sz w:val="24"/>
          <w:szCs w:val="24"/>
          <w:lang w:val="es-ES_tradnl" w:eastAsia="es-ES"/>
        </w:rPr>
        <w:t xml:space="preserve">Solicito El programa de bacheo de la colonia Rancho la Mora y la Delegación la Maquinita El proceso constructivo y normas bajo las cuales se está realizando el trabajo Las pruebas de laboratorio de los materiales utilizados La Certificación con la que cuenta la empresa ( o el Encargado del Municipio) y del personal ( o personal propio del ayuntamiento) que realiza la ejecución de estas obras Medio de asignación del contrato, monto y duración, así como fianza de cumplimiento y de calidad </w:t>
      </w:r>
      <w:r w:rsidR="005C4F93" w:rsidRPr="005C4F93">
        <w:rPr>
          <w:rFonts w:ascii="Palatino Linotype" w:eastAsia="Times New Roman" w:hAnsi="Palatino Linotype" w:cs="Times New Roman"/>
          <w:i/>
          <w:sz w:val="24"/>
          <w:szCs w:val="24"/>
          <w:lang w:val="es-ES_tradnl" w:eastAsia="es-ES"/>
        </w:rPr>
        <w:lastRenderedPageBreak/>
        <w:t>otorgada con la vigencia prevista. Para el caso de ser por sus propios medios el análisis de P.U de estás obras y el presupuesto gastado a la fecha</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5E7328"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Default="005E7328" w:rsidP="005E7328">
      <w:pPr>
        <w:spacing w:after="0" w:line="360" w:lineRule="auto"/>
        <w:jc w:val="both"/>
        <w:rPr>
          <w:rFonts w:ascii="Palatino Linotype" w:eastAsia="Times New Roman" w:hAnsi="Palatino Linotype" w:cs="Times New Roman"/>
          <w:b/>
          <w:sz w:val="24"/>
          <w:szCs w:val="24"/>
          <w:lang w:val="es-419" w:eastAsia="es-ES"/>
        </w:rPr>
      </w:pPr>
      <w:r>
        <w:rPr>
          <w:rFonts w:ascii="Palatino Linotype" w:eastAsia="Times New Roman" w:hAnsi="Palatino Linotype" w:cs="Times New Roman"/>
          <w:sz w:val="24"/>
          <w:szCs w:val="24"/>
          <w:lang w:val="es-419" w:eastAsia="es-ES"/>
        </w:rPr>
        <w:t xml:space="preserve">Modalidad de entrega: </w:t>
      </w:r>
      <w:r w:rsidR="00355A46" w:rsidRPr="00355A46">
        <w:rPr>
          <w:rFonts w:ascii="Palatino Linotype" w:eastAsia="Times New Roman" w:hAnsi="Palatino Linotype" w:cs="Times New Roman"/>
          <w:b/>
          <w:sz w:val="24"/>
          <w:szCs w:val="24"/>
          <w:lang w:val="es-419" w:eastAsia="es-ES"/>
        </w:rPr>
        <w:t>“</w:t>
      </w:r>
      <w:r w:rsidR="005C4F93">
        <w:rPr>
          <w:rFonts w:ascii="Palatino Linotype" w:eastAsia="Times New Roman" w:hAnsi="Palatino Linotype" w:cs="Times New Roman"/>
          <w:b/>
          <w:i/>
          <w:sz w:val="24"/>
          <w:szCs w:val="24"/>
          <w:lang w:val="es-419" w:eastAsia="es-ES"/>
        </w:rPr>
        <w:t>A través del SAIMEX</w:t>
      </w:r>
      <w:r w:rsidR="00355A46">
        <w:rPr>
          <w:rFonts w:ascii="Palatino Linotype" w:eastAsia="Times New Roman" w:hAnsi="Palatino Linotype" w:cs="Times New Roman"/>
          <w:b/>
          <w:sz w:val="24"/>
          <w:szCs w:val="24"/>
          <w:lang w:val="es-419" w:eastAsia="es-ES"/>
        </w:rPr>
        <w:t>.”</w:t>
      </w:r>
    </w:p>
    <w:p w:rsidR="00355A46"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3F294A" w:rsidRDefault="00337A3D" w:rsidP="00337A3D">
      <w:pPr>
        <w:spacing w:after="0" w:line="360" w:lineRule="auto"/>
        <w:jc w:val="both"/>
        <w:rPr>
          <w:rFonts w:ascii="Palatino Linotype" w:hAnsi="Palatino Linotype" w:cs="Arial"/>
          <w:b/>
          <w:sz w:val="24"/>
          <w:szCs w:val="24"/>
        </w:rPr>
      </w:pPr>
      <w:r w:rsidRPr="003F294A">
        <w:rPr>
          <w:rFonts w:ascii="Palatino Linotype" w:hAnsi="Palatino Linotype" w:cs="Arial"/>
          <w:b/>
          <w:sz w:val="28"/>
          <w:szCs w:val="24"/>
        </w:rPr>
        <w:t>SEGUNDO</w:t>
      </w:r>
      <w:r w:rsidRPr="003F294A">
        <w:rPr>
          <w:rFonts w:ascii="Palatino Linotype" w:hAnsi="Palatino Linotype" w:cs="Arial"/>
          <w:b/>
          <w:sz w:val="24"/>
          <w:szCs w:val="24"/>
        </w:rPr>
        <w:t xml:space="preserve">. </w:t>
      </w:r>
      <w:r w:rsidR="00F3766A" w:rsidRPr="003F294A">
        <w:rPr>
          <w:rFonts w:ascii="Palatino Linotype" w:hAnsi="Palatino Linotype" w:cs="Arial"/>
          <w:b/>
          <w:sz w:val="24"/>
          <w:szCs w:val="24"/>
        </w:rPr>
        <w:t xml:space="preserve">De la </w:t>
      </w:r>
      <w:r w:rsidR="00066174" w:rsidRPr="003F294A">
        <w:rPr>
          <w:rFonts w:ascii="Palatino Linotype" w:hAnsi="Palatino Linotype" w:cs="Arial"/>
          <w:b/>
          <w:sz w:val="24"/>
          <w:szCs w:val="24"/>
        </w:rPr>
        <w:t>respuesta</w:t>
      </w:r>
      <w:r w:rsidR="00F3766A" w:rsidRPr="003F294A">
        <w:rPr>
          <w:rFonts w:ascii="Palatino Linotype" w:hAnsi="Palatino Linotype" w:cs="Arial"/>
          <w:b/>
          <w:sz w:val="24"/>
          <w:szCs w:val="24"/>
        </w:rPr>
        <w:t xml:space="preserve"> del sujeto obligado</w:t>
      </w:r>
    </w:p>
    <w:p w:rsidR="003F294A" w:rsidRDefault="00DE7467"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E02381">
        <w:rPr>
          <w:rFonts w:ascii="Palatino Linotype" w:hAnsi="Palatino Linotype" w:cs="Arial"/>
          <w:sz w:val="24"/>
          <w:szCs w:val="24"/>
          <w:lang w:val="es-419"/>
        </w:rPr>
        <w:t xml:space="preserve">dieciséis </w:t>
      </w:r>
      <w:r>
        <w:rPr>
          <w:rFonts w:ascii="Palatino Linotype" w:hAnsi="Palatino Linotype" w:cs="Arial"/>
          <w:sz w:val="24"/>
          <w:szCs w:val="24"/>
          <w:lang w:val="es-419"/>
        </w:rPr>
        <w:t xml:space="preserve">de </w:t>
      </w:r>
      <w:r w:rsidR="008A46E7">
        <w:rPr>
          <w:rFonts w:ascii="Palatino Linotype" w:hAnsi="Palatino Linotype" w:cs="Arial"/>
          <w:sz w:val="24"/>
          <w:szCs w:val="24"/>
          <w:lang w:val="es-419"/>
        </w:rPr>
        <w:t>agosto</w:t>
      </w:r>
      <w:r>
        <w:rPr>
          <w:rFonts w:ascii="Palatino Linotype" w:hAnsi="Palatino Linotype" w:cs="Arial"/>
          <w:sz w:val="24"/>
          <w:szCs w:val="24"/>
          <w:lang w:val="es-419"/>
        </w:rPr>
        <w:t xml:space="preserve"> de dos mil veintidós, el sujeto obligado </w:t>
      </w:r>
      <w:r w:rsidR="003F294A">
        <w:rPr>
          <w:rFonts w:ascii="Palatino Linotype" w:hAnsi="Palatino Linotype" w:cs="Arial"/>
          <w:sz w:val="24"/>
          <w:szCs w:val="24"/>
          <w:lang w:val="es-419"/>
        </w:rPr>
        <w:t>dio contestación a la solicitud de información manifestando lo siguiente:</w:t>
      </w:r>
    </w:p>
    <w:p w:rsidR="003F294A" w:rsidRDefault="003F294A" w:rsidP="00337A3D">
      <w:pPr>
        <w:spacing w:after="0" w:line="360" w:lineRule="auto"/>
        <w:jc w:val="both"/>
        <w:rPr>
          <w:rFonts w:ascii="Palatino Linotype" w:hAnsi="Palatino Linotype" w:cs="Arial"/>
          <w:sz w:val="24"/>
          <w:szCs w:val="24"/>
          <w:lang w:val="es-419"/>
        </w:rPr>
      </w:pPr>
    </w:p>
    <w:p w:rsidR="00B3166C" w:rsidRPr="008A0084" w:rsidRDefault="008A0084" w:rsidP="00AD0E11">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355A46">
        <w:rPr>
          <w:rFonts w:ascii="Palatino Linotype" w:eastAsia="Times New Roman" w:hAnsi="Palatino Linotype" w:cs="Times New Roman"/>
          <w:i/>
          <w:sz w:val="24"/>
          <w:szCs w:val="24"/>
          <w:lang w:val="es-419" w:eastAsia="es-ES"/>
        </w:rPr>
        <w:t>“</w:t>
      </w:r>
      <w:r w:rsidR="00E02381" w:rsidRPr="00E02381">
        <w:rPr>
          <w:rFonts w:ascii="Palatino Linotype" w:eastAsia="Times New Roman" w:hAnsi="Palatino Linotype" w:cs="Times New Roman"/>
          <w:i/>
          <w:sz w:val="24"/>
          <w:szCs w:val="24"/>
          <w:lang w:val="es-419" w:eastAsia="es-ES"/>
        </w:rPr>
        <w:t>En atención a la solicitud con folio 01563/TOLUCA/IP/2022, me permito adjuntar al presente la respuesta correspondiente y anexos. Sin más por el momento, reciba un saludo</w:t>
      </w:r>
      <w:r>
        <w:rPr>
          <w:rFonts w:ascii="Palatino Linotype" w:eastAsia="Times New Roman" w:hAnsi="Palatino Linotype" w:cs="Times New Roman"/>
          <w:i/>
          <w:sz w:val="24"/>
          <w:szCs w:val="24"/>
          <w:lang w:val="es-419" w:eastAsia="es-ES"/>
        </w:rPr>
        <w:t>”</w:t>
      </w:r>
    </w:p>
    <w:p w:rsidR="008A0084" w:rsidRDefault="008A0084" w:rsidP="00337A3D">
      <w:pPr>
        <w:spacing w:after="0" w:line="360" w:lineRule="auto"/>
        <w:jc w:val="both"/>
        <w:rPr>
          <w:rFonts w:ascii="Palatino Linotype" w:hAnsi="Palatino Linotype" w:cs="Arial"/>
          <w:sz w:val="24"/>
          <w:szCs w:val="24"/>
        </w:rPr>
      </w:pPr>
    </w:p>
    <w:p w:rsidR="00B3166C" w:rsidRPr="00355A46" w:rsidRDefault="00B3166C" w:rsidP="008A46E7">
      <w:pPr>
        <w:spacing w:after="0" w:line="360" w:lineRule="auto"/>
        <w:jc w:val="both"/>
        <w:rPr>
          <w:rFonts w:ascii="Palatino Linotype" w:hAnsi="Palatino Linotype" w:cs="Arial"/>
          <w:sz w:val="24"/>
          <w:szCs w:val="24"/>
        </w:rPr>
      </w:pPr>
      <w:r w:rsidRPr="00B3166C">
        <w:rPr>
          <w:rFonts w:ascii="Palatino Linotype" w:hAnsi="Palatino Linotype" w:cs="Arial"/>
          <w:sz w:val="24"/>
          <w:szCs w:val="24"/>
        </w:rPr>
        <w:t xml:space="preserve">El sujeto obligado adjuntó </w:t>
      </w:r>
      <w:r w:rsidR="00E02381">
        <w:rPr>
          <w:rFonts w:ascii="Palatino Linotype" w:hAnsi="Palatino Linotype" w:cs="Arial"/>
          <w:sz w:val="24"/>
          <w:szCs w:val="24"/>
          <w:lang w:val="es-419"/>
        </w:rPr>
        <w:t>seis</w:t>
      </w:r>
      <w:r w:rsidRPr="00B3166C">
        <w:rPr>
          <w:rFonts w:ascii="Palatino Linotype" w:hAnsi="Palatino Linotype" w:cs="Arial"/>
          <w:sz w:val="24"/>
          <w:szCs w:val="24"/>
        </w:rPr>
        <w:t xml:space="preserve"> archivo</w:t>
      </w:r>
      <w:r w:rsidR="008A46E7">
        <w:rPr>
          <w:rFonts w:ascii="Palatino Linotype" w:hAnsi="Palatino Linotype" w:cs="Arial"/>
          <w:sz w:val="24"/>
          <w:szCs w:val="24"/>
          <w:lang w:val="es-419"/>
        </w:rPr>
        <w:t>s</w:t>
      </w:r>
      <w:r w:rsidRPr="00B3166C">
        <w:rPr>
          <w:rFonts w:ascii="Palatino Linotype" w:hAnsi="Palatino Linotype" w:cs="Arial"/>
          <w:sz w:val="24"/>
          <w:szCs w:val="24"/>
        </w:rPr>
        <w:t xml:space="preserve"> electrónico</w:t>
      </w:r>
      <w:r w:rsidR="008A46E7">
        <w:rPr>
          <w:rFonts w:ascii="Palatino Linotype" w:hAnsi="Palatino Linotype" w:cs="Arial"/>
          <w:sz w:val="24"/>
          <w:szCs w:val="24"/>
          <w:lang w:val="es-419"/>
        </w:rPr>
        <w:t>s</w:t>
      </w:r>
      <w:r w:rsidRPr="001B0221">
        <w:rPr>
          <w:rFonts w:ascii="Palatino Linotype" w:hAnsi="Palatino Linotype" w:cs="Arial"/>
          <w:sz w:val="24"/>
          <w:szCs w:val="24"/>
        </w:rPr>
        <w:t xml:space="preserve">, </w:t>
      </w:r>
      <w:r w:rsidRPr="00B3166C">
        <w:rPr>
          <w:rFonts w:ascii="Palatino Linotype" w:hAnsi="Palatino Linotype" w:cs="Arial"/>
          <w:sz w:val="24"/>
          <w:szCs w:val="24"/>
        </w:rPr>
        <w:t>denominado</w:t>
      </w:r>
      <w:r w:rsidR="008A46E7">
        <w:rPr>
          <w:rFonts w:ascii="Palatino Linotype" w:hAnsi="Palatino Linotype" w:cs="Arial"/>
          <w:sz w:val="24"/>
          <w:szCs w:val="24"/>
          <w:lang w:val="es-419"/>
        </w:rPr>
        <w:t>s</w:t>
      </w:r>
      <w:r w:rsidR="003F294A" w:rsidRPr="00355A46">
        <w:rPr>
          <w:rFonts w:ascii="Palatino Linotype" w:hAnsi="Palatino Linotype" w:cs="Arial"/>
          <w:sz w:val="24"/>
          <w:szCs w:val="24"/>
        </w:rPr>
        <w:t>:</w:t>
      </w:r>
      <w:r w:rsidRPr="00B3166C">
        <w:rPr>
          <w:rFonts w:ascii="Palatino Linotype" w:hAnsi="Palatino Linotype" w:cs="Arial"/>
          <w:sz w:val="24"/>
          <w:szCs w:val="24"/>
        </w:rPr>
        <w:t xml:space="preserve"> </w:t>
      </w:r>
      <w:r w:rsidR="00E02381">
        <w:rPr>
          <w:rFonts w:ascii="Palatino Linotype" w:hAnsi="Palatino Linotype" w:cs="Arial"/>
          <w:sz w:val="24"/>
          <w:szCs w:val="24"/>
          <w:lang w:val="es-419"/>
        </w:rPr>
        <w:t>“</w:t>
      </w:r>
      <w:r w:rsidR="00E02381" w:rsidRPr="00E02381">
        <w:rPr>
          <w:rFonts w:ascii="Palatino Linotype" w:hAnsi="Palatino Linotype" w:cs="Arial"/>
          <w:b/>
          <w:i/>
          <w:sz w:val="24"/>
          <w:szCs w:val="24"/>
        </w:rPr>
        <w:t>Estudios de calidad versión pública (1).pdf</w:t>
      </w:r>
      <w:r w:rsidR="00E02381">
        <w:rPr>
          <w:rFonts w:ascii="Palatino Linotype" w:hAnsi="Palatino Linotype" w:cs="Arial"/>
          <w:sz w:val="24"/>
          <w:szCs w:val="24"/>
          <w:lang w:val="es-419"/>
        </w:rPr>
        <w:t>”, “</w:t>
      </w:r>
      <w:r w:rsidR="00E02381" w:rsidRPr="00E02381">
        <w:rPr>
          <w:rFonts w:ascii="Palatino Linotype" w:hAnsi="Palatino Linotype" w:cs="Arial"/>
          <w:b/>
          <w:i/>
          <w:sz w:val="24"/>
          <w:szCs w:val="24"/>
        </w:rPr>
        <w:t>Descripción del proceso constructivo.pdf</w:t>
      </w:r>
      <w:r w:rsidR="00E02381">
        <w:rPr>
          <w:rFonts w:ascii="Palatino Linotype" w:hAnsi="Palatino Linotype" w:cs="Arial"/>
          <w:sz w:val="24"/>
          <w:szCs w:val="24"/>
          <w:lang w:val="es-419"/>
        </w:rPr>
        <w:t>”, “</w:t>
      </w:r>
      <w:r w:rsidR="00E02381" w:rsidRPr="00E02381">
        <w:rPr>
          <w:rFonts w:ascii="Palatino Linotype" w:hAnsi="Palatino Linotype" w:cs="Arial"/>
          <w:b/>
          <w:i/>
          <w:sz w:val="24"/>
          <w:szCs w:val="24"/>
        </w:rPr>
        <w:t>Fianza de Cumplimiento en versión pública..pdf</w:t>
      </w:r>
      <w:r w:rsidR="00E02381">
        <w:rPr>
          <w:rFonts w:ascii="Palatino Linotype" w:hAnsi="Palatino Linotype" w:cs="Arial"/>
          <w:sz w:val="24"/>
          <w:szCs w:val="24"/>
          <w:lang w:val="es-419"/>
        </w:rPr>
        <w:t>”, “</w:t>
      </w:r>
      <w:r w:rsidR="00E02381" w:rsidRPr="00E02381">
        <w:rPr>
          <w:rFonts w:ascii="Palatino Linotype" w:hAnsi="Palatino Linotype" w:cs="Arial"/>
          <w:b/>
          <w:i/>
          <w:sz w:val="24"/>
          <w:szCs w:val="24"/>
        </w:rPr>
        <w:t>Respuesta 01563_2022.pdf</w:t>
      </w:r>
      <w:r w:rsidR="00E02381">
        <w:rPr>
          <w:rFonts w:ascii="Palatino Linotype" w:hAnsi="Palatino Linotype" w:cs="Arial"/>
          <w:sz w:val="24"/>
          <w:szCs w:val="24"/>
          <w:lang w:val="es-419"/>
        </w:rPr>
        <w:t>”, “</w:t>
      </w:r>
      <w:r w:rsidR="00E02381" w:rsidRPr="00E02381">
        <w:rPr>
          <w:rFonts w:ascii="Palatino Linotype" w:hAnsi="Palatino Linotype" w:cs="Arial"/>
          <w:b/>
          <w:i/>
          <w:sz w:val="24"/>
          <w:szCs w:val="24"/>
        </w:rPr>
        <w:t>tol-pdf-PRESUPUESTO_DE_EGRESOS_GLOBAL_CALENDARIZADO_2022.pdf</w:t>
      </w:r>
      <w:r w:rsidR="00E02381">
        <w:rPr>
          <w:rFonts w:ascii="Palatino Linotype" w:hAnsi="Palatino Linotype" w:cs="Arial"/>
          <w:sz w:val="24"/>
          <w:szCs w:val="24"/>
          <w:lang w:val="es-419"/>
        </w:rPr>
        <w:t>” y “</w:t>
      </w:r>
      <w:r w:rsidR="00E02381" w:rsidRPr="00E02381">
        <w:rPr>
          <w:rFonts w:ascii="Palatino Linotype" w:hAnsi="Palatino Linotype" w:cs="Arial"/>
          <w:b/>
          <w:i/>
          <w:sz w:val="24"/>
          <w:szCs w:val="24"/>
        </w:rPr>
        <w:t>Acta Cuadringentésima Quincuagésima Segunda Sesión Extraordinaria.pdf</w:t>
      </w:r>
      <w:r w:rsidR="00E02381">
        <w:rPr>
          <w:rFonts w:ascii="Palatino Linotype" w:hAnsi="Palatino Linotype" w:cs="Arial"/>
          <w:sz w:val="24"/>
          <w:szCs w:val="24"/>
          <w:lang w:val="es-419"/>
        </w:rPr>
        <w:t>”</w:t>
      </w:r>
      <w:r w:rsidR="003F294A" w:rsidRPr="00355A46">
        <w:rPr>
          <w:rFonts w:ascii="Palatino Linotype" w:hAnsi="Palatino Linotype" w:cs="Arial"/>
          <w:sz w:val="24"/>
          <w:szCs w:val="24"/>
        </w:rPr>
        <w:t xml:space="preserve">, </w:t>
      </w:r>
      <w:r w:rsidR="008A46E7">
        <w:rPr>
          <w:rFonts w:ascii="Palatino Linotype" w:hAnsi="Palatino Linotype" w:cs="Arial"/>
          <w:sz w:val="24"/>
          <w:szCs w:val="24"/>
          <w:lang w:val="es-419"/>
        </w:rPr>
        <w:t>los</w:t>
      </w:r>
      <w:r w:rsidR="003F294A" w:rsidRPr="00355A46">
        <w:rPr>
          <w:rFonts w:ascii="Palatino Linotype" w:hAnsi="Palatino Linotype" w:cs="Arial"/>
          <w:sz w:val="24"/>
          <w:szCs w:val="24"/>
        </w:rPr>
        <w:t xml:space="preserve"> cual</w:t>
      </w:r>
      <w:r w:rsidR="008A46E7">
        <w:rPr>
          <w:rFonts w:ascii="Palatino Linotype" w:hAnsi="Palatino Linotype" w:cs="Arial"/>
          <w:sz w:val="24"/>
          <w:szCs w:val="24"/>
          <w:lang w:val="es-419"/>
        </w:rPr>
        <w:t>es</w:t>
      </w:r>
      <w:r w:rsidR="003F294A" w:rsidRPr="00355A46">
        <w:rPr>
          <w:rFonts w:ascii="Palatino Linotype" w:hAnsi="Palatino Linotype" w:cs="Arial"/>
          <w:sz w:val="24"/>
          <w:szCs w:val="24"/>
        </w:rPr>
        <w:t xml:space="preserve"> será</w:t>
      </w:r>
      <w:r w:rsidR="008A46E7">
        <w:rPr>
          <w:rFonts w:ascii="Palatino Linotype" w:hAnsi="Palatino Linotype" w:cs="Arial"/>
          <w:sz w:val="24"/>
          <w:szCs w:val="24"/>
          <w:lang w:val="es-419"/>
        </w:rPr>
        <w:t>n</w:t>
      </w:r>
      <w:r w:rsidR="003F294A" w:rsidRPr="00355A46">
        <w:rPr>
          <w:rFonts w:ascii="Palatino Linotype" w:hAnsi="Palatino Linotype" w:cs="Arial"/>
          <w:sz w:val="24"/>
          <w:szCs w:val="24"/>
        </w:rPr>
        <w:t xml:space="preserve"> analizado</w:t>
      </w:r>
      <w:r w:rsidR="008A46E7">
        <w:rPr>
          <w:rFonts w:ascii="Palatino Linotype" w:hAnsi="Palatino Linotype" w:cs="Arial"/>
          <w:sz w:val="24"/>
          <w:szCs w:val="24"/>
          <w:lang w:val="es-419"/>
        </w:rPr>
        <w:t>s</w:t>
      </w:r>
      <w:r w:rsidR="003F294A" w:rsidRPr="00355A46">
        <w:rPr>
          <w:rFonts w:ascii="Palatino Linotype" w:hAnsi="Palatino Linotype" w:cs="Arial"/>
          <w:sz w:val="24"/>
          <w:szCs w:val="24"/>
        </w:rPr>
        <w:t xml:space="preserve"> en la parte considerativa de la presente resolución.</w:t>
      </w:r>
    </w:p>
    <w:p w:rsidR="003F294A" w:rsidRDefault="003F294A"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346AD9">
        <w:rPr>
          <w:rFonts w:ascii="Palatino Linotype" w:hAnsi="Palatino Linotype" w:cs="Arial"/>
          <w:sz w:val="24"/>
          <w:szCs w:val="24"/>
          <w:lang w:val="es-419"/>
        </w:rPr>
        <w:t xml:space="preserve">diecisiete </w:t>
      </w:r>
      <w:r w:rsidRPr="00B93DE8">
        <w:rPr>
          <w:rFonts w:ascii="Palatino Linotype" w:hAnsi="Palatino Linotype" w:cs="Arial"/>
          <w:sz w:val="24"/>
          <w:szCs w:val="24"/>
        </w:rPr>
        <w:t xml:space="preserve">de </w:t>
      </w:r>
      <w:r w:rsidR="002D4EA5">
        <w:rPr>
          <w:rFonts w:ascii="Palatino Linotype" w:hAnsi="Palatino Linotype" w:cs="Arial"/>
          <w:sz w:val="24"/>
          <w:szCs w:val="24"/>
          <w:lang w:val="es-419"/>
        </w:rPr>
        <w:t>agosto</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w:t>
      </w:r>
      <w:r w:rsidR="002C1C1E">
        <w:rPr>
          <w:rFonts w:ascii="Palatino Linotype" w:hAnsi="Palatino Linotype" w:cs="Arial"/>
          <w:sz w:val="24"/>
          <w:szCs w:val="24"/>
          <w:lang w:val="es-419"/>
        </w:rPr>
        <w:t xml:space="preserve">parte </w:t>
      </w:r>
      <w:r w:rsidRPr="00B93DE8">
        <w:rPr>
          <w:rFonts w:ascii="Palatino Linotype" w:hAnsi="Palatino Linotype" w:cs="Arial"/>
          <w:sz w:val="24"/>
          <w:szCs w:val="24"/>
        </w:rPr>
        <w:t>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496E3B">
        <w:rPr>
          <w:rFonts w:ascii="Palatino Linotype" w:hAnsi="Palatino Linotype" w:cs="Arial"/>
          <w:b/>
          <w:sz w:val="24"/>
          <w:szCs w:val="24"/>
          <w:lang w:val="es-419"/>
        </w:rPr>
        <w:t>133</w:t>
      </w:r>
      <w:r w:rsidR="00346AD9">
        <w:rPr>
          <w:rFonts w:ascii="Palatino Linotype" w:hAnsi="Palatino Linotype" w:cs="Arial"/>
          <w:b/>
          <w:sz w:val="24"/>
          <w:szCs w:val="24"/>
          <w:lang w:val="es-419"/>
        </w:rPr>
        <w:t>9</w:t>
      </w:r>
      <w:r w:rsidR="00F102C6">
        <w:rPr>
          <w:rFonts w:ascii="Palatino Linotype" w:hAnsi="Palatino Linotype" w:cs="Arial"/>
          <w:b/>
          <w:sz w:val="24"/>
          <w:szCs w:val="24"/>
          <w:lang w:val="es-419"/>
        </w:rPr>
        <w:t>0</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346AD9" w:rsidRPr="00346AD9">
        <w:rPr>
          <w:rFonts w:ascii="Palatino Linotype" w:hAnsi="Palatino Linotype" w:cs="Arial"/>
          <w:i/>
          <w:sz w:val="24"/>
          <w:szCs w:val="24"/>
        </w:rPr>
        <w:t>Solicitud de programa de bacheo Se solicito el programa de trabajo registrado ante el municipio, de los delegados en función</w:t>
      </w:r>
      <w:r w:rsidRPr="009B24F8">
        <w:rPr>
          <w:rFonts w:ascii="Palatino Linotype" w:hAnsi="Palatino Linotype" w:cs="Arial"/>
          <w:i/>
          <w:sz w:val="24"/>
          <w:szCs w:val="24"/>
        </w:rPr>
        <w:t xml:space="preserve">.”(Sic). </w:t>
      </w:r>
    </w:p>
    <w:p w:rsidR="00B93DE8" w:rsidRPr="00355A46" w:rsidRDefault="00B93DE8" w:rsidP="00355A46">
      <w:pPr>
        <w:spacing w:after="0" w:line="360" w:lineRule="auto"/>
        <w:jc w:val="both"/>
        <w:rPr>
          <w:rFonts w:ascii="Palatino Linotype" w:hAnsi="Palatino Linotype" w:cs="Arial"/>
          <w:i/>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6E39F6" w:rsidRPr="009B24F8" w:rsidRDefault="006E39F6" w:rsidP="006E39F6">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346AD9" w:rsidRPr="00346AD9">
        <w:rPr>
          <w:rFonts w:ascii="Palatino Linotype" w:hAnsi="Palatino Linotype" w:cs="Arial"/>
          <w:i/>
          <w:sz w:val="24"/>
          <w:szCs w:val="24"/>
        </w:rPr>
        <w:t>En la información que brindan acerca del programa de bacheo inexistente dan una dirección web para verificación, en la cual no existe información alguna, anexan el presupuesto donde la partida 6159 tiene calculado un gasto de 40 millones para este año, sin detalle alguno, por lo que solicito se me proporcione el desglose de la aplicación de dicha partida con el avance y las estimaciones de lo ejecutado. Se solicito el programa de trabajo registrado ante el municipio, de los delegados en función, ya que era requisito indispensable para participar en la convocatoria, por lo que no hay forma de decir que no cuenten con dicha información, evaden responder solo dando los nombres de quienes son</w:t>
      </w:r>
      <w:r w:rsidRPr="009B24F8">
        <w:rPr>
          <w:rFonts w:ascii="Palatino Linotype" w:hAnsi="Palatino Linotype" w:cs="Arial"/>
          <w:i/>
          <w:sz w:val="24"/>
          <w:szCs w:val="24"/>
        </w:rPr>
        <w:t xml:space="preserve">”(Sic). </w:t>
      </w:r>
    </w:p>
    <w:p w:rsidR="00F102C6" w:rsidRDefault="00F102C6"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5B29D3">
        <w:rPr>
          <w:rFonts w:ascii="Palatino Linotype" w:hAnsi="Palatino Linotype" w:cs="Arial"/>
          <w:b/>
          <w:sz w:val="24"/>
          <w:szCs w:val="24"/>
          <w:lang w:val="es-419"/>
        </w:rPr>
        <w:t>133</w:t>
      </w:r>
      <w:r w:rsidR="00346AD9">
        <w:rPr>
          <w:rFonts w:ascii="Palatino Linotype" w:hAnsi="Palatino Linotype" w:cs="Arial"/>
          <w:b/>
          <w:sz w:val="24"/>
          <w:szCs w:val="24"/>
          <w:lang w:val="es-419"/>
        </w:rPr>
        <w:t>9</w:t>
      </w:r>
      <w:r w:rsidR="000253C6">
        <w:rPr>
          <w:rFonts w:ascii="Palatino Linotype" w:hAnsi="Palatino Linotype" w:cs="Arial"/>
          <w:b/>
          <w:sz w:val="24"/>
          <w:szCs w:val="24"/>
          <w:lang w:val="es-419"/>
        </w:rPr>
        <w:t>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5B29D3">
        <w:rPr>
          <w:rFonts w:ascii="Palatino Linotype" w:hAnsi="Palatino Linotype" w:cs="Arial"/>
          <w:b/>
          <w:sz w:val="24"/>
          <w:szCs w:val="24"/>
          <w:lang w:val="es-419"/>
        </w:rPr>
        <w:t>veinti</w:t>
      </w:r>
      <w:r w:rsidR="00346AD9">
        <w:rPr>
          <w:rFonts w:ascii="Palatino Linotype" w:hAnsi="Palatino Linotype" w:cs="Arial"/>
          <w:b/>
          <w:sz w:val="24"/>
          <w:szCs w:val="24"/>
          <w:lang w:val="es-419"/>
        </w:rPr>
        <w:t xml:space="preserve">cuatro </w:t>
      </w:r>
      <w:r w:rsidR="00B93DE8" w:rsidRPr="007673C3">
        <w:rPr>
          <w:rFonts w:ascii="Palatino Linotype" w:hAnsi="Palatino Linotype" w:cs="Arial"/>
          <w:b/>
          <w:sz w:val="24"/>
          <w:szCs w:val="24"/>
        </w:rPr>
        <w:t xml:space="preserve">de </w:t>
      </w:r>
      <w:r w:rsidR="007F14B3">
        <w:rPr>
          <w:rFonts w:ascii="Palatino Linotype" w:hAnsi="Palatino Linotype" w:cs="Arial"/>
          <w:b/>
          <w:sz w:val="24"/>
          <w:szCs w:val="24"/>
          <w:lang w:val="es-419"/>
        </w:rPr>
        <w:t>agosto</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determinándose en él, un plazo de siete días para que las partes manifestaran lo que a su derecho corresponda en términos del num</w:t>
      </w:r>
      <w:bookmarkStart w:id="0" w:name="_GoBack"/>
      <w:bookmarkEnd w:id="0"/>
      <w:r w:rsidR="00B93DE8" w:rsidRPr="00B93DE8">
        <w:rPr>
          <w:rFonts w:ascii="Palatino Linotype" w:hAnsi="Palatino Linotype" w:cs="Arial"/>
          <w:sz w:val="24"/>
          <w:szCs w:val="24"/>
        </w:rPr>
        <w:t xml:space="preserve">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B81A1B"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5B29D3">
        <w:rPr>
          <w:rFonts w:ascii="Palatino Linotype" w:hAnsi="Palatino Linotype" w:cs="Arial"/>
          <w:b/>
          <w:sz w:val="24"/>
          <w:szCs w:val="24"/>
          <w:lang w:val="es-419"/>
        </w:rPr>
        <w:t>133</w:t>
      </w:r>
      <w:r w:rsidR="00346AD9">
        <w:rPr>
          <w:rFonts w:ascii="Palatino Linotype" w:hAnsi="Palatino Linotype" w:cs="Arial"/>
          <w:b/>
          <w:sz w:val="24"/>
          <w:szCs w:val="24"/>
          <w:lang w:val="es-419"/>
        </w:rPr>
        <w:t>9</w:t>
      </w:r>
      <w:r w:rsidR="00B0086C">
        <w:rPr>
          <w:rFonts w:ascii="Palatino Linotype" w:hAnsi="Palatino Linotype" w:cs="Arial"/>
          <w:b/>
          <w:sz w:val="24"/>
          <w:szCs w:val="24"/>
          <w:lang w:val="es-419"/>
        </w:rPr>
        <w:t>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sidRPr="007F14B3">
        <w:rPr>
          <w:rFonts w:ascii="Palatino Linotype" w:hAnsi="Palatino Linotype" w:cs="Arial"/>
          <w:sz w:val="24"/>
          <w:szCs w:val="24"/>
        </w:rPr>
        <w:t xml:space="preserve"> </w:t>
      </w:r>
      <w:r w:rsidR="00346AD9">
        <w:rPr>
          <w:rFonts w:ascii="Palatino Linotype" w:hAnsi="Palatino Linotype" w:cs="Arial"/>
          <w:sz w:val="24"/>
          <w:szCs w:val="24"/>
          <w:lang w:val="es-419"/>
        </w:rPr>
        <w:t xml:space="preserve">omitió rendir informe </w:t>
      </w:r>
      <w:r w:rsidR="00346AD9">
        <w:rPr>
          <w:rFonts w:ascii="Palatino Linotype" w:hAnsi="Palatino Linotype" w:cs="Arial"/>
          <w:sz w:val="24"/>
          <w:szCs w:val="24"/>
          <w:lang w:val="es-419"/>
        </w:rPr>
        <w:lastRenderedPageBreak/>
        <w:t>justificado de igual forma se hace constar que el recurrente no realizó las manifestaciones que a su derecho convinieran.</w:t>
      </w:r>
    </w:p>
    <w:p w:rsidR="00A01EA5" w:rsidRDefault="00A01EA5" w:rsidP="00285F96">
      <w:pPr>
        <w:spacing w:after="0" w:line="360" w:lineRule="auto"/>
        <w:jc w:val="both"/>
        <w:rPr>
          <w:rFonts w:ascii="Palatino Linotype" w:hAnsi="Palatino Linotype" w:cs="Arial"/>
          <w:sz w:val="24"/>
          <w:szCs w:val="24"/>
        </w:rPr>
      </w:pPr>
    </w:p>
    <w:p w:rsidR="00D96678" w:rsidRPr="00B93DE8" w:rsidRDefault="00D96678" w:rsidP="00D96678">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rsidR="00D96678" w:rsidRDefault="00D96678" w:rsidP="00D96678">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Pr>
          <w:rFonts w:ascii="Palatino Linotype" w:hAnsi="Palatino Linotype" w:cs="Arial"/>
          <w:sz w:val="24"/>
          <w:szCs w:val="24"/>
          <w:lang w:val="es-419"/>
        </w:rPr>
        <w:t xml:space="preserve">cinco </w:t>
      </w:r>
      <w:r w:rsidRPr="0076494E">
        <w:rPr>
          <w:rFonts w:ascii="Palatino Linotype" w:hAnsi="Palatino Linotype" w:cs="Arial"/>
          <w:sz w:val="24"/>
          <w:szCs w:val="24"/>
        </w:rPr>
        <w:t xml:space="preserve">de </w:t>
      </w:r>
      <w:r>
        <w:rPr>
          <w:rFonts w:ascii="Palatino Linotype" w:hAnsi="Palatino Linotype" w:cs="Arial"/>
          <w:sz w:val="24"/>
          <w:szCs w:val="24"/>
          <w:lang w:val="es-419"/>
        </w:rPr>
        <w:t>septiembre</w:t>
      </w:r>
      <w:r w:rsidRPr="0076494E">
        <w:rPr>
          <w:rFonts w:ascii="Palatino Linotype" w:hAnsi="Palatino Linotype" w:cs="Arial"/>
          <w:sz w:val="24"/>
          <w:szCs w:val="24"/>
        </w:rPr>
        <w:t xml:space="preserve"> de dos mil </w:t>
      </w:r>
      <w:r w:rsidRPr="0076494E">
        <w:rPr>
          <w:rFonts w:ascii="Palatino Linotype" w:hAnsi="Palatino Linotype" w:cs="Arial"/>
          <w:sz w:val="24"/>
          <w:szCs w:val="24"/>
          <w:lang w:val="es-419"/>
        </w:rPr>
        <w:t>veintitrés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Pr>
          <w:rFonts w:ascii="Palatino Linotype" w:hAnsi="Palatino Linotype" w:cs="Arial"/>
          <w:sz w:val="24"/>
          <w:szCs w:val="24"/>
        </w:rPr>
        <w:t>eso</w:t>
      </w:r>
      <w:r w:rsidR="00CE3CBD">
        <w:rPr>
          <w:rFonts w:ascii="Palatino Linotype" w:hAnsi="Palatino Linotype" w:cs="Arial"/>
          <w:sz w:val="24"/>
          <w:szCs w:val="24"/>
        </w:rPr>
        <w:t>lución definitiva del asunto.</w:t>
      </w:r>
    </w:p>
    <w:p w:rsidR="00D96678" w:rsidRDefault="00D96678" w:rsidP="00285F96">
      <w:pPr>
        <w:spacing w:after="0" w:line="360" w:lineRule="auto"/>
        <w:jc w:val="both"/>
        <w:rPr>
          <w:rFonts w:ascii="Palatino Linotype" w:hAnsi="Palatino Linotype" w:cs="Arial"/>
          <w:sz w:val="24"/>
          <w:szCs w:val="24"/>
        </w:rPr>
      </w:pPr>
    </w:p>
    <w:p w:rsidR="00281906" w:rsidRPr="00CC1419" w:rsidRDefault="00C564A2" w:rsidP="0028190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sidR="00281906" w:rsidRPr="00FE67DF">
        <w:rPr>
          <w:rFonts w:ascii="Palatino Linotype" w:hAnsi="Palatino Linotype" w:cs="Arial"/>
          <w:b/>
          <w:sz w:val="28"/>
          <w:szCs w:val="28"/>
        </w:rPr>
        <w:t>.</w:t>
      </w:r>
      <w:r w:rsidR="00281906"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180E35">
        <w:rPr>
          <w:rFonts w:ascii="Palatino Linotype" w:hAnsi="Palatino Linotype" w:cs="Arial"/>
          <w:sz w:val="24"/>
          <w:szCs w:val="24"/>
          <w:lang w:val="es-419"/>
        </w:rPr>
        <w:t>diez</w:t>
      </w:r>
      <w:r w:rsidR="00F354C6">
        <w:rPr>
          <w:rFonts w:ascii="Palatino Linotype" w:hAnsi="Palatino Linotype" w:cs="Arial"/>
          <w:sz w:val="24"/>
          <w:szCs w:val="24"/>
          <w:lang w:val="es-419"/>
        </w:rPr>
        <w:t xml:space="preserve"> </w:t>
      </w:r>
      <w:r w:rsidRPr="0076494E">
        <w:rPr>
          <w:rFonts w:ascii="Palatino Linotype" w:hAnsi="Palatino Linotype" w:cs="Arial"/>
          <w:sz w:val="24"/>
          <w:szCs w:val="24"/>
        </w:rPr>
        <w:t xml:space="preserve">de </w:t>
      </w:r>
      <w:r w:rsidR="005B29D3">
        <w:rPr>
          <w:rFonts w:ascii="Palatino Linotype" w:hAnsi="Palatino Linotype" w:cs="Arial"/>
          <w:sz w:val="24"/>
          <w:szCs w:val="24"/>
          <w:lang w:val="es-419"/>
        </w:rPr>
        <w:t>octubre</w:t>
      </w:r>
      <w:r w:rsidRPr="0076494E">
        <w:rPr>
          <w:rFonts w:ascii="Palatino Linotype" w:hAnsi="Palatino Linotype" w:cs="Arial"/>
          <w:sz w:val="24"/>
          <w:szCs w:val="24"/>
        </w:rPr>
        <w:t xml:space="preserve"> del año dos mil veintidós,</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1B499C">
      <w:pPr>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Default="00BE3282" w:rsidP="00147528">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sidR="005325C7">
        <w:rPr>
          <w:rFonts w:ascii="Palatino Linotype" w:hAnsi="Palatino Linotype"/>
        </w:rPr>
        <w:t>ísticas y contexto del recurso.</w:t>
      </w:r>
    </w:p>
    <w:p w:rsidR="00C564A2" w:rsidRDefault="00C564A2" w:rsidP="00C564A2">
      <w:pPr>
        <w:pStyle w:val="Prrafodelista"/>
        <w:spacing w:line="360" w:lineRule="auto"/>
        <w:ind w:left="927"/>
        <w:contextualSpacing/>
        <w:jc w:val="both"/>
        <w:rPr>
          <w:rFonts w:ascii="Palatino Linotype" w:hAnsi="Palatino Linotype"/>
        </w:rPr>
      </w:pPr>
    </w:p>
    <w:p w:rsid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lastRenderedPageBreak/>
        <w:t>Actividad Procesal del interesado.</w:t>
      </w:r>
      <w:r w:rsidRPr="00BE3282">
        <w:rPr>
          <w:rFonts w:ascii="Palatino Linotype" w:hAnsi="Palatino Linotype"/>
        </w:rPr>
        <w:t xml:space="preserve"> Acciones u omisiones del interesado.</w:t>
      </w:r>
    </w:p>
    <w:p w:rsidR="00C564A2" w:rsidRPr="00C564A2" w:rsidRDefault="00C564A2" w:rsidP="00C564A2">
      <w:pPr>
        <w:pStyle w:val="Prrafodelista"/>
        <w:spacing w:line="360" w:lineRule="auto"/>
        <w:rPr>
          <w:rFonts w:ascii="Palatino Linotype" w:hAnsi="Palatino Linotype"/>
        </w:rPr>
      </w:pPr>
    </w:p>
    <w:p w:rsid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C564A2" w:rsidRPr="00C564A2" w:rsidRDefault="00C564A2" w:rsidP="00C564A2">
      <w:pPr>
        <w:spacing w:after="0" w:line="360" w:lineRule="auto"/>
        <w:contextualSpacing/>
        <w:jc w:val="both"/>
        <w:rPr>
          <w:rFonts w:ascii="Palatino Linotype" w:hAnsi="Palatino Linotype"/>
        </w:rPr>
      </w:pPr>
    </w:p>
    <w:p w:rsidR="00BE3282" w:rsidRP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0803DE" w:rsidRDefault="000803DE"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w:t>
      </w:r>
      <w:r w:rsidRPr="00BE3282">
        <w:rPr>
          <w:rFonts w:ascii="Palatino Linotype" w:hAnsi="Palatino Linotype"/>
          <w:sz w:val="24"/>
          <w:szCs w:val="24"/>
        </w:rPr>
        <w:lastRenderedPageBreak/>
        <w:t>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9E2755">
        <w:rPr>
          <w:rFonts w:ascii="Palatino Linotype" w:hAnsi="Palatino Linotype"/>
          <w:sz w:val="24"/>
          <w:szCs w:val="24"/>
        </w:rPr>
        <w:t>n el registro digital 2002350.</w:t>
      </w:r>
    </w:p>
    <w:p w:rsidR="003E3631" w:rsidRDefault="003E3631" w:rsidP="00337A3D">
      <w:pPr>
        <w:spacing w:after="0" w:line="360" w:lineRule="auto"/>
        <w:jc w:val="both"/>
        <w:rPr>
          <w:rFonts w:ascii="Palatino Linotype" w:eastAsia="Calibri" w:hAnsi="Palatino Linotype" w:cs="Arial"/>
          <w:b/>
          <w:sz w:val="24"/>
          <w:szCs w:val="24"/>
          <w:lang w:val="es-ES" w:eastAsia="es-ES"/>
        </w:rPr>
      </w:pPr>
    </w:p>
    <w:p w:rsidR="00C564A2" w:rsidRPr="00C56C9B" w:rsidRDefault="00C564A2"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305D72" w:rsidRDefault="00E02EA5" w:rsidP="00E02EA5">
      <w:pPr>
        <w:spacing w:after="0" w:line="360" w:lineRule="auto"/>
        <w:jc w:val="both"/>
        <w:rPr>
          <w:rFonts w:ascii="Palatino Linotype" w:hAnsi="Palatino Linotype" w:cs="Arial"/>
          <w:sz w:val="28"/>
          <w:szCs w:val="28"/>
        </w:rPr>
      </w:pPr>
      <w:r w:rsidRPr="00305D72">
        <w:rPr>
          <w:rFonts w:ascii="Palatino Linotype" w:hAnsi="Palatino Linotype" w:cs="Arial"/>
          <w:b/>
          <w:sz w:val="28"/>
          <w:szCs w:val="28"/>
        </w:rPr>
        <w:t xml:space="preserve">PRIMERO. </w:t>
      </w:r>
      <w:r w:rsidRPr="00305D72">
        <w:rPr>
          <w:rFonts w:ascii="Palatino Linotype" w:hAnsi="Palatino Linotype" w:cs="Arial"/>
          <w:b/>
          <w:sz w:val="26"/>
          <w:szCs w:val="26"/>
        </w:rPr>
        <w:t>De la competencia</w:t>
      </w:r>
      <w:r w:rsidRPr="00305D72">
        <w:rPr>
          <w:rFonts w:ascii="Palatino Linotype" w:hAnsi="Palatino Linotype" w:cs="Arial"/>
          <w:sz w:val="26"/>
          <w:szCs w:val="26"/>
        </w:rPr>
        <w:t>.</w:t>
      </w:r>
    </w:p>
    <w:p w:rsidR="00584EE2" w:rsidRPr="00F90A13" w:rsidRDefault="00584EE2" w:rsidP="00584E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90A13">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13589E" w:rsidRDefault="000803DE" w:rsidP="003C6515">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lang w:val="es-419"/>
        </w:rPr>
        <w:t>TERCERO</w:t>
      </w:r>
      <w:r w:rsidR="003C6515" w:rsidRPr="0013589E">
        <w:rPr>
          <w:rFonts w:ascii="Palatino Linotype" w:hAnsi="Palatino Linotype" w:cs="Arial"/>
          <w:b/>
          <w:sz w:val="28"/>
        </w:rPr>
        <w:t xml:space="preserve">. Del estudio de las causas de improcedencia. </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34957">
        <w:rPr>
          <w:rFonts w:eastAsia="Times New Roman"/>
          <w:sz w:val="24"/>
          <w:szCs w:val="24"/>
          <w:lang w:val="es-ES" w:eastAsia="es-ES"/>
        </w:rPr>
        <w:footnoteReference w:id="1"/>
      </w:r>
      <w:r w:rsidRPr="00D34957">
        <w:rPr>
          <w:rFonts w:ascii="Palatino Linotype" w:eastAsia="Times New Roman" w:hAnsi="Palatino Linotype" w:cs="Arial"/>
          <w:sz w:val="24"/>
          <w:szCs w:val="24"/>
          <w:lang w:val="es-ES" w:eastAsia="es-ES"/>
        </w:rPr>
        <w:t>.</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Por lo que una vez que se analizó el expediente en estudio se cae en la cuenta de que no se actualiza ninguna de las casuales a continuación transcritas: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lastRenderedPageBreak/>
        <w:t xml:space="preserve">I. Sea extemporáneo por haber transcurrido el plazo establecido en la presente Ley, a partir de la respuesta;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C91637" w:rsidP="003C651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hAnsi="Palatino Linotype" w:cs="Arial"/>
          <w:b/>
          <w:sz w:val="28"/>
          <w:lang w:val="es-419"/>
        </w:rPr>
        <w:t>CUARTO</w:t>
      </w:r>
      <w:r w:rsidR="003C6515" w:rsidRPr="00A32A45">
        <w:rPr>
          <w:rFonts w:ascii="Palatino Linotype" w:hAnsi="Palatino Linotype" w:cs="Arial"/>
          <w:b/>
          <w:sz w:val="28"/>
        </w:rPr>
        <w:t>. Del estudio y resolución del asunto.</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w:t>
      </w:r>
      <w:r w:rsidRPr="001460D8">
        <w:rPr>
          <w:rFonts w:ascii="Palatino Linotype" w:hAnsi="Palatino Linotype"/>
          <w:sz w:val="24"/>
          <w:szCs w:val="24"/>
        </w:rPr>
        <w:lastRenderedPageBreak/>
        <w:t>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w:t>
      </w:r>
      <w:r w:rsidRPr="00257CC0">
        <w:rPr>
          <w:rFonts w:ascii="Palatino Linotype" w:hAnsi="Palatino Linotype" w:cs="Arial"/>
          <w:i/>
          <w:iCs/>
          <w:color w:val="222222"/>
        </w:rPr>
        <w:lastRenderedPageBreak/>
        <w:t>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w:t>
      </w:r>
      <w:r w:rsidRPr="001A56F2">
        <w:rPr>
          <w:rFonts w:ascii="Palatino Linotype" w:hAnsi="Palatino Linotype" w:cs="Arial"/>
          <w:sz w:val="24"/>
          <w:szCs w:val="24"/>
        </w:rPr>
        <w:t xml:space="preserve">en los que el </w:t>
      </w:r>
      <w:r w:rsidRPr="00004A2F">
        <w:rPr>
          <w:rFonts w:ascii="Palatino Linotype" w:hAnsi="Palatino Linotype" w:cs="Arial"/>
          <w:sz w:val="24"/>
          <w:szCs w:val="24"/>
        </w:rPr>
        <w:t xml:space="preserve">Estado Mexicano sea parte, en concordancia con el artículo 8 de la Ley de Transparencia local, es así que el recurrente </w:t>
      </w:r>
      <w:r w:rsidR="00BD1FDD" w:rsidRPr="00004A2F">
        <w:rPr>
          <w:rFonts w:ascii="Palatino Linotype" w:hAnsi="Palatino Linotype" w:cs="Arial"/>
          <w:sz w:val="24"/>
          <w:szCs w:val="24"/>
          <w:lang w:val="es-419"/>
        </w:rPr>
        <w:t xml:space="preserve">de forma puntualizada </w:t>
      </w:r>
      <w:r w:rsidRPr="00004A2F">
        <w:rPr>
          <w:rFonts w:ascii="Palatino Linotype" w:hAnsi="Palatino Linotype" w:cs="Arial"/>
          <w:sz w:val="24"/>
          <w:szCs w:val="24"/>
        </w:rPr>
        <w:t>solicitó:</w:t>
      </w:r>
    </w:p>
    <w:p w:rsidR="00004A2F" w:rsidRDefault="00004A2F" w:rsidP="00006F24">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004A2F" w:rsidRPr="00004A2F" w:rsidRDefault="00004A2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004A2F">
        <w:rPr>
          <w:rFonts w:ascii="Palatino Linotype" w:hAnsi="Palatino Linotype"/>
          <w:lang w:val="es-ES_tradnl"/>
        </w:rPr>
        <w:t xml:space="preserve">Programa de bacheo de la </w:t>
      </w:r>
      <w:r w:rsidR="00533B3E" w:rsidRPr="00004A2F">
        <w:rPr>
          <w:rFonts w:ascii="Palatino Linotype" w:hAnsi="Palatino Linotype"/>
          <w:lang w:val="es-ES_tradnl"/>
        </w:rPr>
        <w:t xml:space="preserve">Colonia </w:t>
      </w:r>
      <w:r w:rsidRPr="00004A2F">
        <w:rPr>
          <w:rFonts w:ascii="Palatino Linotype" w:hAnsi="Palatino Linotype"/>
          <w:lang w:val="es-ES_tradnl"/>
        </w:rPr>
        <w:t>Rancho la Mo</w:t>
      </w:r>
      <w:r w:rsidR="00533B3E">
        <w:rPr>
          <w:rFonts w:ascii="Palatino Linotype" w:hAnsi="Palatino Linotype"/>
          <w:lang w:val="es-ES_tradnl"/>
        </w:rPr>
        <w:t>ra y la Delegación la Maquinita;</w:t>
      </w:r>
    </w:p>
    <w:p w:rsidR="00004A2F" w:rsidRPr="00004A2F" w:rsidRDefault="00004A2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004A2F">
        <w:rPr>
          <w:rFonts w:ascii="Palatino Linotype" w:hAnsi="Palatino Linotype"/>
          <w:lang w:val="es-ES_tradnl"/>
        </w:rPr>
        <w:lastRenderedPageBreak/>
        <w:t>El proceso constructivo y normas bajo las cuales se está realizando el trabajo</w:t>
      </w:r>
      <w:r w:rsidR="00533B3E">
        <w:rPr>
          <w:rFonts w:ascii="Palatino Linotype" w:hAnsi="Palatino Linotype"/>
          <w:lang w:val="es-ES_tradnl"/>
        </w:rPr>
        <w:t>;</w:t>
      </w:r>
    </w:p>
    <w:p w:rsidR="00004A2F" w:rsidRPr="00004A2F" w:rsidRDefault="00004A2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004A2F">
        <w:rPr>
          <w:rFonts w:ascii="Palatino Linotype" w:hAnsi="Palatino Linotype"/>
          <w:lang w:val="es-ES_tradnl"/>
        </w:rPr>
        <w:t>Las pruebas de laboratorio de los materiales</w:t>
      </w:r>
      <w:r w:rsidR="00533B3E">
        <w:rPr>
          <w:rFonts w:ascii="Palatino Linotype" w:hAnsi="Palatino Linotype"/>
          <w:lang w:val="es-ES_tradnl"/>
        </w:rPr>
        <w:t xml:space="preserve"> utilizados;</w:t>
      </w:r>
    </w:p>
    <w:p w:rsidR="00004A2F" w:rsidRPr="00004A2F" w:rsidRDefault="00004A2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004A2F">
        <w:rPr>
          <w:rFonts w:ascii="Palatino Linotype" w:hAnsi="Palatino Linotype"/>
          <w:lang w:val="es-ES_tradnl"/>
        </w:rPr>
        <w:t>La Certificación con la que cuenta la empresa (o el Encargado del Municipio) y del personal (o personal propio del ayuntamiento) que real</w:t>
      </w:r>
      <w:r w:rsidR="00533B3E">
        <w:rPr>
          <w:rFonts w:ascii="Palatino Linotype" w:hAnsi="Palatino Linotype"/>
          <w:lang w:val="es-ES_tradnl"/>
        </w:rPr>
        <w:t>iza la ejecución de estas obras;</w:t>
      </w:r>
    </w:p>
    <w:p w:rsidR="00004A2F" w:rsidRPr="00004A2F" w:rsidRDefault="00004A2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004A2F">
        <w:rPr>
          <w:rFonts w:ascii="Palatino Linotype" w:hAnsi="Palatino Linotype"/>
          <w:lang w:val="es-ES_tradnl"/>
        </w:rPr>
        <w:t xml:space="preserve">Medio de asignación </w:t>
      </w:r>
      <w:r w:rsidR="00533B3E">
        <w:rPr>
          <w:rFonts w:ascii="Palatino Linotype" w:hAnsi="Palatino Linotype"/>
          <w:lang w:val="es-ES_tradnl"/>
        </w:rPr>
        <w:t>del contrato, monto y duración;</w:t>
      </w:r>
    </w:p>
    <w:p w:rsidR="00004A2F" w:rsidRPr="00004A2F" w:rsidRDefault="00004A2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004A2F">
        <w:rPr>
          <w:rFonts w:ascii="Palatino Linotype" w:hAnsi="Palatino Linotype"/>
          <w:lang w:val="es-419"/>
        </w:rPr>
        <w:t>Fianza</w:t>
      </w:r>
      <w:r w:rsidRPr="00004A2F">
        <w:rPr>
          <w:rFonts w:ascii="Palatino Linotype" w:hAnsi="Palatino Linotype"/>
          <w:lang w:val="es-ES_tradnl"/>
        </w:rPr>
        <w:t xml:space="preserve"> de cumplimiento y de calidad oto</w:t>
      </w:r>
      <w:r w:rsidR="00533B3E">
        <w:rPr>
          <w:rFonts w:ascii="Palatino Linotype" w:hAnsi="Palatino Linotype"/>
          <w:lang w:val="es-ES_tradnl"/>
        </w:rPr>
        <w:t>rgada con la vigencia prevista; y</w:t>
      </w:r>
    </w:p>
    <w:p w:rsidR="00004A2F" w:rsidRPr="00004A2F" w:rsidRDefault="00004A2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004A2F">
        <w:rPr>
          <w:rFonts w:ascii="Palatino Linotype" w:hAnsi="Palatino Linotype"/>
          <w:lang w:val="es-ES_tradnl"/>
        </w:rPr>
        <w:t>Para el caso de ser por sus propios medios el análisis de P.U</w:t>
      </w:r>
      <w:r>
        <w:rPr>
          <w:rFonts w:ascii="Palatino Linotype" w:hAnsi="Palatino Linotype"/>
          <w:lang w:val="es-419"/>
        </w:rPr>
        <w:t>.</w:t>
      </w:r>
      <w:r w:rsidRPr="00004A2F">
        <w:rPr>
          <w:rFonts w:ascii="Palatino Linotype" w:hAnsi="Palatino Linotype"/>
          <w:lang w:val="es-ES_tradnl"/>
        </w:rPr>
        <w:t xml:space="preserve"> de estas obras y el presupuesto gastado a la fecha</w:t>
      </w:r>
      <w:r>
        <w:rPr>
          <w:rFonts w:ascii="Palatino Linotype" w:hAnsi="Palatino Linotype"/>
          <w:lang w:val="es-ES_tradnl"/>
        </w:rPr>
        <w:t>.</w:t>
      </w:r>
    </w:p>
    <w:p w:rsidR="00004A2F" w:rsidRPr="00004A2F" w:rsidRDefault="00004A2F" w:rsidP="00006F24">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EE6639" w:rsidRPr="003C6515" w:rsidRDefault="00AB2FD0" w:rsidP="00006F24">
      <w:pPr>
        <w:autoSpaceDE w:val="0"/>
        <w:autoSpaceDN w:val="0"/>
        <w:adjustRightInd w:val="0"/>
        <w:spacing w:after="0" w:line="360" w:lineRule="auto"/>
        <w:jc w:val="both"/>
        <w:rPr>
          <w:rFonts w:ascii="Palatino Linotype" w:hAnsi="Palatino Linotype" w:cs="Arial"/>
          <w:sz w:val="24"/>
          <w:szCs w:val="24"/>
        </w:rPr>
      </w:pPr>
      <w:r w:rsidRPr="00A24FE7">
        <w:rPr>
          <w:rFonts w:ascii="Palatino Linotype" w:hAnsi="Palatino Linotype" w:cs="Arial"/>
          <w:sz w:val="24"/>
          <w:szCs w:val="24"/>
        </w:rPr>
        <w:t>Derivado de la solicitud</w:t>
      </w:r>
      <w:r w:rsidR="00DF7BF1" w:rsidRPr="00A24FE7">
        <w:rPr>
          <w:rFonts w:ascii="Palatino Linotype" w:hAnsi="Palatino Linotype" w:cs="Arial"/>
          <w:sz w:val="24"/>
          <w:szCs w:val="24"/>
        </w:rPr>
        <w:t xml:space="preserve"> de información</w:t>
      </w:r>
      <w:r w:rsidR="00163245" w:rsidRPr="00A24FE7">
        <w:rPr>
          <w:rFonts w:ascii="Palatino Linotype" w:hAnsi="Palatino Linotype" w:cs="Arial"/>
          <w:sz w:val="24"/>
          <w:szCs w:val="24"/>
        </w:rPr>
        <w:t xml:space="preserve">, el sujeto obligado </w:t>
      </w:r>
      <w:r w:rsidR="00401215" w:rsidRPr="00A24FE7">
        <w:rPr>
          <w:rFonts w:ascii="Palatino Linotype" w:hAnsi="Palatino Linotype" w:cs="Arial"/>
          <w:sz w:val="24"/>
          <w:szCs w:val="24"/>
        </w:rPr>
        <w:t xml:space="preserve">remitió </w:t>
      </w:r>
      <w:r w:rsidR="00004A2F">
        <w:rPr>
          <w:rFonts w:ascii="Palatino Linotype" w:hAnsi="Palatino Linotype" w:cs="Arial"/>
          <w:sz w:val="24"/>
          <w:szCs w:val="24"/>
          <w:lang w:val="es-419"/>
        </w:rPr>
        <w:t>los siguientes</w:t>
      </w:r>
      <w:r w:rsidR="00EE6639" w:rsidRPr="00A24FE7">
        <w:rPr>
          <w:rFonts w:ascii="Palatino Linotype" w:hAnsi="Palatino Linotype" w:cs="Arial"/>
          <w:sz w:val="24"/>
          <w:szCs w:val="24"/>
        </w:rPr>
        <w:t xml:space="preserve"> archivo</w:t>
      </w:r>
      <w:r w:rsidR="00004A2F">
        <w:rPr>
          <w:rFonts w:ascii="Palatino Linotype" w:hAnsi="Palatino Linotype" w:cs="Arial"/>
          <w:sz w:val="24"/>
          <w:szCs w:val="24"/>
          <w:lang w:val="es-419"/>
        </w:rPr>
        <w:t>s</w:t>
      </w:r>
      <w:r w:rsidR="00EE6639" w:rsidRPr="00A24FE7">
        <w:rPr>
          <w:rFonts w:ascii="Palatino Linotype" w:hAnsi="Palatino Linotype" w:cs="Arial"/>
          <w:sz w:val="24"/>
          <w:szCs w:val="24"/>
        </w:rPr>
        <w:t xml:space="preserve"> electrónico</w:t>
      </w:r>
      <w:r w:rsidR="00004A2F">
        <w:rPr>
          <w:rFonts w:ascii="Palatino Linotype" w:hAnsi="Palatino Linotype" w:cs="Arial"/>
          <w:sz w:val="24"/>
          <w:szCs w:val="24"/>
          <w:lang w:val="es-419"/>
        </w:rPr>
        <w:t>s</w:t>
      </w:r>
      <w:r w:rsidR="00EE6639" w:rsidRPr="00A24FE7">
        <w:rPr>
          <w:rFonts w:ascii="Palatino Linotype" w:hAnsi="Palatino Linotype" w:cs="Arial"/>
          <w:sz w:val="24"/>
          <w:szCs w:val="24"/>
        </w:rPr>
        <w:t>,</w:t>
      </w:r>
      <w:r w:rsidR="00B7239A" w:rsidRPr="00A24FE7">
        <w:rPr>
          <w:rFonts w:ascii="Palatino Linotype" w:hAnsi="Palatino Linotype" w:cs="Arial"/>
          <w:sz w:val="24"/>
          <w:szCs w:val="24"/>
        </w:rPr>
        <w:t xml:space="preserve"> que a continuación se describe</w:t>
      </w:r>
      <w:r w:rsidR="00004A2F">
        <w:rPr>
          <w:rFonts w:ascii="Palatino Linotype" w:hAnsi="Palatino Linotype" w:cs="Arial"/>
          <w:sz w:val="24"/>
          <w:szCs w:val="24"/>
          <w:lang w:val="es-419"/>
        </w:rPr>
        <w:t>n</w:t>
      </w:r>
      <w:r w:rsidR="00EE6639" w:rsidRPr="00A24FE7">
        <w:rPr>
          <w:rFonts w:ascii="Palatino Linotype" w:hAnsi="Palatino Linotype" w:cs="Arial"/>
          <w:sz w:val="24"/>
          <w:szCs w:val="24"/>
        </w:rPr>
        <w:t>:</w:t>
      </w:r>
    </w:p>
    <w:p w:rsidR="00EE6639" w:rsidRDefault="00EE6639" w:rsidP="00006F24">
      <w:pPr>
        <w:autoSpaceDE w:val="0"/>
        <w:autoSpaceDN w:val="0"/>
        <w:adjustRightInd w:val="0"/>
        <w:spacing w:after="0" w:line="360" w:lineRule="auto"/>
        <w:jc w:val="both"/>
        <w:rPr>
          <w:rFonts w:ascii="Palatino Linotype" w:hAnsi="Palatino Linotype" w:cs="Arial"/>
          <w:sz w:val="24"/>
          <w:szCs w:val="24"/>
          <w:lang w:val="es-419"/>
        </w:rPr>
      </w:pPr>
    </w:p>
    <w:p w:rsidR="00004A2F" w:rsidRPr="00004A2F" w:rsidRDefault="00004A2F" w:rsidP="00147528">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004A2F">
        <w:rPr>
          <w:rFonts w:ascii="Palatino Linotype" w:hAnsi="Palatino Linotype" w:cs="Arial"/>
          <w:lang w:val="es-419"/>
        </w:rPr>
        <w:t>“</w:t>
      </w:r>
      <w:r w:rsidRPr="00004A2F">
        <w:rPr>
          <w:rFonts w:ascii="Palatino Linotype" w:hAnsi="Palatino Linotype" w:cs="Arial"/>
          <w:b/>
          <w:i/>
        </w:rPr>
        <w:t>Estudios de calidad versión pública (1).pdf</w:t>
      </w:r>
      <w:r>
        <w:rPr>
          <w:rFonts w:ascii="Palatino Linotype" w:hAnsi="Palatino Linotype" w:cs="Arial"/>
          <w:lang w:val="es-419"/>
        </w:rPr>
        <w:t>”.- documento en dos hojas denominado “ESTUDIO DE CALIDAD DE MATERIALES PARA CONCRETO ASFALTICO”, en el cual se aprecia</w:t>
      </w:r>
      <w:r w:rsidR="008D489E">
        <w:rPr>
          <w:rFonts w:ascii="Palatino Linotype" w:hAnsi="Palatino Linotype" w:cs="Arial"/>
          <w:lang w:val="es-419"/>
        </w:rPr>
        <w:t>n las especificaciones técnicas</w:t>
      </w:r>
      <w:r>
        <w:rPr>
          <w:rFonts w:ascii="Palatino Linotype" w:hAnsi="Palatino Linotype" w:cs="Arial"/>
          <w:lang w:val="es-419"/>
        </w:rPr>
        <w:t xml:space="preserve"> </w:t>
      </w:r>
      <w:r w:rsidR="008D489E">
        <w:rPr>
          <w:rFonts w:ascii="Palatino Linotype" w:hAnsi="Palatino Linotype" w:cs="Arial"/>
          <w:lang w:val="es-419"/>
        </w:rPr>
        <w:t xml:space="preserve">del asfalto </w:t>
      </w:r>
      <w:r>
        <w:rPr>
          <w:rFonts w:ascii="Palatino Linotype" w:hAnsi="Palatino Linotype" w:cs="Arial"/>
          <w:lang w:val="es-419"/>
        </w:rPr>
        <w:t xml:space="preserve">que </w:t>
      </w:r>
      <w:r w:rsidR="008D489E">
        <w:rPr>
          <w:rFonts w:ascii="Palatino Linotype" w:hAnsi="Palatino Linotype" w:cs="Arial"/>
          <w:lang w:val="es-419"/>
        </w:rPr>
        <w:t xml:space="preserve">será aplicado </w:t>
      </w:r>
      <w:r>
        <w:rPr>
          <w:rFonts w:ascii="Palatino Linotype" w:hAnsi="Palatino Linotype" w:cs="Arial"/>
          <w:lang w:val="es-419"/>
        </w:rPr>
        <w:t>para la “REHABILITACIÓN de vialidades urbanas (bacheo de vialidades con mezcla asfáltica</w:t>
      </w:r>
      <w:r w:rsidR="008D489E">
        <w:rPr>
          <w:rFonts w:ascii="Palatino Linotype" w:hAnsi="Palatino Linotype" w:cs="Arial"/>
          <w:lang w:val="es-419"/>
        </w:rPr>
        <w:t>) Delegación Santiago Tlaxomulco 43.</w:t>
      </w:r>
    </w:p>
    <w:p w:rsidR="00004A2F" w:rsidRDefault="00004A2F" w:rsidP="00006F24">
      <w:pPr>
        <w:autoSpaceDE w:val="0"/>
        <w:autoSpaceDN w:val="0"/>
        <w:adjustRightInd w:val="0"/>
        <w:spacing w:after="0" w:line="360" w:lineRule="auto"/>
        <w:jc w:val="both"/>
        <w:rPr>
          <w:rFonts w:ascii="Palatino Linotype" w:hAnsi="Palatino Linotype" w:cs="Arial"/>
          <w:sz w:val="24"/>
          <w:szCs w:val="24"/>
          <w:lang w:val="es-419"/>
        </w:rPr>
      </w:pPr>
    </w:p>
    <w:p w:rsidR="00004A2F" w:rsidRPr="00004A2F" w:rsidRDefault="00004A2F" w:rsidP="00147528">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004A2F">
        <w:rPr>
          <w:rFonts w:ascii="Palatino Linotype" w:hAnsi="Palatino Linotype" w:cs="Arial"/>
          <w:lang w:val="es-419"/>
        </w:rPr>
        <w:t>“</w:t>
      </w:r>
      <w:r w:rsidRPr="00004A2F">
        <w:rPr>
          <w:rFonts w:ascii="Palatino Linotype" w:hAnsi="Palatino Linotype" w:cs="Arial"/>
          <w:b/>
          <w:i/>
        </w:rPr>
        <w:t>Descripción del proceso constructivo.pdf</w:t>
      </w:r>
      <w:r>
        <w:rPr>
          <w:rFonts w:ascii="Palatino Linotype" w:hAnsi="Palatino Linotype" w:cs="Arial"/>
          <w:lang w:val="es-419"/>
        </w:rPr>
        <w:t>”.-</w:t>
      </w:r>
      <w:r w:rsidR="00363C39">
        <w:rPr>
          <w:rFonts w:ascii="Palatino Linotype" w:hAnsi="Palatino Linotype" w:cs="Arial"/>
          <w:lang w:val="es-419"/>
        </w:rPr>
        <w:t>Documento en siete (7) hojas denominado: “DESCRIPCIÓ</w:t>
      </w:r>
      <w:r w:rsidR="008A35B2">
        <w:rPr>
          <w:rFonts w:ascii="Palatino Linotype" w:hAnsi="Palatino Linotype" w:cs="Arial"/>
          <w:lang w:val="es-419"/>
        </w:rPr>
        <w:t>N DEL PROCESO CONSTRUCTIVO BAC</w:t>
      </w:r>
      <w:r w:rsidR="00363C39">
        <w:rPr>
          <w:rFonts w:ascii="Palatino Linotype" w:hAnsi="Palatino Linotype" w:cs="Arial"/>
          <w:lang w:val="es-419"/>
        </w:rPr>
        <w:t>HEO A PRESIÓN”, de fecha 10 de junio de 2022, en el cual se describe la forma, el procedimiento</w:t>
      </w:r>
      <w:r w:rsidR="00266E9C">
        <w:rPr>
          <w:rFonts w:ascii="Palatino Linotype" w:hAnsi="Palatino Linotype" w:cs="Arial"/>
          <w:lang w:val="es-419"/>
        </w:rPr>
        <w:t xml:space="preserve"> y</w:t>
      </w:r>
      <w:r w:rsidR="00363C39">
        <w:rPr>
          <w:rFonts w:ascii="Palatino Linotype" w:hAnsi="Palatino Linotype" w:cs="Arial"/>
          <w:lang w:val="es-419"/>
        </w:rPr>
        <w:t xml:space="preserve"> los materiales</w:t>
      </w:r>
      <w:r w:rsidR="00266E9C">
        <w:rPr>
          <w:rFonts w:ascii="Palatino Linotype" w:hAnsi="Palatino Linotype" w:cs="Arial"/>
          <w:lang w:val="es-419"/>
        </w:rPr>
        <w:t>; así como</w:t>
      </w:r>
      <w:r w:rsidR="00363C39">
        <w:rPr>
          <w:rFonts w:ascii="Palatino Linotype" w:hAnsi="Palatino Linotype" w:cs="Arial"/>
          <w:lang w:val="es-419"/>
        </w:rPr>
        <w:t xml:space="preserve"> los requisitos de calidad para emulsiones catiónicas describiendo sus características desde el contenido </w:t>
      </w:r>
      <w:r w:rsidR="00363C39">
        <w:rPr>
          <w:rFonts w:ascii="Palatino Linotype" w:hAnsi="Palatino Linotype" w:cs="Arial"/>
          <w:lang w:val="es-419"/>
        </w:rPr>
        <w:lastRenderedPageBreak/>
        <w:t xml:space="preserve">porcentual </w:t>
      </w:r>
      <w:r w:rsidR="00266E9C">
        <w:rPr>
          <w:rFonts w:ascii="Palatino Linotype" w:hAnsi="Palatino Linotype" w:cs="Arial"/>
          <w:lang w:val="es-419"/>
        </w:rPr>
        <w:t>en masa sobre el cemento asfaltico, viscosidad, asentamiento, cubrimiento, penetración, solubilidad; también se describen sus propiedades, estado físico, color, olor, apariencia, acidez etc. Se describe el equipo de inyección a presión, el procedimiento de ejecución, condiciones climatológicas, estimación y pago así como la recepción de la obra.</w:t>
      </w:r>
    </w:p>
    <w:p w:rsidR="00004A2F" w:rsidRDefault="00004A2F" w:rsidP="00006F24">
      <w:pPr>
        <w:autoSpaceDE w:val="0"/>
        <w:autoSpaceDN w:val="0"/>
        <w:adjustRightInd w:val="0"/>
        <w:spacing w:after="0" w:line="360" w:lineRule="auto"/>
        <w:jc w:val="both"/>
        <w:rPr>
          <w:rFonts w:ascii="Palatino Linotype" w:hAnsi="Palatino Linotype" w:cs="Arial"/>
          <w:sz w:val="24"/>
          <w:szCs w:val="24"/>
          <w:lang w:val="es-419"/>
        </w:rPr>
      </w:pPr>
    </w:p>
    <w:p w:rsidR="00004A2F" w:rsidRPr="00004A2F" w:rsidRDefault="00004A2F" w:rsidP="00147528">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004A2F">
        <w:rPr>
          <w:rFonts w:ascii="Palatino Linotype" w:hAnsi="Palatino Linotype" w:cs="Arial"/>
          <w:lang w:val="es-419"/>
        </w:rPr>
        <w:t>“</w:t>
      </w:r>
      <w:r w:rsidRPr="00004A2F">
        <w:rPr>
          <w:rFonts w:ascii="Palatino Linotype" w:hAnsi="Palatino Linotype" w:cs="Arial"/>
          <w:b/>
          <w:i/>
        </w:rPr>
        <w:t>Fianza de Cumplimiento en versión pública..pdf</w:t>
      </w:r>
      <w:r>
        <w:rPr>
          <w:rFonts w:ascii="Palatino Linotype" w:hAnsi="Palatino Linotype" w:cs="Arial"/>
          <w:lang w:val="es-419"/>
        </w:rPr>
        <w:t>”.-</w:t>
      </w:r>
      <w:r w:rsidR="00266E9C">
        <w:rPr>
          <w:rFonts w:ascii="Palatino Linotype" w:hAnsi="Palatino Linotype" w:cs="Arial"/>
          <w:lang w:val="es-419"/>
        </w:rPr>
        <w:t xml:space="preserve"> </w:t>
      </w:r>
      <w:r w:rsidR="00AD74F8">
        <w:rPr>
          <w:rFonts w:ascii="Palatino Linotype" w:hAnsi="Palatino Linotype" w:cs="Arial"/>
          <w:lang w:val="es-419"/>
        </w:rPr>
        <w:t xml:space="preserve">Documento en versión pública, que contiene la </w:t>
      </w:r>
      <w:r w:rsidR="00266E9C">
        <w:rPr>
          <w:rFonts w:ascii="Palatino Linotype" w:hAnsi="Palatino Linotype" w:cs="Arial"/>
          <w:lang w:val="es-419"/>
        </w:rPr>
        <w:t xml:space="preserve">Póliza de fianza </w:t>
      </w:r>
      <w:r w:rsidR="00AD74F8">
        <w:rPr>
          <w:rFonts w:ascii="Palatino Linotype" w:hAnsi="Palatino Linotype" w:cs="Arial"/>
          <w:lang w:val="es-419"/>
        </w:rPr>
        <w:t>de fecha 6 de junio de 2022 por la cantidad de $363,270.61 (trescientos sesenta y tres mil doscientos setenta pesos 61/100 M.N.) emitida a favor del municipio de Toluca, para garantizar por BACHEO JET S.A. de C.V., el cumplimiento de todas y cada una de las obligaciones, que tiene por objeto rehabilitación de vialidades urbanas.</w:t>
      </w:r>
    </w:p>
    <w:p w:rsidR="00004A2F" w:rsidRDefault="00004A2F" w:rsidP="00006F24">
      <w:pPr>
        <w:autoSpaceDE w:val="0"/>
        <w:autoSpaceDN w:val="0"/>
        <w:adjustRightInd w:val="0"/>
        <w:spacing w:after="0" w:line="360" w:lineRule="auto"/>
        <w:jc w:val="both"/>
        <w:rPr>
          <w:rFonts w:ascii="Palatino Linotype" w:hAnsi="Palatino Linotype" w:cs="Arial"/>
          <w:sz w:val="24"/>
          <w:szCs w:val="24"/>
          <w:lang w:val="es-419"/>
        </w:rPr>
      </w:pPr>
    </w:p>
    <w:p w:rsidR="00004A2F" w:rsidRDefault="00004A2F" w:rsidP="00147528">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004A2F">
        <w:rPr>
          <w:rFonts w:ascii="Palatino Linotype" w:hAnsi="Palatino Linotype" w:cs="Arial"/>
          <w:lang w:val="es-419"/>
        </w:rPr>
        <w:t>“</w:t>
      </w:r>
      <w:r w:rsidRPr="00004A2F">
        <w:rPr>
          <w:rFonts w:ascii="Palatino Linotype" w:hAnsi="Palatino Linotype" w:cs="Arial"/>
          <w:b/>
          <w:i/>
        </w:rPr>
        <w:t>Respuesta 01563_2022.pdf</w:t>
      </w:r>
      <w:r>
        <w:rPr>
          <w:rFonts w:ascii="Palatino Linotype" w:hAnsi="Palatino Linotype" w:cs="Arial"/>
          <w:lang w:val="es-419"/>
        </w:rPr>
        <w:t>”.-</w:t>
      </w:r>
      <w:r w:rsidR="00AD74F8">
        <w:rPr>
          <w:rFonts w:ascii="Palatino Linotype" w:hAnsi="Palatino Linotype" w:cs="Arial"/>
          <w:lang w:val="es-419"/>
        </w:rPr>
        <w:t xml:space="preserve"> Respuesta a la </w:t>
      </w:r>
      <w:r w:rsidR="008B476A">
        <w:rPr>
          <w:rFonts w:ascii="Palatino Linotype" w:hAnsi="Palatino Linotype" w:cs="Arial"/>
          <w:lang w:val="es-419"/>
        </w:rPr>
        <w:t xml:space="preserve">solicitud de información de fecha 16 de agosto de 2022, signado por </w:t>
      </w:r>
      <w:r w:rsidR="008E6109">
        <w:rPr>
          <w:rFonts w:ascii="Palatino Linotype" w:hAnsi="Palatino Linotype" w:cs="Arial"/>
          <w:lang w:val="es-419"/>
        </w:rPr>
        <w:t>la Lic. Norma Sofía Pérez Martínez en su carácter de Titular de la Unidad de Transparencias, por medio del cual informa punto por punto lo requerido</w:t>
      </w:r>
      <w:r w:rsidR="008A35B2">
        <w:rPr>
          <w:rFonts w:ascii="Palatino Linotype" w:hAnsi="Palatino Linotype" w:cs="Arial"/>
          <w:lang w:val="es-419"/>
        </w:rPr>
        <w:t xml:space="preserve"> por el hoy recurrente, como se aprecia a continuación:</w:t>
      </w:r>
    </w:p>
    <w:p w:rsidR="008A35B2" w:rsidRDefault="008A35B2" w:rsidP="008A35B2">
      <w:pPr>
        <w:pStyle w:val="Prrafodelista"/>
        <w:autoSpaceDE w:val="0"/>
        <w:autoSpaceDN w:val="0"/>
        <w:adjustRightInd w:val="0"/>
        <w:spacing w:line="360" w:lineRule="auto"/>
        <w:ind w:left="720"/>
        <w:jc w:val="both"/>
        <w:rPr>
          <w:rFonts w:ascii="Palatino Linotype" w:hAnsi="Palatino Linotype" w:cs="Arial"/>
          <w:lang w:val="es-419"/>
        </w:rPr>
      </w:pPr>
    </w:p>
    <w:p w:rsidR="00FE0317" w:rsidRPr="00FE0317" w:rsidRDefault="00FE0317" w:rsidP="00FE0317">
      <w:pPr>
        <w:spacing w:after="0" w:line="240" w:lineRule="auto"/>
        <w:ind w:left="851" w:right="851"/>
        <w:jc w:val="both"/>
        <w:rPr>
          <w:rFonts w:ascii="Palatino Linotype" w:hAnsi="Palatino Linotype" w:cs="Arial"/>
          <w:i/>
          <w:iCs/>
          <w:color w:val="222222"/>
        </w:rPr>
      </w:pPr>
      <w:r>
        <w:rPr>
          <w:rFonts w:ascii="Palatino Linotype" w:hAnsi="Palatino Linotype" w:cs="Arial"/>
          <w:i/>
          <w:iCs/>
          <w:color w:val="222222"/>
          <w:lang w:val="es-419"/>
        </w:rPr>
        <w:t>“</w:t>
      </w:r>
      <w:r w:rsidRPr="00FE0317">
        <w:rPr>
          <w:rFonts w:ascii="Palatino Linotype" w:hAnsi="Palatino Linotype" w:cs="Arial"/>
          <w:i/>
          <w:iCs/>
          <w:color w:val="222222"/>
        </w:rPr>
        <w:t xml:space="preserve">Al respecto y de conformidad con lo dispuesto en los artículos 6 apartado A de la Constitución Política de los Estados Unidos Mexicanos; 5 de la Constitución Política del Estado Libre y Soberano de México; 1, 2, 3 fracción XXXIX, 4, 7 fracción I, 8, 11, 12 párrafo segundo, 15,16,17, 21, 23 fracción IV, 24 último párrafo, 53 fracción I, II, V y VI, 59 fracción 1, II y II I, 75,150,151,162y163 de la Ley de Transparencia y Acceso a la Información Pública del Estado de México y Municipios; 5.41 Bis del Código Reglamentario de Toluca; además de lo relativo a los Manuales de Procedimientos y Organización de la Unidad de Transparencia de Toluca; hago de su conocimiento que la Tesorería Municipal y Servidor Público Habilitado, informó a la </w:t>
      </w:r>
      <w:r w:rsidRPr="00FE0317">
        <w:rPr>
          <w:rFonts w:ascii="Palatino Linotype" w:hAnsi="Palatino Linotype" w:cs="Arial"/>
          <w:i/>
          <w:iCs/>
          <w:color w:val="222222"/>
        </w:rPr>
        <w:lastRenderedPageBreak/>
        <w:t xml:space="preserve">que suscribe que en cuanto al Presupuesto referente a bacheo lo puede consultar en el siguiente link: </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FE0317" w:rsidRDefault="00EE3835" w:rsidP="00FE0317">
      <w:pPr>
        <w:spacing w:after="0" w:line="240" w:lineRule="auto"/>
        <w:ind w:left="851" w:right="851"/>
        <w:jc w:val="both"/>
        <w:rPr>
          <w:rFonts w:ascii="Palatino Linotype" w:hAnsi="Palatino Linotype" w:cs="Arial"/>
          <w:i/>
          <w:iCs/>
          <w:color w:val="222222"/>
        </w:rPr>
      </w:pPr>
      <w:hyperlink r:id="rId8">
        <w:r w:rsidR="00FE0317" w:rsidRPr="00FE0317">
          <w:rPr>
            <w:rFonts w:ascii="Palatino Linotype" w:hAnsi="Palatino Linotype" w:cs="Arial"/>
            <w:i/>
            <w:iCs/>
            <w:color w:val="222222"/>
          </w:rPr>
          <w:t>https://www2.toluca.gob.mx/wp-content/uploads/2022/03/tpl-pdf-</w:t>
        </w:r>
      </w:hyperlink>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PRESUPUESTO_DE_EGRESOS GLOBALCALENDARIZAD0_2022.pdf, designado a la partida 6159 (Reparación y Mantenimiento de Vialidades y Alumbrado) del Presupuesto de Egresos Municipal 2022.</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391F82" w:rsidRDefault="00FE0317" w:rsidP="00FE0317">
      <w:pPr>
        <w:spacing w:after="0" w:line="240" w:lineRule="auto"/>
        <w:ind w:left="851" w:right="851"/>
        <w:jc w:val="both"/>
        <w:rPr>
          <w:rFonts w:ascii="Palatino Linotype" w:hAnsi="Palatino Linotype" w:cs="Arial"/>
          <w:b/>
          <w:i/>
          <w:iCs/>
          <w:color w:val="222222"/>
        </w:rPr>
      </w:pPr>
      <w:r w:rsidRPr="00391F82">
        <w:rPr>
          <w:rFonts w:ascii="Palatino Linotype" w:hAnsi="Palatino Linotype" w:cs="Arial"/>
          <w:b/>
          <w:i/>
          <w:iCs/>
          <w:color w:val="222222"/>
        </w:rPr>
        <w:t>Por su parte, la Dirección General de Desarrollo Urbano, Ordenamiento Territorial y Obras Públicas y Servidora Pública Habilitada, informó lo siguiente:</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Segoe UI Symbol" w:hAnsi="Segoe UI Symbol" w:cs="Segoe UI Symbol"/>
          <w:i/>
          <w:iCs/>
          <w:color w:val="222222"/>
        </w:rPr>
        <w:t>❖</w:t>
      </w:r>
      <w:r w:rsidRPr="00FE0317">
        <w:rPr>
          <w:rFonts w:ascii="Palatino Linotype" w:hAnsi="Palatino Linotype" w:cs="Arial"/>
          <w:i/>
          <w:iCs/>
          <w:color w:val="222222"/>
        </w:rPr>
        <w:t xml:space="preserve"> </w:t>
      </w:r>
      <w:r w:rsidRPr="00391F82">
        <w:rPr>
          <w:rFonts w:ascii="Palatino Linotype" w:hAnsi="Palatino Linotype" w:cs="Arial"/>
          <w:b/>
          <w:i/>
          <w:iCs/>
          <w:color w:val="222222"/>
        </w:rPr>
        <w:t>Programa de bacheo de la colonia Rancho la Mora y la Delegación la Maquinita:</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 xml:space="preserve">Se informa que no se generó por esta área administrativa ningún programa de bacheo de la Colonia </w:t>
      </w:r>
      <w:r w:rsidR="00DD2F03">
        <w:rPr>
          <w:rFonts w:ascii="Palatino Linotype" w:hAnsi="Palatino Linotype" w:cs="Arial"/>
          <w:i/>
          <w:iCs/>
          <w:color w:val="222222"/>
          <w:lang w:val="es-419"/>
        </w:rPr>
        <w:t>R</w:t>
      </w:r>
      <w:r w:rsidRPr="00FE0317">
        <w:rPr>
          <w:rFonts w:ascii="Palatino Linotype" w:hAnsi="Palatino Linotype" w:cs="Arial"/>
          <w:i/>
          <w:iCs/>
          <w:color w:val="222222"/>
        </w:rPr>
        <w:t>ancho la Mora, ni de la Delegación la Maquinita, es preciso mencionar que en la mencionada delegación únicamente se atendió un tramo de las calles Isidro Fabela y Adolfo López Mateos.</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Segoe UI Symbol" w:hAnsi="Segoe UI Symbol" w:cs="Segoe UI Symbol"/>
          <w:i/>
          <w:iCs/>
          <w:color w:val="222222"/>
        </w:rPr>
        <w:t>❖</w:t>
      </w:r>
      <w:r w:rsidRPr="00FE0317">
        <w:rPr>
          <w:rFonts w:ascii="Palatino Linotype" w:hAnsi="Palatino Linotype" w:cs="Arial"/>
          <w:i/>
          <w:iCs/>
          <w:color w:val="222222"/>
        </w:rPr>
        <w:t xml:space="preserve"> </w:t>
      </w:r>
      <w:r w:rsidRPr="00391F82">
        <w:rPr>
          <w:rFonts w:ascii="Palatino Linotype" w:hAnsi="Palatino Linotype" w:cs="Arial"/>
          <w:b/>
          <w:i/>
          <w:iCs/>
          <w:color w:val="222222"/>
        </w:rPr>
        <w:t>El proceso constructivo</w:t>
      </w:r>
      <w:r w:rsidRPr="00FE0317">
        <w:rPr>
          <w:rFonts w:ascii="Palatino Linotype" w:hAnsi="Palatino Linotype" w:cs="Arial"/>
          <w:i/>
          <w:iCs/>
          <w:color w:val="222222"/>
        </w:rPr>
        <w:t xml:space="preserve"> y normas bajo las cuales se está realizando el trabajo: Hace entrega del proceso constructivo, mismo en el que se incluyen las normas bajo las cuales se están ejecutando los trabajos de bacheo, el cual se adjunta a la presente.</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Segoe UI Symbol" w:hAnsi="Segoe UI Symbol" w:cs="Segoe UI Symbol"/>
          <w:i/>
          <w:iCs/>
          <w:color w:val="222222"/>
        </w:rPr>
        <w:t>❖</w:t>
      </w:r>
      <w:r w:rsidRPr="00FE0317">
        <w:rPr>
          <w:rFonts w:ascii="Palatino Linotype" w:hAnsi="Palatino Linotype" w:cs="Arial"/>
          <w:i/>
          <w:iCs/>
          <w:color w:val="222222"/>
        </w:rPr>
        <w:t xml:space="preserve"> </w:t>
      </w:r>
      <w:r w:rsidRPr="00391F82">
        <w:rPr>
          <w:rFonts w:ascii="Palatino Linotype" w:hAnsi="Palatino Linotype" w:cs="Arial"/>
          <w:b/>
          <w:i/>
          <w:iCs/>
          <w:color w:val="222222"/>
        </w:rPr>
        <w:t>Las pruebas de laboratorio de los materiales utilizados:</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Se adjunta a la presente los estudios de calidad de los materiales, realizados por el laboratorio LIEC. S.A de C.V., estudios en versión pública, autorizada mediante acuerdo AT/CT/01/2022 de la Cuadringentésima Quincuagésima Segunda Sesión Extraordinaria del Comité de Transparencia del Municipio de Toluca, de fecha 11 de agosto del año en curso.</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Segoe UI Symbol" w:hAnsi="Segoe UI Symbol" w:cs="Segoe UI Symbol"/>
          <w:i/>
          <w:iCs/>
          <w:color w:val="222222"/>
        </w:rPr>
        <w:t>❖</w:t>
      </w:r>
      <w:r w:rsidRPr="00FE0317">
        <w:rPr>
          <w:rFonts w:ascii="Palatino Linotype" w:hAnsi="Palatino Linotype" w:cs="Arial"/>
          <w:i/>
          <w:iCs/>
          <w:color w:val="222222"/>
        </w:rPr>
        <w:t xml:space="preserve"> </w:t>
      </w:r>
      <w:r w:rsidRPr="00391F82">
        <w:rPr>
          <w:rFonts w:ascii="Palatino Linotype" w:hAnsi="Palatino Linotype" w:cs="Arial"/>
          <w:b/>
          <w:i/>
          <w:iCs/>
          <w:color w:val="222222"/>
        </w:rPr>
        <w:t>La Certificación con la que cuenta la empresa</w:t>
      </w:r>
      <w:r w:rsidRPr="00FE0317">
        <w:rPr>
          <w:rFonts w:ascii="Palatino Linotype" w:hAnsi="Palatino Linotype" w:cs="Arial"/>
          <w:i/>
          <w:iCs/>
          <w:color w:val="222222"/>
        </w:rPr>
        <w:t xml:space="preserve"> (o el Encargado del Municipio) y del personal (o personal propio del ayuntamiento) que realiza la ejecución de estas obras:</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Informó que mediante acuerdo AT/CT/02/2022 de la Cuadringentésima Quincuagésima Segunda Sesión Extraordinaria del Comité de Transparencia del Municipio de Toluca, de fecha 11 de agosto del año en curso, se autorizo la clasificación en su totalidad de las certificaciones de personal de la empresa contratista.</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391F82" w:rsidRDefault="00FE0317" w:rsidP="00FE0317">
      <w:pPr>
        <w:spacing w:after="0" w:line="240" w:lineRule="auto"/>
        <w:ind w:left="851" w:right="851"/>
        <w:jc w:val="both"/>
        <w:rPr>
          <w:rFonts w:ascii="Palatino Linotype" w:hAnsi="Palatino Linotype" w:cs="Arial"/>
          <w:b/>
          <w:i/>
          <w:iCs/>
          <w:color w:val="222222"/>
        </w:rPr>
      </w:pPr>
      <w:r w:rsidRPr="00FE0317">
        <w:rPr>
          <w:rFonts w:ascii="Segoe UI Symbol" w:hAnsi="Segoe UI Symbol" w:cs="Segoe UI Symbol"/>
          <w:i/>
          <w:iCs/>
          <w:color w:val="222222"/>
        </w:rPr>
        <w:t>❖</w:t>
      </w:r>
      <w:r w:rsidRPr="00FE0317">
        <w:rPr>
          <w:rFonts w:ascii="Palatino Linotype" w:hAnsi="Palatino Linotype" w:cs="Arial"/>
          <w:i/>
          <w:iCs/>
          <w:color w:val="222222"/>
        </w:rPr>
        <w:t xml:space="preserve"> </w:t>
      </w:r>
      <w:r w:rsidRPr="00391F82">
        <w:rPr>
          <w:rFonts w:ascii="Palatino Linotype" w:hAnsi="Palatino Linotype" w:cs="Arial"/>
          <w:b/>
          <w:i/>
          <w:iCs/>
          <w:color w:val="222222"/>
        </w:rPr>
        <w:t>Medio de asignación del contrato, monto y duración:</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 xml:space="preserve">Informó que la contratación se llevó a cabo a través de un procedimiento de invitación restringida•(IR), de conformidad con lo dispuesto en los artículos 12.21 fracción I, </w:t>
      </w:r>
      <w:r w:rsidRPr="00FE0317">
        <w:rPr>
          <w:rFonts w:ascii="Palatino Linotype" w:hAnsi="Palatino Linotype" w:cs="Arial"/>
          <w:i/>
          <w:iCs/>
          <w:color w:val="222222"/>
        </w:rPr>
        <w:lastRenderedPageBreak/>
        <w:t>12.33 y 12.34 fracción II del Libro Décimo Segundo del Código Administrativo del Estado de México, artículos 70 y 71 del Reglamento del Libro Décimo Segundo del Código Administrativo del Estado de México y artículo 55 del Presupuesto de Egresos del Gobierno del Estado de México para el ejercicio fiscal 2022.</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El monto contratado asciende a la cantidad de $3,632,706.14 (Tres millones seiscientos treinta y dos mil setecientos seis pesos 14/100 MN.), el cual incluye diversas calles.</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El plazo de ejecución es de 90 días naturales.</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Segoe UI Symbol" w:hAnsi="Segoe UI Symbol" w:cs="Segoe UI Symbol"/>
          <w:i/>
          <w:iCs/>
          <w:color w:val="222222"/>
        </w:rPr>
        <w:t>❖</w:t>
      </w:r>
      <w:r w:rsidRPr="00FE0317">
        <w:rPr>
          <w:rFonts w:ascii="Palatino Linotype" w:hAnsi="Palatino Linotype" w:cs="Arial"/>
          <w:i/>
          <w:iCs/>
          <w:color w:val="222222"/>
        </w:rPr>
        <w:t xml:space="preserve"> </w:t>
      </w:r>
      <w:r w:rsidRPr="00391F82">
        <w:rPr>
          <w:rFonts w:ascii="Palatino Linotype" w:hAnsi="Palatino Linotype" w:cs="Arial"/>
          <w:b/>
          <w:i/>
          <w:iCs/>
          <w:color w:val="222222"/>
        </w:rPr>
        <w:t>Fianza de cumplimiento y de calidad otorgada con la vigencia prevista</w:t>
      </w:r>
      <w:r w:rsidRPr="00FE0317">
        <w:rPr>
          <w:rFonts w:ascii="Palatino Linotype" w:hAnsi="Palatino Linotype" w:cs="Arial"/>
          <w:i/>
          <w:iCs/>
          <w:color w:val="222222"/>
        </w:rPr>
        <w:t>:</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Se adjunta al presente la fianza de cumplimiento solicitada, ésta en versión pública, autorizada mediante acuerdo AT/C1101/2022 de la Cuadringentésima Quincuagésima Segunda Sesión Extraordinaria del Comité de Transparencia del Municipio de Toluca, de fecha 11 de agosto del año en curso.</w:t>
      </w: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Con respecto a la fianza de calidad (vicios ocultos). se informa que, al formar parte del finiquito de la obra, de conformidad con lo establecido en los artículos 12.58 del libro Décimo Segundo del Código Administrativo del Estado de México y 234 del Reglamento del Libro Décimo Segundo del Código Administrativo del Estado de México, está aún no se entrega, al estar aun en el periodo de ejecución del contrato.</w:t>
      </w:r>
    </w:p>
    <w:p w:rsidR="00FE0317" w:rsidRPr="00FE0317" w:rsidRDefault="00FE0317" w:rsidP="00FE0317">
      <w:pPr>
        <w:spacing w:after="0" w:line="240" w:lineRule="auto"/>
        <w:ind w:left="851" w:right="851"/>
        <w:jc w:val="both"/>
        <w:rPr>
          <w:rFonts w:ascii="Palatino Linotype" w:hAnsi="Palatino Linotype" w:cs="Arial"/>
          <w:i/>
          <w:iCs/>
          <w:color w:val="222222"/>
        </w:rPr>
      </w:pPr>
    </w:p>
    <w:p w:rsidR="00FE0317" w:rsidRPr="00FE0317" w:rsidRDefault="00FE0317" w:rsidP="00FE0317">
      <w:pPr>
        <w:spacing w:after="0" w:line="240" w:lineRule="auto"/>
        <w:ind w:left="851" w:right="851"/>
        <w:jc w:val="both"/>
        <w:rPr>
          <w:rFonts w:ascii="Palatino Linotype" w:hAnsi="Palatino Linotype" w:cs="Arial"/>
          <w:i/>
          <w:iCs/>
          <w:color w:val="222222"/>
        </w:rPr>
      </w:pPr>
      <w:r w:rsidRPr="00FE0317">
        <w:rPr>
          <w:rFonts w:ascii="Palatino Linotype" w:hAnsi="Palatino Linotype" w:cs="Arial"/>
          <w:i/>
          <w:iCs/>
          <w:color w:val="222222"/>
        </w:rPr>
        <w:t>Para el caso de ser por sus propios medios el análisis de P.0 de estas obras y el presupuesto gastado a la fecha:</w:t>
      </w:r>
    </w:p>
    <w:p w:rsidR="00FE0317" w:rsidRPr="00FE0317" w:rsidRDefault="00FE0317" w:rsidP="00FE0317">
      <w:pPr>
        <w:spacing w:after="0" w:line="240" w:lineRule="auto"/>
        <w:ind w:left="851" w:right="851"/>
        <w:jc w:val="both"/>
        <w:rPr>
          <w:rFonts w:ascii="Palatino Linotype" w:hAnsi="Palatino Linotype"/>
          <w:color w:val="000000"/>
          <w:spacing w:val="14"/>
          <w:sz w:val="24"/>
          <w:szCs w:val="24"/>
          <w:lang w:val="es-419"/>
        </w:rPr>
      </w:pPr>
      <w:r w:rsidRPr="00FE0317">
        <w:rPr>
          <w:rFonts w:ascii="Palatino Linotype" w:hAnsi="Palatino Linotype" w:cs="Arial"/>
          <w:i/>
          <w:iCs/>
          <w:color w:val="222222"/>
        </w:rPr>
        <w:t>Se informa que la Obra se está ejecutando por contrato, no por administración directa.</w:t>
      </w:r>
      <w:r>
        <w:rPr>
          <w:rFonts w:ascii="Palatino Linotype" w:hAnsi="Palatino Linotype" w:cs="Arial"/>
          <w:i/>
          <w:iCs/>
          <w:color w:val="222222"/>
          <w:lang w:val="es-419"/>
        </w:rPr>
        <w:t>”</w:t>
      </w:r>
    </w:p>
    <w:p w:rsidR="008A35B2" w:rsidRPr="00004A2F" w:rsidRDefault="008A35B2" w:rsidP="008A35B2">
      <w:pPr>
        <w:pStyle w:val="Prrafodelista"/>
        <w:autoSpaceDE w:val="0"/>
        <w:autoSpaceDN w:val="0"/>
        <w:adjustRightInd w:val="0"/>
        <w:spacing w:line="360" w:lineRule="auto"/>
        <w:ind w:left="720"/>
        <w:jc w:val="both"/>
        <w:rPr>
          <w:rFonts w:ascii="Palatino Linotype" w:hAnsi="Palatino Linotype" w:cs="Arial"/>
          <w:lang w:val="es-419"/>
        </w:rPr>
      </w:pPr>
    </w:p>
    <w:p w:rsidR="00004A2F" w:rsidRPr="00004A2F" w:rsidRDefault="00004A2F" w:rsidP="00147528">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004A2F">
        <w:rPr>
          <w:rFonts w:ascii="Palatino Linotype" w:hAnsi="Palatino Linotype" w:cs="Arial"/>
          <w:lang w:val="es-419"/>
        </w:rPr>
        <w:t>“</w:t>
      </w:r>
      <w:r w:rsidRPr="00004A2F">
        <w:rPr>
          <w:rFonts w:ascii="Palatino Linotype" w:hAnsi="Palatino Linotype" w:cs="Arial"/>
          <w:b/>
          <w:i/>
        </w:rPr>
        <w:t>tol-pdf-PRESUPUESTO_DE_EGRESOS_GLOBAL_CALENDARIZADO_2022.pdf</w:t>
      </w:r>
      <w:r w:rsidRPr="00004A2F">
        <w:rPr>
          <w:rFonts w:ascii="Palatino Linotype" w:hAnsi="Palatino Linotype" w:cs="Arial"/>
          <w:lang w:val="es-419"/>
        </w:rPr>
        <w:t>”</w:t>
      </w:r>
      <w:r>
        <w:rPr>
          <w:rFonts w:ascii="Palatino Linotype" w:hAnsi="Palatino Linotype" w:cs="Arial"/>
          <w:lang w:val="es-419"/>
        </w:rPr>
        <w:t>.-</w:t>
      </w:r>
      <w:r w:rsidR="003C56D6">
        <w:rPr>
          <w:rFonts w:ascii="Palatino Linotype" w:hAnsi="Palatino Linotype" w:cs="Arial"/>
          <w:lang w:val="es-419"/>
        </w:rPr>
        <w:t xml:space="preserve">Documento en 34 hojas, el cual contiene el Presupuesto Basado en Resultados Municipal del primero de enero al treinta y uno de diciembre de dos mil veintidós, desglosado por partida (cuenta y </w:t>
      </w:r>
      <w:r w:rsidR="00C13D6F">
        <w:rPr>
          <w:rFonts w:ascii="Palatino Linotype" w:hAnsi="Palatino Linotype" w:cs="Arial"/>
          <w:lang w:val="es-419"/>
        </w:rPr>
        <w:t>concepto</w:t>
      </w:r>
      <w:r w:rsidR="003C56D6">
        <w:rPr>
          <w:rFonts w:ascii="Palatino Linotype" w:hAnsi="Palatino Linotype" w:cs="Arial"/>
          <w:lang w:val="es-419"/>
        </w:rPr>
        <w:t>).</w:t>
      </w:r>
    </w:p>
    <w:p w:rsidR="00004A2F" w:rsidRDefault="00004A2F" w:rsidP="00006F24">
      <w:pPr>
        <w:autoSpaceDE w:val="0"/>
        <w:autoSpaceDN w:val="0"/>
        <w:adjustRightInd w:val="0"/>
        <w:spacing w:after="0" w:line="360" w:lineRule="auto"/>
        <w:jc w:val="both"/>
        <w:rPr>
          <w:rFonts w:ascii="Palatino Linotype" w:hAnsi="Palatino Linotype" w:cs="Arial"/>
          <w:sz w:val="24"/>
          <w:szCs w:val="24"/>
          <w:lang w:val="es-419"/>
        </w:rPr>
      </w:pPr>
    </w:p>
    <w:p w:rsidR="00004A2F" w:rsidRPr="00004A2F" w:rsidRDefault="00004A2F" w:rsidP="00147528">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004A2F">
        <w:rPr>
          <w:rFonts w:ascii="Palatino Linotype" w:hAnsi="Palatino Linotype" w:cs="Arial"/>
          <w:lang w:val="es-419"/>
        </w:rPr>
        <w:t>“</w:t>
      </w:r>
      <w:r w:rsidRPr="00004A2F">
        <w:rPr>
          <w:rFonts w:ascii="Palatino Linotype" w:hAnsi="Palatino Linotype" w:cs="Arial"/>
          <w:b/>
          <w:i/>
        </w:rPr>
        <w:t>Acta Cuadringentésima Quincuagésima Segunda Sesión Extraordinaria.pdf</w:t>
      </w:r>
      <w:r w:rsidRPr="00004A2F">
        <w:rPr>
          <w:rFonts w:ascii="Palatino Linotype" w:hAnsi="Palatino Linotype" w:cs="Arial"/>
          <w:lang w:val="es-419"/>
        </w:rPr>
        <w:t>”</w:t>
      </w:r>
      <w:r>
        <w:rPr>
          <w:rFonts w:ascii="Palatino Linotype" w:hAnsi="Palatino Linotype" w:cs="Arial"/>
          <w:lang w:val="es-419"/>
        </w:rPr>
        <w:t>.-</w:t>
      </w:r>
      <w:r w:rsidR="00C13D6F">
        <w:rPr>
          <w:rFonts w:ascii="Palatino Linotype" w:hAnsi="Palatino Linotype" w:cs="Arial"/>
          <w:lang w:val="es-419"/>
        </w:rPr>
        <w:t xml:space="preserve"> Acta de la Cuadringentésima Quincuagésima Segunda Sesión Extraordinaria  del Comité de Transparencia del Municipio de Toluca, de fecha once de agosto de </w:t>
      </w:r>
      <w:r w:rsidR="00C13D6F">
        <w:rPr>
          <w:rFonts w:ascii="Palatino Linotype" w:hAnsi="Palatino Linotype" w:cs="Arial"/>
          <w:lang w:val="es-419"/>
        </w:rPr>
        <w:lastRenderedPageBreak/>
        <w:t>dos mil veintidós, mediante la cual se aprueba la versión publica del estudio de calidad de materiales para concreto asfáltico y fianza de cumplimiento, antes descritos.</w:t>
      </w:r>
    </w:p>
    <w:p w:rsidR="00004A2F" w:rsidRDefault="00004A2F" w:rsidP="00006F24">
      <w:pPr>
        <w:autoSpaceDE w:val="0"/>
        <w:autoSpaceDN w:val="0"/>
        <w:adjustRightInd w:val="0"/>
        <w:spacing w:after="0" w:line="360" w:lineRule="auto"/>
        <w:jc w:val="both"/>
        <w:rPr>
          <w:rFonts w:ascii="Palatino Linotype" w:hAnsi="Palatino Linotype" w:cs="Arial"/>
          <w:sz w:val="24"/>
          <w:szCs w:val="24"/>
          <w:lang w:val="es-419"/>
        </w:rPr>
      </w:pPr>
    </w:p>
    <w:p w:rsidR="00566FE1" w:rsidRPr="000614B3" w:rsidRDefault="000C5C45" w:rsidP="00B7239A">
      <w:pPr>
        <w:tabs>
          <w:tab w:val="left" w:pos="2550"/>
        </w:tabs>
        <w:spacing w:after="0" w:line="360" w:lineRule="auto"/>
        <w:jc w:val="both"/>
        <w:rPr>
          <w:rFonts w:ascii="Palatino Linotype" w:hAnsi="Palatino Linotype" w:cs="Arial"/>
          <w:b/>
          <w:i/>
          <w:sz w:val="24"/>
          <w:szCs w:val="24"/>
          <w:lang w:val="es-419"/>
        </w:rPr>
      </w:pPr>
      <w:r w:rsidRPr="00C1070F">
        <w:rPr>
          <w:rFonts w:ascii="Palatino Linotype" w:hAnsi="Palatino Linotype" w:cs="Arial"/>
          <w:sz w:val="24"/>
          <w:szCs w:val="24"/>
          <w:lang w:val="es-419"/>
        </w:rPr>
        <w:t>El recurrente se inconformó manifestando</w:t>
      </w:r>
      <w:r w:rsidR="00C1070F">
        <w:rPr>
          <w:rFonts w:ascii="Palatino Linotype" w:hAnsi="Palatino Linotype" w:cs="Arial"/>
          <w:sz w:val="24"/>
          <w:szCs w:val="24"/>
          <w:lang w:val="es-419"/>
        </w:rPr>
        <w:t xml:space="preserve"> como motivos o razones de inconformidad, lo siguiente</w:t>
      </w:r>
      <w:r w:rsidRPr="00C1070F">
        <w:rPr>
          <w:rFonts w:ascii="Palatino Linotype" w:hAnsi="Palatino Linotype" w:cs="Arial"/>
          <w:sz w:val="24"/>
          <w:szCs w:val="24"/>
          <w:lang w:val="es-419"/>
        </w:rPr>
        <w:t>:</w:t>
      </w:r>
      <w:r w:rsidRPr="000614B3">
        <w:rPr>
          <w:rFonts w:ascii="Palatino Linotype" w:hAnsi="Palatino Linotype" w:cs="Arial"/>
          <w:b/>
          <w:sz w:val="24"/>
          <w:szCs w:val="24"/>
          <w:lang w:val="es-419"/>
        </w:rPr>
        <w:t xml:space="preserve"> </w:t>
      </w:r>
      <w:r w:rsidR="00566FE1" w:rsidRPr="000614B3">
        <w:rPr>
          <w:rFonts w:ascii="Palatino Linotype" w:hAnsi="Palatino Linotype" w:cs="Arial"/>
          <w:b/>
          <w:i/>
          <w:sz w:val="24"/>
          <w:szCs w:val="24"/>
          <w:lang w:val="es-419"/>
        </w:rPr>
        <w:t>“</w:t>
      </w:r>
      <w:r w:rsidR="009A7667" w:rsidRPr="000614B3">
        <w:rPr>
          <w:rFonts w:ascii="Palatino Linotype" w:hAnsi="Palatino Linotype" w:cs="Arial"/>
          <w:b/>
          <w:i/>
          <w:sz w:val="24"/>
          <w:szCs w:val="24"/>
          <w:lang w:val="es-419"/>
        </w:rPr>
        <w:t>no se dio respuesta a la solicitud de información</w:t>
      </w:r>
      <w:r w:rsidR="00566FE1" w:rsidRPr="000614B3">
        <w:rPr>
          <w:rFonts w:ascii="Palatino Linotype" w:hAnsi="Palatino Linotype" w:cs="Arial"/>
          <w:b/>
          <w:i/>
          <w:sz w:val="24"/>
          <w:szCs w:val="24"/>
          <w:lang w:val="es-419"/>
        </w:rPr>
        <w:t>” (sic).</w:t>
      </w:r>
    </w:p>
    <w:p w:rsidR="00566FE1" w:rsidRDefault="00566FE1" w:rsidP="00006F24">
      <w:pPr>
        <w:autoSpaceDE w:val="0"/>
        <w:autoSpaceDN w:val="0"/>
        <w:adjustRightInd w:val="0"/>
        <w:spacing w:after="0" w:line="360" w:lineRule="auto"/>
        <w:jc w:val="both"/>
        <w:rPr>
          <w:rFonts w:ascii="Palatino Linotype" w:hAnsi="Palatino Linotype" w:cs="Arial"/>
          <w:sz w:val="24"/>
          <w:szCs w:val="24"/>
        </w:rPr>
      </w:pPr>
    </w:p>
    <w:p w:rsidR="00602B9F" w:rsidRPr="00602B9F" w:rsidRDefault="00602B9F" w:rsidP="00602B9F">
      <w:pPr>
        <w:pStyle w:val="Prrafodelista"/>
        <w:numPr>
          <w:ilvl w:val="0"/>
          <w:numId w:val="21"/>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w:t>
      </w:r>
      <w:r w:rsidRPr="00602B9F">
        <w:rPr>
          <w:rFonts w:ascii="Palatino Linotype" w:hAnsi="Palatino Linotype" w:cs="Arial"/>
          <w:i/>
          <w:lang w:val="es-419"/>
        </w:rPr>
        <w:t>En la información que brindan acerca del programa de bacheo inexistente dan una dirección web para verificación, en la cual no existe información alguna</w:t>
      </w:r>
      <w:r>
        <w:rPr>
          <w:rFonts w:ascii="Palatino Linotype" w:hAnsi="Palatino Linotype" w:cs="Arial"/>
          <w:lang w:val="es-419"/>
        </w:rPr>
        <w:t>…”</w:t>
      </w:r>
      <w:r w:rsidRPr="00602B9F">
        <w:rPr>
          <w:rFonts w:ascii="Palatino Linotype" w:hAnsi="Palatino Linotype" w:cs="Arial"/>
          <w:lang w:val="es-419"/>
        </w:rPr>
        <w:t xml:space="preserve"> </w:t>
      </w:r>
    </w:p>
    <w:p w:rsidR="00602B9F" w:rsidRDefault="00602B9F" w:rsidP="00006F24">
      <w:pPr>
        <w:autoSpaceDE w:val="0"/>
        <w:autoSpaceDN w:val="0"/>
        <w:adjustRightInd w:val="0"/>
        <w:spacing w:after="0" w:line="360" w:lineRule="auto"/>
        <w:jc w:val="both"/>
        <w:rPr>
          <w:rFonts w:ascii="Palatino Linotype" w:hAnsi="Palatino Linotype" w:cs="Arial"/>
          <w:sz w:val="24"/>
          <w:szCs w:val="24"/>
          <w:lang w:val="es-419"/>
        </w:rPr>
      </w:pPr>
    </w:p>
    <w:p w:rsidR="00602B9F" w:rsidRPr="00602B9F" w:rsidRDefault="00602B9F" w:rsidP="00602B9F">
      <w:pPr>
        <w:pStyle w:val="Prrafodelista"/>
        <w:numPr>
          <w:ilvl w:val="0"/>
          <w:numId w:val="21"/>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w:t>
      </w:r>
      <w:r w:rsidRPr="00602B9F">
        <w:rPr>
          <w:rFonts w:ascii="Palatino Linotype" w:hAnsi="Palatino Linotype" w:cs="Arial"/>
          <w:i/>
          <w:lang w:val="es-419"/>
        </w:rPr>
        <w:t>anexan el presupuesto donde la partida 6159 tiene calculado un gasto de 40 millones para este año, sin detalle alguno, por lo que solicito se me proporcione el desglose de la aplicación de dicha partida con el avance y las estimaciones de lo ejecutado.</w:t>
      </w:r>
      <w:r>
        <w:rPr>
          <w:rFonts w:ascii="Palatino Linotype" w:hAnsi="Palatino Linotype" w:cs="Arial"/>
          <w:lang w:val="es-419"/>
        </w:rPr>
        <w:t>”</w:t>
      </w:r>
    </w:p>
    <w:p w:rsidR="00602B9F" w:rsidRDefault="00602B9F" w:rsidP="00006F24">
      <w:pPr>
        <w:autoSpaceDE w:val="0"/>
        <w:autoSpaceDN w:val="0"/>
        <w:adjustRightInd w:val="0"/>
        <w:spacing w:after="0" w:line="360" w:lineRule="auto"/>
        <w:jc w:val="both"/>
        <w:rPr>
          <w:rFonts w:ascii="Palatino Linotype" w:hAnsi="Palatino Linotype" w:cs="Arial"/>
          <w:sz w:val="24"/>
          <w:szCs w:val="24"/>
          <w:lang w:val="es-419"/>
        </w:rPr>
      </w:pPr>
    </w:p>
    <w:p w:rsidR="00602B9F" w:rsidRPr="00602B9F" w:rsidRDefault="00602B9F" w:rsidP="00602B9F">
      <w:pPr>
        <w:pStyle w:val="Prrafodelista"/>
        <w:numPr>
          <w:ilvl w:val="0"/>
          <w:numId w:val="21"/>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w:t>
      </w:r>
      <w:r w:rsidRPr="008A35B2">
        <w:rPr>
          <w:rFonts w:ascii="Palatino Linotype" w:hAnsi="Palatino Linotype" w:cs="Arial"/>
          <w:i/>
          <w:lang w:val="es-419"/>
        </w:rPr>
        <w:t>Se solicito el programa de trabajo registrado ante el municipio, de los delegados en función, ya que era requisito indispensable para participar en la convocatoria, por lo que no hay forma de decir que no cuenten con dicha información, evaden responder solo dando los nombres de quienes son</w:t>
      </w:r>
      <w:r w:rsidR="008A35B2">
        <w:rPr>
          <w:rFonts w:ascii="Palatino Linotype" w:hAnsi="Palatino Linotype" w:cs="Arial"/>
          <w:lang w:val="es-419"/>
        </w:rPr>
        <w:t>”</w:t>
      </w:r>
      <w:r w:rsidR="002C0A7D">
        <w:rPr>
          <w:rFonts w:ascii="Palatino Linotype" w:hAnsi="Palatino Linotype" w:cs="Arial"/>
          <w:lang w:val="es-419"/>
        </w:rPr>
        <w:t xml:space="preserve"> (sic)</w:t>
      </w:r>
    </w:p>
    <w:p w:rsidR="00602B9F" w:rsidRDefault="00602B9F" w:rsidP="00BB26BB">
      <w:pPr>
        <w:tabs>
          <w:tab w:val="left" w:pos="7938"/>
        </w:tabs>
        <w:spacing w:after="0" w:line="360" w:lineRule="auto"/>
        <w:jc w:val="both"/>
        <w:rPr>
          <w:rFonts w:ascii="Palatino Linotype" w:eastAsia="Arial Unicode MS" w:hAnsi="Palatino Linotype" w:cs="Arial"/>
          <w:sz w:val="24"/>
          <w:szCs w:val="24"/>
        </w:rPr>
      </w:pPr>
    </w:p>
    <w:p w:rsidR="00DD2F03" w:rsidRDefault="006609FD" w:rsidP="00BB26BB">
      <w:pPr>
        <w:tabs>
          <w:tab w:val="left" w:pos="7938"/>
        </w:tabs>
        <w:spacing w:after="0" w:line="360" w:lineRule="auto"/>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Por lo que hace a los puntos “</w:t>
      </w:r>
      <w:r w:rsidRPr="006609FD">
        <w:rPr>
          <w:rFonts w:ascii="Palatino Linotype" w:eastAsia="Arial Unicode MS" w:hAnsi="Palatino Linotype" w:cs="Arial"/>
          <w:b/>
          <w:sz w:val="24"/>
          <w:szCs w:val="24"/>
          <w:lang w:val="es-419"/>
        </w:rPr>
        <w:t>a</w:t>
      </w:r>
      <w:r>
        <w:rPr>
          <w:rFonts w:ascii="Palatino Linotype" w:eastAsia="Arial Unicode MS" w:hAnsi="Palatino Linotype" w:cs="Arial"/>
          <w:sz w:val="24"/>
          <w:szCs w:val="24"/>
          <w:lang w:val="es-419"/>
        </w:rPr>
        <w:t>” y “</w:t>
      </w:r>
      <w:r w:rsidRPr="006609FD">
        <w:rPr>
          <w:rFonts w:ascii="Palatino Linotype" w:eastAsia="Arial Unicode MS" w:hAnsi="Palatino Linotype" w:cs="Arial"/>
          <w:b/>
          <w:sz w:val="24"/>
          <w:szCs w:val="24"/>
          <w:lang w:val="es-419"/>
        </w:rPr>
        <w:t>c</w:t>
      </w:r>
      <w:r>
        <w:rPr>
          <w:rFonts w:ascii="Palatino Linotype" w:eastAsia="Arial Unicode MS" w:hAnsi="Palatino Linotype" w:cs="Arial"/>
          <w:sz w:val="24"/>
          <w:szCs w:val="24"/>
          <w:lang w:val="es-419"/>
        </w:rPr>
        <w:t>”,</w:t>
      </w:r>
      <w:r w:rsidR="00DD2F03">
        <w:rPr>
          <w:rFonts w:ascii="Palatino Linotype" w:eastAsia="Arial Unicode MS" w:hAnsi="Palatino Linotype" w:cs="Arial"/>
          <w:sz w:val="24"/>
          <w:szCs w:val="24"/>
          <w:lang w:val="es-419"/>
        </w:rPr>
        <w:t xml:space="preserve"> se inconforma por lo que hace a lo señalado </w:t>
      </w:r>
      <w:r>
        <w:rPr>
          <w:rFonts w:ascii="Palatino Linotype" w:eastAsia="Arial Unicode MS" w:hAnsi="Palatino Linotype" w:cs="Arial"/>
          <w:sz w:val="24"/>
          <w:szCs w:val="24"/>
          <w:lang w:val="es-419"/>
        </w:rPr>
        <w:t>únicamente</w:t>
      </w:r>
      <w:r w:rsidR="00DD2F03">
        <w:rPr>
          <w:rFonts w:ascii="Palatino Linotype" w:eastAsia="Arial Unicode MS" w:hAnsi="Palatino Linotype" w:cs="Arial"/>
          <w:sz w:val="24"/>
          <w:szCs w:val="24"/>
          <w:lang w:val="es-419"/>
        </w:rPr>
        <w:t xml:space="preserve"> respecto del punto uno (1</w:t>
      </w:r>
      <w:r>
        <w:rPr>
          <w:rFonts w:ascii="Palatino Linotype" w:eastAsia="Arial Unicode MS" w:hAnsi="Palatino Linotype" w:cs="Arial"/>
          <w:sz w:val="24"/>
          <w:szCs w:val="24"/>
          <w:lang w:val="es-419"/>
        </w:rPr>
        <w:t>) de la solicitud de información:</w:t>
      </w:r>
    </w:p>
    <w:p w:rsidR="00DD2F03" w:rsidRDefault="00DD2F03" w:rsidP="00DD2F03">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DD2F03" w:rsidRPr="006609FD" w:rsidRDefault="006609FD" w:rsidP="006609FD">
      <w:pPr>
        <w:pStyle w:val="Prrafodelista"/>
        <w:numPr>
          <w:ilvl w:val="0"/>
          <w:numId w:val="22"/>
        </w:numPr>
        <w:spacing w:line="360" w:lineRule="auto"/>
        <w:ind w:left="0" w:firstLine="0"/>
        <w:jc w:val="both"/>
        <w:rPr>
          <w:rFonts w:ascii="Palatino Linotype" w:hAnsi="Palatino Linotype"/>
          <w:lang w:val="es-ES_tradnl"/>
        </w:rPr>
      </w:pPr>
      <w:r>
        <w:rPr>
          <w:rFonts w:ascii="Palatino Linotype" w:hAnsi="Palatino Linotype"/>
          <w:lang w:val="es-419"/>
        </w:rPr>
        <w:t>“</w:t>
      </w:r>
      <w:r w:rsidR="00DD2F03" w:rsidRPr="006609FD">
        <w:rPr>
          <w:rFonts w:ascii="Palatino Linotype" w:hAnsi="Palatino Linotype"/>
          <w:i/>
          <w:lang w:val="es-ES_tradnl"/>
        </w:rPr>
        <w:t>Programa de bacheo de la colonia Rancho la Mo</w:t>
      </w:r>
      <w:r w:rsidRPr="006609FD">
        <w:rPr>
          <w:rFonts w:ascii="Palatino Linotype" w:hAnsi="Palatino Linotype"/>
          <w:i/>
          <w:lang w:val="es-ES_tradnl"/>
        </w:rPr>
        <w:t>ra y la Delegación la Maquinita</w:t>
      </w:r>
      <w:r>
        <w:rPr>
          <w:rFonts w:ascii="Palatino Linotype" w:hAnsi="Palatino Linotype"/>
          <w:lang w:val="es-419"/>
        </w:rPr>
        <w:t>…”</w:t>
      </w:r>
      <w:r>
        <w:rPr>
          <w:rFonts w:ascii="Palatino Linotype" w:hAnsi="Palatino Linotype"/>
          <w:lang w:val="es-ES_tradnl"/>
        </w:rPr>
        <w:t xml:space="preserve"> refiere</w:t>
      </w:r>
      <w:r>
        <w:rPr>
          <w:rFonts w:ascii="Palatino Linotype" w:hAnsi="Palatino Linotype"/>
          <w:lang w:val="es-419"/>
        </w:rPr>
        <w:t xml:space="preserve"> que se le proporciona una página web y que no le proporcionan el programa, lo cual es impreciso pues de la lectura de la solicitud de información no se aprecia que se </w:t>
      </w:r>
      <w:r>
        <w:rPr>
          <w:rFonts w:ascii="Palatino Linotype" w:hAnsi="Palatino Linotype"/>
          <w:lang w:val="es-419"/>
        </w:rPr>
        <w:lastRenderedPageBreak/>
        <w:t xml:space="preserve">haya solicitado </w:t>
      </w:r>
      <w:r w:rsidR="00A47180">
        <w:rPr>
          <w:rFonts w:ascii="Palatino Linotype" w:hAnsi="Palatino Linotype"/>
          <w:lang w:val="es-419"/>
        </w:rPr>
        <w:t>el programa de trabajo de los delegados en función, se solicitó el programa de bacheo para la colonia Rancho la Mora y Delegación la Maquinita, de lo cual no se desprende que se haya solicitado programa de delegado alguno, además el sujeto obligado fue claro en la respuesta pues manifestó:</w:t>
      </w:r>
    </w:p>
    <w:p w:rsidR="006609FD" w:rsidRDefault="006609FD" w:rsidP="006609FD">
      <w:pPr>
        <w:pStyle w:val="Prrafodelista"/>
        <w:tabs>
          <w:tab w:val="left" w:pos="5647"/>
        </w:tabs>
        <w:spacing w:line="360" w:lineRule="auto"/>
        <w:ind w:left="720" w:right="567"/>
        <w:jc w:val="both"/>
        <w:rPr>
          <w:rFonts w:ascii="Palatino Linotype" w:hAnsi="Palatino Linotype"/>
          <w:lang w:val="es-419"/>
        </w:rPr>
      </w:pPr>
    </w:p>
    <w:p w:rsidR="00C46829" w:rsidRPr="00C46829" w:rsidRDefault="00C46829" w:rsidP="00C46829">
      <w:pPr>
        <w:spacing w:after="0" w:line="240" w:lineRule="auto"/>
        <w:ind w:left="851" w:right="851"/>
        <w:jc w:val="both"/>
        <w:rPr>
          <w:rFonts w:ascii="Palatino Linotype" w:hAnsi="Palatino Linotype" w:cs="Arial"/>
          <w:i/>
          <w:iCs/>
          <w:color w:val="222222"/>
        </w:rPr>
      </w:pPr>
      <w:r w:rsidRPr="00C46829">
        <w:rPr>
          <w:rFonts w:ascii="Palatino Linotype" w:hAnsi="Palatino Linotype" w:cs="Arial"/>
          <w:i/>
          <w:iCs/>
          <w:color w:val="222222"/>
          <w:lang w:val="es-419"/>
        </w:rPr>
        <w:t>“</w:t>
      </w:r>
      <w:r w:rsidRPr="00C46829">
        <w:rPr>
          <w:rFonts w:ascii="Palatino Linotype" w:hAnsi="Palatino Linotype" w:cs="Arial"/>
          <w:i/>
          <w:iCs/>
          <w:color w:val="222222"/>
        </w:rPr>
        <w:t xml:space="preserve">Por su parte, </w:t>
      </w:r>
      <w:r w:rsidRPr="003416C0">
        <w:rPr>
          <w:rFonts w:ascii="Palatino Linotype" w:hAnsi="Palatino Linotype" w:cs="Arial"/>
          <w:i/>
          <w:iCs/>
          <w:color w:val="222222"/>
          <w:u w:val="single"/>
        </w:rPr>
        <w:t>la Dirección General de Desarrollo Urbano, Ordenamiento Territorial y Obras Públicas y Servidora Pública Habilitada</w:t>
      </w:r>
      <w:r w:rsidRPr="00C46829">
        <w:rPr>
          <w:rFonts w:ascii="Palatino Linotype" w:hAnsi="Palatino Linotype" w:cs="Arial"/>
          <w:i/>
          <w:iCs/>
          <w:color w:val="222222"/>
        </w:rPr>
        <w:t>, informó lo siguiente:</w:t>
      </w:r>
    </w:p>
    <w:p w:rsidR="00C46829" w:rsidRPr="00C46829" w:rsidRDefault="00C46829" w:rsidP="00C46829">
      <w:pPr>
        <w:spacing w:after="0" w:line="240" w:lineRule="auto"/>
        <w:ind w:left="851" w:right="851"/>
        <w:jc w:val="both"/>
        <w:rPr>
          <w:rFonts w:ascii="Palatino Linotype" w:hAnsi="Palatino Linotype" w:cs="Arial"/>
          <w:i/>
          <w:iCs/>
          <w:color w:val="222222"/>
        </w:rPr>
      </w:pPr>
    </w:p>
    <w:p w:rsidR="00C46829" w:rsidRPr="00C46829" w:rsidRDefault="00C46829" w:rsidP="00C46829">
      <w:pPr>
        <w:spacing w:after="0" w:line="240" w:lineRule="auto"/>
        <w:ind w:left="851" w:right="851"/>
        <w:jc w:val="both"/>
        <w:rPr>
          <w:rFonts w:ascii="Palatino Linotype" w:hAnsi="Palatino Linotype" w:cs="Arial"/>
          <w:i/>
          <w:iCs/>
          <w:color w:val="222222"/>
        </w:rPr>
      </w:pPr>
      <w:r w:rsidRPr="00C46829">
        <w:rPr>
          <w:rFonts w:ascii="Segoe UI Symbol" w:hAnsi="Segoe UI Symbol" w:cs="Segoe UI Symbol"/>
          <w:i/>
          <w:iCs/>
          <w:color w:val="222222"/>
        </w:rPr>
        <w:t>❖</w:t>
      </w:r>
      <w:r w:rsidRPr="00C46829">
        <w:rPr>
          <w:rFonts w:ascii="Palatino Linotype" w:hAnsi="Palatino Linotype" w:cs="Arial"/>
          <w:i/>
          <w:iCs/>
          <w:color w:val="222222"/>
        </w:rPr>
        <w:t xml:space="preserve"> Programa de bacheo de la colonia Rancho la Mora y la Delegación la Maquinita:</w:t>
      </w:r>
    </w:p>
    <w:p w:rsidR="003416C0" w:rsidRDefault="003416C0" w:rsidP="00C46829">
      <w:pPr>
        <w:pStyle w:val="Prrafodelista"/>
        <w:tabs>
          <w:tab w:val="left" w:pos="5647"/>
        </w:tabs>
        <w:ind w:left="851" w:right="851"/>
        <w:jc w:val="both"/>
        <w:rPr>
          <w:rFonts w:ascii="Palatino Linotype" w:hAnsi="Palatino Linotype" w:cs="Arial"/>
          <w:i/>
          <w:iCs/>
          <w:color w:val="222222"/>
          <w:sz w:val="22"/>
          <w:szCs w:val="22"/>
          <w:lang w:val="es-MX"/>
        </w:rPr>
      </w:pPr>
    </w:p>
    <w:p w:rsidR="006609FD" w:rsidRPr="00C46829" w:rsidRDefault="00C46829" w:rsidP="00C46829">
      <w:pPr>
        <w:pStyle w:val="Prrafodelista"/>
        <w:tabs>
          <w:tab w:val="left" w:pos="5647"/>
        </w:tabs>
        <w:ind w:left="851" w:right="851"/>
        <w:jc w:val="both"/>
        <w:rPr>
          <w:rFonts w:ascii="Palatino Linotype" w:hAnsi="Palatino Linotype"/>
          <w:lang w:val="es-419"/>
        </w:rPr>
      </w:pPr>
      <w:r w:rsidRPr="00C46829">
        <w:rPr>
          <w:rFonts w:ascii="Palatino Linotype" w:hAnsi="Palatino Linotype" w:cs="Arial"/>
          <w:i/>
          <w:iCs/>
          <w:color w:val="222222"/>
          <w:sz w:val="22"/>
          <w:szCs w:val="22"/>
          <w:lang w:val="es-MX"/>
        </w:rPr>
        <w:t xml:space="preserve">Se informa que </w:t>
      </w:r>
      <w:r w:rsidRPr="00C46829">
        <w:rPr>
          <w:rFonts w:ascii="Palatino Linotype" w:hAnsi="Palatino Linotype" w:cs="Arial"/>
          <w:b/>
          <w:i/>
          <w:iCs/>
          <w:color w:val="222222"/>
          <w:sz w:val="22"/>
          <w:szCs w:val="22"/>
          <w:u w:val="single"/>
          <w:lang w:val="es-MX"/>
        </w:rPr>
        <w:t xml:space="preserve">no se generó por esta área administrativa ningún programa de bacheo de la Colonia </w:t>
      </w:r>
      <w:r w:rsidRPr="00C46829">
        <w:rPr>
          <w:rFonts w:ascii="Palatino Linotype" w:hAnsi="Palatino Linotype" w:cs="Arial"/>
          <w:b/>
          <w:i/>
          <w:iCs/>
          <w:color w:val="222222"/>
          <w:u w:val="single"/>
          <w:lang w:val="es-419"/>
        </w:rPr>
        <w:t>R</w:t>
      </w:r>
      <w:r w:rsidRPr="00C46829">
        <w:rPr>
          <w:rFonts w:ascii="Palatino Linotype" w:hAnsi="Palatino Linotype" w:cs="Arial"/>
          <w:b/>
          <w:i/>
          <w:iCs/>
          <w:color w:val="222222"/>
          <w:sz w:val="22"/>
          <w:szCs w:val="22"/>
          <w:u w:val="single"/>
          <w:lang w:val="es-MX"/>
        </w:rPr>
        <w:t>ancho la Mora, ni de la Delegación la Maquinita</w:t>
      </w:r>
      <w:r w:rsidRPr="00C46829">
        <w:rPr>
          <w:rFonts w:ascii="Palatino Linotype" w:hAnsi="Palatino Linotype" w:cs="Arial"/>
          <w:i/>
          <w:iCs/>
          <w:color w:val="222222"/>
          <w:sz w:val="22"/>
          <w:szCs w:val="22"/>
          <w:lang w:val="es-MX"/>
        </w:rPr>
        <w:t>, es preciso mencionar que en la mencionada delegación únicamente se atendió un tramo de las calles Isidro Fabela y Adolfo López Mateos.</w:t>
      </w:r>
      <w:r w:rsidRPr="00C46829">
        <w:rPr>
          <w:rFonts w:ascii="Palatino Linotype" w:hAnsi="Palatino Linotype" w:cs="Arial"/>
          <w:i/>
          <w:iCs/>
          <w:color w:val="222222"/>
          <w:sz w:val="22"/>
          <w:szCs w:val="22"/>
          <w:lang w:val="es-419"/>
        </w:rPr>
        <w:t>”</w:t>
      </w:r>
      <w:r w:rsidR="003416C0">
        <w:rPr>
          <w:rFonts w:ascii="Palatino Linotype" w:hAnsi="Palatino Linotype" w:cs="Arial"/>
          <w:i/>
          <w:iCs/>
          <w:color w:val="222222"/>
          <w:sz w:val="22"/>
          <w:szCs w:val="22"/>
          <w:lang w:val="es-419"/>
        </w:rPr>
        <w:t xml:space="preserve"> (énfasis añadido)</w:t>
      </w:r>
    </w:p>
    <w:p w:rsidR="006609FD" w:rsidRPr="002D00B0" w:rsidRDefault="006609FD" w:rsidP="002D00B0">
      <w:pPr>
        <w:pStyle w:val="Prrafodelista"/>
        <w:spacing w:line="360" w:lineRule="auto"/>
        <w:ind w:left="0"/>
        <w:jc w:val="both"/>
        <w:rPr>
          <w:rFonts w:ascii="Palatino Linotype" w:hAnsi="Palatino Linotype"/>
          <w:lang w:val="es-419"/>
        </w:rPr>
      </w:pPr>
    </w:p>
    <w:p w:rsidR="002D00B0" w:rsidRPr="002D00B0" w:rsidRDefault="00C46829" w:rsidP="002D00B0">
      <w:pPr>
        <w:pStyle w:val="Prrafodelista"/>
        <w:spacing w:line="360" w:lineRule="auto"/>
        <w:ind w:left="0"/>
        <w:jc w:val="both"/>
        <w:rPr>
          <w:rFonts w:ascii="Palatino Linotype" w:hAnsi="Palatino Linotype"/>
          <w:lang w:val="es-419"/>
        </w:rPr>
      </w:pPr>
      <w:r w:rsidRPr="002D00B0">
        <w:rPr>
          <w:rFonts w:ascii="Palatino Linotype" w:hAnsi="Palatino Linotype"/>
          <w:lang w:val="es-419"/>
        </w:rPr>
        <w:t>Como podemos apreciar</w:t>
      </w:r>
      <w:r w:rsidR="002D00B0" w:rsidRPr="002D00B0">
        <w:rPr>
          <w:rFonts w:ascii="Palatino Linotype" w:hAnsi="Palatino Linotype"/>
          <w:lang w:val="es-419"/>
        </w:rPr>
        <w:t xml:space="preserve">, al tratarse el requerimiento de información originario de documentación que, por las razones aducidas,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rsidR="002D00B0" w:rsidRPr="002D00B0" w:rsidRDefault="002D00B0" w:rsidP="002D00B0">
      <w:pPr>
        <w:pStyle w:val="Prrafodelista"/>
        <w:spacing w:line="360" w:lineRule="auto"/>
        <w:ind w:left="0"/>
        <w:jc w:val="both"/>
        <w:rPr>
          <w:rFonts w:ascii="Palatino Linotype" w:hAnsi="Palatino Linotype"/>
          <w:lang w:val="es-419"/>
        </w:rPr>
      </w:pPr>
    </w:p>
    <w:p w:rsidR="002D00B0" w:rsidRPr="002D00B0" w:rsidRDefault="002D00B0" w:rsidP="002D00B0">
      <w:pPr>
        <w:spacing w:after="0" w:line="240" w:lineRule="auto"/>
        <w:ind w:left="851" w:right="851"/>
        <w:jc w:val="both"/>
        <w:rPr>
          <w:rFonts w:ascii="Palatino Linotype" w:hAnsi="Palatino Linotype"/>
          <w:sz w:val="24"/>
          <w:szCs w:val="24"/>
          <w:lang w:val="es-ES_tradnl"/>
        </w:rPr>
      </w:pPr>
      <w:r w:rsidRPr="002D00B0">
        <w:rPr>
          <w:rFonts w:ascii="Palatino Linotype" w:hAnsi="Palatino Linotype" w:cs="Arial"/>
          <w:i/>
          <w:iCs/>
          <w:color w:val="222222"/>
          <w:sz w:val="24"/>
          <w:szCs w:val="24"/>
        </w:rPr>
        <w:t>“</w:t>
      </w:r>
      <w:r w:rsidRPr="00C1070F">
        <w:rPr>
          <w:rFonts w:ascii="Palatino Linotype" w:hAnsi="Palatino Linotype" w:cs="Arial"/>
          <w:b/>
          <w:i/>
          <w:iCs/>
          <w:color w:val="222222"/>
          <w:sz w:val="24"/>
          <w:szCs w:val="24"/>
        </w:rPr>
        <w:t>HECHOS NEGATIVOS, NO SON SUSCEPTIBLES DE DEMOSTRACION</w:t>
      </w:r>
      <w:r w:rsidRPr="002D00B0">
        <w:rPr>
          <w:rFonts w:ascii="Palatino Linotype" w:hAnsi="Palatino Linotype" w:cs="Arial"/>
          <w:i/>
          <w:iCs/>
          <w:color w:val="222222"/>
          <w:sz w:val="24"/>
          <w:szCs w:val="24"/>
        </w:rPr>
        <w:t>. Tratándose de un hecho negativo, el Juez no tiene por que invocar prueba alguna de la que se desprenda, ya que es bien sabido que esta clase de hechos no son susceptibles de demostración.”</w:t>
      </w:r>
    </w:p>
    <w:p w:rsidR="002D00B0" w:rsidRPr="002D00B0" w:rsidRDefault="002D00B0" w:rsidP="002D00B0">
      <w:pPr>
        <w:spacing w:after="0" w:line="360" w:lineRule="auto"/>
        <w:jc w:val="both"/>
        <w:rPr>
          <w:rFonts w:ascii="Palatino Linotype" w:hAnsi="Palatino Linotype"/>
          <w:sz w:val="24"/>
          <w:szCs w:val="24"/>
          <w:lang w:val="es-ES_tradnl"/>
        </w:rPr>
      </w:pPr>
    </w:p>
    <w:p w:rsidR="002D00B0" w:rsidRPr="002D00B0" w:rsidRDefault="002D00B0" w:rsidP="002D00B0">
      <w:pPr>
        <w:spacing w:after="0" w:line="360" w:lineRule="auto"/>
        <w:jc w:val="both"/>
        <w:rPr>
          <w:rFonts w:ascii="Palatino Linotype" w:hAnsi="Palatino Linotype"/>
          <w:sz w:val="24"/>
          <w:szCs w:val="24"/>
          <w:lang w:val="es-419"/>
        </w:rPr>
      </w:pPr>
      <w:r w:rsidRPr="002D00B0">
        <w:rPr>
          <w:rFonts w:ascii="Palatino Linotype" w:hAnsi="Palatino Linotype"/>
          <w:sz w:val="24"/>
          <w:szCs w:val="24"/>
          <w:lang w:val="es-ES_tradnl"/>
        </w:rPr>
        <w:t xml:space="preserve">Es decir, si bien </w:t>
      </w:r>
      <w:r w:rsidRPr="002D00B0">
        <w:rPr>
          <w:rFonts w:ascii="Palatino Linotype" w:hAnsi="Palatino Linotype"/>
          <w:sz w:val="24"/>
          <w:szCs w:val="24"/>
          <w:lang w:val="es-419"/>
        </w:rPr>
        <w:t>el sujeto obligado</w:t>
      </w:r>
      <w:r w:rsidRPr="002D00B0">
        <w:rPr>
          <w:rFonts w:ascii="Palatino Linotype" w:hAnsi="Palatino Linotype"/>
          <w:sz w:val="24"/>
          <w:szCs w:val="24"/>
        </w:rPr>
        <w:t xml:space="preserve">, cuenta </w:t>
      </w:r>
      <w:r w:rsidRPr="002D00B0">
        <w:rPr>
          <w:rFonts w:ascii="Palatino Linotype" w:hAnsi="Palatino Linotype"/>
          <w:sz w:val="24"/>
          <w:szCs w:val="24"/>
          <w:lang w:val="es-419"/>
        </w:rPr>
        <w:t>con las atribuciones relacionadas con el Desarrollo Urbano, Ordenamiento Territorial y Obras Públicas,</w:t>
      </w:r>
      <w:r w:rsidRPr="002D00B0">
        <w:rPr>
          <w:rFonts w:ascii="Palatino Linotype" w:hAnsi="Palatino Linotype"/>
          <w:sz w:val="24"/>
          <w:szCs w:val="24"/>
        </w:rPr>
        <w:t xml:space="preserve"> lo cierto es que </w:t>
      </w:r>
      <w:r w:rsidRPr="002D00B0">
        <w:rPr>
          <w:rFonts w:ascii="Palatino Linotype" w:hAnsi="Palatino Linotype"/>
          <w:sz w:val="24"/>
          <w:szCs w:val="24"/>
          <w:lang w:val="es-419"/>
        </w:rPr>
        <w:t xml:space="preserve">para la </w:t>
      </w:r>
      <w:r w:rsidRPr="002D00B0">
        <w:rPr>
          <w:rFonts w:ascii="Palatino Linotype" w:hAnsi="Palatino Linotype"/>
          <w:sz w:val="24"/>
          <w:szCs w:val="24"/>
          <w:lang w:val="es-419"/>
        </w:rPr>
        <w:lastRenderedPageBreak/>
        <w:t>obra de referencia el sujeto obligado no realizó programa alguno ya que como en la propia respuesta se lee al final:</w:t>
      </w:r>
    </w:p>
    <w:p w:rsidR="002D00B0" w:rsidRPr="002D00B0" w:rsidRDefault="002D00B0" w:rsidP="002D00B0">
      <w:pPr>
        <w:spacing w:after="0" w:line="360" w:lineRule="auto"/>
        <w:jc w:val="both"/>
        <w:rPr>
          <w:rFonts w:ascii="Palatino Linotype" w:hAnsi="Palatino Linotype"/>
          <w:sz w:val="24"/>
          <w:szCs w:val="24"/>
          <w:lang w:val="es-419"/>
        </w:rPr>
      </w:pPr>
    </w:p>
    <w:p w:rsidR="002D00B0" w:rsidRPr="002D00B0" w:rsidRDefault="002D00B0" w:rsidP="002D00B0">
      <w:pPr>
        <w:spacing w:after="0" w:line="240" w:lineRule="auto"/>
        <w:ind w:left="851" w:right="851"/>
        <w:jc w:val="both"/>
        <w:rPr>
          <w:rFonts w:ascii="Palatino Linotype" w:hAnsi="Palatino Linotype" w:cs="Arial"/>
          <w:i/>
          <w:iCs/>
          <w:color w:val="222222"/>
          <w:sz w:val="24"/>
          <w:szCs w:val="24"/>
        </w:rPr>
      </w:pPr>
      <w:r w:rsidRPr="002D00B0">
        <w:rPr>
          <w:rFonts w:ascii="Palatino Linotype" w:hAnsi="Palatino Linotype" w:cs="Arial"/>
          <w:i/>
          <w:iCs/>
          <w:color w:val="222222"/>
          <w:sz w:val="24"/>
          <w:szCs w:val="24"/>
          <w:lang w:val="es-419"/>
        </w:rPr>
        <w:t>“</w:t>
      </w:r>
      <w:r w:rsidRPr="002D00B0">
        <w:rPr>
          <w:rFonts w:ascii="Palatino Linotype" w:hAnsi="Palatino Linotype" w:cs="Arial"/>
          <w:i/>
          <w:iCs/>
          <w:color w:val="222222"/>
          <w:sz w:val="24"/>
          <w:szCs w:val="24"/>
        </w:rPr>
        <w:t>Para el caso de ser por sus propios medios el análisis de P.0 de estas obras y el presupuesto gastado a la fecha:</w:t>
      </w:r>
    </w:p>
    <w:p w:rsidR="002D00B0" w:rsidRPr="002D00B0" w:rsidRDefault="002D00B0" w:rsidP="002D00B0">
      <w:pPr>
        <w:spacing w:after="0" w:line="240" w:lineRule="auto"/>
        <w:ind w:left="851" w:right="851"/>
        <w:jc w:val="both"/>
        <w:rPr>
          <w:rFonts w:ascii="Palatino Linotype" w:hAnsi="Palatino Linotype" w:cs="Arial"/>
          <w:i/>
          <w:iCs/>
          <w:color w:val="222222"/>
          <w:sz w:val="24"/>
          <w:szCs w:val="24"/>
        </w:rPr>
      </w:pPr>
    </w:p>
    <w:p w:rsidR="002D00B0" w:rsidRPr="002D00B0" w:rsidRDefault="002D00B0" w:rsidP="002D00B0">
      <w:pPr>
        <w:spacing w:after="0" w:line="240" w:lineRule="auto"/>
        <w:ind w:left="851" w:right="851"/>
        <w:jc w:val="both"/>
        <w:rPr>
          <w:rFonts w:ascii="Palatino Linotype" w:hAnsi="Palatino Linotype" w:cs="Arial"/>
          <w:i/>
          <w:iCs/>
          <w:color w:val="222222"/>
          <w:sz w:val="24"/>
          <w:szCs w:val="24"/>
          <w:lang w:val="es-419"/>
        </w:rPr>
      </w:pPr>
      <w:r w:rsidRPr="002D00B0">
        <w:rPr>
          <w:rFonts w:ascii="Palatino Linotype" w:hAnsi="Palatino Linotype" w:cs="Arial"/>
          <w:i/>
          <w:iCs/>
          <w:color w:val="222222"/>
          <w:sz w:val="24"/>
          <w:szCs w:val="24"/>
        </w:rPr>
        <w:t xml:space="preserve">Se informa que la Obra se está ejecutando por contrato, </w:t>
      </w:r>
      <w:r w:rsidRPr="002D00B0">
        <w:rPr>
          <w:rFonts w:ascii="Palatino Linotype" w:hAnsi="Palatino Linotype" w:cs="Arial"/>
          <w:b/>
          <w:i/>
          <w:iCs/>
          <w:color w:val="222222"/>
          <w:sz w:val="24"/>
          <w:szCs w:val="24"/>
          <w:u w:val="single"/>
        </w:rPr>
        <w:t>no por administración directa</w:t>
      </w:r>
      <w:r w:rsidRPr="002D00B0">
        <w:rPr>
          <w:rFonts w:ascii="Palatino Linotype" w:hAnsi="Palatino Linotype" w:cs="Arial"/>
          <w:i/>
          <w:iCs/>
          <w:color w:val="222222"/>
          <w:sz w:val="24"/>
          <w:szCs w:val="24"/>
        </w:rPr>
        <w:t>.”</w:t>
      </w:r>
      <w:r w:rsidRPr="002D00B0">
        <w:rPr>
          <w:rFonts w:ascii="Palatino Linotype" w:hAnsi="Palatino Linotype" w:cs="Arial"/>
          <w:i/>
          <w:iCs/>
          <w:color w:val="222222"/>
          <w:sz w:val="24"/>
          <w:szCs w:val="24"/>
          <w:lang w:val="es-419"/>
        </w:rPr>
        <w:t xml:space="preserve"> (énfasis añadido)</w:t>
      </w:r>
    </w:p>
    <w:p w:rsidR="002D00B0" w:rsidRPr="00EC5F09" w:rsidRDefault="002D00B0" w:rsidP="002D00B0">
      <w:pPr>
        <w:spacing w:after="0" w:line="360" w:lineRule="auto"/>
        <w:jc w:val="both"/>
        <w:rPr>
          <w:rFonts w:ascii="Palatino Linotype" w:hAnsi="Palatino Linotype" w:cs="Arial"/>
          <w:sz w:val="24"/>
          <w:szCs w:val="24"/>
          <w:lang w:val="es-419"/>
        </w:rPr>
      </w:pPr>
    </w:p>
    <w:p w:rsidR="002D00B0" w:rsidRPr="00EC5F09" w:rsidRDefault="002D00B0" w:rsidP="002D00B0">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t xml:space="preserve">Como podemos apreciar </w:t>
      </w:r>
      <w:r>
        <w:rPr>
          <w:rFonts w:ascii="Palatino Linotype" w:hAnsi="Palatino Linotype" w:cs="Arial"/>
          <w:sz w:val="24"/>
          <w:szCs w:val="24"/>
          <w:lang w:val="es-419"/>
        </w:rPr>
        <w:t>el sujeto obligado no ejecutó la obra de forma directa si no mediante contrato</w:t>
      </w:r>
      <w:r w:rsidRPr="00EC5F09">
        <w:rPr>
          <w:rFonts w:ascii="Palatino Linotype" w:hAnsi="Palatino Linotype" w:cs="Arial"/>
          <w:sz w:val="24"/>
          <w:szCs w:val="24"/>
          <w:lang w:val="es-419"/>
        </w:rPr>
        <w:t>, es decir</w:t>
      </w:r>
      <w:r w:rsidR="002C0A7D">
        <w:rPr>
          <w:rFonts w:ascii="Palatino Linotype" w:hAnsi="Palatino Linotype" w:cs="Arial"/>
          <w:sz w:val="24"/>
          <w:szCs w:val="24"/>
          <w:lang w:val="es-419"/>
        </w:rPr>
        <w:t>,</w:t>
      </w:r>
      <w:r w:rsidRPr="00EC5F09">
        <w:rPr>
          <w:rFonts w:ascii="Palatino Linotype" w:hAnsi="Palatino Linotype" w:cs="Arial"/>
          <w:sz w:val="24"/>
          <w:szCs w:val="24"/>
          <w:lang w:val="es-419"/>
        </w:rPr>
        <w:t xml:space="preserve"> no se generó</w:t>
      </w:r>
      <w:r w:rsidR="00EC5F09" w:rsidRPr="00EC5F09">
        <w:rPr>
          <w:rFonts w:ascii="Palatino Linotype" w:hAnsi="Palatino Linotype" w:cs="Arial"/>
          <w:sz w:val="24"/>
          <w:szCs w:val="24"/>
          <w:lang w:val="es-419"/>
        </w:rPr>
        <w:t xml:space="preserve"> programa de bacheo</w:t>
      </w:r>
      <w:r w:rsidRPr="00EC5F09">
        <w:rPr>
          <w:rFonts w:ascii="Palatino Linotype" w:hAnsi="Palatino Linotype" w:cs="Arial"/>
          <w:sz w:val="24"/>
          <w:szCs w:val="24"/>
          <w:lang w:val="es-419"/>
        </w:rPr>
        <w:t>.</w:t>
      </w:r>
    </w:p>
    <w:p w:rsidR="002D00B0" w:rsidRPr="00EC5F09" w:rsidRDefault="002D00B0" w:rsidP="002D00B0">
      <w:pPr>
        <w:spacing w:after="0" w:line="360" w:lineRule="auto"/>
        <w:jc w:val="both"/>
        <w:rPr>
          <w:rFonts w:ascii="Palatino Linotype" w:hAnsi="Palatino Linotype" w:cs="Arial"/>
          <w:sz w:val="24"/>
          <w:szCs w:val="24"/>
          <w:lang w:val="es-419"/>
        </w:rPr>
      </w:pPr>
    </w:p>
    <w:p w:rsidR="002D00B0" w:rsidRPr="00EC5F09" w:rsidRDefault="002D00B0" w:rsidP="00EC5F09">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2D00B0" w:rsidRPr="00EC5F09" w:rsidRDefault="002D00B0" w:rsidP="00EC5F09">
      <w:pPr>
        <w:spacing w:after="0" w:line="360" w:lineRule="auto"/>
        <w:jc w:val="both"/>
        <w:rPr>
          <w:rFonts w:ascii="Palatino Linotype" w:hAnsi="Palatino Linotype" w:cs="Arial"/>
          <w:sz w:val="24"/>
          <w:szCs w:val="24"/>
          <w:lang w:val="es-419"/>
        </w:rPr>
      </w:pPr>
    </w:p>
    <w:p w:rsidR="002D00B0" w:rsidRPr="00D313B5" w:rsidRDefault="002D00B0" w:rsidP="00EC5F09">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2D00B0" w:rsidRPr="00D313B5" w:rsidRDefault="002D00B0" w:rsidP="00EC5F09">
      <w:pPr>
        <w:pStyle w:val="Sinespaciado"/>
        <w:ind w:left="851" w:right="851"/>
        <w:jc w:val="both"/>
        <w:rPr>
          <w:rFonts w:ascii="Palatino Linotype" w:hAnsi="Palatino Linotype"/>
          <w:i/>
          <w:sz w:val="24"/>
          <w:szCs w:val="24"/>
        </w:rPr>
      </w:pPr>
    </w:p>
    <w:p w:rsidR="002D00B0" w:rsidRPr="00D313B5" w:rsidRDefault="002D00B0" w:rsidP="00EC5F09">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D00B0" w:rsidRPr="00EC5F09" w:rsidRDefault="002D00B0" w:rsidP="00EC5F09">
      <w:pPr>
        <w:autoSpaceDE w:val="0"/>
        <w:autoSpaceDN w:val="0"/>
        <w:adjustRightInd w:val="0"/>
        <w:spacing w:after="0" w:line="360" w:lineRule="auto"/>
        <w:jc w:val="both"/>
        <w:rPr>
          <w:rFonts w:ascii="Palatino Linotype" w:hAnsi="Palatino Linotype" w:cs="Arial"/>
          <w:sz w:val="24"/>
          <w:szCs w:val="24"/>
        </w:rPr>
      </w:pPr>
    </w:p>
    <w:p w:rsidR="002D00B0" w:rsidRPr="00EC5F09" w:rsidRDefault="002D00B0" w:rsidP="00EC5F09">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t xml:space="preserve">Por todo lo anterior, conviene subrayar que, las funciones de este Órgano Garante se encuentra puntualizadas en el artículo 36, de la Ley de la Materia, y de la lectura de las </w:t>
      </w:r>
      <w:r w:rsidRPr="00EC5F09">
        <w:rPr>
          <w:rFonts w:ascii="Palatino Linotype" w:hAnsi="Palatino Linotype" w:cs="Arial"/>
          <w:sz w:val="24"/>
          <w:szCs w:val="24"/>
          <w:lang w:val="es-ES_tradnl"/>
        </w:rPr>
        <w:lastRenderedPageBreak/>
        <w:t>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2D00B0" w:rsidRPr="00EC5F09" w:rsidRDefault="002D00B0" w:rsidP="00EC5F09">
      <w:pPr>
        <w:spacing w:after="0" w:line="360" w:lineRule="auto"/>
        <w:jc w:val="both"/>
        <w:rPr>
          <w:rFonts w:ascii="Palatino Linotype" w:hAnsi="Palatino Linotype" w:cs="Arial"/>
          <w:sz w:val="24"/>
          <w:szCs w:val="24"/>
          <w:lang w:val="es-ES_tradnl"/>
        </w:rPr>
      </w:pPr>
    </w:p>
    <w:p w:rsidR="002D00B0" w:rsidRPr="00EC5F09" w:rsidRDefault="002D00B0" w:rsidP="00EC5F09">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2D00B0" w:rsidRPr="00EC5F09" w:rsidRDefault="002D00B0" w:rsidP="00EC5F09">
      <w:pPr>
        <w:spacing w:after="0" w:line="360" w:lineRule="auto"/>
        <w:jc w:val="both"/>
        <w:rPr>
          <w:rFonts w:ascii="Palatino Linotype" w:hAnsi="Palatino Linotype" w:cs="Arial"/>
          <w:sz w:val="24"/>
          <w:szCs w:val="24"/>
          <w:lang w:val="es-ES_tradnl"/>
        </w:rPr>
      </w:pPr>
    </w:p>
    <w:p w:rsidR="002D00B0" w:rsidRPr="00567185" w:rsidRDefault="002D00B0" w:rsidP="00EC5F09">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2D00B0" w:rsidRPr="00567185" w:rsidRDefault="002D00B0" w:rsidP="00EC5F09">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rsidR="002D00B0" w:rsidRPr="000C7C21" w:rsidRDefault="002D00B0" w:rsidP="000C7C21">
      <w:pPr>
        <w:spacing w:after="0" w:line="360" w:lineRule="auto"/>
        <w:jc w:val="both"/>
        <w:rPr>
          <w:rFonts w:ascii="Palatino Linotype" w:hAnsi="Palatino Linotype" w:cs="Arial"/>
          <w:color w:val="000000"/>
          <w:sz w:val="24"/>
          <w:szCs w:val="24"/>
          <w:lang w:val="es-ES_tradnl"/>
        </w:rPr>
      </w:pPr>
    </w:p>
    <w:p w:rsidR="002D00B0" w:rsidRPr="000C7C21" w:rsidRDefault="002D00B0" w:rsidP="000C7C21">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 xml:space="preserve">En tal sentido es que </w:t>
      </w:r>
      <w:r w:rsidR="00EC5F09" w:rsidRPr="000C7C21">
        <w:rPr>
          <w:rFonts w:ascii="Palatino Linotype" w:hAnsi="Palatino Linotype" w:cs="Arial"/>
          <w:color w:val="000000"/>
          <w:sz w:val="24"/>
          <w:szCs w:val="24"/>
          <w:lang w:val="es-ES_tradnl"/>
        </w:rPr>
        <w:t>se considera que la</w:t>
      </w:r>
      <w:r w:rsidRPr="000C7C21">
        <w:rPr>
          <w:rFonts w:ascii="Palatino Linotype" w:hAnsi="Palatino Linotype" w:cs="Arial"/>
          <w:color w:val="000000"/>
          <w:sz w:val="24"/>
          <w:szCs w:val="24"/>
          <w:lang w:val="es-ES_tradnl"/>
        </w:rPr>
        <w:t xml:space="preserve"> respuesta da atención a la solicitud de información</w:t>
      </w:r>
      <w:r w:rsidR="000C7C21"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rsidR="002D00B0" w:rsidRPr="000C7C21" w:rsidRDefault="002D00B0" w:rsidP="000C7C21">
      <w:pPr>
        <w:spacing w:after="0" w:line="360" w:lineRule="auto"/>
        <w:jc w:val="both"/>
        <w:rPr>
          <w:rFonts w:ascii="Palatino Linotype" w:hAnsi="Palatino Linotype" w:cs="Arial"/>
          <w:color w:val="000000"/>
          <w:sz w:val="24"/>
          <w:szCs w:val="24"/>
          <w:lang w:val="es-ES_tradnl"/>
        </w:rPr>
      </w:pPr>
    </w:p>
    <w:p w:rsidR="002F7E87" w:rsidRPr="002C0A7D" w:rsidRDefault="000C7C21" w:rsidP="002F7E87">
      <w:pPr>
        <w:spacing w:after="0" w:line="360" w:lineRule="auto"/>
        <w:jc w:val="both"/>
        <w:rPr>
          <w:rFonts w:ascii="Palatino Linotype" w:eastAsia="Palatino Linotype" w:hAnsi="Palatino Linotype" w:cs="Palatino Linotype"/>
          <w:sz w:val="24"/>
          <w:szCs w:val="24"/>
          <w:lang w:val="es-419"/>
        </w:rPr>
      </w:pPr>
      <w:r w:rsidRPr="000C7C21">
        <w:rPr>
          <w:rFonts w:ascii="Palatino Linotype" w:hAnsi="Palatino Linotype" w:cs="Arial"/>
          <w:color w:val="000000"/>
          <w:sz w:val="24"/>
          <w:szCs w:val="24"/>
          <w:lang w:val="es-419"/>
        </w:rPr>
        <w:t>Ahora b</w:t>
      </w:r>
      <w:r w:rsidR="00C1070F">
        <w:rPr>
          <w:rFonts w:ascii="Palatino Linotype" w:hAnsi="Palatino Linotype" w:cs="Arial"/>
          <w:color w:val="000000"/>
          <w:sz w:val="24"/>
          <w:szCs w:val="24"/>
          <w:lang w:val="es-419"/>
        </w:rPr>
        <w:t>ien, por lo que hace al inciso –</w:t>
      </w:r>
      <w:r w:rsidRPr="000C7C21">
        <w:rPr>
          <w:rFonts w:ascii="Palatino Linotype" w:hAnsi="Palatino Linotype" w:cs="Arial"/>
          <w:color w:val="000000"/>
          <w:sz w:val="24"/>
          <w:szCs w:val="24"/>
          <w:lang w:val="es-419"/>
        </w:rPr>
        <w:t>b</w:t>
      </w:r>
      <w:r w:rsidR="00C1070F">
        <w:rPr>
          <w:rFonts w:ascii="Palatino Linotype" w:hAnsi="Palatino Linotype" w:cs="Arial"/>
          <w:color w:val="000000"/>
          <w:sz w:val="24"/>
          <w:szCs w:val="24"/>
          <w:lang w:val="es-419"/>
        </w:rPr>
        <w:t>-</w:t>
      </w:r>
      <w:r w:rsidRPr="000C7C21">
        <w:rPr>
          <w:rFonts w:ascii="Palatino Linotype" w:hAnsi="Palatino Linotype" w:cs="Arial"/>
          <w:color w:val="000000"/>
          <w:sz w:val="24"/>
          <w:szCs w:val="24"/>
          <w:lang w:val="es-419"/>
        </w:rPr>
        <w:t xml:space="preserve"> de sus puntos de inconformidad en el que refiere: </w:t>
      </w:r>
      <w:r w:rsidRPr="000C7C21">
        <w:rPr>
          <w:rFonts w:ascii="Palatino Linotype" w:hAnsi="Palatino Linotype" w:cs="Arial"/>
          <w:sz w:val="24"/>
          <w:szCs w:val="24"/>
          <w:lang w:val="es-419"/>
        </w:rPr>
        <w:t>“…</w:t>
      </w:r>
      <w:r w:rsidRPr="000C7C21">
        <w:rPr>
          <w:rFonts w:ascii="Palatino Linotype" w:hAnsi="Palatino Linotype" w:cs="Arial"/>
          <w:i/>
          <w:sz w:val="24"/>
          <w:szCs w:val="24"/>
          <w:lang w:val="es-419"/>
        </w:rPr>
        <w:t xml:space="preserve">anexan el presupuesto donde la partida 6159 tiene calculado un gasto de 40 millones para este año, sin detalle alguno, </w:t>
      </w:r>
      <w:r w:rsidRPr="000C7C21">
        <w:rPr>
          <w:rFonts w:ascii="Palatino Linotype" w:hAnsi="Palatino Linotype" w:cs="Arial"/>
          <w:b/>
          <w:i/>
          <w:sz w:val="24"/>
          <w:szCs w:val="24"/>
          <w:u w:val="single"/>
          <w:lang w:val="es-419"/>
        </w:rPr>
        <w:t>por lo que solicito se me proporcione el desglose de la aplicación de dicha partida con el avance y las estimaciones de lo ejecutado</w:t>
      </w:r>
      <w:r w:rsidRPr="000C7C21">
        <w:rPr>
          <w:rFonts w:ascii="Palatino Linotype" w:hAnsi="Palatino Linotype" w:cs="Arial"/>
          <w:i/>
          <w:sz w:val="24"/>
          <w:szCs w:val="24"/>
          <w:lang w:val="es-419"/>
        </w:rPr>
        <w:t>.</w:t>
      </w:r>
      <w:r w:rsidRPr="000C7C21">
        <w:rPr>
          <w:rFonts w:ascii="Palatino Linotype" w:hAnsi="Palatino Linotype" w:cs="Arial"/>
          <w:sz w:val="24"/>
          <w:szCs w:val="24"/>
          <w:lang w:val="es-419"/>
        </w:rPr>
        <w:t xml:space="preserve">”, </w:t>
      </w:r>
      <w:r>
        <w:rPr>
          <w:rFonts w:ascii="Palatino Linotype" w:hAnsi="Palatino Linotype" w:cs="Arial"/>
          <w:sz w:val="24"/>
          <w:szCs w:val="24"/>
          <w:lang w:val="es-419"/>
        </w:rPr>
        <w:t xml:space="preserve">se aprecia </w:t>
      </w:r>
      <w:r w:rsidR="002F7E87" w:rsidRPr="002C0A7D">
        <w:rPr>
          <w:rFonts w:ascii="Palatino Linotype" w:hAnsi="Palatino Linotype" w:cs="Arial"/>
          <w:sz w:val="24"/>
          <w:szCs w:val="24"/>
        </w:rPr>
        <w:t xml:space="preserve">que el </w:t>
      </w:r>
      <w:r w:rsidR="002F7E87" w:rsidRPr="002C0A7D">
        <w:rPr>
          <w:rFonts w:ascii="Palatino Linotype" w:hAnsi="Palatino Linotype" w:cs="Arial"/>
          <w:b/>
          <w:sz w:val="24"/>
          <w:szCs w:val="24"/>
        </w:rPr>
        <w:t xml:space="preserve">Recurrente </w:t>
      </w:r>
      <w:r w:rsidR="002F7E87" w:rsidRPr="002C0A7D">
        <w:rPr>
          <w:rFonts w:ascii="Palatino Linotype" w:hAnsi="Palatino Linotype" w:cs="Arial"/>
          <w:sz w:val="24"/>
          <w:szCs w:val="24"/>
        </w:rPr>
        <w:t>al momento de interponer el presente recurso de revisión, amplió su solicitud de información, ya que requirió nuevos elementos en relación</w:t>
      </w:r>
      <w:r w:rsidR="002F7E87" w:rsidRPr="002F7E87">
        <w:rPr>
          <w:rFonts w:ascii="Palatino Linotype" w:hAnsi="Palatino Linotype" w:cs="Arial"/>
          <w:sz w:val="24"/>
          <w:szCs w:val="24"/>
        </w:rPr>
        <w:t xml:space="preserve"> al Folio de la Solicitud </w:t>
      </w:r>
      <w:r w:rsidR="002F7E87" w:rsidRPr="002F7E87">
        <w:rPr>
          <w:rFonts w:ascii="Palatino Linotype" w:eastAsia="Palatino Linotype" w:hAnsi="Palatino Linotype" w:cs="Palatino Linotype"/>
          <w:b/>
          <w:sz w:val="24"/>
          <w:szCs w:val="24"/>
        </w:rPr>
        <w:t>0</w:t>
      </w:r>
      <w:r w:rsidR="002C0A7D">
        <w:rPr>
          <w:rFonts w:ascii="Palatino Linotype" w:eastAsia="Palatino Linotype" w:hAnsi="Palatino Linotype" w:cs="Palatino Linotype"/>
          <w:b/>
          <w:sz w:val="24"/>
          <w:szCs w:val="24"/>
          <w:lang w:val="es-419"/>
        </w:rPr>
        <w:t>1563</w:t>
      </w:r>
      <w:r w:rsidR="002F7E87" w:rsidRPr="002F7E87">
        <w:rPr>
          <w:rFonts w:ascii="Palatino Linotype" w:eastAsia="Palatino Linotype" w:hAnsi="Palatino Linotype" w:cs="Palatino Linotype"/>
          <w:b/>
          <w:sz w:val="24"/>
          <w:szCs w:val="24"/>
        </w:rPr>
        <w:t>/</w:t>
      </w:r>
      <w:r w:rsidR="002C0A7D">
        <w:rPr>
          <w:rFonts w:ascii="Palatino Linotype" w:eastAsia="Palatino Linotype" w:hAnsi="Palatino Linotype" w:cs="Palatino Linotype"/>
          <w:b/>
          <w:sz w:val="24"/>
          <w:szCs w:val="24"/>
          <w:lang w:val="es-419"/>
        </w:rPr>
        <w:t>TOLUCA</w:t>
      </w:r>
      <w:r w:rsidR="002F7E87" w:rsidRPr="002F7E87">
        <w:rPr>
          <w:rFonts w:ascii="Palatino Linotype" w:eastAsia="Palatino Linotype" w:hAnsi="Palatino Linotype" w:cs="Palatino Linotype"/>
          <w:b/>
          <w:sz w:val="24"/>
          <w:szCs w:val="24"/>
        </w:rPr>
        <w:t>/IP/2022</w:t>
      </w:r>
      <w:r w:rsidR="002F7E87" w:rsidRPr="002F7E87">
        <w:rPr>
          <w:rFonts w:ascii="Palatino Linotype" w:eastAsia="Palatino Linotype" w:hAnsi="Palatino Linotype" w:cs="Palatino Linotype"/>
          <w:sz w:val="24"/>
          <w:szCs w:val="24"/>
          <w:lang w:val="es-419"/>
        </w:rPr>
        <w:t xml:space="preserve"> lo anterior es así, pues del texto de la solicitud de información no se solicitó en ningún lado el</w:t>
      </w:r>
      <w:r w:rsidR="002C0A7D" w:rsidRPr="002C0A7D">
        <w:rPr>
          <w:rFonts w:ascii="Palatino Linotype" w:eastAsia="Palatino Linotype" w:hAnsi="Palatino Linotype" w:cs="Palatino Linotype"/>
          <w:sz w:val="24"/>
          <w:szCs w:val="24"/>
          <w:lang w:val="es-419"/>
        </w:rPr>
        <w:t xml:space="preserve"> desglose de la aplicación de </w:t>
      </w:r>
      <w:r w:rsidR="002C0A7D">
        <w:rPr>
          <w:rFonts w:ascii="Palatino Linotype" w:eastAsia="Palatino Linotype" w:hAnsi="Palatino Linotype" w:cs="Palatino Linotype"/>
          <w:sz w:val="24"/>
          <w:szCs w:val="24"/>
          <w:lang w:val="es-419"/>
        </w:rPr>
        <w:t xml:space="preserve">la </w:t>
      </w:r>
      <w:r w:rsidR="002C0A7D" w:rsidRPr="002C0A7D">
        <w:rPr>
          <w:rFonts w:ascii="Palatino Linotype" w:eastAsia="Palatino Linotype" w:hAnsi="Palatino Linotype" w:cs="Palatino Linotype"/>
          <w:sz w:val="24"/>
          <w:szCs w:val="24"/>
          <w:lang w:val="es-419"/>
        </w:rPr>
        <w:t>partida</w:t>
      </w:r>
      <w:r w:rsidR="002C0A7D">
        <w:rPr>
          <w:rFonts w:ascii="Palatino Linotype" w:eastAsia="Palatino Linotype" w:hAnsi="Palatino Linotype" w:cs="Palatino Linotype"/>
          <w:sz w:val="24"/>
          <w:szCs w:val="24"/>
          <w:lang w:val="es-419"/>
        </w:rPr>
        <w:t xml:space="preserve"> 6159</w:t>
      </w:r>
      <w:r w:rsidR="002C0A7D" w:rsidRPr="002C0A7D">
        <w:rPr>
          <w:rFonts w:ascii="Palatino Linotype" w:eastAsia="Palatino Linotype" w:hAnsi="Palatino Linotype" w:cs="Palatino Linotype"/>
          <w:sz w:val="24"/>
          <w:szCs w:val="24"/>
          <w:lang w:val="es-419"/>
        </w:rPr>
        <w:t xml:space="preserve"> con el avance y las estimaciones de lo ejecutado</w:t>
      </w:r>
      <w:r w:rsidR="002F7E87" w:rsidRPr="002F7E87">
        <w:rPr>
          <w:rFonts w:ascii="Palatino Linotype" w:eastAsia="Palatino Linotype" w:hAnsi="Palatino Linotype" w:cs="Palatino Linotype"/>
          <w:sz w:val="24"/>
          <w:szCs w:val="24"/>
          <w:lang w:val="es-419"/>
        </w:rPr>
        <w:t>.</w:t>
      </w:r>
    </w:p>
    <w:p w:rsidR="002F7E87" w:rsidRPr="002C0A7D" w:rsidRDefault="002F7E87" w:rsidP="002F7E87">
      <w:pPr>
        <w:spacing w:after="0" w:line="360" w:lineRule="auto"/>
        <w:jc w:val="both"/>
        <w:rPr>
          <w:rFonts w:ascii="Palatino Linotype" w:eastAsia="Palatino Linotype" w:hAnsi="Palatino Linotype" w:cs="Palatino Linotype"/>
          <w:sz w:val="24"/>
          <w:szCs w:val="24"/>
          <w:lang w:val="es-419"/>
        </w:rPr>
      </w:pPr>
    </w:p>
    <w:p w:rsidR="002F7E87" w:rsidRPr="002C0A7D" w:rsidRDefault="002F7E87" w:rsidP="002F7E87">
      <w:pPr>
        <w:spacing w:after="0" w:line="360" w:lineRule="auto"/>
        <w:jc w:val="both"/>
        <w:rPr>
          <w:rFonts w:ascii="Palatino Linotype" w:eastAsia="Palatino Linotype" w:hAnsi="Palatino Linotype" w:cs="Palatino Linotype"/>
          <w:sz w:val="24"/>
          <w:szCs w:val="24"/>
          <w:lang w:val="es-419"/>
        </w:rPr>
      </w:pPr>
      <w:r w:rsidRPr="002C0A7D">
        <w:rPr>
          <w:rFonts w:ascii="Palatino Linotype" w:eastAsia="Palatino Linotype" w:hAnsi="Palatino Linotype" w:cs="Palatino Linotype"/>
          <w:sz w:val="24"/>
          <w:szCs w:val="24"/>
          <w:lang w:val="es-419"/>
        </w:rPr>
        <w:t xml:space="preserve">Por tales razones, este Instituto no puede manifestarse al respecto, ya que se trata de una petición adicional o </w:t>
      </w:r>
      <w:r w:rsidRPr="002C0A7D">
        <w:rPr>
          <w:rFonts w:ascii="Palatino Linotype" w:eastAsia="Palatino Linotype" w:hAnsi="Palatino Linotype" w:cs="Palatino Linotype"/>
          <w:i/>
          <w:sz w:val="24"/>
          <w:szCs w:val="24"/>
          <w:lang w:val="es-419"/>
        </w:rPr>
        <w:t>plus petitio</w:t>
      </w:r>
      <w:r w:rsidRPr="002C0A7D">
        <w:rPr>
          <w:rFonts w:ascii="Palatino Linotype" w:eastAsia="Palatino Linotype" w:hAnsi="Palatino Linotype" w:cs="Palatino Linotype"/>
          <w:sz w:val="24"/>
          <w:szCs w:val="24"/>
          <w:lang w:val="es-419"/>
        </w:rPr>
        <w:t>; esto es, una nueva solicitud de información hecha por la recurrente. Sirve de apoyo el criterio 01/17 emitido por el INAI, el cual señala:</w:t>
      </w:r>
    </w:p>
    <w:p w:rsidR="002F7E87" w:rsidRPr="002C0A7D" w:rsidRDefault="002F7E87" w:rsidP="002C0A7D">
      <w:pPr>
        <w:spacing w:after="0" w:line="360" w:lineRule="auto"/>
        <w:jc w:val="both"/>
        <w:rPr>
          <w:rFonts w:ascii="Palatino Linotype" w:eastAsia="Palatino Linotype" w:hAnsi="Palatino Linotype" w:cs="Palatino Linotype"/>
          <w:sz w:val="24"/>
          <w:szCs w:val="24"/>
          <w:lang w:val="es-419"/>
        </w:rPr>
      </w:pPr>
    </w:p>
    <w:p w:rsidR="002F7E87" w:rsidRPr="002F7E87" w:rsidRDefault="002F7E87" w:rsidP="002F7E87">
      <w:pPr>
        <w:shd w:val="clear" w:color="auto" w:fill="FFFFFF" w:themeFill="background1"/>
        <w:spacing w:after="0" w:line="240" w:lineRule="auto"/>
        <w:ind w:left="851" w:right="851"/>
        <w:jc w:val="both"/>
        <w:rPr>
          <w:rFonts w:ascii="Palatino Linotype" w:hAnsi="Palatino Linotype" w:cs="Arial"/>
          <w:bCs/>
          <w:i/>
          <w:sz w:val="24"/>
          <w:szCs w:val="24"/>
        </w:rPr>
      </w:pPr>
      <w:r w:rsidRPr="002F7E87">
        <w:rPr>
          <w:rFonts w:ascii="Palatino Linotype" w:hAnsi="Palatino Linotype" w:cs="Arial"/>
          <w:b/>
          <w:bCs/>
          <w:i/>
          <w:sz w:val="24"/>
          <w:szCs w:val="24"/>
        </w:rPr>
        <w:t xml:space="preserve">“Es improcedente ampliar las solicitudes de acceso a información, a través de la interposición del recurso de revisión. </w:t>
      </w:r>
      <w:r w:rsidRPr="002F7E87">
        <w:rPr>
          <w:rFonts w:ascii="Palatino Linotype" w:hAnsi="Palatino Linotype" w:cs="Arial"/>
          <w:bCs/>
          <w:i/>
          <w:sz w:val="24"/>
          <w:szCs w:val="24"/>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2F7E87" w:rsidRPr="002F7E87" w:rsidRDefault="002F7E87" w:rsidP="002C0A7D">
      <w:pPr>
        <w:pStyle w:val="Sinespaciado"/>
        <w:spacing w:line="360" w:lineRule="auto"/>
        <w:jc w:val="both"/>
        <w:rPr>
          <w:rFonts w:ascii="Palatino Linotype" w:hAnsi="Palatino Linotype"/>
          <w:bCs/>
          <w:sz w:val="24"/>
          <w:szCs w:val="24"/>
        </w:rPr>
      </w:pPr>
    </w:p>
    <w:p w:rsidR="002F7E87" w:rsidRPr="002F7E87" w:rsidRDefault="002F7E87" w:rsidP="002C0A7D">
      <w:pPr>
        <w:pStyle w:val="Sinespaciado"/>
        <w:spacing w:line="360" w:lineRule="auto"/>
        <w:jc w:val="both"/>
        <w:rPr>
          <w:rFonts w:ascii="Palatino Linotype" w:hAnsi="Palatino Linotype"/>
          <w:bCs/>
          <w:sz w:val="24"/>
          <w:szCs w:val="24"/>
        </w:rPr>
      </w:pPr>
      <w:r w:rsidRPr="002F7E87">
        <w:rPr>
          <w:rFonts w:ascii="Palatino Linotype" w:hAnsi="Palatino Linotype"/>
          <w:bCs/>
          <w:sz w:val="24"/>
          <w:szCs w:val="24"/>
        </w:rPr>
        <w:t xml:space="preserve">Ante tales consideraciones, es de señalarse que el </w:t>
      </w:r>
      <w:r w:rsidRPr="002F7E87">
        <w:rPr>
          <w:rFonts w:ascii="Palatino Linotype" w:hAnsi="Palatino Linotype"/>
          <w:b/>
          <w:bCs/>
          <w:sz w:val="24"/>
          <w:szCs w:val="24"/>
        </w:rPr>
        <w:t>Recurrente</w:t>
      </w:r>
      <w:r w:rsidRPr="002F7E87">
        <w:rPr>
          <w:rFonts w:ascii="Palatino Linotype" w:hAnsi="Palatino Linotype"/>
          <w:bCs/>
          <w:sz w:val="24"/>
          <w:szCs w:val="24"/>
        </w:rPr>
        <w:t xml:space="preserve">, si bien impugnó la respuesta del </w:t>
      </w:r>
      <w:r w:rsidRPr="002F7E87">
        <w:rPr>
          <w:rFonts w:ascii="Palatino Linotype" w:hAnsi="Palatino Linotype"/>
          <w:b/>
          <w:bCs/>
          <w:sz w:val="24"/>
          <w:szCs w:val="24"/>
        </w:rPr>
        <w:t>Sujeto Obligado</w:t>
      </w:r>
      <w:r w:rsidRPr="002F7E87">
        <w:rPr>
          <w:rFonts w:ascii="Palatino Linotype" w:hAnsi="Palatino Linotype"/>
          <w:bCs/>
          <w:sz w:val="24"/>
          <w:szCs w:val="24"/>
        </w:rPr>
        <w:t xml:space="preserve">; también lo es que peticionó información adicional, respecto de la cual esta Ponencia no hará ningún pronunciamiento al constituir una petición adicional o plus petito, dejando a salvo los derechos del </w:t>
      </w:r>
      <w:r w:rsidRPr="002F7E87">
        <w:rPr>
          <w:rFonts w:ascii="Palatino Linotype" w:hAnsi="Palatino Linotype"/>
          <w:b/>
          <w:bCs/>
          <w:sz w:val="24"/>
          <w:szCs w:val="24"/>
        </w:rPr>
        <w:t>Recurrente</w:t>
      </w:r>
      <w:r w:rsidRPr="002F7E87">
        <w:rPr>
          <w:rFonts w:ascii="Palatino Linotype" w:hAnsi="Palatino Linotype"/>
          <w:bCs/>
          <w:sz w:val="24"/>
          <w:szCs w:val="24"/>
        </w:rPr>
        <w:t xml:space="preserve"> para que en caso de considerarlo así formule una nueva solicitud de información.</w:t>
      </w:r>
    </w:p>
    <w:p w:rsidR="002F7E87" w:rsidRPr="002F7E87" w:rsidRDefault="002F7E87" w:rsidP="002C0A7D">
      <w:pPr>
        <w:pStyle w:val="Sinespaciado"/>
        <w:spacing w:line="360" w:lineRule="auto"/>
        <w:jc w:val="both"/>
        <w:rPr>
          <w:rFonts w:ascii="Palatino Linotype" w:hAnsi="Palatino Linotype"/>
          <w:bCs/>
          <w:sz w:val="24"/>
          <w:szCs w:val="24"/>
        </w:rPr>
      </w:pPr>
    </w:p>
    <w:p w:rsidR="002F7E87" w:rsidRPr="002F7E87" w:rsidRDefault="002F7E87" w:rsidP="002C0A7D">
      <w:pPr>
        <w:pStyle w:val="Sinespaciado"/>
        <w:spacing w:line="360" w:lineRule="auto"/>
        <w:jc w:val="both"/>
        <w:rPr>
          <w:rFonts w:ascii="Palatino Linotype" w:hAnsi="Palatino Linotype"/>
          <w:bCs/>
          <w:sz w:val="24"/>
          <w:szCs w:val="24"/>
        </w:rPr>
      </w:pPr>
      <w:r w:rsidRPr="002F7E87">
        <w:rPr>
          <w:rFonts w:ascii="Palatino Linotype" w:hAnsi="Palatino Linotype"/>
          <w:bCs/>
          <w:sz w:val="24"/>
          <w:szCs w:val="24"/>
        </w:rPr>
        <w:t xml:space="preserve">En consecuencia, </w:t>
      </w:r>
      <w:r w:rsidRPr="002F7E87">
        <w:rPr>
          <w:rFonts w:ascii="Palatino Linotype" w:hAnsi="Palatino Linotype"/>
          <w:b/>
          <w:bCs/>
          <w:sz w:val="24"/>
          <w:szCs w:val="24"/>
        </w:rPr>
        <w:t>El Sujeto Obligado</w:t>
      </w:r>
      <w:r w:rsidRPr="002F7E87">
        <w:rPr>
          <w:rFonts w:ascii="Palatino Linotype" w:hAnsi="Palatino Linotype"/>
          <w:bCs/>
          <w:sz w:val="24"/>
          <w:szCs w:val="24"/>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2F7E87">
        <w:rPr>
          <w:rFonts w:ascii="Palatino Linotype" w:hAnsi="Palatino Linotype"/>
          <w:b/>
          <w:bCs/>
          <w:sz w:val="24"/>
          <w:szCs w:val="24"/>
        </w:rPr>
        <w:t>Sujeto Obligado</w:t>
      </w:r>
      <w:r w:rsidRPr="002F7E87">
        <w:rPr>
          <w:rFonts w:ascii="Palatino Linotype" w:hAnsi="Palatino Linotype"/>
          <w:bCs/>
          <w:sz w:val="24"/>
          <w:szCs w:val="24"/>
        </w:rPr>
        <w:t xml:space="preserve"> inicialmente, por lo que este no tuvo la oportunidad legal de analizarla ni de pronunciarse sobre la misma.</w:t>
      </w:r>
    </w:p>
    <w:p w:rsidR="002D00B0" w:rsidRPr="002F7E87" w:rsidRDefault="002D00B0" w:rsidP="002C0A7D">
      <w:pPr>
        <w:pStyle w:val="Prrafodelista"/>
        <w:spacing w:line="360" w:lineRule="auto"/>
        <w:ind w:left="0"/>
        <w:jc w:val="both"/>
        <w:rPr>
          <w:rFonts w:ascii="Palatino Linotype" w:hAnsi="Palatino Linotype"/>
          <w:lang w:val="es-419"/>
        </w:rPr>
      </w:pPr>
    </w:p>
    <w:p w:rsidR="002D00B0" w:rsidRPr="002F7E87" w:rsidRDefault="002C0A7D" w:rsidP="002C0A7D">
      <w:pPr>
        <w:pStyle w:val="Prrafodelista"/>
        <w:spacing w:line="360" w:lineRule="auto"/>
        <w:ind w:left="0"/>
        <w:jc w:val="both"/>
        <w:rPr>
          <w:rFonts w:ascii="Palatino Linotype" w:hAnsi="Palatino Linotype"/>
          <w:lang w:val="es-419"/>
        </w:rPr>
      </w:pPr>
      <w:r>
        <w:rPr>
          <w:rFonts w:ascii="Palatino Linotype" w:hAnsi="Palatino Linotype"/>
          <w:lang w:val="es-419"/>
        </w:rPr>
        <w:t>Ahora bien, respecto de los</w:t>
      </w:r>
      <w:r w:rsidR="00C2383E">
        <w:rPr>
          <w:rFonts w:ascii="Palatino Linotype" w:hAnsi="Palatino Linotype"/>
          <w:lang w:val="es-419"/>
        </w:rPr>
        <w:t xml:space="preserve"> siguientes</w:t>
      </w:r>
      <w:r>
        <w:rPr>
          <w:rFonts w:ascii="Palatino Linotype" w:hAnsi="Palatino Linotype"/>
          <w:lang w:val="es-419"/>
        </w:rPr>
        <w:t xml:space="preserve"> puntos:</w:t>
      </w:r>
    </w:p>
    <w:p w:rsidR="003416C0" w:rsidRDefault="003416C0" w:rsidP="002C0A7D">
      <w:pPr>
        <w:pStyle w:val="Prrafodelista"/>
        <w:spacing w:line="360" w:lineRule="auto"/>
        <w:ind w:left="0"/>
        <w:jc w:val="both"/>
        <w:rPr>
          <w:rFonts w:ascii="Palatino Linotype" w:hAnsi="Palatino Linotype"/>
          <w:lang w:val="es-419"/>
        </w:rPr>
      </w:pPr>
    </w:p>
    <w:p w:rsidR="00DD2F03" w:rsidRDefault="00DD2F03" w:rsidP="00DD2F03">
      <w:pPr>
        <w:pStyle w:val="Prrafodelista"/>
        <w:numPr>
          <w:ilvl w:val="0"/>
          <w:numId w:val="22"/>
        </w:numPr>
        <w:tabs>
          <w:tab w:val="left" w:pos="5647"/>
        </w:tabs>
        <w:spacing w:line="360" w:lineRule="auto"/>
        <w:ind w:right="567"/>
        <w:jc w:val="both"/>
        <w:rPr>
          <w:rFonts w:ascii="Palatino Linotype" w:hAnsi="Palatino Linotype"/>
          <w:lang w:val="es-ES_tradnl"/>
        </w:rPr>
      </w:pPr>
      <w:r>
        <w:rPr>
          <w:rFonts w:ascii="Palatino Linotype" w:hAnsi="Palatino Linotype"/>
          <w:lang w:val="es-ES_tradnl"/>
        </w:rPr>
        <w:t xml:space="preserve">El proceso constructivo y normas bajo las cuales se está realizando el trabajo </w:t>
      </w:r>
    </w:p>
    <w:p w:rsidR="00DD2F03" w:rsidRDefault="00DD2F03" w:rsidP="00DD2F03">
      <w:pPr>
        <w:pStyle w:val="Prrafodelista"/>
        <w:numPr>
          <w:ilvl w:val="0"/>
          <w:numId w:val="22"/>
        </w:numPr>
        <w:tabs>
          <w:tab w:val="left" w:pos="5647"/>
        </w:tabs>
        <w:spacing w:line="360" w:lineRule="auto"/>
        <w:ind w:right="567"/>
        <w:jc w:val="both"/>
        <w:rPr>
          <w:rFonts w:ascii="Palatino Linotype" w:hAnsi="Palatino Linotype"/>
          <w:lang w:val="es-ES_tradnl"/>
        </w:rPr>
      </w:pPr>
      <w:r>
        <w:rPr>
          <w:rFonts w:ascii="Palatino Linotype" w:hAnsi="Palatino Linotype"/>
          <w:lang w:val="es-ES_tradnl"/>
        </w:rPr>
        <w:t xml:space="preserve">Las pruebas de laboratorio de los materiales utilizados </w:t>
      </w:r>
    </w:p>
    <w:p w:rsidR="00DD2F03" w:rsidRDefault="00DD2F03" w:rsidP="00DD2F03">
      <w:pPr>
        <w:pStyle w:val="Prrafodelista"/>
        <w:numPr>
          <w:ilvl w:val="0"/>
          <w:numId w:val="22"/>
        </w:numPr>
        <w:tabs>
          <w:tab w:val="left" w:pos="5647"/>
        </w:tabs>
        <w:spacing w:line="360" w:lineRule="auto"/>
        <w:ind w:right="567"/>
        <w:jc w:val="both"/>
        <w:rPr>
          <w:rFonts w:ascii="Palatino Linotype" w:hAnsi="Palatino Linotype"/>
          <w:lang w:val="es-ES_tradnl"/>
        </w:rPr>
      </w:pPr>
      <w:r>
        <w:rPr>
          <w:rFonts w:ascii="Palatino Linotype" w:hAnsi="Palatino Linotype"/>
          <w:lang w:val="es-ES_tradnl"/>
        </w:rPr>
        <w:t xml:space="preserve">La Certificación con la que cuenta la empresa (o el Encargado del Municipio) y del personal (o personal propio del ayuntamiento) que realiza la ejecución de estas obras </w:t>
      </w:r>
    </w:p>
    <w:p w:rsidR="00DD2F03" w:rsidRDefault="00DD2F03" w:rsidP="00DD2F03">
      <w:pPr>
        <w:pStyle w:val="Prrafodelista"/>
        <w:numPr>
          <w:ilvl w:val="0"/>
          <w:numId w:val="22"/>
        </w:numPr>
        <w:tabs>
          <w:tab w:val="left" w:pos="5647"/>
        </w:tabs>
        <w:spacing w:line="360" w:lineRule="auto"/>
        <w:ind w:right="567"/>
        <w:jc w:val="both"/>
        <w:rPr>
          <w:rFonts w:ascii="Palatino Linotype" w:hAnsi="Palatino Linotype"/>
          <w:lang w:val="es-ES_tradnl"/>
        </w:rPr>
      </w:pPr>
      <w:r>
        <w:rPr>
          <w:rFonts w:ascii="Palatino Linotype" w:hAnsi="Palatino Linotype"/>
          <w:lang w:val="es-ES_tradnl"/>
        </w:rPr>
        <w:t xml:space="preserve">Medio de asignación del contrato, monto y duración, </w:t>
      </w:r>
    </w:p>
    <w:p w:rsidR="00DD2F03" w:rsidRDefault="00DD2F03" w:rsidP="00DD2F03">
      <w:pPr>
        <w:pStyle w:val="Prrafodelista"/>
        <w:numPr>
          <w:ilvl w:val="0"/>
          <w:numId w:val="22"/>
        </w:numPr>
        <w:tabs>
          <w:tab w:val="left" w:pos="5647"/>
        </w:tabs>
        <w:spacing w:line="360" w:lineRule="auto"/>
        <w:ind w:right="567"/>
        <w:jc w:val="both"/>
        <w:rPr>
          <w:rFonts w:ascii="Palatino Linotype" w:hAnsi="Palatino Linotype"/>
          <w:lang w:val="es-ES_tradnl"/>
        </w:rPr>
      </w:pPr>
      <w:r>
        <w:rPr>
          <w:rFonts w:ascii="Palatino Linotype" w:hAnsi="Palatino Linotype"/>
          <w:lang w:val="es-419"/>
        </w:rPr>
        <w:t>Fianza</w:t>
      </w:r>
      <w:r>
        <w:rPr>
          <w:rFonts w:ascii="Palatino Linotype" w:hAnsi="Palatino Linotype"/>
          <w:lang w:val="es-ES_tradnl"/>
        </w:rPr>
        <w:t xml:space="preserve"> de cumplimiento y de calidad otorgada con la vigencia prevista. </w:t>
      </w:r>
    </w:p>
    <w:p w:rsidR="00DD2F03" w:rsidRDefault="00DD2F03" w:rsidP="00DD2F03">
      <w:pPr>
        <w:pStyle w:val="Prrafodelista"/>
        <w:numPr>
          <w:ilvl w:val="0"/>
          <w:numId w:val="22"/>
        </w:numPr>
        <w:tabs>
          <w:tab w:val="left" w:pos="5647"/>
        </w:tabs>
        <w:spacing w:line="360" w:lineRule="auto"/>
        <w:ind w:right="567"/>
        <w:jc w:val="both"/>
        <w:rPr>
          <w:rFonts w:ascii="Palatino Linotype" w:hAnsi="Palatino Linotype"/>
          <w:lang w:val="es-ES_tradnl"/>
        </w:rPr>
      </w:pPr>
      <w:r>
        <w:rPr>
          <w:rFonts w:ascii="Palatino Linotype" w:hAnsi="Palatino Linotype"/>
          <w:lang w:val="es-ES_tradnl"/>
        </w:rPr>
        <w:t>Para el caso de ser por sus propios medios el análisis de P.U</w:t>
      </w:r>
      <w:r>
        <w:rPr>
          <w:rFonts w:ascii="Palatino Linotype" w:hAnsi="Palatino Linotype"/>
          <w:lang w:val="es-419"/>
        </w:rPr>
        <w:t>.</w:t>
      </w:r>
      <w:r>
        <w:rPr>
          <w:rFonts w:ascii="Palatino Linotype" w:hAnsi="Palatino Linotype"/>
          <w:lang w:val="es-ES_tradnl"/>
        </w:rPr>
        <w:t xml:space="preserve"> de estas obras y el presupuesto gastado a la fecha.</w:t>
      </w:r>
    </w:p>
    <w:p w:rsidR="00DD2F03" w:rsidRDefault="00DD2F03" w:rsidP="00DD2F03">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ED4E81" w:rsidRPr="004833BC" w:rsidRDefault="00ED4E81" w:rsidP="00ED4E81">
      <w:pPr>
        <w:tabs>
          <w:tab w:val="left" w:pos="709"/>
        </w:tabs>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lang w:val="es-419"/>
        </w:rPr>
        <w:t>C</w:t>
      </w:r>
      <w:r w:rsidR="001F67F1">
        <w:rPr>
          <w:rFonts w:ascii="Palatino Linotype" w:eastAsia="Arial Unicode MS" w:hAnsi="Palatino Linotype" w:cs="Arial"/>
          <w:sz w:val="24"/>
          <w:szCs w:val="24"/>
          <w:lang w:val="es-419"/>
        </w:rPr>
        <w:t xml:space="preserve">omo podemos apreciar el recurrente </w:t>
      </w:r>
      <w:r>
        <w:rPr>
          <w:rFonts w:ascii="Palatino Linotype" w:eastAsia="Arial Unicode MS" w:hAnsi="Palatino Linotype" w:cs="Arial"/>
          <w:sz w:val="24"/>
          <w:szCs w:val="24"/>
          <w:lang w:val="es-419"/>
        </w:rPr>
        <w:t>no se inconforma de la respuesta o de las documentales proporcionadas, b</w:t>
      </w:r>
      <w:r w:rsidRPr="00CE76FA">
        <w:rPr>
          <w:rFonts w:ascii="Palatino Linotype" w:hAnsi="Palatino Linotype"/>
          <w:sz w:val="24"/>
          <w:szCs w:val="24"/>
        </w:rPr>
        <w:t>ajo estas líneas argumentativas, la parte de la solicitud sobre la que no se expresó inconformidad</w:t>
      </w:r>
      <w:r w:rsidRPr="004833BC">
        <w:rPr>
          <w:rFonts w:ascii="Palatino Linotype" w:hAnsi="Palatino Linotype" w:cs="Arial"/>
          <w:sz w:val="24"/>
          <w:szCs w:val="24"/>
          <w:lang w:eastAsia="es-MX"/>
        </w:rPr>
        <w:t xml:space="preserve">, debe declararse </w:t>
      </w:r>
      <w:r w:rsidRPr="00456B9A">
        <w:rPr>
          <w:rFonts w:ascii="Palatino Linotype" w:hAnsi="Palatino Linotype" w:cs="Arial"/>
          <w:b/>
          <w:sz w:val="24"/>
          <w:szCs w:val="24"/>
          <w:lang w:eastAsia="es-MX"/>
        </w:rPr>
        <w:t>consentida</w:t>
      </w:r>
      <w:r w:rsidRPr="004833BC">
        <w:rPr>
          <w:rFonts w:ascii="Palatino Linotype" w:hAnsi="Palatino Linotype" w:cs="Arial"/>
          <w:sz w:val="24"/>
          <w:szCs w:val="24"/>
          <w:lang w:eastAsia="es-MX"/>
        </w:rPr>
        <w:t xml:space="preserve"> por la</w:t>
      </w:r>
      <w:r>
        <w:rPr>
          <w:rFonts w:ascii="Palatino Linotype" w:hAnsi="Palatino Linotype" w:cs="Arial"/>
          <w:sz w:val="24"/>
          <w:szCs w:val="24"/>
          <w:lang w:val="es-419" w:eastAsia="es-MX"/>
        </w:rPr>
        <w:t xml:space="preserve"> parte</w:t>
      </w:r>
      <w:r w:rsidRPr="004833BC">
        <w:rPr>
          <w:rFonts w:ascii="Palatino Linotype" w:hAnsi="Palatino Linotype" w:cs="Arial"/>
          <w:sz w:val="24"/>
          <w:szCs w:val="24"/>
          <w:lang w:eastAsia="es-MX"/>
        </w:rPr>
        <w:t xml:space="preserve">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4833BC">
        <w:rPr>
          <w:rFonts w:ascii="Palatino Linotype" w:hAnsi="Palatino Linotype" w:cs="Arial"/>
          <w:b/>
          <w:bCs/>
          <w:sz w:val="24"/>
          <w:szCs w:val="24"/>
          <w:lang w:eastAsia="es-MX"/>
        </w:rPr>
        <w:t>La</w:t>
      </w:r>
      <w:r w:rsidRPr="004833BC">
        <w:rPr>
          <w:rFonts w:ascii="Palatino Linotype" w:hAnsi="Palatino Linotype" w:cs="Arial"/>
          <w:sz w:val="24"/>
          <w:szCs w:val="24"/>
          <w:lang w:eastAsia="es-MX"/>
        </w:rPr>
        <w:t xml:space="preserve">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ante la falta de impugnación eficaz. </w:t>
      </w:r>
      <w:r w:rsidRPr="004833BC">
        <w:rPr>
          <w:rFonts w:ascii="Palatino Linotype" w:hAnsi="Palatino Linotype" w:cs="Arial"/>
          <w:sz w:val="24"/>
          <w:szCs w:val="24"/>
        </w:rPr>
        <w:t xml:space="preserve">Sirve de sustento a lo anterior, por analogía, la tesis jurisprudencial, que a la letra dice: </w:t>
      </w:r>
    </w:p>
    <w:p w:rsidR="00ED4E81" w:rsidRDefault="00ED4E81" w:rsidP="00ED4E81">
      <w:pPr>
        <w:pStyle w:val="Prrafodelista"/>
        <w:spacing w:line="360" w:lineRule="auto"/>
        <w:ind w:left="851" w:right="851"/>
        <w:jc w:val="both"/>
        <w:rPr>
          <w:rFonts w:ascii="Palatino Linotype" w:hAnsi="Palatino Linotype"/>
          <w:i/>
        </w:rPr>
      </w:pP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“Época: Novena</w:t>
      </w: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Registro: 176608</w:t>
      </w: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Tipo de tesis: Jurisprudencia</w:t>
      </w: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Fuente: Semanario Judicial de la Federación y su Gaceta</w:t>
      </w: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Diciembre de 2005, Tomo XXII</w:t>
      </w: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Materia (s): Común</w:t>
      </w: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Tesis: VI. 3o.C. J/60</w:t>
      </w:r>
    </w:p>
    <w:p w:rsidR="00ED4E81" w:rsidRPr="004833BC" w:rsidRDefault="00ED4E81" w:rsidP="00ED4E81">
      <w:pPr>
        <w:pStyle w:val="Prrafodelista"/>
        <w:spacing w:line="360" w:lineRule="auto"/>
        <w:ind w:left="851" w:right="851"/>
        <w:jc w:val="both"/>
        <w:rPr>
          <w:rFonts w:ascii="Palatino Linotype" w:hAnsi="Palatino Linotype"/>
          <w:i/>
        </w:rPr>
      </w:pPr>
      <w:r w:rsidRPr="004833BC">
        <w:rPr>
          <w:rFonts w:ascii="Palatino Linotype" w:hAnsi="Palatino Linotype"/>
          <w:i/>
        </w:rPr>
        <w:t>Página: 2365</w:t>
      </w:r>
    </w:p>
    <w:p w:rsidR="00ED4E81" w:rsidRPr="004833BC" w:rsidRDefault="00ED4E81" w:rsidP="00ED4E81">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 xml:space="preserve"> </w:t>
      </w:r>
      <w:r w:rsidRPr="004833BC">
        <w:rPr>
          <w:rFonts w:ascii="Palatino Linotype" w:hAnsi="Palatino Linotype" w:cs="Arial"/>
          <w:b/>
          <w:i/>
          <w:sz w:val="24"/>
          <w:szCs w:val="24"/>
          <w:lang w:eastAsia="es-MX"/>
        </w:rPr>
        <w:t>ACTOS CONSENTIDOS. SON LOS QUE NO SE IMPUGNAN MEDIANTE EL RECURSO IDÓNEO</w:t>
      </w:r>
      <w:r w:rsidRPr="004833BC">
        <w:rPr>
          <w:rFonts w:ascii="Palatino Linotype" w:hAnsi="Palatino Linotype" w:cs="Arial"/>
          <w:i/>
          <w:sz w:val="24"/>
          <w:szCs w:val="24"/>
          <w:lang w:eastAsia="es-MX"/>
        </w:rPr>
        <w:t xml:space="preserve">. </w:t>
      </w:r>
    </w:p>
    <w:p w:rsidR="00ED4E81" w:rsidRPr="004833BC" w:rsidRDefault="00ED4E81" w:rsidP="00ED4E81">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4833BC">
        <w:rPr>
          <w:rFonts w:ascii="Palatino Linotype" w:hAnsi="Palatino Linotype" w:cs="Arial"/>
          <w:i/>
          <w:sz w:val="24"/>
          <w:szCs w:val="24"/>
          <w:lang w:eastAsia="es-MX"/>
        </w:rPr>
        <w:lastRenderedPageBreak/>
        <w:t>reclamado en amparo, lo que significa consentimiento del mismo por falta de impugnación eficaz.</w:t>
      </w:r>
    </w:p>
    <w:p w:rsidR="00ED4E81" w:rsidRPr="004833BC" w:rsidRDefault="00ED4E81" w:rsidP="00ED4E81">
      <w:pPr>
        <w:spacing w:after="0" w:line="360" w:lineRule="auto"/>
        <w:ind w:left="851" w:right="851"/>
        <w:jc w:val="both"/>
        <w:rPr>
          <w:rFonts w:ascii="Palatino Linotype" w:eastAsia="Times New Roman" w:hAnsi="Palatino Linotype" w:cs="Calibri"/>
          <w:i/>
          <w:color w:val="000000"/>
          <w:sz w:val="24"/>
          <w:szCs w:val="24"/>
          <w:lang w:eastAsia="es-MX"/>
        </w:rPr>
      </w:pPr>
      <w:r w:rsidRPr="004833BC">
        <w:rPr>
          <w:rFonts w:ascii="Palatino Linotype" w:eastAsia="Times New Roman" w:hAnsi="Palatino Linotype" w:cs="Calibri"/>
          <w:i/>
          <w:color w:val="000000"/>
          <w:sz w:val="24"/>
          <w:szCs w:val="24"/>
          <w:lang w:eastAsia="es-MX"/>
        </w:rPr>
        <w:t>TERCER TRIBUNAL COLEGIADO EN MATERIA CIVIL DEL SEXTO CIRCUITO.</w:t>
      </w:r>
    </w:p>
    <w:p w:rsidR="00ED4E81" w:rsidRPr="004833BC" w:rsidRDefault="00ED4E81" w:rsidP="00ED4E81">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rsidR="00ED4E81" w:rsidRPr="004833BC" w:rsidRDefault="00ED4E81" w:rsidP="00ED4E81">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393/90. Amparo Naylor Hernández y otros. 6 de diciembre de 1990. Unanimidad de votos. Ponente: Juan Manuel Brito Velázquez. Secretaria: María Dolores Olarte Ruvalcaba.</w:t>
      </w:r>
    </w:p>
    <w:p w:rsidR="00ED4E81" w:rsidRPr="004833BC" w:rsidRDefault="00ED4E81" w:rsidP="00ED4E81">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rsidR="00ED4E81" w:rsidRPr="004833BC" w:rsidRDefault="00ED4E81" w:rsidP="00ED4E81">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directo 366/2005. Virginia Quixihuitl Burgos y otra. 14 de octubre de 2005. Unanimidad de votos. Ponente: Norma Fiallega Sánchez. Secretario: Horacio Óscar Rosete Mentado.</w:t>
      </w:r>
    </w:p>
    <w:p w:rsidR="00ED4E81" w:rsidRPr="004833BC" w:rsidRDefault="00ED4E81" w:rsidP="00ED4E81">
      <w:pPr>
        <w:spacing w:after="0" w:line="360" w:lineRule="auto"/>
        <w:ind w:left="851" w:right="851"/>
        <w:jc w:val="both"/>
        <w:rPr>
          <w:rFonts w:ascii="Palatino Linotype" w:eastAsia="Times New Roman" w:hAnsi="Palatino Linotype" w:cs="Calibri"/>
          <w:b/>
          <w:i/>
          <w:color w:val="444444"/>
          <w:sz w:val="24"/>
          <w:szCs w:val="24"/>
          <w:lang w:eastAsia="es-MX"/>
        </w:rPr>
      </w:pPr>
      <w:r w:rsidRPr="004833BC">
        <w:rPr>
          <w:rFonts w:ascii="Palatino Linotype" w:eastAsia="Times New Roman"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Isselín Talavera.” </w:t>
      </w:r>
      <w:r w:rsidRPr="004833BC">
        <w:rPr>
          <w:rFonts w:ascii="Palatino Linotype" w:eastAsia="Times New Roman" w:hAnsi="Palatino Linotype" w:cs="Calibri"/>
          <w:b/>
          <w:i/>
          <w:color w:val="444444"/>
          <w:sz w:val="24"/>
          <w:szCs w:val="24"/>
          <w:lang w:eastAsia="es-MX"/>
        </w:rPr>
        <w:t>[Sic]</w:t>
      </w:r>
    </w:p>
    <w:p w:rsidR="00ED4E81" w:rsidRPr="00CF5A6C" w:rsidRDefault="00ED4E81" w:rsidP="00ED4E81">
      <w:pPr>
        <w:spacing w:after="0" w:line="360" w:lineRule="auto"/>
        <w:jc w:val="both"/>
        <w:rPr>
          <w:rFonts w:ascii="Palatino Linotype" w:hAnsi="Palatino Linotype" w:cs="Arial"/>
          <w:noProof/>
          <w:color w:val="000000"/>
          <w:sz w:val="24"/>
          <w:szCs w:val="24"/>
          <w:lang w:eastAsia="es-MX"/>
        </w:rPr>
      </w:pPr>
    </w:p>
    <w:p w:rsidR="00ED4E81" w:rsidRDefault="00ED4E81" w:rsidP="00ED4E81">
      <w:pPr>
        <w:spacing w:after="0" w:line="360" w:lineRule="auto"/>
        <w:jc w:val="both"/>
        <w:rPr>
          <w:rFonts w:ascii="Palatino Linotype" w:hAnsi="Palatino Linotype" w:cs="Arial"/>
          <w:noProof/>
          <w:color w:val="000000"/>
          <w:sz w:val="24"/>
          <w:szCs w:val="24"/>
          <w:lang w:eastAsia="es-MX"/>
        </w:rPr>
      </w:pPr>
      <w:r w:rsidRPr="00CF5A6C">
        <w:rPr>
          <w:rFonts w:ascii="Palatino Linotype" w:hAnsi="Palatino Linotype" w:cs="Arial"/>
          <w:noProof/>
          <w:color w:val="000000"/>
          <w:sz w:val="24"/>
          <w:szCs w:val="24"/>
          <w:lang w:eastAsia="es-MX"/>
        </w:rPr>
        <w:t xml:space="preserve">De forma complementaria, robustece lo anterior el criterio </w:t>
      </w:r>
      <w:r w:rsidRPr="00CF5A6C">
        <w:rPr>
          <w:rFonts w:ascii="Palatino Linotype" w:hAnsi="Palatino Linotype" w:cs="Arial"/>
          <w:b/>
          <w:bCs/>
          <w:noProof/>
          <w:color w:val="000000"/>
          <w:sz w:val="24"/>
          <w:szCs w:val="24"/>
          <w:lang w:eastAsia="es-MX"/>
        </w:rPr>
        <w:t xml:space="preserve">01/20 </w:t>
      </w:r>
      <w:r w:rsidRPr="00CF5A6C">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rsidR="00ED4E81" w:rsidRPr="00CF5A6C" w:rsidRDefault="00ED4E81" w:rsidP="00ED4E81">
      <w:pPr>
        <w:spacing w:after="0" w:line="360" w:lineRule="auto"/>
        <w:jc w:val="both"/>
        <w:rPr>
          <w:rFonts w:ascii="Palatino Linotype" w:hAnsi="Palatino Linotype" w:cs="Arial"/>
          <w:noProof/>
          <w:color w:val="000000"/>
          <w:sz w:val="24"/>
          <w:szCs w:val="24"/>
          <w:lang w:eastAsia="es-MX"/>
        </w:rPr>
      </w:pPr>
    </w:p>
    <w:p w:rsidR="00ED4E81" w:rsidRPr="00CF5A6C" w:rsidRDefault="00ED4E81" w:rsidP="00ED4E81">
      <w:pPr>
        <w:pStyle w:val="Citas"/>
        <w:spacing w:before="0" w:after="0"/>
        <w:rPr>
          <w:b/>
          <w:sz w:val="24"/>
          <w:szCs w:val="24"/>
        </w:rPr>
      </w:pPr>
      <w:r w:rsidRPr="00CF5A6C">
        <w:rPr>
          <w:b/>
          <w:sz w:val="24"/>
          <w:szCs w:val="24"/>
        </w:rPr>
        <w:lastRenderedPageBreak/>
        <w:t xml:space="preserve">“ACTOS CONSENTIDOS TÁCITAMENTE. IMPROCEDENCIA DE SU ANÁLISIS. </w:t>
      </w:r>
    </w:p>
    <w:p w:rsidR="00ED4E81" w:rsidRPr="00CF5A6C" w:rsidRDefault="00ED4E81" w:rsidP="00ED4E81">
      <w:pPr>
        <w:pStyle w:val="Citas"/>
        <w:spacing w:before="0" w:after="0"/>
        <w:rPr>
          <w:strike/>
          <w:sz w:val="24"/>
          <w:szCs w:val="24"/>
        </w:rPr>
      </w:pPr>
      <w:r w:rsidRPr="00CF5A6C">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ED4E81" w:rsidRPr="00CF5A6C" w:rsidRDefault="00ED4E81" w:rsidP="00ED4E81">
      <w:pPr>
        <w:pStyle w:val="Citas"/>
        <w:spacing w:before="0" w:after="0"/>
        <w:rPr>
          <w:b/>
          <w:bCs/>
          <w:sz w:val="24"/>
          <w:szCs w:val="24"/>
        </w:rPr>
      </w:pPr>
      <w:r w:rsidRPr="00CF5A6C">
        <w:rPr>
          <w:b/>
          <w:bCs/>
          <w:sz w:val="24"/>
          <w:szCs w:val="24"/>
        </w:rPr>
        <w:t>Resoluciones:</w:t>
      </w:r>
    </w:p>
    <w:p w:rsidR="00ED4E81" w:rsidRPr="00CF5A6C" w:rsidRDefault="00ED4E81" w:rsidP="00ED4E81">
      <w:pPr>
        <w:pStyle w:val="Citas"/>
        <w:spacing w:before="0" w:after="0"/>
        <w:rPr>
          <w:sz w:val="24"/>
          <w:szCs w:val="24"/>
        </w:rPr>
      </w:pPr>
      <w:r w:rsidRPr="00CF5A6C">
        <w:rPr>
          <w:b/>
          <w:sz w:val="24"/>
          <w:szCs w:val="24"/>
        </w:rPr>
        <w:t xml:space="preserve">RRA 4548/18. </w:t>
      </w:r>
      <w:r w:rsidRPr="00CF5A6C">
        <w:rPr>
          <w:sz w:val="24"/>
          <w:szCs w:val="24"/>
        </w:rPr>
        <w:t>Instituto de Seguridad y Servicios Sociales de los Trabajadores del Estado. 12 de septiembre de 2018. Por unanimidad. Comisionado Ponente Oscar Mauricio Guerra Ford.</w:t>
      </w:r>
    </w:p>
    <w:p w:rsidR="00ED4E81" w:rsidRPr="00CF5A6C" w:rsidRDefault="00ED4E81" w:rsidP="00ED4E81">
      <w:pPr>
        <w:pStyle w:val="Citas"/>
        <w:spacing w:before="0" w:after="0"/>
        <w:rPr>
          <w:sz w:val="24"/>
          <w:szCs w:val="24"/>
        </w:rPr>
      </w:pPr>
      <w:r w:rsidRPr="00CF5A6C">
        <w:rPr>
          <w:sz w:val="24"/>
          <w:szCs w:val="24"/>
        </w:rPr>
        <w:t>http://consultas.ifai.org.mx/descargar.php?r=./pdf/resoluciones/2018/&amp;a=RRA%204548.pdf</w:t>
      </w:r>
    </w:p>
    <w:p w:rsidR="00ED4E81" w:rsidRPr="00CF5A6C" w:rsidRDefault="00ED4E81" w:rsidP="00ED4E81">
      <w:pPr>
        <w:pStyle w:val="Citas"/>
        <w:spacing w:before="0" w:after="0"/>
        <w:rPr>
          <w:b/>
          <w:sz w:val="24"/>
          <w:szCs w:val="24"/>
        </w:rPr>
      </w:pPr>
      <w:r w:rsidRPr="00CF5A6C">
        <w:rPr>
          <w:b/>
          <w:sz w:val="24"/>
          <w:szCs w:val="24"/>
        </w:rPr>
        <w:t xml:space="preserve">RRA 5097/18. </w:t>
      </w:r>
      <w:r w:rsidRPr="00CF5A6C">
        <w:rPr>
          <w:sz w:val="24"/>
          <w:szCs w:val="24"/>
        </w:rPr>
        <w:t>Secretaría de Hacienda y Crédito Público. 05 de septiembre de 2018. Por unanimidad. Comisionado Ponente Joel Salas Suárez.</w:t>
      </w:r>
    </w:p>
    <w:p w:rsidR="00ED4E81" w:rsidRPr="00CF5A6C" w:rsidRDefault="00ED4E81" w:rsidP="00ED4E81">
      <w:pPr>
        <w:pStyle w:val="Citas"/>
        <w:spacing w:before="0" w:after="0"/>
        <w:rPr>
          <w:sz w:val="24"/>
          <w:szCs w:val="24"/>
        </w:rPr>
      </w:pPr>
      <w:r w:rsidRPr="00CF5A6C">
        <w:rPr>
          <w:sz w:val="24"/>
          <w:szCs w:val="24"/>
        </w:rPr>
        <w:t>http://consultas.ifai.org.mx/descargar.php?r=./pdf/resoluciones/2018/&amp;a=RRA%205097.pdf</w:t>
      </w:r>
    </w:p>
    <w:p w:rsidR="00ED4E81" w:rsidRPr="00CF5A6C" w:rsidRDefault="00ED4E81" w:rsidP="00ED4E81">
      <w:pPr>
        <w:pStyle w:val="Citas"/>
        <w:spacing w:before="0" w:after="0"/>
        <w:rPr>
          <w:b/>
          <w:sz w:val="24"/>
          <w:szCs w:val="24"/>
        </w:rPr>
      </w:pPr>
      <w:r w:rsidRPr="00CF5A6C">
        <w:rPr>
          <w:b/>
          <w:sz w:val="24"/>
          <w:szCs w:val="24"/>
        </w:rPr>
        <w:t xml:space="preserve">RRA 14270/19. </w:t>
      </w:r>
      <w:r w:rsidRPr="00CF5A6C">
        <w:rPr>
          <w:sz w:val="24"/>
          <w:szCs w:val="24"/>
        </w:rPr>
        <w:t>Registro Agrario Nacional. 22 de enero de 2020. Por unanimidad. Comisionado Ponente Francisco Javier Acuña Llamas.</w:t>
      </w:r>
    </w:p>
    <w:p w:rsidR="00ED4E81" w:rsidRPr="003D6087" w:rsidRDefault="00ED4E81" w:rsidP="00ED4E81">
      <w:pPr>
        <w:pStyle w:val="Citas"/>
        <w:spacing w:before="0" w:after="0"/>
        <w:rPr>
          <w:sz w:val="24"/>
          <w:szCs w:val="24"/>
          <w:lang w:val="en-US"/>
        </w:rPr>
      </w:pPr>
      <w:r w:rsidRPr="00CF78A1">
        <w:rPr>
          <w:sz w:val="24"/>
          <w:szCs w:val="24"/>
          <w:lang w:val="en-US"/>
        </w:rPr>
        <w:t>http://consultas.ifai.org.mx/descargar.php?r=./pdf/resoluciones/2019/&amp;a=RRA%2014270.pdf</w:t>
      </w:r>
      <w:r w:rsidRPr="00673FAD">
        <w:rPr>
          <w:sz w:val="24"/>
          <w:szCs w:val="24"/>
          <w:lang w:val="en-US"/>
        </w:rPr>
        <w:t xml:space="preserve"> </w:t>
      </w:r>
      <w:r w:rsidRPr="003D6087">
        <w:rPr>
          <w:sz w:val="24"/>
          <w:szCs w:val="24"/>
          <w:lang w:val="en-US"/>
        </w:rPr>
        <w:t xml:space="preserve">[Sic] </w:t>
      </w:r>
    </w:p>
    <w:p w:rsidR="00211281" w:rsidRPr="00211281" w:rsidRDefault="00211281"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both"/>
        <w:rPr>
          <w:rFonts w:ascii="Palatino Linotype" w:hAnsi="Palatino Linotype" w:cs="Arial"/>
          <w:sz w:val="24"/>
          <w:szCs w:val="24"/>
        </w:rPr>
      </w:pPr>
      <w:r w:rsidRPr="00211281">
        <w:rPr>
          <w:rFonts w:ascii="Palatino Linotype" w:eastAsia="MS Mincho" w:hAnsi="Palatino Linotype" w:cs="Arial"/>
          <w:sz w:val="24"/>
          <w:szCs w:val="24"/>
        </w:rPr>
        <w:t>Así, en mérito</w:t>
      </w:r>
      <w:r w:rsidRPr="00211281">
        <w:rPr>
          <w:rFonts w:ascii="Palatino Linotype" w:eastAsia="Calibri" w:hAnsi="Palatino Linotype" w:cs="Arial"/>
          <w:sz w:val="24"/>
          <w:szCs w:val="24"/>
        </w:rPr>
        <w:t xml:space="preserve"> de lo expuesto en líneas anteriores </w:t>
      </w:r>
      <w:r w:rsidRPr="00211281">
        <w:rPr>
          <w:rFonts w:ascii="Palatino Linotype" w:eastAsia="Calibri" w:hAnsi="Palatino Linotype"/>
          <w:noProof/>
          <w:sz w:val="24"/>
          <w:szCs w:val="24"/>
        </w:rPr>
        <w:t xml:space="preserve">resultan </w:t>
      </w:r>
      <w:r w:rsidRPr="00211281">
        <w:rPr>
          <w:rFonts w:ascii="Palatino Linotype" w:eastAsia="Calibri" w:hAnsi="Palatino Linotype"/>
          <w:b/>
          <w:i/>
          <w:noProof/>
          <w:sz w:val="24"/>
          <w:szCs w:val="24"/>
        </w:rPr>
        <w:t xml:space="preserve">infundadas </w:t>
      </w:r>
      <w:r w:rsidRPr="00211281">
        <w:rPr>
          <w:rFonts w:ascii="Palatino Linotype" w:eastAsia="Calibri" w:hAnsi="Palatino Linotype"/>
          <w:noProof/>
          <w:sz w:val="24"/>
          <w:szCs w:val="24"/>
        </w:rPr>
        <w:t xml:space="preserve">las razones o motivos de inconformidad que arguye </w:t>
      </w:r>
      <w:r>
        <w:rPr>
          <w:rFonts w:ascii="Palatino Linotype" w:eastAsia="Calibri" w:hAnsi="Palatino Linotype"/>
          <w:noProof/>
          <w:sz w:val="24"/>
          <w:szCs w:val="24"/>
          <w:lang w:val="es-419"/>
        </w:rPr>
        <w:t>la parte</w:t>
      </w:r>
      <w:r w:rsidRPr="00211281">
        <w:rPr>
          <w:rFonts w:ascii="Palatino Linotype" w:eastAsia="Calibri" w:hAnsi="Palatino Linotype"/>
          <w:noProof/>
          <w:sz w:val="24"/>
          <w:szCs w:val="24"/>
        </w:rPr>
        <w:t xml:space="preserve"> </w:t>
      </w:r>
      <w:r w:rsidRPr="00211281">
        <w:rPr>
          <w:rFonts w:ascii="Palatino Linotype" w:eastAsia="Calibri" w:hAnsi="Palatino Linotype"/>
          <w:b/>
          <w:noProof/>
          <w:sz w:val="24"/>
          <w:szCs w:val="24"/>
        </w:rPr>
        <w:t>Recurrente</w:t>
      </w:r>
      <w:r w:rsidRPr="00211281">
        <w:rPr>
          <w:rFonts w:ascii="Palatino Linotype" w:eastAsia="Calibri" w:hAnsi="Palatino Linotype"/>
          <w:noProof/>
          <w:sz w:val="24"/>
          <w:szCs w:val="24"/>
        </w:rPr>
        <w:t xml:space="preserve">, </w:t>
      </w:r>
      <w:r w:rsidRPr="00211281">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211281">
        <w:rPr>
          <w:rFonts w:ascii="Palatino Linotype" w:eastAsia="Calibri" w:hAnsi="Palatino Linotype" w:cs="Arial"/>
          <w:b/>
          <w:sz w:val="24"/>
          <w:szCs w:val="24"/>
        </w:rPr>
        <w:t>CONFIRMA</w:t>
      </w:r>
      <w:r w:rsidRPr="00211281">
        <w:rPr>
          <w:rFonts w:ascii="Palatino Linotype" w:eastAsia="Calibri" w:hAnsi="Palatino Linotype" w:cs="Arial"/>
          <w:sz w:val="24"/>
          <w:szCs w:val="24"/>
        </w:rPr>
        <w:t xml:space="preserve"> la respuesta a la solicitud de </w:t>
      </w:r>
      <w:r w:rsidRPr="00211281">
        <w:rPr>
          <w:rFonts w:ascii="Palatino Linotype" w:eastAsia="Calibri" w:hAnsi="Palatino Linotype" w:cs="Arial"/>
          <w:sz w:val="24"/>
          <w:szCs w:val="24"/>
        </w:rPr>
        <w:lastRenderedPageBreak/>
        <w:t xml:space="preserve">información pública número: </w:t>
      </w:r>
      <w:r>
        <w:rPr>
          <w:rFonts w:ascii="Palatino Linotype" w:hAnsi="Palatino Linotype" w:cs="Arial"/>
          <w:b/>
          <w:sz w:val="24"/>
          <w:szCs w:val="24"/>
          <w:lang w:val="es-419"/>
        </w:rPr>
        <w:t>01563</w:t>
      </w:r>
      <w:r w:rsidRPr="00211281">
        <w:rPr>
          <w:rFonts w:ascii="Palatino Linotype" w:hAnsi="Palatino Linotype" w:cs="Arial"/>
          <w:b/>
          <w:sz w:val="24"/>
          <w:szCs w:val="24"/>
        </w:rPr>
        <w:t>/</w:t>
      </w:r>
      <w:r>
        <w:rPr>
          <w:rFonts w:ascii="Palatino Linotype" w:hAnsi="Palatino Linotype" w:cs="Arial"/>
          <w:b/>
          <w:sz w:val="24"/>
          <w:szCs w:val="24"/>
          <w:lang w:val="es-419"/>
        </w:rPr>
        <w:t>TOLUCA</w:t>
      </w:r>
      <w:r w:rsidRPr="00211281">
        <w:rPr>
          <w:rFonts w:ascii="Palatino Linotype" w:hAnsi="Palatino Linotype" w:cs="Arial"/>
          <w:b/>
          <w:sz w:val="24"/>
          <w:szCs w:val="24"/>
        </w:rPr>
        <w:t>/IP/2022</w:t>
      </w:r>
      <w:r w:rsidRPr="00211281">
        <w:rPr>
          <w:rFonts w:ascii="Palatino Linotype" w:eastAsia="Calibri" w:hAnsi="Palatino Linotype" w:cs="Arial"/>
          <w:sz w:val="24"/>
          <w:szCs w:val="24"/>
        </w:rPr>
        <w:t xml:space="preserve">; </w:t>
      </w:r>
      <w:r w:rsidRPr="00211281">
        <w:rPr>
          <w:rFonts w:ascii="Palatino Linotype" w:eastAsia="Calibri" w:hAnsi="Palatino Linotype"/>
          <w:sz w:val="24"/>
          <w:szCs w:val="24"/>
        </w:rPr>
        <w:t>que ha sido materia del presente fallo, p</w:t>
      </w:r>
      <w:r w:rsidRPr="00211281">
        <w:rPr>
          <w:rFonts w:ascii="Palatino Linotype" w:hAnsi="Palatino Linotype" w:cs="Arial"/>
          <w:sz w:val="24"/>
          <w:szCs w:val="24"/>
        </w:rPr>
        <w:t>or lo antes expuesto y fundado es de resolverse y;</w:t>
      </w:r>
    </w:p>
    <w:p w:rsidR="00211281" w:rsidRPr="00211281" w:rsidRDefault="00211281"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center"/>
        <w:rPr>
          <w:rFonts w:ascii="Palatino Linotype" w:hAnsi="Palatino Linotype"/>
          <w:b/>
          <w:bCs/>
          <w:spacing w:val="60"/>
          <w:sz w:val="24"/>
          <w:szCs w:val="24"/>
          <w:lang w:val="es-ES_tradnl"/>
        </w:rPr>
      </w:pPr>
      <w:r w:rsidRPr="00211281">
        <w:rPr>
          <w:rFonts w:ascii="Palatino Linotype" w:hAnsi="Palatino Linotype"/>
          <w:b/>
          <w:bCs/>
          <w:spacing w:val="60"/>
          <w:sz w:val="24"/>
          <w:szCs w:val="24"/>
          <w:lang w:val="es-ES_tradnl"/>
        </w:rPr>
        <w:t>SE    RESUELVE</w:t>
      </w:r>
    </w:p>
    <w:p w:rsidR="00211281" w:rsidRPr="00211281" w:rsidRDefault="00211281"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both"/>
        <w:rPr>
          <w:rFonts w:ascii="Palatino Linotype" w:hAnsi="Palatino Linotype" w:cs="Arial"/>
          <w:b/>
          <w:sz w:val="24"/>
          <w:szCs w:val="24"/>
        </w:rPr>
      </w:pPr>
      <w:r w:rsidRPr="00211281">
        <w:rPr>
          <w:rFonts w:ascii="Palatino Linotype" w:eastAsia="Calibri" w:hAnsi="Palatino Linotype" w:cs="Arial"/>
          <w:b/>
          <w:sz w:val="24"/>
          <w:szCs w:val="24"/>
          <w:lang w:val="es-ES_tradnl"/>
        </w:rPr>
        <w:t>PRIMERO.</w:t>
      </w:r>
      <w:r w:rsidRPr="00211281">
        <w:rPr>
          <w:rFonts w:ascii="Palatino Linotype" w:eastAsia="Calibri" w:hAnsi="Palatino Linotype" w:cs="Arial"/>
          <w:sz w:val="24"/>
          <w:szCs w:val="24"/>
        </w:rPr>
        <w:t xml:space="preserve"> </w:t>
      </w:r>
      <w:r w:rsidRPr="00211281">
        <w:rPr>
          <w:rFonts w:ascii="Palatino Linotype" w:hAnsi="Palatino Linotype" w:cs="Arial"/>
          <w:sz w:val="24"/>
          <w:szCs w:val="24"/>
        </w:rPr>
        <w:t xml:space="preserve">Se </w:t>
      </w:r>
      <w:r w:rsidRPr="00211281">
        <w:rPr>
          <w:rFonts w:ascii="Palatino Linotype" w:hAnsi="Palatino Linotype" w:cs="Arial"/>
          <w:b/>
          <w:sz w:val="24"/>
          <w:szCs w:val="24"/>
        </w:rPr>
        <w:t>CONFIRMA</w:t>
      </w:r>
      <w:r w:rsidRPr="00211281">
        <w:rPr>
          <w:rFonts w:ascii="Palatino Linotype" w:hAnsi="Palatino Linotype" w:cs="Arial"/>
          <w:sz w:val="24"/>
          <w:szCs w:val="24"/>
        </w:rPr>
        <w:t xml:space="preserve"> la respuesta a la solicitud de información: </w:t>
      </w:r>
      <w:r w:rsidR="00B43EB8">
        <w:rPr>
          <w:rFonts w:ascii="Palatino Linotype" w:hAnsi="Palatino Linotype" w:cs="Arial"/>
          <w:b/>
          <w:sz w:val="24"/>
          <w:szCs w:val="24"/>
          <w:lang w:val="es-419"/>
        </w:rPr>
        <w:t>01563</w:t>
      </w:r>
      <w:r w:rsidR="00B43EB8" w:rsidRPr="00211281">
        <w:rPr>
          <w:rFonts w:ascii="Palatino Linotype" w:hAnsi="Palatino Linotype" w:cs="Arial"/>
          <w:b/>
          <w:sz w:val="24"/>
          <w:szCs w:val="24"/>
        </w:rPr>
        <w:t>/</w:t>
      </w:r>
      <w:r w:rsidR="00B43EB8">
        <w:rPr>
          <w:rFonts w:ascii="Palatino Linotype" w:hAnsi="Palatino Linotype" w:cs="Arial"/>
          <w:b/>
          <w:sz w:val="24"/>
          <w:szCs w:val="24"/>
          <w:lang w:val="es-419"/>
        </w:rPr>
        <w:t>TOLUCA</w:t>
      </w:r>
      <w:r w:rsidR="00B43EB8" w:rsidRPr="00211281">
        <w:rPr>
          <w:rFonts w:ascii="Palatino Linotype" w:hAnsi="Palatino Linotype" w:cs="Arial"/>
          <w:b/>
          <w:sz w:val="24"/>
          <w:szCs w:val="24"/>
        </w:rPr>
        <w:t>/IP/2022</w:t>
      </w:r>
      <w:r w:rsidRPr="00211281">
        <w:rPr>
          <w:rFonts w:ascii="Palatino Linotype" w:eastAsia="Calibri" w:hAnsi="Palatino Linotype" w:cs="Arial"/>
          <w:sz w:val="24"/>
          <w:szCs w:val="24"/>
        </w:rPr>
        <w:t xml:space="preserve">, recaída en </w:t>
      </w:r>
      <w:r w:rsidR="00B43EB8">
        <w:rPr>
          <w:rFonts w:ascii="Palatino Linotype" w:eastAsia="Calibri" w:hAnsi="Palatino Linotype" w:cs="Arial"/>
          <w:sz w:val="24"/>
          <w:szCs w:val="24"/>
          <w:lang w:val="es-419"/>
        </w:rPr>
        <w:t>e</w:t>
      </w:r>
      <w:r w:rsidRPr="00211281">
        <w:rPr>
          <w:rFonts w:ascii="Palatino Linotype" w:eastAsia="Calibri" w:hAnsi="Palatino Linotype" w:cs="Arial"/>
          <w:sz w:val="24"/>
          <w:szCs w:val="24"/>
        </w:rPr>
        <w:t>l</w:t>
      </w:r>
      <w:r w:rsidRPr="00211281">
        <w:rPr>
          <w:rFonts w:ascii="Palatino Linotype" w:hAnsi="Palatino Linotype" w:cs="Arial"/>
          <w:sz w:val="24"/>
          <w:szCs w:val="24"/>
        </w:rPr>
        <w:t xml:space="preserve"> recurso de revisión </w:t>
      </w:r>
      <w:r w:rsidR="00B43EB8">
        <w:rPr>
          <w:rFonts w:ascii="Palatino Linotype" w:hAnsi="Palatino Linotype" w:cs="Arial"/>
          <w:b/>
          <w:bCs/>
          <w:sz w:val="24"/>
          <w:szCs w:val="24"/>
          <w:lang w:val="es-419"/>
        </w:rPr>
        <w:t>13390</w:t>
      </w:r>
      <w:r w:rsidRPr="00211281">
        <w:rPr>
          <w:rFonts w:ascii="Palatino Linotype" w:hAnsi="Palatino Linotype" w:cs="Arial"/>
          <w:b/>
          <w:bCs/>
          <w:sz w:val="24"/>
          <w:szCs w:val="24"/>
        </w:rPr>
        <w:t xml:space="preserve">/INFOEM/IP/RR/2022 </w:t>
      </w:r>
      <w:r w:rsidRPr="00211281">
        <w:rPr>
          <w:rFonts w:ascii="Palatino Linotype" w:hAnsi="Palatino Linotype" w:cs="Arial"/>
          <w:sz w:val="24"/>
          <w:szCs w:val="24"/>
        </w:rPr>
        <w:t>por resultar infundadas las razones o motivos de inconformidad hechos valer por la</w:t>
      </w:r>
      <w:r w:rsidRPr="00211281">
        <w:rPr>
          <w:rFonts w:ascii="Palatino Linotype" w:hAnsi="Palatino Linotype" w:cs="Arial"/>
          <w:b/>
          <w:sz w:val="24"/>
          <w:szCs w:val="24"/>
        </w:rPr>
        <w:t xml:space="preserve"> Recurrente</w:t>
      </w:r>
      <w:r w:rsidRPr="00211281">
        <w:rPr>
          <w:rFonts w:ascii="Palatino Linotype" w:hAnsi="Palatino Linotype" w:cs="Arial"/>
          <w:sz w:val="24"/>
          <w:szCs w:val="24"/>
        </w:rPr>
        <w:t xml:space="preserve"> en términos del Considerando </w:t>
      </w:r>
      <w:r w:rsidR="0037694A">
        <w:rPr>
          <w:rFonts w:ascii="Palatino Linotype" w:hAnsi="Palatino Linotype" w:cs="Arial"/>
          <w:b/>
          <w:sz w:val="24"/>
          <w:szCs w:val="24"/>
          <w:lang w:val="es-419"/>
        </w:rPr>
        <w:t xml:space="preserve">CUARTO </w:t>
      </w:r>
      <w:r w:rsidRPr="00211281">
        <w:rPr>
          <w:rFonts w:ascii="Palatino Linotype" w:hAnsi="Palatino Linotype" w:cs="Arial"/>
          <w:sz w:val="24"/>
          <w:szCs w:val="24"/>
        </w:rPr>
        <w:t>de la presente resolución.</w:t>
      </w:r>
    </w:p>
    <w:p w:rsidR="00211281" w:rsidRPr="00211281" w:rsidRDefault="00211281"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both"/>
        <w:rPr>
          <w:rFonts w:ascii="Palatino Linotype" w:hAnsi="Palatino Linotype" w:cs="Arial"/>
          <w:sz w:val="24"/>
          <w:szCs w:val="24"/>
        </w:rPr>
      </w:pPr>
      <w:r w:rsidRPr="00211281">
        <w:rPr>
          <w:rFonts w:ascii="Palatino Linotype" w:hAnsi="Palatino Linotype" w:cs="Arial"/>
          <w:b/>
          <w:sz w:val="24"/>
          <w:szCs w:val="24"/>
        </w:rPr>
        <w:t>SEGUNDO</w:t>
      </w:r>
      <w:r w:rsidRPr="00211281">
        <w:rPr>
          <w:rFonts w:ascii="Palatino Linotype" w:hAnsi="Palatino Linotype" w:cs="Arial"/>
          <w:sz w:val="24"/>
          <w:szCs w:val="24"/>
        </w:rPr>
        <w:t>. Notifíquese la presente resolución al</w:t>
      </w:r>
      <w:r w:rsidRPr="00211281">
        <w:rPr>
          <w:rFonts w:ascii="Palatino Linotype" w:hAnsi="Palatino Linotype"/>
          <w:sz w:val="24"/>
          <w:szCs w:val="24"/>
        </w:rPr>
        <w:t xml:space="preserve"> </w:t>
      </w:r>
      <w:r w:rsidRPr="00211281">
        <w:rPr>
          <w:rFonts w:ascii="Palatino Linotype" w:hAnsi="Palatino Linotype" w:cs="Arial"/>
          <w:sz w:val="24"/>
          <w:szCs w:val="24"/>
        </w:rPr>
        <w:t>Titular</w:t>
      </w:r>
      <w:r w:rsidRPr="00211281">
        <w:rPr>
          <w:rFonts w:ascii="Palatino Linotype" w:hAnsi="Palatino Linotype"/>
          <w:sz w:val="24"/>
          <w:szCs w:val="24"/>
        </w:rPr>
        <w:t xml:space="preserve"> </w:t>
      </w:r>
      <w:r w:rsidRPr="00211281">
        <w:rPr>
          <w:rFonts w:ascii="Palatino Linotype" w:hAnsi="Palatino Linotype" w:cs="Arial"/>
          <w:sz w:val="24"/>
          <w:szCs w:val="24"/>
        </w:rPr>
        <w:t xml:space="preserve">de la Unidad de Transparencia del Sujeto Obligado mediante el </w:t>
      </w:r>
      <w:r w:rsidRPr="00211281">
        <w:rPr>
          <w:rFonts w:ascii="Palatino Linotype" w:hAnsi="Palatino Linotype" w:cs="Arial"/>
          <w:sz w:val="24"/>
          <w:szCs w:val="24"/>
          <w:lang w:val="es-419"/>
        </w:rPr>
        <w:t>Sistema de Acceso a la Información Mexiquense (</w:t>
      </w:r>
      <w:r w:rsidRPr="00211281">
        <w:rPr>
          <w:rFonts w:ascii="Palatino Linotype" w:hAnsi="Palatino Linotype" w:cs="Arial"/>
          <w:sz w:val="24"/>
          <w:szCs w:val="24"/>
        </w:rPr>
        <w:t>SAIMEX</w:t>
      </w:r>
      <w:r w:rsidRPr="00211281">
        <w:rPr>
          <w:rFonts w:ascii="Palatino Linotype" w:hAnsi="Palatino Linotype" w:cs="Arial"/>
          <w:sz w:val="24"/>
          <w:szCs w:val="24"/>
          <w:lang w:val="es-419"/>
        </w:rPr>
        <w:t>)</w:t>
      </w:r>
      <w:r w:rsidRPr="00211281">
        <w:rPr>
          <w:rFonts w:ascii="Palatino Linotype" w:hAnsi="Palatino Linotype" w:cs="Arial"/>
          <w:sz w:val="24"/>
          <w:szCs w:val="24"/>
        </w:rPr>
        <w:t>.</w:t>
      </w:r>
    </w:p>
    <w:p w:rsidR="00211281" w:rsidRPr="00211281" w:rsidRDefault="00211281" w:rsidP="00211281">
      <w:pPr>
        <w:spacing w:after="0" w:line="360" w:lineRule="auto"/>
        <w:jc w:val="both"/>
        <w:rPr>
          <w:rFonts w:ascii="Palatino Linotype" w:hAnsi="Palatino Linotype" w:cs="Arial"/>
          <w:sz w:val="24"/>
          <w:szCs w:val="24"/>
        </w:rPr>
      </w:pPr>
    </w:p>
    <w:p w:rsidR="00337A3D" w:rsidRDefault="007659B2" w:rsidP="00211281">
      <w:p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1471294</wp:posOffset>
                </wp:positionV>
                <wp:extent cx="5753100" cy="19526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53100" cy="195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5513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5.85pt" to="454.2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" strokecolor="#5b9bd5 [3204]" strokeweight=".5pt">
                <v:stroke joinstyle="miter"/>
              </v:line>
            </w:pict>
          </mc:Fallback>
        </mc:AlternateContent>
      </w:r>
      <w:r w:rsidR="00211281" w:rsidRPr="00211281">
        <w:rPr>
          <w:rFonts w:ascii="Palatino Linotype" w:hAnsi="Palatino Linotype" w:cs="Arial"/>
          <w:b/>
          <w:sz w:val="24"/>
          <w:szCs w:val="24"/>
        </w:rPr>
        <w:t>TERCERO</w:t>
      </w:r>
      <w:r w:rsidR="00211281" w:rsidRPr="00211281">
        <w:rPr>
          <w:rFonts w:ascii="Palatino Linotype" w:hAnsi="Palatino Linotype" w:cs="Arial"/>
          <w:sz w:val="24"/>
          <w:szCs w:val="24"/>
        </w:rPr>
        <w:t xml:space="preserve">. Notifíquese al recurrente mediante el </w:t>
      </w:r>
      <w:r w:rsidR="00211281" w:rsidRPr="00211281">
        <w:rPr>
          <w:rFonts w:ascii="Palatino Linotype" w:hAnsi="Palatino Linotype" w:cs="Arial"/>
          <w:sz w:val="24"/>
          <w:szCs w:val="24"/>
          <w:lang w:val="es-419"/>
        </w:rPr>
        <w:t>Sistema de Acceso a la Información Mexiquense (</w:t>
      </w:r>
      <w:r w:rsidR="00211281" w:rsidRPr="00211281">
        <w:rPr>
          <w:rFonts w:ascii="Palatino Linotype" w:hAnsi="Palatino Linotype" w:cs="Arial"/>
          <w:sz w:val="24"/>
          <w:szCs w:val="24"/>
        </w:rPr>
        <w:t>SAIMEX</w:t>
      </w:r>
      <w:r w:rsidR="00211281" w:rsidRPr="00211281">
        <w:rPr>
          <w:rFonts w:ascii="Palatino Linotype" w:hAnsi="Palatino Linotype" w:cs="Arial"/>
          <w:sz w:val="24"/>
          <w:szCs w:val="24"/>
          <w:lang w:val="es-419"/>
        </w:rPr>
        <w:t>)</w:t>
      </w:r>
      <w:r w:rsidR="00211281" w:rsidRPr="00211281">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7659B2" w:rsidRDefault="007659B2" w:rsidP="00211281">
      <w:pPr>
        <w:spacing w:after="0" w:line="360" w:lineRule="auto"/>
        <w:jc w:val="both"/>
        <w:rPr>
          <w:rFonts w:ascii="Palatino Linotype" w:hAnsi="Palatino Linotype" w:cs="Arial"/>
          <w:sz w:val="24"/>
          <w:szCs w:val="24"/>
        </w:rPr>
      </w:pPr>
    </w:p>
    <w:p w:rsidR="007659B2" w:rsidRDefault="007659B2" w:rsidP="00211281">
      <w:pPr>
        <w:spacing w:after="0" w:line="360" w:lineRule="auto"/>
        <w:jc w:val="both"/>
        <w:rPr>
          <w:rFonts w:ascii="Palatino Linotype" w:hAnsi="Palatino Linotype" w:cs="Arial"/>
          <w:sz w:val="24"/>
          <w:szCs w:val="24"/>
        </w:rPr>
      </w:pPr>
    </w:p>
    <w:p w:rsidR="007659B2" w:rsidRDefault="007659B2" w:rsidP="00211281">
      <w:pPr>
        <w:spacing w:after="0" w:line="360" w:lineRule="auto"/>
        <w:jc w:val="both"/>
        <w:rPr>
          <w:rFonts w:ascii="Palatino Linotype" w:hAnsi="Palatino Linotype" w:cs="Arial"/>
          <w:sz w:val="24"/>
          <w:szCs w:val="24"/>
        </w:rPr>
      </w:pPr>
    </w:p>
    <w:p w:rsidR="007659B2" w:rsidRPr="00211281" w:rsidRDefault="007659B2"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both"/>
        <w:rPr>
          <w:rFonts w:ascii="Palatino Linotype" w:hAnsi="Palatino Linotype"/>
          <w:sz w:val="24"/>
          <w:szCs w:val="24"/>
          <w:lang w:eastAsia="es-ES_tradnl"/>
        </w:rPr>
      </w:pPr>
    </w:p>
    <w:p w:rsidR="00337A3D" w:rsidRPr="00160150" w:rsidRDefault="00337A3D" w:rsidP="00211281">
      <w:pPr>
        <w:spacing w:after="0" w:line="360" w:lineRule="auto"/>
        <w:jc w:val="both"/>
        <w:rPr>
          <w:rFonts w:ascii="Palatino Linotype" w:hAnsi="Palatino Linotype" w:cs="Arial"/>
          <w:sz w:val="24"/>
          <w:szCs w:val="24"/>
          <w:lang w:val="es-419"/>
        </w:rPr>
      </w:pPr>
      <w:r w:rsidRPr="00211281">
        <w:rPr>
          <w:rFonts w:ascii="Palatino Linotype" w:hAnsi="Palatino Linotype" w:cs="Arial"/>
          <w:sz w:val="24"/>
          <w:szCs w:val="24"/>
        </w:rPr>
        <w:lastRenderedPageBreak/>
        <w:t>ASÍ LO RESUELVE</w:t>
      </w:r>
      <w:r w:rsidRPr="00C45081">
        <w:rPr>
          <w:rFonts w:ascii="Palatino Linotype" w:hAnsi="Palatino Linotype" w:cs="Arial"/>
          <w:sz w:val="24"/>
          <w:szCs w:val="24"/>
        </w:rPr>
        <w:t xml:space="preser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BA320C">
        <w:rPr>
          <w:rFonts w:ascii="Palatino Linotype" w:hAnsi="Palatino Linotype" w:cs="Arial"/>
          <w:sz w:val="24"/>
          <w:szCs w:val="24"/>
          <w:lang w:val="es-419"/>
        </w:rPr>
        <w:t>DE</w:t>
      </w:r>
      <w:r w:rsidR="008012D2">
        <w:rPr>
          <w:rFonts w:ascii="Palatino Linotype" w:hAnsi="Palatino Linotype" w:cs="Arial"/>
          <w:sz w:val="24"/>
          <w:szCs w:val="24"/>
          <w:lang w:val="es-419"/>
        </w:rPr>
        <w:t xml:space="preserve">CIMA </w:t>
      </w:r>
      <w:r w:rsidR="007659B2">
        <w:rPr>
          <w:rFonts w:ascii="Palatino Linotype" w:hAnsi="Palatino Linotype" w:cs="Arial"/>
          <w:sz w:val="24"/>
          <w:szCs w:val="24"/>
          <w:lang w:val="es-419"/>
        </w:rPr>
        <w:t xml:space="preserve">CUARTA </w:t>
      </w:r>
      <w:r w:rsidRPr="00A563AA">
        <w:rPr>
          <w:rFonts w:ascii="Palatino Linotype" w:hAnsi="Palatino Linotype" w:cs="Arial"/>
          <w:sz w:val="24"/>
          <w:szCs w:val="24"/>
        </w:rPr>
        <w:t xml:space="preserve">SESIÓN ORDINARIA CELEBRADA EL </w:t>
      </w:r>
      <w:r w:rsidR="007659B2">
        <w:rPr>
          <w:rFonts w:ascii="Palatino Linotype" w:eastAsia="Times New Roman" w:hAnsi="Palatino Linotype" w:cs="Arial"/>
          <w:color w:val="000000"/>
          <w:sz w:val="24"/>
          <w:szCs w:val="24"/>
          <w:lang w:val="es-419" w:eastAsia="es-MX"/>
        </w:rPr>
        <w:t>DIECINUEVE DE ABRIL</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 xml:space="preserve">DE DOS MIL </w:t>
      </w:r>
      <w:r w:rsidR="00BA22CB">
        <w:rPr>
          <w:rFonts w:ascii="Palatino Linotype" w:hAnsi="Palatino Linotype" w:cs="Arial"/>
          <w:sz w:val="24"/>
          <w:szCs w:val="24"/>
          <w:lang w:val="es-419"/>
        </w:rPr>
        <w:t>VEINTITRÉS</w:t>
      </w:r>
      <w:r w:rsidRPr="00C45081">
        <w:rPr>
          <w:rFonts w:ascii="Palatino Linotype" w:hAnsi="Palatino Linotype" w:cs="Arial"/>
          <w:sz w:val="24"/>
          <w:szCs w:val="24"/>
        </w:rPr>
        <w:t>, ANTE EL SECRETARIO TÉCNICO DEL PLENO, ALEXIS TAPIA RAMÍREZ. ---------</w:t>
      </w:r>
      <w:r w:rsidR="00160150">
        <w:rPr>
          <w:rFonts w:ascii="Palatino Linotype" w:hAnsi="Palatino Linotype" w:cs="Arial"/>
          <w:sz w:val="24"/>
          <w:szCs w:val="24"/>
          <w:lang w:val="es-419"/>
        </w:rPr>
        <w:t>---------------</w:t>
      </w:r>
      <w:r w:rsidR="00982718">
        <w:rPr>
          <w:rFonts w:ascii="Palatino Linotype" w:hAnsi="Palatino Linotype" w:cs="Arial"/>
          <w:sz w:val="24"/>
          <w:szCs w:val="24"/>
          <w:lang w:val="es-419"/>
        </w:rPr>
        <w:t>---------------------------------------</w:t>
      </w:r>
      <w:r w:rsidR="00216432">
        <w:rPr>
          <w:rFonts w:ascii="Palatino Linotype" w:hAnsi="Palatino Linotype" w:cs="Arial"/>
          <w:sz w:val="24"/>
          <w:szCs w:val="24"/>
          <w:lang w:val="es-419"/>
        </w:rPr>
        <w:t>-</w:t>
      </w:r>
      <w:r w:rsidR="00004900">
        <w:rPr>
          <w:rFonts w:ascii="Palatino Linotype" w:hAnsi="Palatino Linotype" w:cs="Arial"/>
          <w:sz w:val="24"/>
          <w:szCs w:val="24"/>
          <w:lang w:val="es-419"/>
        </w:rPr>
        <w:t>---------------------------------</w:t>
      </w:r>
      <w:r w:rsidR="007659B2">
        <w:rPr>
          <w:rFonts w:ascii="Palatino Linotype" w:hAnsi="Palatino Linotype" w:cs="Arial"/>
          <w:sz w:val="24"/>
          <w:szCs w:val="24"/>
          <w:lang w:val="es-419"/>
        </w:rPr>
        <w:t>--</w:t>
      </w:r>
    </w:p>
    <w:p w:rsidR="00337A3D" w:rsidRDefault="007659B2"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B61DD3">
      <w:headerReference w:type="default" r:id="rId9"/>
      <w:footerReference w:type="default" r:id="rId10"/>
      <w:headerReference w:type="first" r:id="rId11"/>
      <w:footerReference w:type="first" r:id="rId12"/>
      <w:pgSz w:w="12240" w:h="15840"/>
      <w:pgMar w:top="1418" w:right="132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9C" w:rsidRDefault="00266E9C" w:rsidP="00337A3D">
      <w:pPr>
        <w:spacing w:after="0" w:line="240" w:lineRule="auto"/>
      </w:pPr>
      <w:r>
        <w:separator/>
      </w:r>
    </w:p>
  </w:endnote>
  <w:endnote w:type="continuationSeparator" w:id="0">
    <w:p w:rsidR="00266E9C" w:rsidRDefault="00266E9C"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66E9C" w:rsidRPr="002D6DD8"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83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E3835">
              <w:rPr>
                <w:rFonts w:ascii="Palatino Linotype" w:hAnsi="Palatino Linotype"/>
                <w:bCs/>
                <w:noProof/>
                <w:sz w:val="20"/>
              </w:rPr>
              <w:t>29</w:t>
            </w:r>
            <w:r>
              <w:rPr>
                <w:rFonts w:ascii="Palatino Linotype" w:hAnsi="Palatino Linotype"/>
                <w:bCs/>
                <w:noProof/>
                <w:sz w:val="20"/>
              </w:rPr>
              <w:fldChar w:fldCharType="end"/>
            </w:r>
          </w:p>
        </w:sdtContent>
      </w:sdt>
    </w:sdtContent>
  </w:sdt>
  <w:p w:rsidR="00266E9C" w:rsidRDefault="00266E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9C" w:rsidRPr="000B69FA"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8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E3835">
      <w:rPr>
        <w:rFonts w:ascii="Palatino Linotype" w:hAnsi="Palatino Linotype"/>
        <w:bCs/>
        <w:noProof/>
        <w:sz w:val="20"/>
      </w:rPr>
      <w:t>29</w:t>
    </w:r>
    <w:r>
      <w:rPr>
        <w:rFonts w:ascii="Palatino Linotype" w:hAnsi="Palatino Linotype"/>
        <w:bCs/>
        <w:noProof/>
        <w:sz w:val="20"/>
      </w:rPr>
      <w:fldChar w:fldCharType="end"/>
    </w:r>
  </w:p>
  <w:p w:rsidR="00266E9C" w:rsidRDefault="00266E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9C" w:rsidRDefault="00266E9C" w:rsidP="00337A3D">
      <w:pPr>
        <w:spacing w:after="0" w:line="240" w:lineRule="auto"/>
      </w:pPr>
      <w:r>
        <w:separator/>
      </w:r>
    </w:p>
  </w:footnote>
  <w:footnote w:type="continuationSeparator" w:id="0">
    <w:p w:rsidR="00266E9C" w:rsidRDefault="00266E9C" w:rsidP="00337A3D">
      <w:pPr>
        <w:spacing w:after="0" w:line="240" w:lineRule="auto"/>
      </w:pPr>
      <w:r>
        <w:continuationSeparator/>
      </w:r>
    </w:p>
  </w:footnote>
  <w:footnote w:id="1">
    <w:p w:rsidR="00266E9C" w:rsidRPr="008A64CB" w:rsidRDefault="00266E9C" w:rsidP="003C6515">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266E9C" w:rsidRPr="008A64CB" w:rsidRDefault="00266E9C" w:rsidP="003C6515">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66E9C" w:rsidRPr="008A64CB" w:rsidRDefault="00266E9C" w:rsidP="003C651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266E9C" w:rsidTr="00FB11A5">
      <w:trPr>
        <w:trHeight w:val="227"/>
      </w:trPr>
      <w:tc>
        <w:tcPr>
          <w:tcW w:w="5529" w:type="dxa"/>
          <w:hideMark/>
        </w:tcPr>
        <w:p w:rsidR="00266E9C" w:rsidRPr="00641471" w:rsidRDefault="00266E9C"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266E9C" w:rsidRPr="00641471" w:rsidRDefault="00266E9C" w:rsidP="00A9483D">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13390</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266E9C" w:rsidTr="00FB11A5">
      <w:trPr>
        <w:trHeight w:val="242"/>
      </w:trPr>
      <w:tc>
        <w:tcPr>
          <w:tcW w:w="5529" w:type="dxa"/>
          <w:vAlign w:val="center"/>
          <w:hideMark/>
        </w:tcPr>
        <w:p w:rsidR="00266E9C" w:rsidRPr="00641471" w:rsidRDefault="00266E9C"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266E9C" w:rsidRPr="00DE7467" w:rsidRDefault="00266E9C" w:rsidP="00A9483D">
          <w:pPr>
            <w:spacing w:after="120" w:line="256" w:lineRule="auto"/>
            <w:ind w:left="-486" w:right="214" w:firstLine="284"/>
            <w:jc w:val="right"/>
            <w:rPr>
              <w:rFonts w:ascii="Palatino Linotype" w:hAnsi="Palatino Linotype" w:cs="Arial"/>
              <w:b/>
              <w:szCs w:val="20"/>
              <w:lang w:val="es-419"/>
            </w:rPr>
          </w:pPr>
          <w:r w:rsidRPr="00911346">
            <w:rPr>
              <w:rFonts w:ascii="Palatino Linotype" w:hAnsi="Palatino Linotype" w:cs="Arial"/>
              <w:b/>
              <w:szCs w:val="20"/>
              <w:lang w:val="es-419"/>
            </w:rPr>
            <w:t xml:space="preserve">Ayuntamiento de </w:t>
          </w:r>
          <w:r>
            <w:rPr>
              <w:rFonts w:ascii="Palatino Linotype" w:hAnsi="Palatino Linotype" w:cs="Arial"/>
              <w:b/>
              <w:szCs w:val="20"/>
              <w:lang w:val="es-419"/>
            </w:rPr>
            <w:t>Toluca</w:t>
          </w:r>
        </w:p>
      </w:tc>
    </w:tr>
    <w:tr w:rsidR="00266E9C" w:rsidTr="00FB11A5">
      <w:trPr>
        <w:trHeight w:val="342"/>
      </w:trPr>
      <w:tc>
        <w:tcPr>
          <w:tcW w:w="5529" w:type="dxa"/>
          <w:hideMark/>
        </w:tcPr>
        <w:p w:rsidR="00266E9C" w:rsidRPr="00641471" w:rsidRDefault="00266E9C"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266E9C" w:rsidRPr="00641471" w:rsidRDefault="00266E9C"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66E9C" w:rsidRPr="00AE046A" w:rsidRDefault="00266E9C"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266E9C" w:rsidTr="00FB11A5">
      <w:trPr>
        <w:trHeight w:val="227"/>
      </w:trPr>
      <w:tc>
        <w:tcPr>
          <w:tcW w:w="5813" w:type="dxa"/>
          <w:hideMark/>
        </w:tcPr>
        <w:p w:rsidR="00266E9C" w:rsidRPr="00641471" w:rsidRDefault="00266E9C"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266E9C" w:rsidRPr="006055A5" w:rsidRDefault="00266E9C" w:rsidP="00A9483D">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13390</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266E9C" w:rsidRPr="00911346" w:rsidTr="00FB11A5">
      <w:trPr>
        <w:trHeight w:val="242"/>
      </w:trPr>
      <w:tc>
        <w:tcPr>
          <w:tcW w:w="5813" w:type="dxa"/>
          <w:vAlign w:val="center"/>
          <w:hideMark/>
        </w:tcPr>
        <w:p w:rsidR="00266E9C" w:rsidRPr="00641471" w:rsidRDefault="00266E9C"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266E9C" w:rsidRPr="009F58DF" w:rsidRDefault="00266E9C" w:rsidP="00A9483D">
          <w:pPr>
            <w:spacing w:after="120" w:line="256" w:lineRule="auto"/>
            <w:ind w:right="71"/>
            <w:jc w:val="right"/>
            <w:rPr>
              <w:rFonts w:ascii="Palatino Linotype" w:hAnsi="Palatino Linotype" w:cs="Arial"/>
              <w:b/>
              <w:szCs w:val="20"/>
              <w:lang w:val="es-419"/>
            </w:rPr>
          </w:pPr>
          <w:r w:rsidRPr="00911346">
            <w:rPr>
              <w:rFonts w:ascii="Palatino Linotype" w:hAnsi="Palatino Linotype" w:cs="Arial"/>
              <w:b/>
              <w:szCs w:val="20"/>
              <w:lang w:val="es-419"/>
            </w:rPr>
            <w:t xml:space="preserve">Ayuntamiento de </w:t>
          </w:r>
          <w:r>
            <w:rPr>
              <w:rFonts w:ascii="Palatino Linotype" w:hAnsi="Palatino Linotype" w:cs="Arial"/>
              <w:b/>
              <w:szCs w:val="20"/>
              <w:lang w:val="es-419"/>
            </w:rPr>
            <w:t>Toluca</w:t>
          </w:r>
        </w:p>
      </w:tc>
    </w:tr>
    <w:tr w:rsidR="00266E9C" w:rsidRPr="00A9483D" w:rsidTr="00FB11A5">
      <w:trPr>
        <w:trHeight w:val="342"/>
      </w:trPr>
      <w:tc>
        <w:tcPr>
          <w:tcW w:w="5813" w:type="dxa"/>
        </w:tcPr>
        <w:p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266E9C" w:rsidRPr="00A9483D" w:rsidRDefault="00EE3835"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Cs w:val="20"/>
              <w:lang w:val="es-419"/>
            </w:rPr>
            <w:t>XXXXXXXXXXXXXXXXXX</w:t>
          </w:r>
        </w:p>
      </w:tc>
    </w:tr>
    <w:tr w:rsidR="00266E9C" w:rsidTr="00FB11A5">
      <w:trPr>
        <w:trHeight w:val="342"/>
      </w:trPr>
      <w:tc>
        <w:tcPr>
          <w:tcW w:w="5813" w:type="dxa"/>
        </w:tcPr>
        <w:p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266E9C" w:rsidRPr="00641471" w:rsidRDefault="00266E9C"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266E9C" w:rsidRPr="00C222C0" w:rsidRDefault="00266E9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EC2879" wp14:editId="1CD97FD4">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E4A5F"/>
    <w:multiLevelType w:val="hybridMultilevel"/>
    <w:tmpl w:val="C23C15AE"/>
    <w:lvl w:ilvl="0" w:tplc="4CD84F0E">
      <w:start w:val="4"/>
      <w:numFmt w:val="decimal"/>
      <w:lvlText w:val="%1."/>
      <w:lvlJc w:val="left"/>
      <w:pPr>
        <w:ind w:left="108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BD62928"/>
    <w:multiLevelType w:val="hybridMultilevel"/>
    <w:tmpl w:val="F8F098CA"/>
    <w:lvl w:ilvl="0" w:tplc="70280BC6">
      <w:start w:val="1"/>
      <w:numFmt w:val="lowerLetter"/>
      <w:lvlText w:val="%1."/>
      <w:lvlJc w:val="left"/>
      <w:pPr>
        <w:ind w:left="1080" w:hanging="360"/>
      </w:pPr>
      <w:rPr>
        <w:rFonts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226070D6"/>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26A4EF5"/>
    <w:multiLevelType w:val="hybridMultilevel"/>
    <w:tmpl w:val="2EDC1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A12613"/>
    <w:multiLevelType w:val="hybridMultilevel"/>
    <w:tmpl w:val="B5F4D23E"/>
    <w:lvl w:ilvl="0" w:tplc="9F502C80">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137851"/>
    <w:multiLevelType w:val="hybridMultilevel"/>
    <w:tmpl w:val="3E0E23DC"/>
    <w:lvl w:ilvl="0" w:tplc="844CF72A">
      <w:start w:val="3"/>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597D93"/>
    <w:multiLevelType w:val="hybridMultilevel"/>
    <w:tmpl w:val="A8E83AD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E70E62"/>
    <w:multiLevelType w:val="hybridMultilevel"/>
    <w:tmpl w:val="A404D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964314"/>
    <w:multiLevelType w:val="hybridMultilevel"/>
    <w:tmpl w:val="1C2AF5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560557E5"/>
    <w:multiLevelType w:val="hybridMultilevel"/>
    <w:tmpl w:val="1E46AB86"/>
    <w:lvl w:ilvl="0" w:tplc="E5EADF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C43607"/>
    <w:multiLevelType w:val="hybridMultilevel"/>
    <w:tmpl w:val="B7A6E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3D344A"/>
    <w:multiLevelType w:val="hybridMultilevel"/>
    <w:tmpl w:val="8A181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12724E7"/>
    <w:multiLevelType w:val="hybridMultilevel"/>
    <w:tmpl w:val="C6682FFE"/>
    <w:lvl w:ilvl="0" w:tplc="A7585F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A2036D"/>
    <w:multiLevelType w:val="hybridMultilevel"/>
    <w:tmpl w:val="A1023022"/>
    <w:lvl w:ilvl="0" w:tplc="817C1164">
      <w:numFmt w:val="bullet"/>
      <w:lvlText w:val="-"/>
      <w:lvlJc w:val="left"/>
      <w:pPr>
        <w:ind w:left="1494" w:hanging="360"/>
      </w:pPr>
      <w:rPr>
        <w:rFonts w:ascii="Palatino Linotype" w:eastAsiaTheme="minorHAnsi" w:hAnsi="Palatino Linotype" w:cs="Arial" w:hint="default"/>
      </w:rPr>
    </w:lvl>
    <w:lvl w:ilvl="1" w:tplc="580A0003" w:tentative="1">
      <w:start w:val="1"/>
      <w:numFmt w:val="bullet"/>
      <w:lvlText w:val="o"/>
      <w:lvlJc w:val="left"/>
      <w:pPr>
        <w:ind w:left="2214" w:hanging="360"/>
      </w:pPr>
      <w:rPr>
        <w:rFonts w:ascii="Courier New" w:hAnsi="Courier New" w:cs="Courier New"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16" w15:restartNumberingAfterBreak="0">
    <w:nsid w:val="7DB143BA"/>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13"/>
  </w:num>
  <w:num w:numId="3">
    <w:abstractNumId w:val="15"/>
  </w:num>
  <w:num w:numId="4">
    <w:abstractNumId w:val="1"/>
  </w:num>
  <w:num w:numId="5">
    <w:abstractNumId w:val="0"/>
  </w:num>
  <w:num w:numId="6">
    <w:abstractNumId w:val="8"/>
  </w:num>
  <w:num w:numId="7">
    <w:abstractNumId w:val="10"/>
  </w:num>
  <w:num w:numId="8">
    <w:abstractNumId w:val="12"/>
  </w:num>
  <w:num w:numId="9">
    <w:abstractNumId w:val="11"/>
  </w:num>
  <w:num w:numId="10">
    <w:abstractNumId w:val="4"/>
  </w:num>
  <w:num w:numId="11">
    <w:abstractNumId w:val="5"/>
  </w:num>
  <w:num w:numId="12">
    <w:abstractNumId w:val="14"/>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9"/>
  </w:num>
  <w:num w:numId="21">
    <w:abstractNumId w:val="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900"/>
    <w:rsid w:val="00004A2F"/>
    <w:rsid w:val="00006F24"/>
    <w:rsid w:val="00015608"/>
    <w:rsid w:val="0001580B"/>
    <w:rsid w:val="00020781"/>
    <w:rsid w:val="0002413E"/>
    <w:rsid w:val="000253C6"/>
    <w:rsid w:val="00026A75"/>
    <w:rsid w:val="00034C33"/>
    <w:rsid w:val="000356A3"/>
    <w:rsid w:val="00036F8B"/>
    <w:rsid w:val="000415E1"/>
    <w:rsid w:val="00045A3E"/>
    <w:rsid w:val="00045D7D"/>
    <w:rsid w:val="0004621B"/>
    <w:rsid w:val="00052778"/>
    <w:rsid w:val="00053880"/>
    <w:rsid w:val="00055291"/>
    <w:rsid w:val="000614B3"/>
    <w:rsid w:val="00064B4A"/>
    <w:rsid w:val="00064E75"/>
    <w:rsid w:val="00065A0A"/>
    <w:rsid w:val="00066174"/>
    <w:rsid w:val="00066B05"/>
    <w:rsid w:val="000803DE"/>
    <w:rsid w:val="00081381"/>
    <w:rsid w:val="0008334D"/>
    <w:rsid w:val="000850B4"/>
    <w:rsid w:val="000A1026"/>
    <w:rsid w:val="000A182A"/>
    <w:rsid w:val="000B0859"/>
    <w:rsid w:val="000B151D"/>
    <w:rsid w:val="000C289B"/>
    <w:rsid w:val="000C4599"/>
    <w:rsid w:val="000C5C45"/>
    <w:rsid w:val="000C7C21"/>
    <w:rsid w:val="000D1973"/>
    <w:rsid w:val="000D2158"/>
    <w:rsid w:val="000D389D"/>
    <w:rsid w:val="000E08A0"/>
    <w:rsid w:val="000E0D7F"/>
    <w:rsid w:val="000E1C95"/>
    <w:rsid w:val="000E3C11"/>
    <w:rsid w:val="000E565E"/>
    <w:rsid w:val="000E5B35"/>
    <w:rsid w:val="000E7D9C"/>
    <w:rsid w:val="000F20A0"/>
    <w:rsid w:val="000F46E1"/>
    <w:rsid w:val="000F5622"/>
    <w:rsid w:val="000F78F3"/>
    <w:rsid w:val="00102821"/>
    <w:rsid w:val="001113D6"/>
    <w:rsid w:val="001152EF"/>
    <w:rsid w:val="00121A8A"/>
    <w:rsid w:val="00121CFD"/>
    <w:rsid w:val="00123996"/>
    <w:rsid w:val="001310A8"/>
    <w:rsid w:val="001339D7"/>
    <w:rsid w:val="00140F35"/>
    <w:rsid w:val="00142307"/>
    <w:rsid w:val="00143A49"/>
    <w:rsid w:val="001460D8"/>
    <w:rsid w:val="00147528"/>
    <w:rsid w:val="00160150"/>
    <w:rsid w:val="00163245"/>
    <w:rsid w:val="0016464C"/>
    <w:rsid w:val="00167742"/>
    <w:rsid w:val="00167A36"/>
    <w:rsid w:val="00180879"/>
    <w:rsid w:val="00180E35"/>
    <w:rsid w:val="001835F9"/>
    <w:rsid w:val="00186AAF"/>
    <w:rsid w:val="001906E3"/>
    <w:rsid w:val="00191901"/>
    <w:rsid w:val="001963B7"/>
    <w:rsid w:val="00196E5B"/>
    <w:rsid w:val="001A56F2"/>
    <w:rsid w:val="001A7134"/>
    <w:rsid w:val="001B0221"/>
    <w:rsid w:val="001B0DEB"/>
    <w:rsid w:val="001B2A53"/>
    <w:rsid w:val="001B2E52"/>
    <w:rsid w:val="001B3241"/>
    <w:rsid w:val="001B499C"/>
    <w:rsid w:val="001B60D8"/>
    <w:rsid w:val="001B626E"/>
    <w:rsid w:val="001B63D5"/>
    <w:rsid w:val="001B6CB9"/>
    <w:rsid w:val="001B7D6C"/>
    <w:rsid w:val="001C034C"/>
    <w:rsid w:val="001C72F6"/>
    <w:rsid w:val="001D04ED"/>
    <w:rsid w:val="001D2328"/>
    <w:rsid w:val="001E05B6"/>
    <w:rsid w:val="001E156B"/>
    <w:rsid w:val="001E28BA"/>
    <w:rsid w:val="001E36B7"/>
    <w:rsid w:val="001E3B5B"/>
    <w:rsid w:val="001E58F3"/>
    <w:rsid w:val="001E6501"/>
    <w:rsid w:val="001E7C3F"/>
    <w:rsid w:val="001F1C38"/>
    <w:rsid w:val="001F55F3"/>
    <w:rsid w:val="001F67F1"/>
    <w:rsid w:val="002018B0"/>
    <w:rsid w:val="002108D7"/>
    <w:rsid w:val="00211281"/>
    <w:rsid w:val="00213B06"/>
    <w:rsid w:val="00214668"/>
    <w:rsid w:val="00215CC3"/>
    <w:rsid w:val="00216432"/>
    <w:rsid w:val="00216CB1"/>
    <w:rsid w:val="00223CB3"/>
    <w:rsid w:val="0022669A"/>
    <w:rsid w:val="0022719C"/>
    <w:rsid w:val="00230A7A"/>
    <w:rsid w:val="00242F50"/>
    <w:rsid w:val="0024353C"/>
    <w:rsid w:val="002506E2"/>
    <w:rsid w:val="00251E16"/>
    <w:rsid w:val="00252181"/>
    <w:rsid w:val="00262958"/>
    <w:rsid w:val="0026592C"/>
    <w:rsid w:val="00266E9C"/>
    <w:rsid w:val="00270104"/>
    <w:rsid w:val="00271585"/>
    <w:rsid w:val="00272023"/>
    <w:rsid w:val="00274A0A"/>
    <w:rsid w:val="00277383"/>
    <w:rsid w:val="00277FA0"/>
    <w:rsid w:val="00281906"/>
    <w:rsid w:val="00285BF6"/>
    <w:rsid w:val="00285F96"/>
    <w:rsid w:val="00286B17"/>
    <w:rsid w:val="00287D9C"/>
    <w:rsid w:val="002904C7"/>
    <w:rsid w:val="00290F21"/>
    <w:rsid w:val="002920FF"/>
    <w:rsid w:val="00294614"/>
    <w:rsid w:val="00294F0C"/>
    <w:rsid w:val="0029700F"/>
    <w:rsid w:val="002A0B67"/>
    <w:rsid w:val="002A4E85"/>
    <w:rsid w:val="002A6A29"/>
    <w:rsid w:val="002A6FE0"/>
    <w:rsid w:val="002A78CB"/>
    <w:rsid w:val="002B28FE"/>
    <w:rsid w:val="002B29CD"/>
    <w:rsid w:val="002B2D00"/>
    <w:rsid w:val="002B32A9"/>
    <w:rsid w:val="002C0A7D"/>
    <w:rsid w:val="002C1010"/>
    <w:rsid w:val="002C1C1E"/>
    <w:rsid w:val="002C7383"/>
    <w:rsid w:val="002D00B0"/>
    <w:rsid w:val="002D4EA5"/>
    <w:rsid w:val="002E3332"/>
    <w:rsid w:val="002E7AD4"/>
    <w:rsid w:val="002F0173"/>
    <w:rsid w:val="002F0298"/>
    <w:rsid w:val="002F0A5E"/>
    <w:rsid w:val="002F785A"/>
    <w:rsid w:val="002F7E87"/>
    <w:rsid w:val="0030002F"/>
    <w:rsid w:val="00305CC6"/>
    <w:rsid w:val="00305D72"/>
    <w:rsid w:val="003072D0"/>
    <w:rsid w:val="0030795C"/>
    <w:rsid w:val="00307A2B"/>
    <w:rsid w:val="00320336"/>
    <w:rsid w:val="0032234C"/>
    <w:rsid w:val="00327A14"/>
    <w:rsid w:val="00332A58"/>
    <w:rsid w:val="003348F3"/>
    <w:rsid w:val="00336B2F"/>
    <w:rsid w:val="00336C57"/>
    <w:rsid w:val="00337A3D"/>
    <w:rsid w:val="003416C0"/>
    <w:rsid w:val="00342974"/>
    <w:rsid w:val="003451D1"/>
    <w:rsid w:val="00345854"/>
    <w:rsid w:val="00345FCC"/>
    <w:rsid w:val="00346AD9"/>
    <w:rsid w:val="00347AF6"/>
    <w:rsid w:val="00353CFA"/>
    <w:rsid w:val="00355A46"/>
    <w:rsid w:val="00363067"/>
    <w:rsid w:val="00363C39"/>
    <w:rsid w:val="00363D96"/>
    <w:rsid w:val="00367A24"/>
    <w:rsid w:val="00373A57"/>
    <w:rsid w:val="00374011"/>
    <w:rsid w:val="0037694A"/>
    <w:rsid w:val="00377C59"/>
    <w:rsid w:val="00381933"/>
    <w:rsid w:val="003821AA"/>
    <w:rsid w:val="00386B80"/>
    <w:rsid w:val="0038796C"/>
    <w:rsid w:val="00387CE5"/>
    <w:rsid w:val="003910F2"/>
    <w:rsid w:val="00391F82"/>
    <w:rsid w:val="003A12A8"/>
    <w:rsid w:val="003A1A92"/>
    <w:rsid w:val="003B57F7"/>
    <w:rsid w:val="003C2786"/>
    <w:rsid w:val="003C56D6"/>
    <w:rsid w:val="003C6515"/>
    <w:rsid w:val="003C6E8A"/>
    <w:rsid w:val="003D6087"/>
    <w:rsid w:val="003E2637"/>
    <w:rsid w:val="003E3631"/>
    <w:rsid w:val="003E4F36"/>
    <w:rsid w:val="003E7577"/>
    <w:rsid w:val="003F294A"/>
    <w:rsid w:val="003F4B89"/>
    <w:rsid w:val="003F6136"/>
    <w:rsid w:val="004006A4"/>
    <w:rsid w:val="00400D18"/>
    <w:rsid w:val="00401215"/>
    <w:rsid w:val="0040157B"/>
    <w:rsid w:val="0040212F"/>
    <w:rsid w:val="004044EA"/>
    <w:rsid w:val="00404A83"/>
    <w:rsid w:val="004067ED"/>
    <w:rsid w:val="0041178A"/>
    <w:rsid w:val="00411CF0"/>
    <w:rsid w:val="00423C39"/>
    <w:rsid w:val="00427A76"/>
    <w:rsid w:val="004301E2"/>
    <w:rsid w:val="0043066E"/>
    <w:rsid w:val="004322AB"/>
    <w:rsid w:val="00433852"/>
    <w:rsid w:val="00434546"/>
    <w:rsid w:val="00434E35"/>
    <w:rsid w:val="004373D0"/>
    <w:rsid w:val="004421E0"/>
    <w:rsid w:val="00447E2F"/>
    <w:rsid w:val="0045696B"/>
    <w:rsid w:val="00462C3F"/>
    <w:rsid w:val="004664B6"/>
    <w:rsid w:val="00470D47"/>
    <w:rsid w:val="00474EFA"/>
    <w:rsid w:val="0048186B"/>
    <w:rsid w:val="00482CBF"/>
    <w:rsid w:val="00486467"/>
    <w:rsid w:val="004913F3"/>
    <w:rsid w:val="00492220"/>
    <w:rsid w:val="00492484"/>
    <w:rsid w:val="0049295E"/>
    <w:rsid w:val="00495A9D"/>
    <w:rsid w:val="00496E3B"/>
    <w:rsid w:val="004A0624"/>
    <w:rsid w:val="004B16DC"/>
    <w:rsid w:val="004B46AF"/>
    <w:rsid w:val="004B5A99"/>
    <w:rsid w:val="004C5AB9"/>
    <w:rsid w:val="004C6580"/>
    <w:rsid w:val="004C6CE6"/>
    <w:rsid w:val="004C7560"/>
    <w:rsid w:val="004D3FA7"/>
    <w:rsid w:val="004D5BEB"/>
    <w:rsid w:val="004D7AAB"/>
    <w:rsid w:val="004E32A0"/>
    <w:rsid w:val="004E3866"/>
    <w:rsid w:val="004E38CF"/>
    <w:rsid w:val="004E4AD3"/>
    <w:rsid w:val="004E6496"/>
    <w:rsid w:val="004E72E0"/>
    <w:rsid w:val="004E7D57"/>
    <w:rsid w:val="004F1A60"/>
    <w:rsid w:val="004F2B3D"/>
    <w:rsid w:val="004F3932"/>
    <w:rsid w:val="0050009C"/>
    <w:rsid w:val="00505755"/>
    <w:rsid w:val="005135AF"/>
    <w:rsid w:val="005148B8"/>
    <w:rsid w:val="00523934"/>
    <w:rsid w:val="005260CD"/>
    <w:rsid w:val="00527EBA"/>
    <w:rsid w:val="00531930"/>
    <w:rsid w:val="005325C7"/>
    <w:rsid w:val="00533B3E"/>
    <w:rsid w:val="00534243"/>
    <w:rsid w:val="005360BB"/>
    <w:rsid w:val="0053694A"/>
    <w:rsid w:val="00551FDD"/>
    <w:rsid w:val="00560241"/>
    <w:rsid w:val="00562AF9"/>
    <w:rsid w:val="00566FE1"/>
    <w:rsid w:val="00567850"/>
    <w:rsid w:val="005678D8"/>
    <w:rsid w:val="00570171"/>
    <w:rsid w:val="00573BDE"/>
    <w:rsid w:val="005766BE"/>
    <w:rsid w:val="00576D2D"/>
    <w:rsid w:val="00584DDC"/>
    <w:rsid w:val="00584EE2"/>
    <w:rsid w:val="005857A3"/>
    <w:rsid w:val="00592576"/>
    <w:rsid w:val="00592DB9"/>
    <w:rsid w:val="005B0EB1"/>
    <w:rsid w:val="005B1C77"/>
    <w:rsid w:val="005B29D3"/>
    <w:rsid w:val="005B3C3D"/>
    <w:rsid w:val="005B7753"/>
    <w:rsid w:val="005C035D"/>
    <w:rsid w:val="005C1F51"/>
    <w:rsid w:val="005C41DF"/>
    <w:rsid w:val="005C4F93"/>
    <w:rsid w:val="005C5147"/>
    <w:rsid w:val="005D0626"/>
    <w:rsid w:val="005D6927"/>
    <w:rsid w:val="005E1084"/>
    <w:rsid w:val="005E43B0"/>
    <w:rsid w:val="005E56ED"/>
    <w:rsid w:val="005E6C47"/>
    <w:rsid w:val="005E7328"/>
    <w:rsid w:val="005F1652"/>
    <w:rsid w:val="005F17EC"/>
    <w:rsid w:val="00602B9F"/>
    <w:rsid w:val="006055A5"/>
    <w:rsid w:val="00606D85"/>
    <w:rsid w:val="006146B2"/>
    <w:rsid w:val="00615A47"/>
    <w:rsid w:val="00621C53"/>
    <w:rsid w:val="006249E4"/>
    <w:rsid w:val="00626A26"/>
    <w:rsid w:val="00630254"/>
    <w:rsid w:val="00631788"/>
    <w:rsid w:val="00633834"/>
    <w:rsid w:val="006353FB"/>
    <w:rsid w:val="006427B0"/>
    <w:rsid w:val="00644A86"/>
    <w:rsid w:val="00651D8D"/>
    <w:rsid w:val="00652826"/>
    <w:rsid w:val="00652C43"/>
    <w:rsid w:val="00654443"/>
    <w:rsid w:val="00654A31"/>
    <w:rsid w:val="00656EB9"/>
    <w:rsid w:val="006609FD"/>
    <w:rsid w:val="00660E14"/>
    <w:rsid w:val="006627EA"/>
    <w:rsid w:val="00666144"/>
    <w:rsid w:val="00672760"/>
    <w:rsid w:val="00677F77"/>
    <w:rsid w:val="00685DA8"/>
    <w:rsid w:val="00692A2D"/>
    <w:rsid w:val="00694128"/>
    <w:rsid w:val="00695C68"/>
    <w:rsid w:val="00697D7F"/>
    <w:rsid w:val="006A41DB"/>
    <w:rsid w:val="006A4C5C"/>
    <w:rsid w:val="006A78C7"/>
    <w:rsid w:val="006B3F76"/>
    <w:rsid w:val="006B646E"/>
    <w:rsid w:val="006C0D84"/>
    <w:rsid w:val="006C2C09"/>
    <w:rsid w:val="006C3D8A"/>
    <w:rsid w:val="006C6FE4"/>
    <w:rsid w:val="006C7B6C"/>
    <w:rsid w:val="006D02FD"/>
    <w:rsid w:val="006D437D"/>
    <w:rsid w:val="006E2B24"/>
    <w:rsid w:val="006E314D"/>
    <w:rsid w:val="006E39F6"/>
    <w:rsid w:val="006E6A05"/>
    <w:rsid w:val="006F28C0"/>
    <w:rsid w:val="006F3E4F"/>
    <w:rsid w:val="00702210"/>
    <w:rsid w:val="00702BDE"/>
    <w:rsid w:val="0071090B"/>
    <w:rsid w:val="00715F76"/>
    <w:rsid w:val="0072154A"/>
    <w:rsid w:val="00724537"/>
    <w:rsid w:val="00730531"/>
    <w:rsid w:val="007335A8"/>
    <w:rsid w:val="00736560"/>
    <w:rsid w:val="00743288"/>
    <w:rsid w:val="00750236"/>
    <w:rsid w:val="00753DCA"/>
    <w:rsid w:val="0076494E"/>
    <w:rsid w:val="007659B2"/>
    <w:rsid w:val="00766DC3"/>
    <w:rsid w:val="007673C3"/>
    <w:rsid w:val="00767D13"/>
    <w:rsid w:val="00773FC7"/>
    <w:rsid w:val="007760B6"/>
    <w:rsid w:val="00776294"/>
    <w:rsid w:val="00780913"/>
    <w:rsid w:val="00786EC5"/>
    <w:rsid w:val="0078728E"/>
    <w:rsid w:val="00793231"/>
    <w:rsid w:val="00795B49"/>
    <w:rsid w:val="00796110"/>
    <w:rsid w:val="007972C2"/>
    <w:rsid w:val="007A631F"/>
    <w:rsid w:val="007A7992"/>
    <w:rsid w:val="007B4E67"/>
    <w:rsid w:val="007B5ED5"/>
    <w:rsid w:val="007B6867"/>
    <w:rsid w:val="007C3AF4"/>
    <w:rsid w:val="007C525E"/>
    <w:rsid w:val="007C5683"/>
    <w:rsid w:val="007D1B0B"/>
    <w:rsid w:val="007D7122"/>
    <w:rsid w:val="007E14FF"/>
    <w:rsid w:val="007E2ADF"/>
    <w:rsid w:val="007E4212"/>
    <w:rsid w:val="007E50EA"/>
    <w:rsid w:val="007F14B3"/>
    <w:rsid w:val="007F33EA"/>
    <w:rsid w:val="007F65A4"/>
    <w:rsid w:val="00800417"/>
    <w:rsid w:val="008012D2"/>
    <w:rsid w:val="00801ABC"/>
    <w:rsid w:val="008035F5"/>
    <w:rsid w:val="008041A1"/>
    <w:rsid w:val="00806F7E"/>
    <w:rsid w:val="008103CD"/>
    <w:rsid w:val="00810707"/>
    <w:rsid w:val="00813222"/>
    <w:rsid w:val="008146FC"/>
    <w:rsid w:val="0082283B"/>
    <w:rsid w:val="008231B4"/>
    <w:rsid w:val="00823931"/>
    <w:rsid w:val="00826AAC"/>
    <w:rsid w:val="00830D59"/>
    <w:rsid w:val="00831DD8"/>
    <w:rsid w:val="00833579"/>
    <w:rsid w:val="00840F38"/>
    <w:rsid w:val="00844E65"/>
    <w:rsid w:val="0085307B"/>
    <w:rsid w:val="00855D91"/>
    <w:rsid w:val="00857253"/>
    <w:rsid w:val="0086020F"/>
    <w:rsid w:val="00861231"/>
    <w:rsid w:val="00861E01"/>
    <w:rsid w:val="00867F3C"/>
    <w:rsid w:val="00881A1F"/>
    <w:rsid w:val="00881B9A"/>
    <w:rsid w:val="0088691E"/>
    <w:rsid w:val="0088704B"/>
    <w:rsid w:val="00894B80"/>
    <w:rsid w:val="00895463"/>
    <w:rsid w:val="008963D1"/>
    <w:rsid w:val="008A0084"/>
    <w:rsid w:val="008A35B2"/>
    <w:rsid w:val="008A46E7"/>
    <w:rsid w:val="008A4A19"/>
    <w:rsid w:val="008A5D23"/>
    <w:rsid w:val="008B1177"/>
    <w:rsid w:val="008B476A"/>
    <w:rsid w:val="008B64B3"/>
    <w:rsid w:val="008C754D"/>
    <w:rsid w:val="008D0242"/>
    <w:rsid w:val="008D11FE"/>
    <w:rsid w:val="008D43A5"/>
    <w:rsid w:val="008D489E"/>
    <w:rsid w:val="008D76BE"/>
    <w:rsid w:val="008E135B"/>
    <w:rsid w:val="008E5168"/>
    <w:rsid w:val="008E6109"/>
    <w:rsid w:val="008F3C7E"/>
    <w:rsid w:val="008F4DC8"/>
    <w:rsid w:val="008F5797"/>
    <w:rsid w:val="00900B7F"/>
    <w:rsid w:val="00902888"/>
    <w:rsid w:val="00904F06"/>
    <w:rsid w:val="00911346"/>
    <w:rsid w:val="00911F2E"/>
    <w:rsid w:val="00912090"/>
    <w:rsid w:val="00913D6C"/>
    <w:rsid w:val="009145EE"/>
    <w:rsid w:val="009146C3"/>
    <w:rsid w:val="00915831"/>
    <w:rsid w:val="009160B3"/>
    <w:rsid w:val="00920AB5"/>
    <w:rsid w:val="00924C6A"/>
    <w:rsid w:val="00930C66"/>
    <w:rsid w:val="00935C13"/>
    <w:rsid w:val="009403D0"/>
    <w:rsid w:val="00945013"/>
    <w:rsid w:val="00950ADF"/>
    <w:rsid w:val="00957839"/>
    <w:rsid w:val="00960A46"/>
    <w:rsid w:val="009612DF"/>
    <w:rsid w:val="0096370F"/>
    <w:rsid w:val="0096692F"/>
    <w:rsid w:val="00972404"/>
    <w:rsid w:val="00973603"/>
    <w:rsid w:val="00976FDB"/>
    <w:rsid w:val="00977343"/>
    <w:rsid w:val="00982718"/>
    <w:rsid w:val="00985056"/>
    <w:rsid w:val="00987B1F"/>
    <w:rsid w:val="009946CE"/>
    <w:rsid w:val="009A6F90"/>
    <w:rsid w:val="009A7667"/>
    <w:rsid w:val="009A7701"/>
    <w:rsid w:val="009A7976"/>
    <w:rsid w:val="009B24F8"/>
    <w:rsid w:val="009B600C"/>
    <w:rsid w:val="009B6393"/>
    <w:rsid w:val="009C11CF"/>
    <w:rsid w:val="009C22A9"/>
    <w:rsid w:val="009C25CD"/>
    <w:rsid w:val="009C6F89"/>
    <w:rsid w:val="009E2755"/>
    <w:rsid w:val="009E45AF"/>
    <w:rsid w:val="009E5BF5"/>
    <w:rsid w:val="009F3AEF"/>
    <w:rsid w:val="009F58DF"/>
    <w:rsid w:val="009F65A9"/>
    <w:rsid w:val="00A0111B"/>
    <w:rsid w:val="00A01EA5"/>
    <w:rsid w:val="00A05367"/>
    <w:rsid w:val="00A05B3D"/>
    <w:rsid w:val="00A07811"/>
    <w:rsid w:val="00A107B7"/>
    <w:rsid w:val="00A13372"/>
    <w:rsid w:val="00A1419C"/>
    <w:rsid w:val="00A1759C"/>
    <w:rsid w:val="00A24FE7"/>
    <w:rsid w:val="00A32B1A"/>
    <w:rsid w:val="00A3450D"/>
    <w:rsid w:val="00A43787"/>
    <w:rsid w:val="00A47180"/>
    <w:rsid w:val="00A5341C"/>
    <w:rsid w:val="00A549F7"/>
    <w:rsid w:val="00A563AA"/>
    <w:rsid w:val="00A72810"/>
    <w:rsid w:val="00A72F4B"/>
    <w:rsid w:val="00A753A5"/>
    <w:rsid w:val="00A76355"/>
    <w:rsid w:val="00A8119B"/>
    <w:rsid w:val="00A82922"/>
    <w:rsid w:val="00A82A54"/>
    <w:rsid w:val="00A84AFA"/>
    <w:rsid w:val="00A9448C"/>
    <w:rsid w:val="00A9483D"/>
    <w:rsid w:val="00A9775E"/>
    <w:rsid w:val="00AA0EAC"/>
    <w:rsid w:val="00AA47D6"/>
    <w:rsid w:val="00AA5F38"/>
    <w:rsid w:val="00AA7AA3"/>
    <w:rsid w:val="00AB2FD0"/>
    <w:rsid w:val="00AB3BA8"/>
    <w:rsid w:val="00AB579D"/>
    <w:rsid w:val="00AC2C9D"/>
    <w:rsid w:val="00AC32FE"/>
    <w:rsid w:val="00AC5009"/>
    <w:rsid w:val="00AC54EE"/>
    <w:rsid w:val="00AC680C"/>
    <w:rsid w:val="00AC7503"/>
    <w:rsid w:val="00AD09FF"/>
    <w:rsid w:val="00AD0E11"/>
    <w:rsid w:val="00AD3A71"/>
    <w:rsid w:val="00AD3A94"/>
    <w:rsid w:val="00AD74F8"/>
    <w:rsid w:val="00AE10E9"/>
    <w:rsid w:val="00AE2AA2"/>
    <w:rsid w:val="00AE3CDB"/>
    <w:rsid w:val="00AE5886"/>
    <w:rsid w:val="00AF1C4D"/>
    <w:rsid w:val="00AF1EA2"/>
    <w:rsid w:val="00AF2C67"/>
    <w:rsid w:val="00AF47E9"/>
    <w:rsid w:val="00AF6160"/>
    <w:rsid w:val="00B0086C"/>
    <w:rsid w:val="00B017DC"/>
    <w:rsid w:val="00B1000E"/>
    <w:rsid w:val="00B1796F"/>
    <w:rsid w:val="00B23DCA"/>
    <w:rsid w:val="00B23EA6"/>
    <w:rsid w:val="00B27C21"/>
    <w:rsid w:val="00B3166C"/>
    <w:rsid w:val="00B32598"/>
    <w:rsid w:val="00B32C1A"/>
    <w:rsid w:val="00B353A9"/>
    <w:rsid w:val="00B36BCA"/>
    <w:rsid w:val="00B40CF9"/>
    <w:rsid w:val="00B40F1B"/>
    <w:rsid w:val="00B43EB8"/>
    <w:rsid w:val="00B50FF0"/>
    <w:rsid w:val="00B55F39"/>
    <w:rsid w:val="00B6071B"/>
    <w:rsid w:val="00B61DD3"/>
    <w:rsid w:val="00B66753"/>
    <w:rsid w:val="00B674F5"/>
    <w:rsid w:val="00B67540"/>
    <w:rsid w:val="00B678D9"/>
    <w:rsid w:val="00B7239A"/>
    <w:rsid w:val="00B755D3"/>
    <w:rsid w:val="00B8050B"/>
    <w:rsid w:val="00B81A1B"/>
    <w:rsid w:val="00B8275D"/>
    <w:rsid w:val="00B83D13"/>
    <w:rsid w:val="00B865EC"/>
    <w:rsid w:val="00B865F2"/>
    <w:rsid w:val="00B93DE8"/>
    <w:rsid w:val="00B9584C"/>
    <w:rsid w:val="00B9754B"/>
    <w:rsid w:val="00BA22CB"/>
    <w:rsid w:val="00BA320C"/>
    <w:rsid w:val="00BA4521"/>
    <w:rsid w:val="00BA5E8F"/>
    <w:rsid w:val="00BA7396"/>
    <w:rsid w:val="00BB26BB"/>
    <w:rsid w:val="00BC761F"/>
    <w:rsid w:val="00BD18B7"/>
    <w:rsid w:val="00BD1FDD"/>
    <w:rsid w:val="00BD782C"/>
    <w:rsid w:val="00BE3282"/>
    <w:rsid w:val="00BE476B"/>
    <w:rsid w:val="00BE7649"/>
    <w:rsid w:val="00BF18FF"/>
    <w:rsid w:val="00C0073A"/>
    <w:rsid w:val="00C02930"/>
    <w:rsid w:val="00C103C7"/>
    <w:rsid w:val="00C1070F"/>
    <w:rsid w:val="00C1170A"/>
    <w:rsid w:val="00C1210E"/>
    <w:rsid w:val="00C12B45"/>
    <w:rsid w:val="00C13D6F"/>
    <w:rsid w:val="00C14C91"/>
    <w:rsid w:val="00C14E67"/>
    <w:rsid w:val="00C175CF"/>
    <w:rsid w:val="00C2383E"/>
    <w:rsid w:val="00C35DA7"/>
    <w:rsid w:val="00C46829"/>
    <w:rsid w:val="00C564A2"/>
    <w:rsid w:val="00C63E55"/>
    <w:rsid w:val="00C63EA4"/>
    <w:rsid w:val="00C66B68"/>
    <w:rsid w:val="00C77F85"/>
    <w:rsid w:val="00C815BA"/>
    <w:rsid w:val="00C91637"/>
    <w:rsid w:val="00C934E6"/>
    <w:rsid w:val="00C93DB8"/>
    <w:rsid w:val="00C9733D"/>
    <w:rsid w:val="00CA169B"/>
    <w:rsid w:val="00CA39C2"/>
    <w:rsid w:val="00CA4212"/>
    <w:rsid w:val="00CA6230"/>
    <w:rsid w:val="00CA7474"/>
    <w:rsid w:val="00CB1677"/>
    <w:rsid w:val="00CB2396"/>
    <w:rsid w:val="00CB368B"/>
    <w:rsid w:val="00CB3CF3"/>
    <w:rsid w:val="00CC2479"/>
    <w:rsid w:val="00CC771A"/>
    <w:rsid w:val="00CD3B24"/>
    <w:rsid w:val="00CD5950"/>
    <w:rsid w:val="00CD669E"/>
    <w:rsid w:val="00CE0F57"/>
    <w:rsid w:val="00CE1D76"/>
    <w:rsid w:val="00CE3B1E"/>
    <w:rsid w:val="00CE3CBD"/>
    <w:rsid w:val="00CE7F48"/>
    <w:rsid w:val="00CF0998"/>
    <w:rsid w:val="00CF0B56"/>
    <w:rsid w:val="00CF0BC9"/>
    <w:rsid w:val="00CF3684"/>
    <w:rsid w:val="00CF6619"/>
    <w:rsid w:val="00D02C6D"/>
    <w:rsid w:val="00D0660D"/>
    <w:rsid w:val="00D06946"/>
    <w:rsid w:val="00D0775F"/>
    <w:rsid w:val="00D10845"/>
    <w:rsid w:val="00D10FA7"/>
    <w:rsid w:val="00D1150E"/>
    <w:rsid w:val="00D13060"/>
    <w:rsid w:val="00D17F1F"/>
    <w:rsid w:val="00D201DA"/>
    <w:rsid w:val="00D2231B"/>
    <w:rsid w:val="00D22E9F"/>
    <w:rsid w:val="00D2723D"/>
    <w:rsid w:val="00D2733F"/>
    <w:rsid w:val="00D33043"/>
    <w:rsid w:val="00D339F0"/>
    <w:rsid w:val="00D34C39"/>
    <w:rsid w:val="00D3740B"/>
    <w:rsid w:val="00D37F98"/>
    <w:rsid w:val="00D406FE"/>
    <w:rsid w:val="00D41423"/>
    <w:rsid w:val="00D43657"/>
    <w:rsid w:val="00D46A62"/>
    <w:rsid w:val="00D46B9A"/>
    <w:rsid w:val="00D562FB"/>
    <w:rsid w:val="00D57A81"/>
    <w:rsid w:val="00D6034F"/>
    <w:rsid w:val="00D6087D"/>
    <w:rsid w:val="00D64C60"/>
    <w:rsid w:val="00D64FE6"/>
    <w:rsid w:val="00D6749A"/>
    <w:rsid w:val="00D71741"/>
    <w:rsid w:val="00D76403"/>
    <w:rsid w:val="00D77C9A"/>
    <w:rsid w:val="00D9059D"/>
    <w:rsid w:val="00D91B0F"/>
    <w:rsid w:val="00D96678"/>
    <w:rsid w:val="00D96DE3"/>
    <w:rsid w:val="00DA3590"/>
    <w:rsid w:val="00DA39AC"/>
    <w:rsid w:val="00DA6DFC"/>
    <w:rsid w:val="00DB31AD"/>
    <w:rsid w:val="00DB3B51"/>
    <w:rsid w:val="00DB4B91"/>
    <w:rsid w:val="00DB599C"/>
    <w:rsid w:val="00DB5C0F"/>
    <w:rsid w:val="00DC199B"/>
    <w:rsid w:val="00DC663E"/>
    <w:rsid w:val="00DD063F"/>
    <w:rsid w:val="00DD0779"/>
    <w:rsid w:val="00DD25E4"/>
    <w:rsid w:val="00DD2756"/>
    <w:rsid w:val="00DD2D67"/>
    <w:rsid w:val="00DD2F03"/>
    <w:rsid w:val="00DD6589"/>
    <w:rsid w:val="00DD6C45"/>
    <w:rsid w:val="00DE3C08"/>
    <w:rsid w:val="00DE7467"/>
    <w:rsid w:val="00DF60EA"/>
    <w:rsid w:val="00DF7BF1"/>
    <w:rsid w:val="00E01C77"/>
    <w:rsid w:val="00E02381"/>
    <w:rsid w:val="00E02EA5"/>
    <w:rsid w:val="00E039A9"/>
    <w:rsid w:val="00E16168"/>
    <w:rsid w:val="00E21382"/>
    <w:rsid w:val="00E2531D"/>
    <w:rsid w:val="00E273C4"/>
    <w:rsid w:val="00E27C43"/>
    <w:rsid w:val="00E30D49"/>
    <w:rsid w:val="00E349E7"/>
    <w:rsid w:val="00E34C34"/>
    <w:rsid w:val="00E361FB"/>
    <w:rsid w:val="00E367D0"/>
    <w:rsid w:val="00E514A2"/>
    <w:rsid w:val="00E525B3"/>
    <w:rsid w:val="00E5270F"/>
    <w:rsid w:val="00E536AE"/>
    <w:rsid w:val="00E550E0"/>
    <w:rsid w:val="00E56783"/>
    <w:rsid w:val="00E56FF5"/>
    <w:rsid w:val="00E62762"/>
    <w:rsid w:val="00E63438"/>
    <w:rsid w:val="00E647D5"/>
    <w:rsid w:val="00E7062C"/>
    <w:rsid w:val="00E71134"/>
    <w:rsid w:val="00E73C6B"/>
    <w:rsid w:val="00E74EF1"/>
    <w:rsid w:val="00E76268"/>
    <w:rsid w:val="00E815CB"/>
    <w:rsid w:val="00E826A1"/>
    <w:rsid w:val="00E86DF5"/>
    <w:rsid w:val="00E93183"/>
    <w:rsid w:val="00E954BE"/>
    <w:rsid w:val="00E97199"/>
    <w:rsid w:val="00E976D6"/>
    <w:rsid w:val="00EA548B"/>
    <w:rsid w:val="00EA6FE4"/>
    <w:rsid w:val="00EB5C92"/>
    <w:rsid w:val="00EC09CA"/>
    <w:rsid w:val="00EC14EF"/>
    <w:rsid w:val="00EC28BC"/>
    <w:rsid w:val="00EC5B14"/>
    <w:rsid w:val="00EC5F09"/>
    <w:rsid w:val="00ED3D5A"/>
    <w:rsid w:val="00ED4CD5"/>
    <w:rsid w:val="00ED4E81"/>
    <w:rsid w:val="00ED64F2"/>
    <w:rsid w:val="00ED68A0"/>
    <w:rsid w:val="00EE1D8E"/>
    <w:rsid w:val="00EE3835"/>
    <w:rsid w:val="00EE6639"/>
    <w:rsid w:val="00EE6BFA"/>
    <w:rsid w:val="00EE79FD"/>
    <w:rsid w:val="00EF6870"/>
    <w:rsid w:val="00F00525"/>
    <w:rsid w:val="00F0194D"/>
    <w:rsid w:val="00F0536B"/>
    <w:rsid w:val="00F05674"/>
    <w:rsid w:val="00F06BA4"/>
    <w:rsid w:val="00F102C6"/>
    <w:rsid w:val="00F1394C"/>
    <w:rsid w:val="00F16586"/>
    <w:rsid w:val="00F17E2A"/>
    <w:rsid w:val="00F2572D"/>
    <w:rsid w:val="00F33D7B"/>
    <w:rsid w:val="00F354C6"/>
    <w:rsid w:val="00F3766A"/>
    <w:rsid w:val="00F408AE"/>
    <w:rsid w:val="00F4267A"/>
    <w:rsid w:val="00F43B74"/>
    <w:rsid w:val="00F44891"/>
    <w:rsid w:val="00F455B2"/>
    <w:rsid w:val="00F45CB1"/>
    <w:rsid w:val="00F479E7"/>
    <w:rsid w:val="00F552AB"/>
    <w:rsid w:val="00F56CD9"/>
    <w:rsid w:val="00F578D6"/>
    <w:rsid w:val="00F64663"/>
    <w:rsid w:val="00F65792"/>
    <w:rsid w:val="00F65D6F"/>
    <w:rsid w:val="00F6644A"/>
    <w:rsid w:val="00F66DC2"/>
    <w:rsid w:val="00F706FE"/>
    <w:rsid w:val="00F7138B"/>
    <w:rsid w:val="00F73B9F"/>
    <w:rsid w:val="00F753AD"/>
    <w:rsid w:val="00F75D5F"/>
    <w:rsid w:val="00F77BCD"/>
    <w:rsid w:val="00F804B5"/>
    <w:rsid w:val="00F82C18"/>
    <w:rsid w:val="00F82E74"/>
    <w:rsid w:val="00F84EC8"/>
    <w:rsid w:val="00F85738"/>
    <w:rsid w:val="00F85F51"/>
    <w:rsid w:val="00F86620"/>
    <w:rsid w:val="00F91A62"/>
    <w:rsid w:val="00F92AEF"/>
    <w:rsid w:val="00F93C76"/>
    <w:rsid w:val="00F93CF7"/>
    <w:rsid w:val="00F976D7"/>
    <w:rsid w:val="00FA135B"/>
    <w:rsid w:val="00FA1A88"/>
    <w:rsid w:val="00FA4DD7"/>
    <w:rsid w:val="00FA5497"/>
    <w:rsid w:val="00FA70AD"/>
    <w:rsid w:val="00FB11A5"/>
    <w:rsid w:val="00FC01A5"/>
    <w:rsid w:val="00FC2B68"/>
    <w:rsid w:val="00FC2F00"/>
    <w:rsid w:val="00FC3401"/>
    <w:rsid w:val="00FC5E15"/>
    <w:rsid w:val="00FC641E"/>
    <w:rsid w:val="00FC75A4"/>
    <w:rsid w:val="00FC781D"/>
    <w:rsid w:val="00FD03FB"/>
    <w:rsid w:val="00FD6DAB"/>
    <w:rsid w:val="00FD72F2"/>
    <w:rsid w:val="00FE0317"/>
    <w:rsid w:val="00FE3C5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B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customStyle="1" w:styleId="BodyText21">
    <w:name w:val="Body Text 21"/>
    <w:basedOn w:val="Normal"/>
    <w:rsid w:val="005E56ED"/>
    <w:pPr>
      <w:widowControl w:val="0"/>
      <w:spacing w:after="0" w:line="240" w:lineRule="auto"/>
      <w:jc w:val="both"/>
    </w:pPr>
    <w:rPr>
      <w:rFonts w:ascii="Arial" w:eastAsia="Times New Roman" w:hAnsi="Arial"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790">
      <w:bodyDiv w:val="1"/>
      <w:marLeft w:val="0"/>
      <w:marRight w:val="0"/>
      <w:marTop w:val="0"/>
      <w:marBottom w:val="0"/>
      <w:divBdr>
        <w:top w:val="none" w:sz="0" w:space="0" w:color="auto"/>
        <w:left w:val="none" w:sz="0" w:space="0" w:color="auto"/>
        <w:bottom w:val="none" w:sz="0" w:space="0" w:color="auto"/>
        <w:right w:val="none" w:sz="0" w:space="0" w:color="auto"/>
      </w:divBdr>
    </w:div>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85663455">
      <w:bodyDiv w:val="1"/>
      <w:marLeft w:val="0"/>
      <w:marRight w:val="0"/>
      <w:marTop w:val="0"/>
      <w:marBottom w:val="0"/>
      <w:divBdr>
        <w:top w:val="none" w:sz="0" w:space="0" w:color="auto"/>
        <w:left w:val="none" w:sz="0" w:space="0" w:color="auto"/>
        <w:bottom w:val="none" w:sz="0" w:space="0" w:color="auto"/>
        <w:right w:val="none" w:sz="0" w:space="0" w:color="auto"/>
      </w:divBdr>
    </w:div>
    <w:div w:id="95638553">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09466501">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44921343">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441537489">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571500980">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672420420">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733704846">
      <w:bodyDiv w:val="1"/>
      <w:marLeft w:val="0"/>
      <w:marRight w:val="0"/>
      <w:marTop w:val="0"/>
      <w:marBottom w:val="0"/>
      <w:divBdr>
        <w:top w:val="none" w:sz="0" w:space="0" w:color="auto"/>
        <w:left w:val="none" w:sz="0" w:space="0" w:color="auto"/>
        <w:bottom w:val="none" w:sz="0" w:space="0" w:color="auto"/>
        <w:right w:val="none" w:sz="0" w:space="0" w:color="auto"/>
      </w:divBdr>
    </w:div>
    <w:div w:id="855120157">
      <w:bodyDiv w:val="1"/>
      <w:marLeft w:val="0"/>
      <w:marRight w:val="0"/>
      <w:marTop w:val="0"/>
      <w:marBottom w:val="0"/>
      <w:divBdr>
        <w:top w:val="none" w:sz="0" w:space="0" w:color="auto"/>
        <w:left w:val="none" w:sz="0" w:space="0" w:color="auto"/>
        <w:bottom w:val="none" w:sz="0" w:space="0" w:color="auto"/>
        <w:right w:val="none" w:sz="0" w:space="0" w:color="auto"/>
      </w:divBdr>
    </w:div>
    <w:div w:id="879438332">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172256095">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264915495">
      <w:bodyDiv w:val="1"/>
      <w:marLeft w:val="0"/>
      <w:marRight w:val="0"/>
      <w:marTop w:val="0"/>
      <w:marBottom w:val="0"/>
      <w:divBdr>
        <w:top w:val="none" w:sz="0" w:space="0" w:color="auto"/>
        <w:left w:val="none" w:sz="0" w:space="0" w:color="auto"/>
        <w:bottom w:val="none" w:sz="0" w:space="0" w:color="auto"/>
        <w:right w:val="none" w:sz="0" w:space="0" w:color="auto"/>
      </w:divBdr>
      <w:divsChild>
        <w:div w:id="874658918">
          <w:marLeft w:val="0"/>
          <w:marRight w:val="0"/>
          <w:marTop w:val="0"/>
          <w:marBottom w:val="101"/>
          <w:divBdr>
            <w:top w:val="none" w:sz="0" w:space="0" w:color="auto"/>
            <w:left w:val="none" w:sz="0" w:space="0" w:color="auto"/>
            <w:bottom w:val="none" w:sz="0" w:space="0" w:color="auto"/>
            <w:right w:val="none" w:sz="0" w:space="0" w:color="auto"/>
          </w:divBdr>
        </w:div>
        <w:div w:id="827744168">
          <w:marLeft w:val="0"/>
          <w:marRight w:val="0"/>
          <w:marTop w:val="101"/>
          <w:marBottom w:val="101"/>
          <w:divBdr>
            <w:top w:val="none" w:sz="0" w:space="0" w:color="auto"/>
            <w:left w:val="none" w:sz="0" w:space="0" w:color="auto"/>
            <w:bottom w:val="none" w:sz="0" w:space="0" w:color="auto"/>
            <w:right w:val="none" w:sz="0" w:space="0" w:color="auto"/>
          </w:divBdr>
        </w:div>
      </w:divsChild>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13826588">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12061652">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631474034">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708287932">
      <w:bodyDiv w:val="1"/>
      <w:marLeft w:val="0"/>
      <w:marRight w:val="0"/>
      <w:marTop w:val="0"/>
      <w:marBottom w:val="0"/>
      <w:divBdr>
        <w:top w:val="none" w:sz="0" w:space="0" w:color="auto"/>
        <w:left w:val="none" w:sz="0" w:space="0" w:color="auto"/>
        <w:bottom w:val="none" w:sz="0" w:space="0" w:color="auto"/>
        <w:right w:val="none" w:sz="0" w:space="0" w:color="auto"/>
      </w:divBdr>
    </w:div>
    <w:div w:id="1727101923">
      <w:bodyDiv w:val="1"/>
      <w:marLeft w:val="0"/>
      <w:marRight w:val="0"/>
      <w:marTop w:val="0"/>
      <w:marBottom w:val="0"/>
      <w:divBdr>
        <w:top w:val="none" w:sz="0" w:space="0" w:color="auto"/>
        <w:left w:val="none" w:sz="0" w:space="0" w:color="auto"/>
        <w:bottom w:val="none" w:sz="0" w:space="0" w:color="auto"/>
        <w:right w:val="none" w:sz="0" w:space="0" w:color="auto"/>
      </w:divBdr>
    </w:div>
    <w:div w:id="189107061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0127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2/03/tp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4C46-C4F3-4D6F-8CE6-329C5276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29</Pages>
  <Words>7010</Words>
  <Characters>38555</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cp:revision>
  <dcterms:created xsi:type="dcterms:W3CDTF">2023-03-15T00:05:00Z</dcterms:created>
  <dcterms:modified xsi:type="dcterms:W3CDTF">2023-05-02T21:26:00Z</dcterms:modified>
</cp:coreProperties>
</file>