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0A2C374"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n Metepec, Estado</w:t>
      </w:r>
      <w:r w:rsidR="001D3351">
        <w:rPr>
          <w:rFonts w:ascii="Palatino Linotype" w:hAnsi="Palatino Linotype"/>
          <w:sz w:val="24"/>
          <w:szCs w:val="24"/>
        </w:rPr>
        <w:t xml:space="preserve"> de México; de quince</w:t>
      </w:r>
      <w:r w:rsidRPr="007C7FFD">
        <w:rPr>
          <w:rFonts w:ascii="Palatino Linotype" w:hAnsi="Palatino Linotype"/>
          <w:sz w:val="24"/>
          <w:szCs w:val="24"/>
        </w:rPr>
        <w:t xml:space="preserve"> (</w:t>
      </w:r>
      <w:r w:rsidR="001D3351">
        <w:rPr>
          <w:rFonts w:ascii="Palatino Linotype" w:hAnsi="Palatino Linotype"/>
          <w:sz w:val="24"/>
          <w:szCs w:val="24"/>
        </w:rPr>
        <w:t>15</w:t>
      </w:r>
      <w:bookmarkStart w:id="0" w:name="_GoBack"/>
      <w:bookmarkEnd w:id="0"/>
      <w:r w:rsidR="00BE6E79" w:rsidRPr="007C7FFD">
        <w:rPr>
          <w:rFonts w:ascii="Palatino Linotype" w:hAnsi="Palatino Linotype"/>
          <w:sz w:val="24"/>
          <w:szCs w:val="24"/>
        </w:rPr>
        <w:t xml:space="preserve">) de </w:t>
      </w:r>
      <w:r w:rsidR="00AF085A">
        <w:rPr>
          <w:rFonts w:ascii="Palatino Linotype" w:hAnsi="Palatino Linotype"/>
          <w:sz w:val="24"/>
          <w:szCs w:val="24"/>
        </w:rPr>
        <w:t>marzo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1B14416E"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124A99" w:rsidRPr="00124A99">
        <w:rPr>
          <w:rFonts w:ascii="Palatino Linotype" w:eastAsia="Calibri" w:hAnsi="Palatino Linotype" w:cs="Tahoma"/>
          <w:b/>
          <w:sz w:val="24"/>
          <w:lang w:eastAsia="en-US"/>
        </w:rPr>
        <w:t>00703/INFOEM/IP/RR/2023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C56D1A" w:rsidRPr="00C56D1A">
        <w:rPr>
          <w:rFonts w:ascii="Palatino Linotype" w:hAnsi="Palatino Linotype"/>
          <w:b/>
          <w:sz w:val="24"/>
          <w:szCs w:val="24"/>
        </w:rPr>
        <w:t>Un Usuario del Sistema de Acceso a la Información Mexiquense que no proporcionó su nombre</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AF085A" w:rsidRPr="00C56D1A">
        <w:rPr>
          <w:rFonts w:ascii="Palatino Linotype" w:eastAsia="Calibri" w:hAnsi="Palatino Linotype" w:cs="Arial"/>
          <w:b/>
          <w:sz w:val="24"/>
        </w:rPr>
        <w:t xml:space="preserve">Ayuntamiento de </w:t>
      </w:r>
      <w:r w:rsidR="00AF085A">
        <w:rPr>
          <w:rFonts w:ascii="Palatino Linotype" w:eastAsia="Calibri" w:hAnsi="Palatino Linotype" w:cs="Arial"/>
          <w:b/>
          <w:sz w:val="24"/>
        </w:rPr>
        <w:t>Zinacantepec</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37814582"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124A99">
        <w:rPr>
          <w:rFonts w:ascii="Palatino Linotype" w:eastAsia="Calibri" w:hAnsi="Palatino Linotype" w:cs="Arial"/>
          <w:sz w:val="24"/>
          <w:lang w:val="es-ES"/>
        </w:rPr>
        <w:t>diez</w:t>
      </w:r>
      <w:r w:rsidR="000904E7">
        <w:rPr>
          <w:rFonts w:ascii="Palatino Linotype" w:eastAsia="Calibri" w:hAnsi="Palatino Linotype" w:cs="Arial"/>
          <w:sz w:val="24"/>
          <w:lang w:val="es-ES"/>
        </w:rPr>
        <w:t xml:space="preserve"> (</w:t>
      </w:r>
      <w:r w:rsidR="00124A99">
        <w:rPr>
          <w:rFonts w:ascii="Palatino Linotype" w:eastAsia="Calibri" w:hAnsi="Palatino Linotype" w:cs="Arial"/>
          <w:sz w:val="24"/>
          <w:lang w:val="es-ES"/>
        </w:rPr>
        <w:t>10</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124A99">
        <w:rPr>
          <w:rFonts w:ascii="Palatino Linotype" w:eastAsia="Calibri" w:hAnsi="Palatino Linotype" w:cs="Arial"/>
          <w:sz w:val="24"/>
          <w:lang w:val="es-ES"/>
        </w:rPr>
        <w:t>enero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124A99">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0093</w:t>
      </w:r>
      <w:r w:rsidR="006C28CC" w:rsidRPr="006C28CC">
        <w:rPr>
          <w:rFonts w:ascii="Palatino Linotype" w:hAnsi="Palatino Linotype" w:cs="Arial"/>
          <w:b/>
          <w:sz w:val="24"/>
          <w:lang w:val="es-ES"/>
        </w:rPr>
        <w:t>/</w:t>
      </w:r>
      <w:r w:rsidR="00AF085A">
        <w:rPr>
          <w:rFonts w:ascii="Palatino Linotype" w:hAnsi="Palatino Linotype" w:cs="Arial"/>
          <w:b/>
          <w:sz w:val="24"/>
          <w:lang w:val="es-ES"/>
        </w:rPr>
        <w:t>ZINACANT</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B13121">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7D2FE0D4" w:rsidR="00AF085A" w:rsidRDefault="00124A99" w:rsidP="00124A99">
      <w:pPr>
        <w:pStyle w:val="Prrafodelista"/>
        <w:spacing w:line="360" w:lineRule="auto"/>
        <w:ind w:left="567"/>
        <w:jc w:val="both"/>
        <w:rPr>
          <w:rFonts w:ascii="Palatino Linotype" w:hAnsi="Palatino Linotype"/>
          <w:i/>
        </w:rPr>
      </w:pPr>
      <w:r>
        <w:rPr>
          <w:rFonts w:ascii="Palatino Linotype" w:hAnsi="Palatino Linotype"/>
          <w:i/>
        </w:rPr>
        <w:t>“</w:t>
      </w:r>
      <w:r w:rsidRPr="00124A99">
        <w:rPr>
          <w:rFonts w:ascii="Palatino Linotype" w:hAnsi="Palatino Linotype"/>
          <w:i/>
        </w:rPr>
        <w:t>Solicito las constancias de vecindad emitidas en el año 2022</w:t>
      </w:r>
      <w:r>
        <w:rPr>
          <w:rFonts w:ascii="Palatino Linotype" w:hAnsi="Palatino Linotype"/>
          <w:i/>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E376108" w14:textId="29ECB61D" w:rsidR="004B6D60"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El </w:t>
      </w:r>
      <w:r w:rsidR="00124A99">
        <w:rPr>
          <w:rFonts w:ascii="Palatino Linotype" w:hAnsi="Palatino Linotype" w:cs="Arial"/>
          <w:sz w:val="24"/>
          <w:lang w:val="es-ES"/>
        </w:rPr>
        <w:t>diecisiete</w:t>
      </w:r>
      <w:r w:rsidR="004B6D60">
        <w:rPr>
          <w:rFonts w:ascii="Palatino Linotype" w:hAnsi="Palatino Linotype" w:cs="Arial"/>
          <w:sz w:val="24"/>
          <w:lang w:val="es-ES"/>
        </w:rPr>
        <w:t xml:space="preserve"> (</w:t>
      </w:r>
      <w:r w:rsidR="00124A99">
        <w:rPr>
          <w:rFonts w:ascii="Palatino Linotype" w:hAnsi="Palatino Linotype" w:cs="Arial"/>
          <w:sz w:val="24"/>
          <w:lang w:val="es-ES"/>
        </w:rPr>
        <w:t>17</w:t>
      </w:r>
      <w:r w:rsidR="004B6D60">
        <w:rPr>
          <w:rFonts w:ascii="Palatino Linotype" w:hAnsi="Palatino Linotype" w:cs="Arial"/>
          <w:sz w:val="24"/>
          <w:lang w:val="es-ES"/>
        </w:rPr>
        <w:t xml:space="preserve">) de </w:t>
      </w:r>
      <w:r w:rsidR="00124A99">
        <w:rPr>
          <w:rFonts w:ascii="Palatino Linotype" w:hAnsi="Palatino Linotype" w:cs="Arial"/>
          <w:sz w:val="24"/>
          <w:lang w:val="es-ES"/>
        </w:rPr>
        <w:t>enero</w:t>
      </w:r>
      <w:r w:rsidR="004B6D60">
        <w:rPr>
          <w:rFonts w:ascii="Palatino Linotype" w:hAnsi="Palatino Linotype" w:cs="Arial"/>
          <w:sz w:val="24"/>
          <w:lang w:val="es-ES"/>
        </w:rPr>
        <w:t xml:space="preserve"> </w:t>
      </w:r>
      <w:r>
        <w:rPr>
          <w:rFonts w:ascii="Palatino Linotype" w:hAnsi="Palatino Linotype" w:cs="Arial"/>
          <w:sz w:val="24"/>
          <w:lang w:val="es-ES"/>
        </w:rPr>
        <w:t>de dos mil veinti</w:t>
      </w:r>
      <w:r w:rsidR="00124A99">
        <w:rPr>
          <w:rFonts w:ascii="Palatino Linotype" w:hAnsi="Palatino Linotype" w:cs="Arial"/>
          <w:sz w:val="24"/>
          <w:lang w:val="es-ES"/>
        </w:rPr>
        <w:t>trés</w:t>
      </w:r>
      <w:r>
        <w:rPr>
          <w:rFonts w:ascii="Palatino Linotype" w:hAnsi="Palatino Linotype" w:cs="Arial"/>
          <w:sz w:val="24"/>
          <w:lang w:val="es-ES"/>
        </w:rPr>
        <w:t xml:space="preserve"> solicitó </w:t>
      </w:r>
      <w:r w:rsidR="004B6D60">
        <w:rPr>
          <w:rFonts w:ascii="Palatino Linotype" w:hAnsi="Palatino Linotype" w:cs="Arial"/>
          <w:sz w:val="24"/>
          <w:lang w:val="es-ES"/>
        </w:rPr>
        <w:t xml:space="preserve">una </w:t>
      </w:r>
      <w:r w:rsidR="00AF085A">
        <w:rPr>
          <w:rFonts w:ascii="Palatino Linotype" w:hAnsi="Palatino Linotype" w:cs="Arial"/>
          <w:sz w:val="24"/>
          <w:lang w:val="es-ES"/>
        </w:rPr>
        <w:t>aclaración en los siguientes términos:</w:t>
      </w:r>
    </w:p>
    <w:p w14:paraId="1AC6E23D" w14:textId="77777777" w:rsidR="004B6D60" w:rsidRPr="004B6D60" w:rsidRDefault="004B6D60" w:rsidP="004B6D60">
      <w:pPr>
        <w:pStyle w:val="Prrafodelista"/>
        <w:rPr>
          <w:rFonts w:ascii="Palatino Linotype" w:hAnsi="Palatino Linotype" w:cs="Arial"/>
          <w:sz w:val="24"/>
          <w:lang w:val="es-ES"/>
        </w:rPr>
      </w:pPr>
    </w:p>
    <w:p w14:paraId="03A5FCD3" w14:textId="77777777" w:rsidR="00124A99" w:rsidRPr="00124A99" w:rsidRDefault="00124A99" w:rsidP="00124A99">
      <w:pPr>
        <w:pStyle w:val="Prrafodelista"/>
        <w:rPr>
          <w:rFonts w:ascii="Palatino Linotype" w:hAnsi="Palatino Linotype" w:cs="Arial"/>
          <w:i/>
          <w:lang w:val="es-ES"/>
        </w:rPr>
      </w:pPr>
      <w:r w:rsidRPr="00124A99">
        <w:rPr>
          <w:rFonts w:ascii="Palatino Linotype" w:hAnsi="Palatino Linotype" w:cs="Arial"/>
          <w:i/>
          <w:lang w:val="es-ES"/>
        </w:rPr>
        <w:t xml:space="preserve">Con fundamento en el </w:t>
      </w:r>
      <w:proofErr w:type="spellStart"/>
      <w:proofErr w:type="gramStart"/>
      <w:r w:rsidRPr="00124A99">
        <w:rPr>
          <w:rFonts w:ascii="Palatino Linotype" w:hAnsi="Palatino Linotype" w:cs="Arial"/>
          <w:i/>
          <w:lang w:val="es-ES"/>
        </w:rPr>
        <w:t>articulo</w:t>
      </w:r>
      <w:proofErr w:type="spellEnd"/>
      <w:proofErr w:type="gramEnd"/>
      <w:r w:rsidRPr="00124A99">
        <w:rPr>
          <w:rFonts w:ascii="Palatino Linotype" w:hAnsi="Palatino Linotype" w:cs="Arial"/>
          <w:i/>
          <w:lang w:val="es-ES"/>
        </w:rPr>
        <w:t xml:space="preserve"> 159 de la Ley de Transparencia y Acceso a la Información Pública del Estado de México y Municipios, se le requiere para que dentro del plazo de diez días hábiles realice lo siguiente:</w:t>
      </w:r>
    </w:p>
    <w:p w14:paraId="11E0E64C" w14:textId="77777777" w:rsidR="00124A99" w:rsidRPr="00124A99" w:rsidRDefault="00124A99" w:rsidP="00124A99">
      <w:pPr>
        <w:pStyle w:val="Prrafodelista"/>
        <w:rPr>
          <w:rFonts w:ascii="Palatino Linotype" w:hAnsi="Palatino Linotype" w:cs="Arial"/>
          <w:i/>
          <w:lang w:val="es-ES"/>
        </w:rPr>
      </w:pPr>
      <w:r w:rsidRPr="00124A99">
        <w:rPr>
          <w:rFonts w:ascii="Palatino Linotype" w:hAnsi="Palatino Linotype" w:cs="Arial"/>
          <w:i/>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BEFBB8F" w14:textId="77777777" w:rsidR="00124A99" w:rsidRPr="00124A99" w:rsidRDefault="00124A99" w:rsidP="00124A99">
      <w:pPr>
        <w:pStyle w:val="Prrafodelista"/>
        <w:rPr>
          <w:rFonts w:ascii="Palatino Linotype" w:hAnsi="Palatino Linotype" w:cs="Arial"/>
          <w:i/>
          <w:lang w:val="es-ES"/>
        </w:rPr>
      </w:pPr>
      <w:r w:rsidRPr="00124A99">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6FB67DE" w14:textId="77777777" w:rsidR="00124A99" w:rsidRPr="00124A99" w:rsidRDefault="00124A99" w:rsidP="00124A99">
      <w:pPr>
        <w:pStyle w:val="Prrafodelista"/>
        <w:rPr>
          <w:rFonts w:ascii="Palatino Linotype" w:hAnsi="Palatino Linotype" w:cs="Arial"/>
          <w:i/>
          <w:lang w:val="es-ES"/>
        </w:rPr>
      </w:pPr>
      <w:r w:rsidRPr="00124A99">
        <w:rPr>
          <w:rFonts w:ascii="Palatino Linotype" w:hAnsi="Palatino Linotype" w:cs="Arial"/>
          <w:i/>
          <w:lang w:val="es-ES"/>
        </w:rPr>
        <w:t>ATENTAMENTE</w:t>
      </w:r>
    </w:p>
    <w:p w14:paraId="20A380EF" w14:textId="65CC807E" w:rsidR="00C56D1A" w:rsidRDefault="00124A99" w:rsidP="00124A99">
      <w:pPr>
        <w:pStyle w:val="Prrafodelista"/>
        <w:rPr>
          <w:rFonts w:ascii="Palatino Linotype" w:hAnsi="Palatino Linotype" w:cs="Arial"/>
          <w:i/>
          <w:lang w:val="es-ES"/>
        </w:rPr>
      </w:pPr>
      <w:r w:rsidRPr="00124A99">
        <w:rPr>
          <w:rFonts w:ascii="Palatino Linotype" w:hAnsi="Palatino Linotype" w:cs="Arial"/>
          <w:i/>
          <w:lang w:val="es-ES"/>
        </w:rPr>
        <w:t>ING. JESUS EMMANUEL ENCASTIN RENDON</w:t>
      </w:r>
    </w:p>
    <w:p w14:paraId="716A6199" w14:textId="77777777" w:rsidR="00124A99" w:rsidRPr="00C56D1A" w:rsidRDefault="00124A99" w:rsidP="00124A99">
      <w:pPr>
        <w:pStyle w:val="Prrafodelista"/>
        <w:rPr>
          <w:rFonts w:ascii="Palatino Linotype" w:hAnsi="Palatino Linotype" w:cs="Arial"/>
          <w:sz w:val="24"/>
          <w:lang w:val="es-ES"/>
        </w:rPr>
      </w:pPr>
    </w:p>
    <w:p w14:paraId="6381C337" w14:textId="249CBAF9" w:rsidR="00AF085A" w:rsidRDefault="00124A99"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El dieciocho</w:t>
      </w:r>
      <w:r w:rsidR="00AF085A">
        <w:rPr>
          <w:rFonts w:ascii="Palatino Linotype" w:hAnsi="Palatino Linotype" w:cs="Arial"/>
          <w:sz w:val="24"/>
          <w:lang w:val="es-ES"/>
        </w:rPr>
        <w:t xml:space="preserve"> (</w:t>
      </w:r>
      <w:r>
        <w:rPr>
          <w:rFonts w:ascii="Palatino Linotype" w:hAnsi="Palatino Linotype" w:cs="Arial"/>
          <w:sz w:val="24"/>
          <w:lang w:val="es-ES"/>
        </w:rPr>
        <w:t>18</w:t>
      </w:r>
      <w:r w:rsidR="00AF085A">
        <w:rPr>
          <w:rFonts w:ascii="Palatino Linotype" w:hAnsi="Palatino Linotype" w:cs="Arial"/>
          <w:sz w:val="24"/>
          <w:lang w:val="es-ES"/>
        </w:rPr>
        <w:t xml:space="preserve">) de </w:t>
      </w:r>
      <w:r>
        <w:rPr>
          <w:rFonts w:ascii="Palatino Linotype" w:hAnsi="Palatino Linotype" w:cs="Arial"/>
          <w:sz w:val="24"/>
          <w:lang w:val="es-ES"/>
        </w:rPr>
        <w:t>enero</w:t>
      </w:r>
      <w:r w:rsidR="00AF085A">
        <w:rPr>
          <w:rFonts w:ascii="Palatino Linotype" w:hAnsi="Palatino Linotype" w:cs="Arial"/>
          <w:sz w:val="24"/>
          <w:lang w:val="es-ES"/>
        </w:rPr>
        <w:t xml:space="preserve"> de dos mil veinti</w:t>
      </w:r>
      <w:r w:rsidR="006C47C8">
        <w:rPr>
          <w:rFonts w:ascii="Palatino Linotype" w:hAnsi="Palatino Linotype" w:cs="Arial"/>
          <w:sz w:val="24"/>
          <w:lang w:val="es-ES"/>
        </w:rPr>
        <w:t>trés</w:t>
      </w:r>
      <w:r w:rsidR="00AF085A">
        <w:rPr>
          <w:rFonts w:ascii="Palatino Linotype" w:hAnsi="Palatino Linotype" w:cs="Arial"/>
          <w:sz w:val="24"/>
          <w:lang w:val="es-ES"/>
        </w:rPr>
        <w:t>, el particular contestó la aclaración en los siguientes términos:</w:t>
      </w:r>
    </w:p>
    <w:p w14:paraId="1342A274" w14:textId="77777777" w:rsidR="00124A99" w:rsidRDefault="00124A99" w:rsidP="00124A99">
      <w:pPr>
        <w:pStyle w:val="Prrafodelista"/>
        <w:spacing w:line="360" w:lineRule="auto"/>
        <w:ind w:left="0"/>
        <w:jc w:val="both"/>
        <w:rPr>
          <w:rFonts w:ascii="Palatino Linotype" w:hAnsi="Palatino Linotype" w:cs="Arial"/>
          <w:sz w:val="24"/>
          <w:lang w:val="es-ES"/>
        </w:rPr>
      </w:pPr>
    </w:p>
    <w:p w14:paraId="6804D40E" w14:textId="743C8805" w:rsidR="00AF085A" w:rsidRPr="00AF085A" w:rsidRDefault="00124A99" w:rsidP="00124A99">
      <w:pPr>
        <w:tabs>
          <w:tab w:val="left" w:pos="142"/>
        </w:tabs>
        <w:ind w:left="567"/>
        <w:rPr>
          <w:rFonts w:ascii="Palatino Linotype" w:hAnsi="Palatino Linotype"/>
          <w:i/>
          <w:sz w:val="40"/>
          <w:szCs w:val="24"/>
          <w:lang w:eastAsia="es-MX"/>
        </w:rPr>
      </w:pPr>
      <w:r>
        <w:rPr>
          <w:rFonts w:ascii="Palatino Linotype" w:hAnsi="Palatino Linotype"/>
          <w:i/>
          <w:sz w:val="22"/>
          <w:szCs w:val="14"/>
          <w:lang w:eastAsia="es-MX"/>
        </w:rPr>
        <w:t>LA SOLICITUD ES MUY ESPECÍFICA</w:t>
      </w:r>
    </w:p>
    <w:p w14:paraId="24867B19" w14:textId="77777777" w:rsidR="00AF085A" w:rsidRPr="00AF085A" w:rsidRDefault="00AF085A" w:rsidP="00AF085A">
      <w:pPr>
        <w:pStyle w:val="Prrafodelista"/>
        <w:spacing w:line="360" w:lineRule="auto"/>
        <w:ind w:left="0"/>
        <w:jc w:val="both"/>
        <w:rPr>
          <w:rFonts w:ascii="Palatino Linotype" w:hAnsi="Palatino Linotype" w:cs="Arial"/>
          <w:sz w:val="24"/>
          <w:lang w:val="es-ES"/>
        </w:rPr>
      </w:pPr>
    </w:p>
    <w:p w14:paraId="4E07FD3A" w14:textId="6D6C600B" w:rsidR="00AF085A" w:rsidRPr="00AF085A"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sz w:val="24"/>
          <w:lang w:val="es-ES"/>
        </w:rPr>
        <w:t xml:space="preserve">El Sujeto Obligado </w:t>
      </w:r>
      <w:r w:rsidR="00124A99">
        <w:rPr>
          <w:rFonts w:ascii="Palatino Linotype" w:eastAsia="Calibri" w:hAnsi="Palatino Linotype"/>
          <w:sz w:val="24"/>
          <w:lang w:val="es-ES"/>
        </w:rPr>
        <w:t>el nueve</w:t>
      </w:r>
      <w:r w:rsidR="00AF085A">
        <w:rPr>
          <w:rFonts w:ascii="Palatino Linotype" w:eastAsia="Calibri" w:hAnsi="Palatino Linotype"/>
          <w:sz w:val="24"/>
          <w:lang w:val="es-ES"/>
        </w:rPr>
        <w:t xml:space="preserve"> (</w:t>
      </w:r>
      <w:r w:rsidR="00124A99">
        <w:rPr>
          <w:rFonts w:ascii="Palatino Linotype" w:eastAsia="Calibri" w:hAnsi="Palatino Linotype"/>
          <w:sz w:val="24"/>
          <w:lang w:val="es-ES"/>
        </w:rPr>
        <w:t>09</w:t>
      </w:r>
      <w:r w:rsidR="00AF085A">
        <w:rPr>
          <w:rFonts w:ascii="Palatino Linotype" w:eastAsia="Calibri" w:hAnsi="Palatino Linotype"/>
          <w:sz w:val="24"/>
          <w:lang w:val="es-ES"/>
        </w:rPr>
        <w:t xml:space="preserve">) de </w:t>
      </w:r>
      <w:r w:rsidR="00124A99">
        <w:rPr>
          <w:rFonts w:ascii="Palatino Linotype" w:eastAsia="Calibri" w:hAnsi="Palatino Linotype"/>
          <w:sz w:val="24"/>
          <w:lang w:val="es-ES"/>
        </w:rPr>
        <w:t>febrero</w:t>
      </w:r>
      <w:r w:rsidR="00AF085A">
        <w:rPr>
          <w:rFonts w:ascii="Palatino Linotype" w:eastAsia="Calibri" w:hAnsi="Palatino Linotype"/>
          <w:sz w:val="24"/>
          <w:lang w:val="es-ES"/>
        </w:rPr>
        <w:t xml:space="preserve"> de dos mil veinti</w:t>
      </w:r>
      <w:r w:rsidR="00124A99">
        <w:rPr>
          <w:rFonts w:ascii="Palatino Linotype" w:eastAsia="Calibri" w:hAnsi="Palatino Linotype"/>
          <w:sz w:val="24"/>
          <w:lang w:val="es-ES"/>
        </w:rPr>
        <w:t>trés</w:t>
      </w:r>
      <w:r w:rsidR="00AF085A">
        <w:rPr>
          <w:rFonts w:ascii="Palatino Linotype" w:eastAsia="Calibri" w:hAnsi="Palatino Linotype"/>
          <w:sz w:val="24"/>
          <w:lang w:val="es-ES"/>
        </w:rPr>
        <w:t>, dio respuesta a la solicitud en los siguientes términos:</w:t>
      </w:r>
    </w:p>
    <w:p w14:paraId="24A4392F" w14:textId="77777777" w:rsidR="00ED737F" w:rsidRPr="00ED737F" w:rsidRDefault="00ED737F" w:rsidP="00ED737F">
      <w:pPr>
        <w:pStyle w:val="Prrafodelista"/>
        <w:spacing w:before="240" w:after="240" w:line="360" w:lineRule="auto"/>
        <w:ind w:left="0"/>
        <w:jc w:val="both"/>
        <w:rPr>
          <w:rFonts w:ascii="Palatino Linotype" w:hAnsi="Palatino Linotype" w:cs="Arial"/>
          <w:i/>
          <w:sz w:val="24"/>
        </w:rPr>
      </w:pPr>
    </w:p>
    <w:p w14:paraId="65B5CD86" w14:textId="60AAA674" w:rsidR="00124A99" w:rsidRPr="00124A99" w:rsidRDefault="00124A99" w:rsidP="00124A99">
      <w:pPr>
        <w:pStyle w:val="Prrafodelista"/>
        <w:ind w:right="822"/>
        <w:rPr>
          <w:rFonts w:ascii="Palatino Linotype" w:hAnsi="Palatino Linotype" w:cs="Arial"/>
          <w:i/>
          <w:sz w:val="24"/>
        </w:rPr>
      </w:pPr>
      <w:r>
        <w:rPr>
          <w:rFonts w:ascii="Palatino Linotype" w:hAnsi="Palatino Linotype" w:cs="Arial"/>
          <w:i/>
          <w:sz w:val="24"/>
        </w:rPr>
        <w:t>“</w:t>
      </w:r>
      <w:r w:rsidRPr="00124A99">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9A814C" w14:textId="77777777" w:rsidR="00124A99" w:rsidRPr="00124A99" w:rsidRDefault="00124A99" w:rsidP="00124A99">
      <w:pPr>
        <w:pStyle w:val="Prrafodelista"/>
        <w:ind w:right="822"/>
        <w:rPr>
          <w:rFonts w:ascii="Palatino Linotype" w:hAnsi="Palatino Linotype" w:cs="Arial"/>
          <w:i/>
          <w:sz w:val="24"/>
        </w:rPr>
      </w:pPr>
      <w:r w:rsidRPr="00124A99">
        <w:rPr>
          <w:rFonts w:ascii="Palatino Linotype" w:hAnsi="Palatino Linotype" w:cs="Arial"/>
          <w:i/>
          <w:sz w:val="24"/>
        </w:rPr>
        <w:lastRenderedPageBreak/>
        <w:t>Se adjunta la respuesta a la solicitud interpuesta a través de la plataforma digital.</w:t>
      </w:r>
    </w:p>
    <w:p w14:paraId="645EFE80" w14:textId="77777777" w:rsidR="00124A99" w:rsidRPr="00124A99" w:rsidRDefault="00124A99" w:rsidP="00124A99">
      <w:pPr>
        <w:pStyle w:val="Prrafodelista"/>
        <w:ind w:right="822"/>
        <w:rPr>
          <w:rFonts w:ascii="Palatino Linotype" w:hAnsi="Palatino Linotype" w:cs="Arial"/>
          <w:i/>
          <w:sz w:val="24"/>
        </w:rPr>
      </w:pPr>
      <w:r w:rsidRPr="00124A99">
        <w:rPr>
          <w:rFonts w:ascii="Palatino Linotype" w:hAnsi="Palatino Linotype" w:cs="Arial"/>
          <w:i/>
          <w:sz w:val="24"/>
        </w:rPr>
        <w:t>ATENTAMENTE</w:t>
      </w:r>
    </w:p>
    <w:p w14:paraId="5E20321E" w14:textId="50FE6984" w:rsidR="00AF085A" w:rsidRDefault="00124A99" w:rsidP="00124A99">
      <w:pPr>
        <w:pStyle w:val="Prrafodelista"/>
        <w:ind w:right="822"/>
        <w:rPr>
          <w:rFonts w:ascii="Palatino Linotype" w:hAnsi="Palatino Linotype" w:cs="Arial"/>
          <w:i/>
          <w:sz w:val="24"/>
        </w:rPr>
      </w:pPr>
      <w:r w:rsidRPr="00124A99">
        <w:rPr>
          <w:rFonts w:ascii="Palatino Linotype" w:hAnsi="Palatino Linotype" w:cs="Arial"/>
          <w:i/>
          <w:sz w:val="24"/>
        </w:rPr>
        <w:t>ING. JESUS EMMANUEL ENCASTIN RENDON</w:t>
      </w:r>
      <w:r>
        <w:rPr>
          <w:rFonts w:ascii="Palatino Linotype" w:hAnsi="Palatino Linotype" w:cs="Arial"/>
          <w:i/>
          <w:sz w:val="24"/>
        </w:rPr>
        <w:t>”</w:t>
      </w:r>
    </w:p>
    <w:p w14:paraId="293BEEF3" w14:textId="77777777" w:rsidR="00124A99" w:rsidRPr="00AF085A" w:rsidRDefault="00124A99" w:rsidP="00124A99">
      <w:pPr>
        <w:pStyle w:val="Prrafodelista"/>
        <w:rPr>
          <w:rFonts w:ascii="Palatino Linotype" w:eastAsia="Calibri" w:hAnsi="Palatino Linotype" w:cs="Arial"/>
          <w:sz w:val="24"/>
          <w:lang w:val="es-AR"/>
        </w:rPr>
      </w:pPr>
    </w:p>
    <w:p w14:paraId="56329C14" w14:textId="2A718049" w:rsidR="00124A99" w:rsidRPr="00124A99" w:rsidRDefault="00AF085A"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 xml:space="preserve">El Sujeto Obligado adjuntó el documento electrónico denominado </w:t>
      </w:r>
      <w:r w:rsidRPr="00124A99">
        <w:rPr>
          <w:rFonts w:ascii="Palatino Linotype" w:hAnsi="Palatino Linotype" w:cs="Arial"/>
          <w:b/>
          <w:sz w:val="24"/>
        </w:rPr>
        <w:t xml:space="preserve">respuesta de solicitud </w:t>
      </w:r>
      <w:r w:rsidR="00124A99">
        <w:rPr>
          <w:rFonts w:ascii="Palatino Linotype" w:hAnsi="Palatino Linotype" w:cs="Arial"/>
          <w:b/>
          <w:sz w:val="24"/>
        </w:rPr>
        <w:t>00093</w:t>
      </w:r>
      <w:r w:rsidRPr="00124A99">
        <w:rPr>
          <w:rFonts w:ascii="Palatino Linotype" w:hAnsi="Palatino Linotype" w:cs="Arial"/>
          <w:b/>
          <w:sz w:val="24"/>
        </w:rPr>
        <w:t>-2</w:t>
      </w:r>
      <w:r w:rsidR="00124A99">
        <w:rPr>
          <w:rFonts w:ascii="Palatino Linotype" w:hAnsi="Palatino Linotype" w:cs="Arial"/>
          <w:b/>
          <w:sz w:val="24"/>
        </w:rPr>
        <w:t>3</w:t>
      </w:r>
      <w:r w:rsidRPr="00124A99">
        <w:rPr>
          <w:rFonts w:ascii="Palatino Linotype" w:hAnsi="Palatino Linotype" w:cs="Arial"/>
          <w:b/>
          <w:sz w:val="24"/>
        </w:rPr>
        <w:t>.pdf</w:t>
      </w:r>
      <w:r>
        <w:rPr>
          <w:rFonts w:ascii="Palatino Linotype" w:hAnsi="Palatino Linotype" w:cs="Arial"/>
          <w:sz w:val="24"/>
        </w:rPr>
        <w:t xml:space="preserve">, </w:t>
      </w:r>
      <w:r w:rsidR="00124A99">
        <w:rPr>
          <w:rFonts w:ascii="Palatino Linotype" w:hAnsi="Palatino Linotype" w:cs="Arial"/>
          <w:sz w:val="24"/>
        </w:rPr>
        <w:t>Documento suscrito por el Titular de la Unidad de Transparencia, mediante el cual refiere que la solicitud del particular se trata de un derecho de petición y no un derecho de acceso a la información, por lo que exhorta al particular a acudir a la Oficialía de Partes para ser atendido en un horario de 9:00 a 18:00 horas de lunes a viernes.</w:t>
      </w:r>
    </w:p>
    <w:p w14:paraId="3895329F" w14:textId="77777777" w:rsidR="00124A99" w:rsidRPr="00124A99" w:rsidRDefault="00124A99" w:rsidP="00124A99">
      <w:pPr>
        <w:pStyle w:val="Prrafodelista"/>
        <w:spacing w:before="240" w:after="240" w:line="360" w:lineRule="auto"/>
        <w:ind w:left="0"/>
        <w:jc w:val="both"/>
        <w:rPr>
          <w:rFonts w:ascii="Palatino Linotype" w:hAnsi="Palatino Linotype" w:cs="Arial"/>
          <w:i/>
          <w:sz w:val="24"/>
        </w:rPr>
      </w:pPr>
    </w:p>
    <w:p w14:paraId="518CDCD9" w14:textId="572EE0D0"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124A99">
        <w:rPr>
          <w:rFonts w:ascii="Palatino Linotype" w:eastAsia="Calibri" w:hAnsi="Palatino Linotype" w:cs="Arial"/>
          <w:sz w:val="24"/>
          <w:lang w:val="es-AR"/>
        </w:rPr>
        <w:t>trece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124A99">
        <w:rPr>
          <w:rFonts w:ascii="Palatino Linotype" w:eastAsia="Calibri" w:hAnsi="Palatino Linotype" w:cs="Arial"/>
          <w:sz w:val="24"/>
          <w:lang w:val="es-AR"/>
        </w:rPr>
        <w:t>13</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124A99">
        <w:rPr>
          <w:rFonts w:ascii="Palatino Linotype" w:eastAsia="Calibri" w:hAnsi="Palatino Linotype" w:cs="Arial"/>
          <w:sz w:val="24"/>
          <w:lang w:val="es-AR"/>
        </w:rPr>
        <w:t>febrero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7D93FAC4"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4E3B47" w:rsidRPr="004E3B47">
        <w:rPr>
          <w:rFonts w:ascii="Palatino Linotype" w:hAnsi="Palatino Linotype"/>
          <w:bCs/>
          <w:i/>
          <w:iCs/>
          <w:sz w:val="24"/>
        </w:rPr>
        <w:t>NO ENTREGA INFORMACIÓN</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66451561"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4E3B47" w:rsidRPr="004E3B47">
        <w:rPr>
          <w:rFonts w:ascii="Palatino Linotype" w:hAnsi="Palatino Linotype"/>
          <w:bCs/>
          <w:i/>
          <w:iCs/>
          <w:sz w:val="24"/>
        </w:rPr>
        <w:t>NO ENTREGA INFORMACIÓN</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2"/>
    <w:bookmarkEnd w:id="3"/>
    <w:bookmarkEnd w:id="4"/>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w:t>
      </w:r>
      <w:r w:rsidRPr="007C7FFD">
        <w:rPr>
          <w:rFonts w:ascii="Palatino Linotype" w:eastAsia="Calibri" w:hAnsi="Palatino Linotype" w:cs="Arial"/>
          <w:b/>
          <w:sz w:val="24"/>
          <w:lang w:val="es-ES"/>
        </w:rPr>
        <w:lastRenderedPageBreak/>
        <w:t xml:space="preserve">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D78C08C"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6C47C8">
        <w:rPr>
          <w:rFonts w:ascii="Palatino Linotype" w:eastAsia="Calibri" w:hAnsi="Palatino Linotype" w:cs="Arial"/>
          <w:sz w:val="24"/>
          <w:lang w:val="es-ES"/>
        </w:rPr>
        <w:t>dieciséis</w:t>
      </w:r>
      <w:r w:rsidR="00ED737F">
        <w:rPr>
          <w:rFonts w:ascii="Palatino Linotype" w:eastAsia="Calibri" w:hAnsi="Palatino Linotype" w:cs="Arial"/>
          <w:sz w:val="24"/>
          <w:lang w:val="es-ES"/>
        </w:rPr>
        <w:t xml:space="preserve"> (</w:t>
      </w:r>
      <w:r w:rsidR="006C47C8">
        <w:rPr>
          <w:rFonts w:ascii="Palatino Linotype" w:eastAsia="Calibri" w:hAnsi="Palatino Linotype" w:cs="Arial"/>
          <w:sz w:val="24"/>
          <w:lang w:val="es-ES"/>
        </w:rPr>
        <w:t>16</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6C47C8">
        <w:rPr>
          <w:rFonts w:ascii="Palatino Linotype" w:eastAsia="Calibri" w:hAnsi="Palatino Linotype" w:cs="Arial"/>
          <w:sz w:val="24"/>
          <w:lang w:val="es-ES"/>
        </w:rPr>
        <w:t>febrero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6A5B3467" w14:textId="77777777" w:rsidR="006C47C8" w:rsidRPr="006C47C8"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 xml:space="preserve">SUJETO OBLIGADO </w:t>
      </w:r>
      <w:r w:rsidRPr="006C47C8">
        <w:rPr>
          <w:rFonts w:ascii="Palatino Linotype" w:hAnsi="Palatino Linotype"/>
          <w:color w:val="000000"/>
          <w:sz w:val="24"/>
          <w:lang w:val="es-ES_tradnl"/>
        </w:rPr>
        <w:t xml:space="preserve">no rindió informe justificado para manifestar lo que a su derecho conviniera; por su parte el </w:t>
      </w:r>
      <w:r w:rsidRPr="006C47C8">
        <w:rPr>
          <w:rFonts w:ascii="Palatino Linotype" w:hAnsi="Palatino Linotype"/>
          <w:b/>
          <w:color w:val="000000"/>
          <w:sz w:val="24"/>
          <w:lang w:val="es-ES_tradnl"/>
        </w:rPr>
        <w:t xml:space="preserve">RECURRENTE </w:t>
      </w:r>
      <w:r w:rsidRPr="006C47C8">
        <w:rPr>
          <w:rFonts w:ascii="Palatino Linotype" w:hAnsi="Palatino Linotype"/>
          <w:color w:val="000000"/>
          <w:sz w:val="24"/>
          <w:lang w:val="es-ES_tradnl"/>
        </w:rPr>
        <w:t xml:space="preserve">no presentó alegatos ni ofreció medios de prueba, según constancias del Sistema de Acceso a la Información Mexiquense </w:t>
      </w:r>
      <w:r w:rsidRPr="006C47C8">
        <w:rPr>
          <w:rFonts w:ascii="Palatino Linotype" w:hAnsi="Palatino Linotype"/>
          <w:b/>
          <w:color w:val="000000"/>
          <w:sz w:val="24"/>
          <w:lang w:val="es-ES_tradnl"/>
        </w:rPr>
        <w:t xml:space="preserve">SAIMEX, </w:t>
      </w:r>
      <w:r w:rsidRPr="006C47C8">
        <w:rPr>
          <w:rFonts w:ascii="Palatino Linotype" w:hAnsi="Palatino Linotype"/>
          <w:bCs/>
          <w:color w:val="000000"/>
          <w:sz w:val="24"/>
          <w:lang w:val="es-ES_tradnl"/>
        </w:rPr>
        <w:t>se inserta imagen de referencia.</w:t>
      </w:r>
    </w:p>
    <w:p w14:paraId="42C9B5F3" w14:textId="77777777" w:rsidR="006C47C8" w:rsidRPr="006C47C8" w:rsidRDefault="006C47C8" w:rsidP="006C47C8">
      <w:pPr>
        <w:tabs>
          <w:tab w:val="left" w:pos="284"/>
        </w:tabs>
        <w:spacing w:before="240" w:after="240" w:line="360" w:lineRule="auto"/>
        <w:contextualSpacing/>
        <w:jc w:val="both"/>
        <w:rPr>
          <w:rFonts w:ascii="Palatino Linotype" w:hAnsi="Palatino Linotype"/>
          <w:i/>
          <w:color w:val="000000"/>
          <w:sz w:val="24"/>
          <w:lang w:val="es-ES_tradnl"/>
        </w:rPr>
      </w:pPr>
    </w:p>
    <w:p w14:paraId="47F644A2" w14:textId="01A02BAF" w:rsidR="006C47C8" w:rsidRPr="00BC6FDD" w:rsidRDefault="006C47C8" w:rsidP="006C47C8">
      <w:pPr>
        <w:spacing w:before="240" w:after="240" w:line="360" w:lineRule="auto"/>
        <w:jc w:val="both"/>
        <w:rPr>
          <w:rFonts w:ascii="Palatino Linotype" w:hAnsi="Palatino Linotype"/>
          <w:i/>
          <w:color w:val="000000"/>
        </w:rPr>
      </w:pPr>
      <w:r w:rsidRPr="006C47C8">
        <w:rPr>
          <w:rFonts w:ascii="Palatino Linotype" w:hAnsi="Palatino Linotype"/>
          <w:i/>
          <w:noProof/>
          <w:color w:val="000000"/>
          <w:lang w:eastAsia="es-MX"/>
        </w:rPr>
        <w:drawing>
          <wp:inline distT="0" distB="0" distL="0" distR="0" wp14:anchorId="78B8982F" wp14:editId="379BDD40">
            <wp:extent cx="5742940" cy="16465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46555"/>
                    </a:xfrm>
                    <a:prstGeom prst="rect">
                      <a:avLst/>
                    </a:prstGeom>
                  </pic:spPr>
                </pic:pic>
              </a:graphicData>
            </a:graphic>
          </wp:inline>
        </w:drawing>
      </w:r>
    </w:p>
    <w:p w14:paraId="4DB3E64C" w14:textId="77777777" w:rsidR="006C47C8" w:rsidRPr="006C47C8" w:rsidRDefault="006C47C8" w:rsidP="006C47C8">
      <w:pPr>
        <w:pStyle w:val="Prrafodelista"/>
        <w:numPr>
          <w:ilvl w:val="0"/>
          <w:numId w:val="2"/>
        </w:numPr>
        <w:tabs>
          <w:tab w:val="left" w:pos="284"/>
        </w:tabs>
        <w:spacing w:line="360" w:lineRule="auto"/>
        <w:ind w:left="0" w:firstLine="0"/>
        <w:jc w:val="both"/>
        <w:rPr>
          <w:rFonts w:ascii="Palatino Linotype" w:hAnsi="Palatino Linotype" w:cs="Arial"/>
          <w:sz w:val="24"/>
        </w:rPr>
      </w:pPr>
      <w:r w:rsidRPr="006C47C8">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996DD96" w14:textId="77777777" w:rsidR="006C47C8" w:rsidRPr="00B76C1D" w:rsidRDefault="006C47C8" w:rsidP="006C47C8">
      <w:pPr>
        <w:pStyle w:val="Prrafodelista"/>
        <w:tabs>
          <w:tab w:val="left" w:pos="284"/>
        </w:tabs>
        <w:spacing w:line="360" w:lineRule="auto"/>
        <w:ind w:left="0"/>
        <w:jc w:val="both"/>
        <w:rPr>
          <w:rFonts w:ascii="Palatino Linotype" w:hAnsi="Palatino Linotype" w:cs="Arial"/>
        </w:rPr>
      </w:pPr>
    </w:p>
    <w:p w14:paraId="7BBF6D26" w14:textId="77777777" w:rsidR="006C47C8" w:rsidRPr="00B76C1D" w:rsidRDefault="006C47C8" w:rsidP="006C47C8">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t>QUEJA, RECURSO DE. LA OMISION DE RENDIR EL INFORME RESPECTIVO NO IMPIDE QUE SE RESUELV</w:t>
      </w:r>
      <w:r w:rsidRPr="00B76C1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9CB4AB4" w14:textId="77777777" w:rsidR="006C47C8" w:rsidRPr="00B76C1D" w:rsidRDefault="006C47C8" w:rsidP="006C47C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06FDDDFF" w14:textId="77777777" w:rsidR="006C47C8" w:rsidRPr="006C47C8" w:rsidRDefault="006C47C8" w:rsidP="006C47C8">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6C47C8">
        <w:rPr>
          <w:rFonts w:ascii="Palatino Linotype" w:hAnsi="Palatino Linotype" w:cs="Arial"/>
          <w:color w:val="222222"/>
          <w:sz w:val="24"/>
        </w:rPr>
        <w:t xml:space="preserve">Por lo cual se reitera, que la falta de informe justificado no impide que este Órgano Garante conozca y resuelva el recurso de revisión, solo propicia que </w:t>
      </w:r>
      <w:r w:rsidRPr="006C47C8">
        <w:rPr>
          <w:rFonts w:ascii="Palatino Linotype" w:hAnsi="Palatino Linotype" w:cs="Arial"/>
          <w:color w:val="222222"/>
          <w:sz w:val="24"/>
        </w:rPr>
        <w:lastRenderedPageBreak/>
        <w:t>el </w:t>
      </w:r>
      <w:r w:rsidRPr="006C47C8">
        <w:rPr>
          <w:rFonts w:ascii="Palatino Linotype" w:hAnsi="Palatino Linotype" w:cs="Arial"/>
          <w:b/>
          <w:bCs/>
          <w:color w:val="222222"/>
          <w:sz w:val="24"/>
        </w:rPr>
        <w:t>SUJETO OBLIGADO</w:t>
      </w:r>
      <w:r w:rsidRPr="006C47C8">
        <w:rPr>
          <w:rFonts w:ascii="Palatino Linotype" w:hAnsi="Palatino Linotype" w:cs="Arial"/>
          <w:color w:val="222222"/>
          <w:sz w:val="24"/>
        </w:rPr>
        <w:t> pierda la oportunidad de justificar su falta de respuesta y manifestar lo que a su derecho convenga.</w:t>
      </w:r>
    </w:p>
    <w:p w14:paraId="7183BF1C" w14:textId="77777777" w:rsidR="006C47C8" w:rsidRPr="006C47C8" w:rsidRDefault="006C47C8" w:rsidP="006C47C8">
      <w:pPr>
        <w:pStyle w:val="Prrafodelista"/>
        <w:tabs>
          <w:tab w:val="left" w:pos="284"/>
        </w:tabs>
        <w:spacing w:line="360" w:lineRule="auto"/>
        <w:ind w:left="0"/>
        <w:jc w:val="both"/>
        <w:rPr>
          <w:rFonts w:ascii="Palatino Linotype" w:hAnsi="Palatino Linotype" w:cs="Arial"/>
          <w:b/>
          <w:bCs/>
          <w:sz w:val="24"/>
          <w:lang w:eastAsia="es-MX"/>
        </w:rPr>
      </w:pPr>
    </w:p>
    <w:p w14:paraId="04016115" w14:textId="658F85FC" w:rsidR="00BC6FDD"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t xml:space="preserve">El </w:t>
      </w:r>
      <w:r w:rsidR="006C47C8">
        <w:rPr>
          <w:rFonts w:ascii="Palatino Linotype" w:eastAsia="Calibri" w:hAnsi="Palatino Linotype" w:cs="Arial"/>
          <w:sz w:val="24"/>
          <w:lang w:val="es-ES"/>
        </w:rPr>
        <w:t>uno</w:t>
      </w:r>
      <w:r w:rsidR="004F1E2D" w:rsidRPr="00C21A0D">
        <w:rPr>
          <w:rFonts w:ascii="Palatino Linotype" w:eastAsia="Calibri" w:hAnsi="Palatino Linotype" w:cs="Arial"/>
          <w:sz w:val="24"/>
          <w:lang w:val="es-ES"/>
        </w:rPr>
        <w:t xml:space="preserve"> (</w:t>
      </w:r>
      <w:r w:rsidR="006C47C8">
        <w:rPr>
          <w:rFonts w:ascii="Palatino Linotype" w:eastAsia="Calibri" w:hAnsi="Palatino Linotype" w:cs="Arial"/>
          <w:sz w:val="24"/>
          <w:lang w:val="es-ES"/>
        </w:rPr>
        <w:t>1</w:t>
      </w:r>
      <w:r w:rsidR="004F1E2D" w:rsidRPr="00C21A0D">
        <w:rPr>
          <w:rFonts w:ascii="Palatino Linotype" w:eastAsia="Calibri" w:hAnsi="Palatino Linotype" w:cs="Arial"/>
          <w:sz w:val="24"/>
          <w:lang w:val="es-ES"/>
        </w:rPr>
        <w:t xml:space="preserve">) </w:t>
      </w:r>
      <w:r w:rsidR="0012305A" w:rsidRPr="00C21A0D">
        <w:rPr>
          <w:rFonts w:ascii="Palatino Linotype" w:eastAsia="Calibri" w:hAnsi="Palatino Linotype" w:cs="Arial"/>
          <w:sz w:val="24"/>
          <w:lang w:val="es-ES"/>
        </w:rPr>
        <w:t xml:space="preserve">de </w:t>
      </w:r>
      <w:r w:rsidR="006C47C8">
        <w:rPr>
          <w:rFonts w:ascii="Palatino Linotype" w:eastAsia="Calibri" w:hAnsi="Palatino Linotype" w:cs="Arial"/>
          <w:sz w:val="24"/>
          <w:lang w:val="es-ES"/>
        </w:rPr>
        <w:t>marzo</w:t>
      </w:r>
      <w:r w:rsidR="001A0283">
        <w:rPr>
          <w:rFonts w:ascii="Palatino Linotype" w:eastAsia="Calibri" w:hAnsi="Palatino Linotype" w:cs="Arial"/>
          <w:sz w:val="24"/>
          <w:lang w:val="es-ES"/>
        </w:rPr>
        <w:t xml:space="preserve"> de dos mil veintitrés</w:t>
      </w:r>
      <w:r w:rsidR="00D73603" w:rsidRPr="00C21A0D">
        <w:rPr>
          <w:rFonts w:ascii="Palatino Linotype" w:eastAsia="Calibri" w:hAnsi="Palatino Linotype" w:cs="Arial"/>
          <w:sz w:val="24"/>
          <w:lang w:val="es-ES"/>
        </w:rPr>
        <w:t>, la</w:t>
      </w:r>
      <w:r w:rsidR="005000AA" w:rsidRPr="00C21A0D">
        <w:rPr>
          <w:rFonts w:ascii="Palatino Linotype" w:hAnsi="Palatino Linotype"/>
          <w:sz w:val="24"/>
        </w:rPr>
        <w:t xml:space="preserve"> Comisionad</w:t>
      </w:r>
      <w:r w:rsidR="00D73603" w:rsidRPr="00C21A0D">
        <w:rPr>
          <w:rFonts w:ascii="Palatino Linotype" w:hAnsi="Palatino Linotype"/>
          <w:sz w:val="24"/>
        </w:rPr>
        <w:t>a</w:t>
      </w:r>
      <w:r w:rsidR="005000AA" w:rsidRPr="00C21A0D">
        <w:rPr>
          <w:rFonts w:ascii="Palatino Linotype" w:hAnsi="Palatino Linotype"/>
          <w:sz w:val="24"/>
        </w:rPr>
        <w:t xml:space="preserve"> Ponente decretó el cierre de instrucción</w:t>
      </w:r>
      <w:r w:rsidR="00B83EE1">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38B24DFE" w14:textId="3BFE7192"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trigésimo y trigésimo primero 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7736B178" w14:textId="3E50A4C2"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D604FD">
        <w:rPr>
          <w:rFonts w:ascii="Palatino Linotype" w:eastAsia="Calibri" w:hAnsi="Palatino Linotype" w:cs="Arial"/>
          <w:color w:val="000000" w:themeColor="text1"/>
          <w:sz w:val="24"/>
        </w:rPr>
        <w:lastRenderedPageBreak/>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6C47C8">
        <w:rPr>
          <w:rFonts w:ascii="Palatino Linotype" w:eastAsia="Calibri" w:hAnsi="Palatino Linotype" w:cs="Arial"/>
          <w:color w:val="000000" w:themeColor="text1"/>
          <w:sz w:val="24"/>
        </w:rPr>
        <w:t>nueve</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6C47C8">
        <w:rPr>
          <w:rFonts w:ascii="Palatino Linotype" w:eastAsia="Calibri" w:hAnsi="Palatino Linotype" w:cs="Arial"/>
          <w:color w:val="000000" w:themeColor="text1"/>
          <w:sz w:val="24"/>
        </w:rPr>
        <w:t>09</w:t>
      </w:r>
      <w:r w:rsidRPr="00D604FD">
        <w:rPr>
          <w:rFonts w:ascii="Palatino Linotype" w:eastAsia="Calibri" w:hAnsi="Palatino Linotype" w:cs="Arial"/>
          <w:color w:val="000000" w:themeColor="text1"/>
          <w:sz w:val="24"/>
        </w:rPr>
        <w:t xml:space="preserve">) de </w:t>
      </w:r>
      <w:r w:rsidR="006C47C8">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6C47C8">
        <w:rPr>
          <w:rFonts w:ascii="Palatino Linotype" w:eastAsia="Calibri" w:hAnsi="Palatino Linotype" w:cs="Arial"/>
          <w:color w:val="000000" w:themeColor="text1"/>
          <w:sz w:val="24"/>
        </w:rPr>
        <w:t>diez</w:t>
      </w:r>
      <w:r w:rsidRPr="00D604FD">
        <w:rPr>
          <w:rFonts w:ascii="Palatino Linotype" w:eastAsia="Calibri" w:hAnsi="Palatino Linotype" w:cs="Arial"/>
          <w:color w:val="000000" w:themeColor="text1"/>
          <w:sz w:val="24"/>
        </w:rPr>
        <w:t xml:space="preserve"> (</w:t>
      </w:r>
      <w:r w:rsidR="006C47C8">
        <w:rPr>
          <w:rFonts w:ascii="Palatino Linotype" w:eastAsia="Calibri" w:hAnsi="Palatino Linotype" w:cs="Arial"/>
          <w:color w:val="000000" w:themeColor="text1"/>
          <w:sz w:val="24"/>
        </w:rPr>
        <w:t>10</w:t>
      </w:r>
      <w:r w:rsidRPr="00D604FD">
        <w:rPr>
          <w:rFonts w:ascii="Palatino Linotype" w:eastAsia="Calibri" w:hAnsi="Palatino Linotype" w:cs="Arial"/>
          <w:color w:val="000000" w:themeColor="text1"/>
          <w:sz w:val="24"/>
        </w:rPr>
        <w:t xml:space="preserve">) de </w:t>
      </w:r>
      <w:r w:rsidR="006C47C8">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al </w:t>
      </w:r>
      <w:r w:rsidR="006C47C8">
        <w:rPr>
          <w:rFonts w:ascii="Palatino Linotype" w:eastAsia="Calibri" w:hAnsi="Palatino Linotype" w:cs="Arial"/>
          <w:color w:val="000000" w:themeColor="text1"/>
          <w:sz w:val="24"/>
        </w:rPr>
        <w:t>tres</w:t>
      </w:r>
      <w:r w:rsidRPr="00D604FD">
        <w:rPr>
          <w:rFonts w:ascii="Palatino Linotype" w:eastAsia="Calibri" w:hAnsi="Palatino Linotype" w:cs="Arial"/>
          <w:color w:val="000000" w:themeColor="text1"/>
          <w:sz w:val="24"/>
        </w:rPr>
        <w:t xml:space="preserve"> (</w:t>
      </w:r>
      <w:r w:rsidR="006C47C8">
        <w:rPr>
          <w:rFonts w:ascii="Palatino Linotype" w:eastAsia="Calibri" w:hAnsi="Palatino Linotype" w:cs="Arial"/>
          <w:color w:val="000000" w:themeColor="text1"/>
          <w:sz w:val="24"/>
        </w:rPr>
        <w:t>03</w:t>
      </w:r>
      <w:r>
        <w:rPr>
          <w:rFonts w:ascii="Palatino Linotype" w:eastAsia="Calibri" w:hAnsi="Palatino Linotype" w:cs="Arial"/>
          <w:color w:val="000000" w:themeColor="text1"/>
          <w:sz w:val="24"/>
        </w:rPr>
        <w:t>)</w:t>
      </w:r>
      <w:r w:rsidRPr="00D604FD">
        <w:rPr>
          <w:rFonts w:ascii="Palatino Linotype" w:eastAsia="Calibri" w:hAnsi="Palatino Linotype" w:cs="Arial"/>
          <w:color w:val="000000" w:themeColor="text1"/>
          <w:sz w:val="24"/>
        </w:rPr>
        <w:t xml:space="preserve"> de </w:t>
      </w:r>
      <w:r w:rsidR="006C47C8">
        <w:rPr>
          <w:rFonts w:ascii="Palatino Linotype" w:eastAsia="Calibri" w:hAnsi="Palatino Linotype" w:cs="Arial"/>
          <w:color w:val="000000" w:themeColor="text1"/>
          <w:sz w:val="24"/>
        </w:rPr>
        <w:t>marzo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6C47C8">
        <w:rPr>
          <w:rFonts w:ascii="Palatino Linotype" w:hAnsi="Palatino Linotype"/>
          <w:color w:val="000000" w:themeColor="text1"/>
          <w:sz w:val="24"/>
        </w:rPr>
        <w:t>once</w:t>
      </w:r>
      <w:r w:rsidRPr="00D604FD">
        <w:rPr>
          <w:rFonts w:ascii="Palatino Linotype" w:hAnsi="Palatino Linotype"/>
          <w:color w:val="000000" w:themeColor="text1"/>
          <w:sz w:val="24"/>
        </w:rPr>
        <w:t xml:space="preserve"> (</w:t>
      </w:r>
      <w:r w:rsidR="006C47C8">
        <w:rPr>
          <w:rFonts w:ascii="Palatino Linotype" w:hAnsi="Palatino Linotype"/>
          <w:color w:val="000000" w:themeColor="text1"/>
          <w:sz w:val="24"/>
        </w:rPr>
        <w:t>11</w:t>
      </w:r>
      <w:r w:rsidRPr="00D604FD">
        <w:rPr>
          <w:rFonts w:ascii="Palatino Linotype" w:hAnsi="Palatino Linotype"/>
          <w:color w:val="000000" w:themeColor="text1"/>
          <w:sz w:val="24"/>
        </w:rPr>
        <w:t xml:space="preserve">) de </w:t>
      </w:r>
      <w:r w:rsidR="006C47C8">
        <w:rPr>
          <w:rFonts w:ascii="Palatino Linotype" w:hAnsi="Palatino Linotype"/>
          <w:color w:val="000000" w:themeColor="text1"/>
          <w:sz w:val="24"/>
        </w:rPr>
        <w:t>febrero de</w:t>
      </w:r>
      <w:r w:rsidRPr="00D604FD">
        <w:rPr>
          <w:rFonts w:ascii="Palatino Linotype" w:hAnsi="Palatino Linotype"/>
          <w:color w:val="000000" w:themeColor="text1"/>
          <w:sz w:val="24"/>
        </w:rPr>
        <w:t xml:space="preserve"> dos mil 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2F059F0C" w14:textId="77777777" w:rsidR="00601054" w:rsidRPr="00D604F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601054">
        <w:rPr>
          <w:rFonts w:ascii="Palatino Linotype" w:hAnsi="Palatino Linotype"/>
          <w:bCs/>
          <w:sz w:val="24"/>
        </w:rPr>
        <w:t>lo siguiente:</w:t>
      </w:r>
    </w:p>
    <w:p w14:paraId="00C69CC0" w14:textId="77777777" w:rsidR="00D604FD" w:rsidRPr="00601054" w:rsidRDefault="00D604FD" w:rsidP="00D604FD">
      <w:pPr>
        <w:pStyle w:val="Prrafodelista"/>
        <w:spacing w:before="240" w:after="240" w:line="360" w:lineRule="auto"/>
        <w:ind w:left="0" w:right="49"/>
        <w:jc w:val="both"/>
        <w:rPr>
          <w:rFonts w:ascii="Palatino Linotype" w:hAnsi="Palatino Linotype"/>
          <w:i/>
          <w:sz w:val="24"/>
          <w:lang w:eastAsia="es-MX"/>
        </w:rPr>
      </w:pPr>
    </w:p>
    <w:p w14:paraId="42446B7E" w14:textId="64723568" w:rsidR="00D604FD" w:rsidRPr="00C3678D" w:rsidRDefault="006C47C8" w:rsidP="00D604FD">
      <w:pPr>
        <w:pStyle w:val="Prrafodelista"/>
        <w:numPr>
          <w:ilvl w:val="0"/>
          <w:numId w:val="13"/>
        </w:numPr>
        <w:spacing w:line="360" w:lineRule="auto"/>
        <w:jc w:val="both"/>
        <w:rPr>
          <w:rFonts w:ascii="Palatino Linotype" w:hAnsi="Palatino Linotype"/>
          <w:sz w:val="40"/>
        </w:rPr>
      </w:pPr>
      <w:r>
        <w:rPr>
          <w:rFonts w:ascii="Palatino Linotype" w:hAnsi="Palatino Linotype"/>
          <w:sz w:val="24"/>
          <w:szCs w:val="14"/>
        </w:rPr>
        <w:t>Constancias de vecindad emitidas en 2022.</w:t>
      </w:r>
    </w:p>
    <w:p w14:paraId="0D75983C" w14:textId="77777777" w:rsidR="00C3678D" w:rsidRPr="00196DD3" w:rsidRDefault="00C3678D" w:rsidP="00C3678D">
      <w:pPr>
        <w:pStyle w:val="Prrafodelista"/>
        <w:spacing w:line="360" w:lineRule="auto"/>
        <w:jc w:val="both"/>
        <w:rPr>
          <w:rFonts w:ascii="Palatino Linotype" w:hAnsi="Palatino Linotype"/>
          <w:sz w:val="24"/>
        </w:rPr>
      </w:pPr>
    </w:p>
    <w:p w14:paraId="77FCABCB" w14:textId="7B994AD6" w:rsidR="00030C87" w:rsidRPr="00D604FD"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lastRenderedPageBreak/>
        <w:t>El Sujeto Obligado</w:t>
      </w:r>
      <w:r w:rsidR="00601054" w:rsidRPr="00D604FD">
        <w:rPr>
          <w:rFonts w:ascii="Palatino Linotype" w:eastAsiaTheme="minorEastAsia" w:hAnsi="Palatino Linotype"/>
          <w:iCs/>
          <w:sz w:val="24"/>
          <w:lang w:val="es-ES_tradnl"/>
        </w:rPr>
        <w:t xml:space="preserve"> </w:t>
      </w:r>
      <w:r w:rsidR="006C47C8">
        <w:rPr>
          <w:rFonts w:ascii="Palatino Linotype" w:eastAsiaTheme="minorEastAsia" w:hAnsi="Palatino Linotype"/>
          <w:iCs/>
          <w:sz w:val="24"/>
          <w:lang w:val="es-ES_tradnl"/>
        </w:rPr>
        <w:t>manifestó que el particular ejerció derecho de petición, por lo cual debe presentarse en oficialía de partes para ser atendido.</w:t>
      </w:r>
      <w:r w:rsidR="004E24D9" w:rsidRPr="00D604FD">
        <w:rPr>
          <w:rFonts w:ascii="Palatino Linotype" w:eastAsiaTheme="minorEastAsia" w:hAnsi="Palatino Linotype"/>
          <w:iCs/>
          <w:sz w:val="24"/>
          <w:lang w:val="es-ES_tradnl"/>
        </w:rPr>
        <w:t xml:space="preserve"> </w:t>
      </w:r>
    </w:p>
    <w:p w14:paraId="46653142" w14:textId="34F1E3D9"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sidR="006C47C8">
        <w:rPr>
          <w:rFonts w:ascii="Palatino Linotype" w:hAnsi="Palatino Linotype" w:cs="Arial"/>
          <w:sz w:val="24"/>
          <w:szCs w:val="24"/>
          <w:lang w:val="es-ES" w:eastAsia="es-MX"/>
        </w:rPr>
        <w:t>I</w:t>
      </w:r>
      <w:r w:rsidR="00B35B3B">
        <w:rPr>
          <w:rFonts w:ascii="Palatino Linotype" w:hAnsi="Palatino Linotype" w:cs="Arial"/>
          <w:sz w:val="24"/>
          <w:szCs w:val="24"/>
          <w:lang w:val="es-ES" w:eastAsia="es-MX"/>
        </w:rPr>
        <w:t xml:space="preserve">, relativo a la </w:t>
      </w:r>
      <w:r w:rsidR="00D604FD">
        <w:rPr>
          <w:rFonts w:ascii="Palatino Linotype" w:hAnsi="Palatino Linotype" w:cs="Arial"/>
          <w:sz w:val="24"/>
          <w:szCs w:val="24"/>
          <w:lang w:val="es-ES" w:eastAsia="es-MX"/>
        </w:rPr>
        <w:t xml:space="preserve">negativa </w:t>
      </w:r>
      <w:r w:rsidR="006C47C8">
        <w:rPr>
          <w:rFonts w:ascii="Palatino Linotype" w:hAnsi="Palatino Linotype" w:cs="Arial"/>
          <w:sz w:val="24"/>
          <w:szCs w:val="24"/>
          <w:lang w:val="es-ES" w:eastAsia="es-MX"/>
        </w:rPr>
        <w:t>de la información</w:t>
      </w:r>
      <w:r w:rsidR="00B35B3B">
        <w:rPr>
          <w:rFonts w:ascii="Palatino Linotype" w:hAnsi="Palatino Linotype" w:cs="Arial"/>
          <w:sz w:val="24"/>
          <w:szCs w:val="24"/>
          <w:lang w:val="es-ES" w:eastAsia="es-MX"/>
        </w:rPr>
        <w:t>,</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w:t>
      </w:r>
      <w:r w:rsidRPr="007C7FFD">
        <w:rPr>
          <w:rFonts w:ascii="Palatino Linotype" w:hAnsi="Palatino Linotype" w:cs="Arial"/>
          <w:color w:val="000000"/>
          <w:sz w:val="24"/>
          <w:szCs w:val="24"/>
        </w:rPr>
        <w:lastRenderedPageBreak/>
        <w:t xml:space="preserve">“promover,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7C7FFD">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w:t>
      </w:r>
      <w:r w:rsidRPr="007C7FFD">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 xml:space="preserve">La obligación de proporcionar información no comprende el procesamiento de la misma, ni el </w:t>
      </w:r>
      <w:r w:rsidRPr="007C7FFD">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w:t>
      </w:r>
      <w:r w:rsidRPr="007C7FFD">
        <w:rPr>
          <w:rFonts w:ascii="Palatino Linotype" w:hAnsi="Palatino Linotype"/>
          <w:i/>
        </w:rPr>
        <w:lastRenderedPageBreak/>
        <w:t xml:space="preserve">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Amparo en revisión 257/2012. Ruth Corona Muñoz. 6 de diciembre de 2012. Unanimidad de votos. Ponente: Jean Claude </w:t>
      </w:r>
      <w:proofErr w:type="spellStart"/>
      <w:r w:rsidRPr="007C7FFD">
        <w:rPr>
          <w:rFonts w:ascii="Palatino Linotype" w:hAnsi="Palatino Linotype"/>
          <w:i/>
        </w:rPr>
        <w:t>Tron</w:t>
      </w:r>
      <w:proofErr w:type="spellEnd"/>
      <w:r w:rsidRPr="007C7FFD">
        <w:rPr>
          <w:rFonts w:ascii="Palatino Linotype" w:hAnsi="Palatino Linotype"/>
          <w:i/>
        </w:rPr>
        <w:t xml:space="preserve"> </w:t>
      </w:r>
      <w:proofErr w:type="spellStart"/>
      <w:r w:rsidRPr="007C7FFD">
        <w:rPr>
          <w:rFonts w:ascii="Palatino Linotype" w:hAnsi="Palatino Linotype"/>
          <w:i/>
        </w:rPr>
        <w:t>Petit</w:t>
      </w:r>
      <w:proofErr w:type="spellEnd"/>
      <w:r w:rsidRPr="007C7FFD">
        <w:rPr>
          <w:rFonts w:ascii="Palatino Linotype" w:hAnsi="Palatino Linotype"/>
          <w:i/>
        </w:rPr>
        <w: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lastRenderedPageBreak/>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1B54AFEE"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AF085A" w:rsidRPr="00C56D1A">
        <w:rPr>
          <w:rFonts w:ascii="Palatino Linotype" w:eastAsia="Calibri" w:hAnsi="Palatino Linotype" w:cs="Arial"/>
          <w:b/>
          <w:sz w:val="24"/>
        </w:rPr>
        <w:t xml:space="preserve">Ayuntamiento de </w:t>
      </w:r>
      <w:r w:rsidR="00AF085A">
        <w:rPr>
          <w:rFonts w:ascii="Palatino Linotype" w:eastAsia="Calibri" w:hAnsi="Palatino Linotype" w:cs="Arial"/>
          <w:b/>
          <w:sz w:val="24"/>
        </w:rPr>
        <w:t>Zinacantepec</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5880B372"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8A06D7">
        <w:rPr>
          <w:rFonts w:ascii="Palatino Linotype" w:hAnsi="Palatino Linotype"/>
          <w:b/>
          <w:color w:val="000000" w:themeColor="text1"/>
          <w:sz w:val="24"/>
        </w:rPr>
        <w:t xml:space="preserve">II. </w:t>
      </w:r>
      <w:bookmarkEnd w:id="17"/>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7ACA3202" w14:textId="67A5BC03" w:rsidR="00AE265F"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Recurrente </w:t>
      </w:r>
      <w:r w:rsidR="00AE265F">
        <w:rPr>
          <w:rFonts w:ascii="Palatino Linotype" w:eastAsia="Calibri" w:hAnsi="Palatino Linotype" w:cs="Arial"/>
          <w:sz w:val="24"/>
        </w:rPr>
        <w:t>solicitó l</w:t>
      </w:r>
      <w:r w:rsidR="006C47C8">
        <w:rPr>
          <w:rFonts w:ascii="Palatino Linotype" w:eastAsia="Calibri" w:hAnsi="Palatino Linotype" w:cs="Arial"/>
          <w:sz w:val="24"/>
        </w:rPr>
        <w:t>a</w:t>
      </w:r>
      <w:r w:rsidR="00D604FD">
        <w:rPr>
          <w:rFonts w:ascii="Palatino Linotype" w:eastAsia="Calibri" w:hAnsi="Palatino Linotype" w:cs="Arial"/>
          <w:sz w:val="24"/>
        </w:rPr>
        <w:t xml:space="preserve">s </w:t>
      </w:r>
      <w:r w:rsidR="006C47C8">
        <w:rPr>
          <w:rFonts w:ascii="Palatino Linotype" w:eastAsia="Calibri" w:hAnsi="Palatino Linotype" w:cs="Arial"/>
          <w:sz w:val="24"/>
        </w:rPr>
        <w:t>constancias de vecindad emitida</w:t>
      </w:r>
      <w:r w:rsidR="00D604FD">
        <w:rPr>
          <w:rFonts w:ascii="Palatino Linotype" w:eastAsia="Calibri" w:hAnsi="Palatino Linotype" w:cs="Arial"/>
          <w:sz w:val="24"/>
        </w:rPr>
        <w:t>s en el año 2022.</w:t>
      </w:r>
    </w:p>
    <w:p w14:paraId="1F0EADCC" w14:textId="77777777" w:rsidR="00C13112" w:rsidRDefault="00C13112" w:rsidP="00C13112">
      <w:pPr>
        <w:pStyle w:val="Prrafodelista"/>
        <w:tabs>
          <w:tab w:val="left" w:pos="567"/>
        </w:tabs>
        <w:spacing w:line="360" w:lineRule="auto"/>
        <w:ind w:left="0"/>
        <w:jc w:val="both"/>
        <w:rPr>
          <w:rFonts w:ascii="Palatino Linotype" w:eastAsia="Calibri" w:hAnsi="Palatino Linotype" w:cs="Arial"/>
          <w:sz w:val="24"/>
        </w:rPr>
      </w:pPr>
    </w:p>
    <w:p w14:paraId="3A0E0BE8" w14:textId="55A439E9" w:rsidR="00C13112" w:rsidRDefault="00C1311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 xml:space="preserve">El Sujeto Obligado manifestó </w:t>
      </w:r>
      <w:r w:rsidR="006C47C8">
        <w:rPr>
          <w:rFonts w:ascii="Palatino Linotype" w:eastAsia="Calibri" w:hAnsi="Palatino Linotype" w:cs="Arial"/>
          <w:sz w:val="24"/>
        </w:rPr>
        <w:t>que el particular debe presentarse en las oficinas del Sujeto Obligado para ser atendido.</w:t>
      </w:r>
    </w:p>
    <w:p w14:paraId="0A19771E" w14:textId="77777777" w:rsidR="006C47C8" w:rsidRPr="006C47C8" w:rsidRDefault="006C47C8" w:rsidP="006C47C8">
      <w:pPr>
        <w:pStyle w:val="Prrafodelista"/>
        <w:rPr>
          <w:rFonts w:ascii="Palatino Linotype" w:eastAsia="Calibri" w:hAnsi="Palatino Linotype" w:cs="Arial"/>
          <w:sz w:val="24"/>
        </w:rPr>
      </w:pPr>
    </w:p>
    <w:p w14:paraId="2C3684B7" w14:textId="77777777" w:rsidR="006C47C8" w:rsidRPr="006C47C8" w:rsidRDefault="006C47C8" w:rsidP="006C47C8">
      <w:pPr>
        <w:pStyle w:val="Prrafodelista"/>
        <w:numPr>
          <w:ilvl w:val="0"/>
          <w:numId w:val="2"/>
        </w:numPr>
        <w:tabs>
          <w:tab w:val="left" w:pos="0"/>
        </w:tabs>
        <w:spacing w:line="360" w:lineRule="auto"/>
        <w:ind w:left="0" w:right="49" w:firstLine="0"/>
        <w:jc w:val="both"/>
        <w:rPr>
          <w:rFonts w:ascii="Palatino Linotype" w:hAnsi="Palatino Linotype"/>
          <w:sz w:val="24"/>
        </w:rPr>
      </w:pPr>
      <w:r w:rsidRPr="006C47C8">
        <w:rPr>
          <w:rFonts w:ascii="Palatino Linotype" w:eastAsia="MS Mincho" w:hAnsi="Palatino Linotype"/>
          <w:sz w:val="24"/>
        </w:rPr>
        <w:t xml:space="preserve">Debemos mencionar que el acceso a la información es un derecho humano constitucional y convencionalmente reconocido y para tal efecto </w:t>
      </w:r>
      <w:r w:rsidRPr="006C47C8">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6C47C8">
        <w:rPr>
          <w:rFonts w:ascii="Palatino Linotype" w:eastAsia="Calibri" w:hAnsi="Palatino Linotype"/>
          <w:i/>
          <w:sz w:val="24"/>
          <w:lang w:val="es-ES"/>
        </w:rPr>
        <w:t xml:space="preserve">en el ámbito de sus atribuciones, de promover, respetar, proteger y </w:t>
      </w:r>
      <w:r w:rsidRPr="006C47C8">
        <w:rPr>
          <w:rFonts w:ascii="Palatino Linotype" w:eastAsia="Calibri" w:hAnsi="Palatino Linotype"/>
          <w:b/>
          <w:i/>
          <w:sz w:val="24"/>
          <w:lang w:val="es-ES"/>
        </w:rPr>
        <w:t>garantizar</w:t>
      </w:r>
      <w:r w:rsidRPr="006C47C8">
        <w:rPr>
          <w:rFonts w:ascii="Palatino Linotype" w:eastAsia="Calibri" w:hAnsi="Palatino Linotype"/>
          <w:i/>
          <w:sz w:val="24"/>
          <w:lang w:val="es-ES"/>
        </w:rPr>
        <w:t xml:space="preserve"> los derechos humanos. </w:t>
      </w:r>
      <w:r w:rsidRPr="006C47C8">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6C47C8">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6C47C8">
        <w:rPr>
          <w:rStyle w:val="Refdenotaalpie"/>
          <w:rFonts w:ascii="Palatino Linotype" w:hAnsi="Palatino Linotype"/>
          <w:i/>
          <w:sz w:val="24"/>
        </w:rPr>
        <w:footnoteReference w:id="6"/>
      </w:r>
      <w:r w:rsidRPr="006C47C8">
        <w:rPr>
          <w:rFonts w:ascii="Palatino Linotype" w:hAnsi="Palatino Linotype"/>
          <w:i/>
          <w:sz w:val="24"/>
        </w:rPr>
        <w:t xml:space="preserve">, </w:t>
      </w:r>
      <w:r w:rsidRPr="006C47C8">
        <w:rPr>
          <w:rFonts w:ascii="Palatino Linotype" w:hAnsi="Palatino Linotype"/>
          <w:sz w:val="24"/>
        </w:rPr>
        <w:t>asimismo establece</w:t>
      </w:r>
      <w:r w:rsidRPr="006C47C8">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28E1F1F" w14:textId="77777777" w:rsidR="006C47C8" w:rsidRPr="00834DD0" w:rsidRDefault="006C47C8" w:rsidP="006C47C8">
      <w:pPr>
        <w:pStyle w:val="Prrafodelista"/>
        <w:rPr>
          <w:rFonts w:ascii="Palatino Linotype" w:eastAsia="Calibri" w:hAnsi="Palatino Linotype" w:cs="Arial"/>
        </w:rPr>
      </w:pPr>
    </w:p>
    <w:p w14:paraId="614CBC68" w14:textId="77777777" w:rsidR="006C47C8" w:rsidRPr="006C47C8" w:rsidRDefault="006C47C8" w:rsidP="006C47C8">
      <w:pPr>
        <w:pStyle w:val="Prrafodelista"/>
        <w:numPr>
          <w:ilvl w:val="0"/>
          <w:numId w:val="2"/>
        </w:numPr>
        <w:spacing w:line="360" w:lineRule="auto"/>
        <w:ind w:left="0" w:firstLine="0"/>
        <w:jc w:val="both"/>
        <w:rPr>
          <w:rFonts w:ascii="Palatino Linotype" w:eastAsia="Calibri" w:hAnsi="Palatino Linotype" w:cs="Arial"/>
          <w:b/>
          <w:sz w:val="24"/>
          <w:u w:val="single"/>
        </w:rPr>
      </w:pPr>
      <w:r w:rsidRPr="006C47C8">
        <w:rPr>
          <w:rFonts w:ascii="Palatino Linotype" w:hAnsi="Palatino Linotype"/>
          <w:sz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w:t>
      </w:r>
      <w:r w:rsidRPr="006C47C8">
        <w:rPr>
          <w:rFonts w:ascii="Palatino Linotype" w:hAnsi="Palatino Linotype"/>
          <w:sz w:val="24"/>
        </w:rPr>
        <w:lastRenderedPageBreak/>
        <w:t xml:space="preserve">información, pues los primeros son el vínculo entre los particulares y los servidores públicos que generan, administra o poseen la información, </w:t>
      </w:r>
      <w:r w:rsidRPr="006C47C8">
        <w:rPr>
          <w:rFonts w:ascii="Palatino Linotype" w:hAnsi="Palatino Linotype"/>
          <w:b/>
          <w:sz w:val="24"/>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57E4BAF2" w14:textId="77777777" w:rsidR="006C47C8" w:rsidRPr="006C47C8" w:rsidRDefault="006C47C8" w:rsidP="006C47C8">
      <w:pPr>
        <w:pStyle w:val="Prrafodelista"/>
        <w:rPr>
          <w:rFonts w:ascii="Palatino Linotype" w:hAnsi="Palatino Linotype"/>
          <w:sz w:val="24"/>
        </w:rPr>
      </w:pPr>
    </w:p>
    <w:p w14:paraId="7CE4B598" w14:textId="77777777" w:rsidR="006C47C8" w:rsidRPr="006C47C8" w:rsidRDefault="006C47C8" w:rsidP="006C47C8">
      <w:pPr>
        <w:pStyle w:val="Prrafodelista"/>
        <w:numPr>
          <w:ilvl w:val="0"/>
          <w:numId w:val="2"/>
        </w:numPr>
        <w:spacing w:line="360" w:lineRule="auto"/>
        <w:ind w:left="0" w:firstLine="0"/>
        <w:jc w:val="both"/>
        <w:rPr>
          <w:rFonts w:ascii="Palatino Linotype" w:eastAsia="Calibri" w:hAnsi="Palatino Linotype" w:cs="Arial"/>
          <w:sz w:val="24"/>
        </w:rPr>
      </w:pPr>
      <w:r w:rsidRPr="006C47C8">
        <w:rPr>
          <w:rFonts w:ascii="Palatino Linotype" w:hAnsi="Palatino Linotype"/>
          <w:sz w:val="24"/>
        </w:rPr>
        <w:t xml:space="preserve">Es así que, su obligación es </w:t>
      </w:r>
      <w:r w:rsidRPr="006C47C8">
        <w:rPr>
          <w:rFonts w:ascii="Palatino Linotype" w:hAnsi="Palatino Linotype"/>
          <w:i/>
          <w:sz w:val="24"/>
        </w:rPr>
        <w:t>realizar, con efectividad, los trámites internos necesarios para la atención de las solicitudes de información</w:t>
      </w:r>
      <w:r w:rsidRPr="006C47C8">
        <w:rPr>
          <w:rStyle w:val="Refdenotaalpie"/>
          <w:rFonts w:ascii="Palatino Linotype" w:hAnsi="Palatino Linotype"/>
          <w:sz w:val="24"/>
        </w:rPr>
        <w:footnoteReference w:id="7"/>
      </w:r>
      <w:r w:rsidRPr="006C47C8">
        <w:rPr>
          <w:rFonts w:ascii="Palatino Linotype" w:hAnsi="Palatino Linotype"/>
          <w:sz w:val="24"/>
        </w:rPr>
        <w:t>, es decir, deben otorgar respuestas concisas, contundentes y sobre todo que den la certeza de los actos que realizan.</w:t>
      </w:r>
    </w:p>
    <w:p w14:paraId="6D1786B2" w14:textId="77777777" w:rsidR="006C47C8" w:rsidRPr="006C47C8" w:rsidRDefault="006C47C8" w:rsidP="006C47C8">
      <w:pPr>
        <w:pStyle w:val="Prrafodelista"/>
        <w:rPr>
          <w:rFonts w:ascii="Palatino Linotype" w:eastAsia="Calibri" w:hAnsi="Palatino Linotype" w:cs="Arial"/>
          <w:sz w:val="24"/>
        </w:rPr>
      </w:pPr>
    </w:p>
    <w:p w14:paraId="3A974BE2" w14:textId="77777777" w:rsidR="006C47C8" w:rsidRPr="006C47C8" w:rsidRDefault="006C47C8" w:rsidP="006C47C8">
      <w:pPr>
        <w:pStyle w:val="Prrafodelista"/>
        <w:numPr>
          <w:ilvl w:val="0"/>
          <w:numId w:val="2"/>
        </w:numPr>
        <w:spacing w:line="360" w:lineRule="auto"/>
        <w:ind w:left="0" w:firstLine="0"/>
        <w:jc w:val="both"/>
        <w:rPr>
          <w:rFonts w:ascii="Palatino Linotype" w:eastAsia="MS Mincho" w:hAnsi="Palatino Linotype"/>
          <w:sz w:val="24"/>
        </w:rPr>
      </w:pPr>
      <w:r w:rsidRPr="006C47C8">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6C47C8">
        <w:rPr>
          <w:rFonts w:ascii="Palatino Linotype" w:eastAsia="Arial Unicode MS" w:hAnsi="Palatino Linotype" w:cs="Arial"/>
          <w:sz w:val="24"/>
          <w:lang w:eastAsia="en-US"/>
        </w:rPr>
        <w:t>de la Ley de Transparencia y Acceso a la Información del Estado de México y Municipios, que a la letra estipulan lo siguiente:</w:t>
      </w:r>
    </w:p>
    <w:p w14:paraId="5946E242" w14:textId="77777777" w:rsidR="006C47C8" w:rsidRPr="00DB5E71" w:rsidRDefault="006C47C8" w:rsidP="006C47C8">
      <w:pPr>
        <w:spacing w:line="360" w:lineRule="auto"/>
        <w:jc w:val="both"/>
        <w:rPr>
          <w:rFonts w:ascii="Palatino Linotype" w:eastAsia="Arial Unicode MS" w:hAnsi="Palatino Linotype" w:cs="Arial"/>
          <w:lang w:eastAsia="en-US"/>
        </w:rPr>
      </w:pPr>
    </w:p>
    <w:p w14:paraId="0F62F0EB"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50. </w:t>
      </w:r>
      <w:r w:rsidRPr="00834DD0">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61C13346"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p>
    <w:p w14:paraId="4BD8DE58"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53. </w:t>
      </w:r>
      <w:r w:rsidRPr="00834DD0">
        <w:rPr>
          <w:rFonts w:ascii="Palatino Linotype" w:eastAsia="Palatino Linotype" w:hAnsi="Palatino Linotype" w:cs="Palatino Linotype"/>
          <w:i/>
          <w:iCs/>
          <w:sz w:val="22"/>
        </w:rPr>
        <w:t>Las Unidades de Transparencia tendrán las siguientes funciones:</w:t>
      </w:r>
    </w:p>
    <w:p w14:paraId="59D6AE9C"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1BF56BF1"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Cs/>
          <w:i/>
          <w:iCs/>
          <w:sz w:val="22"/>
        </w:rPr>
        <w:lastRenderedPageBreak/>
        <w:t>II.</w:t>
      </w:r>
      <w:r w:rsidRPr="00834DD0">
        <w:rPr>
          <w:rFonts w:ascii="Palatino Linotype" w:eastAsia="Palatino Linotype" w:hAnsi="Palatino Linotype" w:cs="Palatino Linotype"/>
          <w:i/>
          <w:iCs/>
          <w:sz w:val="22"/>
        </w:rPr>
        <w:t xml:space="preserve"> Recibir, tramitar y dar respuesta a las solicitudes de acceso a la información;</w:t>
      </w:r>
    </w:p>
    <w:p w14:paraId="313ACB27"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37905F66" w14:textId="77777777" w:rsidR="006C47C8" w:rsidRPr="00834DD0" w:rsidRDefault="006C47C8" w:rsidP="006C47C8">
      <w:pPr>
        <w:spacing w:line="360" w:lineRule="auto"/>
        <w:ind w:left="567" w:right="616"/>
        <w:jc w:val="both"/>
        <w:rPr>
          <w:rFonts w:ascii="Palatino Linotype" w:eastAsia="Palatino Linotype" w:hAnsi="Palatino Linotype" w:cs="Palatino Linotype"/>
          <w:b/>
          <w:i/>
          <w:iCs/>
          <w:sz w:val="22"/>
        </w:rPr>
      </w:pPr>
      <w:r w:rsidRPr="00834DD0">
        <w:rPr>
          <w:rFonts w:ascii="Palatino Linotype" w:eastAsia="Palatino Linotype" w:hAnsi="Palatino Linotype" w:cs="Palatino Linotype"/>
          <w:b/>
          <w:bCs/>
          <w:i/>
          <w:iCs/>
          <w:sz w:val="22"/>
        </w:rPr>
        <w:t>IV.</w:t>
      </w:r>
      <w:r w:rsidRPr="00834DD0">
        <w:rPr>
          <w:rFonts w:ascii="Palatino Linotype" w:eastAsia="Palatino Linotype" w:hAnsi="Palatino Linotype" w:cs="Palatino Linotype"/>
          <w:b/>
          <w:i/>
          <w:iCs/>
          <w:sz w:val="22"/>
        </w:rPr>
        <w:t xml:space="preserve"> Realizar, con efectividad, los trámites internos necesarios para la atención de las solicitudes de acceso a la información;</w:t>
      </w:r>
    </w:p>
    <w:p w14:paraId="38A8A9CA"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t>V.</w:t>
      </w:r>
      <w:r w:rsidRPr="00834DD0">
        <w:rPr>
          <w:rFonts w:ascii="Palatino Linotype" w:eastAsia="Palatino Linotype" w:hAnsi="Palatino Linotype" w:cs="Palatino Linotype"/>
          <w:i/>
          <w:iCs/>
          <w:sz w:val="22"/>
        </w:rPr>
        <w:t xml:space="preserve"> Entregar, en su caso, a los particulares la información solicitada;</w:t>
      </w:r>
    </w:p>
    <w:p w14:paraId="39868D24"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79E160FC"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p>
    <w:p w14:paraId="5652AB9E"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58. </w:t>
      </w:r>
      <w:r w:rsidRPr="00834DD0">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3C8EA0D8"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p>
    <w:p w14:paraId="46BD4D25"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59. </w:t>
      </w:r>
      <w:r w:rsidRPr="00834DD0">
        <w:rPr>
          <w:rFonts w:ascii="Palatino Linotype" w:eastAsia="Palatino Linotype" w:hAnsi="Palatino Linotype" w:cs="Palatino Linotype"/>
          <w:i/>
          <w:iCs/>
          <w:sz w:val="22"/>
        </w:rPr>
        <w:t>Los servidores públicos habilitados tendrán las funciones siguientes:</w:t>
      </w:r>
    </w:p>
    <w:p w14:paraId="674553A3"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p>
    <w:p w14:paraId="69A69431"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t>I.</w:t>
      </w:r>
      <w:r w:rsidRPr="00834DD0">
        <w:rPr>
          <w:rFonts w:ascii="Palatino Linotype" w:eastAsia="Palatino Linotype" w:hAnsi="Palatino Linotype" w:cs="Palatino Linotype"/>
          <w:i/>
          <w:iCs/>
          <w:sz w:val="22"/>
        </w:rPr>
        <w:t xml:space="preserve"> Localizar la información que le solicite la Unidad de Transparencia;</w:t>
      </w:r>
    </w:p>
    <w:p w14:paraId="368FFEEF"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t>II.</w:t>
      </w:r>
      <w:r w:rsidRPr="00834DD0">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4D33D637"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58ADC915" w14:textId="77777777" w:rsidR="006C47C8" w:rsidRPr="00834DD0" w:rsidRDefault="006C47C8" w:rsidP="006C47C8">
      <w:pPr>
        <w:spacing w:line="360" w:lineRule="auto"/>
        <w:ind w:left="567" w:right="616"/>
        <w:jc w:val="both"/>
        <w:rPr>
          <w:rFonts w:ascii="Palatino Linotype" w:eastAsia="Palatino Linotype" w:hAnsi="Palatino Linotype" w:cs="Palatino Linotype"/>
          <w:i/>
          <w:iCs/>
          <w:sz w:val="22"/>
        </w:rPr>
      </w:pPr>
    </w:p>
    <w:p w14:paraId="1E0800F3" w14:textId="77777777" w:rsidR="006C47C8" w:rsidRPr="00834DD0" w:rsidRDefault="006C47C8" w:rsidP="006C47C8">
      <w:pPr>
        <w:spacing w:line="360" w:lineRule="auto"/>
        <w:ind w:left="567" w:right="616"/>
        <w:jc w:val="both"/>
        <w:rPr>
          <w:rFonts w:ascii="Palatino Linotype" w:eastAsia="Palatino Linotype" w:hAnsi="Palatino Linotype" w:cs="Palatino Linotype"/>
          <w:b/>
          <w:i/>
          <w:iCs/>
          <w:sz w:val="22"/>
          <w:u w:val="single"/>
        </w:rPr>
      </w:pPr>
      <w:r w:rsidRPr="00834DD0">
        <w:rPr>
          <w:rFonts w:ascii="Palatino Linotype" w:eastAsia="Palatino Linotype" w:hAnsi="Palatino Linotype" w:cs="Palatino Linotype"/>
          <w:b/>
          <w:i/>
          <w:iCs/>
          <w:sz w:val="22"/>
        </w:rPr>
        <w:t xml:space="preserve">Artículo 162. </w:t>
      </w:r>
      <w:r w:rsidRPr="00834DD0">
        <w:rPr>
          <w:rFonts w:ascii="Palatino Linotype" w:eastAsia="Palatino Linotype" w:hAnsi="Palatino Linotype" w:cs="Palatino Linotype"/>
          <w:b/>
          <w:i/>
          <w:iCs/>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4192758" w14:textId="77777777" w:rsidR="006C47C8" w:rsidRPr="00834DD0" w:rsidRDefault="006C47C8" w:rsidP="006C47C8">
      <w:pPr>
        <w:spacing w:line="360" w:lineRule="auto"/>
        <w:ind w:left="567" w:right="616"/>
        <w:jc w:val="both"/>
        <w:rPr>
          <w:rFonts w:ascii="Palatino Linotype" w:eastAsia="Palatino Linotype" w:hAnsi="Palatino Linotype" w:cs="Palatino Linotype"/>
          <w:b/>
          <w:i/>
          <w:iCs/>
          <w:sz w:val="22"/>
          <w:u w:val="single"/>
        </w:rPr>
      </w:pPr>
      <w:r w:rsidRPr="00834DD0">
        <w:rPr>
          <w:rFonts w:ascii="Palatino Linotype" w:eastAsia="Palatino Linotype" w:hAnsi="Palatino Linotype" w:cs="Palatino Linotype"/>
          <w:b/>
          <w:i/>
          <w:iCs/>
          <w:sz w:val="22"/>
        </w:rPr>
        <w:t>(Énfasis añadido)</w:t>
      </w:r>
    </w:p>
    <w:p w14:paraId="4407363B" w14:textId="77777777" w:rsidR="006C47C8" w:rsidRPr="00DB5E71" w:rsidRDefault="006C47C8" w:rsidP="006C47C8">
      <w:pPr>
        <w:spacing w:line="360" w:lineRule="auto"/>
        <w:jc w:val="both"/>
        <w:rPr>
          <w:rFonts w:ascii="Palatino Linotype" w:eastAsia="Palatino Linotype" w:hAnsi="Palatino Linotype" w:cs="Palatino Linotype"/>
        </w:rPr>
      </w:pPr>
    </w:p>
    <w:p w14:paraId="63B85869" w14:textId="77777777" w:rsidR="006C47C8" w:rsidRPr="006C47C8" w:rsidRDefault="006C47C8"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6C47C8">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6C47C8">
        <w:rPr>
          <w:rFonts w:ascii="Palatino Linotype" w:eastAsia="Arial Unicode MS" w:hAnsi="Palatino Linotype" w:cs="Arial"/>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Por su parte, </w:t>
      </w:r>
      <w:r w:rsidRPr="006C47C8">
        <w:rPr>
          <w:rFonts w:ascii="Palatino Linotype" w:eastAsia="Arial Unicode MS" w:hAnsi="Palatino Linotype" w:cs="Arial"/>
          <w:b/>
          <w:sz w:val="24"/>
          <w:lang w:eastAsia="en-US"/>
        </w:rPr>
        <w:t>los servidores públicos habilitados auxiliarán a las Unidades de Transparencia localizando la información solicitada y proporcionando la misma que obre en sus archivos.</w:t>
      </w:r>
      <w:r w:rsidRPr="006C47C8">
        <w:rPr>
          <w:rFonts w:ascii="Palatino Linotype" w:eastAsia="Arial Unicode MS" w:hAnsi="Palatino Linotype" w:cs="Arial"/>
          <w:sz w:val="24"/>
          <w:lang w:eastAsia="en-US"/>
        </w:rPr>
        <w:t xml:space="preserve"> Asimismo, es una obligación de las Unidades de Transparencia turnar a todas las áreas que se consideren competentes para que realicen una búsqueda exhaustiva y razonable de la información solicitada a fin de que ésta sea entregada a los solicitantes.</w:t>
      </w:r>
    </w:p>
    <w:p w14:paraId="3224B253" w14:textId="77777777" w:rsidR="006C47C8" w:rsidRPr="006C47C8" w:rsidRDefault="006C47C8" w:rsidP="006C47C8">
      <w:pPr>
        <w:pStyle w:val="Prrafodelista"/>
        <w:spacing w:line="360" w:lineRule="auto"/>
        <w:ind w:left="0"/>
        <w:jc w:val="both"/>
        <w:rPr>
          <w:rFonts w:ascii="Palatino Linotype" w:eastAsia="Arial Unicode MS" w:hAnsi="Palatino Linotype" w:cs="Arial"/>
          <w:sz w:val="24"/>
          <w:lang w:eastAsia="en-US"/>
        </w:rPr>
      </w:pPr>
    </w:p>
    <w:p w14:paraId="44D9EF7F" w14:textId="77777777" w:rsidR="006C47C8" w:rsidRPr="006C47C8" w:rsidRDefault="006C47C8"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6C47C8">
        <w:rPr>
          <w:rFonts w:ascii="Palatino Linotype" w:eastAsia="Arial Unicode MS" w:hAnsi="Palatino Linotype" w:cs="Arial"/>
          <w:sz w:val="24"/>
          <w:lang w:eastAsia="en-US"/>
        </w:rPr>
        <w:t>Cumpliendo en todo momento con lo que mandata el artículo 11, primer párrafo de la citada Ley de Transparencia, el cual dispone lo siguiente:</w:t>
      </w:r>
    </w:p>
    <w:p w14:paraId="77C5B0B4" w14:textId="77777777" w:rsidR="006C47C8" w:rsidRDefault="006C47C8" w:rsidP="006C47C8">
      <w:pPr>
        <w:pStyle w:val="Prrafodelista"/>
        <w:spacing w:line="360" w:lineRule="auto"/>
        <w:ind w:left="0"/>
        <w:jc w:val="both"/>
        <w:rPr>
          <w:rFonts w:ascii="Palatino Linotype" w:eastAsia="Arial Unicode MS" w:hAnsi="Palatino Linotype" w:cs="Arial"/>
          <w:lang w:eastAsia="en-US"/>
        </w:rPr>
      </w:pPr>
    </w:p>
    <w:p w14:paraId="7618D3DC" w14:textId="77777777" w:rsidR="006C47C8" w:rsidRPr="00A36A29" w:rsidRDefault="006C47C8" w:rsidP="006C47C8">
      <w:pPr>
        <w:pStyle w:val="Prrafodelista"/>
        <w:spacing w:line="360" w:lineRule="auto"/>
        <w:ind w:left="567" w:right="616"/>
        <w:jc w:val="both"/>
        <w:rPr>
          <w:rFonts w:ascii="Palatino Linotype" w:eastAsia="Arial Unicode MS" w:hAnsi="Palatino Linotype" w:cs="Arial"/>
          <w:i/>
          <w:lang w:eastAsia="en-US"/>
        </w:rPr>
      </w:pPr>
      <w:r w:rsidRPr="00A36A29">
        <w:rPr>
          <w:rFonts w:ascii="Palatino Linotype" w:hAnsi="Palatino Linotype"/>
          <w:i/>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184A379" w14:textId="77777777" w:rsidR="006C47C8" w:rsidRPr="003F56B6" w:rsidRDefault="006C47C8" w:rsidP="006C47C8">
      <w:pPr>
        <w:pStyle w:val="Prrafodelista"/>
        <w:rPr>
          <w:rFonts w:ascii="Palatino Linotype" w:eastAsia="Arial Unicode MS" w:hAnsi="Palatino Linotype" w:cs="Arial"/>
          <w:lang w:eastAsia="en-US"/>
        </w:rPr>
      </w:pPr>
    </w:p>
    <w:p w14:paraId="4C4AFB3E" w14:textId="77777777" w:rsidR="00B86101" w:rsidRPr="00052AB3" w:rsidRDefault="00B86101"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52AB3">
        <w:rPr>
          <w:rFonts w:ascii="Palatino Linotype" w:eastAsia="Arial Unicode MS" w:hAnsi="Palatino Linotype" w:cs="Arial"/>
          <w:sz w:val="24"/>
          <w:lang w:eastAsia="en-US"/>
        </w:rPr>
        <w:t>En el presente asunto en particular, se aprecia que, quien dio respuesta a la solicitud es el Titular de la Unidad de Transparencia, sin que se haya realizado el turno de la solicitud a las áreas que de acuerdo a sus atribuciones, funciones y competencias deban generar, administrar y poseer la información requerida por el particular.</w:t>
      </w:r>
    </w:p>
    <w:p w14:paraId="41899585" w14:textId="77777777" w:rsidR="00B86101" w:rsidRPr="00052AB3" w:rsidRDefault="00B86101" w:rsidP="00B86101">
      <w:pPr>
        <w:pStyle w:val="Prrafodelista"/>
        <w:spacing w:line="360" w:lineRule="auto"/>
        <w:ind w:left="0"/>
        <w:jc w:val="both"/>
        <w:rPr>
          <w:rFonts w:ascii="Palatino Linotype" w:eastAsia="Arial Unicode MS" w:hAnsi="Palatino Linotype" w:cs="Arial"/>
          <w:sz w:val="24"/>
          <w:lang w:eastAsia="en-US"/>
        </w:rPr>
      </w:pPr>
    </w:p>
    <w:p w14:paraId="653EDDD7" w14:textId="241601DF" w:rsidR="00B86101" w:rsidRPr="00052AB3" w:rsidRDefault="00B86101"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52AB3">
        <w:rPr>
          <w:rFonts w:ascii="Palatino Linotype" w:eastAsia="Arial Unicode MS" w:hAnsi="Palatino Linotype" w:cs="Arial"/>
          <w:sz w:val="24"/>
          <w:lang w:eastAsia="en-US"/>
        </w:rPr>
        <w:t>Asimismo, tal y como se ha dicho en líneas anteriores, el derecho de acceso a la información se satisface con la entrega de documentos que obren en posesión de los Sujetos Obligados, por lo que es necesario analizar la fuente obligacional del Sujeto Obligado, a efecto de determinar si cuenta con atribuciones de generar las constancias de vecindad.</w:t>
      </w:r>
    </w:p>
    <w:p w14:paraId="76B75AC8" w14:textId="77777777" w:rsidR="00B86101" w:rsidRPr="00052AB3" w:rsidRDefault="00B86101" w:rsidP="00B86101">
      <w:pPr>
        <w:rPr>
          <w:rFonts w:ascii="Palatino Linotype" w:eastAsia="Arial Unicode MS" w:hAnsi="Palatino Linotype" w:cs="Arial"/>
          <w:sz w:val="24"/>
          <w:szCs w:val="24"/>
          <w:lang w:eastAsia="en-US"/>
        </w:rPr>
      </w:pPr>
    </w:p>
    <w:p w14:paraId="30C1BABB" w14:textId="25163D7B" w:rsidR="00B86101" w:rsidRPr="00052AB3" w:rsidRDefault="00B86101" w:rsidP="00B86101">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52AB3">
        <w:rPr>
          <w:rFonts w:ascii="Palatino Linotype" w:eastAsia="Arial Unicode MS" w:hAnsi="Palatino Linotype" w:cs="Arial"/>
          <w:sz w:val="24"/>
          <w:lang w:eastAsia="en-US"/>
        </w:rPr>
        <w:t xml:space="preserve">Es necesario traer a contexto la Ley Orgánica Municipal del Estado de México </w:t>
      </w:r>
      <w:r w:rsidRPr="00052AB3">
        <w:rPr>
          <w:rFonts w:ascii="Palatino Linotype" w:hAnsi="Palatino Linotype" w:cs="Arial"/>
          <w:sz w:val="24"/>
        </w:rPr>
        <w:t>en sus artículos 87, fracción I; y 91, fracción X establecen que el Municipio se auxiliara de distintas áreas, de las que se contempla la Secretaría del Ayuntamiento, precisando sus funciones, ordenamientos que se citan a mayor referencia:</w:t>
      </w:r>
    </w:p>
    <w:p w14:paraId="13256E07" w14:textId="77777777" w:rsidR="00B86101" w:rsidRDefault="00B86101" w:rsidP="00B86101">
      <w:pPr>
        <w:spacing w:line="360" w:lineRule="auto"/>
        <w:jc w:val="both"/>
        <w:rPr>
          <w:rFonts w:ascii="Palatino Linotype" w:hAnsi="Palatino Linotype" w:cs="Arial"/>
          <w:sz w:val="24"/>
          <w:szCs w:val="24"/>
        </w:rPr>
      </w:pPr>
    </w:p>
    <w:p w14:paraId="1DFAD112"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i/>
          <w:sz w:val="22"/>
          <w:szCs w:val="24"/>
        </w:rPr>
        <w:t>“</w:t>
      </w:r>
      <w:r w:rsidRPr="00052AB3">
        <w:rPr>
          <w:rFonts w:ascii="Palatino Linotype" w:hAnsi="Palatino Linotype" w:cs="Arial"/>
          <w:b/>
          <w:i/>
          <w:sz w:val="22"/>
          <w:szCs w:val="24"/>
        </w:rPr>
        <w:t>Artículo 87.-</w:t>
      </w:r>
      <w:r w:rsidRPr="00052AB3">
        <w:rPr>
          <w:rFonts w:ascii="Palatino Linotype" w:hAnsi="Palatino Linotype" w:cs="Arial"/>
          <w:i/>
          <w:sz w:val="22"/>
          <w:szCs w:val="24"/>
        </w:rPr>
        <w:t xml:space="preserve"> Para el despacho, estudio y planeación de los diversos asuntos de la administración municipal, el ayuntamiento contará por lo menos con las siguientes Dependencias:</w:t>
      </w:r>
    </w:p>
    <w:p w14:paraId="61416F6C" w14:textId="77777777" w:rsidR="00B86101" w:rsidRPr="00052AB3" w:rsidRDefault="00B86101" w:rsidP="00052AB3">
      <w:pPr>
        <w:spacing w:line="360" w:lineRule="auto"/>
        <w:ind w:left="567" w:right="567"/>
        <w:jc w:val="both"/>
        <w:rPr>
          <w:rFonts w:ascii="Palatino Linotype" w:hAnsi="Palatino Linotype" w:cs="Arial"/>
          <w:i/>
          <w:sz w:val="22"/>
          <w:szCs w:val="24"/>
        </w:rPr>
      </w:pPr>
    </w:p>
    <w:p w14:paraId="3A3360CD" w14:textId="77777777" w:rsidR="00B86101" w:rsidRPr="00052AB3" w:rsidRDefault="00B86101" w:rsidP="00052AB3">
      <w:pPr>
        <w:spacing w:line="360" w:lineRule="auto"/>
        <w:ind w:left="567" w:right="567"/>
        <w:jc w:val="both"/>
        <w:rPr>
          <w:rFonts w:ascii="Palatino Linotype" w:hAnsi="Palatino Linotype" w:cs="Arial"/>
          <w:b/>
          <w:i/>
          <w:sz w:val="22"/>
          <w:szCs w:val="24"/>
        </w:rPr>
      </w:pPr>
      <w:r w:rsidRPr="00052AB3">
        <w:rPr>
          <w:rFonts w:ascii="Palatino Linotype" w:hAnsi="Palatino Linotype" w:cs="Arial"/>
          <w:b/>
          <w:i/>
          <w:sz w:val="22"/>
          <w:szCs w:val="24"/>
        </w:rPr>
        <w:t>I. La secretaría del ayuntamiento;</w:t>
      </w:r>
    </w:p>
    <w:p w14:paraId="60157A54"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i/>
          <w:sz w:val="22"/>
          <w:szCs w:val="24"/>
        </w:rPr>
        <w:t>(…)</w:t>
      </w:r>
    </w:p>
    <w:p w14:paraId="3302CAE6" w14:textId="77777777" w:rsidR="00B86101" w:rsidRPr="00052AB3" w:rsidRDefault="00B86101" w:rsidP="00052AB3">
      <w:pPr>
        <w:spacing w:line="360" w:lineRule="auto"/>
        <w:ind w:left="567" w:right="567"/>
        <w:jc w:val="both"/>
        <w:rPr>
          <w:rFonts w:ascii="Palatino Linotype" w:hAnsi="Palatino Linotype" w:cs="Arial"/>
          <w:i/>
          <w:sz w:val="22"/>
          <w:szCs w:val="24"/>
        </w:rPr>
      </w:pPr>
    </w:p>
    <w:p w14:paraId="0D2E9FFE"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Artículo 91.-</w:t>
      </w:r>
      <w:r w:rsidRPr="00052AB3">
        <w:rPr>
          <w:rFonts w:ascii="Palatino Linotype" w:hAnsi="Palatino Linotype" w:cs="Arial"/>
          <w:i/>
          <w:sz w:val="22"/>
          <w:szCs w:val="24"/>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0BC7CDC"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I</w:t>
      </w:r>
      <w:r w:rsidRPr="00052AB3">
        <w:rPr>
          <w:rFonts w:ascii="Palatino Linotype" w:hAnsi="Palatino Linotype" w:cs="Arial"/>
          <w:i/>
          <w:sz w:val="22"/>
          <w:szCs w:val="24"/>
        </w:rPr>
        <w:t>. Asistir a las sesiones del ayuntamiento y levantar las actas correspondientes;</w:t>
      </w:r>
    </w:p>
    <w:p w14:paraId="6A0ED67E"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II</w:t>
      </w:r>
      <w:r w:rsidRPr="00052AB3">
        <w:rPr>
          <w:rFonts w:ascii="Palatino Linotype" w:hAnsi="Palatino Linotype" w:cs="Arial"/>
          <w:i/>
          <w:sz w:val="22"/>
          <w:szCs w:val="24"/>
        </w:rPr>
        <w:t>. Emitir los citatorios para la celebración de las sesiones de cabildo, convocadas legalmente;</w:t>
      </w:r>
    </w:p>
    <w:p w14:paraId="5647800E"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III</w:t>
      </w:r>
      <w:r w:rsidRPr="00052AB3">
        <w:rPr>
          <w:rFonts w:ascii="Palatino Linotype" w:hAnsi="Palatino Linotype" w:cs="Arial"/>
          <w:i/>
          <w:sz w:val="22"/>
          <w:szCs w:val="24"/>
        </w:rPr>
        <w:t>. Dar cuenta en la primera sesión de cada mes, del número y contenido de los expedientes pasados a comisión, con mención de los que hayan sido resueltos y de los pendientes;</w:t>
      </w:r>
    </w:p>
    <w:p w14:paraId="10088297"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IV</w:t>
      </w:r>
      <w:r w:rsidRPr="00052AB3">
        <w:rPr>
          <w:rFonts w:ascii="Palatino Linotype" w:hAnsi="Palatino Linotype" w:cs="Arial"/>
          <w:i/>
          <w:sz w:val="22"/>
          <w:szCs w:val="24"/>
        </w:rPr>
        <w:t>. Llevar y conservar los libros de actas de cabildo, obteniendo las firmas de los asistentes a las sesiones;</w:t>
      </w:r>
    </w:p>
    <w:p w14:paraId="318684BE"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V</w:t>
      </w:r>
      <w:r w:rsidRPr="00052AB3">
        <w:rPr>
          <w:rFonts w:ascii="Palatino Linotype" w:hAnsi="Palatino Linotype" w:cs="Arial"/>
          <w:i/>
          <w:sz w:val="22"/>
          <w:szCs w:val="24"/>
        </w:rPr>
        <w:t>. Validar con su firma, los documentos oficiales emanados del ayuntamiento o de cualquiera de sus miembros;</w:t>
      </w:r>
    </w:p>
    <w:p w14:paraId="109F351C"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VI</w:t>
      </w:r>
      <w:r w:rsidRPr="00052AB3">
        <w:rPr>
          <w:rFonts w:ascii="Palatino Linotype" w:hAnsi="Palatino Linotype" w:cs="Arial"/>
          <w:i/>
          <w:sz w:val="22"/>
          <w:szCs w:val="24"/>
        </w:rPr>
        <w:t xml:space="preserve">. Tener a su cargo el </w:t>
      </w:r>
      <w:r w:rsidRPr="00052AB3">
        <w:rPr>
          <w:rFonts w:ascii="Palatino Linotype" w:hAnsi="Palatino Linotype" w:cs="Arial"/>
          <w:b/>
          <w:i/>
          <w:sz w:val="22"/>
          <w:szCs w:val="24"/>
        </w:rPr>
        <w:t>archivo</w:t>
      </w:r>
      <w:r w:rsidRPr="00052AB3">
        <w:rPr>
          <w:rFonts w:ascii="Palatino Linotype" w:hAnsi="Palatino Linotype" w:cs="Arial"/>
          <w:i/>
          <w:sz w:val="22"/>
          <w:szCs w:val="24"/>
        </w:rPr>
        <w:t xml:space="preserve"> general del ayuntamiento;</w:t>
      </w:r>
    </w:p>
    <w:p w14:paraId="46C51C9B"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VII</w:t>
      </w:r>
      <w:r w:rsidRPr="00052AB3">
        <w:rPr>
          <w:rFonts w:ascii="Palatino Linotype" w:hAnsi="Palatino Linotype" w:cs="Arial"/>
          <w:i/>
          <w:sz w:val="22"/>
          <w:szCs w:val="24"/>
        </w:rPr>
        <w:t>. Controlar y distribuir la correspondencia oficial del ayuntamiento, dando cuenta diaria al presidente municipal para acordar su trámite;</w:t>
      </w:r>
    </w:p>
    <w:p w14:paraId="12E7514F"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VIII</w:t>
      </w:r>
      <w:r w:rsidRPr="00052AB3">
        <w:rPr>
          <w:rFonts w:ascii="Palatino Linotype" w:hAnsi="Palatino Linotype" w:cs="Arial"/>
          <w:i/>
          <w:sz w:val="22"/>
          <w:szCs w:val="24"/>
        </w:rPr>
        <w:t>. Publicar los reglamentos, circulares y demás disposiciones municipales de observancia general;</w:t>
      </w:r>
    </w:p>
    <w:p w14:paraId="4F2705DC"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IX</w:t>
      </w:r>
      <w:r w:rsidRPr="00052AB3">
        <w:rPr>
          <w:rFonts w:ascii="Palatino Linotype" w:hAnsi="Palatino Linotype" w:cs="Arial"/>
          <w:i/>
          <w:sz w:val="22"/>
          <w:szCs w:val="24"/>
        </w:rPr>
        <w:t>. Compilar leyes, decretos, reglamentos, periódicos oficiales del estado, circulares y órdenes relativas a los distintos sectores de la administración pública municipal;</w:t>
      </w:r>
    </w:p>
    <w:p w14:paraId="2718B1AC" w14:textId="77777777" w:rsidR="00B86101" w:rsidRPr="00052AB3" w:rsidRDefault="00B86101" w:rsidP="00052AB3">
      <w:pPr>
        <w:spacing w:line="360" w:lineRule="auto"/>
        <w:ind w:left="567" w:right="567"/>
        <w:jc w:val="both"/>
        <w:rPr>
          <w:rFonts w:ascii="Palatino Linotype" w:hAnsi="Palatino Linotype" w:cs="Arial"/>
          <w:b/>
          <w:i/>
          <w:sz w:val="22"/>
          <w:szCs w:val="24"/>
          <w:u w:val="single"/>
        </w:rPr>
      </w:pPr>
      <w:r w:rsidRPr="00052AB3">
        <w:rPr>
          <w:rFonts w:ascii="Palatino Linotype" w:hAnsi="Palatino Linotype" w:cs="Arial"/>
          <w:b/>
          <w:i/>
          <w:sz w:val="22"/>
          <w:szCs w:val="24"/>
          <w:u w:val="single"/>
        </w:rPr>
        <w:t xml:space="preserve">X. Expedir las constancias de vecindad, de identidad o de última residencia que soliciten los habitantes del municipio, en un plazo no mayor de 24 horas, así como </w:t>
      </w:r>
      <w:r w:rsidRPr="00052AB3">
        <w:rPr>
          <w:rFonts w:ascii="Palatino Linotype" w:hAnsi="Palatino Linotype" w:cs="Arial"/>
          <w:b/>
          <w:i/>
          <w:sz w:val="22"/>
          <w:szCs w:val="24"/>
          <w:u w:val="single"/>
        </w:rPr>
        <w:lastRenderedPageBreak/>
        <w:t>las certificaciones y demás documentos públicos que legalmente procedan, o los que acuerde el ayuntamiento;</w:t>
      </w:r>
    </w:p>
    <w:p w14:paraId="7964EAC6"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XI</w:t>
      </w:r>
      <w:r w:rsidRPr="00052AB3">
        <w:rPr>
          <w:rFonts w:ascii="Palatino Linotype" w:hAnsi="Palatino Linotype" w:cs="Arial"/>
          <w:i/>
          <w:sz w:val="22"/>
          <w:szCs w:val="24"/>
        </w:rPr>
        <w:t>.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2F8F9F39"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i/>
          <w:sz w:val="22"/>
          <w:szCs w:val="24"/>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33DC19C3"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XII</w:t>
      </w:r>
      <w:r w:rsidRPr="00052AB3">
        <w:rPr>
          <w:rFonts w:ascii="Palatino Linotype" w:hAnsi="Palatino Linotype" w:cs="Arial"/>
          <w:i/>
          <w:sz w:val="22"/>
          <w:szCs w:val="24"/>
        </w:rPr>
        <w:t>. Integrar un sistema de información que contenga datos de los aspectos socio-económicos básicos del municipio;</w:t>
      </w:r>
    </w:p>
    <w:p w14:paraId="1DD50F54"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XIII</w:t>
      </w:r>
      <w:r w:rsidRPr="00052AB3">
        <w:rPr>
          <w:rFonts w:ascii="Palatino Linotype" w:hAnsi="Palatino Linotype" w:cs="Arial"/>
          <w:i/>
          <w:sz w:val="22"/>
          <w:szCs w:val="24"/>
        </w:rPr>
        <w:t>. Ser responsable de la publicación de la Gaceta Municipal, así como de las publicaciones en los estrados de los Ayuntamientos; y</w:t>
      </w:r>
    </w:p>
    <w:p w14:paraId="11B9D9EB" w14:textId="77777777" w:rsidR="00B86101" w:rsidRPr="00052AB3" w:rsidRDefault="00B86101" w:rsidP="00052AB3">
      <w:pPr>
        <w:spacing w:line="360" w:lineRule="auto"/>
        <w:ind w:left="567" w:right="567"/>
        <w:jc w:val="both"/>
        <w:rPr>
          <w:rFonts w:ascii="Palatino Linotype" w:hAnsi="Palatino Linotype" w:cs="Arial"/>
          <w:i/>
          <w:sz w:val="22"/>
          <w:szCs w:val="24"/>
        </w:rPr>
      </w:pPr>
      <w:r w:rsidRPr="00052AB3">
        <w:rPr>
          <w:rFonts w:ascii="Palatino Linotype" w:hAnsi="Palatino Linotype" w:cs="Arial"/>
          <w:b/>
          <w:i/>
          <w:sz w:val="22"/>
          <w:szCs w:val="24"/>
        </w:rPr>
        <w:t>XIV</w:t>
      </w:r>
      <w:r w:rsidRPr="00052AB3">
        <w:rPr>
          <w:rFonts w:ascii="Palatino Linotype" w:hAnsi="Palatino Linotype" w:cs="Arial"/>
          <w:i/>
          <w:sz w:val="22"/>
          <w:szCs w:val="24"/>
        </w:rPr>
        <w:t>. Las demás que le confieran esta Ley y disposiciones aplicables.”</w:t>
      </w:r>
    </w:p>
    <w:p w14:paraId="21E9BC07" w14:textId="77777777" w:rsidR="00B86101" w:rsidRPr="00052AB3" w:rsidRDefault="00B86101" w:rsidP="00052AB3">
      <w:pPr>
        <w:spacing w:line="360" w:lineRule="auto"/>
        <w:ind w:left="567" w:right="567"/>
        <w:jc w:val="both"/>
        <w:rPr>
          <w:rFonts w:ascii="Palatino Linotype" w:hAnsi="Palatino Linotype" w:cs="Arial"/>
          <w:i/>
          <w:sz w:val="22"/>
          <w:szCs w:val="24"/>
        </w:rPr>
      </w:pPr>
    </w:p>
    <w:p w14:paraId="1EDF201A" w14:textId="77777777" w:rsidR="00B86101" w:rsidRPr="000B74FC" w:rsidRDefault="00B86101" w:rsidP="00B86101">
      <w:pPr>
        <w:ind w:left="567" w:right="567"/>
        <w:jc w:val="right"/>
        <w:rPr>
          <w:rFonts w:ascii="Palatino Linotype" w:hAnsi="Palatino Linotype" w:cs="Arial"/>
          <w:szCs w:val="24"/>
        </w:rPr>
      </w:pPr>
      <w:r>
        <w:rPr>
          <w:rFonts w:ascii="Palatino Linotype" w:hAnsi="Palatino Linotype" w:cs="Arial"/>
          <w:szCs w:val="24"/>
        </w:rPr>
        <w:t>(Énfasis añadido)</w:t>
      </w:r>
    </w:p>
    <w:p w14:paraId="06739603" w14:textId="77777777" w:rsidR="00B86101" w:rsidRDefault="00B86101" w:rsidP="00B86101">
      <w:pPr>
        <w:pStyle w:val="Prrafodelista"/>
        <w:spacing w:line="360" w:lineRule="auto"/>
        <w:ind w:left="0"/>
        <w:jc w:val="both"/>
        <w:rPr>
          <w:rFonts w:ascii="Palatino Linotype" w:eastAsia="Arial Unicode MS" w:hAnsi="Palatino Linotype" w:cs="Arial"/>
          <w:highlight w:val="yellow"/>
          <w:lang w:eastAsia="en-US"/>
        </w:rPr>
      </w:pPr>
    </w:p>
    <w:p w14:paraId="444D0825" w14:textId="67E4DA02" w:rsidR="00B86101" w:rsidRPr="00052AB3" w:rsidRDefault="00B86101"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52AB3">
        <w:rPr>
          <w:rFonts w:ascii="Palatino Linotype" w:eastAsia="Arial Unicode MS" w:hAnsi="Palatino Linotype" w:cs="Arial"/>
          <w:sz w:val="24"/>
          <w:lang w:eastAsia="en-US"/>
        </w:rPr>
        <w:t xml:space="preserve">Como resultado de lo anterior, se aprecia que los Ayuntamiento del Estado de México deben contar con una Secretaría del Ayuntamiento, la cual tiene entre sus </w:t>
      </w:r>
      <w:r w:rsidRPr="00052AB3">
        <w:rPr>
          <w:rFonts w:ascii="Palatino Linotype" w:eastAsia="Arial Unicode MS" w:hAnsi="Palatino Linotype" w:cs="Arial"/>
          <w:sz w:val="24"/>
          <w:lang w:eastAsia="en-US"/>
        </w:rPr>
        <w:lastRenderedPageBreak/>
        <w:t>atribuciones emitir las constancias de vecindad que requieran los habitantes del municipio, en un plazo no mayor a 24 horas.</w:t>
      </w:r>
    </w:p>
    <w:p w14:paraId="5F58ACAA" w14:textId="77777777" w:rsidR="00B86101" w:rsidRPr="00052AB3" w:rsidRDefault="00B86101" w:rsidP="00B86101">
      <w:pPr>
        <w:pStyle w:val="Prrafodelista"/>
        <w:spacing w:line="360" w:lineRule="auto"/>
        <w:ind w:left="0"/>
        <w:jc w:val="both"/>
        <w:rPr>
          <w:rFonts w:ascii="Palatino Linotype" w:eastAsia="Arial Unicode MS" w:hAnsi="Palatino Linotype" w:cs="Arial"/>
          <w:lang w:eastAsia="en-US"/>
        </w:rPr>
      </w:pPr>
    </w:p>
    <w:p w14:paraId="259758C4" w14:textId="583A3C01" w:rsidR="00B86101" w:rsidRPr="00052AB3" w:rsidRDefault="0068490F"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52AB3">
        <w:rPr>
          <w:rFonts w:ascii="Palatino Linotype" w:eastAsia="Arial Unicode MS" w:hAnsi="Palatino Linotype" w:cs="Arial"/>
          <w:sz w:val="24"/>
          <w:lang w:eastAsia="en-US"/>
        </w:rPr>
        <w:t>Asimismo, la Secretaría de Relaciones Exteriores</w:t>
      </w:r>
      <w:r w:rsidR="00052AB3">
        <w:rPr>
          <w:rStyle w:val="Refdenotaalpie"/>
          <w:rFonts w:ascii="Palatino Linotype" w:eastAsia="Arial Unicode MS" w:hAnsi="Palatino Linotype" w:cs="Arial"/>
          <w:sz w:val="24"/>
          <w:lang w:eastAsia="en-US"/>
        </w:rPr>
        <w:footnoteReference w:id="8"/>
      </w:r>
      <w:r w:rsidRPr="00052AB3">
        <w:rPr>
          <w:rFonts w:ascii="Palatino Linotype" w:eastAsia="Arial Unicode MS" w:hAnsi="Palatino Linotype" w:cs="Arial"/>
          <w:sz w:val="24"/>
          <w:lang w:eastAsia="en-US"/>
        </w:rPr>
        <w:t xml:space="preserve"> define que la Carta de Identificación o de vecindad como </w:t>
      </w:r>
      <w:r w:rsidRPr="00052AB3">
        <w:rPr>
          <w:rFonts w:ascii="Palatino Linotype" w:eastAsia="Arial Unicode MS" w:hAnsi="Palatino Linotype" w:cs="Arial"/>
          <w:i/>
          <w:sz w:val="24"/>
          <w:lang w:eastAsia="en-US"/>
        </w:rPr>
        <w:t>documento que acredita que una persona es originaria de algún lugar y la expide la Presidencia Municipal de la localidad.</w:t>
      </w:r>
    </w:p>
    <w:p w14:paraId="3A3524AE" w14:textId="77777777" w:rsidR="00B86101" w:rsidRPr="00052AB3" w:rsidRDefault="00B86101" w:rsidP="0068490F">
      <w:pPr>
        <w:pStyle w:val="Prrafodelista"/>
        <w:spacing w:line="360" w:lineRule="auto"/>
        <w:ind w:left="0"/>
        <w:jc w:val="both"/>
        <w:rPr>
          <w:rFonts w:ascii="Palatino Linotype" w:eastAsia="Arial Unicode MS" w:hAnsi="Palatino Linotype" w:cs="Arial"/>
          <w:sz w:val="24"/>
          <w:lang w:eastAsia="en-US"/>
        </w:rPr>
      </w:pPr>
    </w:p>
    <w:p w14:paraId="43C1B4A5" w14:textId="652C2D21" w:rsidR="0068490F" w:rsidRPr="00052AB3" w:rsidRDefault="0068490F"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52AB3">
        <w:rPr>
          <w:rFonts w:ascii="Palatino Linotype" w:eastAsia="Arial Unicode MS" w:hAnsi="Palatino Linotype" w:cs="Arial"/>
          <w:sz w:val="24"/>
          <w:lang w:eastAsia="en-US"/>
        </w:rPr>
        <w:t xml:space="preserve">Se localizó </w:t>
      </w:r>
      <w:r w:rsidR="005B7C23" w:rsidRPr="00052AB3">
        <w:rPr>
          <w:rFonts w:ascii="Palatino Linotype" w:eastAsia="Arial Unicode MS" w:hAnsi="Palatino Linotype" w:cs="Arial"/>
          <w:sz w:val="24"/>
          <w:lang w:eastAsia="en-US"/>
        </w:rPr>
        <w:t>una cédula de identificación del Sujeto Obligado, se inserta contenido:</w:t>
      </w:r>
    </w:p>
    <w:p w14:paraId="397BF356" w14:textId="4D36B417" w:rsidR="005B7C23" w:rsidRPr="005B7C23" w:rsidRDefault="00052AB3" w:rsidP="005B7C23">
      <w:pPr>
        <w:pStyle w:val="Prrafodelista"/>
        <w:rPr>
          <w:rFonts w:ascii="Palatino Linotype" w:eastAsia="Arial Unicode MS" w:hAnsi="Palatino Linotype" w:cs="Arial"/>
          <w:highlight w:val="yellow"/>
          <w:lang w:eastAsia="en-US"/>
        </w:rPr>
      </w:pPr>
      <w:r>
        <w:rPr>
          <w:rFonts w:ascii="Palatino Linotype" w:eastAsia="Arial Unicode MS" w:hAnsi="Palatino Linotype" w:cs="Arial"/>
          <w:noProof/>
          <w:lang w:eastAsia="es-MX"/>
        </w:rPr>
        <mc:AlternateContent>
          <mc:Choice Requires="wps">
            <w:drawing>
              <wp:anchor distT="0" distB="0" distL="114300" distR="114300" simplePos="0" relativeHeight="251659264" behindDoc="0" locked="0" layoutInCell="1" allowOverlap="1" wp14:anchorId="46A7C540" wp14:editId="4E553AC4">
                <wp:simplePos x="0" y="0"/>
                <wp:positionH relativeFrom="column">
                  <wp:posOffset>12346</wp:posOffset>
                </wp:positionH>
                <wp:positionV relativeFrom="paragraph">
                  <wp:posOffset>29904</wp:posOffset>
                </wp:positionV>
                <wp:extent cx="5518297" cy="3359888"/>
                <wp:effectExtent l="0" t="0" r="25400" b="31115"/>
                <wp:wrapNone/>
                <wp:docPr id="4" name="Conector recto 4"/>
                <wp:cNvGraphicFramePr/>
                <a:graphic xmlns:a="http://schemas.openxmlformats.org/drawingml/2006/main">
                  <a:graphicData uri="http://schemas.microsoft.com/office/word/2010/wordprocessingShape">
                    <wps:wsp>
                      <wps:cNvCnPr/>
                      <wps:spPr>
                        <a:xfrm>
                          <a:off x="0" y="0"/>
                          <a:ext cx="5518297" cy="33598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56931"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35pt" to="435.45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" strokecolor="#4472c4 [3204]" strokeweight=".5pt">
                <v:stroke joinstyle="miter"/>
              </v:line>
            </w:pict>
          </mc:Fallback>
        </mc:AlternateContent>
      </w:r>
    </w:p>
    <w:p w14:paraId="6ACC44E5" w14:textId="77777777" w:rsidR="005B7C23" w:rsidRDefault="005B7C23" w:rsidP="005B7C23">
      <w:pPr>
        <w:pStyle w:val="Prrafodelista"/>
        <w:spacing w:line="360" w:lineRule="auto"/>
        <w:ind w:left="0"/>
        <w:jc w:val="both"/>
        <w:rPr>
          <w:rFonts w:ascii="Palatino Linotype" w:eastAsia="Arial Unicode MS" w:hAnsi="Palatino Linotype" w:cs="Arial"/>
          <w:highlight w:val="yellow"/>
          <w:lang w:eastAsia="en-US"/>
        </w:rPr>
      </w:pPr>
    </w:p>
    <w:p w14:paraId="090E3FB4" w14:textId="753081A9" w:rsidR="005B7C23" w:rsidRDefault="005B7C23" w:rsidP="005B7C23">
      <w:pPr>
        <w:pStyle w:val="Prrafodelista"/>
        <w:spacing w:line="360" w:lineRule="auto"/>
        <w:ind w:left="0"/>
        <w:jc w:val="center"/>
        <w:rPr>
          <w:rFonts w:ascii="Palatino Linotype" w:eastAsia="Arial Unicode MS" w:hAnsi="Palatino Linotype" w:cs="Arial"/>
          <w:highlight w:val="yellow"/>
          <w:lang w:eastAsia="en-US"/>
        </w:rPr>
      </w:pPr>
      <w:r w:rsidRPr="005B7C23">
        <w:rPr>
          <w:rFonts w:ascii="Palatino Linotype" w:eastAsia="Arial Unicode MS" w:hAnsi="Palatino Linotype" w:cs="Arial"/>
          <w:noProof/>
          <w:lang w:eastAsia="es-MX"/>
        </w:rPr>
        <w:lastRenderedPageBreak/>
        <w:drawing>
          <wp:inline distT="0" distB="0" distL="0" distR="0" wp14:anchorId="60EB1B64" wp14:editId="347A334D">
            <wp:extent cx="5305647" cy="644450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07360" cy="6446590"/>
                    </a:xfrm>
                    <a:prstGeom prst="rect">
                      <a:avLst/>
                    </a:prstGeom>
                  </pic:spPr>
                </pic:pic>
              </a:graphicData>
            </a:graphic>
          </wp:inline>
        </w:drawing>
      </w:r>
    </w:p>
    <w:p w14:paraId="4F0EE976" w14:textId="63F37BC4" w:rsidR="005B7C23" w:rsidRDefault="005B7C23" w:rsidP="005B7C23">
      <w:pPr>
        <w:pStyle w:val="Prrafodelista"/>
        <w:spacing w:line="360" w:lineRule="auto"/>
        <w:ind w:left="0"/>
        <w:jc w:val="center"/>
        <w:rPr>
          <w:rFonts w:ascii="Palatino Linotype" w:eastAsia="Arial Unicode MS" w:hAnsi="Palatino Linotype" w:cs="Arial"/>
          <w:highlight w:val="yellow"/>
          <w:lang w:eastAsia="en-US"/>
        </w:rPr>
      </w:pPr>
      <w:r w:rsidRPr="005B7C23">
        <w:rPr>
          <w:rFonts w:ascii="Palatino Linotype" w:eastAsia="Arial Unicode MS" w:hAnsi="Palatino Linotype" w:cs="Arial"/>
          <w:noProof/>
          <w:lang w:eastAsia="es-MX"/>
        </w:rPr>
        <w:lastRenderedPageBreak/>
        <w:drawing>
          <wp:inline distT="0" distB="0" distL="0" distR="0" wp14:anchorId="0EDFF53C" wp14:editId="40CFA8E8">
            <wp:extent cx="5630061" cy="6096851"/>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30061" cy="6096851"/>
                    </a:xfrm>
                    <a:prstGeom prst="rect">
                      <a:avLst/>
                    </a:prstGeom>
                  </pic:spPr>
                </pic:pic>
              </a:graphicData>
            </a:graphic>
          </wp:inline>
        </w:drawing>
      </w:r>
    </w:p>
    <w:p w14:paraId="793C05B7" w14:textId="77777777" w:rsidR="0068490F" w:rsidRPr="0068490F" w:rsidRDefault="0068490F" w:rsidP="0068490F">
      <w:pPr>
        <w:pStyle w:val="Prrafodelista"/>
        <w:rPr>
          <w:rFonts w:ascii="Palatino Linotype" w:eastAsia="Arial Unicode MS" w:hAnsi="Palatino Linotype" w:cs="Arial"/>
          <w:highlight w:val="yellow"/>
          <w:lang w:eastAsia="en-US"/>
        </w:rPr>
      </w:pPr>
    </w:p>
    <w:p w14:paraId="43FC5782" w14:textId="7F03F846" w:rsidR="0068490F" w:rsidRPr="00052AB3" w:rsidRDefault="005B7C23" w:rsidP="006C47C8">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52AB3">
        <w:rPr>
          <w:rFonts w:ascii="Palatino Linotype" w:eastAsia="Arial Unicode MS" w:hAnsi="Palatino Linotype" w:cs="Arial"/>
          <w:sz w:val="24"/>
          <w:lang w:eastAsia="en-US"/>
        </w:rPr>
        <w:lastRenderedPageBreak/>
        <w:t xml:space="preserve">De lo anterior, se aprecia que el Ayuntamiento de Zinacantepec tiene la atribución para emitir constancias de vecindad, a través de la Secretaría del Ayuntamiento, siempre y cuando se cumplan los requisitos por los solicitantes. </w:t>
      </w:r>
    </w:p>
    <w:p w14:paraId="42B5DC96" w14:textId="77777777" w:rsidR="0068490F" w:rsidRDefault="0068490F" w:rsidP="00052AB3">
      <w:pPr>
        <w:pStyle w:val="Prrafodelista"/>
        <w:spacing w:line="360" w:lineRule="auto"/>
        <w:ind w:left="0"/>
        <w:jc w:val="both"/>
        <w:rPr>
          <w:rFonts w:ascii="Palatino Linotype" w:eastAsia="Arial Unicode MS" w:hAnsi="Palatino Linotype" w:cs="Arial"/>
          <w:highlight w:val="yellow"/>
          <w:lang w:eastAsia="en-US"/>
        </w:rPr>
      </w:pPr>
    </w:p>
    <w:p w14:paraId="5FBC7B51"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color w:val="0D0D0D" w:themeColor="text1" w:themeTint="F2"/>
          <w:sz w:val="24"/>
          <w:szCs w:val="24"/>
          <w:lang w:val="es-ES_tradnl"/>
        </w:rPr>
      </w:pPr>
      <w:r w:rsidRPr="0036769D">
        <w:rPr>
          <w:rFonts w:ascii="Palatino Linotype" w:eastAsia="MS Mincho" w:hAnsi="Palatino Linotype"/>
          <w:sz w:val="24"/>
          <w:szCs w:val="24"/>
          <w:lang w:val="es-ES_tradnl"/>
        </w:rPr>
        <w:t xml:space="preserve">Así mismo se define a las constancias de vecindad o domiciliarias como </w:t>
      </w:r>
      <w:r w:rsidRPr="0036769D">
        <w:rPr>
          <w:rFonts w:ascii="Palatino Linotype" w:hAnsi="Palatino Linotype" w:cs="Arial"/>
          <w:color w:val="0D0D0D" w:themeColor="text1" w:themeTint="F2"/>
          <w:sz w:val="24"/>
          <w:szCs w:val="24"/>
          <w:shd w:val="clear" w:color="auto" w:fill="FFFFFF"/>
        </w:rPr>
        <w:t>un documento que se extiende para que se demuestre la residencia del solicitante en el municipio.</w:t>
      </w:r>
    </w:p>
    <w:p w14:paraId="5CD3B19F" w14:textId="77777777" w:rsidR="00EB5718" w:rsidRPr="0036769D" w:rsidRDefault="00EB5718" w:rsidP="00EB5718">
      <w:pPr>
        <w:spacing w:line="360" w:lineRule="auto"/>
        <w:ind w:right="49"/>
        <w:contextualSpacing/>
        <w:jc w:val="both"/>
        <w:rPr>
          <w:rFonts w:ascii="Palatino Linotype" w:eastAsia="MS Mincho" w:hAnsi="Palatino Linotype"/>
          <w:color w:val="0D0D0D" w:themeColor="text1" w:themeTint="F2"/>
          <w:sz w:val="24"/>
          <w:szCs w:val="24"/>
          <w:lang w:val="es-ES_tradnl"/>
        </w:rPr>
      </w:pPr>
    </w:p>
    <w:p w14:paraId="4052052A"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t>De acuerdo con la página oficial del Gobierno del Estado de México, para obtener ya sea una constancia domiciliaria o una constancia de vecindad, se debe acudir de manera personal a la oficina de la Secretaría del Ayuntamiento de los Municipios, pagar el costo del trámite, y presentar diversos documentos en originales y copia, como lo son: acta de nacimiento y comprobante de domicilio, entre otros.</w:t>
      </w:r>
    </w:p>
    <w:p w14:paraId="259D0562"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4C74376A" w14:textId="57395EC4" w:rsidR="00EB5718" w:rsidRPr="00EB5718"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t xml:space="preserve">Ahora bien, los pasos a seguir son que el interesado acuda a las oficinas de la Secretaría del Ayuntamiento y pida una constancia de vecindad, entregue todos los requisitos, en caso de que los reúna completamente, se le entregará una orden de pago y posterior a ello, deberá entregar el recibo en la Secretaría del Ayuntamiento y finalmente se le expedirá la Constancia de Vecindad. </w:t>
      </w:r>
    </w:p>
    <w:p w14:paraId="39859D33"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55EC7B74"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lastRenderedPageBreak/>
        <w:t xml:space="preserve">Por lo anterior, tomando en cuenta la naturaleza de los documentos requeridos para expedir la constancia de vecindad, resulta evidente que en dicha constancia contenga información que haría identificable a una persona. </w:t>
      </w:r>
    </w:p>
    <w:p w14:paraId="6C48E761"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43E17710" w14:textId="39B2F37C"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t>Siendo que, en cuanto a la</w:t>
      </w:r>
      <w:r w:rsidRPr="0036769D">
        <w:rPr>
          <w:rFonts w:ascii="Palatino Linotype" w:eastAsia="MS Mincho" w:hAnsi="Palatino Linotype"/>
          <w:b/>
          <w:sz w:val="24"/>
          <w:szCs w:val="24"/>
          <w:lang w:val="es-ES_tradnl"/>
        </w:rPr>
        <w:t xml:space="preserve"> fotografía</w:t>
      </w:r>
      <w:r w:rsidRPr="0036769D">
        <w:rPr>
          <w:rFonts w:ascii="Palatino Linotype" w:eastAsia="MS Mincho" w:hAnsi="Palatino Linotype"/>
          <w:sz w:val="24"/>
          <w:szCs w:val="24"/>
          <w:lang w:val="es-ES_tradnl"/>
        </w:rPr>
        <w:t xml:space="preserve"> de quien requiere la constancia de vecindad, constituye un dato personal confidencial, ya que es la reproducción fiel de las características físicas de un individuo, sus facciones, complexión y perfil en un momento específico de su vida, de tal suerte que representa un medio de identificación, por lo que h</w:t>
      </w:r>
      <w:r>
        <w:rPr>
          <w:rFonts w:ascii="Palatino Linotype" w:eastAsia="MS Mincho" w:hAnsi="Palatino Linotype"/>
          <w:sz w:val="24"/>
          <w:szCs w:val="24"/>
          <w:lang w:val="es-ES_tradnl"/>
        </w:rPr>
        <w:t>ace identificable a su titular.</w:t>
      </w:r>
    </w:p>
    <w:p w14:paraId="3BA18059"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4E3F56C3" w14:textId="7A47204A" w:rsidR="00EB5718" w:rsidRPr="00EB5718"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t>Por su parte el</w:t>
      </w:r>
      <w:r w:rsidRPr="0036769D">
        <w:rPr>
          <w:rFonts w:ascii="Palatino Linotype" w:eastAsia="MS Mincho" w:hAnsi="Palatino Linotype"/>
          <w:b/>
          <w:sz w:val="24"/>
          <w:szCs w:val="24"/>
          <w:lang w:val="es-ES_tradnl"/>
        </w:rPr>
        <w:t xml:space="preserve"> nombre</w:t>
      </w:r>
      <w:r w:rsidRPr="0036769D">
        <w:rPr>
          <w:rFonts w:ascii="Palatino Linotype" w:eastAsia="MS Mincho" w:hAnsi="Palatino Linotype"/>
          <w:sz w:val="24"/>
          <w:szCs w:val="24"/>
          <w:lang w:val="es-ES_tradnl"/>
        </w:rPr>
        <w:t xml:space="preserve">, es la palabra que designa o identifica a alguien, en el caso de las personas </w:t>
      </w:r>
      <w:r>
        <w:rPr>
          <w:rFonts w:ascii="Palatino Linotype" w:eastAsia="MS Mincho" w:hAnsi="Palatino Linotype"/>
          <w:sz w:val="24"/>
          <w:szCs w:val="24"/>
          <w:lang w:val="es-ES_tradnl"/>
        </w:rPr>
        <w:t xml:space="preserve">físicas </w:t>
      </w:r>
      <w:r w:rsidRPr="00EB5718">
        <w:rPr>
          <w:rFonts w:ascii="Palatino Linotype" w:eastAsia="Calibri" w:hAnsi="Palatino Linotype" w:cs="Tahoma"/>
          <w:bCs/>
          <w:sz w:val="24"/>
          <w:lang w:eastAsia="en-US"/>
        </w:rPr>
        <w:t>se integra con el sustantivo propio y el primer apellido de los padres; asimismo es la manifestación principal del derecho subjetivo a la personalidad y atributo de esta en términos del artículo 2.3 del Código Civil</w:t>
      </w:r>
      <w:r>
        <w:rPr>
          <w:rFonts w:ascii="Palatino Linotype" w:eastAsia="Calibri" w:hAnsi="Palatino Linotype" w:cs="Tahoma"/>
          <w:bCs/>
          <w:sz w:val="24"/>
          <w:lang w:eastAsia="en-US"/>
        </w:rPr>
        <w:t xml:space="preserve"> del Estado de México.</w:t>
      </w:r>
    </w:p>
    <w:p w14:paraId="6EF0680E" w14:textId="77777777" w:rsidR="00EB5718" w:rsidRDefault="00EB5718" w:rsidP="00EB5718">
      <w:pPr>
        <w:pStyle w:val="Prrafodelista"/>
        <w:rPr>
          <w:rFonts w:ascii="Palatino Linotype" w:eastAsia="MS Mincho" w:hAnsi="Palatino Linotype"/>
          <w:sz w:val="24"/>
          <w:lang w:val="es-ES_tradnl"/>
        </w:rPr>
      </w:pPr>
    </w:p>
    <w:p w14:paraId="0E73E847"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t xml:space="preserve">Relativo al </w:t>
      </w:r>
      <w:r w:rsidRPr="0036769D">
        <w:rPr>
          <w:rFonts w:ascii="Palatino Linotype" w:eastAsia="MS Mincho" w:hAnsi="Palatino Linotype"/>
          <w:b/>
          <w:sz w:val="24"/>
          <w:szCs w:val="24"/>
          <w:lang w:val="es-ES_tradnl"/>
        </w:rPr>
        <w:t>domicilio</w:t>
      </w:r>
      <w:r w:rsidRPr="0036769D">
        <w:rPr>
          <w:rFonts w:ascii="Palatino Linotype" w:eastAsia="MS Mincho" w:hAnsi="Palatino Linotype"/>
          <w:sz w:val="24"/>
          <w:szCs w:val="24"/>
          <w:lang w:val="es-ES_tradnl"/>
        </w:rPr>
        <w:t xml:space="preserve">, de acuerdo con lo señalado en los artículos </w:t>
      </w:r>
      <w:r w:rsidRPr="0036769D">
        <w:rPr>
          <w:rFonts w:ascii="Palatino Linotype" w:eastAsia="Calibri" w:hAnsi="Palatino Linotype" w:cs="Tahoma"/>
          <w:bCs/>
          <w:sz w:val="24"/>
          <w:szCs w:val="24"/>
        </w:rPr>
        <w:t xml:space="preserve">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w:t>
      </w:r>
    </w:p>
    <w:p w14:paraId="0FA29216"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6ACB027F" w14:textId="15AEA4CE"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lastRenderedPageBreak/>
        <w:t>En el caso concreto al que nos referimos, los nombres que se encuentran en las constancias domiciliarias</w:t>
      </w:r>
      <w:r>
        <w:rPr>
          <w:rFonts w:ascii="Palatino Linotype" w:eastAsia="MS Mincho" w:hAnsi="Palatino Linotype"/>
          <w:sz w:val="24"/>
          <w:szCs w:val="24"/>
          <w:lang w:val="es-ES_tradnl"/>
        </w:rPr>
        <w:t xml:space="preserve"> o de vecindad,</w:t>
      </w:r>
      <w:r w:rsidRPr="0036769D">
        <w:rPr>
          <w:rFonts w:ascii="Palatino Linotype" w:eastAsia="MS Mincho" w:hAnsi="Palatino Linotype"/>
          <w:sz w:val="24"/>
          <w:szCs w:val="24"/>
          <w:lang w:val="es-ES_tradnl"/>
        </w:rPr>
        <w:t xml:space="preserve"> son respecto a particulares que buscan obtener un documento de identificación oficial y estos no realizan actos de autoridad ni tampoco reciben o ejercer dinero del erario</w:t>
      </w:r>
      <w:r w:rsidRPr="0036769D">
        <w:rPr>
          <w:rFonts w:ascii="Palatino Linotype" w:eastAsia="Calibri" w:hAnsi="Palatino Linotype" w:cs="Tahoma"/>
          <w:bCs/>
          <w:sz w:val="24"/>
          <w:szCs w:val="24"/>
        </w:rPr>
        <w:t>, por lo que esta información no resulta de relevancia para el interés público, así como tampoco tiene relevancia en el ejercicio de atribuciones de los servidores públicos.</w:t>
      </w:r>
      <w:r w:rsidRPr="0036769D">
        <w:rPr>
          <w:rFonts w:ascii="Palatino Linotype" w:hAnsi="Palatino Linotype" w:cs="Tahoma"/>
          <w:sz w:val="24"/>
          <w:szCs w:val="24"/>
        </w:rPr>
        <w:t xml:space="preserve"> </w:t>
      </w:r>
    </w:p>
    <w:p w14:paraId="092BBE4C" w14:textId="77777777" w:rsidR="00EB5718" w:rsidRPr="0036769D" w:rsidRDefault="00EB5718" w:rsidP="00EB5718">
      <w:pPr>
        <w:spacing w:line="360" w:lineRule="auto"/>
        <w:ind w:right="49"/>
        <w:contextualSpacing/>
        <w:jc w:val="both"/>
        <w:rPr>
          <w:rFonts w:ascii="Palatino Linotype" w:eastAsia="MS Mincho" w:hAnsi="Palatino Linotype"/>
          <w:sz w:val="28"/>
          <w:szCs w:val="24"/>
          <w:lang w:val="es-ES_tradnl"/>
        </w:rPr>
      </w:pPr>
    </w:p>
    <w:p w14:paraId="6E301C55"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8"/>
          <w:szCs w:val="24"/>
          <w:lang w:val="es-ES_tradnl"/>
        </w:rPr>
      </w:pPr>
      <w:r w:rsidRPr="0036769D">
        <w:rPr>
          <w:rFonts w:ascii="Palatino Linotype" w:hAnsi="Palatino Linotype"/>
          <w:sz w:val="24"/>
        </w:rPr>
        <w:t>En esa tesitura, los datos contenidos en una constancia domiciliaria de los particulares, resulta ser información de carácter confidencial, en términos de lo dispuesto por la fracción I del artículo 143 de la Ley de Transparencia y Acceso a la Información Pública del Estado de México y Municipios, así como del artículo 4, fracciones XI y XII de la Ley de Protección de Datos Personales del Estado de México, en virtud de que constituye información que incide en la intimidad de un individuo identificado.</w:t>
      </w:r>
    </w:p>
    <w:p w14:paraId="46BBE7F5" w14:textId="77777777" w:rsidR="00EB5718" w:rsidRPr="0036769D" w:rsidRDefault="00EB5718" w:rsidP="00EB5718">
      <w:pPr>
        <w:spacing w:line="360" w:lineRule="auto"/>
        <w:ind w:right="49"/>
        <w:contextualSpacing/>
        <w:jc w:val="both"/>
        <w:rPr>
          <w:rFonts w:ascii="Palatino Linotype" w:eastAsia="MS Mincho" w:hAnsi="Palatino Linotype"/>
          <w:sz w:val="28"/>
          <w:szCs w:val="24"/>
          <w:lang w:val="es-ES_tradnl"/>
        </w:rPr>
      </w:pPr>
    </w:p>
    <w:p w14:paraId="31BE7E3E"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8"/>
          <w:szCs w:val="24"/>
          <w:lang w:val="es-ES_tradnl"/>
        </w:rPr>
      </w:pPr>
      <w:r w:rsidRPr="0036769D">
        <w:rPr>
          <w:rFonts w:ascii="Palatino Linotype" w:hAnsi="Palatino Linotype"/>
          <w:sz w:val="24"/>
        </w:rPr>
        <w:t xml:space="preserve">Luego entonces, se puede argumentar que si bien las constancias de vecindad, son documentos públicos al ser emitidos por el Secretario del Ayuntamiento, cuya expedición se traduce en un trámite iniciado por los ciudadanos interesados, para los fines que éstos requieran, en otras palabras, resulta evidente que la información que en las mismas se hace constar es de interés únicamente para el peticionario y que la </w:t>
      </w:r>
      <w:r w:rsidRPr="0036769D">
        <w:rPr>
          <w:rFonts w:ascii="Palatino Linotype" w:hAnsi="Palatino Linotype"/>
          <w:sz w:val="24"/>
        </w:rPr>
        <w:lastRenderedPageBreak/>
        <w:t xml:space="preserve">información que en ellas se contiene como el nombre y domicilio, así como la fotografía, concierne solamente a esa persona. </w:t>
      </w:r>
    </w:p>
    <w:p w14:paraId="73FDDB00"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6CC77DF7"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hAnsi="Palatino Linotype"/>
          <w:sz w:val="24"/>
          <w:szCs w:val="24"/>
        </w:rPr>
        <w:t xml:space="preserve"> Bajo esa óptica, y atendiendo a la naturaleza jurídica de dichos documentos, los mismos son susceptibles de clasificarse como totalmente confidenciales, de acuerdo con el artículo 116, párrafo primero de la Ley General de Transparencia y el artículo 143, fracción I de la Ley de Transparencia y Acceso a la Información Pública del Estado de México y Municipios, los cuales señalan lo siguiente: </w:t>
      </w:r>
    </w:p>
    <w:p w14:paraId="3C386D62" w14:textId="77777777" w:rsidR="00EB5718" w:rsidRPr="0036769D" w:rsidRDefault="00EB5718" w:rsidP="00EB5718">
      <w:pPr>
        <w:spacing w:line="360" w:lineRule="auto"/>
        <w:ind w:right="567"/>
        <w:contextualSpacing/>
        <w:jc w:val="both"/>
        <w:rPr>
          <w:rFonts w:ascii="Palatino Linotype" w:eastAsia="MS Mincho" w:hAnsi="Palatino Linotype"/>
          <w:sz w:val="24"/>
          <w:szCs w:val="24"/>
          <w:lang w:val="es-ES_tradnl"/>
        </w:rPr>
      </w:pPr>
    </w:p>
    <w:p w14:paraId="5BC91DCB" w14:textId="77777777" w:rsidR="00EB5718" w:rsidRPr="00EB5718" w:rsidRDefault="00EB5718" w:rsidP="00EB5718">
      <w:pPr>
        <w:spacing w:line="360" w:lineRule="auto"/>
        <w:ind w:left="567" w:right="851"/>
        <w:jc w:val="both"/>
        <w:rPr>
          <w:rFonts w:ascii="Palatino Linotype" w:hAnsi="Palatino Linotype"/>
          <w:i/>
          <w:sz w:val="22"/>
        </w:rPr>
      </w:pPr>
      <w:r w:rsidRPr="00EB5718">
        <w:rPr>
          <w:rFonts w:ascii="Palatino Linotype" w:hAnsi="Palatino Linotype"/>
          <w:bCs/>
          <w:i/>
          <w:sz w:val="22"/>
        </w:rPr>
        <w:t>“</w:t>
      </w:r>
      <w:r w:rsidRPr="00EB5718">
        <w:rPr>
          <w:rFonts w:ascii="Palatino Linotype" w:hAnsi="Palatino Linotype"/>
          <w:b/>
          <w:bCs/>
          <w:i/>
          <w:sz w:val="22"/>
        </w:rPr>
        <w:t xml:space="preserve">Artículo 116. </w:t>
      </w:r>
      <w:r w:rsidRPr="00EB5718">
        <w:rPr>
          <w:rFonts w:ascii="Palatino Linotype" w:hAnsi="Palatino Linotype"/>
          <w:i/>
          <w:sz w:val="22"/>
        </w:rPr>
        <w:t>Se considera información confidencial la que contiene datos personales concernientes a una persona identificada o identificable</w:t>
      </w:r>
      <w:r w:rsidRPr="00EB5718">
        <w:rPr>
          <w:rFonts w:ascii="Palatino Linotype" w:hAnsi="Palatino Linotype"/>
          <w:bCs/>
          <w:i/>
          <w:sz w:val="22"/>
        </w:rPr>
        <w:t>…”</w:t>
      </w:r>
    </w:p>
    <w:p w14:paraId="4D88E2BE" w14:textId="77777777" w:rsidR="00EB5718" w:rsidRPr="00EB5718" w:rsidRDefault="00EB5718" w:rsidP="00EB5718">
      <w:pPr>
        <w:spacing w:line="360" w:lineRule="auto"/>
        <w:ind w:left="567" w:right="851"/>
        <w:jc w:val="both"/>
        <w:rPr>
          <w:rFonts w:ascii="Palatino Linotype" w:hAnsi="Palatino Linotype"/>
          <w:i/>
          <w:sz w:val="22"/>
        </w:rPr>
      </w:pPr>
    </w:p>
    <w:p w14:paraId="176F5F61" w14:textId="77777777" w:rsidR="00EB5718" w:rsidRPr="00EB5718" w:rsidRDefault="00EB5718" w:rsidP="00EB5718">
      <w:pPr>
        <w:spacing w:line="360" w:lineRule="auto"/>
        <w:ind w:left="567" w:right="851"/>
        <w:jc w:val="both"/>
        <w:rPr>
          <w:rFonts w:ascii="Palatino Linotype" w:hAnsi="Palatino Linotype"/>
          <w:i/>
          <w:sz w:val="22"/>
        </w:rPr>
      </w:pPr>
      <w:r w:rsidRPr="00EB5718">
        <w:rPr>
          <w:rFonts w:ascii="Palatino Linotype" w:hAnsi="Palatino Linotype"/>
          <w:i/>
          <w:sz w:val="22"/>
        </w:rPr>
        <w:t>“</w:t>
      </w:r>
      <w:r w:rsidRPr="00EB5718">
        <w:rPr>
          <w:rFonts w:ascii="Palatino Linotype" w:hAnsi="Palatino Linotype"/>
          <w:b/>
          <w:i/>
          <w:sz w:val="22"/>
        </w:rPr>
        <w:t xml:space="preserve">Artículo 143.- </w:t>
      </w:r>
      <w:r w:rsidRPr="00EB5718">
        <w:rPr>
          <w:rFonts w:ascii="Palatino Linotype" w:hAnsi="Palatino Linotype"/>
          <w:i/>
          <w:sz w:val="22"/>
        </w:rPr>
        <w:t xml:space="preserve">Para los efectos de esta ley se considera información confidencial la clasificada como tal, de manera permanente por su naturaleza cuando: </w:t>
      </w:r>
    </w:p>
    <w:p w14:paraId="26AAC33D" w14:textId="77777777" w:rsidR="00EB5718" w:rsidRPr="00EB5718" w:rsidRDefault="00EB5718" w:rsidP="00EB5718">
      <w:pPr>
        <w:spacing w:line="360" w:lineRule="auto"/>
        <w:ind w:left="567" w:right="851"/>
        <w:jc w:val="both"/>
        <w:rPr>
          <w:rFonts w:ascii="Palatino Linotype" w:hAnsi="Palatino Linotype"/>
          <w:i/>
          <w:sz w:val="22"/>
        </w:rPr>
      </w:pPr>
      <w:r w:rsidRPr="00EB5718">
        <w:rPr>
          <w:rFonts w:ascii="Palatino Linotype" w:hAnsi="Palatino Linotype"/>
          <w:b/>
          <w:i/>
          <w:sz w:val="22"/>
        </w:rPr>
        <w:t>I.</w:t>
      </w:r>
      <w:r w:rsidRPr="00EB5718">
        <w:rPr>
          <w:rFonts w:ascii="Palatino Linotype" w:hAnsi="Palatino Linotype"/>
          <w:i/>
          <w:sz w:val="22"/>
        </w:rPr>
        <w:t xml:space="preserve"> Se refiera a la información privada y los datos personales concernientes a una persona física o </w:t>
      </w:r>
      <w:proofErr w:type="gramStart"/>
      <w:r w:rsidRPr="00EB5718">
        <w:rPr>
          <w:rFonts w:ascii="Palatino Linotype" w:hAnsi="Palatino Linotype"/>
          <w:i/>
          <w:sz w:val="22"/>
        </w:rPr>
        <w:t>jurídico</w:t>
      </w:r>
      <w:proofErr w:type="gramEnd"/>
      <w:r w:rsidRPr="00EB5718">
        <w:rPr>
          <w:rFonts w:ascii="Palatino Linotype" w:hAnsi="Palatino Linotype"/>
          <w:i/>
          <w:sz w:val="22"/>
        </w:rPr>
        <w:t xml:space="preserve"> colectiva identificada o identificable</w:t>
      </w:r>
    </w:p>
    <w:p w14:paraId="0010BB14" w14:textId="77777777" w:rsidR="00EB5718" w:rsidRPr="00EB5718" w:rsidRDefault="00EB5718" w:rsidP="00EB5718">
      <w:pPr>
        <w:spacing w:line="360" w:lineRule="auto"/>
        <w:ind w:left="567" w:right="851"/>
        <w:jc w:val="both"/>
        <w:rPr>
          <w:rFonts w:ascii="Palatino Linotype" w:hAnsi="Palatino Linotype"/>
          <w:i/>
          <w:sz w:val="22"/>
        </w:rPr>
      </w:pPr>
      <w:r w:rsidRPr="00EB5718">
        <w:rPr>
          <w:rFonts w:ascii="Palatino Linotype" w:hAnsi="Palatino Linotype"/>
          <w:i/>
          <w:sz w:val="22"/>
        </w:rPr>
        <w:t>…</w:t>
      </w:r>
      <w:proofErr w:type="gramStart"/>
      <w:r w:rsidRPr="00EB5718">
        <w:rPr>
          <w:rFonts w:ascii="Palatino Linotype" w:hAnsi="Palatino Linotype"/>
          <w:i/>
          <w:sz w:val="22"/>
        </w:rPr>
        <w:t>”(</w:t>
      </w:r>
      <w:proofErr w:type="gramEnd"/>
      <w:r w:rsidRPr="00EB5718">
        <w:rPr>
          <w:rFonts w:ascii="Palatino Linotype" w:hAnsi="Palatino Linotype"/>
          <w:i/>
          <w:sz w:val="22"/>
        </w:rPr>
        <w:t>Sic)</w:t>
      </w:r>
    </w:p>
    <w:p w14:paraId="1CE59F6C"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3021ABB5"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t xml:space="preserve">No pasa desapercibido comentar que este Instituto no considera procedente la entrega de las documentales en versión pública, toda vez que los datos quedarían visibles, es decir, los que no serían testados, suprimidos o eliminados para el caso de la elaboración de versiones pública, de manera enunciativa más no limitativa serían </w:t>
      </w:r>
      <w:r w:rsidRPr="0036769D">
        <w:rPr>
          <w:rFonts w:ascii="Palatino Linotype" w:eastAsia="MS Mincho" w:hAnsi="Palatino Linotype"/>
          <w:sz w:val="24"/>
          <w:szCs w:val="24"/>
          <w:lang w:val="es-ES_tradnl"/>
        </w:rPr>
        <w:lastRenderedPageBreak/>
        <w:t xml:space="preserve">únicamente lo relativo al servidor público que las expidió, fecha y folio, por lo que solamente podría variar la fecha de expedición, por consiguiente en nada contribuye a la transparencia y a la rendición de cuentas. </w:t>
      </w:r>
    </w:p>
    <w:p w14:paraId="16C50C15"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206D467E" w14:textId="2C99B9E6"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4"/>
          <w:szCs w:val="24"/>
          <w:lang w:val="es-ES_tradnl"/>
        </w:rPr>
      </w:pPr>
      <w:r w:rsidRPr="0036769D">
        <w:rPr>
          <w:rFonts w:ascii="Palatino Linotype" w:eastAsia="MS Mincho" w:hAnsi="Palatino Linotype"/>
          <w:sz w:val="24"/>
          <w:szCs w:val="24"/>
          <w:lang w:val="es-ES_tradnl"/>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tratan de características físicas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la aplicación de recursos públicos, por esta situación, debe </w:t>
      </w:r>
      <w:r w:rsidRPr="0036769D">
        <w:rPr>
          <w:rFonts w:ascii="Palatino Linotype" w:eastAsia="MS Mincho" w:hAnsi="Palatino Linotype"/>
          <w:sz w:val="24"/>
          <w:szCs w:val="24"/>
          <w:lang w:val="es-ES"/>
        </w:rPr>
        <w:t xml:space="preserve">considerarse información confidencial en términos de los artículos 143, fracción I de la Ley de Transparencia del Estado de México y Municipios y </w:t>
      </w:r>
      <w:r w:rsidRPr="0036769D">
        <w:rPr>
          <w:rFonts w:ascii="Palatino Linotype" w:eastAsia="MS Mincho" w:hAnsi="Palatino Linotype"/>
          <w:bCs/>
          <w:sz w:val="24"/>
          <w:szCs w:val="24"/>
          <w:lang w:val="es-ES"/>
        </w:rPr>
        <w:t xml:space="preserve">4, fracciones XI y XII de </w:t>
      </w:r>
      <w:r w:rsidRPr="0036769D">
        <w:rPr>
          <w:rFonts w:ascii="Palatino Linotype" w:eastAsia="MS Mincho" w:hAnsi="Palatino Linotype"/>
          <w:sz w:val="24"/>
          <w:szCs w:val="24"/>
          <w:lang w:val="es-ES"/>
        </w:rPr>
        <w:t xml:space="preserve">la Ley de Protección de Datos Personales en Posesión de Sujetos Obligados del Estado de México y Municipios; razón por la cual con la finalidad de garantizar el pleno ejercicio del derecho de acceso a la información pública, lo dable es ordenar al </w:t>
      </w:r>
      <w:r w:rsidRPr="00955432">
        <w:rPr>
          <w:rFonts w:ascii="Palatino Linotype" w:eastAsia="MS Mincho" w:hAnsi="Palatino Linotype"/>
          <w:b/>
          <w:sz w:val="24"/>
          <w:szCs w:val="24"/>
          <w:lang w:val="es-ES"/>
        </w:rPr>
        <w:t xml:space="preserve">Ayuntamiento de </w:t>
      </w:r>
      <w:r w:rsidR="00955432" w:rsidRPr="00955432">
        <w:rPr>
          <w:rFonts w:ascii="Palatino Linotype" w:eastAsia="MS Mincho" w:hAnsi="Palatino Linotype"/>
          <w:b/>
          <w:sz w:val="24"/>
          <w:szCs w:val="24"/>
          <w:lang w:val="es-ES"/>
        </w:rPr>
        <w:t>Zinacantepec</w:t>
      </w:r>
      <w:r w:rsidRPr="0036769D">
        <w:rPr>
          <w:rFonts w:ascii="Palatino Linotype" w:eastAsia="MS Mincho" w:hAnsi="Palatino Linotype"/>
          <w:sz w:val="24"/>
          <w:szCs w:val="24"/>
          <w:lang w:val="es-ES"/>
        </w:rPr>
        <w:t xml:space="preserve"> emita el Acuerdo del Comité de Transparencia por medio del cual clasifique en su totalidad como confidencial los </w:t>
      </w:r>
      <w:r w:rsidRPr="0036769D">
        <w:rPr>
          <w:rFonts w:ascii="Palatino Linotype" w:eastAsia="MS Mincho" w:hAnsi="Palatino Linotype"/>
          <w:sz w:val="24"/>
          <w:szCs w:val="24"/>
          <w:lang w:val="es-ES"/>
        </w:rPr>
        <w:lastRenderedPageBreak/>
        <w:t>documentos en donde consten las constancias domiciliarias que haya emitido la Secretaría del Ayuntamiento.</w:t>
      </w:r>
    </w:p>
    <w:p w14:paraId="1B36007B" w14:textId="77777777" w:rsidR="00EB5718" w:rsidRPr="0036769D" w:rsidRDefault="00EB5718" w:rsidP="00EB5718">
      <w:pPr>
        <w:spacing w:line="360" w:lineRule="auto"/>
        <w:ind w:right="49"/>
        <w:contextualSpacing/>
        <w:jc w:val="both"/>
        <w:rPr>
          <w:rFonts w:ascii="Palatino Linotype" w:eastAsia="MS Mincho" w:hAnsi="Palatino Linotype"/>
          <w:sz w:val="24"/>
          <w:szCs w:val="24"/>
          <w:lang w:val="es-ES_tradnl"/>
        </w:rPr>
      </w:pPr>
    </w:p>
    <w:p w14:paraId="01BD24B6" w14:textId="77777777" w:rsidR="00EB5718" w:rsidRPr="0036769D" w:rsidRDefault="00EB5718" w:rsidP="00EB5718">
      <w:pPr>
        <w:numPr>
          <w:ilvl w:val="0"/>
          <w:numId w:val="2"/>
        </w:numPr>
        <w:spacing w:line="360" w:lineRule="auto"/>
        <w:ind w:left="0" w:right="49" w:firstLine="0"/>
        <w:contextualSpacing/>
        <w:jc w:val="both"/>
        <w:rPr>
          <w:rFonts w:ascii="Palatino Linotype" w:eastAsia="MS Mincho" w:hAnsi="Palatino Linotype"/>
          <w:sz w:val="28"/>
          <w:szCs w:val="24"/>
          <w:lang w:val="es-ES_tradnl"/>
        </w:rPr>
      </w:pPr>
      <w:r w:rsidRPr="0036769D">
        <w:rPr>
          <w:rFonts w:ascii="Palatino Linotype" w:hAnsi="Palatino Linotype" w:cs="Arial"/>
          <w:sz w:val="24"/>
        </w:rPr>
        <w:t xml:space="preserve">Lo anterior, es así en virtud de que no se debe perder vista que </w:t>
      </w:r>
      <w:r w:rsidRPr="0036769D">
        <w:rPr>
          <w:rFonts w:ascii="Palatino Linotype" w:hAnsi="Palatino Linotype"/>
          <w:sz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50360C2B" w14:textId="77777777" w:rsidR="00EB5718" w:rsidRPr="0036769D" w:rsidRDefault="00EB5718" w:rsidP="00EB5718">
      <w:pPr>
        <w:spacing w:line="360" w:lineRule="auto"/>
        <w:ind w:right="49"/>
        <w:contextualSpacing/>
        <w:jc w:val="both"/>
        <w:rPr>
          <w:rFonts w:ascii="Palatino Linotype" w:eastAsia="MS Mincho" w:hAnsi="Palatino Linotype"/>
          <w:sz w:val="28"/>
          <w:szCs w:val="24"/>
          <w:lang w:val="es-ES_tradnl"/>
        </w:rPr>
      </w:pPr>
    </w:p>
    <w:p w14:paraId="447DB45A"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“Artículo 3. Para los efectos de la presente Ley se entenderá por:</w:t>
      </w:r>
    </w:p>
    <w:p w14:paraId="257CAC4D"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Cs/>
          <w:i/>
          <w:iCs/>
          <w:sz w:val="22"/>
          <w:lang w:eastAsia="es-MX"/>
        </w:rPr>
        <w:t>…</w:t>
      </w:r>
    </w:p>
    <w:p w14:paraId="3AEAC404"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IX. Datos personales:</w:t>
      </w:r>
      <w:r w:rsidRPr="00EB5718">
        <w:rPr>
          <w:rFonts w:ascii="Palatino Linotype" w:hAnsi="Palatino Linotype"/>
          <w:i/>
          <w:iCs/>
          <w:sz w:val="22"/>
          <w:lang w:eastAsia="es-MX"/>
        </w:rPr>
        <w:t xml:space="preserve"> La información concerniente a una persona, identificada o identificable según lo dispuesto por la Ley de Protección de Datos Personales del Estado de México;</w:t>
      </w:r>
    </w:p>
    <w:p w14:paraId="5B6E9036"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Cs/>
          <w:i/>
          <w:iCs/>
          <w:sz w:val="22"/>
          <w:lang w:eastAsia="es-MX"/>
        </w:rPr>
      </w:pPr>
      <w:r w:rsidRPr="00EB5718">
        <w:rPr>
          <w:rFonts w:ascii="Palatino Linotype" w:hAnsi="Palatino Linotype"/>
          <w:bCs/>
          <w:i/>
          <w:iCs/>
          <w:sz w:val="22"/>
          <w:lang w:eastAsia="es-MX"/>
        </w:rPr>
        <w:t>…</w:t>
      </w:r>
    </w:p>
    <w:p w14:paraId="3B9F61C0"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
          <w:bCs/>
          <w:i/>
          <w:iCs/>
          <w:sz w:val="22"/>
          <w:lang w:eastAsia="es-MX"/>
        </w:rPr>
      </w:pPr>
    </w:p>
    <w:p w14:paraId="6C75DF6F"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XX. Información clasificada:</w:t>
      </w:r>
      <w:r w:rsidRPr="00EB5718">
        <w:rPr>
          <w:rFonts w:ascii="Palatino Linotype" w:hAnsi="Palatino Linotype"/>
          <w:i/>
          <w:iCs/>
          <w:sz w:val="22"/>
          <w:lang w:eastAsia="es-MX"/>
        </w:rPr>
        <w:t xml:space="preserve"> Aquella considerada por la presente Ley como reservada o confidencial;</w:t>
      </w:r>
    </w:p>
    <w:p w14:paraId="0109999E"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
          <w:bCs/>
          <w:i/>
          <w:iCs/>
          <w:sz w:val="22"/>
          <w:lang w:eastAsia="es-MX"/>
        </w:rPr>
      </w:pPr>
    </w:p>
    <w:p w14:paraId="6856F247"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XXI. Información confidencial:</w:t>
      </w:r>
      <w:r w:rsidRPr="00EB5718">
        <w:rPr>
          <w:rFonts w:ascii="Palatino Linotype" w:hAnsi="Palatino Linotype"/>
          <w:i/>
          <w:iCs/>
          <w:sz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996A41"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Cs/>
          <w:i/>
          <w:iCs/>
          <w:sz w:val="22"/>
          <w:lang w:eastAsia="es-MX"/>
        </w:rPr>
      </w:pPr>
      <w:r w:rsidRPr="00EB5718">
        <w:rPr>
          <w:rFonts w:ascii="Palatino Linotype" w:hAnsi="Palatino Linotype"/>
          <w:bCs/>
          <w:i/>
          <w:iCs/>
          <w:sz w:val="22"/>
          <w:lang w:eastAsia="es-MX"/>
        </w:rPr>
        <w:t>…</w:t>
      </w:r>
    </w:p>
    <w:p w14:paraId="1A8E2A77"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
          <w:bCs/>
          <w:i/>
          <w:iCs/>
          <w:sz w:val="22"/>
          <w:lang w:eastAsia="es-MX"/>
        </w:rPr>
      </w:pPr>
    </w:p>
    <w:p w14:paraId="5AFFCB74"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XXXII. Protección de Datos Personales:</w:t>
      </w:r>
      <w:r w:rsidRPr="00EB5718">
        <w:rPr>
          <w:rFonts w:ascii="Palatino Linotype" w:hAnsi="Palatino Linotype"/>
          <w:i/>
          <w:iCs/>
          <w:sz w:val="22"/>
          <w:lang w:eastAsia="es-MX"/>
        </w:rPr>
        <w:t xml:space="preserve"> Derecho humano que tutela la privacidad de datos personales en poder de los sujetos obligados y sujetos particulares;</w:t>
      </w:r>
    </w:p>
    <w:p w14:paraId="222D1222"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i/>
          <w:iCs/>
          <w:sz w:val="22"/>
          <w:lang w:eastAsia="es-MX"/>
        </w:rPr>
        <w:t>…</w:t>
      </w:r>
    </w:p>
    <w:p w14:paraId="361D78E5"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p>
    <w:p w14:paraId="23B3BB2A"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XLV. Versión pública</w:t>
      </w:r>
      <w:r w:rsidRPr="00EB5718">
        <w:rPr>
          <w:rFonts w:ascii="Palatino Linotype" w:hAnsi="Palatino Linotype"/>
          <w:i/>
          <w:iCs/>
          <w:sz w:val="22"/>
          <w:lang w:eastAsia="es-MX"/>
        </w:rPr>
        <w:t>: Documento en el que se elimine, suprime o borra la información clasificada como reservada o confidencial para permitir su acceso.</w:t>
      </w:r>
    </w:p>
    <w:p w14:paraId="41200928"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
          <w:bCs/>
          <w:i/>
          <w:iCs/>
          <w:sz w:val="22"/>
          <w:lang w:eastAsia="es-MX"/>
        </w:rPr>
      </w:pPr>
    </w:p>
    <w:p w14:paraId="050C27A4"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Artículo 6.</w:t>
      </w:r>
      <w:r w:rsidRPr="00EB5718">
        <w:rPr>
          <w:rFonts w:ascii="Palatino Linotype" w:hAnsi="Palatino Linotype"/>
          <w:i/>
          <w:iCs/>
          <w:sz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E596577"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
          <w:bCs/>
          <w:i/>
          <w:iCs/>
          <w:sz w:val="22"/>
          <w:lang w:eastAsia="es-MX"/>
        </w:rPr>
      </w:pPr>
    </w:p>
    <w:p w14:paraId="06966A7D"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lastRenderedPageBreak/>
        <w:t>Artículo 49.</w:t>
      </w:r>
      <w:r w:rsidRPr="00EB5718">
        <w:rPr>
          <w:rFonts w:ascii="Palatino Linotype" w:hAnsi="Palatino Linotype"/>
          <w:i/>
          <w:iCs/>
          <w:sz w:val="22"/>
          <w:lang w:eastAsia="es-MX"/>
        </w:rPr>
        <w:t xml:space="preserve"> Los Comités de Transparencia tendrán las siguientes atribuciones:</w:t>
      </w:r>
    </w:p>
    <w:p w14:paraId="537FF23C"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i/>
          <w:iCs/>
          <w:sz w:val="22"/>
          <w:lang w:eastAsia="es-MX"/>
        </w:rPr>
        <w:t>…</w:t>
      </w:r>
    </w:p>
    <w:p w14:paraId="6E7CC3CE"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b/>
          <w:bCs/>
          <w:i/>
          <w:iCs/>
          <w:sz w:val="22"/>
          <w:lang w:eastAsia="es-MX"/>
        </w:rPr>
        <w:t>VIII</w:t>
      </w:r>
      <w:r w:rsidRPr="00EB5718">
        <w:rPr>
          <w:rFonts w:ascii="Palatino Linotype" w:hAnsi="Palatino Linotype"/>
          <w:i/>
          <w:iCs/>
          <w:sz w:val="22"/>
          <w:lang w:eastAsia="es-MX"/>
        </w:rPr>
        <w:t>. Aprobar, modificar o revocar la clasificación de la información;</w:t>
      </w:r>
    </w:p>
    <w:p w14:paraId="4370B823"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i/>
          <w:iCs/>
          <w:sz w:val="22"/>
          <w:lang w:eastAsia="es-MX"/>
        </w:rPr>
      </w:pPr>
      <w:r w:rsidRPr="00EB5718">
        <w:rPr>
          <w:rFonts w:ascii="Palatino Linotype" w:hAnsi="Palatino Linotype"/>
          <w:i/>
          <w:iCs/>
          <w:sz w:val="22"/>
          <w:lang w:eastAsia="es-MX"/>
        </w:rPr>
        <w:t>…</w:t>
      </w:r>
    </w:p>
    <w:p w14:paraId="5654EBC2"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cs="Arial"/>
          <w:b/>
          <w:bCs/>
          <w:i/>
          <w:noProof/>
          <w:sz w:val="22"/>
        </w:rPr>
      </w:pPr>
    </w:p>
    <w:p w14:paraId="12E5518A"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cs="Arial"/>
          <w:bCs/>
          <w:i/>
          <w:noProof/>
          <w:sz w:val="22"/>
        </w:rPr>
      </w:pPr>
      <w:r w:rsidRPr="00EB5718">
        <w:rPr>
          <w:rFonts w:ascii="Palatino Linotype" w:hAnsi="Palatino Linotype" w:cs="Arial"/>
          <w:b/>
          <w:bCs/>
          <w:i/>
          <w:noProof/>
          <w:sz w:val="22"/>
        </w:rPr>
        <w:t xml:space="preserve">Artículo 91. </w:t>
      </w:r>
      <w:r w:rsidRPr="00EB5718">
        <w:rPr>
          <w:rFonts w:ascii="Palatino Linotype" w:hAnsi="Palatino Linotype" w:cs="Arial"/>
          <w:bCs/>
          <w:i/>
          <w:noProof/>
          <w:sz w:val="22"/>
        </w:rPr>
        <w:t>El acceso a la información pública será restringido excepcionalmente, cuando ésta sea clasificada como reservada o confidencial.</w:t>
      </w:r>
    </w:p>
    <w:p w14:paraId="0275C95E"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cs="Arial"/>
          <w:bCs/>
          <w:i/>
          <w:noProof/>
          <w:sz w:val="22"/>
        </w:rPr>
      </w:pPr>
      <w:r w:rsidRPr="00EB5718">
        <w:rPr>
          <w:rFonts w:ascii="Palatino Linotype" w:hAnsi="Palatino Linotype" w:cs="Arial"/>
          <w:bCs/>
          <w:i/>
          <w:noProof/>
          <w:sz w:val="22"/>
        </w:rPr>
        <w:t>…</w:t>
      </w:r>
    </w:p>
    <w:p w14:paraId="7BBAD165"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cs="Arial"/>
          <w:bCs/>
          <w:i/>
          <w:noProof/>
          <w:sz w:val="22"/>
        </w:rPr>
      </w:pPr>
    </w:p>
    <w:p w14:paraId="48FFFD04"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Artículo 137</w:t>
      </w:r>
      <w:r w:rsidRPr="00EB5718">
        <w:rPr>
          <w:rFonts w:ascii="Palatino Linotype" w:hAnsi="Palatino Linotype"/>
          <w:i/>
          <w:iCs/>
          <w:sz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F9A4D75"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
          <w:bCs/>
          <w:i/>
          <w:iCs/>
          <w:sz w:val="22"/>
          <w:lang w:eastAsia="es-MX"/>
        </w:rPr>
      </w:pPr>
    </w:p>
    <w:p w14:paraId="7D9A5485"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sz w:val="22"/>
          <w:lang w:eastAsia="es-MX"/>
        </w:rPr>
      </w:pPr>
      <w:r w:rsidRPr="00EB5718">
        <w:rPr>
          <w:rFonts w:ascii="Palatino Linotype" w:hAnsi="Palatino Linotype"/>
          <w:b/>
          <w:bCs/>
          <w:i/>
          <w:iCs/>
          <w:sz w:val="22"/>
          <w:lang w:eastAsia="es-MX"/>
        </w:rPr>
        <w:t>Artículo 143</w:t>
      </w:r>
      <w:r w:rsidRPr="00EB5718">
        <w:rPr>
          <w:rFonts w:ascii="Palatino Linotype" w:hAnsi="Palatino Linotype"/>
          <w:i/>
          <w:iCs/>
          <w:sz w:val="22"/>
          <w:lang w:eastAsia="es-MX"/>
        </w:rPr>
        <w:t>. Para los efectos de esta Ley se considera información confidencial, la clasificada como tal, de manera permanente, por su naturaleza, cuando:</w:t>
      </w:r>
    </w:p>
    <w:p w14:paraId="24A97C69" w14:textId="77777777" w:rsidR="00EB5718" w:rsidRPr="00EB5718" w:rsidRDefault="00EB5718" w:rsidP="00EB5718">
      <w:pPr>
        <w:shd w:val="clear" w:color="auto" w:fill="FFFFFF"/>
        <w:spacing w:line="360" w:lineRule="auto"/>
        <w:ind w:left="851" w:right="851"/>
        <w:contextualSpacing/>
        <w:jc w:val="both"/>
        <w:rPr>
          <w:rFonts w:ascii="Palatino Linotype" w:hAnsi="Palatino Linotype"/>
          <w:b/>
          <w:i/>
          <w:iCs/>
          <w:sz w:val="22"/>
          <w:lang w:eastAsia="es-MX"/>
        </w:rPr>
      </w:pPr>
    </w:p>
    <w:p w14:paraId="151698FF" w14:textId="77777777" w:rsidR="00EB5718" w:rsidRPr="00EB5718" w:rsidRDefault="00EB5718" w:rsidP="00EB5718">
      <w:pPr>
        <w:shd w:val="clear" w:color="auto" w:fill="FFFFFF"/>
        <w:spacing w:line="360" w:lineRule="auto"/>
        <w:ind w:left="851" w:right="851"/>
        <w:contextualSpacing/>
        <w:jc w:val="both"/>
        <w:rPr>
          <w:rFonts w:ascii="Palatino Linotype" w:eastAsia="Calibri" w:hAnsi="Palatino Linotype" w:cs="Arial"/>
          <w:bCs/>
          <w:i/>
          <w:noProof/>
          <w:sz w:val="22"/>
        </w:rPr>
      </w:pPr>
      <w:r w:rsidRPr="00EB5718">
        <w:rPr>
          <w:rFonts w:ascii="Palatino Linotype" w:hAnsi="Palatino Linotype"/>
          <w:b/>
          <w:i/>
          <w:iCs/>
          <w:sz w:val="22"/>
          <w:lang w:eastAsia="es-MX"/>
        </w:rPr>
        <w:t>I.</w:t>
      </w:r>
      <w:r w:rsidRPr="00EB5718">
        <w:rPr>
          <w:rFonts w:ascii="Palatino Linotype" w:hAnsi="Palatino Linotype"/>
          <w:i/>
          <w:iCs/>
          <w:sz w:val="22"/>
          <w:lang w:eastAsia="es-MX"/>
        </w:rPr>
        <w:t xml:space="preserve"> Se refiera a la información privada y los datos personales concernientes a una persona física o jurídico colectiva identificada o identificable..</w:t>
      </w:r>
      <w:r w:rsidRPr="00EB5718">
        <w:rPr>
          <w:rFonts w:ascii="Palatino Linotype" w:eastAsia="Calibri" w:hAnsi="Palatino Linotype" w:cs="Arial"/>
          <w:bCs/>
          <w:i/>
          <w:noProof/>
          <w:sz w:val="22"/>
        </w:rPr>
        <w:t>.”(Sic)</w:t>
      </w:r>
    </w:p>
    <w:p w14:paraId="1EF821BD" w14:textId="77777777" w:rsidR="00EB5718" w:rsidRPr="0036769D" w:rsidRDefault="00EB5718" w:rsidP="00EB5718">
      <w:pPr>
        <w:spacing w:before="240" w:after="240" w:line="360" w:lineRule="auto"/>
        <w:ind w:right="49"/>
        <w:contextualSpacing/>
        <w:jc w:val="both"/>
        <w:rPr>
          <w:rFonts w:ascii="Palatino Linotype" w:hAnsi="Palatino Linotype" w:cs="Arial"/>
        </w:rPr>
      </w:pPr>
    </w:p>
    <w:p w14:paraId="303324DB" w14:textId="77777777" w:rsidR="00EB5718" w:rsidRPr="0036769D" w:rsidRDefault="00EB5718" w:rsidP="00EB5718">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24"/>
        </w:rPr>
      </w:pPr>
      <w:r w:rsidRPr="0036769D">
        <w:rPr>
          <w:rFonts w:ascii="Palatino Linotype" w:hAnsi="Palatino Linotype" w:cs="Arial"/>
          <w:sz w:val="24"/>
        </w:rPr>
        <w:t xml:space="preserve">De los preceptos anteriores se desprende que cuando un documento que contenga tanto información de interés público como información privada debe ser </w:t>
      </w:r>
      <w:r w:rsidRPr="0036769D">
        <w:rPr>
          <w:rFonts w:ascii="Palatino Linotype" w:hAnsi="Palatino Linotype" w:cs="Arial"/>
          <w:sz w:val="24"/>
        </w:rPr>
        <w:lastRenderedPageBreak/>
        <w:t xml:space="preserve">clasificada, y se hará la entrega del mismo, testando las secciones o datos que deban ser clasificados; por ende el </w:t>
      </w:r>
      <w:r w:rsidRPr="0036769D">
        <w:rPr>
          <w:rFonts w:ascii="Palatino Linotype" w:hAnsi="Palatino Linotype" w:cs="Arial"/>
          <w:b/>
          <w:sz w:val="24"/>
        </w:rPr>
        <w:t>Sujeto Obligado</w:t>
      </w:r>
      <w:r w:rsidRPr="0036769D">
        <w:rPr>
          <w:rFonts w:ascii="Palatino Linotype" w:hAnsi="Palatino Linotype" w:cs="Arial"/>
          <w:sz w:val="24"/>
        </w:rPr>
        <w:t xml:space="preserve"> deberá proceder a testar los datos personales que se encuentre contenidos en los documentos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519AD31" w14:textId="77777777" w:rsidR="00EB5718" w:rsidRPr="0036769D" w:rsidRDefault="00EB5718" w:rsidP="00EB5718">
      <w:pPr>
        <w:pStyle w:val="Prrafodelista"/>
        <w:autoSpaceDE w:val="0"/>
        <w:autoSpaceDN w:val="0"/>
        <w:adjustRightInd w:val="0"/>
        <w:spacing w:before="240" w:after="240" w:line="360" w:lineRule="auto"/>
        <w:ind w:left="0"/>
        <w:jc w:val="both"/>
        <w:rPr>
          <w:rFonts w:ascii="Palatino Linotype" w:hAnsi="Palatino Linotype" w:cs="Arial"/>
          <w:sz w:val="28"/>
        </w:rPr>
      </w:pPr>
    </w:p>
    <w:p w14:paraId="3515FD27" w14:textId="77777777" w:rsidR="00EB5718" w:rsidRPr="0036769D" w:rsidRDefault="00EB5718" w:rsidP="00EB5718">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28"/>
        </w:rPr>
      </w:pPr>
      <w:r w:rsidRPr="0036769D">
        <w:rPr>
          <w:rFonts w:ascii="Palatino Linotype" w:hAnsi="Palatino Linotype" w:cs="Arial"/>
          <w:sz w:val="24"/>
        </w:rPr>
        <w:t xml:space="preserve">Datos que deberá clasificar como confidenciales por tratarse precisamente de información privada, puesto que los datos personales son irrenunciables, intransferibles e indelegables y los </w:t>
      </w:r>
      <w:r w:rsidRPr="0036769D">
        <w:rPr>
          <w:rFonts w:ascii="Palatino Linotype" w:hAnsi="Palatino Linotype" w:cs="Arial"/>
          <w:b/>
          <w:sz w:val="24"/>
        </w:rPr>
        <w:t>Sujetos Obligados</w:t>
      </w:r>
      <w:r w:rsidRPr="0036769D">
        <w:rPr>
          <w:rFonts w:ascii="Palatino Linotype" w:hAnsi="Palatino Linotype" w:cs="Arial"/>
          <w:sz w:val="24"/>
        </w:rPr>
        <w:t xml:space="preserve"> no deberán hacer entrega de los mismos a personas ajenas a su titular.</w:t>
      </w:r>
    </w:p>
    <w:p w14:paraId="279D9E88" w14:textId="77777777" w:rsidR="00EB5718" w:rsidRPr="0036769D" w:rsidRDefault="00EB5718" w:rsidP="00EB5718">
      <w:pPr>
        <w:pStyle w:val="Prrafodelista"/>
        <w:autoSpaceDE w:val="0"/>
        <w:autoSpaceDN w:val="0"/>
        <w:adjustRightInd w:val="0"/>
        <w:spacing w:before="240" w:after="240" w:line="360" w:lineRule="auto"/>
        <w:ind w:left="0"/>
        <w:jc w:val="both"/>
        <w:rPr>
          <w:rFonts w:ascii="Palatino Linotype" w:hAnsi="Palatino Linotype" w:cs="Arial"/>
          <w:sz w:val="24"/>
        </w:rPr>
      </w:pPr>
    </w:p>
    <w:p w14:paraId="64D78751" w14:textId="77777777" w:rsidR="00EB5718" w:rsidRPr="0036769D" w:rsidRDefault="00EB5718" w:rsidP="00EB5718">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32"/>
        </w:rPr>
      </w:pPr>
      <w:r w:rsidRPr="0036769D">
        <w:rPr>
          <w:rFonts w:ascii="Palatino Linotype" w:hAnsi="Palatino Linotype" w:cs="Arial"/>
          <w:sz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B6F2C4E"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b/>
          <w:i/>
          <w:sz w:val="22"/>
        </w:rPr>
        <w:lastRenderedPageBreak/>
        <w:t>“Artículo 49.</w:t>
      </w:r>
      <w:r w:rsidRPr="00EB5718">
        <w:rPr>
          <w:rFonts w:ascii="Palatino Linotype" w:hAnsi="Palatino Linotype"/>
          <w:i/>
          <w:sz w:val="22"/>
        </w:rPr>
        <w:t xml:space="preserve"> </w:t>
      </w:r>
      <w:r w:rsidRPr="00EB5718">
        <w:rPr>
          <w:rFonts w:ascii="Palatino Linotype" w:hAnsi="Palatino Linotype"/>
          <w:b/>
          <w:i/>
          <w:sz w:val="22"/>
        </w:rPr>
        <w:t>Los Comités de Transparencia</w:t>
      </w:r>
      <w:r w:rsidRPr="00EB5718">
        <w:rPr>
          <w:rFonts w:ascii="Palatino Linotype" w:hAnsi="Palatino Linotype"/>
          <w:i/>
          <w:sz w:val="22"/>
        </w:rPr>
        <w:t xml:space="preserve"> tendrán las siguientes atribuciones:</w:t>
      </w:r>
    </w:p>
    <w:p w14:paraId="33038C2C" w14:textId="77777777" w:rsidR="00EB5718" w:rsidRPr="00EB5718" w:rsidRDefault="00EB5718" w:rsidP="00EB5718">
      <w:pPr>
        <w:spacing w:line="360" w:lineRule="auto"/>
        <w:ind w:left="851" w:right="851"/>
        <w:contextualSpacing/>
        <w:jc w:val="both"/>
        <w:rPr>
          <w:rFonts w:ascii="Palatino Linotype" w:hAnsi="Palatino Linotype"/>
          <w:b/>
          <w:i/>
          <w:sz w:val="22"/>
        </w:rPr>
      </w:pPr>
      <w:r w:rsidRPr="00EB5718">
        <w:rPr>
          <w:rFonts w:ascii="Palatino Linotype" w:hAnsi="Palatino Linotype"/>
          <w:b/>
          <w:i/>
          <w:sz w:val="22"/>
        </w:rPr>
        <w:t>…</w:t>
      </w:r>
    </w:p>
    <w:p w14:paraId="2A2533AD"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b/>
          <w:i/>
          <w:sz w:val="22"/>
        </w:rPr>
        <w:t>VIII. Aprobar, modificar o revocar la clasificación de la información</w:t>
      </w:r>
      <w:r w:rsidRPr="00EB5718">
        <w:rPr>
          <w:rFonts w:ascii="Palatino Linotype" w:hAnsi="Palatino Linotype"/>
          <w:i/>
          <w:sz w:val="22"/>
        </w:rPr>
        <w:t>…”</w:t>
      </w:r>
    </w:p>
    <w:p w14:paraId="703C3675"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w:t>
      </w:r>
    </w:p>
    <w:p w14:paraId="579441F4"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w:t>
      </w:r>
      <w:r w:rsidRPr="00EB5718">
        <w:rPr>
          <w:rFonts w:ascii="Palatino Linotype" w:hAnsi="Palatino Linotype"/>
          <w:b/>
          <w:i/>
          <w:sz w:val="22"/>
        </w:rPr>
        <w:t>Artículo 53.</w:t>
      </w:r>
      <w:r w:rsidRPr="00EB5718">
        <w:rPr>
          <w:rFonts w:ascii="Palatino Linotype" w:hAnsi="Palatino Linotype"/>
          <w:i/>
          <w:sz w:val="22"/>
        </w:rPr>
        <w:t xml:space="preserve"> Las </w:t>
      </w:r>
      <w:r w:rsidRPr="00EB5718">
        <w:rPr>
          <w:rFonts w:ascii="Palatino Linotype" w:hAnsi="Palatino Linotype"/>
          <w:b/>
          <w:i/>
          <w:sz w:val="22"/>
        </w:rPr>
        <w:t>Unidades de Transparencia</w:t>
      </w:r>
      <w:r w:rsidRPr="00EB5718">
        <w:rPr>
          <w:rFonts w:ascii="Palatino Linotype" w:hAnsi="Palatino Linotype"/>
          <w:i/>
          <w:sz w:val="22"/>
        </w:rPr>
        <w:t xml:space="preserve"> tendrán las siguientes </w:t>
      </w:r>
      <w:r w:rsidRPr="00EB5718">
        <w:rPr>
          <w:rFonts w:ascii="Palatino Linotype" w:hAnsi="Palatino Linotype"/>
          <w:b/>
          <w:i/>
          <w:sz w:val="22"/>
        </w:rPr>
        <w:t>funciones</w:t>
      </w:r>
      <w:r w:rsidRPr="00EB5718">
        <w:rPr>
          <w:rFonts w:ascii="Palatino Linotype" w:hAnsi="Palatino Linotype"/>
          <w:i/>
          <w:sz w:val="22"/>
        </w:rPr>
        <w:t>:</w:t>
      </w:r>
    </w:p>
    <w:p w14:paraId="6DB3212D" w14:textId="77777777" w:rsidR="00EB5718" w:rsidRPr="00EB5718" w:rsidRDefault="00EB5718" w:rsidP="00EB5718">
      <w:pPr>
        <w:tabs>
          <w:tab w:val="left" w:pos="3280"/>
        </w:tabs>
        <w:spacing w:line="360" w:lineRule="auto"/>
        <w:ind w:left="851" w:right="851"/>
        <w:contextualSpacing/>
        <w:jc w:val="both"/>
        <w:rPr>
          <w:rFonts w:ascii="Palatino Linotype" w:hAnsi="Palatino Linotype"/>
          <w:i/>
          <w:sz w:val="22"/>
        </w:rPr>
      </w:pPr>
      <w:r w:rsidRPr="00EB5718">
        <w:rPr>
          <w:rFonts w:ascii="Palatino Linotype" w:hAnsi="Palatino Linotype"/>
          <w:i/>
          <w:sz w:val="22"/>
        </w:rPr>
        <w:t>…</w:t>
      </w:r>
      <w:r w:rsidRPr="00EB5718">
        <w:rPr>
          <w:rFonts w:ascii="Palatino Linotype" w:hAnsi="Palatino Linotype"/>
          <w:i/>
          <w:sz w:val="22"/>
        </w:rPr>
        <w:tab/>
      </w:r>
    </w:p>
    <w:p w14:paraId="0C0CBF00" w14:textId="77777777" w:rsidR="00EB5718" w:rsidRPr="00EB5718" w:rsidRDefault="00EB5718" w:rsidP="00EB5718">
      <w:pPr>
        <w:spacing w:line="360" w:lineRule="auto"/>
        <w:ind w:left="851" w:right="851"/>
        <w:contextualSpacing/>
        <w:jc w:val="both"/>
        <w:rPr>
          <w:rFonts w:ascii="Palatino Linotype" w:hAnsi="Palatino Linotype"/>
          <w:b/>
          <w:i/>
          <w:sz w:val="22"/>
        </w:rPr>
      </w:pPr>
      <w:r w:rsidRPr="00EB5718">
        <w:rPr>
          <w:rFonts w:ascii="Palatino Linotype" w:hAnsi="Palatino Linotype"/>
          <w:b/>
          <w:i/>
          <w:sz w:val="22"/>
        </w:rPr>
        <w:t>X. Presentar ante el Comité, el proyecto de clasificación de información;</w:t>
      </w:r>
    </w:p>
    <w:p w14:paraId="60081C05"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 xml:space="preserve">…” </w:t>
      </w:r>
    </w:p>
    <w:p w14:paraId="3C26E093"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b/>
          <w:i/>
          <w:sz w:val="22"/>
        </w:rPr>
        <w:t>“Artículo 59.</w:t>
      </w:r>
      <w:r w:rsidRPr="00EB5718">
        <w:rPr>
          <w:rFonts w:ascii="Palatino Linotype" w:hAnsi="Palatino Linotype"/>
          <w:i/>
          <w:sz w:val="22"/>
        </w:rPr>
        <w:t xml:space="preserve"> Los </w:t>
      </w:r>
      <w:r w:rsidRPr="00EB5718">
        <w:rPr>
          <w:rFonts w:ascii="Palatino Linotype" w:hAnsi="Palatino Linotype"/>
          <w:b/>
          <w:i/>
          <w:sz w:val="22"/>
        </w:rPr>
        <w:t>servidores públicos habilitados</w:t>
      </w:r>
      <w:r w:rsidRPr="00EB5718">
        <w:rPr>
          <w:rFonts w:ascii="Palatino Linotype" w:hAnsi="Palatino Linotype"/>
          <w:i/>
          <w:sz w:val="22"/>
        </w:rPr>
        <w:t xml:space="preserve"> tendrán las </w:t>
      </w:r>
      <w:r w:rsidRPr="00EB5718">
        <w:rPr>
          <w:rFonts w:ascii="Palatino Linotype" w:hAnsi="Palatino Linotype"/>
          <w:b/>
          <w:i/>
          <w:sz w:val="22"/>
        </w:rPr>
        <w:t>funciones</w:t>
      </w:r>
      <w:r w:rsidRPr="00EB5718">
        <w:rPr>
          <w:rFonts w:ascii="Palatino Linotype" w:hAnsi="Palatino Linotype"/>
          <w:i/>
          <w:sz w:val="22"/>
        </w:rPr>
        <w:t xml:space="preserve"> siguientes:</w:t>
      </w:r>
    </w:p>
    <w:p w14:paraId="3A822AFD" w14:textId="77777777" w:rsidR="00EB5718" w:rsidRPr="00EB5718" w:rsidRDefault="00EB5718" w:rsidP="00EB5718">
      <w:pPr>
        <w:spacing w:line="360" w:lineRule="auto"/>
        <w:ind w:left="851" w:right="851"/>
        <w:contextualSpacing/>
        <w:jc w:val="both"/>
        <w:rPr>
          <w:rFonts w:ascii="Palatino Linotype" w:hAnsi="Palatino Linotype"/>
          <w:b/>
          <w:i/>
          <w:sz w:val="22"/>
        </w:rPr>
      </w:pPr>
      <w:r w:rsidRPr="00EB5718">
        <w:rPr>
          <w:rFonts w:ascii="Palatino Linotype" w:hAnsi="Palatino Linotype"/>
          <w:b/>
          <w:i/>
          <w:sz w:val="22"/>
        </w:rPr>
        <w:t>…</w:t>
      </w:r>
    </w:p>
    <w:p w14:paraId="2EB7FF9B"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b/>
          <w:i/>
          <w:sz w:val="22"/>
        </w:rPr>
        <w:t>V. Integrar y presentar al responsable de la Unidad de Transparencia la propuesta de clasificación de información</w:t>
      </w:r>
      <w:r w:rsidRPr="00EB5718">
        <w:rPr>
          <w:rFonts w:ascii="Palatino Linotype" w:hAnsi="Palatino Linotype"/>
          <w:i/>
          <w:sz w:val="22"/>
        </w:rPr>
        <w:t>, la cual tendrá los fundamentos y argumentos en que se basa dicha propuesta;</w:t>
      </w:r>
    </w:p>
    <w:p w14:paraId="63D5B306"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w:t>
      </w:r>
    </w:p>
    <w:p w14:paraId="1841E598" w14:textId="77777777" w:rsidR="00EB5718" w:rsidRPr="00EB5718" w:rsidRDefault="00EB5718" w:rsidP="00EB5718">
      <w:pPr>
        <w:spacing w:line="360" w:lineRule="auto"/>
        <w:ind w:left="851" w:right="851"/>
        <w:contextualSpacing/>
        <w:jc w:val="both"/>
        <w:rPr>
          <w:rFonts w:ascii="Palatino Linotype" w:hAnsi="Palatino Linotype"/>
          <w:i/>
          <w:sz w:val="22"/>
        </w:rPr>
      </w:pPr>
    </w:p>
    <w:p w14:paraId="3311A7B9" w14:textId="77777777" w:rsidR="00EB5718" w:rsidRPr="00EB5718" w:rsidRDefault="00EB5718" w:rsidP="00EB5718">
      <w:pPr>
        <w:spacing w:line="360" w:lineRule="auto"/>
        <w:ind w:left="851" w:right="851"/>
        <w:contextualSpacing/>
        <w:jc w:val="both"/>
        <w:rPr>
          <w:rFonts w:ascii="Palatino Linotype" w:hAnsi="Palatino Linotype"/>
          <w:i/>
          <w:sz w:val="22"/>
        </w:rPr>
      </w:pPr>
      <w:r w:rsidRPr="00EB5718">
        <w:rPr>
          <w:rFonts w:ascii="Palatino Linotype" w:hAnsi="Palatino Linotype"/>
          <w:i/>
          <w:sz w:val="22"/>
        </w:rPr>
        <w:t>Énfasis añadido.</w:t>
      </w:r>
    </w:p>
    <w:p w14:paraId="475C4431" w14:textId="77777777" w:rsidR="00EB5718" w:rsidRPr="0036769D" w:rsidRDefault="00EB5718" w:rsidP="00EB5718">
      <w:pPr>
        <w:spacing w:before="240" w:after="240"/>
        <w:ind w:left="992" w:right="1043"/>
        <w:contextualSpacing/>
        <w:jc w:val="both"/>
        <w:rPr>
          <w:rFonts w:ascii="Palatino Linotype" w:hAnsi="Palatino Linotype"/>
          <w:i/>
        </w:rPr>
      </w:pPr>
    </w:p>
    <w:p w14:paraId="39B0D96D" w14:textId="77777777" w:rsidR="00EB5718" w:rsidRPr="0036769D" w:rsidRDefault="00EB5718" w:rsidP="00EB5718">
      <w:pPr>
        <w:pStyle w:val="Prrafodelista"/>
        <w:numPr>
          <w:ilvl w:val="0"/>
          <w:numId w:val="2"/>
        </w:numPr>
        <w:spacing w:before="240" w:after="240" w:line="360" w:lineRule="auto"/>
        <w:ind w:left="0" w:firstLine="0"/>
        <w:jc w:val="both"/>
        <w:rPr>
          <w:rFonts w:ascii="Palatino Linotype" w:hAnsi="Palatino Linotype" w:cs="Arial"/>
          <w:sz w:val="24"/>
        </w:rPr>
      </w:pPr>
      <w:r w:rsidRPr="0036769D">
        <w:rPr>
          <w:rFonts w:ascii="Palatino Linotype" w:hAnsi="Palatino Linotype" w:cs="Arial"/>
          <w:sz w:val="24"/>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w:t>
      </w:r>
      <w:r w:rsidRPr="0036769D">
        <w:rPr>
          <w:rFonts w:ascii="Palatino Linotype" w:hAnsi="Palatino Linotype" w:cs="Arial"/>
          <w:sz w:val="24"/>
        </w:rPr>
        <w:lastRenderedPageBreak/>
        <w:t>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920B54" w14:textId="77777777" w:rsidR="00EB5718" w:rsidRPr="0036769D" w:rsidRDefault="00EB5718" w:rsidP="00EB5718">
      <w:pPr>
        <w:pStyle w:val="Prrafodelista"/>
        <w:spacing w:before="240" w:after="240" w:line="360" w:lineRule="auto"/>
        <w:ind w:left="0"/>
        <w:jc w:val="both"/>
        <w:rPr>
          <w:rFonts w:ascii="Palatino Linotype" w:hAnsi="Palatino Linotype" w:cs="Arial"/>
          <w:sz w:val="24"/>
        </w:rPr>
      </w:pPr>
    </w:p>
    <w:p w14:paraId="0DC98277" w14:textId="77777777" w:rsidR="00EB5718" w:rsidRPr="0036769D" w:rsidRDefault="00EB5718" w:rsidP="00EB5718">
      <w:pPr>
        <w:pStyle w:val="Prrafodelista"/>
        <w:numPr>
          <w:ilvl w:val="0"/>
          <w:numId w:val="2"/>
        </w:numPr>
        <w:spacing w:before="240" w:after="240" w:line="360" w:lineRule="auto"/>
        <w:ind w:left="0" w:firstLine="0"/>
        <w:jc w:val="both"/>
        <w:rPr>
          <w:rFonts w:ascii="Palatino Linotype" w:hAnsi="Palatino Linotype" w:cs="Arial"/>
          <w:sz w:val="28"/>
        </w:rPr>
      </w:pPr>
      <w:r w:rsidRPr="0036769D">
        <w:rPr>
          <w:rFonts w:ascii="Palatino Linotype" w:hAnsi="Palatino Linotype" w:cs="Arial"/>
          <w:sz w:val="24"/>
        </w:rPr>
        <w:t>Para lo cual, a su vez en el caso de información de carácter confidencial se debe atender a lo que señala el artículo 149 de la Ley de Transparencia Local vigente, cuyo contenido es de la literalidad siguiente:</w:t>
      </w:r>
    </w:p>
    <w:p w14:paraId="143BA472" w14:textId="77777777" w:rsidR="00EB5718" w:rsidRPr="00EB5718" w:rsidRDefault="00EB5718" w:rsidP="00EB5718">
      <w:pPr>
        <w:spacing w:line="360" w:lineRule="auto"/>
        <w:ind w:left="851" w:right="851"/>
        <w:jc w:val="both"/>
        <w:rPr>
          <w:rFonts w:ascii="Palatino Linotype" w:hAnsi="Palatino Linotype"/>
          <w:i/>
          <w:sz w:val="22"/>
        </w:rPr>
      </w:pPr>
      <w:r w:rsidRPr="00EB5718">
        <w:rPr>
          <w:rFonts w:ascii="Palatino Linotype" w:hAnsi="Palatino Linotype"/>
          <w:i/>
          <w:sz w:val="22"/>
        </w:rPr>
        <w:t>“</w:t>
      </w:r>
      <w:r w:rsidRPr="00EB5718">
        <w:rPr>
          <w:rFonts w:ascii="Palatino Linotype" w:hAnsi="Palatino Linotype"/>
          <w:b/>
          <w:i/>
          <w:sz w:val="22"/>
        </w:rPr>
        <w:t>Artículo 149.</w:t>
      </w:r>
      <w:r w:rsidRPr="00EB5718">
        <w:rPr>
          <w:rFonts w:ascii="Palatino Linotype" w:hAnsi="Palatino Linotype"/>
          <w:i/>
          <w:sz w:val="22"/>
        </w:rPr>
        <w:t xml:space="preserve"> El </w:t>
      </w:r>
      <w:r w:rsidRPr="00EB5718">
        <w:rPr>
          <w:rFonts w:ascii="Palatino Linotype" w:hAnsi="Palatino Linotype"/>
          <w:b/>
          <w:i/>
          <w:sz w:val="22"/>
        </w:rPr>
        <w:t>acuerdo que clasifique la información como confidencial</w:t>
      </w:r>
      <w:r w:rsidRPr="00EB5718">
        <w:rPr>
          <w:rFonts w:ascii="Palatino Linotype" w:hAnsi="Palatino Linotype"/>
          <w:i/>
          <w:sz w:val="22"/>
        </w:rPr>
        <w:t xml:space="preserve"> deberá contener un razonamiento lógico en el que demuestre que la información se encuentra en alguna o algunas de las hipótesis previstas en la presente Ley.”</w:t>
      </w:r>
    </w:p>
    <w:p w14:paraId="4F206415" w14:textId="77777777" w:rsidR="00EB5718" w:rsidRPr="0036769D" w:rsidRDefault="00EB5718" w:rsidP="00EB5718">
      <w:pPr>
        <w:pStyle w:val="Prrafodelista"/>
        <w:numPr>
          <w:ilvl w:val="0"/>
          <w:numId w:val="2"/>
        </w:numPr>
        <w:spacing w:before="240" w:after="240" w:line="360" w:lineRule="auto"/>
        <w:ind w:left="0" w:firstLine="0"/>
        <w:jc w:val="both"/>
        <w:rPr>
          <w:rFonts w:ascii="Palatino Linotype" w:hAnsi="Palatino Linotype" w:cs="Arial"/>
          <w:sz w:val="24"/>
          <w:lang w:eastAsia="es-CO"/>
        </w:rPr>
      </w:pPr>
      <w:r w:rsidRPr="0036769D">
        <w:rPr>
          <w:rFonts w:ascii="Palatino Linotype" w:hAnsi="Palatino Linotype" w:cs="Arial"/>
          <w:sz w:val="24"/>
          <w:lang w:eastAsia="es-CO"/>
        </w:rPr>
        <w:t xml:space="preserve">Es decir, el </w:t>
      </w:r>
      <w:r w:rsidRPr="0036769D">
        <w:rPr>
          <w:rFonts w:ascii="Palatino Linotype" w:hAnsi="Palatino Linotype" w:cs="Arial"/>
          <w:b/>
          <w:sz w:val="24"/>
          <w:lang w:eastAsia="es-CO"/>
        </w:rPr>
        <w:t>Sujeto Obligado</w:t>
      </w:r>
      <w:r w:rsidRPr="0036769D">
        <w:rPr>
          <w:rFonts w:ascii="Palatino Linotype" w:hAnsi="Palatino Linotype" w:cs="Arial"/>
          <w:sz w:val="24"/>
          <w:lang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28AC5C16" w14:textId="77777777" w:rsidR="00EB5718" w:rsidRPr="0036769D" w:rsidRDefault="00EB5718" w:rsidP="00EB5718">
      <w:pPr>
        <w:pStyle w:val="Prrafodelista"/>
        <w:spacing w:before="240" w:after="240" w:line="360" w:lineRule="auto"/>
        <w:ind w:left="0"/>
        <w:jc w:val="both"/>
        <w:rPr>
          <w:rFonts w:ascii="Palatino Linotype" w:hAnsi="Palatino Linotype" w:cs="Arial"/>
          <w:sz w:val="24"/>
          <w:lang w:eastAsia="es-CO"/>
        </w:rPr>
      </w:pPr>
    </w:p>
    <w:p w14:paraId="77558564" w14:textId="77777777" w:rsidR="00EB5718" w:rsidRPr="0036769D" w:rsidRDefault="00EB5718" w:rsidP="00EB5718">
      <w:pPr>
        <w:pStyle w:val="Prrafodelista"/>
        <w:numPr>
          <w:ilvl w:val="0"/>
          <w:numId w:val="2"/>
        </w:numPr>
        <w:spacing w:before="240" w:after="240" w:line="360" w:lineRule="auto"/>
        <w:ind w:left="0" w:firstLine="0"/>
        <w:jc w:val="both"/>
        <w:rPr>
          <w:rFonts w:ascii="Palatino Linotype" w:hAnsi="Palatino Linotype" w:cs="Arial"/>
          <w:sz w:val="28"/>
          <w:lang w:eastAsia="es-CO"/>
        </w:rPr>
      </w:pPr>
      <w:r w:rsidRPr="0036769D">
        <w:rPr>
          <w:rFonts w:ascii="Palatino Linotype" w:hAnsi="Palatino Linotype" w:cs="Arial"/>
          <w:sz w:val="24"/>
        </w:rPr>
        <w:t xml:space="preserve">Asimismo, se destaca que el acuerdo de clasificación que elabore el Sujeto Obligado debe cumplir con las formalidades exigidas en la Ley; </w:t>
      </w:r>
      <w:r w:rsidRPr="0036769D">
        <w:rPr>
          <w:rFonts w:ascii="Palatino Linotype" w:hAnsi="Palatino Linotype"/>
          <w:sz w:val="24"/>
          <w:lang w:val="es-ES_tradnl"/>
        </w:rPr>
        <w:t xml:space="preserve">es decir, </w:t>
      </w:r>
      <w:r w:rsidRPr="0036769D">
        <w:rPr>
          <w:rFonts w:ascii="Palatino Linotype" w:hAnsi="Palatino Linotype"/>
          <w:sz w:val="24"/>
        </w:rPr>
        <w:t>resulta necesario que el Comité de Transparencia d</w:t>
      </w:r>
      <w:r w:rsidRPr="0036769D">
        <w:rPr>
          <w:rFonts w:ascii="Palatino Linotype" w:hAnsi="Palatino Linotype"/>
          <w:sz w:val="24"/>
          <w:lang w:val="es-ES_tradnl"/>
        </w:rPr>
        <w:t xml:space="preserve">el Sujeto Obligado </w:t>
      </w:r>
      <w:r w:rsidRPr="0036769D">
        <w:rPr>
          <w:rFonts w:ascii="Palatino Linotype" w:hAnsi="Palatino Linotype"/>
          <w:sz w:val="24"/>
        </w:rPr>
        <w:t>emita el Acuerdo de Clasificación correspondiente</w:t>
      </w:r>
      <w:r w:rsidRPr="0036769D">
        <w:rPr>
          <w:rFonts w:ascii="Palatino Linotype" w:hAnsi="Palatino Linotype"/>
          <w:sz w:val="24"/>
          <w:lang w:val="es-ES_tradnl"/>
        </w:rPr>
        <w:t xml:space="preserve"> debidamente fundado y motivado</w:t>
      </w:r>
      <w:r w:rsidRPr="0036769D">
        <w:rPr>
          <w:rFonts w:ascii="Palatino Linotype" w:hAnsi="Palatino Linotype"/>
          <w:sz w:val="24"/>
        </w:rPr>
        <w:t xml:space="preserve">, el cual deberá </w:t>
      </w:r>
      <w:r w:rsidRPr="0036769D">
        <w:rPr>
          <w:rFonts w:ascii="Palatino Linotype" w:hAnsi="Palatino Linotype"/>
          <w:sz w:val="24"/>
        </w:rPr>
        <w:lastRenderedPageBreak/>
        <w:t xml:space="preserve">cumplir cabalmente con las formalidades previstas en el artículo 137 de la Ley de Transparencia y Acceso a la Información Pública del Estado de México y Municipios, ya expuesto; así como con los numerales aplicables de los </w:t>
      </w:r>
      <w:r w:rsidRPr="0036769D">
        <w:rPr>
          <w:rFonts w:ascii="Palatino Linotype" w:hAnsi="Palatino Linotype"/>
          <w:b/>
          <w:sz w:val="24"/>
        </w:rPr>
        <w:t>LINEAMIENTOS GENERALES EN MATERIA DE CLASIFICACIÓN Y DESCLASIFICACIÓN DE LA INFORMACIÓN, ASÍ COMO PARA LA ELABORACIÓN DE VERSIONES PÚBLICAS</w:t>
      </w:r>
      <w:r w:rsidRPr="0036769D">
        <w:rPr>
          <w:rFonts w:ascii="Palatino Linotype" w:hAnsi="Palatino Linotype"/>
          <w:sz w:val="24"/>
        </w:rPr>
        <w:t>.</w:t>
      </w:r>
    </w:p>
    <w:p w14:paraId="26EB3F85" w14:textId="77777777" w:rsidR="00EB5718" w:rsidRPr="0036769D" w:rsidRDefault="00EB5718" w:rsidP="00EB5718">
      <w:pPr>
        <w:pStyle w:val="Prrafodelista"/>
        <w:spacing w:before="240" w:after="240" w:line="360" w:lineRule="auto"/>
        <w:ind w:left="0"/>
        <w:jc w:val="both"/>
        <w:rPr>
          <w:rFonts w:ascii="Palatino Linotype" w:hAnsi="Palatino Linotype" w:cs="Arial"/>
          <w:sz w:val="28"/>
          <w:lang w:eastAsia="es-CO"/>
        </w:rPr>
      </w:pPr>
    </w:p>
    <w:p w14:paraId="29F0A444" w14:textId="77777777" w:rsidR="00EB5718" w:rsidRPr="0036769D" w:rsidRDefault="00EB5718" w:rsidP="00EB5718">
      <w:pPr>
        <w:pStyle w:val="Prrafodelista"/>
        <w:numPr>
          <w:ilvl w:val="0"/>
          <w:numId w:val="2"/>
        </w:numPr>
        <w:spacing w:before="240" w:after="240" w:line="360" w:lineRule="auto"/>
        <w:ind w:left="0" w:firstLine="0"/>
        <w:jc w:val="both"/>
        <w:rPr>
          <w:rFonts w:ascii="Palatino Linotype" w:hAnsi="Palatino Linotype" w:cs="Arial"/>
          <w:sz w:val="32"/>
          <w:lang w:eastAsia="es-CO"/>
        </w:rPr>
      </w:pPr>
      <w:r w:rsidRPr="0036769D">
        <w:rPr>
          <w:rFonts w:ascii="Palatino Linotype" w:hAnsi="Palatino Linotype" w:cs="Arial"/>
          <w:sz w:val="24"/>
        </w:rPr>
        <w:t>Es entonces que, cuando se clasifica información como confidencial es importante someterlo al Comité de Transparencia, quien debe confirmar, modificar o revocar la clasificación</w:t>
      </w:r>
      <w:r w:rsidRPr="0036769D">
        <w:rPr>
          <w:rFonts w:ascii="Palatino Linotype" w:hAnsi="Palatino Linotype"/>
          <w:sz w:val="24"/>
          <w:lang w:eastAsia="es-MX"/>
        </w:rPr>
        <w:t xml:space="preserve">, por lo que el acuerdo respectivo, deberá hacerse del conocimiento del </w:t>
      </w:r>
      <w:r w:rsidRPr="0036769D">
        <w:rPr>
          <w:rFonts w:ascii="Palatino Linotype" w:hAnsi="Palatino Linotype"/>
          <w:bCs/>
          <w:sz w:val="24"/>
          <w:lang w:eastAsia="es-MX"/>
        </w:rPr>
        <w:t>Recurrente</w:t>
      </w:r>
      <w:r w:rsidRPr="0036769D">
        <w:rPr>
          <w:rFonts w:ascii="Palatino Linotype" w:hAnsi="Palatino Linotype"/>
          <w:sz w:val="24"/>
          <w:lang w:eastAsia="es-MX"/>
        </w:rPr>
        <w:t>.</w:t>
      </w:r>
    </w:p>
    <w:p w14:paraId="0FDA7B1B" w14:textId="77777777" w:rsidR="00EB5718" w:rsidRPr="0036769D" w:rsidRDefault="00EB5718" w:rsidP="00EB5718">
      <w:pPr>
        <w:pStyle w:val="Prrafodelista"/>
        <w:spacing w:before="240" w:after="240" w:line="360" w:lineRule="auto"/>
        <w:ind w:left="0"/>
        <w:jc w:val="both"/>
        <w:rPr>
          <w:rFonts w:ascii="Palatino Linotype" w:hAnsi="Palatino Linotype" w:cs="Arial"/>
          <w:sz w:val="32"/>
          <w:lang w:eastAsia="es-CO"/>
        </w:rPr>
      </w:pPr>
    </w:p>
    <w:p w14:paraId="4BB16957" w14:textId="77777777" w:rsidR="00EB5718" w:rsidRPr="0036769D" w:rsidRDefault="00EB5718" w:rsidP="00EB5718">
      <w:pPr>
        <w:pStyle w:val="Prrafodelista"/>
        <w:numPr>
          <w:ilvl w:val="0"/>
          <w:numId w:val="2"/>
        </w:numPr>
        <w:spacing w:before="240" w:after="240" w:line="360" w:lineRule="auto"/>
        <w:ind w:left="0" w:firstLine="0"/>
        <w:jc w:val="both"/>
        <w:rPr>
          <w:rFonts w:ascii="Palatino Linotype" w:hAnsi="Palatino Linotype" w:cs="Arial"/>
          <w:sz w:val="36"/>
          <w:lang w:eastAsia="es-CO"/>
        </w:rPr>
      </w:pPr>
      <w:r w:rsidRPr="0036769D">
        <w:rPr>
          <w:rFonts w:ascii="Palatino Linotype" w:hAnsi="Palatino Linotype" w:cs="Arial"/>
          <w:sz w:val="24"/>
          <w:lang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702300B9" w14:textId="77777777" w:rsidR="00EB5718" w:rsidRPr="0036769D" w:rsidRDefault="00EB5718" w:rsidP="00EB5718">
      <w:pPr>
        <w:pStyle w:val="Prrafodelista"/>
        <w:spacing w:before="240" w:after="240" w:line="360" w:lineRule="auto"/>
        <w:ind w:left="0"/>
        <w:jc w:val="both"/>
        <w:rPr>
          <w:rFonts w:ascii="Palatino Linotype" w:hAnsi="Palatino Linotype" w:cs="Arial"/>
          <w:sz w:val="36"/>
          <w:lang w:eastAsia="es-CO"/>
        </w:rPr>
      </w:pPr>
    </w:p>
    <w:p w14:paraId="09DFBC69" w14:textId="77777777" w:rsidR="00EB5718" w:rsidRPr="0036769D" w:rsidRDefault="00EB5718" w:rsidP="00EB5718">
      <w:pPr>
        <w:pStyle w:val="Prrafodelista"/>
        <w:numPr>
          <w:ilvl w:val="0"/>
          <w:numId w:val="2"/>
        </w:numPr>
        <w:spacing w:line="360" w:lineRule="auto"/>
        <w:ind w:left="0" w:firstLine="0"/>
        <w:jc w:val="both"/>
        <w:rPr>
          <w:rFonts w:ascii="Palatino Linotype" w:hAnsi="Palatino Linotype" w:cs="Arial"/>
          <w:sz w:val="40"/>
          <w:lang w:eastAsia="es-CO"/>
        </w:rPr>
      </w:pPr>
      <w:r w:rsidRPr="0036769D">
        <w:rPr>
          <w:rFonts w:ascii="Palatino Linotype" w:hAnsi="Palatino Linotype" w:cs="Arial"/>
          <w:sz w:val="24"/>
        </w:rPr>
        <w:lastRenderedPageBreak/>
        <w:t xml:space="preserve">Sirven de sustento a lo anterior, las tesis jurisprudenciales </w:t>
      </w:r>
      <w:r w:rsidRPr="0036769D">
        <w:rPr>
          <w:rFonts w:ascii="Palatino Linotype" w:hAnsi="Palatino Linotype" w:cs="Arial"/>
          <w:i/>
          <w:sz w:val="24"/>
        </w:rPr>
        <w:t xml:space="preserve">P. LX/2000 </w:t>
      </w:r>
      <w:r w:rsidRPr="0036769D">
        <w:rPr>
          <w:rFonts w:ascii="Palatino Linotype" w:hAnsi="Palatino Linotype" w:cs="Arial"/>
          <w:sz w:val="24"/>
        </w:rPr>
        <w:t xml:space="preserve">y </w:t>
      </w:r>
      <w:r w:rsidRPr="0036769D">
        <w:rPr>
          <w:rFonts w:ascii="Palatino Linotype" w:hAnsi="Palatino Linotype" w:cs="Tahoma"/>
          <w:bCs/>
          <w:i/>
          <w:color w:val="444444"/>
          <w:sz w:val="24"/>
        </w:rPr>
        <w:t>2a. XLIII/2008</w:t>
      </w:r>
      <w:r w:rsidRPr="0036769D">
        <w:rPr>
          <w:rFonts w:ascii="Tahoma" w:hAnsi="Tahoma" w:cs="Tahoma"/>
          <w:b/>
          <w:bCs/>
          <w:color w:val="444444"/>
          <w:sz w:val="20"/>
          <w:szCs w:val="18"/>
        </w:rPr>
        <w:t xml:space="preserve"> </w:t>
      </w:r>
      <w:r w:rsidRPr="0036769D">
        <w:rPr>
          <w:rFonts w:ascii="Palatino Linotype" w:hAnsi="Palatino Linotype" w:cs="Arial"/>
          <w:sz w:val="24"/>
        </w:rPr>
        <w:t>emitidas por el Peno y la Segunda Sala de la Suprema Corte de Justicia de la Nación, respectivamente, que son del tenor literal siguiente:</w:t>
      </w:r>
    </w:p>
    <w:p w14:paraId="5FBA10D0" w14:textId="77777777" w:rsidR="00EB5718" w:rsidRPr="008B3B7F" w:rsidRDefault="00EB5718" w:rsidP="00EB5718">
      <w:pPr>
        <w:spacing w:line="360" w:lineRule="auto"/>
        <w:ind w:left="567" w:right="567"/>
        <w:jc w:val="both"/>
        <w:rPr>
          <w:rFonts w:ascii="Palatino Linotype" w:hAnsi="Palatino Linotype" w:cs="Calibri"/>
          <w:i/>
          <w:color w:val="000000"/>
          <w:sz w:val="22"/>
        </w:rPr>
      </w:pPr>
      <w:r w:rsidRPr="008B3B7F">
        <w:rPr>
          <w:rFonts w:ascii="Palatino Linotype" w:hAnsi="Palatino Linotype" w:cs="Calibri"/>
          <w:b/>
          <w:bCs/>
          <w:i/>
          <w:color w:val="000000"/>
          <w:sz w:val="22"/>
        </w:rPr>
        <w:t xml:space="preserve">“DERECHO A LA INFORMACIÓN. SU EJERCICIO SE ENCUENTRA LIMITADO TANTO POR LOS INTERESES NACIONALES Y DE LA SOCIEDAD, COMO POR LOS DERECHOS DE TERCEROS. </w:t>
      </w:r>
      <w:r w:rsidRPr="008B3B7F">
        <w:rPr>
          <w:rFonts w:ascii="Palatino Linotype" w:hAnsi="Palatino Linotype" w:cs="Calibri"/>
          <w:i/>
          <w:color w:val="000000"/>
          <w:sz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B3B7F">
        <w:rPr>
          <w:rFonts w:ascii="Palatino Linotype" w:hAnsi="Palatino Linotype" w:cs="Calibri"/>
          <w:b/>
          <w:i/>
          <w:color w:val="000000"/>
          <w:sz w:val="22"/>
        </w:rPr>
        <w:t>restringen el acceso a la información en esta materia, en razón de que su conocimiento público puede generar daños a los intereses nacionales y, por el otro, sancionan la inobservancia de esa reserva</w:t>
      </w:r>
      <w:r w:rsidRPr="008B3B7F">
        <w:rPr>
          <w:rFonts w:ascii="Palatino Linotype" w:hAnsi="Palatino Linotype" w:cs="Calibri"/>
          <w:i/>
          <w:color w:val="000000"/>
          <w:sz w:val="22"/>
        </w:rPr>
        <w:t xml:space="preserve">; por lo que hace al interés social, se cuenta con normas que tienden a proteger la averiguación de los delitos, la salud y la moral públicas, </w:t>
      </w:r>
      <w:r w:rsidRPr="008B3B7F">
        <w:rPr>
          <w:rFonts w:ascii="Palatino Linotype" w:hAnsi="Palatino Linotype" w:cs="Calibri"/>
          <w:b/>
          <w:i/>
          <w:color w:val="000000"/>
          <w:sz w:val="22"/>
        </w:rPr>
        <w:t>mientras que por lo que respecta a la protección de la persona existen normas que protegen el derecho a la vida o a la privacidad de los gobernados</w:t>
      </w:r>
      <w:r w:rsidRPr="008B3B7F">
        <w:rPr>
          <w:rFonts w:ascii="Palatino Linotype" w:hAnsi="Palatino Linotype" w:cs="Calibri"/>
          <w:i/>
          <w:color w:val="000000"/>
          <w:sz w:val="22"/>
        </w:rPr>
        <w:t>.”</w:t>
      </w:r>
    </w:p>
    <w:p w14:paraId="0023D4A8" w14:textId="77777777" w:rsidR="00EB5718" w:rsidRPr="008B3B7F" w:rsidRDefault="00EB5718" w:rsidP="00EB5718">
      <w:pPr>
        <w:spacing w:line="360" w:lineRule="auto"/>
        <w:ind w:right="567"/>
        <w:jc w:val="both"/>
        <w:rPr>
          <w:rFonts w:ascii="Palatino Linotype" w:hAnsi="Palatino Linotype" w:cs="Calibri"/>
          <w:i/>
          <w:color w:val="000000"/>
          <w:sz w:val="22"/>
        </w:rPr>
      </w:pPr>
    </w:p>
    <w:p w14:paraId="79A1E361" w14:textId="77777777" w:rsidR="00EB5718" w:rsidRPr="008B3B7F" w:rsidRDefault="00EB5718" w:rsidP="00EB5718">
      <w:pPr>
        <w:spacing w:line="360" w:lineRule="auto"/>
        <w:ind w:left="567" w:right="567"/>
        <w:jc w:val="both"/>
        <w:rPr>
          <w:rFonts w:ascii="Palatino Linotype" w:hAnsi="Palatino Linotype" w:cs="Arial"/>
          <w:i/>
          <w:sz w:val="22"/>
        </w:rPr>
      </w:pPr>
      <w:r w:rsidRPr="008B3B7F">
        <w:rPr>
          <w:rFonts w:ascii="Palatino Linotype" w:hAnsi="Palatino Linotype" w:cs="Arial"/>
          <w:b/>
          <w:i/>
          <w:sz w:val="22"/>
        </w:rPr>
        <w:t xml:space="preserve">“TRANSPARENCIA Y ACCESO A LA INFORMACIÓN PÚBLICA GUBERNAMENTAL. EL ARTÍCULO 14, FRACCIÓN I, DE LA LEY FEDERAL RELATIVA, NO VIOLA LA GARANTÍA DE ACCESO A LA INFORMACIÓN. </w:t>
      </w:r>
      <w:r w:rsidRPr="008B3B7F">
        <w:rPr>
          <w:rFonts w:ascii="Palatino Linotype" w:hAnsi="Palatino Linotype" w:cs="Arial"/>
          <w:i/>
          <w:sz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B3B7F">
        <w:rPr>
          <w:rFonts w:ascii="Palatino Linotype" w:hAnsi="Palatino Linotype" w:cs="Arial"/>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B3B7F">
        <w:rPr>
          <w:rFonts w:ascii="Palatino Linotype" w:hAnsi="Palatino Linotype" w:cs="Arial"/>
          <w:i/>
          <w:sz w:val="22"/>
        </w:rPr>
        <w:t xml:space="preserve"> la cual debe ser adecuada y necesaria para alcanzar el fin perseguido, de manera que las ventajas obtenidas </w:t>
      </w:r>
      <w:r w:rsidRPr="008B3B7F">
        <w:rPr>
          <w:rFonts w:ascii="Palatino Linotype" w:hAnsi="Palatino Linotype" w:cs="Arial"/>
          <w:i/>
          <w:sz w:val="22"/>
        </w:rPr>
        <w:lastRenderedPageBreak/>
        <w:t>con la reserva compensen el sacrificio que ésta implique para los titulares de la garantía individual mencionada o para la sociedad en general.”</w:t>
      </w:r>
    </w:p>
    <w:p w14:paraId="2D0B300F" w14:textId="77777777" w:rsidR="00EB5718" w:rsidRDefault="00EB5718" w:rsidP="00EB5718">
      <w:pPr>
        <w:spacing w:before="120" w:after="120" w:line="360" w:lineRule="auto"/>
        <w:jc w:val="both"/>
        <w:rPr>
          <w:rFonts w:ascii="Palatino Linotype" w:hAnsi="Palatino Linotype"/>
          <w:sz w:val="24"/>
        </w:rPr>
      </w:pPr>
    </w:p>
    <w:bookmarkEnd w:id="10"/>
    <w:p w14:paraId="65FC59A4" w14:textId="4520F4B4" w:rsidR="008B3B7F" w:rsidRPr="008B3B7F" w:rsidRDefault="008B3B7F"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hAnsi="Palatino Linotype" w:cs="Arial"/>
          <w:color w:val="222222"/>
          <w:sz w:val="24"/>
          <w:lang w:eastAsia="es-MX"/>
        </w:rPr>
        <w:t>Como resultado de lo anterior, si bien, las constancias de vecindad son documentos expedidos por el Sujeto Obligado en el cumplimiento de sus funciones, atribuciones y competencias, lo cierto es que, son requeridas por particulares residentes dentro del límite territorial del Municipio de Zinacantepec, a su vez, dichos documentos contienen información meramente personal, como lo es fotografía del interesado, domicilio, nombre entre otra información que a nada abona a la transparencia ni a la rendición de cuentas, en consecuencia, debe privilegiarse su confidencialidad en su totalidad.</w:t>
      </w:r>
    </w:p>
    <w:p w14:paraId="652C926D" w14:textId="77777777" w:rsidR="008B3B7F" w:rsidRPr="008B3B7F" w:rsidRDefault="008B3B7F" w:rsidP="008B3B7F">
      <w:pPr>
        <w:pStyle w:val="Prrafodelista"/>
        <w:tabs>
          <w:tab w:val="left" w:pos="567"/>
        </w:tabs>
        <w:spacing w:line="360" w:lineRule="auto"/>
        <w:ind w:left="0"/>
        <w:jc w:val="both"/>
        <w:rPr>
          <w:rFonts w:ascii="Palatino Linotype" w:eastAsia="Calibri" w:hAnsi="Palatino Linotype" w:cs="Arial"/>
          <w:sz w:val="24"/>
        </w:rPr>
      </w:pPr>
    </w:p>
    <w:p w14:paraId="3123CA9F" w14:textId="2AAA5FDE" w:rsidR="008B3B7F" w:rsidRPr="008B3B7F" w:rsidRDefault="008B3B7F"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hAnsi="Palatino Linotype" w:cs="Arial"/>
          <w:color w:val="222222"/>
          <w:sz w:val="24"/>
          <w:lang w:eastAsia="es-MX"/>
        </w:rPr>
        <w:t>En consecuencia, se ORDENA al Sujeto Obligado entregar el acuerdo del Comité de Transparencia mediante el cual se clasifique en su totalidad, las constancias de vecindad requeridas por el particular.</w:t>
      </w:r>
    </w:p>
    <w:p w14:paraId="4FEFCB5A" w14:textId="77777777" w:rsidR="008B3B7F" w:rsidRPr="008B3B7F" w:rsidRDefault="008B3B7F" w:rsidP="008B3B7F">
      <w:pPr>
        <w:pStyle w:val="Prrafodelista"/>
        <w:tabs>
          <w:tab w:val="left" w:pos="567"/>
        </w:tabs>
        <w:spacing w:line="360" w:lineRule="auto"/>
        <w:ind w:left="0"/>
        <w:jc w:val="both"/>
        <w:rPr>
          <w:rFonts w:ascii="Palatino Linotype" w:eastAsia="Calibri" w:hAnsi="Palatino Linotype" w:cs="Arial"/>
          <w:sz w:val="24"/>
        </w:rPr>
      </w:pPr>
    </w:p>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8" w:name="_Toc4061692"/>
      <w:bookmarkStart w:id="19" w:name="_Toc486525261"/>
      <w:bookmarkStart w:id="20" w:name="_Toc445745148"/>
      <w:bookmarkStart w:id="21" w:name="_Toc447699324"/>
      <w:bookmarkStart w:id="22" w:name="_Toc87549684"/>
      <w:r w:rsidRPr="007C7FFD">
        <w:rPr>
          <w:rFonts w:ascii="Palatino Linotype" w:hAnsi="Palatino Linotype"/>
          <w:b/>
          <w:color w:val="auto"/>
          <w:sz w:val="24"/>
          <w:szCs w:val="24"/>
        </w:rPr>
        <w:lastRenderedPageBreak/>
        <w:t>R E S O L U T I V O S</w:t>
      </w:r>
      <w:bookmarkEnd w:id="18"/>
      <w:bookmarkEnd w:id="19"/>
      <w:bookmarkEnd w:id="20"/>
      <w:bookmarkEnd w:id="21"/>
      <w:bookmarkEnd w:id="22"/>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48C01FF2"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124A99" w:rsidRPr="00124A99">
        <w:rPr>
          <w:rFonts w:ascii="Palatino Linotype" w:eastAsia="Calibri" w:hAnsi="Palatino Linotype" w:cs="Tahoma"/>
          <w:b/>
          <w:sz w:val="24"/>
          <w:lang w:eastAsia="en-US"/>
        </w:rPr>
        <w:t>00703/INFOEM/IP/RR/2023</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Pr="00946F7F">
        <w:rPr>
          <w:rFonts w:ascii="Palatino Linotype" w:hAnsi="Palatino Linotype"/>
          <w:b/>
          <w:bCs/>
          <w:sz w:val="24"/>
          <w:szCs w:val="24"/>
        </w:rPr>
        <w:t xml:space="preserve"> Considerandos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5CC2C0E1"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C13112" w:rsidRPr="00C13112">
        <w:rPr>
          <w:rFonts w:ascii="Palatino Linotype" w:eastAsia="Calibri" w:hAnsi="Palatino Linotype" w:cs="Arial"/>
          <w:b/>
          <w:bCs/>
          <w:sz w:val="24"/>
          <w:lang w:val="es-ES"/>
        </w:rPr>
        <w:t>REVOCA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 xml:space="preserve">al </w:t>
      </w:r>
      <w:r w:rsidR="00B13121" w:rsidRPr="00C56D1A">
        <w:rPr>
          <w:rFonts w:ascii="Palatino Linotype" w:eastAsia="Calibri" w:hAnsi="Palatino Linotype" w:cs="Arial"/>
          <w:b/>
          <w:sz w:val="24"/>
        </w:rPr>
        <w:t xml:space="preserve">Ayuntamiento de </w:t>
      </w:r>
      <w:r w:rsidR="00AF085A">
        <w:rPr>
          <w:rFonts w:ascii="Palatino Linotype" w:eastAsia="Calibri" w:hAnsi="Palatino Linotype" w:cs="Arial"/>
          <w:b/>
          <w:sz w:val="24"/>
        </w:rPr>
        <w:t>Zinacantepec</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 xml:space="preserve">Sistema de Acceso a la Información Mexiquense (SAIMEX, </w:t>
      </w:r>
      <w:r w:rsidRPr="00946F7F">
        <w:rPr>
          <w:rFonts w:ascii="Palatino Linotype" w:eastAsia="Calibri" w:hAnsi="Palatino Linotype" w:cs="Arial"/>
          <w:sz w:val="24"/>
          <w:lang w:val="es-ES"/>
        </w:rPr>
        <w:t>la</w:t>
      </w:r>
      <w:r w:rsidRPr="00946F7F">
        <w:rPr>
          <w:rFonts w:ascii="Palatino Linotype" w:eastAsia="Calibri" w:hAnsi="Palatino Linotype" w:cs="Arial"/>
          <w:bCs/>
          <w:sz w:val="24"/>
          <w:lang w:val="es-ES"/>
        </w:rPr>
        <w:t xml:space="preserve">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2F0A7E68" w14:textId="26DFA27C" w:rsidR="008B3B7F" w:rsidRPr="0036769D" w:rsidRDefault="008B3B7F" w:rsidP="008B3B7F">
      <w:pPr>
        <w:pStyle w:val="Prrafodelista"/>
        <w:numPr>
          <w:ilvl w:val="0"/>
          <w:numId w:val="26"/>
        </w:numPr>
        <w:spacing w:line="360" w:lineRule="auto"/>
        <w:ind w:right="616"/>
        <w:jc w:val="both"/>
        <w:rPr>
          <w:rFonts w:ascii="Palatino Linotype" w:hAnsi="Palatino Linotype" w:cs="Arial"/>
          <w:b/>
          <w:bCs/>
          <w:sz w:val="24"/>
          <w:lang w:eastAsia="es-MX"/>
        </w:rPr>
      </w:pPr>
      <w:r w:rsidRPr="0036769D">
        <w:rPr>
          <w:rFonts w:ascii="Palatino Linotype" w:hAnsi="Palatino Linotype" w:cs="Arial"/>
          <w:b/>
          <w:bCs/>
          <w:sz w:val="24"/>
          <w:lang w:eastAsia="es-MX"/>
        </w:rPr>
        <w:t xml:space="preserve">Acuerdo emitido por el Comité de Transparencia que clasifique como información confidencial las constancias de vecindad emitidas por la Secretaría del Ayuntamiento </w:t>
      </w:r>
      <w:r>
        <w:rPr>
          <w:rFonts w:ascii="Palatino Linotype" w:hAnsi="Palatino Linotype" w:cs="Arial"/>
          <w:b/>
          <w:bCs/>
          <w:sz w:val="24"/>
          <w:lang w:eastAsia="es-MX"/>
        </w:rPr>
        <w:t>del periodo comprendido del uno (1) de enero al treinta y uno (31) de diciembre de dos mil veintidós.</w:t>
      </w:r>
      <w:r w:rsidRPr="0036769D">
        <w:rPr>
          <w:rFonts w:ascii="Palatino Linotype" w:hAnsi="Palatino Linotype" w:cs="Arial"/>
          <w:b/>
          <w:bCs/>
          <w:sz w:val="24"/>
          <w:lang w:eastAsia="es-MX"/>
        </w:rPr>
        <w:t xml:space="preserve"> </w:t>
      </w:r>
    </w:p>
    <w:p w14:paraId="3B5E55FA" w14:textId="77777777" w:rsidR="003B0450" w:rsidRPr="003B0450"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31BBDDAB"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lastRenderedPageBreak/>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6FFFA1F" w14:textId="77777777" w:rsidR="008B3B7F" w:rsidRPr="0036769D" w:rsidRDefault="008B3B7F" w:rsidP="008B3B7F">
      <w:pPr>
        <w:shd w:val="clear" w:color="auto" w:fill="FFFFFF"/>
        <w:spacing w:before="240" w:after="360" w:line="360" w:lineRule="auto"/>
        <w:jc w:val="both"/>
        <w:rPr>
          <w:rFonts w:ascii="Palatino Linotype" w:eastAsia="MS Mincho" w:hAnsi="Palatino Linotype"/>
          <w:sz w:val="24"/>
          <w:szCs w:val="24"/>
          <w:lang w:val="es-ES"/>
        </w:rPr>
      </w:pPr>
      <w:r w:rsidRPr="0036769D">
        <w:rPr>
          <w:rFonts w:ascii="Palatino Linotype" w:eastAsia="MS Mincho" w:hAnsi="Palatino Linotype"/>
          <w:b/>
          <w:sz w:val="24"/>
          <w:szCs w:val="24"/>
          <w:lang w:val="es-ES_tradnl"/>
        </w:rPr>
        <w:t>QUINTO.</w:t>
      </w:r>
      <w:r w:rsidRPr="0036769D">
        <w:rPr>
          <w:rFonts w:ascii="Palatino Linotype" w:eastAsia="MS Mincho" w:hAnsi="Palatino Linotype"/>
          <w:b/>
          <w:color w:val="000000"/>
          <w:sz w:val="24"/>
          <w:szCs w:val="24"/>
          <w:lang w:val="es-ES_tradnl"/>
        </w:rPr>
        <w:t xml:space="preserve"> </w:t>
      </w:r>
      <w:r w:rsidRPr="0036769D">
        <w:rPr>
          <w:rFonts w:ascii="Palatino Linotype" w:eastAsia="MS Mincho" w:hAnsi="Palatino Linotype"/>
          <w:sz w:val="24"/>
          <w:szCs w:val="24"/>
          <w:lang w:val="es-ES"/>
        </w:rPr>
        <w:t xml:space="preserve">Se hace del conocimiento de </w:t>
      </w:r>
      <w:r w:rsidRPr="0036769D">
        <w:rPr>
          <w:rFonts w:ascii="Palatino Linotype" w:hAnsi="Palatino Linotype"/>
          <w:b/>
          <w:sz w:val="24"/>
          <w:szCs w:val="24"/>
        </w:rPr>
        <w:t>RECURRENTE</w:t>
      </w:r>
      <w:r w:rsidRPr="0036769D">
        <w:rPr>
          <w:rFonts w:ascii="Palatino Linotype" w:hAnsi="Palatino Linotype"/>
          <w:sz w:val="24"/>
          <w:szCs w:val="24"/>
        </w:rPr>
        <w:t xml:space="preserve"> </w:t>
      </w:r>
      <w:r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36769D">
        <w:rPr>
          <w:rFonts w:ascii="Palatino Linotype" w:hAnsi="Palatino Linotype"/>
          <w:color w:val="000000"/>
          <w:sz w:val="24"/>
          <w:szCs w:val="24"/>
        </w:rPr>
        <w:t>y en lo dispuesto en los artículos </w:t>
      </w:r>
      <w:r w:rsidRPr="0036769D">
        <w:rPr>
          <w:rStyle w:val="il"/>
          <w:rFonts w:ascii="Palatino Linotype" w:hAnsi="Palatino Linotype"/>
          <w:color w:val="000000"/>
          <w:sz w:val="24"/>
          <w:szCs w:val="24"/>
        </w:rPr>
        <w:t>159</w:t>
      </w:r>
      <w:r w:rsidRPr="0036769D">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36769D">
        <w:rPr>
          <w:rFonts w:ascii="Palatino Linotype" w:eastAsia="MS Mincho" w:hAnsi="Palatino Linotype"/>
          <w:sz w:val="24"/>
          <w:szCs w:val="24"/>
          <w:lang w:val="es-ES"/>
        </w:rPr>
        <w:t xml:space="preserve">, o bien, </w:t>
      </w:r>
      <w:r w:rsidRPr="0036769D">
        <w:rPr>
          <w:rFonts w:ascii="Palatino Linotype" w:eastAsia="MS Mincho" w:hAnsi="Palatino Linotype"/>
          <w:bCs/>
          <w:sz w:val="24"/>
          <w:szCs w:val="24"/>
          <w:lang w:val="es-ES"/>
        </w:rPr>
        <w:t>vía juicio de amparo</w:t>
      </w:r>
      <w:r w:rsidRPr="0036769D">
        <w:rPr>
          <w:rFonts w:ascii="Palatino Linotype" w:eastAsia="MS Mincho" w:hAnsi="Palatino Linotype"/>
          <w:sz w:val="24"/>
          <w:szCs w:val="24"/>
          <w:lang w:val="es-ES"/>
        </w:rPr>
        <w:t> en los términos de las leyes aplicables.</w:t>
      </w:r>
    </w:p>
    <w:p w14:paraId="514BFAE6" w14:textId="77777777" w:rsidR="00322F69" w:rsidRPr="00322F69" w:rsidRDefault="00322F69" w:rsidP="00322F69">
      <w:pPr>
        <w:spacing w:before="240" w:after="240" w:line="360" w:lineRule="auto"/>
        <w:ind w:firstLine="1"/>
        <w:jc w:val="both"/>
        <w:rPr>
          <w:rFonts w:ascii="Palatino Linotype" w:hAnsi="Palatino Linotype"/>
          <w:sz w:val="24"/>
        </w:rPr>
      </w:pPr>
      <w:bookmarkStart w:id="23" w:name="_Hlk129792997"/>
      <w:r w:rsidRPr="00322F69">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(15) DE MARZO DE DOS MIL VEINTITRÉS, ANTE EL SECRETARIO TÉCNICO DEL PLENO ALEXIS TAPIA RAMÍREZ. </w:t>
      </w:r>
    </w:p>
    <w:bookmarkEnd w:id="23"/>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4D808" w14:textId="77777777" w:rsidR="00491CE1" w:rsidRDefault="00491CE1">
      <w:r>
        <w:separator/>
      </w:r>
    </w:p>
  </w:endnote>
  <w:endnote w:type="continuationSeparator" w:id="0">
    <w:p w14:paraId="2CAD39D0" w14:textId="77777777" w:rsidR="00491CE1" w:rsidRDefault="0049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24A99" w:rsidRDefault="00124A99">
            <w:pPr>
              <w:pStyle w:val="Piedepgina"/>
              <w:jc w:val="right"/>
            </w:pPr>
          </w:p>
          <w:p w14:paraId="1F7A191C" w14:textId="2A69F491" w:rsidR="00124A99" w:rsidRDefault="00124A9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3351">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3351">
              <w:rPr>
                <w:b/>
                <w:bCs/>
                <w:noProof/>
              </w:rPr>
              <w:t>48</w:t>
            </w:r>
            <w:r>
              <w:rPr>
                <w:b/>
                <w:bCs/>
                <w:sz w:val="24"/>
                <w:szCs w:val="24"/>
              </w:rPr>
              <w:fldChar w:fldCharType="end"/>
            </w:r>
          </w:p>
        </w:sdtContent>
      </w:sdt>
    </w:sdtContent>
  </w:sdt>
  <w:p w14:paraId="2A221972" w14:textId="77777777" w:rsidR="00124A99" w:rsidRDefault="00124A99">
    <w:pPr>
      <w:pStyle w:val="Piedepgina"/>
    </w:pPr>
  </w:p>
  <w:p w14:paraId="1D6FF208" w14:textId="77777777" w:rsidR="00124A99" w:rsidRDefault="00124A99"/>
  <w:p w14:paraId="70055CD7" w14:textId="77777777" w:rsidR="00124A99" w:rsidRDefault="00124A99"/>
  <w:p w14:paraId="5452645F" w14:textId="77777777" w:rsidR="00124A99" w:rsidRDefault="00124A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24A99" w:rsidRDefault="00124A9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33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3351">
              <w:rPr>
                <w:b/>
                <w:bCs/>
                <w:noProof/>
              </w:rPr>
              <w:t>48</w:t>
            </w:r>
            <w:r>
              <w:rPr>
                <w:b/>
                <w:bCs/>
                <w:sz w:val="24"/>
                <w:szCs w:val="24"/>
              </w:rPr>
              <w:fldChar w:fldCharType="end"/>
            </w:r>
          </w:p>
        </w:sdtContent>
      </w:sdt>
    </w:sdtContent>
  </w:sdt>
  <w:p w14:paraId="2D12AEB2" w14:textId="77777777" w:rsidR="00124A99" w:rsidRDefault="00124A99">
    <w:pPr>
      <w:pStyle w:val="Piedepgina"/>
    </w:pPr>
  </w:p>
  <w:p w14:paraId="54227169" w14:textId="77777777" w:rsidR="00124A99" w:rsidRDefault="00124A99"/>
  <w:p w14:paraId="7DE40FB1" w14:textId="77777777" w:rsidR="00124A99" w:rsidRDefault="00124A99"/>
  <w:p w14:paraId="33755E87" w14:textId="77777777" w:rsidR="00124A99" w:rsidRDefault="00124A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2280F" w14:textId="77777777" w:rsidR="00491CE1" w:rsidRDefault="00491CE1">
      <w:r>
        <w:separator/>
      </w:r>
    </w:p>
  </w:footnote>
  <w:footnote w:type="continuationSeparator" w:id="0">
    <w:p w14:paraId="07FA34C3" w14:textId="77777777" w:rsidR="00491CE1" w:rsidRDefault="00491CE1">
      <w:r>
        <w:continuationSeparator/>
      </w:r>
    </w:p>
  </w:footnote>
  <w:footnote w:id="1">
    <w:p w14:paraId="625BCC19" w14:textId="77777777" w:rsidR="00124A99" w:rsidRDefault="00124A99" w:rsidP="00030C87">
      <w:pPr>
        <w:pStyle w:val="Textonotapie"/>
      </w:pPr>
      <w:r>
        <w:rPr>
          <w:rStyle w:val="Refdenotaalpie"/>
        </w:rPr>
        <w:footnoteRef/>
      </w:r>
      <w:r>
        <w:t xml:space="preserve"> Convención Americana sobre Derechos Humanos. Artículo 13.</w:t>
      </w:r>
    </w:p>
  </w:footnote>
  <w:footnote w:id="2">
    <w:p w14:paraId="76B1CB8C" w14:textId="77777777" w:rsidR="00124A99" w:rsidRDefault="00124A99"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124A99" w:rsidRDefault="00124A9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124A99" w:rsidRDefault="00124A99"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124A99" w:rsidRDefault="00124A9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124A99" w:rsidRDefault="00124A99" w:rsidP="00030C87">
      <w:pPr>
        <w:pStyle w:val="Textonotapie"/>
      </w:pPr>
      <w:r>
        <w:t>II. Eficacia: Obligación del Instituto para tutelar, de manera efectiva, el derecho de acceso a la información;</w:t>
      </w:r>
    </w:p>
    <w:p w14:paraId="0DC8B13D" w14:textId="77777777" w:rsidR="00124A99" w:rsidRDefault="00124A99" w:rsidP="00030C87">
      <w:pPr>
        <w:pStyle w:val="Textonotapie"/>
      </w:pPr>
      <w:r>
        <w:t xml:space="preserve">… </w:t>
      </w:r>
    </w:p>
  </w:footnote>
  <w:footnote w:id="6">
    <w:p w14:paraId="7546FA86" w14:textId="77777777" w:rsidR="006C47C8" w:rsidRDefault="006C47C8" w:rsidP="006C47C8">
      <w:pPr>
        <w:pStyle w:val="Textonotapie"/>
      </w:pPr>
      <w:r>
        <w:rPr>
          <w:rStyle w:val="Refdenotaalpie"/>
        </w:rPr>
        <w:footnoteRef/>
      </w:r>
      <w:r>
        <w:t xml:space="preserve"> Artículo 150. Ley de Transparencia y Acceso a la Información Pública del Estado de México y Municipios.</w:t>
      </w:r>
    </w:p>
    <w:p w14:paraId="3F05ECE0" w14:textId="77777777" w:rsidR="006C47C8" w:rsidRDefault="006C47C8" w:rsidP="006C47C8">
      <w:pPr>
        <w:pStyle w:val="Textonotapie"/>
      </w:pPr>
      <w:r>
        <w:t>Artículo 151. Ibídem.</w:t>
      </w:r>
    </w:p>
  </w:footnote>
  <w:footnote w:id="7">
    <w:p w14:paraId="615D3380" w14:textId="77777777" w:rsidR="006C47C8" w:rsidRDefault="006C47C8" w:rsidP="006C47C8">
      <w:pPr>
        <w:pStyle w:val="Textonotapie"/>
      </w:pPr>
      <w:r>
        <w:rPr>
          <w:rStyle w:val="Refdenotaalpie"/>
        </w:rPr>
        <w:footnoteRef/>
      </w:r>
      <w:r>
        <w:t xml:space="preserve"> Fracción IV. Artículo 53. Ibídem.</w:t>
      </w:r>
    </w:p>
  </w:footnote>
  <w:footnote w:id="8">
    <w:p w14:paraId="119E3180" w14:textId="7B3249DF" w:rsidR="00052AB3" w:rsidRDefault="00052AB3">
      <w:pPr>
        <w:pStyle w:val="Textonotapie"/>
      </w:pPr>
      <w:r>
        <w:rPr>
          <w:rStyle w:val="Refdenotaalpie"/>
        </w:rPr>
        <w:footnoteRef/>
      </w:r>
      <w:r>
        <w:t xml:space="preserve"> Disponible para su consulta en  </w:t>
      </w:r>
      <w:hyperlink r:id="rId1" w:history="1">
        <w:r w:rsidRPr="00DC6056">
          <w:rPr>
            <w:rStyle w:val="Hipervnculo"/>
          </w:rPr>
          <w:t>https://consulmex.sre.gob.mx/boise/images/stories/2012/pdf/carta_vecindad.pdf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24A99" w:rsidRDefault="001D335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24A99" w:rsidRDefault="00124A99"/>
  <w:p w14:paraId="77B719CE" w14:textId="77777777" w:rsidR="00124A99" w:rsidRDefault="00124A99"/>
  <w:p w14:paraId="50A3AAAA" w14:textId="77777777" w:rsidR="00124A99" w:rsidRDefault="00124A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24A99" w14:paraId="6255E3A4" w14:textId="77777777" w:rsidTr="00814079">
      <w:trPr>
        <w:trHeight w:val="1435"/>
      </w:trPr>
      <w:tc>
        <w:tcPr>
          <w:tcW w:w="1843" w:type="dxa"/>
          <w:shd w:val="clear" w:color="auto" w:fill="auto"/>
        </w:tcPr>
        <w:p w14:paraId="3E05202F" w14:textId="4A7C9DF8" w:rsidR="00124A99" w:rsidRDefault="00124A9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24A99" w:rsidRDefault="00124A9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24A99" w14:paraId="727F90BF" w14:textId="77777777" w:rsidTr="007441D8">
            <w:trPr>
              <w:trHeight w:val="338"/>
            </w:trPr>
            <w:tc>
              <w:tcPr>
                <w:tcW w:w="2551" w:type="dxa"/>
              </w:tcPr>
              <w:p w14:paraId="23087CD5" w14:textId="77777777" w:rsidR="00124A99" w:rsidRDefault="00124A99">
                <w:pPr>
                  <w:tabs>
                    <w:tab w:val="right" w:pos="8838"/>
                  </w:tabs>
                  <w:ind w:right="-105"/>
                  <w:rPr>
                    <w:rFonts w:ascii="Palatino Linotype" w:eastAsia="Calibri" w:hAnsi="Palatino Linotype" w:cs="Tahoma"/>
                    <w:b/>
                    <w:sz w:val="22"/>
                    <w:szCs w:val="22"/>
                    <w:lang w:eastAsia="en-US"/>
                  </w:rPr>
                </w:pPr>
              </w:p>
              <w:p w14:paraId="410A3741" w14:textId="535C9D39" w:rsidR="00124A99" w:rsidRDefault="00124A9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124A99" w:rsidRDefault="00124A99" w:rsidP="00427B6E">
                <w:pPr>
                  <w:tabs>
                    <w:tab w:val="right" w:pos="8838"/>
                  </w:tabs>
                  <w:ind w:right="-105" w:hanging="101"/>
                  <w:jc w:val="both"/>
                  <w:rPr>
                    <w:rFonts w:ascii="Palatino Linotype" w:eastAsia="Calibri" w:hAnsi="Palatino Linotype" w:cs="Tahoma"/>
                    <w:bCs/>
                    <w:sz w:val="22"/>
                    <w:szCs w:val="22"/>
                    <w:lang w:eastAsia="en-US"/>
                  </w:rPr>
                </w:pPr>
              </w:p>
              <w:p w14:paraId="3FF69A05" w14:textId="06D18D17" w:rsidR="00124A99" w:rsidRDefault="00124A99"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00703/INFOEM/IP/RR/2023</w:t>
                </w:r>
              </w:p>
            </w:tc>
          </w:tr>
          <w:tr w:rsidR="00124A99" w14:paraId="1389436A" w14:textId="128385F2" w:rsidTr="007441D8">
            <w:trPr>
              <w:trHeight w:val="283"/>
            </w:trPr>
            <w:tc>
              <w:tcPr>
                <w:tcW w:w="2551" w:type="dxa"/>
              </w:tcPr>
              <w:p w14:paraId="22E0F4E9" w14:textId="77777777" w:rsidR="00124A99" w:rsidRDefault="00124A99">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2977" w:type="dxa"/>
              </w:tcPr>
              <w:p w14:paraId="2B205C7F" w14:textId="5DD6739B" w:rsidR="00124A99" w:rsidRPr="00AF085A" w:rsidRDefault="00124A99" w:rsidP="007451C1">
                <w:pPr>
                  <w:tabs>
                    <w:tab w:val="left" w:pos="2834"/>
                    <w:tab w:val="right" w:pos="8838"/>
                  </w:tabs>
                  <w:ind w:left="-113" w:right="-107"/>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Ayuntamiento de Zinacantepec</w:t>
                </w:r>
              </w:p>
            </w:tc>
          </w:tr>
          <w:bookmarkEnd w:id="24"/>
          <w:tr w:rsidR="00124A99" w14:paraId="28CCE4E5" w14:textId="77777777" w:rsidTr="007441D8">
            <w:trPr>
              <w:trHeight w:val="283"/>
            </w:trPr>
            <w:tc>
              <w:tcPr>
                <w:tcW w:w="2551" w:type="dxa"/>
              </w:tcPr>
              <w:p w14:paraId="13EBF3BB" w14:textId="6E4ECE4B" w:rsidR="00124A99" w:rsidRDefault="00124A9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24A99" w:rsidRDefault="00124A9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24A99" w:rsidRDefault="00124A99">
          <w:pPr>
            <w:tabs>
              <w:tab w:val="right" w:pos="8838"/>
            </w:tabs>
            <w:ind w:left="-28"/>
            <w:jc w:val="both"/>
            <w:rPr>
              <w:rFonts w:ascii="Arial" w:eastAsia="Calibri" w:hAnsi="Arial" w:cs="Arial"/>
              <w:b/>
              <w:sz w:val="22"/>
              <w:szCs w:val="22"/>
              <w:lang w:eastAsia="en-US"/>
            </w:rPr>
          </w:pPr>
        </w:p>
      </w:tc>
    </w:tr>
  </w:tbl>
  <w:p w14:paraId="07EF2D29" w14:textId="1620A8B4" w:rsidR="00124A99" w:rsidRDefault="001D335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24A99" w:rsidRDefault="00124A99"/>
  <w:p w14:paraId="104386EF" w14:textId="77777777" w:rsidR="00124A99" w:rsidRDefault="00124A99"/>
  <w:p w14:paraId="60A3E393" w14:textId="77777777" w:rsidR="00124A99" w:rsidRDefault="00124A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24A99" w14:paraId="61517A1D" w14:textId="77777777" w:rsidTr="003A6126">
      <w:trPr>
        <w:trHeight w:val="1435"/>
      </w:trPr>
      <w:tc>
        <w:tcPr>
          <w:tcW w:w="1560" w:type="dxa"/>
          <w:shd w:val="clear" w:color="auto" w:fill="auto"/>
        </w:tcPr>
        <w:p w14:paraId="4B74E846" w14:textId="1E0D62B9" w:rsidR="00124A99" w:rsidRDefault="00124A9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124A99" w14:paraId="7F59E1EF" w14:textId="77777777" w:rsidTr="007441D8">
            <w:trPr>
              <w:trHeight w:val="144"/>
            </w:trPr>
            <w:tc>
              <w:tcPr>
                <w:tcW w:w="2444" w:type="dxa"/>
              </w:tcPr>
              <w:p w14:paraId="5EFF942E" w14:textId="77777777" w:rsidR="00124A99" w:rsidRDefault="00124A99"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084" w:type="dxa"/>
              </w:tcPr>
              <w:p w14:paraId="0DE47EE2" w14:textId="691BF82A" w:rsidR="00124A99" w:rsidRPr="002B2042" w:rsidRDefault="00124A99" w:rsidP="00124A99">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00703/INFOEM/IP/RR/2023</w:t>
                </w:r>
                <w:r w:rsidRPr="00B13121">
                  <w:rPr>
                    <w:rFonts w:ascii="Palatino Linotype" w:eastAsia="Calibri" w:hAnsi="Palatino Linotype" w:cs="Tahoma"/>
                    <w:lang w:eastAsia="en-US"/>
                  </w:rPr>
                  <w:t xml:space="preserve"> </w:t>
                </w:r>
              </w:p>
            </w:tc>
            <w:tc>
              <w:tcPr>
                <w:tcW w:w="3402" w:type="dxa"/>
              </w:tcPr>
              <w:p w14:paraId="11E4533C" w14:textId="3B21362A" w:rsidR="00124A99" w:rsidRDefault="00124A99">
                <w:pPr>
                  <w:tabs>
                    <w:tab w:val="right" w:pos="8838"/>
                  </w:tabs>
                  <w:ind w:left="-74" w:right="-105"/>
                  <w:jc w:val="both"/>
                  <w:rPr>
                    <w:rFonts w:ascii="Palatino Linotype" w:eastAsia="Calibri" w:hAnsi="Palatino Linotype" w:cs="Tahoma"/>
                    <w:bCs/>
                    <w:sz w:val="22"/>
                    <w:szCs w:val="22"/>
                    <w:lang w:eastAsia="en-US"/>
                  </w:rPr>
                </w:pPr>
              </w:p>
            </w:tc>
          </w:tr>
          <w:tr w:rsidR="00124A99" w14:paraId="3FC4FA7D" w14:textId="77777777" w:rsidTr="007441D8">
            <w:trPr>
              <w:trHeight w:val="144"/>
            </w:trPr>
            <w:tc>
              <w:tcPr>
                <w:tcW w:w="2444" w:type="dxa"/>
              </w:tcPr>
              <w:p w14:paraId="363D966B" w14:textId="77777777" w:rsidR="00124A99" w:rsidRDefault="00124A99"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084" w:type="dxa"/>
              </w:tcPr>
              <w:p w14:paraId="73C065CD" w14:textId="4CD61C8D" w:rsidR="00124A99" w:rsidRPr="000A7E5D" w:rsidRDefault="00124A99"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124A99" w:rsidRDefault="00124A99"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124A99" w14:paraId="4D832A43" w14:textId="77777777" w:rsidTr="007441D8">
            <w:trPr>
              <w:trHeight w:val="283"/>
            </w:trPr>
            <w:tc>
              <w:tcPr>
                <w:tcW w:w="2444" w:type="dxa"/>
              </w:tcPr>
              <w:p w14:paraId="02CA5CB0" w14:textId="77777777" w:rsidR="00124A99" w:rsidRDefault="00124A9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CFC977B" w:rsidR="00124A99" w:rsidRPr="00396CF5" w:rsidRDefault="00124A99" w:rsidP="00C56D1A">
                <w:pPr>
                  <w:tabs>
                    <w:tab w:val="left" w:pos="2834"/>
                    <w:tab w:val="right" w:pos="8838"/>
                  </w:tabs>
                  <w:ind w:left="-3" w:right="-105"/>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Ayuntamiento de Zinacantepec</w:t>
                </w:r>
              </w:p>
            </w:tc>
            <w:tc>
              <w:tcPr>
                <w:tcW w:w="3402" w:type="dxa"/>
              </w:tcPr>
              <w:p w14:paraId="00F18B8C" w14:textId="77777777" w:rsidR="00124A99" w:rsidRDefault="00124A99">
                <w:pPr>
                  <w:tabs>
                    <w:tab w:val="left" w:pos="2834"/>
                    <w:tab w:val="right" w:pos="8838"/>
                  </w:tabs>
                  <w:ind w:left="-74" w:right="-105"/>
                  <w:jc w:val="both"/>
                  <w:rPr>
                    <w:rFonts w:ascii="Palatino Linotype" w:eastAsia="Calibri" w:hAnsi="Palatino Linotype" w:cs="Tahoma"/>
                    <w:sz w:val="22"/>
                    <w:szCs w:val="22"/>
                    <w:lang w:eastAsia="en-US"/>
                  </w:rPr>
                </w:pPr>
              </w:p>
            </w:tc>
          </w:tr>
          <w:tr w:rsidR="00124A99" w14:paraId="7BC74D7A" w14:textId="77777777" w:rsidTr="007441D8">
            <w:trPr>
              <w:trHeight w:val="283"/>
            </w:trPr>
            <w:tc>
              <w:tcPr>
                <w:tcW w:w="2444" w:type="dxa"/>
              </w:tcPr>
              <w:p w14:paraId="3BF93338" w14:textId="01E84F2D" w:rsidR="00124A99" w:rsidRDefault="00124A9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124A99" w:rsidRPr="003037E1" w:rsidRDefault="00124A9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24A99" w:rsidRDefault="00124A9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24A99" w:rsidRDefault="00124A99">
          <w:pPr>
            <w:tabs>
              <w:tab w:val="right" w:pos="8838"/>
            </w:tabs>
            <w:ind w:left="-28"/>
            <w:jc w:val="both"/>
            <w:rPr>
              <w:rFonts w:ascii="Arial" w:eastAsia="Calibri" w:hAnsi="Arial" w:cs="Arial"/>
              <w:b/>
              <w:sz w:val="22"/>
              <w:szCs w:val="22"/>
              <w:lang w:eastAsia="en-US"/>
            </w:rPr>
          </w:pPr>
        </w:p>
      </w:tc>
    </w:tr>
  </w:tbl>
  <w:p w14:paraId="5F654A99" w14:textId="6CB7D4AE" w:rsidR="00124A99" w:rsidRDefault="001D335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24A99" w:rsidRDefault="00124A99"/>
  <w:p w14:paraId="69AC6122" w14:textId="77777777" w:rsidR="00124A99" w:rsidRDefault="00124A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3"/>
  </w:num>
  <w:num w:numId="8">
    <w:abstractNumId w:val="25"/>
  </w:num>
  <w:num w:numId="9">
    <w:abstractNumId w:val="28"/>
  </w:num>
  <w:num w:numId="10">
    <w:abstractNumId w:val="24"/>
  </w:num>
  <w:num w:numId="11">
    <w:abstractNumId w:val="4"/>
  </w:num>
  <w:num w:numId="12">
    <w:abstractNumId w:val="14"/>
  </w:num>
  <w:num w:numId="13">
    <w:abstractNumId w:val="30"/>
  </w:num>
  <w:num w:numId="14">
    <w:abstractNumId w:val="2"/>
  </w:num>
  <w:num w:numId="15">
    <w:abstractNumId w:val="17"/>
  </w:num>
  <w:num w:numId="16">
    <w:abstractNumId w:val="15"/>
  </w:num>
  <w:num w:numId="17">
    <w:abstractNumId w:val="21"/>
  </w:num>
  <w:num w:numId="18">
    <w:abstractNumId w:val="20"/>
  </w:num>
  <w:num w:numId="19">
    <w:abstractNumId w:val="16"/>
  </w:num>
  <w:num w:numId="20">
    <w:abstractNumId w:val="8"/>
  </w:num>
  <w:num w:numId="21">
    <w:abstractNumId w:val="11"/>
  </w:num>
  <w:num w:numId="22">
    <w:abstractNumId w:val="29"/>
  </w:num>
  <w:num w:numId="23">
    <w:abstractNumId w:val="18"/>
  </w:num>
  <w:num w:numId="24">
    <w:abstractNumId w:val="22"/>
  </w:num>
  <w:num w:numId="25">
    <w:abstractNumId w:val="27"/>
  </w:num>
  <w:num w:numId="26">
    <w:abstractNumId w:val="26"/>
  </w:num>
  <w:num w:numId="27">
    <w:abstractNumId w:val="31"/>
  </w:num>
  <w:num w:numId="28">
    <w:abstractNumId w:val="23"/>
  </w:num>
  <w:num w:numId="29">
    <w:abstractNumId w:val="6"/>
  </w:num>
  <w:num w:numId="30">
    <w:abstractNumId w:val="7"/>
  </w:num>
  <w:num w:numId="31">
    <w:abstractNumId w:val="19"/>
  </w:num>
  <w:num w:numId="32">
    <w:abstractNumId w:val="12"/>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351"/>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2F69"/>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1CE1"/>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6E8"/>
    <w:rsid w:val="0054589F"/>
    <w:rsid w:val="005459B2"/>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101"/>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B571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nsulmex.sre.gob.mx/boise/images/stories/2012/pdf/carta_vecind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F3230-8D60-42BB-8A94-D27C6CF7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48</Pages>
  <Words>9637</Words>
  <Characters>53004</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2021-08-18T17:12:00Z</cp:lastPrinted>
  <dcterms:created xsi:type="dcterms:W3CDTF">2023-03-01T18:03:00Z</dcterms:created>
  <dcterms:modified xsi:type="dcterms:W3CDTF">2023-03-16T20:12:00Z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