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8F263" w14:textId="77777777" w:rsidR="00881541" w:rsidRPr="00560B11" w:rsidRDefault="00732F21">
      <w:pPr>
        <w:spacing w:before="240" w:after="240" w:line="360" w:lineRule="auto"/>
        <w:jc w:val="both"/>
        <w:rPr>
          <w:rFonts w:ascii="Palatino Linotype" w:eastAsia="Palatino Linotype" w:hAnsi="Palatino Linotype" w:cs="Palatino Linotype"/>
        </w:rPr>
      </w:pPr>
      <w:bookmarkStart w:id="0" w:name="_heading=h.1fob9te" w:colFirst="0" w:colLast="0"/>
      <w:bookmarkEnd w:id="0"/>
      <w:r w:rsidRPr="00560B11">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5A2AFB" w:rsidRPr="00560B11">
        <w:rPr>
          <w:rFonts w:ascii="Palatino Linotype" w:eastAsia="Palatino Linotype" w:hAnsi="Palatino Linotype" w:cs="Palatino Linotype"/>
        </w:rPr>
        <w:t>seis de diciembre</w:t>
      </w:r>
      <w:r w:rsidRPr="00560B11">
        <w:rPr>
          <w:rFonts w:ascii="Palatino Linotype" w:eastAsia="Palatino Linotype" w:hAnsi="Palatino Linotype" w:cs="Palatino Linotype"/>
        </w:rPr>
        <w:t xml:space="preserve"> de dos mil veintitrés. </w:t>
      </w:r>
    </w:p>
    <w:p w14:paraId="17079EC1" w14:textId="246AF53F" w:rsidR="00881541" w:rsidRPr="00560B11" w:rsidRDefault="00732F21">
      <w:pPr>
        <w:spacing w:before="240" w:after="240" w:line="360" w:lineRule="auto"/>
        <w:jc w:val="both"/>
        <w:rPr>
          <w:rFonts w:ascii="Palatino Linotype" w:eastAsia="Palatino Linotype" w:hAnsi="Palatino Linotype" w:cs="Palatino Linotype"/>
          <w:b/>
        </w:rPr>
      </w:pPr>
      <w:bookmarkStart w:id="1" w:name="_heading=h.1t3h5sf" w:colFirst="0" w:colLast="0"/>
      <w:bookmarkEnd w:id="1"/>
      <w:r w:rsidRPr="00560B11">
        <w:rPr>
          <w:rFonts w:ascii="Palatino Linotype" w:eastAsia="Palatino Linotype" w:hAnsi="Palatino Linotype" w:cs="Palatino Linotype"/>
          <w:b/>
        </w:rPr>
        <w:t>VISTO</w:t>
      </w:r>
      <w:r w:rsidRPr="00560B11">
        <w:rPr>
          <w:rFonts w:ascii="Palatino Linotype" w:eastAsia="Palatino Linotype" w:hAnsi="Palatino Linotype" w:cs="Palatino Linotype"/>
        </w:rPr>
        <w:t xml:space="preserve"> el expediente formado con motivo del recurso de revisión </w:t>
      </w:r>
      <w:r w:rsidRPr="00560B11">
        <w:rPr>
          <w:rFonts w:ascii="Palatino Linotype" w:eastAsia="Palatino Linotype" w:hAnsi="Palatino Linotype" w:cs="Palatino Linotype"/>
          <w:b/>
        </w:rPr>
        <w:t>0</w:t>
      </w:r>
      <w:r w:rsidR="00413580" w:rsidRPr="00560B11">
        <w:rPr>
          <w:rFonts w:ascii="Palatino Linotype" w:eastAsia="Palatino Linotype" w:hAnsi="Palatino Linotype" w:cs="Palatino Linotype"/>
          <w:b/>
        </w:rPr>
        <w:t>3944</w:t>
      </w:r>
      <w:r w:rsidRPr="00560B11">
        <w:rPr>
          <w:rFonts w:ascii="Palatino Linotype" w:eastAsia="Palatino Linotype" w:hAnsi="Palatino Linotype" w:cs="Palatino Linotype"/>
          <w:b/>
        </w:rPr>
        <w:t>/INFOEM/IP/RR/2023</w:t>
      </w:r>
      <w:r w:rsidRPr="00560B11">
        <w:rPr>
          <w:rFonts w:ascii="Palatino Linotype" w:eastAsia="Palatino Linotype" w:hAnsi="Palatino Linotype" w:cs="Palatino Linotype"/>
        </w:rPr>
        <w:t xml:space="preserve">, interpuesto </w:t>
      </w:r>
      <w:proofErr w:type="gramStart"/>
      <w:r w:rsidRPr="00560B11">
        <w:rPr>
          <w:rFonts w:ascii="Palatino Linotype" w:eastAsia="Palatino Linotype" w:hAnsi="Palatino Linotype" w:cs="Palatino Linotype"/>
        </w:rPr>
        <w:t xml:space="preserve">por </w:t>
      </w:r>
      <w:r w:rsidR="00413580" w:rsidRPr="00560B11">
        <w:rPr>
          <w:rFonts w:ascii="Palatino Linotype" w:eastAsia="Palatino Linotype" w:hAnsi="Palatino Linotype" w:cs="Palatino Linotype"/>
          <w:b/>
        </w:rPr>
        <w:t xml:space="preserve"> </w:t>
      </w:r>
      <w:r w:rsidR="00D34686">
        <w:rPr>
          <w:rFonts w:ascii="Palatino Linotype" w:eastAsia="Palatino Linotype" w:hAnsi="Palatino Linotype" w:cs="Palatino Linotype"/>
          <w:b/>
        </w:rPr>
        <w:t>XXXXXXX</w:t>
      </w:r>
      <w:proofErr w:type="gramEnd"/>
      <w:r w:rsidR="00D34686">
        <w:rPr>
          <w:rFonts w:ascii="Palatino Linotype" w:eastAsia="Palatino Linotype" w:hAnsi="Palatino Linotype" w:cs="Palatino Linotype"/>
          <w:b/>
        </w:rPr>
        <w:t xml:space="preserve"> XXXXXX</w:t>
      </w:r>
      <w:r w:rsidRPr="00560B11">
        <w:rPr>
          <w:rFonts w:ascii="Palatino Linotype" w:eastAsia="Palatino Linotype" w:hAnsi="Palatino Linotype" w:cs="Palatino Linotype"/>
        </w:rPr>
        <w:t>, en lo sucesivo</w:t>
      </w:r>
      <w:r w:rsidRPr="00560B11">
        <w:rPr>
          <w:rFonts w:ascii="Palatino Linotype" w:eastAsia="Palatino Linotype" w:hAnsi="Palatino Linotype" w:cs="Palatino Linotype"/>
          <w:b/>
        </w:rPr>
        <w:t xml:space="preserve"> </w:t>
      </w:r>
      <w:r w:rsidRPr="00560B11">
        <w:rPr>
          <w:rFonts w:ascii="Palatino Linotype" w:eastAsia="Palatino Linotype" w:hAnsi="Palatino Linotype" w:cs="Palatino Linotype"/>
        </w:rPr>
        <w:t xml:space="preserve">la parte </w:t>
      </w:r>
      <w:r w:rsidRPr="00560B11">
        <w:rPr>
          <w:rFonts w:ascii="Palatino Linotype" w:eastAsia="Palatino Linotype" w:hAnsi="Palatino Linotype" w:cs="Palatino Linotype"/>
          <w:b/>
        </w:rPr>
        <w:t>Recurrente,</w:t>
      </w:r>
      <w:r w:rsidRPr="00560B11">
        <w:rPr>
          <w:rFonts w:ascii="Palatino Linotype" w:eastAsia="Palatino Linotype" w:hAnsi="Palatino Linotype" w:cs="Palatino Linotype"/>
        </w:rPr>
        <w:t xml:space="preserve"> en contra de la respuesta a su solicitud por parte del </w:t>
      </w:r>
      <w:r w:rsidR="00413580" w:rsidRPr="00560B11">
        <w:rPr>
          <w:rFonts w:ascii="Palatino Linotype" w:eastAsia="Palatino Linotype" w:hAnsi="Palatino Linotype" w:cs="Palatino Linotype"/>
          <w:b/>
        </w:rPr>
        <w:t xml:space="preserve">Ayuntamiento de Cuautitlán, </w:t>
      </w:r>
      <w:r w:rsidRPr="00560B11">
        <w:rPr>
          <w:rFonts w:ascii="Palatino Linotype" w:eastAsia="Palatino Linotype" w:hAnsi="Palatino Linotype" w:cs="Palatino Linotype"/>
        </w:rPr>
        <w:t xml:space="preserve">en lo sucesivo el </w:t>
      </w:r>
      <w:r w:rsidRPr="00560B11">
        <w:rPr>
          <w:rFonts w:ascii="Palatino Linotype" w:eastAsia="Palatino Linotype" w:hAnsi="Palatino Linotype" w:cs="Palatino Linotype"/>
          <w:b/>
        </w:rPr>
        <w:t xml:space="preserve">Sujeto Obligado, </w:t>
      </w:r>
      <w:r w:rsidRPr="00560B11">
        <w:rPr>
          <w:rFonts w:ascii="Palatino Linotype" w:eastAsia="Palatino Linotype" w:hAnsi="Palatino Linotype" w:cs="Palatino Linotype"/>
        </w:rPr>
        <w:t xml:space="preserve">se procede a dictar la presente resolución con base en los siguientes: </w:t>
      </w:r>
    </w:p>
    <w:p w14:paraId="1A61FD0D" w14:textId="77777777" w:rsidR="00881541" w:rsidRPr="00560B11" w:rsidRDefault="00732F21">
      <w:pPr>
        <w:spacing w:before="240" w:after="240" w:line="360" w:lineRule="auto"/>
        <w:jc w:val="center"/>
        <w:rPr>
          <w:rFonts w:ascii="Palatino Linotype" w:eastAsia="Palatino Linotype" w:hAnsi="Palatino Linotype" w:cs="Palatino Linotype"/>
          <w:b/>
        </w:rPr>
      </w:pPr>
      <w:r w:rsidRPr="00560B11">
        <w:rPr>
          <w:rFonts w:ascii="Palatino Linotype" w:eastAsia="Palatino Linotype" w:hAnsi="Palatino Linotype" w:cs="Palatino Linotype"/>
          <w:b/>
        </w:rPr>
        <w:t>I. A N T E C E D E N T E S</w:t>
      </w:r>
    </w:p>
    <w:p w14:paraId="3C359245" w14:textId="77777777" w:rsidR="00881541" w:rsidRPr="00560B11" w:rsidRDefault="00732F21">
      <w:pPr>
        <w:spacing w:before="240" w:after="240" w:line="360" w:lineRule="auto"/>
        <w:jc w:val="both"/>
        <w:rPr>
          <w:rFonts w:ascii="Palatino Linotype" w:eastAsia="Palatino Linotype" w:hAnsi="Palatino Linotype" w:cs="Palatino Linotype"/>
        </w:rPr>
      </w:pPr>
      <w:r w:rsidRPr="00560B11">
        <w:rPr>
          <w:rFonts w:ascii="Palatino Linotype" w:eastAsia="Palatino Linotype" w:hAnsi="Palatino Linotype" w:cs="Palatino Linotype"/>
          <w:b/>
        </w:rPr>
        <w:t>1. Solicitud de acceso a la información.</w:t>
      </w:r>
      <w:r w:rsidRPr="00560B11">
        <w:rPr>
          <w:rFonts w:ascii="Palatino Linotype" w:eastAsia="Palatino Linotype" w:hAnsi="Palatino Linotype" w:cs="Palatino Linotype"/>
        </w:rPr>
        <w:t xml:space="preserve"> Con fecha </w:t>
      </w:r>
      <w:r w:rsidR="00DE3F11" w:rsidRPr="00560B11">
        <w:rPr>
          <w:rFonts w:ascii="Palatino Linotype" w:eastAsia="Palatino Linotype" w:hAnsi="Palatino Linotype" w:cs="Palatino Linotype"/>
          <w:b/>
        </w:rPr>
        <w:t>doce de junio</w:t>
      </w:r>
      <w:r w:rsidRPr="00560B11">
        <w:rPr>
          <w:rFonts w:ascii="Palatino Linotype" w:eastAsia="Palatino Linotype" w:hAnsi="Palatino Linotype" w:cs="Palatino Linotype"/>
          <w:b/>
        </w:rPr>
        <w:t xml:space="preserve"> de dos mil veintitrés,</w:t>
      </w:r>
      <w:r w:rsidRPr="00560B11">
        <w:rPr>
          <w:rFonts w:ascii="Palatino Linotype" w:eastAsia="Palatino Linotype" w:hAnsi="Palatino Linotype" w:cs="Palatino Linotype"/>
        </w:rPr>
        <w:t xml:space="preserve"> la parte </w:t>
      </w:r>
      <w:r w:rsidRPr="00560B11">
        <w:rPr>
          <w:rFonts w:ascii="Palatino Linotype" w:eastAsia="Palatino Linotype" w:hAnsi="Palatino Linotype" w:cs="Palatino Linotype"/>
          <w:b/>
        </w:rPr>
        <w:t xml:space="preserve">Recurrente </w:t>
      </w:r>
      <w:r w:rsidRPr="00560B11">
        <w:rPr>
          <w:rFonts w:ascii="Palatino Linotype" w:eastAsia="Palatino Linotype" w:hAnsi="Palatino Linotype" w:cs="Palatino Linotype"/>
        </w:rPr>
        <w:t xml:space="preserve">presentó, través del Sistema de Acceso a la Información Mexiquense, en lo subsecuente el </w:t>
      </w:r>
      <w:r w:rsidRPr="00560B11">
        <w:rPr>
          <w:rFonts w:ascii="Palatino Linotype" w:eastAsia="Palatino Linotype" w:hAnsi="Palatino Linotype" w:cs="Palatino Linotype"/>
          <w:b/>
        </w:rPr>
        <w:t>SAIMEX,</w:t>
      </w:r>
      <w:r w:rsidRPr="00560B11">
        <w:rPr>
          <w:rFonts w:ascii="Palatino Linotype" w:eastAsia="Palatino Linotype" w:hAnsi="Palatino Linotype" w:cs="Palatino Linotype"/>
        </w:rPr>
        <w:t xml:space="preserve"> ante el </w:t>
      </w:r>
      <w:r w:rsidRPr="00560B11">
        <w:rPr>
          <w:rFonts w:ascii="Palatino Linotype" w:eastAsia="Palatino Linotype" w:hAnsi="Palatino Linotype" w:cs="Palatino Linotype"/>
          <w:b/>
        </w:rPr>
        <w:t>Sujeto Obligado</w:t>
      </w:r>
      <w:r w:rsidRPr="00560B11">
        <w:rPr>
          <w:rFonts w:ascii="Palatino Linotype" w:eastAsia="Palatino Linotype" w:hAnsi="Palatino Linotype" w:cs="Palatino Linotype"/>
        </w:rPr>
        <w:t>, la solicitud de acceso a la información pública, a la que se le asignó el número</w:t>
      </w:r>
      <w:r w:rsidRPr="00560B11">
        <w:rPr>
          <w:rFonts w:ascii="Palatino Linotype" w:eastAsia="Palatino Linotype" w:hAnsi="Palatino Linotype" w:cs="Palatino Linotype"/>
          <w:b/>
        </w:rPr>
        <w:t xml:space="preserve"> </w:t>
      </w:r>
      <w:r w:rsidR="00DE3F11" w:rsidRPr="00560B11">
        <w:rPr>
          <w:rFonts w:ascii="Palatino Linotype" w:eastAsia="Palatino Linotype" w:hAnsi="Palatino Linotype" w:cs="Palatino Linotype"/>
          <w:b/>
        </w:rPr>
        <w:t>00237/CUAUTIT/IP/2023</w:t>
      </w:r>
      <w:r w:rsidRPr="00560B11">
        <w:rPr>
          <w:rFonts w:ascii="Palatino Linotype" w:eastAsia="Palatino Linotype" w:hAnsi="Palatino Linotype" w:cs="Palatino Linotype"/>
          <w:b/>
        </w:rPr>
        <w:t xml:space="preserve">, </w:t>
      </w:r>
      <w:r w:rsidRPr="00560B11">
        <w:rPr>
          <w:rFonts w:ascii="Palatino Linotype" w:eastAsia="Palatino Linotype" w:hAnsi="Palatino Linotype" w:cs="Palatino Linotype"/>
        </w:rPr>
        <w:t xml:space="preserve">mediante la cual requirió la información siguiente: </w:t>
      </w:r>
    </w:p>
    <w:p w14:paraId="6E3943E5" w14:textId="77777777" w:rsidR="00881541" w:rsidRPr="00560B11" w:rsidRDefault="00732F21">
      <w:pPr>
        <w:spacing w:before="240" w:after="240"/>
        <w:ind w:left="851" w:right="902"/>
        <w:jc w:val="both"/>
        <w:rPr>
          <w:rFonts w:ascii="Palatino Linotype" w:eastAsia="Palatino Linotype" w:hAnsi="Palatino Linotype" w:cs="Palatino Linotype"/>
          <w:b/>
          <w:i/>
          <w:sz w:val="22"/>
          <w:szCs w:val="22"/>
        </w:rPr>
      </w:pPr>
      <w:bookmarkStart w:id="2" w:name="_heading=h.gjdgxs" w:colFirst="0" w:colLast="0"/>
      <w:bookmarkEnd w:id="2"/>
      <w:r w:rsidRPr="00560B11">
        <w:rPr>
          <w:rFonts w:ascii="Palatino Linotype" w:eastAsia="Palatino Linotype" w:hAnsi="Palatino Linotype" w:cs="Palatino Linotype"/>
          <w:i/>
          <w:sz w:val="22"/>
          <w:szCs w:val="22"/>
        </w:rPr>
        <w:t>“</w:t>
      </w:r>
      <w:r w:rsidR="00DE3F11" w:rsidRPr="00560B11">
        <w:rPr>
          <w:rFonts w:ascii="Palatino Linotype" w:eastAsia="Palatino Linotype" w:hAnsi="Palatino Linotype" w:cs="Palatino Linotype"/>
          <w:i/>
          <w:sz w:val="22"/>
          <w:szCs w:val="22"/>
        </w:rPr>
        <w:t xml:space="preserve">Buen Día Tengo mi domicilio en la Vialidad Cola de Caballo, en el municipio de Cuautitlán, la cual fue cerrada sin previo aviso o simplemente notificar que se </w:t>
      </w:r>
      <w:proofErr w:type="spellStart"/>
      <w:r w:rsidR="00DE3F11" w:rsidRPr="00560B11">
        <w:rPr>
          <w:rFonts w:ascii="Palatino Linotype" w:eastAsia="Palatino Linotype" w:hAnsi="Palatino Linotype" w:cs="Palatino Linotype"/>
          <w:i/>
          <w:sz w:val="22"/>
          <w:szCs w:val="22"/>
        </w:rPr>
        <w:t>cerraria</w:t>
      </w:r>
      <w:proofErr w:type="spellEnd"/>
      <w:r w:rsidR="00DE3F11" w:rsidRPr="00560B11">
        <w:rPr>
          <w:rFonts w:ascii="Palatino Linotype" w:eastAsia="Palatino Linotype" w:hAnsi="Palatino Linotype" w:cs="Palatino Linotype"/>
          <w:i/>
          <w:sz w:val="22"/>
          <w:szCs w:val="22"/>
        </w:rPr>
        <w:t xml:space="preserve"> </w:t>
      </w:r>
      <w:proofErr w:type="gramStart"/>
      <w:r w:rsidR="00DE3F11" w:rsidRPr="00560B11">
        <w:rPr>
          <w:rFonts w:ascii="Palatino Linotype" w:eastAsia="Palatino Linotype" w:hAnsi="Palatino Linotype" w:cs="Palatino Linotype"/>
          <w:i/>
          <w:sz w:val="22"/>
          <w:szCs w:val="22"/>
        </w:rPr>
        <w:t>un vialidad</w:t>
      </w:r>
      <w:proofErr w:type="gramEnd"/>
      <w:r w:rsidR="00DE3F11" w:rsidRPr="00560B11">
        <w:rPr>
          <w:rFonts w:ascii="Palatino Linotype" w:eastAsia="Palatino Linotype" w:hAnsi="Palatino Linotype" w:cs="Palatino Linotype"/>
          <w:i/>
          <w:sz w:val="22"/>
          <w:szCs w:val="22"/>
        </w:rPr>
        <w:t xml:space="preserve"> de tanta importancia en el flujo hacia los municipios. </w:t>
      </w:r>
      <w:proofErr w:type="gramStart"/>
      <w:r w:rsidR="00DE3F11" w:rsidRPr="00560B11">
        <w:rPr>
          <w:rFonts w:ascii="Palatino Linotype" w:eastAsia="Palatino Linotype" w:hAnsi="Palatino Linotype" w:cs="Palatino Linotype"/>
          <w:i/>
          <w:sz w:val="22"/>
          <w:szCs w:val="22"/>
        </w:rPr>
        <w:t xml:space="preserve">Deseo conocer el estatus del cierre, porque se </w:t>
      </w:r>
      <w:proofErr w:type="spellStart"/>
      <w:r w:rsidR="00DE3F11" w:rsidRPr="00560B11">
        <w:rPr>
          <w:rFonts w:ascii="Palatino Linotype" w:eastAsia="Palatino Linotype" w:hAnsi="Palatino Linotype" w:cs="Palatino Linotype"/>
          <w:i/>
          <w:sz w:val="22"/>
          <w:szCs w:val="22"/>
        </w:rPr>
        <w:t>tomo</w:t>
      </w:r>
      <w:proofErr w:type="spellEnd"/>
      <w:r w:rsidR="00DE3F11" w:rsidRPr="00560B11">
        <w:rPr>
          <w:rFonts w:ascii="Palatino Linotype" w:eastAsia="Palatino Linotype" w:hAnsi="Palatino Linotype" w:cs="Palatino Linotype"/>
          <w:i/>
          <w:sz w:val="22"/>
          <w:szCs w:val="22"/>
        </w:rPr>
        <w:t xml:space="preserve"> tal atribución?</w:t>
      </w:r>
      <w:proofErr w:type="gramEnd"/>
      <w:r w:rsidR="00DE3F11" w:rsidRPr="00560B11">
        <w:rPr>
          <w:rFonts w:ascii="Palatino Linotype" w:eastAsia="Palatino Linotype" w:hAnsi="Palatino Linotype" w:cs="Palatino Linotype"/>
          <w:i/>
          <w:sz w:val="22"/>
          <w:szCs w:val="22"/>
        </w:rPr>
        <w:t xml:space="preserve"> </w:t>
      </w:r>
      <w:proofErr w:type="gramStart"/>
      <w:r w:rsidR="00DE3F11" w:rsidRPr="00560B11">
        <w:rPr>
          <w:rFonts w:ascii="Palatino Linotype" w:eastAsia="Palatino Linotype" w:hAnsi="Palatino Linotype" w:cs="Palatino Linotype"/>
          <w:i/>
          <w:sz w:val="22"/>
          <w:szCs w:val="22"/>
        </w:rPr>
        <w:t>Cual fue el motivo?</w:t>
      </w:r>
      <w:proofErr w:type="gramEnd"/>
      <w:r w:rsidR="00DE3F11" w:rsidRPr="00560B11">
        <w:rPr>
          <w:rFonts w:ascii="Palatino Linotype" w:eastAsia="Palatino Linotype" w:hAnsi="Palatino Linotype" w:cs="Palatino Linotype"/>
          <w:i/>
          <w:sz w:val="22"/>
          <w:szCs w:val="22"/>
        </w:rPr>
        <w:t xml:space="preserve"> </w:t>
      </w:r>
      <w:proofErr w:type="spellStart"/>
      <w:proofErr w:type="gramStart"/>
      <w:r w:rsidR="00DE3F11" w:rsidRPr="00560B11">
        <w:rPr>
          <w:rFonts w:ascii="Palatino Linotype" w:eastAsia="Palatino Linotype" w:hAnsi="Palatino Linotype" w:cs="Palatino Linotype"/>
          <w:i/>
          <w:sz w:val="22"/>
          <w:szCs w:val="22"/>
        </w:rPr>
        <w:t>Cual</w:t>
      </w:r>
      <w:proofErr w:type="spellEnd"/>
      <w:r w:rsidR="00DE3F11" w:rsidRPr="00560B11">
        <w:rPr>
          <w:rFonts w:ascii="Palatino Linotype" w:eastAsia="Palatino Linotype" w:hAnsi="Palatino Linotype" w:cs="Palatino Linotype"/>
          <w:i/>
          <w:sz w:val="22"/>
          <w:szCs w:val="22"/>
        </w:rPr>
        <w:t xml:space="preserve"> es el fundamento legal para realizar dicho cierre de vialidad?</w:t>
      </w:r>
      <w:proofErr w:type="gramEnd"/>
      <w:r w:rsidR="00DE3F11" w:rsidRPr="00560B11">
        <w:rPr>
          <w:rFonts w:ascii="Palatino Linotype" w:eastAsia="Palatino Linotype" w:hAnsi="Palatino Linotype" w:cs="Palatino Linotype"/>
          <w:i/>
          <w:sz w:val="22"/>
          <w:szCs w:val="22"/>
        </w:rPr>
        <w:t xml:space="preserve"> el Gobierno del Estado de México </w:t>
      </w:r>
      <w:proofErr w:type="spellStart"/>
      <w:r w:rsidR="00DE3F11" w:rsidRPr="00560B11">
        <w:rPr>
          <w:rFonts w:ascii="Palatino Linotype" w:eastAsia="Palatino Linotype" w:hAnsi="Palatino Linotype" w:cs="Palatino Linotype"/>
          <w:i/>
          <w:sz w:val="22"/>
          <w:szCs w:val="22"/>
        </w:rPr>
        <w:t>esta</w:t>
      </w:r>
      <w:proofErr w:type="spellEnd"/>
      <w:r w:rsidR="00DE3F11" w:rsidRPr="00560B11">
        <w:rPr>
          <w:rFonts w:ascii="Palatino Linotype" w:eastAsia="Palatino Linotype" w:hAnsi="Palatino Linotype" w:cs="Palatino Linotype"/>
          <w:i/>
          <w:sz w:val="22"/>
          <w:szCs w:val="22"/>
        </w:rPr>
        <w:t xml:space="preserve"> enterado de dicho cierre? Asimismo se </w:t>
      </w:r>
      <w:proofErr w:type="spellStart"/>
      <w:r w:rsidR="00DE3F11" w:rsidRPr="00560B11">
        <w:rPr>
          <w:rFonts w:ascii="Palatino Linotype" w:eastAsia="Palatino Linotype" w:hAnsi="Palatino Linotype" w:cs="Palatino Linotype"/>
          <w:i/>
          <w:sz w:val="22"/>
          <w:szCs w:val="22"/>
        </w:rPr>
        <w:t>realizo</w:t>
      </w:r>
      <w:proofErr w:type="spellEnd"/>
      <w:r w:rsidR="00DE3F11" w:rsidRPr="00560B11">
        <w:rPr>
          <w:rFonts w:ascii="Palatino Linotype" w:eastAsia="Palatino Linotype" w:hAnsi="Palatino Linotype" w:cs="Palatino Linotype"/>
          <w:i/>
          <w:sz w:val="22"/>
          <w:szCs w:val="22"/>
        </w:rPr>
        <w:t xml:space="preserve"> el cierre de la avenida 6 de junio que conecta Tultepec y mi municipio de Cuautitlán, a la altura de Rancho San Blas fue cerrada, me </w:t>
      </w:r>
      <w:proofErr w:type="spellStart"/>
      <w:r w:rsidR="00DE3F11" w:rsidRPr="00560B11">
        <w:rPr>
          <w:rFonts w:ascii="Palatino Linotype" w:eastAsia="Palatino Linotype" w:hAnsi="Palatino Linotype" w:cs="Palatino Linotype"/>
          <w:i/>
          <w:sz w:val="22"/>
          <w:szCs w:val="22"/>
        </w:rPr>
        <w:t>podrian</w:t>
      </w:r>
      <w:proofErr w:type="spellEnd"/>
      <w:r w:rsidR="00DE3F11" w:rsidRPr="00560B11">
        <w:rPr>
          <w:rFonts w:ascii="Palatino Linotype" w:eastAsia="Palatino Linotype" w:hAnsi="Palatino Linotype" w:cs="Palatino Linotype"/>
          <w:i/>
          <w:sz w:val="22"/>
          <w:szCs w:val="22"/>
        </w:rPr>
        <w:t xml:space="preserve"> indicar el motivo? fundamento? estatus?</w:t>
      </w:r>
      <w:r w:rsidRPr="00560B11">
        <w:rPr>
          <w:rFonts w:ascii="Palatino Linotype" w:eastAsia="Palatino Linotype" w:hAnsi="Palatino Linotype" w:cs="Palatino Linotype"/>
          <w:i/>
          <w:sz w:val="22"/>
          <w:szCs w:val="22"/>
        </w:rPr>
        <w:t>” (sic)</w:t>
      </w:r>
    </w:p>
    <w:p w14:paraId="25EE9870" w14:textId="77777777" w:rsidR="00881541" w:rsidRPr="00560B11" w:rsidRDefault="00732F21">
      <w:pPr>
        <w:spacing w:before="240" w:after="240" w:line="360" w:lineRule="auto"/>
        <w:jc w:val="both"/>
        <w:rPr>
          <w:rFonts w:ascii="Palatino Linotype" w:eastAsia="Palatino Linotype" w:hAnsi="Palatino Linotype" w:cs="Palatino Linotype"/>
        </w:rPr>
      </w:pPr>
      <w:r w:rsidRPr="00560B11">
        <w:rPr>
          <w:rFonts w:ascii="Palatino Linotype" w:eastAsia="Palatino Linotype" w:hAnsi="Palatino Linotype" w:cs="Palatino Linotype"/>
          <w:b/>
        </w:rPr>
        <w:t>Modalidad de Entrega:</w:t>
      </w:r>
      <w:r w:rsidRPr="00560B11">
        <w:rPr>
          <w:rFonts w:ascii="Palatino Linotype" w:eastAsia="Palatino Linotype" w:hAnsi="Palatino Linotype" w:cs="Palatino Linotype"/>
        </w:rPr>
        <w:t xml:space="preserve"> A través de SAIMEX.</w:t>
      </w:r>
    </w:p>
    <w:p w14:paraId="4D5AB80F" w14:textId="77777777" w:rsidR="00881541" w:rsidRPr="00560B11" w:rsidRDefault="00732F21">
      <w:pPr>
        <w:spacing w:before="240" w:after="240" w:line="360" w:lineRule="auto"/>
        <w:jc w:val="both"/>
        <w:rPr>
          <w:rFonts w:ascii="Palatino Linotype" w:eastAsia="Palatino Linotype" w:hAnsi="Palatino Linotype" w:cs="Palatino Linotype"/>
          <w:b/>
        </w:rPr>
      </w:pPr>
      <w:r w:rsidRPr="00560B11">
        <w:rPr>
          <w:rFonts w:ascii="Palatino Linotype" w:eastAsia="Palatino Linotype" w:hAnsi="Palatino Linotype" w:cs="Palatino Linotype"/>
          <w:b/>
        </w:rPr>
        <w:lastRenderedPageBreak/>
        <w:t xml:space="preserve">2. Respuesta. </w:t>
      </w:r>
      <w:r w:rsidRPr="00560B11">
        <w:rPr>
          <w:rFonts w:ascii="Palatino Linotype" w:eastAsia="Palatino Linotype" w:hAnsi="Palatino Linotype" w:cs="Palatino Linotype"/>
        </w:rPr>
        <w:t xml:space="preserve">Con fecha </w:t>
      </w:r>
      <w:r w:rsidR="004B0B7E" w:rsidRPr="00560B11">
        <w:rPr>
          <w:rFonts w:ascii="Palatino Linotype" w:eastAsia="Palatino Linotype" w:hAnsi="Palatino Linotype" w:cs="Palatino Linotype"/>
          <w:b/>
        </w:rPr>
        <w:t xml:space="preserve">tres de julio </w:t>
      </w:r>
      <w:r w:rsidRPr="00560B11">
        <w:rPr>
          <w:rFonts w:ascii="Palatino Linotype" w:eastAsia="Palatino Linotype" w:hAnsi="Palatino Linotype" w:cs="Palatino Linotype"/>
          <w:b/>
        </w:rPr>
        <w:t>de dos mil veintitrés</w:t>
      </w:r>
      <w:r w:rsidRPr="00560B11">
        <w:rPr>
          <w:rFonts w:ascii="Palatino Linotype" w:eastAsia="Palatino Linotype" w:hAnsi="Palatino Linotype" w:cs="Palatino Linotype"/>
        </w:rPr>
        <w:t xml:space="preserve">, el </w:t>
      </w:r>
      <w:r w:rsidRPr="00560B11">
        <w:rPr>
          <w:rFonts w:ascii="Palatino Linotype" w:eastAsia="Palatino Linotype" w:hAnsi="Palatino Linotype" w:cs="Palatino Linotype"/>
          <w:b/>
        </w:rPr>
        <w:t xml:space="preserve">Sujeto Obligado </w:t>
      </w:r>
      <w:r w:rsidRPr="00560B11">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2C53FA35" w14:textId="77777777" w:rsidR="00881541" w:rsidRPr="00560B11" w:rsidRDefault="00732F21">
      <w:pPr>
        <w:spacing w:before="240" w:after="240"/>
        <w:ind w:left="851" w:right="902"/>
        <w:jc w:val="both"/>
        <w:rPr>
          <w:rFonts w:ascii="Palatino Linotype" w:eastAsia="Palatino Linotype" w:hAnsi="Palatino Linotype" w:cs="Palatino Linotype"/>
          <w:i/>
          <w:sz w:val="22"/>
          <w:szCs w:val="22"/>
        </w:rPr>
      </w:pPr>
      <w:r w:rsidRPr="00560B11">
        <w:rPr>
          <w:rFonts w:ascii="Palatino Linotype" w:eastAsia="Palatino Linotype" w:hAnsi="Palatino Linotype" w:cs="Palatino Linotype"/>
          <w:i/>
          <w:sz w:val="22"/>
          <w:szCs w:val="22"/>
        </w:rPr>
        <w:t>“…</w:t>
      </w:r>
      <w:r w:rsidR="004B0B7E" w:rsidRPr="00560B11">
        <w:rPr>
          <w:rFonts w:ascii="Palatino Linotype" w:eastAsia="Palatino Linotype" w:hAnsi="Palatino Linotype" w:cs="Palatino Linotype"/>
          <w:i/>
          <w:sz w:val="22"/>
          <w:szCs w:val="22"/>
        </w:rPr>
        <w:t>enviando un cordial saludo me permito brindar la información requerida en la solicitud con folio 00237/CUAUTIT/IP/2023.</w:t>
      </w:r>
      <w:r w:rsidRPr="00560B11">
        <w:rPr>
          <w:rFonts w:ascii="Palatino Linotype" w:eastAsia="Palatino Linotype" w:hAnsi="Palatino Linotype" w:cs="Palatino Linotype"/>
          <w:i/>
          <w:sz w:val="22"/>
          <w:szCs w:val="22"/>
        </w:rPr>
        <w:t>...” (sic)</w:t>
      </w:r>
    </w:p>
    <w:p w14:paraId="2CB2862B" w14:textId="77777777" w:rsidR="00881541" w:rsidRPr="00560B11" w:rsidRDefault="00732F21">
      <w:pPr>
        <w:spacing w:before="240" w:after="240" w:line="360" w:lineRule="auto"/>
        <w:ind w:right="49"/>
        <w:jc w:val="both"/>
        <w:rPr>
          <w:rFonts w:ascii="Palatino Linotype" w:eastAsia="Palatino Linotype" w:hAnsi="Palatino Linotype" w:cs="Palatino Linotype"/>
        </w:rPr>
      </w:pPr>
      <w:bookmarkStart w:id="3" w:name="_heading=h.26in1rg" w:colFirst="0" w:colLast="0"/>
      <w:bookmarkEnd w:id="3"/>
      <w:r w:rsidRPr="00560B11">
        <w:rPr>
          <w:rFonts w:ascii="Palatino Linotype" w:eastAsia="Palatino Linotype" w:hAnsi="Palatino Linotype" w:cs="Palatino Linotype"/>
        </w:rPr>
        <w:t xml:space="preserve">El </w:t>
      </w:r>
      <w:r w:rsidRPr="00560B11">
        <w:rPr>
          <w:rFonts w:ascii="Palatino Linotype" w:eastAsia="Palatino Linotype" w:hAnsi="Palatino Linotype" w:cs="Palatino Linotype"/>
          <w:b/>
        </w:rPr>
        <w:t>Sujeto Obligado</w:t>
      </w:r>
      <w:r w:rsidRPr="00560B11">
        <w:rPr>
          <w:rFonts w:ascii="Palatino Linotype" w:eastAsia="Palatino Linotype" w:hAnsi="Palatino Linotype" w:cs="Palatino Linotype"/>
        </w:rPr>
        <w:t xml:space="preserve"> adjuntó lo siguiente: </w:t>
      </w:r>
    </w:p>
    <w:p w14:paraId="57D1DAF7" w14:textId="77777777" w:rsidR="004B0B7E" w:rsidRPr="00560B11" w:rsidRDefault="00732F21">
      <w:pPr>
        <w:spacing w:before="240" w:after="240" w:line="360" w:lineRule="auto"/>
        <w:ind w:right="49"/>
        <w:jc w:val="both"/>
        <w:rPr>
          <w:rFonts w:ascii="Palatino Linotype" w:eastAsia="Palatino Linotype" w:hAnsi="Palatino Linotype" w:cs="Palatino Linotype"/>
        </w:rPr>
      </w:pPr>
      <w:r w:rsidRPr="00560B11">
        <w:rPr>
          <w:rFonts w:ascii="Palatino Linotype" w:eastAsia="Palatino Linotype" w:hAnsi="Palatino Linotype" w:cs="Palatino Linotype"/>
        </w:rPr>
        <w:t xml:space="preserve">- Oficio número </w:t>
      </w:r>
      <w:r w:rsidR="004B0B7E" w:rsidRPr="00560B11">
        <w:rPr>
          <w:rFonts w:ascii="Palatino Linotype" w:eastAsia="Palatino Linotype" w:hAnsi="Palatino Linotype" w:cs="Palatino Linotype"/>
        </w:rPr>
        <w:t>UT/00514/2023</w:t>
      </w:r>
      <w:r w:rsidRPr="00560B11">
        <w:rPr>
          <w:rFonts w:ascii="Palatino Linotype" w:eastAsia="Palatino Linotype" w:hAnsi="Palatino Linotype" w:cs="Palatino Linotype"/>
        </w:rPr>
        <w:t xml:space="preserve">, de fecha </w:t>
      </w:r>
      <w:r w:rsidR="004B0B7E" w:rsidRPr="00560B11">
        <w:rPr>
          <w:rFonts w:ascii="Palatino Linotype" w:eastAsia="Palatino Linotype" w:hAnsi="Palatino Linotype" w:cs="Palatino Linotype"/>
        </w:rPr>
        <w:t>trece de junio d</w:t>
      </w:r>
      <w:r w:rsidRPr="00560B11">
        <w:rPr>
          <w:rFonts w:ascii="Palatino Linotype" w:eastAsia="Palatino Linotype" w:hAnsi="Palatino Linotype" w:cs="Palatino Linotype"/>
        </w:rPr>
        <w:t xml:space="preserve">e dos mil veintitrés, signado por la </w:t>
      </w:r>
      <w:r w:rsidR="004B0B7E" w:rsidRPr="00560B11">
        <w:rPr>
          <w:rFonts w:ascii="Palatino Linotype" w:eastAsia="Palatino Linotype" w:hAnsi="Palatino Linotype" w:cs="Palatino Linotype"/>
        </w:rPr>
        <w:t>Titular de la Unidad de Transparencia</w:t>
      </w:r>
      <w:r w:rsidRPr="00560B11">
        <w:rPr>
          <w:rFonts w:ascii="Palatino Linotype" w:eastAsia="Palatino Linotype" w:hAnsi="Palatino Linotype" w:cs="Palatino Linotype"/>
        </w:rPr>
        <w:t xml:space="preserve">, mediante el cual </w:t>
      </w:r>
      <w:r w:rsidR="004B0B7E" w:rsidRPr="00560B11">
        <w:rPr>
          <w:rFonts w:ascii="Palatino Linotype" w:eastAsia="Palatino Linotype" w:hAnsi="Palatino Linotype" w:cs="Palatino Linotype"/>
        </w:rPr>
        <w:t xml:space="preserve">solicita al Director de Gobierno girar sus instrucciones a quien sea necesario, a efecto de que remita </w:t>
      </w:r>
      <w:r w:rsidR="00F47A13" w:rsidRPr="00560B11">
        <w:rPr>
          <w:rFonts w:ascii="Palatino Linotype" w:eastAsia="Palatino Linotype" w:hAnsi="Palatino Linotype" w:cs="Palatino Linotype"/>
        </w:rPr>
        <w:t>la información requerida en la solicitud 00237/CUAUTIT/IP/2023.</w:t>
      </w:r>
    </w:p>
    <w:p w14:paraId="28CA0A2D" w14:textId="0A53C744" w:rsidR="00F47A13" w:rsidRPr="00560B11" w:rsidRDefault="00F47A13">
      <w:pPr>
        <w:spacing w:before="240" w:after="240" w:line="360" w:lineRule="auto"/>
        <w:ind w:right="49"/>
        <w:jc w:val="both"/>
        <w:rPr>
          <w:rFonts w:ascii="Palatino Linotype" w:eastAsia="Palatino Linotype" w:hAnsi="Palatino Linotype" w:cs="Palatino Linotype"/>
        </w:rPr>
      </w:pPr>
      <w:r w:rsidRPr="00560B11">
        <w:rPr>
          <w:rFonts w:ascii="Palatino Linotype" w:eastAsia="Palatino Linotype" w:hAnsi="Palatino Linotype" w:cs="Palatino Linotype"/>
        </w:rPr>
        <w:t>- Oficio GOB/130/2023 de fecha cinco de junio de dos mil veintitr</w:t>
      </w:r>
      <w:r w:rsidR="004413F7" w:rsidRPr="00560B11">
        <w:rPr>
          <w:rFonts w:ascii="Palatino Linotype" w:eastAsia="Palatino Linotype" w:hAnsi="Palatino Linotype" w:cs="Palatino Linotype"/>
        </w:rPr>
        <w:t>és, signado por el Director de Gobierno, mediante el cual</w:t>
      </w:r>
      <w:r w:rsidR="00717517" w:rsidRPr="00560B11">
        <w:rPr>
          <w:rFonts w:ascii="Palatino Linotype" w:eastAsia="Palatino Linotype" w:hAnsi="Palatino Linotype" w:cs="Palatino Linotype"/>
        </w:rPr>
        <w:t xml:space="preserve"> </w:t>
      </w:r>
      <w:r w:rsidR="004413F7" w:rsidRPr="00560B11">
        <w:rPr>
          <w:rFonts w:ascii="Palatino Linotype" w:eastAsia="Palatino Linotype" w:hAnsi="Palatino Linotype" w:cs="Palatino Linotype"/>
        </w:rPr>
        <w:t xml:space="preserve">en atención a la solicitud, refiere que </w:t>
      </w:r>
      <w:r w:rsidR="00510D52" w:rsidRPr="00560B11">
        <w:rPr>
          <w:rFonts w:ascii="Palatino Linotype" w:eastAsia="Palatino Linotype" w:hAnsi="Palatino Linotype" w:cs="Palatino Linotype"/>
        </w:rPr>
        <w:t>en años anteriores se incrementaron los índices delictivos en las comunidades colindantes</w:t>
      </w:r>
      <w:r w:rsidR="000F569F" w:rsidRPr="00560B11">
        <w:rPr>
          <w:rFonts w:ascii="Palatino Linotype" w:eastAsia="Palatino Linotype" w:hAnsi="Palatino Linotype" w:cs="Palatino Linotype"/>
        </w:rPr>
        <w:t xml:space="preserve"> </w:t>
      </w:r>
      <w:r w:rsidR="00510D52" w:rsidRPr="00560B11">
        <w:rPr>
          <w:rFonts w:ascii="Palatino Linotype" w:eastAsia="Palatino Linotype" w:hAnsi="Palatino Linotype" w:cs="Palatino Linotype"/>
        </w:rPr>
        <w:t xml:space="preserve">con la referida Vialidad Cola de Caballo, siendo estas Fraccionamiento Rancho Santa Elena, </w:t>
      </w:r>
      <w:r w:rsidR="00E73E1B" w:rsidRPr="00560B11">
        <w:rPr>
          <w:rFonts w:ascii="Palatino Linotype" w:eastAsia="Palatino Linotype" w:hAnsi="Palatino Linotype" w:cs="Palatino Linotype"/>
        </w:rPr>
        <w:t>Rancho San Blas, Conjunto Urbano Ángel de Luz y Ejidos de San Mateo y sus Fracciones; derivado de ello, los vecinos de estas, solicitaron a la administración anterior el cierre de la vialidad antes citada, a fin de salvaguardar su seguridad; señalando que lo dicho es de su conocimiento por menciones de los vecinos, toda vez que no existe documentación alguna que acredite lo antes manifestado; sin embargo, en constantes reuniones con vecinos de estas comunidades, y buscando que prevalezca el bienestar social, los residentes continúan afirmando la solicitud verbal de que la vialidad mencionada continúe cerrada de forma definitiva en defensa de su seguridad.</w:t>
      </w:r>
    </w:p>
    <w:p w14:paraId="69F52F05" w14:textId="12733352" w:rsidR="00740373" w:rsidRPr="00560B11" w:rsidRDefault="00740373">
      <w:pPr>
        <w:spacing w:before="240" w:after="240" w:line="360" w:lineRule="auto"/>
        <w:ind w:right="49"/>
        <w:jc w:val="both"/>
        <w:rPr>
          <w:rFonts w:ascii="Palatino Linotype" w:eastAsia="Palatino Linotype" w:hAnsi="Palatino Linotype" w:cs="Palatino Linotype"/>
        </w:rPr>
      </w:pPr>
      <w:r w:rsidRPr="00560B11">
        <w:rPr>
          <w:rFonts w:ascii="Palatino Linotype" w:eastAsia="Palatino Linotype" w:hAnsi="Palatino Linotype" w:cs="Palatino Linotype"/>
        </w:rPr>
        <w:lastRenderedPageBreak/>
        <w:t>- Diez fotografías de las reuniones sostenidas con los residentes</w:t>
      </w:r>
      <w:r w:rsidR="000F569F" w:rsidRPr="00560B11">
        <w:rPr>
          <w:rFonts w:ascii="Palatino Linotype" w:eastAsia="Palatino Linotype" w:hAnsi="Palatino Linotype" w:cs="Palatino Linotype"/>
        </w:rPr>
        <w:t xml:space="preserve"> de las comunidad</w:t>
      </w:r>
      <w:r w:rsidR="004E7D55" w:rsidRPr="00560B11">
        <w:rPr>
          <w:rFonts w:ascii="Palatino Linotype" w:eastAsia="Palatino Linotype" w:hAnsi="Palatino Linotype" w:cs="Palatino Linotype"/>
        </w:rPr>
        <w:t>e</w:t>
      </w:r>
      <w:r w:rsidR="000F569F" w:rsidRPr="00560B11">
        <w:rPr>
          <w:rFonts w:ascii="Palatino Linotype" w:eastAsia="Palatino Linotype" w:hAnsi="Palatino Linotype" w:cs="Palatino Linotype"/>
        </w:rPr>
        <w:t>s colindantes con la Vialidad Cola de Caballo</w:t>
      </w:r>
      <w:r w:rsidRPr="00560B11">
        <w:rPr>
          <w:rFonts w:ascii="Palatino Linotype" w:eastAsia="Palatino Linotype" w:hAnsi="Palatino Linotype" w:cs="Palatino Linotype"/>
        </w:rPr>
        <w:t>.</w:t>
      </w:r>
    </w:p>
    <w:p w14:paraId="7E19C860" w14:textId="77777777" w:rsidR="00881541" w:rsidRPr="00560B11" w:rsidRDefault="00732F21">
      <w:pPr>
        <w:spacing w:before="240" w:after="240" w:line="360" w:lineRule="auto"/>
        <w:ind w:right="49"/>
        <w:jc w:val="both"/>
        <w:rPr>
          <w:rFonts w:ascii="Palatino Linotype" w:eastAsia="Palatino Linotype" w:hAnsi="Palatino Linotype" w:cs="Palatino Linotype"/>
        </w:rPr>
      </w:pPr>
      <w:r w:rsidRPr="00560B11">
        <w:rPr>
          <w:rFonts w:ascii="Palatino Linotype" w:eastAsia="Palatino Linotype" w:hAnsi="Palatino Linotype" w:cs="Palatino Linotype"/>
          <w:b/>
        </w:rPr>
        <w:t xml:space="preserve">3. Interposición del recurso de revisión. </w:t>
      </w:r>
      <w:r w:rsidRPr="00560B11">
        <w:rPr>
          <w:rFonts w:ascii="Palatino Linotype" w:eastAsia="Palatino Linotype" w:hAnsi="Palatino Linotype" w:cs="Palatino Linotype"/>
        </w:rPr>
        <w:t xml:space="preserve">Inconforme con los términos de la respuesta emitida por parte del </w:t>
      </w:r>
      <w:r w:rsidRPr="00560B11">
        <w:rPr>
          <w:rFonts w:ascii="Palatino Linotype" w:eastAsia="Palatino Linotype" w:hAnsi="Palatino Linotype" w:cs="Palatino Linotype"/>
          <w:b/>
        </w:rPr>
        <w:t>Sujeto Obligado</w:t>
      </w:r>
      <w:r w:rsidRPr="00560B11">
        <w:rPr>
          <w:rFonts w:ascii="Palatino Linotype" w:eastAsia="Palatino Linotype" w:hAnsi="Palatino Linotype" w:cs="Palatino Linotype"/>
        </w:rPr>
        <w:t xml:space="preserve">, el </w:t>
      </w:r>
      <w:r w:rsidR="00E16789" w:rsidRPr="00560B11">
        <w:rPr>
          <w:rFonts w:ascii="Palatino Linotype" w:eastAsia="Palatino Linotype" w:hAnsi="Palatino Linotype" w:cs="Palatino Linotype"/>
          <w:b/>
        </w:rPr>
        <w:t>seis de julio</w:t>
      </w:r>
      <w:r w:rsidRPr="00560B11">
        <w:rPr>
          <w:rFonts w:ascii="Palatino Linotype" w:eastAsia="Palatino Linotype" w:hAnsi="Palatino Linotype" w:cs="Palatino Linotype"/>
          <w:b/>
        </w:rPr>
        <w:t xml:space="preserve"> de dos mil veintitrés,</w:t>
      </w:r>
      <w:r w:rsidRPr="00560B11">
        <w:rPr>
          <w:rFonts w:ascii="Palatino Linotype" w:eastAsia="Palatino Linotype" w:hAnsi="Palatino Linotype" w:cs="Palatino Linotype"/>
        </w:rPr>
        <w:t xml:space="preserve"> la parte </w:t>
      </w:r>
      <w:r w:rsidRPr="00560B11">
        <w:rPr>
          <w:rFonts w:ascii="Palatino Linotype" w:eastAsia="Palatino Linotype" w:hAnsi="Palatino Linotype" w:cs="Palatino Linotype"/>
          <w:b/>
        </w:rPr>
        <w:t>Recurrente</w:t>
      </w:r>
      <w:r w:rsidRPr="00560B11">
        <w:rPr>
          <w:rFonts w:ascii="Palatino Linotype" w:eastAsia="Palatino Linotype" w:hAnsi="Palatino Linotype" w:cs="Palatino Linotype"/>
        </w:rPr>
        <w:t xml:space="preserve"> interpuso el recurso de revisión a través de </w:t>
      </w:r>
      <w:r w:rsidRPr="00560B11">
        <w:rPr>
          <w:rFonts w:ascii="Palatino Linotype" w:eastAsia="Palatino Linotype" w:hAnsi="Palatino Linotype" w:cs="Palatino Linotype"/>
          <w:b/>
        </w:rPr>
        <w:t xml:space="preserve">SAIMEX, </w:t>
      </w:r>
      <w:r w:rsidRPr="00560B11">
        <w:rPr>
          <w:rFonts w:ascii="Palatino Linotype" w:eastAsia="Palatino Linotype" w:hAnsi="Palatino Linotype" w:cs="Palatino Linotype"/>
        </w:rPr>
        <w:t>en donde se manifestó de la siguiente manera:</w:t>
      </w:r>
    </w:p>
    <w:p w14:paraId="3E290ADA" w14:textId="77777777" w:rsidR="00881541" w:rsidRPr="00560B11" w:rsidRDefault="00732F21">
      <w:pPr>
        <w:tabs>
          <w:tab w:val="left" w:pos="2745"/>
        </w:tabs>
        <w:spacing w:before="240" w:after="240" w:line="360" w:lineRule="auto"/>
        <w:jc w:val="both"/>
        <w:rPr>
          <w:rFonts w:ascii="Palatino Linotype" w:eastAsia="Palatino Linotype" w:hAnsi="Palatino Linotype" w:cs="Palatino Linotype"/>
          <w:b/>
        </w:rPr>
      </w:pPr>
      <w:r w:rsidRPr="00560B11">
        <w:rPr>
          <w:rFonts w:ascii="Palatino Linotype" w:eastAsia="Palatino Linotype" w:hAnsi="Palatino Linotype" w:cs="Palatino Linotype"/>
          <w:b/>
        </w:rPr>
        <w:t xml:space="preserve">Acto impugnado: </w:t>
      </w:r>
    </w:p>
    <w:p w14:paraId="47923053" w14:textId="77777777" w:rsidR="00881541" w:rsidRPr="00560B11" w:rsidRDefault="00732F21">
      <w:pPr>
        <w:tabs>
          <w:tab w:val="left" w:pos="2745"/>
        </w:tabs>
        <w:spacing w:before="120" w:after="120"/>
        <w:ind w:left="851" w:right="900"/>
        <w:jc w:val="both"/>
        <w:rPr>
          <w:rFonts w:ascii="Palatino Linotype" w:eastAsia="Palatino Linotype" w:hAnsi="Palatino Linotype" w:cs="Palatino Linotype"/>
          <w:i/>
          <w:sz w:val="22"/>
          <w:szCs w:val="22"/>
        </w:rPr>
      </w:pPr>
      <w:r w:rsidRPr="00560B11">
        <w:rPr>
          <w:rFonts w:ascii="Palatino Linotype" w:eastAsia="Palatino Linotype" w:hAnsi="Palatino Linotype" w:cs="Palatino Linotype"/>
          <w:i/>
          <w:sz w:val="22"/>
          <w:szCs w:val="22"/>
        </w:rPr>
        <w:t>“</w:t>
      </w:r>
      <w:r w:rsidR="00E16789" w:rsidRPr="00560B11">
        <w:rPr>
          <w:rFonts w:ascii="Palatino Linotype" w:eastAsia="Palatino Linotype" w:hAnsi="Palatino Linotype" w:cs="Palatino Linotype"/>
          <w:i/>
          <w:sz w:val="22"/>
          <w:szCs w:val="22"/>
        </w:rPr>
        <w:t>Falta sustento legal para ejecutar dicho acto</w:t>
      </w:r>
      <w:r w:rsidRPr="00560B11">
        <w:rPr>
          <w:rFonts w:ascii="Palatino Linotype" w:eastAsia="Palatino Linotype" w:hAnsi="Palatino Linotype" w:cs="Palatino Linotype"/>
          <w:i/>
          <w:sz w:val="22"/>
          <w:szCs w:val="22"/>
        </w:rPr>
        <w:t>” (sic)</w:t>
      </w:r>
    </w:p>
    <w:p w14:paraId="4E54C5E8" w14:textId="77777777" w:rsidR="00881541" w:rsidRPr="00560B11" w:rsidRDefault="00732F21">
      <w:pPr>
        <w:spacing w:line="360" w:lineRule="auto"/>
        <w:jc w:val="both"/>
        <w:rPr>
          <w:rFonts w:ascii="Palatino Linotype" w:eastAsia="Palatino Linotype" w:hAnsi="Palatino Linotype" w:cs="Palatino Linotype"/>
        </w:rPr>
      </w:pPr>
      <w:r w:rsidRPr="00560B11">
        <w:rPr>
          <w:rFonts w:ascii="Palatino Linotype" w:eastAsia="Palatino Linotype" w:hAnsi="Palatino Linotype" w:cs="Palatino Linotype"/>
          <w:b/>
        </w:rPr>
        <w:t>Y Razones o motivos de inconformidad</w:t>
      </w:r>
      <w:r w:rsidRPr="00560B11">
        <w:rPr>
          <w:rFonts w:ascii="Palatino Linotype" w:eastAsia="Palatino Linotype" w:hAnsi="Palatino Linotype" w:cs="Palatino Linotype"/>
        </w:rPr>
        <w:t>:</w:t>
      </w:r>
    </w:p>
    <w:p w14:paraId="25392262" w14:textId="77777777" w:rsidR="00881541" w:rsidRPr="00560B11" w:rsidRDefault="00732F21">
      <w:pPr>
        <w:ind w:left="851" w:right="902"/>
        <w:jc w:val="both"/>
        <w:rPr>
          <w:rFonts w:ascii="Palatino Linotype" w:eastAsia="Palatino Linotype" w:hAnsi="Palatino Linotype" w:cs="Palatino Linotype"/>
          <w:i/>
          <w:sz w:val="22"/>
          <w:szCs w:val="22"/>
        </w:rPr>
      </w:pPr>
      <w:bookmarkStart w:id="4" w:name="_heading=h.30j0zll" w:colFirst="0" w:colLast="0"/>
      <w:bookmarkEnd w:id="4"/>
      <w:r w:rsidRPr="00560B11">
        <w:rPr>
          <w:rFonts w:ascii="Palatino Linotype" w:eastAsia="Palatino Linotype" w:hAnsi="Palatino Linotype" w:cs="Palatino Linotype"/>
          <w:i/>
          <w:sz w:val="22"/>
          <w:szCs w:val="22"/>
        </w:rPr>
        <w:t xml:space="preserve"> “</w:t>
      </w:r>
      <w:bookmarkStart w:id="5" w:name="_Hlk152191302"/>
      <w:r w:rsidR="00E16789" w:rsidRPr="00560B11">
        <w:rPr>
          <w:rFonts w:ascii="Palatino Linotype" w:eastAsia="Palatino Linotype" w:hAnsi="Palatino Linotype" w:cs="Palatino Linotype"/>
          <w:i/>
          <w:sz w:val="22"/>
          <w:szCs w:val="22"/>
        </w:rPr>
        <w:t xml:space="preserve">Agradezco su amable respuesta, Sin embargo me parece absurdo que el Ayuntamiento NO haya notificado de manera formal y oficial el cierre arbitrario de esta vialidad, que vulnera Mi Derecho al Libre Tránsito por el territorio nacional, como lo marca la Constitución Política de los Estados Unidos Mexicanos. Revisando el Bando de </w:t>
      </w:r>
      <w:proofErr w:type="spellStart"/>
      <w:r w:rsidR="00E16789" w:rsidRPr="00560B11">
        <w:rPr>
          <w:rFonts w:ascii="Palatino Linotype" w:eastAsia="Palatino Linotype" w:hAnsi="Palatino Linotype" w:cs="Palatino Linotype"/>
          <w:i/>
          <w:sz w:val="22"/>
          <w:szCs w:val="22"/>
        </w:rPr>
        <w:t>Policia</w:t>
      </w:r>
      <w:proofErr w:type="spellEnd"/>
      <w:r w:rsidR="00E16789" w:rsidRPr="00560B11">
        <w:rPr>
          <w:rFonts w:ascii="Palatino Linotype" w:eastAsia="Palatino Linotype" w:hAnsi="Palatino Linotype" w:cs="Palatino Linotype"/>
          <w:i/>
          <w:sz w:val="22"/>
          <w:szCs w:val="22"/>
        </w:rPr>
        <w:t xml:space="preserve"> y Gobierno Municipal, no </w:t>
      </w:r>
      <w:proofErr w:type="spellStart"/>
      <w:r w:rsidR="00E16789" w:rsidRPr="00560B11">
        <w:rPr>
          <w:rFonts w:ascii="Palatino Linotype" w:eastAsia="Palatino Linotype" w:hAnsi="Palatino Linotype" w:cs="Palatino Linotype"/>
          <w:i/>
          <w:sz w:val="22"/>
          <w:szCs w:val="22"/>
        </w:rPr>
        <w:t>encontre</w:t>
      </w:r>
      <w:proofErr w:type="spellEnd"/>
      <w:r w:rsidR="00E16789" w:rsidRPr="00560B11">
        <w:rPr>
          <w:rFonts w:ascii="Palatino Linotype" w:eastAsia="Palatino Linotype" w:hAnsi="Palatino Linotype" w:cs="Palatino Linotype"/>
          <w:i/>
          <w:sz w:val="22"/>
          <w:szCs w:val="22"/>
        </w:rPr>
        <w:t xml:space="preserve"> donde se determine la atribución para el cierre de vialidades, y menos, donde solo "un grupo de vecinos del lugar" </w:t>
      </w:r>
      <w:proofErr w:type="spellStart"/>
      <w:r w:rsidR="00E16789" w:rsidRPr="00560B11">
        <w:rPr>
          <w:rFonts w:ascii="Palatino Linotype" w:eastAsia="Palatino Linotype" w:hAnsi="Palatino Linotype" w:cs="Palatino Linotype"/>
          <w:i/>
          <w:sz w:val="22"/>
          <w:szCs w:val="22"/>
        </w:rPr>
        <w:t>prohiban</w:t>
      </w:r>
      <w:proofErr w:type="spellEnd"/>
      <w:r w:rsidR="00E16789" w:rsidRPr="00560B11">
        <w:rPr>
          <w:rFonts w:ascii="Palatino Linotype" w:eastAsia="Palatino Linotype" w:hAnsi="Palatino Linotype" w:cs="Palatino Linotype"/>
          <w:i/>
          <w:sz w:val="22"/>
          <w:szCs w:val="22"/>
        </w:rPr>
        <w:t xml:space="preserve"> el acceso a las vialidades de la entidad. Dicho paso no solo afecta a los habitantes del municipio sino a varios habitantes de municipios aledaños, que afectan en los trayectos y traslados por el territorio. Solicito, como habitante del municipio evitar actos arbitrarios de la y se busquen soluciones </w:t>
      </w:r>
      <w:proofErr w:type="spellStart"/>
      <w:r w:rsidR="00E16789" w:rsidRPr="00560B11">
        <w:rPr>
          <w:rFonts w:ascii="Palatino Linotype" w:eastAsia="Palatino Linotype" w:hAnsi="Palatino Linotype" w:cs="Palatino Linotype"/>
          <w:i/>
          <w:sz w:val="22"/>
          <w:szCs w:val="22"/>
        </w:rPr>
        <w:t>mas</w:t>
      </w:r>
      <w:proofErr w:type="spellEnd"/>
      <w:r w:rsidR="00E16789" w:rsidRPr="00560B11">
        <w:rPr>
          <w:rFonts w:ascii="Palatino Linotype" w:eastAsia="Palatino Linotype" w:hAnsi="Palatino Linotype" w:cs="Palatino Linotype"/>
          <w:i/>
          <w:sz w:val="22"/>
          <w:szCs w:val="22"/>
        </w:rPr>
        <w:t xml:space="preserve"> concretas al tema de seguridad </w:t>
      </w:r>
      <w:proofErr w:type="spellStart"/>
      <w:r w:rsidR="00E16789" w:rsidRPr="00560B11">
        <w:rPr>
          <w:rFonts w:ascii="Palatino Linotype" w:eastAsia="Palatino Linotype" w:hAnsi="Palatino Linotype" w:cs="Palatino Linotype"/>
          <w:i/>
          <w:sz w:val="22"/>
          <w:szCs w:val="22"/>
        </w:rPr>
        <w:t>publica</w:t>
      </w:r>
      <w:proofErr w:type="spellEnd"/>
      <w:r w:rsidR="00E16789" w:rsidRPr="00560B11">
        <w:rPr>
          <w:rFonts w:ascii="Palatino Linotype" w:eastAsia="Palatino Linotype" w:hAnsi="Palatino Linotype" w:cs="Palatino Linotype"/>
          <w:i/>
          <w:sz w:val="22"/>
          <w:szCs w:val="22"/>
        </w:rPr>
        <w:t xml:space="preserve">, ya que si en todo caso hay inseguridad, deberíamos encerrar todas vialidades para que nadie </w:t>
      </w:r>
      <w:proofErr w:type="spellStart"/>
      <w:r w:rsidR="00E16789" w:rsidRPr="00560B11">
        <w:rPr>
          <w:rFonts w:ascii="Palatino Linotype" w:eastAsia="Palatino Linotype" w:hAnsi="Palatino Linotype" w:cs="Palatino Linotype"/>
          <w:i/>
          <w:sz w:val="22"/>
          <w:szCs w:val="22"/>
        </w:rPr>
        <w:t>mas</w:t>
      </w:r>
      <w:proofErr w:type="spellEnd"/>
      <w:r w:rsidR="00E16789" w:rsidRPr="00560B11">
        <w:rPr>
          <w:rFonts w:ascii="Palatino Linotype" w:eastAsia="Palatino Linotype" w:hAnsi="Palatino Linotype" w:cs="Palatino Linotype"/>
          <w:i/>
          <w:sz w:val="22"/>
          <w:szCs w:val="22"/>
        </w:rPr>
        <w:t xml:space="preserve"> transite y pueda cometer delitos en ciertas áreas del municipio. Espero </w:t>
      </w:r>
      <w:proofErr w:type="spellStart"/>
      <w:r w:rsidR="00E16789" w:rsidRPr="00560B11">
        <w:rPr>
          <w:rFonts w:ascii="Palatino Linotype" w:eastAsia="Palatino Linotype" w:hAnsi="Palatino Linotype" w:cs="Palatino Linotype"/>
          <w:i/>
          <w:sz w:val="22"/>
          <w:szCs w:val="22"/>
        </w:rPr>
        <w:t>tambien</w:t>
      </w:r>
      <w:proofErr w:type="spellEnd"/>
      <w:r w:rsidR="00E16789" w:rsidRPr="00560B11">
        <w:rPr>
          <w:rFonts w:ascii="Palatino Linotype" w:eastAsia="Palatino Linotype" w:hAnsi="Palatino Linotype" w:cs="Palatino Linotype"/>
          <w:i/>
          <w:sz w:val="22"/>
          <w:szCs w:val="22"/>
        </w:rPr>
        <w:t>, que se haga valer el derecho de todos y no se tomen decisiones por unos cuantos</w:t>
      </w:r>
      <w:bookmarkEnd w:id="5"/>
      <w:r w:rsidR="00E16789" w:rsidRPr="00560B11">
        <w:rPr>
          <w:rFonts w:ascii="Palatino Linotype" w:eastAsia="Palatino Linotype" w:hAnsi="Palatino Linotype" w:cs="Palatino Linotype"/>
          <w:i/>
          <w:sz w:val="22"/>
          <w:szCs w:val="22"/>
        </w:rPr>
        <w:t xml:space="preserve">. </w:t>
      </w:r>
      <w:r w:rsidR="00E16789" w:rsidRPr="00560B11">
        <w:rPr>
          <w:rFonts w:ascii="Palatino Linotype" w:eastAsia="Palatino Linotype" w:hAnsi="Palatino Linotype" w:cs="Palatino Linotype"/>
          <w:b/>
          <w:i/>
          <w:sz w:val="22"/>
          <w:szCs w:val="22"/>
          <w:u w:val="single"/>
        </w:rPr>
        <w:t xml:space="preserve">La </w:t>
      </w:r>
      <w:proofErr w:type="spellStart"/>
      <w:r w:rsidR="00E16789" w:rsidRPr="00560B11">
        <w:rPr>
          <w:rFonts w:ascii="Palatino Linotype" w:eastAsia="Palatino Linotype" w:hAnsi="Palatino Linotype" w:cs="Palatino Linotype"/>
          <w:b/>
          <w:i/>
          <w:sz w:val="22"/>
          <w:szCs w:val="22"/>
          <w:u w:val="single"/>
        </w:rPr>
        <w:t>administració</w:t>
      </w:r>
      <w:proofErr w:type="spellEnd"/>
      <w:r w:rsidR="00E16789" w:rsidRPr="00560B11">
        <w:rPr>
          <w:rFonts w:ascii="Palatino Linotype" w:eastAsia="Palatino Linotype" w:hAnsi="Palatino Linotype" w:cs="Palatino Linotype"/>
          <w:b/>
          <w:i/>
          <w:sz w:val="22"/>
          <w:szCs w:val="22"/>
          <w:u w:val="single"/>
        </w:rPr>
        <w:t xml:space="preserve"> </w:t>
      </w:r>
      <w:proofErr w:type="spellStart"/>
      <w:r w:rsidR="00E16789" w:rsidRPr="00560B11">
        <w:rPr>
          <w:rFonts w:ascii="Palatino Linotype" w:eastAsia="Palatino Linotype" w:hAnsi="Palatino Linotype" w:cs="Palatino Linotype"/>
          <w:b/>
          <w:i/>
          <w:sz w:val="22"/>
          <w:szCs w:val="22"/>
          <w:u w:val="single"/>
        </w:rPr>
        <w:t>muniicipal</w:t>
      </w:r>
      <w:proofErr w:type="spellEnd"/>
      <w:r w:rsidR="00E16789" w:rsidRPr="00560B11">
        <w:rPr>
          <w:rFonts w:ascii="Palatino Linotype" w:eastAsia="Palatino Linotype" w:hAnsi="Palatino Linotype" w:cs="Palatino Linotype"/>
          <w:b/>
          <w:i/>
          <w:sz w:val="22"/>
          <w:szCs w:val="22"/>
          <w:u w:val="single"/>
        </w:rPr>
        <w:t xml:space="preserve"> </w:t>
      </w:r>
      <w:proofErr w:type="spellStart"/>
      <w:r w:rsidR="00E16789" w:rsidRPr="00560B11">
        <w:rPr>
          <w:rFonts w:ascii="Palatino Linotype" w:eastAsia="Palatino Linotype" w:hAnsi="Palatino Linotype" w:cs="Palatino Linotype"/>
          <w:b/>
          <w:i/>
          <w:sz w:val="22"/>
          <w:szCs w:val="22"/>
          <w:u w:val="single"/>
        </w:rPr>
        <w:t>deberia</w:t>
      </w:r>
      <w:proofErr w:type="spellEnd"/>
      <w:r w:rsidR="00E16789" w:rsidRPr="00560B11">
        <w:rPr>
          <w:rFonts w:ascii="Palatino Linotype" w:eastAsia="Palatino Linotype" w:hAnsi="Palatino Linotype" w:cs="Palatino Linotype"/>
          <w:b/>
          <w:i/>
          <w:sz w:val="22"/>
          <w:szCs w:val="22"/>
          <w:u w:val="single"/>
        </w:rPr>
        <w:t>, en todo caso, recabar y tener la documentación completa para ejecutar dicha instrucción</w:t>
      </w:r>
      <w:r w:rsidR="00E16789" w:rsidRPr="00560B11">
        <w:rPr>
          <w:rFonts w:ascii="Palatino Linotype" w:eastAsia="Palatino Linotype" w:hAnsi="Palatino Linotype" w:cs="Palatino Linotype"/>
          <w:i/>
          <w:sz w:val="22"/>
          <w:szCs w:val="22"/>
        </w:rPr>
        <w:t>. En todo caso que el Ayuntamiento emita la orden judicial o decreto para el cierre de la vialidad, esperemos puedan notificar de manera formal a todos los habitantes.</w:t>
      </w:r>
      <w:r w:rsidRPr="00560B11">
        <w:rPr>
          <w:rFonts w:ascii="Palatino Linotype" w:eastAsia="Palatino Linotype" w:hAnsi="Palatino Linotype" w:cs="Palatino Linotype"/>
          <w:i/>
          <w:sz w:val="22"/>
          <w:szCs w:val="22"/>
        </w:rPr>
        <w:t>” (sic)</w:t>
      </w:r>
    </w:p>
    <w:p w14:paraId="1BE8DFEC" w14:textId="27DDE13F" w:rsidR="00EF09AC" w:rsidRPr="00560B11" w:rsidRDefault="00EF09AC">
      <w:pPr>
        <w:spacing w:before="240" w:after="240" w:line="360" w:lineRule="auto"/>
        <w:ind w:right="51"/>
        <w:jc w:val="both"/>
        <w:rPr>
          <w:rFonts w:ascii="Palatino Linotype" w:eastAsia="Palatino Linotype" w:hAnsi="Palatino Linotype" w:cs="Palatino Linotype"/>
        </w:rPr>
      </w:pPr>
      <w:r w:rsidRPr="00560B11">
        <w:rPr>
          <w:rFonts w:ascii="Palatino Linotype" w:eastAsia="Palatino Linotype" w:hAnsi="Palatino Linotype" w:cs="Palatino Linotype"/>
        </w:rPr>
        <w:t xml:space="preserve">La parte </w:t>
      </w:r>
      <w:r w:rsidRPr="00560B11">
        <w:rPr>
          <w:rFonts w:ascii="Palatino Linotype" w:eastAsia="Palatino Linotype" w:hAnsi="Palatino Linotype" w:cs="Palatino Linotype"/>
          <w:b/>
        </w:rPr>
        <w:t xml:space="preserve">Recurrente </w:t>
      </w:r>
      <w:r w:rsidR="00C33CA3" w:rsidRPr="00560B11">
        <w:rPr>
          <w:rFonts w:ascii="Palatino Linotype" w:eastAsia="Palatino Linotype" w:hAnsi="Palatino Linotype" w:cs="Palatino Linotype"/>
        </w:rPr>
        <w:t>adjuntó</w:t>
      </w:r>
      <w:r w:rsidRPr="00560B11">
        <w:rPr>
          <w:rFonts w:ascii="Palatino Linotype" w:eastAsia="Palatino Linotype" w:hAnsi="Palatino Linotype" w:cs="Palatino Linotype"/>
        </w:rPr>
        <w:t xml:space="preserve"> el acuse del recurso de revisión 03943/INFOEM/IP/RR/2023, interpuesto ante la Secretaría de Movilidad del Estado de México.</w:t>
      </w:r>
    </w:p>
    <w:p w14:paraId="4FE31DCD" w14:textId="77777777" w:rsidR="00881541" w:rsidRPr="00560B11" w:rsidRDefault="00732F21">
      <w:pPr>
        <w:spacing w:before="240" w:after="240" w:line="360" w:lineRule="auto"/>
        <w:ind w:right="51"/>
        <w:jc w:val="both"/>
        <w:rPr>
          <w:rFonts w:ascii="Palatino Linotype" w:eastAsia="Palatino Linotype" w:hAnsi="Palatino Linotype" w:cs="Palatino Linotype"/>
        </w:rPr>
      </w:pPr>
      <w:r w:rsidRPr="00560B11">
        <w:rPr>
          <w:rFonts w:ascii="Palatino Linotype" w:eastAsia="Palatino Linotype" w:hAnsi="Palatino Linotype" w:cs="Palatino Linotype"/>
          <w:b/>
        </w:rPr>
        <w:lastRenderedPageBreak/>
        <w:t xml:space="preserve">4. Turno. </w:t>
      </w:r>
      <w:r w:rsidRPr="00560B11">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560B11">
        <w:rPr>
          <w:rFonts w:ascii="Palatino Linotype" w:eastAsia="Palatino Linotype" w:hAnsi="Palatino Linotype" w:cs="Palatino Linotype"/>
          <w:b/>
        </w:rPr>
        <w:t xml:space="preserve">Guadalupe Ramírez Peña, </w:t>
      </w:r>
      <w:r w:rsidRPr="00560B11">
        <w:rPr>
          <w:rFonts w:ascii="Palatino Linotype" w:eastAsia="Palatino Linotype" w:hAnsi="Palatino Linotype" w:cs="Palatino Linotype"/>
        </w:rPr>
        <w:t xml:space="preserve">a efecto de que analizara sobre su admisión o su </w:t>
      </w:r>
      <w:proofErr w:type="spellStart"/>
      <w:r w:rsidRPr="00560B11">
        <w:rPr>
          <w:rFonts w:ascii="Palatino Linotype" w:eastAsia="Palatino Linotype" w:hAnsi="Palatino Linotype" w:cs="Palatino Linotype"/>
        </w:rPr>
        <w:t>desechamiento</w:t>
      </w:r>
      <w:proofErr w:type="spellEnd"/>
      <w:r w:rsidRPr="00560B11">
        <w:rPr>
          <w:rFonts w:ascii="Palatino Linotype" w:eastAsia="Palatino Linotype" w:hAnsi="Palatino Linotype" w:cs="Palatino Linotype"/>
        </w:rPr>
        <w:t>.</w:t>
      </w:r>
    </w:p>
    <w:p w14:paraId="56FB1CBC" w14:textId="6B6DF7FF" w:rsidR="00881541" w:rsidRPr="00560B11" w:rsidRDefault="00732F21">
      <w:pPr>
        <w:spacing w:before="240" w:after="240" w:line="360" w:lineRule="auto"/>
        <w:jc w:val="both"/>
        <w:rPr>
          <w:rFonts w:ascii="Palatino Linotype" w:eastAsia="Palatino Linotype" w:hAnsi="Palatino Linotype" w:cs="Palatino Linotype"/>
        </w:rPr>
      </w:pPr>
      <w:r w:rsidRPr="00560B11">
        <w:rPr>
          <w:rFonts w:ascii="Palatino Linotype" w:eastAsia="Palatino Linotype" w:hAnsi="Palatino Linotype" w:cs="Palatino Linotype"/>
          <w:b/>
        </w:rPr>
        <w:t>5. Admisión del Recurso de revisión.</w:t>
      </w:r>
      <w:r w:rsidRPr="00560B11">
        <w:rPr>
          <w:rFonts w:ascii="Palatino Linotype" w:eastAsia="Palatino Linotype" w:hAnsi="Palatino Linotype" w:cs="Palatino Linotype"/>
        </w:rPr>
        <w:t xml:space="preserve"> Con fecha</w:t>
      </w:r>
      <w:r w:rsidRPr="00560B11">
        <w:rPr>
          <w:rFonts w:ascii="Palatino Linotype" w:eastAsia="Palatino Linotype" w:hAnsi="Palatino Linotype" w:cs="Palatino Linotype"/>
          <w:b/>
        </w:rPr>
        <w:t xml:space="preserve"> </w:t>
      </w:r>
      <w:r w:rsidR="003E1C88" w:rsidRPr="00560B11">
        <w:rPr>
          <w:rFonts w:ascii="Palatino Linotype" w:eastAsia="Palatino Linotype" w:hAnsi="Palatino Linotype" w:cs="Palatino Linotype"/>
          <w:b/>
        </w:rPr>
        <w:t>once de ju</w:t>
      </w:r>
      <w:r w:rsidR="0009155F" w:rsidRPr="00560B11">
        <w:rPr>
          <w:rFonts w:ascii="Palatino Linotype" w:eastAsia="Palatino Linotype" w:hAnsi="Palatino Linotype" w:cs="Palatino Linotype"/>
          <w:b/>
        </w:rPr>
        <w:t>l</w:t>
      </w:r>
      <w:r w:rsidR="003E1C88" w:rsidRPr="00560B11">
        <w:rPr>
          <w:rFonts w:ascii="Palatino Linotype" w:eastAsia="Palatino Linotype" w:hAnsi="Palatino Linotype" w:cs="Palatino Linotype"/>
          <w:b/>
        </w:rPr>
        <w:t xml:space="preserve">io </w:t>
      </w:r>
      <w:r w:rsidRPr="00560B11">
        <w:rPr>
          <w:rFonts w:ascii="Palatino Linotype" w:eastAsia="Palatino Linotype" w:hAnsi="Palatino Linotype" w:cs="Palatino Linotype"/>
          <w:b/>
        </w:rPr>
        <w:t xml:space="preserve">de dos mil veintitrés, </w:t>
      </w:r>
      <w:r w:rsidRPr="00560B11">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560B11">
        <w:rPr>
          <w:rFonts w:ascii="Palatino Linotype" w:eastAsia="Palatino Linotype" w:hAnsi="Palatino Linotype" w:cs="Palatino Linotype"/>
          <w:b/>
        </w:rPr>
        <w:t xml:space="preserve">Sujeto Obligado </w:t>
      </w:r>
      <w:r w:rsidRPr="00560B11">
        <w:rPr>
          <w:rFonts w:ascii="Palatino Linotype" w:eastAsia="Palatino Linotype" w:hAnsi="Palatino Linotype" w:cs="Palatino Linotype"/>
        </w:rPr>
        <w:t>presentara su informe justificado.</w:t>
      </w:r>
    </w:p>
    <w:p w14:paraId="7A8A3B46" w14:textId="77777777" w:rsidR="00881541" w:rsidRPr="00560B11" w:rsidRDefault="00732F21">
      <w:pPr>
        <w:spacing w:before="240" w:after="240" w:line="360" w:lineRule="auto"/>
        <w:ind w:right="49"/>
        <w:jc w:val="both"/>
        <w:rPr>
          <w:rFonts w:ascii="Palatino Linotype" w:eastAsia="Palatino Linotype" w:hAnsi="Palatino Linotype" w:cs="Palatino Linotype"/>
        </w:rPr>
      </w:pPr>
      <w:bookmarkStart w:id="6" w:name="_heading=h.2s8eyo1" w:colFirst="0" w:colLast="0"/>
      <w:bookmarkEnd w:id="6"/>
      <w:r w:rsidRPr="00560B11">
        <w:rPr>
          <w:rFonts w:ascii="Palatino Linotype" w:eastAsia="Palatino Linotype" w:hAnsi="Palatino Linotype" w:cs="Palatino Linotype"/>
          <w:b/>
        </w:rPr>
        <w:t>6. Manifestaciones</w:t>
      </w:r>
      <w:r w:rsidRPr="00560B11">
        <w:rPr>
          <w:rFonts w:ascii="Palatino Linotype" w:eastAsia="Palatino Linotype" w:hAnsi="Palatino Linotype" w:cs="Palatino Linotype"/>
        </w:rPr>
        <w:t xml:space="preserve">. De las constancias que obran en el expediente electrónico del SAIMEX se desprende que el </w:t>
      </w:r>
      <w:r w:rsidRPr="00560B11">
        <w:rPr>
          <w:rFonts w:ascii="Palatino Linotype" w:eastAsia="Palatino Linotype" w:hAnsi="Palatino Linotype" w:cs="Palatino Linotype"/>
          <w:b/>
        </w:rPr>
        <w:t>Sujeto Obligado</w:t>
      </w:r>
      <w:r w:rsidRPr="00560B11">
        <w:rPr>
          <w:rFonts w:ascii="Palatino Linotype" w:eastAsia="Palatino Linotype" w:hAnsi="Palatino Linotype" w:cs="Palatino Linotype"/>
        </w:rPr>
        <w:t xml:space="preserve"> no rindió su informe justificado, del mismo modo la parte </w:t>
      </w:r>
      <w:r w:rsidRPr="00560B11">
        <w:rPr>
          <w:rFonts w:ascii="Palatino Linotype" w:eastAsia="Palatino Linotype" w:hAnsi="Palatino Linotype" w:cs="Palatino Linotype"/>
          <w:b/>
        </w:rPr>
        <w:t>Recurrente</w:t>
      </w:r>
      <w:r w:rsidRPr="00560B11">
        <w:rPr>
          <w:rFonts w:ascii="Palatino Linotype" w:eastAsia="Palatino Linotype" w:hAnsi="Palatino Linotype" w:cs="Palatino Linotype"/>
        </w:rPr>
        <w:t xml:space="preserve"> omitió realizar manifestaciones, como se observa a continuación:</w:t>
      </w:r>
    </w:p>
    <w:p w14:paraId="2410EA9C" w14:textId="77777777" w:rsidR="00881541" w:rsidRPr="00560B11" w:rsidRDefault="00D10E89">
      <w:pPr>
        <w:tabs>
          <w:tab w:val="left" w:pos="5103"/>
        </w:tabs>
        <w:spacing w:before="240" w:after="240" w:line="360" w:lineRule="auto"/>
        <w:jc w:val="both"/>
        <w:rPr>
          <w:rFonts w:ascii="Palatino Linotype" w:eastAsia="Palatino Linotype" w:hAnsi="Palatino Linotype" w:cs="Palatino Linotype"/>
          <w:b/>
        </w:rPr>
      </w:pPr>
      <w:r w:rsidRPr="00560B11">
        <w:rPr>
          <w:noProof/>
          <w:lang w:val="es-MX"/>
        </w:rPr>
        <w:drawing>
          <wp:inline distT="0" distB="0" distL="0" distR="0" wp14:anchorId="1CF4D316" wp14:editId="7752B8BF">
            <wp:extent cx="5612130" cy="1466215"/>
            <wp:effectExtent l="0" t="0" r="762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466215"/>
                    </a:xfrm>
                    <a:prstGeom prst="rect">
                      <a:avLst/>
                    </a:prstGeom>
                  </pic:spPr>
                </pic:pic>
              </a:graphicData>
            </a:graphic>
          </wp:inline>
        </w:drawing>
      </w:r>
    </w:p>
    <w:p w14:paraId="38053804" w14:textId="77777777" w:rsidR="00881541" w:rsidRPr="00560B11" w:rsidRDefault="00732F21">
      <w:pPr>
        <w:spacing w:before="240" w:after="240" w:line="360" w:lineRule="auto"/>
        <w:jc w:val="both"/>
        <w:rPr>
          <w:rFonts w:ascii="Palatino Linotype" w:eastAsia="Palatino Linotype" w:hAnsi="Palatino Linotype" w:cs="Palatino Linotype"/>
          <w:b/>
        </w:rPr>
      </w:pPr>
      <w:r w:rsidRPr="00560B11">
        <w:rPr>
          <w:rFonts w:ascii="Palatino Linotype" w:eastAsia="Palatino Linotype" w:hAnsi="Palatino Linotype" w:cs="Palatino Linotype"/>
          <w:b/>
        </w:rPr>
        <w:lastRenderedPageBreak/>
        <w:t xml:space="preserve">7. Cierre de instrucción. </w:t>
      </w:r>
      <w:r w:rsidRPr="00560B11">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7336C3" w:rsidRPr="00560B11">
        <w:rPr>
          <w:rFonts w:ascii="Palatino Linotype" w:eastAsia="Palatino Linotype" w:hAnsi="Palatino Linotype" w:cs="Palatino Linotype"/>
          <w:b/>
        </w:rPr>
        <w:t>siete de agosto</w:t>
      </w:r>
      <w:r w:rsidRPr="00560B11">
        <w:rPr>
          <w:rFonts w:ascii="Palatino Linotype" w:eastAsia="Palatino Linotype" w:hAnsi="Palatino Linotype" w:cs="Palatino Linotype"/>
          <w:b/>
        </w:rPr>
        <w:t xml:space="preserve"> de dos mil veintitrés</w:t>
      </w:r>
      <w:r w:rsidRPr="00560B11">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3B42C706" w14:textId="77777777" w:rsidR="00881541" w:rsidRPr="00560B11" w:rsidRDefault="00732F21">
      <w:pPr>
        <w:tabs>
          <w:tab w:val="left" w:pos="5103"/>
        </w:tabs>
        <w:spacing w:before="240" w:after="240" w:line="360" w:lineRule="auto"/>
        <w:jc w:val="both"/>
        <w:rPr>
          <w:rFonts w:ascii="Palatino Linotype" w:eastAsia="Palatino Linotype" w:hAnsi="Palatino Linotype" w:cs="Palatino Linotype"/>
        </w:rPr>
      </w:pPr>
      <w:r w:rsidRPr="00560B11">
        <w:rPr>
          <w:rFonts w:ascii="Palatino Linotype" w:eastAsia="Palatino Linotype" w:hAnsi="Palatino Linotype" w:cs="Palatino Linotype"/>
          <w:b/>
        </w:rPr>
        <w:t>8. Ampliación del término para resolver</w:t>
      </w:r>
      <w:r w:rsidRPr="00560B11">
        <w:rPr>
          <w:rFonts w:ascii="Palatino Linotype" w:eastAsia="Palatino Linotype" w:hAnsi="Palatino Linotype" w:cs="Palatino Linotype"/>
        </w:rPr>
        <w:t xml:space="preserve">. En fecha </w:t>
      </w:r>
      <w:r w:rsidR="007336C3" w:rsidRPr="00560B11">
        <w:rPr>
          <w:rFonts w:ascii="Palatino Linotype" w:eastAsia="Palatino Linotype" w:hAnsi="Palatino Linotype" w:cs="Palatino Linotype"/>
          <w:b/>
        </w:rPr>
        <w:t>nueve de octubre</w:t>
      </w:r>
      <w:r w:rsidRPr="00560B11">
        <w:rPr>
          <w:rFonts w:ascii="Palatino Linotype" w:eastAsia="Palatino Linotype" w:hAnsi="Palatino Linotype" w:cs="Palatino Linotype"/>
          <w:b/>
        </w:rPr>
        <w:t xml:space="preserve"> de dos mil veintitrés</w:t>
      </w:r>
      <w:r w:rsidRPr="00560B11">
        <w:rPr>
          <w:rFonts w:ascii="Palatino Linotype" w:eastAsia="Palatino Linotype" w:hAnsi="Palatino Linotype" w:cs="Palatino Linotype"/>
        </w:rPr>
        <w:t xml:space="preserve">, se amplió el término para resolver el recurso de revisión en términos del artículo 181 párrafo tercero de la Ley de Transparencia y Acceso a la Información Pública del Estado de México y Municipios. </w:t>
      </w:r>
    </w:p>
    <w:p w14:paraId="0BD9F54B" w14:textId="77777777" w:rsidR="007336C3" w:rsidRPr="00560B11" w:rsidRDefault="007336C3" w:rsidP="007336C3">
      <w:pPr>
        <w:spacing w:before="240" w:after="240" w:line="360" w:lineRule="auto"/>
        <w:jc w:val="both"/>
        <w:rPr>
          <w:rFonts w:ascii="Palatino Linotype" w:eastAsia="Palatino Linotype" w:hAnsi="Palatino Linotype" w:cs="Palatino Linotype"/>
        </w:rPr>
      </w:pPr>
      <w:r w:rsidRPr="00560B11">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en el año dos mil veintidós, que, en comparación con los recibidos en el año dos mil veintiuno, se incrementó aproximadamente un 300%, circunstancia atípica que ha rebasado las capacidades técnicas y humanas del personal encargado de la proyección de las resoluciones a dichos medios de impugnación.</w:t>
      </w:r>
    </w:p>
    <w:p w14:paraId="43A3F5FE" w14:textId="77777777" w:rsidR="007336C3" w:rsidRPr="00560B11" w:rsidRDefault="007336C3" w:rsidP="007336C3">
      <w:pPr>
        <w:spacing w:before="240" w:after="240" w:line="360" w:lineRule="auto"/>
        <w:jc w:val="both"/>
        <w:rPr>
          <w:rFonts w:ascii="Palatino Linotype" w:eastAsia="Palatino Linotype" w:hAnsi="Palatino Linotype" w:cs="Palatino Linotype"/>
        </w:rPr>
      </w:pPr>
      <w:r w:rsidRPr="00560B11">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la resolución se encuentra </w:t>
      </w:r>
      <w:r w:rsidRPr="00560B11">
        <w:rPr>
          <w:rFonts w:ascii="Palatino Linotype" w:eastAsia="Palatino Linotype" w:hAnsi="Palatino Linotype" w:cs="Palatino Linotype"/>
          <w:sz w:val="22"/>
        </w:rPr>
        <w:t>ju</w:t>
      </w:r>
      <w:r w:rsidRPr="00560B11">
        <w:rPr>
          <w:rFonts w:ascii="Palatino Linotype" w:eastAsia="Palatino Linotype" w:hAnsi="Palatino Linotype" w:cs="Palatino Linotype"/>
        </w:rPr>
        <w:t xml:space="preserve"> en los elementos para medir la razonabilidad de asuntos conforme a los parámetros establecidos por diversos órganos jurisdiccionales federales, aplicables también en procedimientos análogos, como el que nos ocupa.</w:t>
      </w:r>
    </w:p>
    <w:p w14:paraId="0420F083" w14:textId="77777777" w:rsidR="007336C3" w:rsidRPr="00560B11" w:rsidRDefault="007336C3" w:rsidP="007336C3">
      <w:pPr>
        <w:spacing w:before="240" w:after="240" w:line="360" w:lineRule="auto"/>
        <w:jc w:val="both"/>
        <w:rPr>
          <w:rFonts w:ascii="Palatino Linotype" w:eastAsia="Palatino Linotype" w:hAnsi="Palatino Linotype" w:cs="Palatino Linotype"/>
        </w:rPr>
      </w:pPr>
      <w:r w:rsidRPr="00560B11">
        <w:rPr>
          <w:rFonts w:ascii="Palatino Linotype" w:eastAsia="Palatino Linotype" w:hAnsi="Palatino Linotype" w:cs="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EB77FE4" w14:textId="77777777" w:rsidR="007336C3" w:rsidRPr="00560B11" w:rsidRDefault="007336C3" w:rsidP="007336C3">
      <w:pPr>
        <w:spacing w:before="240" w:after="240" w:line="360" w:lineRule="auto"/>
        <w:jc w:val="both"/>
        <w:rPr>
          <w:rFonts w:ascii="Palatino Linotype" w:eastAsia="Palatino Linotype" w:hAnsi="Palatino Linotype" w:cs="Palatino Linotype"/>
        </w:rPr>
      </w:pPr>
      <w:r w:rsidRPr="00560B11">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0B257C5" w14:textId="77777777" w:rsidR="007336C3" w:rsidRPr="00560B11" w:rsidRDefault="007336C3" w:rsidP="007336C3">
      <w:pPr>
        <w:spacing w:before="240" w:after="240" w:line="360" w:lineRule="auto"/>
        <w:jc w:val="both"/>
        <w:rPr>
          <w:rFonts w:ascii="Palatino Linotype" w:eastAsia="Palatino Linotype" w:hAnsi="Palatino Linotype" w:cs="Palatino Linotype"/>
          <w:strike/>
        </w:rPr>
      </w:pPr>
      <w:r w:rsidRPr="00560B11">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34DE09D7" w14:textId="77777777" w:rsidR="007336C3" w:rsidRPr="00560B11" w:rsidRDefault="007336C3" w:rsidP="007336C3">
      <w:pPr>
        <w:numPr>
          <w:ilvl w:val="0"/>
          <w:numId w:val="3"/>
        </w:numPr>
        <w:tabs>
          <w:tab w:val="left" w:pos="993"/>
        </w:tabs>
        <w:spacing w:before="240" w:after="240" w:line="360" w:lineRule="auto"/>
        <w:ind w:left="567" w:firstLine="0"/>
        <w:jc w:val="both"/>
        <w:rPr>
          <w:rFonts w:ascii="Palatino Linotype" w:eastAsia="Palatino Linotype" w:hAnsi="Palatino Linotype" w:cs="Palatino Linotype"/>
        </w:rPr>
      </w:pPr>
      <w:r w:rsidRPr="00560B11">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452C5ED0" w14:textId="77777777" w:rsidR="007336C3" w:rsidRPr="00560B11" w:rsidRDefault="007336C3" w:rsidP="007336C3">
      <w:pPr>
        <w:numPr>
          <w:ilvl w:val="0"/>
          <w:numId w:val="3"/>
        </w:numPr>
        <w:tabs>
          <w:tab w:val="left" w:pos="993"/>
        </w:tabs>
        <w:spacing w:before="240" w:after="240" w:line="360" w:lineRule="auto"/>
        <w:ind w:left="567" w:firstLine="0"/>
        <w:jc w:val="both"/>
        <w:rPr>
          <w:rFonts w:ascii="Palatino Linotype" w:eastAsia="Palatino Linotype" w:hAnsi="Palatino Linotype" w:cs="Palatino Linotype"/>
        </w:rPr>
      </w:pPr>
      <w:r w:rsidRPr="00560B11">
        <w:rPr>
          <w:rFonts w:ascii="Palatino Linotype" w:eastAsia="Palatino Linotype" w:hAnsi="Palatino Linotype" w:cs="Palatino Linotype"/>
        </w:rPr>
        <w:t>Actividad Procesal del interesado. Acciones u omisiones del interesado.</w:t>
      </w:r>
    </w:p>
    <w:p w14:paraId="523E2602" w14:textId="77777777" w:rsidR="007336C3" w:rsidRPr="00560B11" w:rsidRDefault="007336C3" w:rsidP="007336C3">
      <w:pPr>
        <w:numPr>
          <w:ilvl w:val="0"/>
          <w:numId w:val="3"/>
        </w:numPr>
        <w:tabs>
          <w:tab w:val="left" w:pos="993"/>
        </w:tabs>
        <w:spacing w:before="240" w:after="240" w:line="360" w:lineRule="auto"/>
        <w:ind w:left="567" w:firstLine="0"/>
        <w:jc w:val="both"/>
        <w:rPr>
          <w:rFonts w:ascii="Palatino Linotype" w:eastAsia="Palatino Linotype" w:hAnsi="Palatino Linotype" w:cs="Palatino Linotype"/>
        </w:rPr>
      </w:pPr>
      <w:r w:rsidRPr="00560B11">
        <w:rPr>
          <w:rFonts w:ascii="Palatino Linotype" w:eastAsia="Palatino Linotype" w:hAnsi="Palatino Linotype" w:cs="Palatino Linotype"/>
        </w:rPr>
        <w:t>Conducta de la Autoridad: Las Acciones u omisiones realizadas en el procedimiento. Así como si la autoridad actuó con la debida diligencia.</w:t>
      </w:r>
    </w:p>
    <w:p w14:paraId="3544E967" w14:textId="77777777" w:rsidR="007336C3" w:rsidRPr="00560B11" w:rsidRDefault="007336C3" w:rsidP="007336C3">
      <w:pPr>
        <w:numPr>
          <w:ilvl w:val="0"/>
          <w:numId w:val="3"/>
        </w:numPr>
        <w:tabs>
          <w:tab w:val="left" w:pos="993"/>
        </w:tabs>
        <w:spacing w:before="240" w:after="240" w:line="360" w:lineRule="auto"/>
        <w:ind w:left="567" w:firstLine="0"/>
        <w:jc w:val="both"/>
        <w:rPr>
          <w:rFonts w:ascii="Palatino Linotype" w:eastAsia="Palatino Linotype" w:hAnsi="Palatino Linotype" w:cs="Palatino Linotype"/>
        </w:rPr>
      </w:pPr>
      <w:r w:rsidRPr="00560B11">
        <w:rPr>
          <w:rFonts w:ascii="Palatino Linotype" w:eastAsia="Palatino Linotype" w:hAnsi="Palatino Linotype" w:cs="Palatino Linotype"/>
        </w:rPr>
        <w:t>La afectación generada en la situación jurídica de la persona involucrada en el proceso: Violación a sus derechos humanos.</w:t>
      </w:r>
    </w:p>
    <w:p w14:paraId="2FBAE39E" w14:textId="77777777" w:rsidR="007336C3" w:rsidRPr="00560B11" w:rsidRDefault="007336C3" w:rsidP="007336C3">
      <w:pPr>
        <w:spacing w:before="240" w:after="240" w:line="360" w:lineRule="auto"/>
        <w:jc w:val="both"/>
        <w:rPr>
          <w:rFonts w:ascii="Palatino Linotype" w:eastAsia="Palatino Linotype" w:hAnsi="Palatino Linotype" w:cs="Palatino Linotype"/>
        </w:rPr>
      </w:pPr>
      <w:r w:rsidRPr="00560B11">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w:t>
      </w:r>
      <w:r w:rsidRPr="00560B11">
        <w:rPr>
          <w:rFonts w:ascii="Palatino Linotype" w:eastAsia="Palatino Linotype" w:hAnsi="Palatino Linotype" w:cs="Palatino Linotype"/>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2FBAFE04" w14:textId="77777777" w:rsidR="007336C3" w:rsidRPr="00560B11" w:rsidRDefault="007336C3" w:rsidP="007336C3">
      <w:pPr>
        <w:spacing w:before="240" w:after="240" w:line="360" w:lineRule="auto"/>
        <w:jc w:val="both"/>
        <w:rPr>
          <w:rFonts w:ascii="Palatino Linotype" w:eastAsia="Palatino Linotype" w:hAnsi="Palatino Linotype" w:cs="Palatino Linotype"/>
          <w:b/>
        </w:rPr>
      </w:pPr>
      <w:r w:rsidRPr="00560B11">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560B11">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560B11">
        <w:rPr>
          <w:rFonts w:ascii="Palatino Linotype" w:eastAsia="Palatino Linotype" w:hAnsi="Palatino Linotype" w:cs="Palatino Linotype"/>
        </w:rPr>
        <w:t>, visible en la Gaceta del Seminario Judicial de la Federación con el registro digital 205635.</w:t>
      </w:r>
    </w:p>
    <w:p w14:paraId="33AF9C39" w14:textId="77777777" w:rsidR="007336C3" w:rsidRPr="00560B11" w:rsidRDefault="007336C3" w:rsidP="007336C3">
      <w:pPr>
        <w:spacing w:before="240" w:after="240" w:line="360" w:lineRule="auto"/>
        <w:jc w:val="both"/>
        <w:rPr>
          <w:rFonts w:ascii="Palatino Linotype" w:eastAsia="Palatino Linotype" w:hAnsi="Palatino Linotype" w:cs="Palatino Linotype"/>
        </w:rPr>
      </w:pPr>
      <w:r w:rsidRPr="00560B11">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308F618" w14:textId="77777777" w:rsidR="007336C3" w:rsidRPr="00560B11" w:rsidRDefault="007336C3" w:rsidP="007336C3">
      <w:pPr>
        <w:spacing w:before="240" w:after="240" w:line="360" w:lineRule="auto"/>
        <w:jc w:val="both"/>
        <w:rPr>
          <w:rFonts w:ascii="Palatino Linotype" w:eastAsia="Palatino Linotype" w:hAnsi="Palatino Linotype" w:cs="Palatino Linotype"/>
        </w:rPr>
      </w:pPr>
      <w:r w:rsidRPr="00560B11">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39D5EA2F" w14:textId="77777777" w:rsidR="007336C3" w:rsidRPr="00560B11" w:rsidRDefault="007336C3" w:rsidP="007336C3">
      <w:pPr>
        <w:spacing w:before="240" w:after="240"/>
        <w:ind w:left="851" w:right="900"/>
        <w:jc w:val="both"/>
        <w:rPr>
          <w:rFonts w:ascii="Palatino Linotype" w:eastAsia="Palatino Linotype" w:hAnsi="Palatino Linotype" w:cs="Palatino Linotype"/>
          <w:sz w:val="22"/>
          <w:szCs w:val="22"/>
        </w:rPr>
      </w:pPr>
      <w:r w:rsidRPr="00560B11">
        <w:rPr>
          <w:rFonts w:ascii="Palatino Linotype" w:eastAsia="Palatino Linotype" w:hAnsi="Palatino Linotype" w:cs="Palatino Linotype"/>
          <w:sz w:val="22"/>
          <w:szCs w:val="22"/>
        </w:rPr>
        <w:t xml:space="preserve"> </w:t>
      </w:r>
      <w:r w:rsidRPr="00560B11">
        <w:rPr>
          <w:rFonts w:ascii="Palatino Linotype" w:eastAsia="Palatino Linotype" w:hAnsi="Palatino Linotype" w:cs="Palatino Linotype"/>
          <w:b/>
          <w:i/>
          <w:sz w:val="22"/>
          <w:szCs w:val="22"/>
        </w:rPr>
        <w:t>“PLAZO RAZONABLE PARA RESOLVER. DIMENSIÓN Y EFECTOS DE ESTE CONCEPTO CUANDO SE ADUCE EXCESIVA CARGA DE TRABAJO</w:t>
      </w:r>
      <w:r w:rsidRPr="00560B11">
        <w:rPr>
          <w:rFonts w:ascii="Palatino Linotype" w:eastAsia="Palatino Linotype" w:hAnsi="Palatino Linotype" w:cs="Palatino Linotype"/>
          <w:i/>
          <w:sz w:val="22"/>
          <w:szCs w:val="22"/>
        </w:rPr>
        <w:t>.”</w:t>
      </w:r>
      <w:r w:rsidRPr="00560B11">
        <w:rPr>
          <w:rFonts w:ascii="Palatino Linotype" w:eastAsia="Palatino Linotype" w:hAnsi="Palatino Linotype" w:cs="Palatino Linotype"/>
          <w:sz w:val="22"/>
          <w:szCs w:val="22"/>
        </w:rPr>
        <w:t xml:space="preserve"> consultable en el Seminario Judicial de la Federación y su gaceta, con el registro digital 2002351.</w:t>
      </w:r>
    </w:p>
    <w:p w14:paraId="5E85E377" w14:textId="77777777" w:rsidR="007336C3" w:rsidRPr="00560B11" w:rsidRDefault="007336C3" w:rsidP="007336C3">
      <w:pPr>
        <w:spacing w:before="240" w:after="240"/>
        <w:ind w:left="851" w:right="900"/>
        <w:jc w:val="both"/>
        <w:rPr>
          <w:rFonts w:ascii="Palatino Linotype" w:eastAsia="Palatino Linotype" w:hAnsi="Palatino Linotype" w:cs="Palatino Linotype"/>
          <w:sz w:val="22"/>
          <w:szCs w:val="22"/>
        </w:rPr>
      </w:pPr>
      <w:r w:rsidRPr="00560B11">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560B11">
        <w:rPr>
          <w:rFonts w:ascii="Palatino Linotype" w:eastAsia="Palatino Linotype" w:hAnsi="Palatino Linotype" w:cs="Palatino Linotype"/>
          <w:sz w:val="22"/>
          <w:szCs w:val="22"/>
        </w:rPr>
        <w:t>, visible en el Seminario Judicial de la Federación y su gaceta, con el registro digital 2002350.</w:t>
      </w:r>
    </w:p>
    <w:p w14:paraId="517436A1" w14:textId="77777777" w:rsidR="007336C3" w:rsidRPr="00560B11" w:rsidRDefault="007336C3" w:rsidP="007336C3">
      <w:pPr>
        <w:spacing w:before="240" w:after="240" w:line="360" w:lineRule="auto"/>
        <w:jc w:val="both"/>
        <w:rPr>
          <w:rFonts w:ascii="Palatino Linotype" w:eastAsia="Palatino Linotype" w:hAnsi="Palatino Linotype" w:cs="Palatino Linotype"/>
        </w:rPr>
      </w:pPr>
      <w:r w:rsidRPr="00560B11">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726095A1" w14:textId="77777777" w:rsidR="00881541" w:rsidRPr="00560B11" w:rsidRDefault="00732F21">
      <w:pPr>
        <w:spacing w:before="240" w:after="240" w:line="360" w:lineRule="auto"/>
        <w:jc w:val="both"/>
        <w:rPr>
          <w:rFonts w:ascii="Palatino Linotype" w:eastAsia="Palatino Linotype" w:hAnsi="Palatino Linotype" w:cs="Palatino Linotype"/>
        </w:rPr>
      </w:pPr>
      <w:bookmarkStart w:id="7" w:name="_heading=h.2p2csry" w:colFirst="0" w:colLast="0"/>
      <w:bookmarkEnd w:id="7"/>
      <w:r w:rsidRPr="00560B11">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7E5924D7" w14:textId="77777777" w:rsidR="00881541" w:rsidRPr="00560B11" w:rsidRDefault="00732F21">
      <w:pPr>
        <w:widowControl w:val="0"/>
        <w:spacing w:line="360" w:lineRule="auto"/>
        <w:jc w:val="center"/>
        <w:rPr>
          <w:rFonts w:ascii="Palatino Linotype" w:eastAsia="Palatino Linotype" w:hAnsi="Palatino Linotype" w:cs="Palatino Linotype"/>
          <w:b/>
        </w:rPr>
      </w:pPr>
      <w:r w:rsidRPr="00560B11">
        <w:rPr>
          <w:rFonts w:ascii="Palatino Linotype" w:eastAsia="Palatino Linotype" w:hAnsi="Palatino Linotype" w:cs="Palatino Linotype"/>
          <w:b/>
        </w:rPr>
        <w:t>II. C O N S I D E R A N D O S</w:t>
      </w:r>
    </w:p>
    <w:p w14:paraId="3CE746EA" w14:textId="77777777" w:rsidR="00881541" w:rsidRPr="00560B11" w:rsidRDefault="00732F21">
      <w:pPr>
        <w:spacing w:line="360" w:lineRule="auto"/>
        <w:jc w:val="both"/>
        <w:rPr>
          <w:rFonts w:ascii="Palatino Linotype" w:eastAsia="Palatino Linotype" w:hAnsi="Palatino Linotype" w:cs="Palatino Linotype"/>
        </w:rPr>
      </w:pPr>
      <w:r w:rsidRPr="00560B11">
        <w:rPr>
          <w:rFonts w:ascii="Palatino Linotype" w:eastAsia="Palatino Linotype" w:hAnsi="Palatino Linotype" w:cs="Palatino Linotype"/>
          <w:b/>
        </w:rPr>
        <w:t>Primero. Competencia.</w:t>
      </w:r>
      <w:r w:rsidRPr="00560B11">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w:t>
      </w:r>
      <w:r w:rsidRPr="00560B11">
        <w:rPr>
          <w:rFonts w:ascii="Palatino Linotype" w:eastAsia="Palatino Linotype" w:hAnsi="Palatino Linotype" w:cs="Palatino Linotype"/>
        </w:rPr>
        <w:lastRenderedPageBreak/>
        <w:t>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F984DC3" w14:textId="77777777" w:rsidR="00881541" w:rsidRPr="00560B11" w:rsidRDefault="00732F21">
      <w:pPr>
        <w:spacing w:before="240" w:after="240" w:line="360" w:lineRule="auto"/>
        <w:jc w:val="both"/>
        <w:rPr>
          <w:rFonts w:ascii="Palatino Linotype" w:eastAsia="Palatino Linotype" w:hAnsi="Palatino Linotype" w:cs="Palatino Linotype"/>
        </w:rPr>
      </w:pPr>
      <w:bookmarkStart w:id="8" w:name="_heading=h.tyjcwt" w:colFirst="0" w:colLast="0"/>
      <w:bookmarkEnd w:id="8"/>
      <w:r w:rsidRPr="00560B11">
        <w:rPr>
          <w:rFonts w:ascii="Palatino Linotype" w:eastAsia="Palatino Linotype" w:hAnsi="Palatino Linotype" w:cs="Palatino Linotype"/>
          <w:b/>
        </w:rPr>
        <w:t>Segundo. Oportunidad y Procedibilidad del Recurso de Revisión</w:t>
      </w:r>
      <w:r w:rsidRPr="00560B11">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0EBE1A4" w14:textId="4A2D0E3B" w:rsidR="00881541" w:rsidRPr="00560B11" w:rsidRDefault="00732F21">
      <w:pPr>
        <w:spacing w:before="240" w:after="240" w:line="360" w:lineRule="auto"/>
        <w:jc w:val="both"/>
        <w:rPr>
          <w:rFonts w:ascii="Palatino Linotype" w:eastAsia="Palatino Linotype" w:hAnsi="Palatino Linotype" w:cs="Palatino Linotype"/>
        </w:rPr>
      </w:pPr>
      <w:bookmarkStart w:id="9" w:name="_heading=h.3znysh7" w:colFirst="0" w:colLast="0"/>
      <w:bookmarkEnd w:id="9"/>
      <w:r w:rsidRPr="00560B11">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560B11">
        <w:rPr>
          <w:rFonts w:ascii="Palatino Linotype" w:eastAsia="Palatino Linotype" w:hAnsi="Palatino Linotype" w:cs="Palatino Linotype"/>
          <w:b/>
        </w:rPr>
        <w:t xml:space="preserve">Sujeto Obligado </w:t>
      </w:r>
      <w:r w:rsidRPr="00560B11">
        <w:rPr>
          <w:rFonts w:ascii="Palatino Linotype" w:eastAsia="Palatino Linotype" w:hAnsi="Palatino Linotype" w:cs="Palatino Linotype"/>
        </w:rPr>
        <w:t xml:space="preserve">remitió la respuesta a la solicitud de información el día </w:t>
      </w:r>
      <w:r w:rsidR="006E097C" w:rsidRPr="00560B11">
        <w:rPr>
          <w:rFonts w:ascii="Palatino Linotype" w:eastAsia="Palatino Linotype" w:hAnsi="Palatino Linotype" w:cs="Palatino Linotype"/>
          <w:b/>
        </w:rPr>
        <w:t>tres de julio</w:t>
      </w:r>
      <w:r w:rsidRPr="00560B11">
        <w:rPr>
          <w:rFonts w:ascii="Palatino Linotype" w:eastAsia="Palatino Linotype" w:hAnsi="Palatino Linotype" w:cs="Palatino Linotype"/>
          <w:b/>
        </w:rPr>
        <w:t xml:space="preserve"> de dos mil veintitrés, </w:t>
      </w:r>
      <w:r w:rsidRPr="00560B11">
        <w:rPr>
          <w:rFonts w:ascii="Palatino Linotype" w:eastAsia="Palatino Linotype" w:hAnsi="Palatino Linotype" w:cs="Palatino Linotype"/>
        </w:rPr>
        <w:t xml:space="preserve">mientras que el recurso de revisión interpuesto por la parte </w:t>
      </w:r>
      <w:r w:rsidRPr="00560B11">
        <w:rPr>
          <w:rFonts w:ascii="Palatino Linotype" w:eastAsia="Palatino Linotype" w:hAnsi="Palatino Linotype" w:cs="Palatino Linotype"/>
          <w:b/>
        </w:rPr>
        <w:t>Recurrente</w:t>
      </w:r>
      <w:r w:rsidRPr="00560B11">
        <w:rPr>
          <w:rFonts w:ascii="Palatino Linotype" w:eastAsia="Palatino Linotype" w:hAnsi="Palatino Linotype" w:cs="Palatino Linotype"/>
        </w:rPr>
        <w:t xml:space="preserve">, se tuvo por presentado el día </w:t>
      </w:r>
      <w:r w:rsidRPr="00560B11">
        <w:rPr>
          <w:rFonts w:ascii="Palatino Linotype" w:eastAsia="Palatino Linotype" w:hAnsi="Palatino Linotype" w:cs="Palatino Linotype"/>
          <w:b/>
        </w:rPr>
        <w:t xml:space="preserve">seis </w:t>
      </w:r>
      <w:r w:rsidR="006E097C" w:rsidRPr="00560B11">
        <w:rPr>
          <w:rFonts w:ascii="Palatino Linotype" w:eastAsia="Palatino Linotype" w:hAnsi="Palatino Linotype" w:cs="Palatino Linotype"/>
          <w:b/>
        </w:rPr>
        <w:t>julio</w:t>
      </w:r>
      <w:r w:rsidRPr="00560B11">
        <w:rPr>
          <w:rFonts w:ascii="Palatino Linotype" w:eastAsia="Palatino Linotype" w:hAnsi="Palatino Linotype" w:cs="Palatino Linotype"/>
          <w:b/>
        </w:rPr>
        <w:t xml:space="preserve"> de dos mil veintitrés</w:t>
      </w:r>
      <w:r w:rsidRPr="00560B11">
        <w:rPr>
          <w:rFonts w:ascii="Palatino Linotype" w:eastAsia="Palatino Linotype" w:hAnsi="Palatino Linotype" w:cs="Palatino Linotype"/>
        </w:rPr>
        <w:t xml:space="preserve">, esto es, al </w:t>
      </w:r>
      <w:r w:rsidR="002B7A3C" w:rsidRPr="00560B11">
        <w:rPr>
          <w:rFonts w:ascii="Palatino Linotype" w:eastAsia="Palatino Linotype" w:hAnsi="Palatino Linotype" w:cs="Palatino Linotype"/>
        </w:rPr>
        <w:t xml:space="preserve">tercer </w:t>
      </w:r>
      <w:r w:rsidRPr="00560B11">
        <w:rPr>
          <w:rFonts w:ascii="Palatino Linotype" w:eastAsia="Palatino Linotype" w:hAnsi="Palatino Linotype" w:cs="Palatino Linotype"/>
        </w:rPr>
        <w:t xml:space="preserve">día hábil en que tuvo conocimiento de la respuesta impugnada. En este sentido, al considerar la fecha en que se formuló la solicitud y la fecha en que respondió a ésta el </w:t>
      </w:r>
      <w:r w:rsidRPr="00560B11">
        <w:rPr>
          <w:rFonts w:ascii="Palatino Linotype" w:eastAsia="Palatino Linotype" w:hAnsi="Palatino Linotype" w:cs="Palatino Linotype"/>
          <w:b/>
        </w:rPr>
        <w:t>Sujeto Obligado</w:t>
      </w:r>
      <w:r w:rsidRPr="00560B11">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14:paraId="543C4C6F" w14:textId="7802EB5F" w:rsidR="00881541" w:rsidRPr="00560B11" w:rsidRDefault="002B7A3C">
      <w:pPr>
        <w:spacing w:before="240" w:after="240" w:line="360" w:lineRule="auto"/>
        <w:jc w:val="both"/>
        <w:rPr>
          <w:rFonts w:ascii="Palatino Linotype" w:eastAsia="Palatino Linotype" w:hAnsi="Palatino Linotype" w:cs="Palatino Linotype"/>
        </w:rPr>
      </w:pPr>
      <w:r w:rsidRPr="00560B11">
        <w:rPr>
          <w:rFonts w:ascii="Palatino Linotype" w:eastAsia="Palatino Linotype" w:hAnsi="Palatino Linotype" w:cs="Palatino Linotype"/>
        </w:rPr>
        <w:t>P</w:t>
      </w:r>
      <w:r w:rsidR="00732F21" w:rsidRPr="00560B11">
        <w:rPr>
          <w:rFonts w:ascii="Palatino Linotype" w:eastAsia="Palatino Linotype" w:hAnsi="Palatino Linotype" w:cs="Palatino Linotype"/>
        </w:rPr>
        <w:t xml:space="preserve">or cuanto hace a la procedibilidad del recurso de revisión, una vez realizado el análisis de los formatos de interposición del recurso, se concluye la acreditación plena de los elementos formales precisados por el artículo 180 de la Ley de </w:t>
      </w:r>
      <w:r w:rsidR="00732F21" w:rsidRPr="00560B11">
        <w:rPr>
          <w:rFonts w:ascii="Palatino Linotype" w:eastAsia="Palatino Linotype" w:hAnsi="Palatino Linotype" w:cs="Palatino Linotype"/>
        </w:rPr>
        <w:lastRenderedPageBreak/>
        <w:t>Transparencia y Acceso a la Información Pública del Estado de México y Municipios, en atención a que fue presentado mediante el formato visible en el SAIMEX.</w:t>
      </w:r>
    </w:p>
    <w:p w14:paraId="284D21D5" w14:textId="77777777" w:rsidR="00881541" w:rsidRPr="00560B11" w:rsidRDefault="00732F21">
      <w:pPr>
        <w:spacing w:before="240" w:after="240" w:line="360" w:lineRule="auto"/>
        <w:jc w:val="both"/>
        <w:rPr>
          <w:rFonts w:ascii="Palatino Linotype" w:eastAsia="Palatino Linotype" w:hAnsi="Palatino Linotype" w:cs="Palatino Linotype"/>
        </w:rPr>
      </w:pPr>
      <w:r w:rsidRPr="00560B11">
        <w:rPr>
          <w:rFonts w:ascii="Palatino Linotype" w:eastAsia="Palatino Linotype" w:hAnsi="Palatino Linotype" w:cs="Palatino Linotype"/>
        </w:rPr>
        <w:t xml:space="preserve">A efecto de sustentar lo anterior, es de suma importancia mencionar que si bien la persona solicitante </w:t>
      </w:r>
      <w:r w:rsidR="00A02C7B" w:rsidRPr="00560B11">
        <w:rPr>
          <w:rFonts w:ascii="Palatino Linotype" w:eastAsia="Palatino Linotype" w:hAnsi="Palatino Linotype" w:cs="Palatino Linotype"/>
          <w:b/>
        </w:rPr>
        <w:t xml:space="preserve">no </w:t>
      </w:r>
      <w:r w:rsidRPr="00560B11">
        <w:rPr>
          <w:rFonts w:ascii="Palatino Linotype" w:eastAsia="Palatino Linotype" w:hAnsi="Palatino Linotype" w:cs="Palatino Linotype"/>
          <w:b/>
        </w:rPr>
        <w:t xml:space="preserve">proporcionó </w:t>
      </w:r>
      <w:r w:rsidR="00A02C7B" w:rsidRPr="00560B11">
        <w:rPr>
          <w:rFonts w:ascii="Palatino Linotype" w:eastAsia="Palatino Linotype" w:hAnsi="Palatino Linotype" w:cs="Palatino Linotype"/>
          <w:b/>
        </w:rPr>
        <w:t>nombre completo</w:t>
      </w:r>
      <w:r w:rsidRPr="00560B11">
        <w:rPr>
          <w:rFonts w:ascii="Palatino Linotype" w:eastAsia="Palatino Linotype" w:hAnsi="Palatino Linotype" w:cs="Palatino Linotype"/>
          <w:b/>
        </w:rPr>
        <w:t xml:space="preserve">, </w:t>
      </w:r>
      <w:r w:rsidRPr="00560B11">
        <w:rPr>
          <w:rFonts w:ascii="Palatino Linotype" w:eastAsia="Palatino Linotype" w:hAnsi="Palatino Linotype" w:cs="Palatino Linotype"/>
        </w:rPr>
        <w:t>como se advierte en el detalle de seguimiento del SAIMEX, el no proporcionar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217A43F" w14:textId="77777777" w:rsidR="00881541" w:rsidRPr="00560B11" w:rsidRDefault="00732F21">
      <w:pPr>
        <w:spacing w:before="120" w:after="120"/>
        <w:ind w:left="851" w:right="902"/>
        <w:jc w:val="both"/>
        <w:rPr>
          <w:rFonts w:ascii="Palatino Linotype" w:eastAsia="Palatino Linotype" w:hAnsi="Palatino Linotype" w:cs="Palatino Linotype"/>
          <w:sz w:val="22"/>
          <w:szCs w:val="22"/>
        </w:rPr>
      </w:pPr>
      <w:r w:rsidRPr="00560B11">
        <w:rPr>
          <w:rFonts w:ascii="Palatino Linotype" w:eastAsia="Palatino Linotype" w:hAnsi="Palatino Linotype" w:cs="Palatino Linotype"/>
          <w:i/>
          <w:sz w:val="22"/>
          <w:szCs w:val="22"/>
        </w:rPr>
        <w:t>"</w:t>
      </w:r>
      <w:r w:rsidRPr="00560B11">
        <w:rPr>
          <w:rFonts w:ascii="Palatino Linotype" w:eastAsia="Palatino Linotype" w:hAnsi="Palatino Linotype" w:cs="Palatino Linotype"/>
          <w:b/>
          <w:i/>
          <w:sz w:val="22"/>
          <w:szCs w:val="22"/>
        </w:rPr>
        <w:t>Las solicitudes anónimas</w:t>
      </w:r>
      <w:r w:rsidRPr="00560B11">
        <w:rPr>
          <w:rFonts w:ascii="Palatino Linotype" w:eastAsia="Palatino Linotype" w:hAnsi="Palatino Linotype" w:cs="Palatino Linotype"/>
          <w:i/>
          <w:sz w:val="22"/>
          <w:szCs w:val="22"/>
        </w:rPr>
        <w:t xml:space="preserve">, con nombre incompleto o seudónimo </w:t>
      </w:r>
      <w:r w:rsidRPr="00560B11">
        <w:rPr>
          <w:rFonts w:ascii="Palatino Linotype" w:eastAsia="Palatino Linotype" w:hAnsi="Palatino Linotype" w:cs="Palatino Linotype"/>
          <w:b/>
          <w:i/>
          <w:sz w:val="22"/>
          <w:szCs w:val="22"/>
        </w:rPr>
        <w:t>serán procedentes para su trámite por parte del sujeto obligado ante quien se presente</w:t>
      </w:r>
      <w:r w:rsidRPr="00560B11">
        <w:rPr>
          <w:rFonts w:ascii="Palatino Linotype" w:eastAsia="Palatino Linotype" w:hAnsi="Palatino Linotype" w:cs="Palatino Linotype"/>
          <w:i/>
          <w:sz w:val="22"/>
          <w:szCs w:val="22"/>
        </w:rPr>
        <w:t>. No podrá requerirse información adicional con motivo del nombre proporcionado por el solicitante."</w:t>
      </w:r>
    </w:p>
    <w:p w14:paraId="5004E3BF" w14:textId="77777777" w:rsidR="00881541" w:rsidRPr="00560B11" w:rsidRDefault="00732F21">
      <w:pPr>
        <w:spacing w:before="240" w:after="240" w:line="360" w:lineRule="auto"/>
        <w:jc w:val="both"/>
        <w:rPr>
          <w:rFonts w:ascii="Palatino Linotype" w:eastAsia="Palatino Linotype" w:hAnsi="Palatino Linotype" w:cs="Palatino Linotype"/>
        </w:rPr>
      </w:pPr>
      <w:r w:rsidRPr="00560B11">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560B11">
        <w:rPr>
          <w:rFonts w:ascii="Palatino Linotype" w:eastAsia="Palatino Linotype" w:hAnsi="Palatino Linotype" w:cs="Palatino Linotype"/>
          <w:b/>
        </w:rPr>
        <w:t>Recurrente</w:t>
      </w:r>
      <w:r w:rsidRPr="00560B11">
        <w:rPr>
          <w:rFonts w:ascii="Palatino Linotype" w:eastAsia="Palatino Linotype" w:hAnsi="Palatino Linotype" w:cs="Palatino Linotype"/>
        </w:rPr>
        <w:t>, por lo que, en el presente caso, al haber sido presentado el recurso de revisión vía SAIMEX, dicho requisito resulta innecesario.</w:t>
      </w:r>
    </w:p>
    <w:p w14:paraId="66A1EE93" w14:textId="77777777" w:rsidR="00881541" w:rsidRPr="00560B11" w:rsidRDefault="00732F21">
      <w:pPr>
        <w:spacing w:before="240" w:after="240" w:line="360" w:lineRule="auto"/>
        <w:jc w:val="both"/>
        <w:rPr>
          <w:rFonts w:ascii="Palatino Linotype" w:eastAsia="Palatino Linotype" w:hAnsi="Palatino Linotype" w:cs="Palatino Linotype"/>
        </w:rPr>
      </w:pPr>
      <w:r w:rsidRPr="00560B11">
        <w:rPr>
          <w:rFonts w:ascii="Palatino Linotype" w:eastAsia="Palatino Linotype" w:hAnsi="Palatino Linotype" w:cs="Palatino Linotype"/>
        </w:rPr>
        <w:t xml:space="preserve">Finalmente, se advierte que resulta procedente la interposición del recurso, según lo manifestado la parte </w:t>
      </w:r>
      <w:r w:rsidRPr="00560B11">
        <w:rPr>
          <w:rFonts w:ascii="Palatino Linotype" w:eastAsia="Palatino Linotype" w:hAnsi="Palatino Linotype" w:cs="Palatino Linotype"/>
          <w:b/>
        </w:rPr>
        <w:t>Recurrente</w:t>
      </w:r>
      <w:r w:rsidRPr="00560B11">
        <w:rPr>
          <w:rFonts w:ascii="Palatino Linotype" w:eastAsia="Palatino Linotype" w:hAnsi="Palatino Linotype" w:cs="Palatino Linotype"/>
        </w:rPr>
        <w:t xml:space="preserve"> en sus motivos de inconformidad, de acu</w:t>
      </w:r>
      <w:r w:rsidR="00DE4731" w:rsidRPr="00560B11">
        <w:rPr>
          <w:rFonts w:ascii="Palatino Linotype" w:eastAsia="Palatino Linotype" w:hAnsi="Palatino Linotype" w:cs="Palatino Linotype"/>
        </w:rPr>
        <w:t>erdo al artículo 179, fracción V</w:t>
      </w:r>
      <w:r w:rsidRPr="00560B11">
        <w:rPr>
          <w:rFonts w:ascii="Palatino Linotype" w:eastAsia="Palatino Linotype" w:hAnsi="Palatino Linotype" w:cs="Palatino Linotype"/>
        </w:rPr>
        <w:t xml:space="preserve"> del ordenamiento legal citado, que a la letra dice: </w:t>
      </w:r>
    </w:p>
    <w:p w14:paraId="6D4A7596" w14:textId="77777777" w:rsidR="00881541" w:rsidRPr="00560B11" w:rsidRDefault="00732F21">
      <w:pPr>
        <w:spacing w:before="120" w:after="120"/>
        <w:ind w:left="851" w:right="902"/>
        <w:jc w:val="both"/>
        <w:rPr>
          <w:rFonts w:ascii="Palatino Linotype" w:eastAsia="Palatino Linotype" w:hAnsi="Palatino Linotype" w:cs="Palatino Linotype"/>
          <w:i/>
          <w:sz w:val="22"/>
          <w:szCs w:val="22"/>
        </w:rPr>
      </w:pPr>
      <w:r w:rsidRPr="00560B11">
        <w:rPr>
          <w:rFonts w:ascii="Palatino Linotype" w:eastAsia="Palatino Linotype" w:hAnsi="Palatino Linotype" w:cs="Palatino Linotype"/>
          <w:i/>
          <w:sz w:val="22"/>
          <w:szCs w:val="22"/>
        </w:rPr>
        <w:t>“</w:t>
      </w:r>
      <w:r w:rsidRPr="00560B11">
        <w:rPr>
          <w:rFonts w:ascii="Palatino Linotype" w:eastAsia="Palatino Linotype" w:hAnsi="Palatino Linotype" w:cs="Palatino Linotype"/>
          <w:b/>
          <w:i/>
          <w:sz w:val="22"/>
          <w:szCs w:val="22"/>
        </w:rPr>
        <w:t>Artículo 179.</w:t>
      </w:r>
      <w:r w:rsidRPr="00560B11">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5C8DE2D1" w14:textId="77777777" w:rsidR="00DE4731" w:rsidRPr="00560B11" w:rsidRDefault="00DE4731">
      <w:pPr>
        <w:spacing w:before="120" w:after="120"/>
        <w:ind w:left="1134" w:right="902"/>
        <w:jc w:val="both"/>
        <w:rPr>
          <w:rFonts w:ascii="Palatino Linotype" w:eastAsia="Palatino Linotype" w:hAnsi="Palatino Linotype" w:cs="Palatino Linotype"/>
          <w:b/>
          <w:i/>
          <w:sz w:val="22"/>
          <w:szCs w:val="22"/>
        </w:rPr>
      </w:pPr>
      <w:r w:rsidRPr="00560B11">
        <w:rPr>
          <w:rFonts w:ascii="Palatino Linotype" w:eastAsia="Palatino Linotype" w:hAnsi="Palatino Linotype" w:cs="Palatino Linotype"/>
          <w:b/>
          <w:i/>
          <w:sz w:val="22"/>
          <w:szCs w:val="22"/>
        </w:rPr>
        <w:t>…</w:t>
      </w:r>
    </w:p>
    <w:p w14:paraId="4A435859" w14:textId="77777777" w:rsidR="00881541" w:rsidRPr="00560B11" w:rsidRDefault="00DE4731">
      <w:pPr>
        <w:spacing w:before="120" w:after="120"/>
        <w:ind w:left="1134" w:right="902"/>
        <w:jc w:val="both"/>
        <w:rPr>
          <w:rFonts w:ascii="Palatino Linotype" w:eastAsia="Palatino Linotype" w:hAnsi="Palatino Linotype" w:cs="Palatino Linotype"/>
          <w:i/>
          <w:sz w:val="22"/>
          <w:szCs w:val="22"/>
        </w:rPr>
      </w:pPr>
      <w:r w:rsidRPr="00560B11">
        <w:rPr>
          <w:rFonts w:ascii="Palatino Linotype" w:eastAsia="Palatino Linotype" w:hAnsi="Palatino Linotype" w:cs="Palatino Linotype"/>
          <w:b/>
          <w:i/>
          <w:sz w:val="22"/>
          <w:szCs w:val="22"/>
        </w:rPr>
        <w:lastRenderedPageBreak/>
        <w:t>V.</w:t>
      </w:r>
      <w:r w:rsidRPr="00560B11">
        <w:rPr>
          <w:rFonts w:ascii="Palatino Linotype" w:hAnsi="Palatino Linotype"/>
          <w:i/>
          <w:sz w:val="22"/>
          <w:szCs w:val="22"/>
        </w:rPr>
        <w:t xml:space="preserve"> La entrega de información incompleta</w:t>
      </w:r>
      <w:r w:rsidRPr="00560B11">
        <w:t>;</w:t>
      </w:r>
      <w:r w:rsidR="00732F21" w:rsidRPr="00560B11">
        <w:rPr>
          <w:rFonts w:ascii="Palatino Linotype" w:eastAsia="Palatino Linotype" w:hAnsi="Palatino Linotype" w:cs="Palatino Linotype"/>
          <w:i/>
          <w:sz w:val="22"/>
          <w:szCs w:val="22"/>
        </w:rPr>
        <w:t>”</w:t>
      </w:r>
    </w:p>
    <w:p w14:paraId="14A121CE" w14:textId="77777777" w:rsidR="00881541" w:rsidRPr="00560B11" w:rsidRDefault="00732F21">
      <w:pPr>
        <w:spacing w:before="240" w:after="240" w:line="360" w:lineRule="auto"/>
        <w:jc w:val="both"/>
        <w:rPr>
          <w:rFonts w:ascii="Palatino Linotype" w:eastAsia="Palatino Linotype" w:hAnsi="Palatino Linotype" w:cs="Palatino Linotype"/>
        </w:rPr>
      </w:pPr>
      <w:r w:rsidRPr="00560B11">
        <w:rPr>
          <w:rFonts w:ascii="Palatino Linotype" w:eastAsia="Palatino Linotype" w:hAnsi="Palatino Linotype" w:cs="Palatino Linotype"/>
          <w:b/>
        </w:rPr>
        <w:t xml:space="preserve">Tercero. Materia de la revisión. </w:t>
      </w:r>
      <w:r w:rsidRPr="00560B11">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560B11">
        <w:rPr>
          <w:rFonts w:ascii="Palatino Linotype" w:eastAsia="Palatino Linotype" w:hAnsi="Palatino Linotype" w:cs="Palatino Linotype"/>
          <w:b/>
        </w:rPr>
        <w:t xml:space="preserve">verificar si la respuesta </w:t>
      </w:r>
      <w:r w:rsidR="00DE4731" w:rsidRPr="00560B11">
        <w:rPr>
          <w:rFonts w:ascii="Palatino Linotype" w:eastAsia="Palatino Linotype" w:hAnsi="Palatino Linotype" w:cs="Palatino Linotype"/>
          <w:b/>
        </w:rPr>
        <w:t xml:space="preserve">otorgada por el Sujeto Obligado </w:t>
      </w:r>
      <w:r w:rsidRPr="00560B11">
        <w:rPr>
          <w:rFonts w:ascii="Palatino Linotype" w:eastAsia="Palatino Linotype" w:hAnsi="Palatino Linotype" w:cs="Palatino Linotype"/>
          <w:b/>
        </w:rPr>
        <w:t xml:space="preserve">para satisfacer el derecho de acceso a la información pública </w:t>
      </w:r>
      <w:r w:rsidRPr="00560B11">
        <w:rPr>
          <w:rFonts w:ascii="Palatino Linotype" w:eastAsia="Palatino Linotype" w:hAnsi="Palatino Linotype" w:cs="Palatino Linotype"/>
        </w:rPr>
        <w:t>de la parte</w:t>
      </w:r>
      <w:r w:rsidRPr="00560B11">
        <w:rPr>
          <w:rFonts w:ascii="Palatino Linotype" w:eastAsia="Palatino Linotype" w:hAnsi="Palatino Linotype" w:cs="Palatino Linotype"/>
          <w:b/>
        </w:rPr>
        <w:t xml:space="preserve"> Recurrente,</w:t>
      </w:r>
      <w:r w:rsidRPr="00560B11">
        <w:rPr>
          <w:rFonts w:ascii="Palatino Linotype" w:eastAsia="Palatino Linotype" w:hAnsi="Palatino Linotype" w:cs="Palatino Linotype"/>
        </w:rPr>
        <w:t xml:space="preserve"> o en su defecto, en caso de ser procedente, ordenar la entrega de información oportuna.</w:t>
      </w:r>
    </w:p>
    <w:p w14:paraId="049A9CA7" w14:textId="5FF7C4F6" w:rsidR="00067650" w:rsidRPr="00560B11" w:rsidRDefault="00732F21" w:rsidP="00067650">
      <w:pPr>
        <w:spacing w:before="240" w:after="240" w:line="360" w:lineRule="auto"/>
        <w:jc w:val="both"/>
        <w:rPr>
          <w:rFonts w:ascii="Palatino Linotype" w:eastAsia="Palatino Linotype" w:hAnsi="Palatino Linotype" w:cs="Palatino Linotype"/>
        </w:rPr>
      </w:pPr>
      <w:r w:rsidRPr="00560B11">
        <w:rPr>
          <w:rFonts w:ascii="Palatino Linotype" w:eastAsia="Palatino Linotype" w:hAnsi="Palatino Linotype" w:cs="Palatino Linotype"/>
          <w:b/>
        </w:rPr>
        <w:t xml:space="preserve">Cuarto. Estudio del asunto. </w:t>
      </w:r>
      <w:r w:rsidR="00D42FA8" w:rsidRPr="00560B11">
        <w:rPr>
          <w:rFonts w:ascii="Palatino Linotype" w:hAnsi="Palatino Linotype" w:cs="Palatino Linotype"/>
        </w:rPr>
        <w:t xml:space="preserve">En primer lugar, es conveniente mencionar que de conformidad con el </w:t>
      </w:r>
      <w:r w:rsidR="00826133" w:rsidRPr="00560B11">
        <w:rPr>
          <w:rFonts w:ascii="Palatino Linotype" w:hAnsi="Palatino Linotype" w:cs="Palatino Linotype"/>
        </w:rPr>
        <w:t>artículo</w:t>
      </w:r>
      <w:r w:rsidR="00D42FA8" w:rsidRPr="00560B11">
        <w:rPr>
          <w:rFonts w:ascii="Palatino Linotype" w:hAnsi="Palatino Linotype" w:cs="Palatino Linotype"/>
        </w:rPr>
        <w:t xml:space="preserve"> 4 de l</w:t>
      </w:r>
      <w:r w:rsidR="00067650" w:rsidRPr="00560B11">
        <w:rPr>
          <w:rFonts w:ascii="Palatino Linotype" w:eastAsia="Palatino Linotype" w:hAnsi="Palatino Linotype" w:cs="Palatino Linotype"/>
        </w:rPr>
        <w:t>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3A786AB7" w14:textId="77777777" w:rsidR="00067650" w:rsidRPr="00560B11" w:rsidRDefault="00067650" w:rsidP="00067650">
      <w:pPr>
        <w:spacing w:before="120" w:after="120"/>
        <w:ind w:left="851" w:right="902"/>
        <w:jc w:val="both"/>
        <w:rPr>
          <w:rFonts w:ascii="Palatino Linotype" w:eastAsia="Palatino Linotype" w:hAnsi="Palatino Linotype" w:cs="Palatino Linotype"/>
          <w:i/>
          <w:sz w:val="22"/>
          <w:szCs w:val="22"/>
        </w:rPr>
      </w:pPr>
      <w:r w:rsidRPr="00560B11">
        <w:rPr>
          <w:rFonts w:ascii="Palatino Linotype" w:eastAsia="Palatino Linotype" w:hAnsi="Palatino Linotype" w:cs="Palatino Linotype"/>
          <w:i/>
          <w:sz w:val="22"/>
          <w:szCs w:val="22"/>
        </w:rPr>
        <w:t>“</w:t>
      </w:r>
      <w:r w:rsidRPr="00560B11">
        <w:rPr>
          <w:rFonts w:ascii="Palatino Linotype" w:eastAsia="Palatino Linotype" w:hAnsi="Palatino Linotype" w:cs="Palatino Linotype"/>
          <w:b/>
          <w:i/>
          <w:sz w:val="22"/>
          <w:szCs w:val="22"/>
        </w:rPr>
        <w:t>Artículo 4</w:t>
      </w:r>
      <w:r w:rsidRPr="00560B11">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8A2C33A" w14:textId="77777777" w:rsidR="00067650" w:rsidRPr="00560B11" w:rsidRDefault="00067650" w:rsidP="00067650">
      <w:pPr>
        <w:spacing w:before="120" w:after="120"/>
        <w:ind w:left="851" w:right="902"/>
        <w:jc w:val="both"/>
        <w:rPr>
          <w:rFonts w:ascii="Palatino Linotype" w:eastAsia="Palatino Linotype" w:hAnsi="Palatino Linotype" w:cs="Palatino Linotype"/>
          <w:i/>
          <w:sz w:val="22"/>
          <w:szCs w:val="22"/>
        </w:rPr>
      </w:pPr>
      <w:r w:rsidRPr="00560B11">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560B11">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7284C41" w14:textId="77777777" w:rsidR="00067650" w:rsidRPr="00560B11" w:rsidRDefault="00067650" w:rsidP="00067650">
      <w:pPr>
        <w:spacing w:before="120" w:after="120"/>
        <w:ind w:left="851" w:right="902"/>
        <w:jc w:val="both"/>
        <w:rPr>
          <w:rFonts w:ascii="Palatino Linotype" w:eastAsia="Palatino Linotype" w:hAnsi="Palatino Linotype" w:cs="Palatino Linotype"/>
          <w:i/>
          <w:sz w:val="22"/>
          <w:szCs w:val="22"/>
        </w:rPr>
      </w:pPr>
      <w:r w:rsidRPr="00560B11">
        <w:rPr>
          <w:rFonts w:ascii="Palatino Linotype" w:eastAsia="Palatino Linotype" w:hAnsi="Palatino Linotype" w:cs="Palatino Linotype"/>
          <w:b/>
          <w:i/>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r w:rsidRPr="00560B11">
        <w:rPr>
          <w:rFonts w:ascii="Palatino Linotype" w:eastAsia="Palatino Linotype" w:hAnsi="Palatino Linotype" w:cs="Palatino Linotype"/>
          <w:i/>
          <w:sz w:val="22"/>
          <w:szCs w:val="22"/>
        </w:rPr>
        <w:t>.”(Sic)</w:t>
      </w:r>
    </w:p>
    <w:p w14:paraId="40023EB1" w14:textId="77777777" w:rsidR="00067650" w:rsidRPr="00560B11" w:rsidRDefault="00067650" w:rsidP="00067650">
      <w:pPr>
        <w:spacing w:before="240" w:after="240" w:line="360" w:lineRule="auto"/>
        <w:jc w:val="both"/>
        <w:rPr>
          <w:rFonts w:ascii="Palatino Linotype" w:eastAsia="Palatino Linotype" w:hAnsi="Palatino Linotype" w:cs="Palatino Linotype"/>
        </w:rPr>
      </w:pPr>
      <w:r w:rsidRPr="00560B11">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312BE76A" w14:textId="77777777" w:rsidR="00067650" w:rsidRPr="00560B11" w:rsidRDefault="00067650" w:rsidP="00067650">
      <w:pPr>
        <w:spacing w:before="120" w:after="120"/>
        <w:ind w:left="851" w:right="902"/>
        <w:jc w:val="both"/>
        <w:rPr>
          <w:rFonts w:ascii="Palatino Linotype" w:eastAsia="Palatino Linotype" w:hAnsi="Palatino Linotype" w:cs="Palatino Linotype"/>
          <w:i/>
          <w:sz w:val="22"/>
          <w:szCs w:val="22"/>
        </w:rPr>
      </w:pPr>
      <w:r w:rsidRPr="00560B11">
        <w:rPr>
          <w:rFonts w:ascii="Palatino Linotype" w:eastAsia="Palatino Linotype" w:hAnsi="Palatino Linotype" w:cs="Palatino Linotype"/>
          <w:b/>
          <w:i/>
          <w:sz w:val="22"/>
          <w:szCs w:val="22"/>
        </w:rPr>
        <w:t>“Artículo 12.-</w:t>
      </w:r>
      <w:r w:rsidRPr="00560B11">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7C59A28C" w14:textId="77777777" w:rsidR="00067650" w:rsidRPr="00560B11" w:rsidRDefault="00067650" w:rsidP="00067650">
      <w:pPr>
        <w:spacing w:before="120" w:after="120"/>
        <w:ind w:left="851" w:right="902"/>
        <w:jc w:val="both"/>
        <w:rPr>
          <w:rFonts w:ascii="Palatino Linotype" w:eastAsia="Palatino Linotype" w:hAnsi="Palatino Linotype" w:cs="Palatino Linotype"/>
          <w:i/>
          <w:sz w:val="22"/>
          <w:szCs w:val="22"/>
        </w:rPr>
      </w:pPr>
      <w:r w:rsidRPr="00560B11">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560B11">
        <w:rPr>
          <w:rFonts w:ascii="Palatino Linotype" w:eastAsia="Palatino Linotype" w:hAnsi="Palatino Linotype" w:cs="Palatino Linotype"/>
          <w:i/>
          <w:sz w:val="22"/>
          <w:szCs w:val="22"/>
        </w:rPr>
        <w:t xml:space="preserve">. </w:t>
      </w:r>
      <w:r w:rsidRPr="00560B11">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15BDDB49" w14:textId="77777777" w:rsidR="00067650" w:rsidRPr="00560B11" w:rsidRDefault="00067650" w:rsidP="00067650">
      <w:pPr>
        <w:spacing w:before="240" w:after="240" w:line="360" w:lineRule="auto"/>
        <w:ind w:right="-93"/>
        <w:jc w:val="both"/>
        <w:rPr>
          <w:rFonts w:ascii="Palatino Linotype" w:eastAsia="Palatino Linotype" w:hAnsi="Palatino Linotype" w:cs="Palatino Linotype"/>
        </w:rPr>
      </w:pPr>
      <w:r w:rsidRPr="00560B11">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2F922DE7" w14:textId="77777777" w:rsidR="00067650" w:rsidRPr="00560B11" w:rsidRDefault="00067650" w:rsidP="00067650">
      <w:pPr>
        <w:spacing w:before="240" w:after="240" w:line="360" w:lineRule="auto"/>
        <w:jc w:val="both"/>
        <w:rPr>
          <w:rFonts w:ascii="Palatino Linotype" w:eastAsia="Palatino Linotype" w:hAnsi="Palatino Linotype" w:cs="Palatino Linotype"/>
          <w:b/>
        </w:rPr>
      </w:pPr>
      <w:r w:rsidRPr="00560B11">
        <w:rPr>
          <w:rFonts w:ascii="Palatino Linotype" w:eastAsia="Palatino Linotype" w:hAnsi="Palatino Linotype" w:cs="Palatino Linotype"/>
        </w:rPr>
        <w:lastRenderedPageBreak/>
        <w:t>Sirve de apoyo a lo anterior, el criterio 03/17, emitido por el Instituto Nacional de Transparencia, Acceso a la Información y Protección de Datos Personales, que por rubro y texto, dispone lo siguiente:</w:t>
      </w:r>
      <w:r w:rsidRPr="00560B11">
        <w:rPr>
          <w:rFonts w:ascii="Palatino Linotype" w:eastAsia="Palatino Linotype" w:hAnsi="Palatino Linotype" w:cs="Palatino Linotype"/>
          <w:b/>
        </w:rPr>
        <w:t xml:space="preserve"> </w:t>
      </w:r>
    </w:p>
    <w:p w14:paraId="15F7BB1B" w14:textId="77777777" w:rsidR="00067650" w:rsidRPr="00560B11" w:rsidRDefault="00067650" w:rsidP="00067650">
      <w:pPr>
        <w:spacing w:before="120" w:after="120"/>
        <w:ind w:left="1134" w:right="902"/>
        <w:jc w:val="both"/>
        <w:rPr>
          <w:rFonts w:ascii="Palatino Linotype" w:eastAsia="Palatino Linotype" w:hAnsi="Palatino Linotype" w:cs="Palatino Linotype"/>
          <w:i/>
          <w:sz w:val="22"/>
          <w:szCs w:val="22"/>
        </w:rPr>
      </w:pPr>
      <w:r w:rsidRPr="00560B11">
        <w:rPr>
          <w:rFonts w:ascii="Palatino Linotype" w:eastAsia="Palatino Linotype" w:hAnsi="Palatino Linotype" w:cs="Palatino Linotype"/>
          <w:i/>
          <w:sz w:val="22"/>
          <w:szCs w:val="22"/>
        </w:rPr>
        <w:t>“</w:t>
      </w:r>
      <w:r w:rsidRPr="00560B11">
        <w:rPr>
          <w:rFonts w:ascii="Palatino Linotype" w:eastAsia="Palatino Linotype" w:hAnsi="Palatino Linotype" w:cs="Palatino Linotype"/>
          <w:b/>
          <w:i/>
          <w:sz w:val="22"/>
          <w:szCs w:val="22"/>
        </w:rPr>
        <w:t>No existe obligación de elaborar documentos ad hoc para atender las solicitudes de acceso a la información.</w:t>
      </w:r>
      <w:r w:rsidRPr="00560B11">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5BD1B986" w14:textId="77777777" w:rsidR="00067650" w:rsidRPr="00560B11" w:rsidRDefault="00067650" w:rsidP="00067650">
      <w:pPr>
        <w:spacing w:before="120" w:after="120" w:line="360" w:lineRule="auto"/>
        <w:jc w:val="both"/>
        <w:rPr>
          <w:rFonts w:ascii="Palatino Linotype" w:eastAsia="Palatino Linotype" w:hAnsi="Palatino Linotype" w:cs="Palatino Linotype"/>
        </w:rPr>
      </w:pPr>
      <w:r w:rsidRPr="00560B11">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7C724CC" w14:textId="77777777" w:rsidR="00067650" w:rsidRPr="00560B11" w:rsidRDefault="00067650" w:rsidP="00067650">
      <w:pPr>
        <w:spacing w:before="120" w:after="120" w:line="360" w:lineRule="auto"/>
        <w:jc w:val="both"/>
        <w:rPr>
          <w:rFonts w:ascii="Palatino Linotype" w:eastAsia="Palatino Linotype" w:hAnsi="Palatino Linotype" w:cs="Palatino Linotype"/>
        </w:rPr>
      </w:pPr>
      <w:r w:rsidRPr="00560B11">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w:t>
      </w:r>
      <w:r w:rsidRPr="00560B11">
        <w:rPr>
          <w:rFonts w:ascii="Palatino Linotype" w:eastAsia="Palatino Linotype" w:hAnsi="Palatino Linotype" w:cs="Palatino Linotype"/>
        </w:rPr>
        <w:lastRenderedPageBreak/>
        <w:t xml:space="preserve">informático u holográfico de conformidad con el artículo 3, fracción XI de la Ley de la materia, el cual señala lo siguiente: </w:t>
      </w:r>
    </w:p>
    <w:p w14:paraId="7250A970" w14:textId="77777777" w:rsidR="00067650" w:rsidRPr="00560B11" w:rsidRDefault="00067650" w:rsidP="00067650">
      <w:pPr>
        <w:spacing w:before="120" w:after="120"/>
        <w:ind w:left="851" w:right="902"/>
        <w:jc w:val="both"/>
        <w:rPr>
          <w:rFonts w:ascii="Palatino Linotype" w:eastAsia="Palatino Linotype" w:hAnsi="Palatino Linotype" w:cs="Palatino Linotype"/>
          <w:i/>
          <w:sz w:val="22"/>
          <w:szCs w:val="22"/>
        </w:rPr>
      </w:pPr>
      <w:r w:rsidRPr="00560B11">
        <w:rPr>
          <w:rFonts w:ascii="Palatino Linotype" w:eastAsia="Palatino Linotype" w:hAnsi="Palatino Linotype" w:cs="Palatino Linotype"/>
          <w:i/>
          <w:sz w:val="22"/>
          <w:szCs w:val="22"/>
        </w:rPr>
        <w:t>“</w:t>
      </w:r>
      <w:r w:rsidRPr="00560B11">
        <w:rPr>
          <w:rFonts w:ascii="Palatino Linotype" w:eastAsia="Palatino Linotype" w:hAnsi="Palatino Linotype" w:cs="Palatino Linotype"/>
          <w:b/>
          <w:i/>
          <w:sz w:val="22"/>
          <w:szCs w:val="22"/>
        </w:rPr>
        <w:t xml:space="preserve">Artículo 3. </w:t>
      </w:r>
      <w:r w:rsidRPr="00560B11">
        <w:rPr>
          <w:rFonts w:ascii="Palatino Linotype" w:eastAsia="Palatino Linotype" w:hAnsi="Palatino Linotype" w:cs="Palatino Linotype"/>
          <w:i/>
          <w:sz w:val="22"/>
          <w:szCs w:val="22"/>
        </w:rPr>
        <w:t>Para los efectos de la presente Ley se entenderá por:</w:t>
      </w:r>
    </w:p>
    <w:p w14:paraId="1B8128A6" w14:textId="77777777" w:rsidR="00067650" w:rsidRPr="00560B11" w:rsidRDefault="00067650" w:rsidP="00067650">
      <w:pPr>
        <w:spacing w:before="120" w:after="120"/>
        <w:ind w:left="1134" w:right="902"/>
        <w:jc w:val="both"/>
        <w:rPr>
          <w:rFonts w:ascii="Palatino Linotype" w:eastAsia="Palatino Linotype" w:hAnsi="Palatino Linotype" w:cs="Palatino Linotype"/>
          <w:i/>
          <w:sz w:val="22"/>
          <w:szCs w:val="22"/>
        </w:rPr>
      </w:pPr>
      <w:r w:rsidRPr="00560B11">
        <w:rPr>
          <w:rFonts w:ascii="Palatino Linotype" w:eastAsia="Palatino Linotype" w:hAnsi="Palatino Linotype" w:cs="Palatino Linotype"/>
          <w:i/>
          <w:sz w:val="22"/>
          <w:szCs w:val="22"/>
        </w:rPr>
        <w:t>…</w:t>
      </w:r>
    </w:p>
    <w:p w14:paraId="45011EA1" w14:textId="77777777" w:rsidR="00067650" w:rsidRPr="00560B11" w:rsidRDefault="00067650" w:rsidP="00067650">
      <w:pPr>
        <w:spacing w:before="120" w:after="120"/>
        <w:ind w:left="1134" w:right="902"/>
        <w:jc w:val="both"/>
        <w:rPr>
          <w:rFonts w:ascii="Palatino Linotype" w:eastAsia="Palatino Linotype" w:hAnsi="Palatino Linotype" w:cs="Palatino Linotype"/>
          <w:i/>
          <w:sz w:val="22"/>
          <w:szCs w:val="22"/>
        </w:rPr>
      </w:pPr>
      <w:r w:rsidRPr="00560B11">
        <w:rPr>
          <w:rFonts w:ascii="Palatino Linotype" w:eastAsia="Palatino Linotype" w:hAnsi="Palatino Linotype" w:cs="Palatino Linotype"/>
          <w:b/>
          <w:i/>
          <w:sz w:val="22"/>
          <w:szCs w:val="22"/>
        </w:rPr>
        <w:t>XI. Documento:</w:t>
      </w:r>
      <w:r w:rsidRPr="00560B11">
        <w:rPr>
          <w:rFonts w:ascii="Palatino Linotype" w:eastAsia="Palatino Linotype" w:hAnsi="Palatino Linotype" w:cs="Palatino Linotype"/>
          <w:i/>
          <w:sz w:val="22"/>
          <w:szCs w:val="22"/>
        </w:rPr>
        <w:t xml:space="preserve"> Los expedientes, reportes, estudios, actas</w:t>
      </w:r>
      <w:r w:rsidRPr="00560B11">
        <w:rPr>
          <w:rFonts w:ascii="Palatino Linotype" w:eastAsia="Palatino Linotype" w:hAnsi="Palatino Linotype" w:cs="Palatino Linotype"/>
          <w:b/>
          <w:i/>
          <w:sz w:val="22"/>
          <w:szCs w:val="22"/>
        </w:rPr>
        <w:t>,</w:t>
      </w:r>
      <w:r w:rsidRPr="00560B11">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5700D46A" w14:textId="77777777" w:rsidR="00067650" w:rsidRPr="00560B11" w:rsidRDefault="00067650" w:rsidP="00067650">
      <w:pPr>
        <w:spacing w:before="240" w:after="240" w:line="360" w:lineRule="auto"/>
        <w:jc w:val="both"/>
        <w:rPr>
          <w:rFonts w:ascii="Palatino Linotype" w:eastAsia="Palatino Linotype" w:hAnsi="Palatino Linotype" w:cs="Palatino Linotype"/>
        </w:rPr>
      </w:pPr>
      <w:r w:rsidRPr="00560B11">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5E1BCC0" w14:textId="77777777" w:rsidR="00067650" w:rsidRPr="00560B11" w:rsidRDefault="00067650" w:rsidP="00067650">
      <w:pPr>
        <w:spacing w:before="120" w:after="120"/>
        <w:ind w:left="851" w:right="902"/>
        <w:jc w:val="both"/>
        <w:rPr>
          <w:rFonts w:ascii="Palatino Linotype" w:eastAsia="Palatino Linotype" w:hAnsi="Palatino Linotype" w:cs="Palatino Linotype"/>
          <w:i/>
          <w:sz w:val="22"/>
          <w:szCs w:val="22"/>
        </w:rPr>
      </w:pPr>
      <w:r w:rsidRPr="00560B11">
        <w:rPr>
          <w:rFonts w:ascii="Palatino Linotype" w:eastAsia="Palatino Linotype" w:hAnsi="Palatino Linotype" w:cs="Palatino Linotype"/>
          <w:b/>
          <w:sz w:val="22"/>
          <w:szCs w:val="22"/>
        </w:rPr>
        <w:t>“</w:t>
      </w:r>
      <w:r w:rsidRPr="00560B11">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560B11">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012EE36" w14:textId="77777777" w:rsidR="00067650" w:rsidRPr="00560B11" w:rsidRDefault="00067650" w:rsidP="00067650">
      <w:pPr>
        <w:spacing w:before="120" w:after="120"/>
        <w:ind w:left="851" w:right="902"/>
        <w:jc w:val="both"/>
        <w:rPr>
          <w:rFonts w:ascii="Palatino Linotype" w:eastAsia="Palatino Linotype" w:hAnsi="Palatino Linotype" w:cs="Palatino Linotype"/>
          <w:i/>
          <w:sz w:val="22"/>
          <w:szCs w:val="22"/>
        </w:rPr>
      </w:pPr>
      <w:r w:rsidRPr="00560B11">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01496D01" w14:textId="77777777" w:rsidR="00067650" w:rsidRPr="00560B11" w:rsidRDefault="00067650" w:rsidP="00067650">
      <w:pPr>
        <w:spacing w:before="120" w:after="120"/>
        <w:ind w:left="1134" w:right="902"/>
        <w:jc w:val="both"/>
        <w:rPr>
          <w:rFonts w:ascii="Palatino Linotype" w:eastAsia="Palatino Linotype" w:hAnsi="Palatino Linotype" w:cs="Palatino Linotype"/>
          <w:i/>
          <w:sz w:val="22"/>
          <w:szCs w:val="22"/>
        </w:rPr>
      </w:pPr>
      <w:r w:rsidRPr="00560B11">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8E77B9A" w14:textId="77777777" w:rsidR="00067650" w:rsidRPr="00560B11" w:rsidRDefault="00067650" w:rsidP="00067650">
      <w:pPr>
        <w:spacing w:before="120" w:after="120"/>
        <w:ind w:left="1134" w:right="902"/>
        <w:jc w:val="both"/>
        <w:rPr>
          <w:rFonts w:ascii="Palatino Linotype" w:eastAsia="Palatino Linotype" w:hAnsi="Palatino Linotype" w:cs="Palatino Linotype"/>
          <w:i/>
          <w:sz w:val="22"/>
          <w:szCs w:val="22"/>
        </w:rPr>
      </w:pPr>
      <w:r w:rsidRPr="00560B11">
        <w:rPr>
          <w:rFonts w:ascii="Palatino Linotype" w:eastAsia="Palatino Linotype" w:hAnsi="Palatino Linotype" w:cs="Palatino Linotype"/>
          <w:i/>
          <w:sz w:val="22"/>
          <w:szCs w:val="22"/>
        </w:rPr>
        <w:lastRenderedPageBreak/>
        <w:t>2) Que se trate de información registrada en cualquier soporte documental, que en ejercicio de las atribuciones conferidas, sea administrada por los Sujetos Obligados, y</w:t>
      </w:r>
    </w:p>
    <w:p w14:paraId="637DC4A5" w14:textId="77777777" w:rsidR="00067650" w:rsidRPr="00560B11" w:rsidRDefault="00067650" w:rsidP="00067650">
      <w:pPr>
        <w:spacing w:before="120" w:after="120"/>
        <w:ind w:left="1134" w:right="902"/>
        <w:jc w:val="both"/>
        <w:rPr>
          <w:rFonts w:ascii="Palatino Linotype" w:eastAsia="Palatino Linotype" w:hAnsi="Palatino Linotype" w:cs="Palatino Linotype"/>
          <w:i/>
          <w:sz w:val="22"/>
          <w:szCs w:val="22"/>
        </w:rPr>
      </w:pPr>
      <w:r w:rsidRPr="00560B11">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 (Sic)</w:t>
      </w:r>
    </w:p>
    <w:p w14:paraId="6AEDE380" w14:textId="77777777" w:rsidR="00067650" w:rsidRPr="00560B11" w:rsidRDefault="00067650" w:rsidP="00067650">
      <w:pPr>
        <w:spacing w:before="240" w:after="240" w:line="360" w:lineRule="auto"/>
        <w:ind w:right="51"/>
        <w:jc w:val="both"/>
        <w:rPr>
          <w:rFonts w:ascii="Palatino Linotype" w:eastAsia="Palatino Linotype" w:hAnsi="Palatino Linotype" w:cs="Palatino Linotype"/>
        </w:rPr>
      </w:pPr>
      <w:r w:rsidRPr="00560B11">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33DA57A" w14:textId="77777777" w:rsidR="00067650" w:rsidRPr="00560B11" w:rsidRDefault="00067650" w:rsidP="00067650">
      <w:pPr>
        <w:spacing w:before="240" w:after="240" w:line="360" w:lineRule="auto"/>
        <w:jc w:val="both"/>
        <w:rPr>
          <w:rFonts w:ascii="Palatino Linotype" w:eastAsia="Palatino Linotype" w:hAnsi="Palatino Linotype" w:cs="Palatino Linotype"/>
        </w:rPr>
      </w:pPr>
      <w:r w:rsidRPr="00560B11">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2F021C74" w14:textId="28F61DC0" w:rsidR="00881541" w:rsidRPr="00560B11" w:rsidRDefault="00DB7CD7">
      <w:pPr>
        <w:spacing w:before="240" w:after="240" w:line="360" w:lineRule="auto"/>
        <w:ind w:right="51"/>
        <w:jc w:val="both"/>
        <w:rPr>
          <w:rFonts w:ascii="Palatino Linotype" w:eastAsia="Palatino Linotype" w:hAnsi="Palatino Linotype" w:cs="Palatino Linotype"/>
          <w:b/>
        </w:rPr>
      </w:pPr>
      <w:r w:rsidRPr="00560B11">
        <w:rPr>
          <w:rFonts w:ascii="Palatino Linotype" w:eastAsia="Palatino Linotype" w:hAnsi="Palatino Linotype" w:cs="Palatino Linotype"/>
        </w:rPr>
        <w:lastRenderedPageBreak/>
        <w:t>Ahora bien, d</w:t>
      </w:r>
      <w:r w:rsidR="00732F21" w:rsidRPr="00560B11">
        <w:rPr>
          <w:rFonts w:ascii="Palatino Linotype" w:eastAsia="Palatino Linotype" w:hAnsi="Palatino Linotype" w:cs="Palatino Linotype"/>
        </w:rPr>
        <w:t>el análisis de la solicitud de información, motivo del recurso de revisión que ahora se resuelve</w:t>
      </w:r>
      <w:r w:rsidR="00826133" w:rsidRPr="00560B11">
        <w:rPr>
          <w:rFonts w:ascii="Palatino Linotype" w:eastAsia="Palatino Linotype" w:hAnsi="Palatino Linotype" w:cs="Palatino Linotype"/>
        </w:rPr>
        <w:t>,</w:t>
      </w:r>
      <w:r w:rsidR="00732F21" w:rsidRPr="00560B11">
        <w:rPr>
          <w:rFonts w:ascii="Palatino Linotype" w:eastAsia="Palatino Linotype" w:hAnsi="Palatino Linotype" w:cs="Palatino Linotype"/>
        </w:rPr>
        <w:t xml:space="preserve"> se advierte que la parte </w:t>
      </w:r>
      <w:r w:rsidR="00732F21" w:rsidRPr="00560B11">
        <w:rPr>
          <w:rFonts w:ascii="Palatino Linotype" w:eastAsia="Palatino Linotype" w:hAnsi="Palatino Linotype" w:cs="Palatino Linotype"/>
          <w:b/>
        </w:rPr>
        <w:t>Recurrente</w:t>
      </w:r>
      <w:r w:rsidR="00732F21" w:rsidRPr="00560B11">
        <w:rPr>
          <w:rFonts w:ascii="Palatino Linotype" w:eastAsia="Palatino Linotype" w:hAnsi="Palatino Linotype" w:cs="Palatino Linotype"/>
        </w:rPr>
        <w:t xml:space="preserve"> requirió al </w:t>
      </w:r>
      <w:r w:rsidR="00732F21" w:rsidRPr="00560B11">
        <w:rPr>
          <w:rFonts w:ascii="Palatino Linotype" w:eastAsia="Palatino Linotype" w:hAnsi="Palatino Linotype" w:cs="Palatino Linotype"/>
          <w:b/>
        </w:rPr>
        <w:t xml:space="preserve">Sujeto Obligado </w:t>
      </w:r>
      <w:r w:rsidR="00732F21" w:rsidRPr="00560B11">
        <w:rPr>
          <w:rFonts w:ascii="Palatino Linotype" w:eastAsia="Palatino Linotype" w:hAnsi="Palatino Linotype" w:cs="Palatino Linotype"/>
        </w:rPr>
        <w:t>le proporcione, información consistente en lo siguiente:</w:t>
      </w:r>
    </w:p>
    <w:p w14:paraId="4E9DD34A" w14:textId="4B17BC2A" w:rsidR="00386698" w:rsidRPr="00560B11" w:rsidRDefault="00732F21">
      <w:pPr>
        <w:spacing w:before="240" w:after="240" w:line="360" w:lineRule="auto"/>
        <w:ind w:left="426"/>
        <w:jc w:val="both"/>
        <w:rPr>
          <w:rFonts w:ascii="Palatino Linotype" w:eastAsia="Palatino Linotype" w:hAnsi="Palatino Linotype" w:cs="Palatino Linotype"/>
        </w:rPr>
      </w:pPr>
      <w:r w:rsidRPr="00560B11">
        <w:rPr>
          <w:rFonts w:ascii="Palatino Linotype" w:eastAsia="Palatino Linotype" w:hAnsi="Palatino Linotype" w:cs="Palatino Linotype"/>
        </w:rPr>
        <w:t xml:space="preserve">1. </w:t>
      </w:r>
      <w:r w:rsidR="00DB7CD7" w:rsidRPr="00560B11">
        <w:rPr>
          <w:rFonts w:ascii="Palatino Linotype" w:eastAsia="Palatino Linotype" w:hAnsi="Palatino Linotype" w:cs="Palatino Linotype"/>
        </w:rPr>
        <w:t>Estatus</w:t>
      </w:r>
      <w:r w:rsidR="0009155F" w:rsidRPr="00560B11">
        <w:rPr>
          <w:rFonts w:ascii="Palatino Linotype" w:eastAsia="Palatino Linotype" w:hAnsi="Palatino Linotype" w:cs="Palatino Linotype"/>
        </w:rPr>
        <w:t xml:space="preserve"> </w:t>
      </w:r>
      <w:r w:rsidR="00A87968" w:rsidRPr="00560B11">
        <w:rPr>
          <w:rFonts w:ascii="Palatino Linotype" w:eastAsia="Palatino Linotype" w:hAnsi="Palatino Linotype" w:cs="Palatino Linotype"/>
        </w:rPr>
        <w:t xml:space="preserve">y fundamento legal </w:t>
      </w:r>
      <w:r w:rsidR="00DB7CD7" w:rsidRPr="00560B11">
        <w:rPr>
          <w:rFonts w:ascii="Palatino Linotype" w:eastAsia="Palatino Linotype" w:hAnsi="Palatino Linotype" w:cs="Palatino Linotype"/>
        </w:rPr>
        <w:t>del cierre la Vialidad Cola de Caballo, en el municipio de Cuautitlán, ¿por qué se tomó tal atribución</w:t>
      </w:r>
      <w:r w:rsidR="00022448" w:rsidRPr="00560B11">
        <w:rPr>
          <w:rFonts w:ascii="Palatino Linotype" w:eastAsia="Palatino Linotype" w:hAnsi="Palatino Linotype" w:cs="Palatino Linotype"/>
        </w:rPr>
        <w:t>?</w:t>
      </w:r>
      <w:r w:rsidR="00A87968" w:rsidRPr="00560B11">
        <w:rPr>
          <w:rFonts w:ascii="Palatino Linotype" w:eastAsia="Palatino Linotype" w:hAnsi="Palatino Linotype" w:cs="Palatino Linotype"/>
        </w:rPr>
        <w:t xml:space="preserve"> </w:t>
      </w:r>
      <w:r w:rsidR="00386698" w:rsidRPr="00560B11">
        <w:rPr>
          <w:rFonts w:ascii="Palatino Linotype" w:eastAsia="Palatino Linotype" w:hAnsi="Palatino Linotype" w:cs="Palatino Linotype"/>
        </w:rPr>
        <w:t>¿</w:t>
      </w:r>
      <w:r w:rsidR="00DB7CD7" w:rsidRPr="00560B11">
        <w:rPr>
          <w:rFonts w:ascii="Palatino Linotype" w:eastAsia="Palatino Linotype" w:hAnsi="Palatino Linotype" w:cs="Palatino Linotype"/>
        </w:rPr>
        <w:t>el Gobierno del Estado de México est</w:t>
      </w:r>
      <w:r w:rsidR="00386698" w:rsidRPr="00560B11">
        <w:rPr>
          <w:rFonts w:ascii="Palatino Linotype" w:eastAsia="Palatino Linotype" w:hAnsi="Palatino Linotype" w:cs="Palatino Linotype"/>
        </w:rPr>
        <w:t>á</w:t>
      </w:r>
      <w:r w:rsidR="00DB7CD7" w:rsidRPr="00560B11">
        <w:rPr>
          <w:rFonts w:ascii="Palatino Linotype" w:eastAsia="Palatino Linotype" w:hAnsi="Palatino Linotype" w:cs="Palatino Linotype"/>
        </w:rPr>
        <w:t xml:space="preserve"> enterado de dicho cierre? </w:t>
      </w:r>
    </w:p>
    <w:p w14:paraId="5CB8D964" w14:textId="5DC3B737" w:rsidR="00386698" w:rsidRPr="00560B11" w:rsidRDefault="00386698">
      <w:pPr>
        <w:spacing w:before="240" w:after="240" w:line="360" w:lineRule="auto"/>
        <w:ind w:left="426"/>
        <w:jc w:val="both"/>
        <w:rPr>
          <w:rFonts w:ascii="Palatino Linotype" w:eastAsia="Palatino Linotype" w:hAnsi="Palatino Linotype" w:cs="Palatino Linotype"/>
        </w:rPr>
      </w:pPr>
      <w:r w:rsidRPr="00560B11">
        <w:rPr>
          <w:rFonts w:ascii="Palatino Linotype" w:eastAsia="Palatino Linotype" w:hAnsi="Palatino Linotype" w:cs="Palatino Linotype"/>
        </w:rPr>
        <w:t xml:space="preserve">2. </w:t>
      </w:r>
      <w:r w:rsidR="0009155F" w:rsidRPr="00560B11">
        <w:rPr>
          <w:rFonts w:ascii="Palatino Linotype" w:eastAsia="Palatino Linotype" w:hAnsi="Palatino Linotype" w:cs="Palatino Linotype"/>
        </w:rPr>
        <w:t xml:space="preserve">Estatus y fundamento legal </w:t>
      </w:r>
      <w:r w:rsidRPr="00560B11">
        <w:rPr>
          <w:rFonts w:ascii="Palatino Linotype" w:eastAsia="Palatino Linotype" w:hAnsi="Palatino Linotype" w:cs="Palatino Linotype"/>
        </w:rPr>
        <w:t>del cierre de la A</w:t>
      </w:r>
      <w:r w:rsidR="00DB7CD7" w:rsidRPr="00560B11">
        <w:rPr>
          <w:rFonts w:ascii="Palatino Linotype" w:eastAsia="Palatino Linotype" w:hAnsi="Palatino Linotype" w:cs="Palatino Linotype"/>
        </w:rPr>
        <w:t>venida 6 de junio que conecta Tultepec y Cuautitlán, a la altura de Rancho San Blas</w:t>
      </w:r>
      <w:r w:rsidRPr="00560B11">
        <w:rPr>
          <w:rFonts w:ascii="Palatino Linotype" w:eastAsia="Palatino Linotype" w:hAnsi="Palatino Linotype" w:cs="Palatino Linotype"/>
        </w:rPr>
        <w:t>.</w:t>
      </w:r>
    </w:p>
    <w:p w14:paraId="373F76C3" w14:textId="4E173793" w:rsidR="00714E10" w:rsidRPr="00560B11" w:rsidRDefault="00714E10" w:rsidP="00950EF3">
      <w:pPr>
        <w:spacing w:before="240" w:after="240" w:line="360" w:lineRule="auto"/>
        <w:jc w:val="both"/>
        <w:rPr>
          <w:rFonts w:ascii="Palatino Linotype" w:hAnsi="Palatino Linotype" w:cs="Arial"/>
        </w:rPr>
      </w:pPr>
      <w:r w:rsidRPr="00560B11">
        <w:rPr>
          <w:rFonts w:ascii="Palatino Linotype" w:eastAsia="Palatino Linotype" w:hAnsi="Palatino Linotype" w:cs="Palatino Linotype"/>
        </w:rPr>
        <w:t>Asimismo, es oportuno referir que la persona solicitante realizó diversos planteamientos subjetivos, como “</w:t>
      </w:r>
      <w:r w:rsidRPr="00560B11">
        <w:rPr>
          <w:rFonts w:ascii="Palatino Linotype" w:eastAsia="Palatino Linotype" w:hAnsi="Palatino Linotype" w:cs="Palatino Linotype"/>
          <w:i/>
          <w:sz w:val="22"/>
          <w:szCs w:val="22"/>
        </w:rPr>
        <w:t xml:space="preserve">Buen Día Tengo mi domicilio en la Vialidad Cola de Caballo, en el municipio de Cuautitlán, la cual fue cerrada sin previo aviso o simplemente notificar que se </w:t>
      </w:r>
      <w:proofErr w:type="spellStart"/>
      <w:r w:rsidRPr="00560B11">
        <w:rPr>
          <w:rFonts w:ascii="Palatino Linotype" w:eastAsia="Palatino Linotype" w:hAnsi="Palatino Linotype" w:cs="Palatino Linotype"/>
          <w:i/>
          <w:sz w:val="22"/>
          <w:szCs w:val="22"/>
        </w:rPr>
        <w:t>cerraria</w:t>
      </w:r>
      <w:proofErr w:type="spellEnd"/>
      <w:r w:rsidRPr="00560B11">
        <w:rPr>
          <w:rFonts w:ascii="Palatino Linotype" w:eastAsia="Palatino Linotype" w:hAnsi="Palatino Linotype" w:cs="Palatino Linotype"/>
          <w:i/>
          <w:sz w:val="22"/>
          <w:szCs w:val="22"/>
        </w:rPr>
        <w:t xml:space="preserve"> un vialidad de tanta importancia en el flujo hacia los municipios” (sic), </w:t>
      </w:r>
      <w:r w:rsidRPr="00560B11">
        <w:rPr>
          <w:rFonts w:ascii="Palatino Linotype" w:hAnsi="Palatino Linotype" w:cs="Arial"/>
          <w:bCs/>
        </w:rPr>
        <w:t xml:space="preserve">ante lo cual se puntualiza que el derecho al acceso a la información pública constituye una prerrogativa para acceder a documentos o registros de información pública generada o en posesión de los sujetos obligados,  motivo por el cual, este Organismo Garante reitera que dichas manifestaciones no son susceptibles de ser tomadas en consideración, </w:t>
      </w:r>
      <w:r w:rsidRPr="00560B11">
        <w:rPr>
          <w:rFonts w:ascii="Palatino Linotype" w:eastAsia="Arial Unicode MS" w:hAnsi="Palatino Linotype" w:cs="Arial"/>
        </w:rPr>
        <w:t xml:space="preserve">toda vez que, no constituyen el ejercicio de un derecho de acceso a la información pública, sino más bien el ejercicio de </w:t>
      </w:r>
      <w:r w:rsidRPr="00560B11">
        <w:rPr>
          <w:rFonts w:ascii="Palatino Linotype" w:hAnsi="Palatino Linotype" w:cs="Arial"/>
          <w:szCs w:val="20"/>
        </w:rPr>
        <w:t xml:space="preserve">un derecho de expresión, </w:t>
      </w:r>
      <w:r w:rsidRPr="00560B11">
        <w:rPr>
          <w:rFonts w:ascii="Palatino Linotype" w:hAnsi="Palatino Linotype" w:cs="Arial"/>
        </w:rPr>
        <w:t>cuya finalidad consiste poner en contexto su solicitud de información, no obstante se trata de manifestaciones sobre las cuales este Instituto no está facultado para pronunciarse.</w:t>
      </w:r>
    </w:p>
    <w:p w14:paraId="23F25D62" w14:textId="5D8067EC" w:rsidR="00714E10" w:rsidRPr="00560B11" w:rsidRDefault="00714E10" w:rsidP="00714E10">
      <w:pPr>
        <w:spacing w:before="240" w:after="240" w:line="360" w:lineRule="auto"/>
        <w:jc w:val="both"/>
        <w:rPr>
          <w:rFonts w:ascii="Palatino Linotype" w:eastAsia="Palatino Linotype" w:hAnsi="Palatino Linotype" w:cs="Palatino Linotype"/>
        </w:rPr>
      </w:pPr>
      <w:r w:rsidRPr="00560B11">
        <w:rPr>
          <w:rFonts w:ascii="Palatino Linotype" w:hAnsi="Palatino Linotype" w:cs="Arial"/>
        </w:rPr>
        <w:t>Mientras que en el caso de los cuestionamientos “</w:t>
      </w:r>
      <w:r w:rsidRPr="00560B11">
        <w:rPr>
          <w:rFonts w:ascii="Palatino Linotype" w:eastAsia="Palatino Linotype" w:hAnsi="Palatino Linotype" w:cs="Palatino Linotype"/>
          <w:i/>
          <w:iCs/>
        </w:rPr>
        <w:t>porque se tomó tal atribución</w:t>
      </w:r>
      <w:r w:rsidRPr="00560B11">
        <w:rPr>
          <w:rFonts w:ascii="Palatino Linotype" w:eastAsia="Palatino Linotype" w:hAnsi="Palatino Linotype" w:cs="Palatino Linotype"/>
        </w:rPr>
        <w:t xml:space="preserve">?”, </w:t>
      </w:r>
      <w:r w:rsidR="0009155F" w:rsidRPr="00560B11">
        <w:rPr>
          <w:rFonts w:ascii="Palatino Linotype" w:eastAsia="Palatino Linotype" w:hAnsi="Palatino Linotype" w:cs="Palatino Linotype"/>
        </w:rPr>
        <w:t>“</w:t>
      </w:r>
      <w:r w:rsidR="0009155F" w:rsidRPr="00560B11">
        <w:rPr>
          <w:rFonts w:ascii="Palatino Linotype" w:eastAsia="Palatino Linotype" w:hAnsi="Palatino Linotype" w:cs="Palatino Linotype"/>
          <w:i/>
          <w:sz w:val="22"/>
          <w:szCs w:val="22"/>
        </w:rPr>
        <w:t xml:space="preserve">Cual fue el </w:t>
      </w:r>
      <w:proofErr w:type="gramStart"/>
      <w:r w:rsidR="0009155F" w:rsidRPr="00560B11">
        <w:rPr>
          <w:rFonts w:ascii="Palatino Linotype" w:eastAsia="Palatino Linotype" w:hAnsi="Palatino Linotype" w:cs="Palatino Linotype"/>
          <w:i/>
          <w:sz w:val="22"/>
          <w:szCs w:val="22"/>
        </w:rPr>
        <w:t>motivo?“</w:t>
      </w:r>
      <w:proofErr w:type="gramEnd"/>
      <w:r w:rsidR="0009155F" w:rsidRPr="00560B11">
        <w:rPr>
          <w:rFonts w:ascii="Palatino Linotype" w:eastAsia="Palatino Linotype" w:hAnsi="Palatino Linotype" w:cs="Palatino Linotype"/>
          <w:i/>
          <w:sz w:val="22"/>
          <w:szCs w:val="22"/>
        </w:rPr>
        <w:t xml:space="preserve"> </w:t>
      </w:r>
      <w:r w:rsidRPr="00560B11">
        <w:rPr>
          <w:rFonts w:ascii="Palatino Linotype" w:eastAsia="Palatino Linotype" w:hAnsi="Palatino Linotype" w:cs="Palatino Linotype"/>
        </w:rPr>
        <w:t>así como ”</w:t>
      </w:r>
      <w:r w:rsidRPr="00560B11">
        <w:rPr>
          <w:rFonts w:ascii="Palatino Linotype" w:eastAsia="Palatino Linotype" w:hAnsi="Palatino Linotype" w:cs="Palatino Linotype"/>
          <w:i/>
          <w:iCs/>
        </w:rPr>
        <w:t xml:space="preserve">el Gobierno del Estado de México </w:t>
      </w:r>
      <w:proofErr w:type="spellStart"/>
      <w:r w:rsidRPr="00560B11">
        <w:rPr>
          <w:rFonts w:ascii="Palatino Linotype" w:eastAsia="Palatino Linotype" w:hAnsi="Palatino Linotype" w:cs="Palatino Linotype"/>
          <w:i/>
          <w:iCs/>
        </w:rPr>
        <w:t>esta</w:t>
      </w:r>
      <w:proofErr w:type="spellEnd"/>
      <w:r w:rsidRPr="00560B11">
        <w:rPr>
          <w:rFonts w:ascii="Palatino Linotype" w:eastAsia="Palatino Linotype" w:hAnsi="Palatino Linotype" w:cs="Palatino Linotype"/>
          <w:i/>
          <w:iCs/>
        </w:rPr>
        <w:t xml:space="preserve"> enterado de dicho cierre</w:t>
      </w:r>
      <w:r w:rsidRPr="00560B11">
        <w:rPr>
          <w:rFonts w:ascii="Palatino Linotype" w:eastAsia="Palatino Linotype" w:hAnsi="Palatino Linotype" w:cs="Palatino Linotype"/>
        </w:rPr>
        <w:t xml:space="preserve">?” </w:t>
      </w:r>
      <w:r w:rsidRPr="00560B11">
        <w:rPr>
          <w:rFonts w:ascii="Palatino Linotype" w:eastAsia="Palatino Linotype" w:hAnsi="Palatino Linotype" w:cs="Palatino Linotype"/>
        </w:rPr>
        <w:lastRenderedPageBreak/>
        <w:t xml:space="preserve">(sic), debe apuntarse que la persona solicitante planteó cuestiones con las que pretendió se le informara sobre las razones o motivos por los cuales se tomó la determinación de realizar los cierres o bloqueos </w:t>
      </w:r>
      <w:r w:rsidR="001A3289" w:rsidRPr="00560B11">
        <w:rPr>
          <w:rFonts w:ascii="Palatino Linotype" w:eastAsia="Palatino Linotype" w:hAnsi="Palatino Linotype" w:cs="Palatino Linotype"/>
        </w:rPr>
        <w:t xml:space="preserve">referidos, así como saber si dicha situación es del conocimiento del Gobierno del Estado de México, </w:t>
      </w:r>
      <w:r w:rsidRPr="00560B11">
        <w:rPr>
          <w:rFonts w:ascii="Palatino Linotype" w:eastAsia="Palatino Linotype" w:hAnsi="Palatino Linotype" w:cs="Palatino Linotype"/>
        </w:rPr>
        <w:t>situación que conlleva a precisar que con tal</w:t>
      </w:r>
      <w:r w:rsidR="001A3289" w:rsidRPr="00560B11">
        <w:rPr>
          <w:rFonts w:ascii="Palatino Linotype" w:eastAsia="Palatino Linotype" w:hAnsi="Palatino Linotype" w:cs="Palatino Linotype"/>
        </w:rPr>
        <w:t>es</w:t>
      </w:r>
      <w:r w:rsidRPr="00560B11">
        <w:rPr>
          <w:rFonts w:ascii="Palatino Linotype" w:eastAsia="Palatino Linotype" w:hAnsi="Palatino Linotype" w:cs="Palatino Linotype"/>
        </w:rPr>
        <w:t xml:space="preserve"> pronunciamiento</w:t>
      </w:r>
      <w:r w:rsidR="001A3289" w:rsidRPr="00560B11">
        <w:rPr>
          <w:rFonts w:ascii="Palatino Linotype" w:eastAsia="Palatino Linotype" w:hAnsi="Palatino Linotype" w:cs="Palatino Linotype"/>
        </w:rPr>
        <w:t>s</w:t>
      </w:r>
      <w:r w:rsidRPr="00560B11">
        <w:rPr>
          <w:rFonts w:ascii="Palatino Linotype" w:eastAsia="Palatino Linotype" w:hAnsi="Palatino Linotype" w:cs="Palatino Linotype"/>
        </w:rPr>
        <w:t xml:space="preserve"> </w:t>
      </w:r>
      <w:r w:rsidR="001A3289" w:rsidRPr="00560B11">
        <w:rPr>
          <w:rFonts w:ascii="Palatino Linotype" w:eastAsia="Palatino Linotype" w:hAnsi="Palatino Linotype" w:cs="Palatino Linotype"/>
        </w:rPr>
        <w:t xml:space="preserve">la persona solicitante </w:t>
      </w:r>
      <w:r w:rsidRPr="00560B11">
        <w:rPr>
          <w:rFonts w:ascii="Palatino Linotype" w:eastAsia="Palatino Linotype" w:hAnsi="Palatino Linotype" w:cs="Palatino Linotype"/>
        </w:rPr>
        <w:t>no</w:t>
      </w:r>
      <w:r w:rsidR="0058081C" w:rsidRPr="00560B11">
        <w:rPr>
          <w:rFonts w:ascii="Palatino Linotype" w:eastAsia="Palatino Linotype" w:hAnsi="Palatino Linotype" w:cs="Palatino Linotype"/>
        </w:rPr>
        <w:t xml:space="preserve"> </w:t>
      </w:r>
      <w:r w:rsidRPr="00560B11">
        <w:rPr>
          <w:rFonts w:ascii="Palatino Linotype" w:eastAsia="Palatino Linotype" w:hAnsi="Palatino Linotype" w:cs="Palatino Linotype"/>
        </w:rPr>
        <w:t xml:space="preserve">pretendió ejercer </w:t>
      </w:r>
      <w:r w:rsidR="001A3289" w:rsidRPr="00560B11">
        <w:rPr>
          <w:rFonts w:ascii="Palatino Linotype" w:eastAsia="Palatino Linotype" w:hAnsi="Palatino Linotype" w:cs="Palatino Linotype"/>
        </w:rPr>
        <w:t>su</w:t>
      </w:r>
      <w:r w:rsidRPr="00560B11">
        <w:rPr>
          <w:rFonts w:ascii="Palatino Linotype" w:eastAsia="Palatino Linotype" w:hAnsi="Palatino Linotype" w:cs="Palatino Linotype"/>
        </w:rPr>
        <w:t xml:space="preserve"> derecho de acceso a la información pública; sino que por este medio presentó interrogante</w:t>
      </w:r>
      <w:r w:rsidR="001A3289" w:rsidRPr="00560B11">
        <w:rPr>
          <w:rFonts w:ascii="Palatino Linotype" w:eastAsia="Palatino Linotype" w:hAnsi="Palatino Linotype" w:cs="Palatino Linotype"/>
        </w:rPr>
        <w:t>s</w:t>
      </w:r>
      <w:r w:rsidRPr="00560B11">
        <w:rPr>
          <w:rFonts w:ascii="Palatino Linotype" w:eastAsia="Palatino Linotype" w:hAnsi="Palatino Linotype" w:cs="Palatino Linotype"/>
        </w:rPr>
        <w:t xml:space="preserve"> cuya finalidad es obligar a la autoridad a que actúe en el sentido de contestar lo solicitado, que no es factible atenderse vía acceso a la información pública, toda vez, que la atención a dicho</w:t>
      </w:r>
      <w:r w:rsidR="001A3289" w:rsidRPr="00560B11">
        <w:rPr>
          <w:rFonts w:ascii="Palatino Linotype" w:eastAsia="Palatino Linotype" w:hAnsi="Palatino Linotype" w:cs="Palatino Linotype"/>
        </w:rPr>
        <w:t>s</w:t>
      </w:r>
      <w:r w:rsidRPr="00560B11">
        <w:rPr>
          <w:rFonts w:ascii="Palatino Linotype" w:eastAsia="Palatino Linotype" w:hAnsi="Palatino Linotype" w:cs="Palatino Linotype"/>
        </w:rPr>
        <w:t xml:space="preserve"> cuestionamiento</w:t>
      </w:r>
      <w:r w:rsidR="001A3289" w:rsidRPr="00560B11">
        <w:rPr>
          <w:rFonts w:ascii="Palatino Linotype" w:eastAsia="Palatino Linotype" w:hAnsi="Palatino Linotype" w:cs="Palatino Linotype"/>
        </w:rPr>
        <w:t>s</w:t>
      </w:r>
      <w:r w:rsidRPr="00560B11">
        <w:rPr>
          <w:rFonts w:ascii="Palatino Linotype" w:eastAsia="Palatino Linotype" w:hAnsi="Palatino Linotype" w:cs="Palatino Linotype"/>
        </w:rPr>
        <w:t xml:space="preserve"> no se puede</w:t>
      </w:r>
      <w:r w:rsidR="001A3289" w:rsidRPr="00560B11">
        <w:rPr>
          <w:rFonts w:ascii="Palatino Linotype" w:eastAsia="Palatino Linotype" w:hAnsi="Palatino Linotype" w:cs="Palatino Linotype"/>
        </w:rPr>
        <w:t>n</w:t>
      </w:r>
      <w:r w:rsidRPr="00560B11">
        <w:rPr>
          <w:rFonts w:ascii="Palatino Linotype" w:eastAsia="Palatino Linotype" w:hAnsi="Palatino Linotype" w:cs="Palatino Linotype"/>
        </w:rPr>
        <w:t xml:space="preserve"> colmar con documentos que obren en los archivos del </w:t>
      </w:r>
      <w:r w:rsidRPr="00560B11">
        <w:rPr>
          <w:rFonts w:ascii="Palatino Linotype" w:eastAsia="Palatino Linotype" w:hAnsi="Palatino Linotype" w:cs="Palatino Linotype"/>
          <w:b/>
        </w:rPr>
        <w:t>Sujeto Obligado</w:t>
      </w:r>
      <w:r w:rsidRPr="00560B11">
        <w:rPr>
          <w:rFonts w:ascii="Palatino Linotype" w:eastAsia="Palatino Linotype" w:hAnsi="Palatino Linotype" w:cs="Palatino Linotype"/>
        </w:rPr>
        <w:t>.</w:t>
      </w:r>
    </w:p>
    <w:p w14:paraId="23F548C7" w14:textId="3C095956" w:rsidR="00714E10" w:rsidRPr="00560B11" w:rsidRDefault="00714E10" w:rsidP="00714E10">
      <w:pPr>
        <w:spacing w:before="240" w:after="240" w:line="360" w:lineRule="auto"/>
        <w:jc w:val="both"/>
        <w:rPr>
          <w:rFonts w:ascii="Palatino Linotype" w:eastAsia="Palatino Linotype" w:hAnsi="Palatino Linotype" w:cs="Palatino Linotype"/>
        </w:rPr>
      </w:pPr>
      <w:r w:rsidRPr="00560B11">
        <w:rPr>
          <w:rFonts w:ascii="Palatino Linotype" w:eastAsia="Palatino Linotype" w:hAnsi="Palatino Linotype" w:cs="Palatino Linotype"/>
        </w:rPr>
        <w:t xml:space="preserve">Por lo anterior, del análisis realizado </w:t>
      </w:r>
      <w:r w:rsidR="001A3289" w:rsidRPr="00560B11">
        <w:rPr>
          <w:rFonts w:ascii="Palatino Linotype" w:eastAsia="Palatino Linotype" w:hAnsi="Palatino Linotype" w:cs="Palatino Linotype"/>
        </w:rPr>
        <w:t>a la solicitud</w:t>
      </w:r>
      <w:r w:rsidRPr="00560B11">
        <w:rPr>
          <w:rFonts w:ascii="Palatino Linotype" w:eastAsia="Palatino Linotype" w:hAnsi="Palatino Linotype" w:cs="Palatino Linotype"/>
        </w:rPr>
        <w:t xml:space="preserve">, se advierte que </w:t>
      </w:r>
      <w:r w:rsidR="001A3289" w:rsidRPr="00560B11">
        <w:rPr>
          <w:rFonts w:ascii="Palatino Linotype" w:eastAsia="Palatino Linotype" w:hAnsi="Palatino Linotype" w:cs="Palatino Linotype"/>
        </w:rPr>
        <w:t xml:space="preserve">esta parte de la misma </w:t>
      </w:r>
      <w:r w:rsidRPr="00560B11">
        <w:rPr>
          <w:rFonts w:ascii="Palatino Linotype" w:eastAsia="Palatino Linotype" w:hAnsi="Palatino Linotype" w:cs="Palatino Linotype"/>
        </w:rPr>
        <w:t xml:space="preserve">no constituye un derecho de acceso a la información y por lo tanto no es atendible mediante una solicitud de acceso a la información pública, porque se tratan de manifestaciones subjetivas vertidas por el particular, interrogantes y declaraciones, situación que conlleva a afirmar que se está en presencia del ejercicio del derecho a la libre expresión y en todo caso a un derecho de petición. </w:t>
      </w:r>
    </w:p>
    <w:p w14:paraId="13F5BB69" w14:textId="77777777" w:rsidR="00714E10" w:rsidRPr="00560B11" w:rsidRDefault="00714E10" w:rsidP="00714E10">
      <w:pPr>
        <w:spacing w:before="240" w:after="240" w:line="360" w:lineRule="auto"/>
        <w:jc w:val="both"/>
        <w:rPr>
          <w:rFonts w:ascii="Palatino Linotype" w:eastAsia="Palatino Linotype" w:hAnsi="Palatino Linotype" w:cs="Palatino Linotype"/>
          <w:i/>
        </w:rPr>
      </w:pPr>
      <w:r w:rsidRPr="00560B11">
        <w:rPr>
          <w:rFonts w:ascii="Palatino Linotype" w:eastAsia="Palatino Linotype" w:hAnsi="Palatino Linotype" w:cs="Palatino Linotype"/>
        </w:rPr>
        <w:t xml:space="preserve">A efecto de sustentar lo anterior, es preciso mencionar que David Cienfuegos Salgado, concibe al derecho de petición como </w:t>
      </w:r>
      <w:r w:rsidRPr="00560B11">
        <w:rPr>
          <w:rFonts w:ascii="Palatino Linotype" w:eastAsia="Palatino Linotype" w:hAnsi="Palatino Linotype" w:cs="Palatino Linotype"/>
          <w:i/>
        </w:rPr>
        <w:t>“</w:t>
      </w:r>
      <w:r w:rsidRPr="00560B11">
        <w:rPr>
          <w:rFonts w:ascii="Palatino Linotype" w:eastAsia="Palatino Linotype" w:hAnsi="Palatino Linotype" w:cs="Palatino Linotype"/>
          <w:b/>
          <w:i/>
          <w:u w:val="single"/>
        </w:rPr>
        <w:t>el derecho de toda persona a ser escuchado por quienes ejercen el poder públic</w:t>
      </w:r>
      <w:r w:rsidRPr="00560B11">
        <w:rPr>
          <w:rFonts w:ascii="Palatino Linotype" w:eastAsia="Palatino Linotype" w:hAnsi="Palatino Linotype" w:cs="Palatino Linotype"/>
          <w:i/>
        </w:rPr>
        <w:t>o.</w:t>
      </w:r>
      <w:r w:rsidRPr="00560B11">
        <w:rPr>
          <w:rFonts w:ascii="Palatino Linotype" w:eastAsia="Palatino Linotype" w:hAnsi="Palatino Linotype" w:cs="Palatino Linotype"/>
          <w:i/>
          <w:vertAlign w:val="superscript"/>
        </w:rPr>
        <w:t xml:space="preserve"> </w:t>
      </w:r>
      <w:r w:rsidRPr="00560B11">
        <w:rPr>
          <w:rFonts w:ascii="Palatino Linotype" w:eastAsia="Palatino Linotype" w:hAnsi="Palatino Linotype" w:cs="Palatino Linotype"/>
          <w:i/>
          <w:vertAlign w:val="superscript"/>
        </w:rPr>
        <w:footnoteReference w:id="1"/>
      </w:r>
      <w:r w:rsidRPr="00560B11">
        <w:rPr>
          <w:rFonts w:ascii="Palatino Linotype" w:eastAsia="Palatino Linotype" w:hAnsi="Palatino Linotype" w:cs="Palatino Linotype"/>
          <w:i/>
        </w:rPr>
        <w:t xml:space="preserve">” (Sic) </w:t>
      </w:r>
    </w:p>
    <w:p w14:paraId="552358B3" w14:textId="77777777" w:rsidR="00714E10" w:rsidRPr="00560B11" w:rsidRDefault="00714E10" w:rsidP="00714E10">
      <w:pPr>
        <w:spacing w:before="240" w:after="240" w:line="360" w:lineRule="auto"/>
        <w:jc w:val="both"/>
        <w:rPr>
          <w:rFonts w:ascii="Palatino Linotype" w:eastAsia="Palatino Linotype" w:hAnsi="Palatino Linotype" w:cs="Palatino Linotype"/>
        </w:rPr>
      </w:pPr>
      <w:r w:rsidRPr="00560B11">
        <w:rPr>
          <w:rFonts w:ascii="Palatino Linotype" w:eastAsia="Palatino Linotype" w:hAnsi="Palatino Linotype" w:cs="Palatino Linotype"/>
        </w:rPr>
        <w:t xml:space="preserve">De la misma manera, Miguel Carbonell en su libro “Los derechos fundamentales” refiere que el </w:t>
      </w:r>
      <w:r w:rsidRPr="00560B11">
        <w:rPr>
          <w:rFonts w:ascii="Palatino Linotype" w:eastAsia="Palatino Linotype" w:hAnsi="Palatino Linotype" w:cs="Palatino Linotype"/>
          <w:u w:val="single"/>
        </w:rPr>
        <w:t>derecho de petición se ha entendido de dos distintitas maneras</w:t>
      </w:r>
      <w:r w:rsidRPr="00560B11">
        <w:rPr>
          <w:rFonts w:ascii="Palatino Linotype" w:eastAsia="Palatino Linotype" w:hAnsi="Palatino Linotype" w:cs="Palatino Linotype"/>
        </w:rPr>
        <w:t xml:space="preserve">, a saber: </w:t>
      </w:r>
      <w:r w:rsidRPr="00560B11">
        <w:rPr>
          <w:rFonts w:ascii="Palatino Linotype" w:eastAsia="Palatino Linotype" w:hAnsi="Palatino Linotype" w:cs="Palatino Linotype"/>
        </w:rPr>
        <w:lastRenderedPageBreak/>
        <w:t xml:space="preserve">como un derecho fundamental de participación política ya que </w:t>
      </w:r>
      <w:r w:rsidRPr="00560B11">
        <w:rPr>
          <w:rFonts w:ascii="Palatino Linotype" w:eastAsia="Palatino Linotype" w:hAnsi="Palatino Linotype" w:cs="Palatino Linotype"/>
          <w:u w:val="single"/>
        </w:rPr>
        <w:t xml:space="preserve">permite a los particulares trasladar a las autoridades sus </w:t>
      </w:r>
      <w:r w:rsidRPr="00560B11">
        <w:rPr>
          <w:rFonts w:ascii="Palatino Linotype" w:eastAsia="Palatino Linotype" w:hAnsi="Palatino Linotype" w:cs="Palatino Linotype"/>
          <w:b/>
          <w:u w:val="single"/>
        </w:rPr>
        <w:t>inquietudes, quejas</w:t>
      </w:r>
      <w:r w:rsidRPr="00560B11">
        <w:rPr>
          <w:rFonts w:ascii="Palatino Linotype" w:eastAsia="Palatino Linotype" w:hAnsi="Palatino Linotype" w:cs="Palatino Linotype"/>
          <w:u w:val="single"/>
        </w:rPr>
        <w:t>, sugerencias</w:t>
      </w:r>
      <w:r w:rsidRPr="00560B11">
        <w:rPr>
          <w:rFonts w:ascii="Palatino Linotype" w:eastAsia="Palatino Linotype" w:hAnsi="Palatino Linotype" w:cs="Palatino Linotype"/>
        </w:rPr>
        <w:t xml:space="preserve"> y requerimientos en cualquier materia o asunto; y como una </w:t>
      </w:r>
      <w:r w:rsidRPr="00560B11">
        <w:rPr>
          <w:rFonts w:ascii="Palatino Linotype" w:eastAsia="Palatino Linotype" w:hAnsi="Palatino Linotype" w:cs="Palatino Linotype"/>
          <w:b/>
        </w:rPr>
        <w:t>forma específica de la libertad de expresión</w:t>
      </w:r>
      <w:r w:rsidRPr="00560B11">
        <w:rPr>
          <w:rFonts w:ascii="Palatino Linotype" w:eastAsia="Palatino Linotype" w:hAnsi="Palatino Linotype" w:cs="Palatino Linotype"/>
        </w:rPr>
        <w:t>, en tanto que permite expresarse frente a las autoridades. De 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r w:rsidRPr="00560B11">
        <w:rPr>
          <w:rFonts w:ascii="Palatino Linotype" w:eastAsia="Palatino Linotype" w:hAnsi="Palatino Linotype" w:cs="Palatino Linotype"/>
          <w:vertAlign w:val="superscript"/>
        </w:rPr>
        <w:footnoteReference w:id="2"/>
      </w:r>
    </w:p>
    <w:p w14:paraId="480EB5A6" w14:textId="77777777" w:rsidR="00714E10" w:rsidRPr="00560B11" w:rsidRDefault="00714E10" w:rsidP="00714E10">
      <w:pPr>
        <w:spacing w:before="240" w:after="240" w:line="360" w:lineRule="auto"/>
        <w:ind w:right="99"/>
        <w:jc w:val="both"/>
        <w:rPr>
          <w:rFonts w:ascii="Palatino Linotype" w:eastAsia="Palatino Linotype" w:hAnsi="Palatino Linotype" w:cs="Palatino Linotype"/>
        </w:rPr>
      </w:pPr>
      <w:r w:rsidRPr="00560B11">
        <w:rPr>
          <w:rFonts w:ascii="Palatino Linotype" w:eastAsia="Palatino Linotype" w:hAnsi="Palatino Linotype" w:cs="Palatino Linotype"/>
        </w:rPr>
        <w:t xml:space="preserve">Por otro lado, el autor anteriormente citado, indica que el </w:t>
      </w:r>
      <w:r w:rsidRPr="00560B11">
        <w:rPr>
          <w:rFonts w:ascii="Palatino Linotype" w:eastAsia="Palatino Linotype" w:hAnsi="Palatino Linotype" w:cs="Palatino Linotype"/>
          <w:b/>
          <w:u w:val="single"/>
        </w:rPr>
        <w:t>derecho de acceso a la información pública</w:t>
      </w:r>
      <w:r w:rsidRPr="00560B11">
        <w:rPr>
          <w:rFonts w:ascii="Palatino Linotype" w:eastAsia="Palatino Linotype" w:hAnsi="Palatino Linotype" w:cs="Palatino Linotype"/>
        </w:rPr>
        <w:t xml:space="preserve"> es el derecho de conocer la </w:t>
      </w:r>
      <w:r w:rsidRPr="00560B11">
        <w:rPr>
          <w:rFonts w:ascii="Palatino Linotype" w:eastAsia="Palatino Linotype" w:hAnsi="Palatino Linotype" w:cs="Palatino Linotype"/>
          <w:u w:val="single"/>
        </w:rPr>
        <w:t>información de carácter público que se genera o está en posesión de los órganos del poder público</w:t>
      </w:r>
      <w:r w:rsidRPr="00560B11">
        <w:rPr>
          <w:rFonts w:ascii="Palatino Linotype" w:eastAsia="Palatino Linotype" w:hAnsi="Palatino Linotype" w:cs="Palatino Linotype"/>
        </w:rPr>
        <w:t xml:space="preserve"> o de los sujetos que utilizan o se benefician con recursos provenientes del Estado, es el derecho que tienen los ciudadanos para acceder a documentos y datos que obren en el poder del gobierno.</w:t>
      </w:r>
    </w:p>
    <w:p w14:paraId="775B8D59" w14:textId="77777777" w:rsidR="00714E10" w:rsidRPr="00560B11" w:rsidRDefault="00714E10" w:rsidP="00714E10">
      <w:pPr>
        <w:spacing w:before="240" w:after="240" w:line="360" w:lineRule="auto"/>
        <w:ind w:right="99"/>
        <w:jc w:val="both"/>
        <w:rPr>
          <w:rFonts w:ascii="Palatino Linotype" w:eastAsia="Palatino Linotype" w:hAnsi="Palatino Linotype" w:cs="Palatino Linotype"/>
        </w:rPr>
      </w:pPr>
      <w:r w:rsidRPr="00560B11">
        <w:rPr>
          <w:rFonts w:ascii="Palatino Linotype" w:eastAsia="Palatino Linotype" w:hAnsi="Palatino Linotype" w:cs="Palatino Linotype"/>
        </w:rPr>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r w:rsidRPr="00560B11">
        <w:rPr>
          <w:rFonts w:ascii="Palatino Linotype" w:eastAsia="Palatino Linotype" w:hAnsi="Palatino Linotype" w:cs="Palatino Linotype"/>
          <w:vertAlign w:val="superscript"/>
        </w:rPr>
        <w:footnoteReference w:id="3"/>
      </w:r>
    </w:p>
    <w:p w14:paraId="0E4A8CB1" w14:textId="77777777" w:rsidR="00714E10" w:rsidRPr="00560B11" w:rsidRDefault="00714E10" w:rsidP="00714E10">
      <w:pPr>
        <w:spacing w:before="240" w:after="240" w:line="360" w:lineRule="auto"/>
        <w:ind w:right="99"/>
        <w:jc w:val="both"/>
        <w:rPr>
          <w:rFonts w:ascii="Palatino Linotype" w:eastAsia="Palatino Linotype" w:hAnsi="Palatino Linotype" w:cs="Palatino Linotype"/>
        </w:rPr>
      </w:pPr>
      <w:r w:rsidRPr="00560B11">
        <w:rPr>
          <w:rFonts w:ascii="Palatino Linotype" w:eastAsia="Palatino Linotype" w:hAnsi="Palatino Linotype" w:cs="Palatino Linotype"/>
        </w:rPr>
        <w:t xml:space="preserve">De lo anterior se puede concluir que la distinción entre el </w:t>
      </w:r>
      <w:r w:rsidRPr="00560B11">
        <w:rPr>
          <w:rFonts w:ascii="Palatino Linotype" w:eastAsia="Palatino Linotype" w:hAnsi="Palatino Linotype" w:cs="Palatino Linotype"/>
          <w:b/>
        </w:rPr>
        <w:t>derecho de petición</w:t>
      </w:r>
      <w:r w:rsidRPr="00560B11">
        <w:rPr>
          <w:rFonts w:ascii="Palatino Linotype" w:eastAsia="Palatino Linotype" w:hAnsi="Palatino Linotype" w:cs="Palatino Linotype"/>
        </w:rPr>
        <w:t xml:space="preserve"> y el derecho de acceso a la información descansa, principalmente, en que </w:t>
      </w:r>
      <w:r w:rsidRPr="00560B11">
        <w:rPr>
          <w:rFonts w:ascii="Palatino Linotype" w:eastAsia="Palatino Linotype" w:hAnsi="Palatino Linotype" w:cs="Palatino Linotype"/>
          <w:u w:val="single"/>
        </w:rPr>
        <w:t xml:space="preserve">la pretensión </w:t>
      </w:r>
      <w:r w:rsidRPr="00560B11">
        <w:rPr>
          <w:rFonts w:ascii="Palatino Linotype" w:eastAsia="Palatino Linotype" w:hAnsi="Palatino Linotype" w:cs="Palatino Linotype"/>
          <w:u w:val="single"/>
        </w:rPr>
        <w:lastRenderedPageBreak/>
        <w:t xml:space="preserve">del peticionario consiste generalmente en obligar a la autoridad responsable a que actúe </w:t>
      </w:r>
      <w:r w:rsidRPr="00560B11">
        <w:rPr>
          <w:rFonts w:ascii="Palatino Linotype" w:eastAsia="Palatino Linotype" w:hAnsi="Palatino Linotype" w:cs="Palatino Linotype"/>
        </w:rPr>
        <w:t>en el sentido de contestar lo solicitado,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14:paraId="5D04116E" w14:textId="6DAB2F9B" w:rsidR="00714E10" w:rsidRPr="00560B11" w:rsidRDefault="00714E10" w:rsidP="00714E10">
      <w:pPr>
        <w:spacing w:before="240" w:after="240" w:line="360" w:lineRule="auto"/>
        <w:ind w:right="99"/>
        <w:jc w:val="both"/>
        <w:rPr>
          <w:rFonts w:ascii="Palatino Linotype" w:eastAsia="Palatino Linotype" w:hAnsi="Palatino Linotype" w:cs="Palatino Linotype"/>
        </w:rPr>
      </w:pPr>
      <w:r w:rsidRPr="00560B11">
        <w:rPr>
          <w:rFonts w:ascii="Palatino Linotype" w:eastAsia="Palatino Linotype" w:hAnsi="Palatino Linotype" w:cs="Palatino Linotype"/>
        </w:rPr>
        <w:t xml:space="preserve">Con base a lo anterior, la entrega de una razón o la respuesta o atención a pronunciamientos que no encuentren en soporte documental alguno, no es algo que la Ley de la Materia establezca como atribución, derecho o facultad; pues ello implicaría emitir un juicio de valor referente a cuestionamientos realizados, los cuales como ha quedado explicado, al constituir </w:t>
      </w:r>
      <w:r w:rsidRPr="00560B11">
        <w:rPr>
          <w:rFonts w:ascii="Palatino Linotype" w:eastAsia="Palatino Linotype" w:hAnsi="Palatino Linotype" w:cs="Palatino Linotype"/>
          <w:b/>
          <w:u w:val="single"/>
        </w:rPr>
        <w:t>interrogantes, inquietudes, quejas y manifestaciones</w:t>
      </w:r>
      <w:r w:rsidRPr="00560B11">
        <w:rPr>
          <w:rFonts w:ascii="Palatino Linotype" w:eastAsia="Palatino Linotype" w:hAnsi="Palatino Linotype" w:cs="Palatino Linotype"/>
        </w:rPr>
        <w:t xml:space="preserve"> resultan estar encaminadas a ser satisfechas en ejercicio del derecho de petición.</w:t>
      </w:r>
    </w:p>
    <w:p w14:paraId="234EE75A" w14:textId="4EA19DDE" w:rsidR="00950EF3" w:rsidRPr="00560B11" w:rsidRDefault="0009155F" w:rsidP="00950EF3">
      <w:pPr>
        <w:spacing w:before="240" w:after="240" w:line="360" w:lineRule="auto"/>
        <w:jc w:val="both"/>
        <w:rPr>
          <w:rFonts w:ascii="Palatino Linotype" w:eastAsia="Palatino Linotype" w:hAnsi="Palatino Linotype" w:cs="Palatino Linotype"/>
        </w:rPr>
      </w:pPr>
      <w:r w:rsidRPr="00560B11">
        <w:rPr>
          <w:rFonts w:ascii="Palatino Linotype" w:eastAsia="Palatino Linotype" w:hAnsi="Palatino Linotype" w:cs="Palatino Linotype"/>
        </w:rPr>
        <w:t>Ahora bien, e</w:t>
      </w:r>
      <w:r w:rsidR="00484342" w:rsidRPr="00560B11">
        <w:rPr>
          <w:rFonts w:ascii="Palatino Linotype" w:eastAsia="Palatino Linotype" w:hAnsi="Palatino Linotype" w:cs="Palatino Linotype"/>
        </w:rPr>
        <w:t>n</w:t>
      </w:r>
      <w:r w:rsidR="00732F21" w:rsidRPr="00560B11">
        <w:rPr>
          <w:rFonts w:ascii="Palatino Linotype" w:eastAsia="Palatino Linotype" w:hAnsi="Palatino Linotype" w:cs="Palatino Linotype"/>
        </w:rPr>
        <w:t xml:space="preserve"> respuesta</w:t>
      </w:r>
      <w:r w:rsidR="00484342" w:rsidRPr="00560B11">
        <w:rPr>
          <w:rFonts w:ascii="Palatino Linotype" w:eastAsia="Palatino Linotype" w:hAnsi="Palatino Linotype" w:cs="Palatino Linotype"/>
        </w:rPr>
        <w:t xml:space="preserve"> a la solicitud de información</w:t>
      </w:r>
      <w:r w:rsidR="00732F21" w:rsidRPr="00560B11">
        <w:rPr>
          <w:rFonts w:ascii="Palatino Linotype" w:eastAsia="Palatino Linotype" w:hAnsi="Palatino Linotype" w:cs="Palatino Linotype"/>
        </w:rPr>
        <w:t xml:space="preserve">, el </w:t>
      </w:r>
      <w:r w:rsidR="00732F21" w:rsidRPr="00560B11">
        <w:rPr>
          <w:rFonts w:ascii="Palatino Linotype" w:eastAsia="Palatino Linotype" w:hAnsi="Palatino Linotype" w:cs="Palatino Linotype"/>
          <w:b/>
        </w:rPr>
        <w:t>Sujeto Obligado</w:t>
      </w:r>
      <w:r w:rsidR="00732F21" w:rsidRPr="00560B11">
        <w:rPr>
          <w:rFonts w:ascii="Palatino Linotype" w:eastAsia="Palatino Linotype" w:hAnsi="Palatino Linotype" w:cs="Palatino Linotype"/>
        </w:rPr>
        <w:t xml:space="preserve"> a través de</w:t>
      </w:r>
      <w:r w:rsidR="001008C6" w:rsidRPr="00560B11">
        <w:rPr>
          <w:rFonts w:ascii="Palatino Linotype" w:eastAsia="Palatino Linotype" w:hAnsi="Palatino Linotype" w:cs="Palatino Linotype"/>
        </w:rPr>
        <w:t xml:space="preserve"> la Dirección de Gobierno </w:t>
      </w:r>
      <w:r w:rsidR="00950EF3" w:rsidRPr="00560B11">
        <w:rPr>
          <w:rFonts w:ascii="Palatino Linotype" w:eastAsia="Palatino Linotype" w:hAnsi="Palatino Linotype" w:cs="Palatino Linotype"/>
        </w:rPr>
        <w:t>refirió que en años anteriores se incrementaron los índices delictivos en las comunidades colindantes</w:t>
      </w:r>
      <w:r w:rsidR="000F569F" w:rsidRPr="00560B11">
        <w:rPr>
          <w:rFonts w:ascii="Palatino Linotype" w:eastAsia="Palatino Linotype" w:hAnsi="Palatino Linotype" w:cs="Palatino Linotype"/>
        </w:rPr>
        <w:t xml:space="preserve"> </w:t>
      </w:r>
      <w:r w:rsidR="00950EF3" w:rsidRPr="00560B11">
        <w:rPr>
          <w:rFonts w:ascii="Palatino Linotype" w:eastAsia="Palatino Linotype" w:hAnsi="Palatino Linotype" w:cs="Palatino Linotype"/>
        </w:rPr>
        <w:t>con la referida Vialidad Cola de Caballo, siendo estas Fraccionamiento Rancho Santa Elena, Rancho San Blas, Conjunto Urbano Ángel de Luz y Ejidos de San Mateo y sus Fracciones; derivado de ello, los vecinos de estas</w:t>
      </w:r>
      <w:r w:rsidR="00AF701A" w:rsidRPr="00560B11">
        <w:rPr>
          <w:rFonts w:ascii="Palatino Linotype" w:eastAsia="Palatino Linotype" w:hAnsi="Palatino Linotype" w:cs="Palatino Linotype"/>
        </w:rPr>
        <w:t xml:space="preserve"> comunidades</w:t>
      </w:r>
      <w:r w:rsidR="00950EF3" w:rsidRPr="00560B11">
        <w:rPr>
          <w:rFonts w:ascii="Palatino Linotype" w:eastAsia="Palatino Linotype" w:hAnsi="Palatino Linotype" w:cs="Palatino Linotype"/>
        </w:rPr>
        <w:t xml:space="preserve">, solicitaron a la administración anterior el cierre de la vialidad antes citada, a fin de salvaguardar su seguridad; </w:t>
      </w:r>
      <w:r w:rsidR="00AF701A" w:rsidRPr="00560B11">
        <w:rPr>
          <w:rFonts w:ascii="Palatino Linotype" w:eastAsia="Palatino Linotype" w:hAnsi="Palatino Linotype" w:cs="Palatino Linotype"/>
        </w:rPr>
        <w:t xml:space="preserve">asimismo refirió que dicha información </w:t>
      </w:r>
      <w:r w:rsidR="00950EF3" w:rsidRPr="00560B11">
        <w:rPr>
          <w:rFonts w:ascii="Palatino Linotype" w:eastAsia="Palatino Linotype" w:hAnsi="Palatino Linotype" w:cs="Palatino Linotype"/>
        </w:rPr>
        <w:t xml:space="preserve">es de su conocimiento por menciones de los vecinos, toda vez que no existe documentación alguna que acredite lo antes manifestado; sin embargo, en constantes reuniones con vecinos de estas comunidades y buscando que prevalezca el bienestar social, los residentes continúan afirmando la solicitud </w:t>
      </w:r>
      <w:r w:rsidR="00950EF3" w:rsidRPr="00560B11">
        <w:rPr>
          <w:rFonts w:ascii="Palatino Linotype" w:eastAsia="Palatino Linotype" w:hAnsi="Palatino Linotype" w:cs="Palatino Linotype"/>
        </w:rPr>
        <w:lastRenderedPageBreak/>
        <w:t>verbal de que la vialidad mencionada continúe cerrada de forma definitiva</w:t>
      </w:r>
      <w:r w:rsidR="00AF701A" w:rsidRPr="00560B11">
        <w:rPr>
          <w:rFonts w:ascii="Palatino Linotype" w:eastAsia="Palatino Linotype" w:hAnsi="Palatino Linotype" w:cs="Palatino Linotype"/>
        </w:rPr>
        <w:t xml:space="preserve"> </w:t>
      </w:r>
      <w:r w:rsidR="00950EF3" w:rsidRPr="00560B11">
        <w:rPr>
          <w:rFonts w:ascii="Palatino Linotype" w:eastAsia="Palatino Linotype" w:hAnsi="Palatino Linotype" w:cs="Palatino Linotype"/>
        </w:rPr>
        <w:t>en defensa de su seguridad.</w:t>
      </w:r>
      <w:r w:rsidR="00A26E0A" w:rsidRPr="00560B11">
        <w:rPr>
          <w:rFonts w:ascii="Palatino Linotype" w:eastAsia="Palatino Linotype" w:hAnsi="Palatino Linotype" w:cs="Palatino Linotype"/>
        </w:rPr>
        <w:t xml:space="preserve"> Cabe señalar que proporcionó diez fotografías </w:t>
      </w:r>
      <w:r w:rsidR="004E7D55" w:rsidRPr="00560B11">
        <w:rPr>
          <w:rFonts w:ascii="Palatino Linotype" w:eastAsia="Palatino Linotype" w:hAnsi="Palatino Linotype" w:cs="Palatino Linotype"/>
        </w:rPr>
        <w:t>de las reuniones sostenidas con los residentes de las comunidades colindantes de la Vialidad Cola de Caballo.</w:t>
      </w:r>
    </w:p>
    <w:p w14:paraId="19EBD498" w14:textId="45B90A39" w:rsidR="00A26E0A" w:rsidRPr="00560B11" w:rsidRDefault="00484342">
      <w:pPr>
        <w:spacing w:before="240" w:after="240" w:line="360" w:lineRule="auto"/>
        <w:jc w:val="both"/>
        <w:rPr>
          <w:rFonts w:ascii="Palatino Linotype" w:eastAsia="Palatino Linotype" w:hAnsi="Palatino Linotype" w:cs="Palatino Linotype"/>
        </w:rPr>
      </w:pPr>
      <w:r w:rsidRPr="00560B11">
        <w:rPr>
          <w:rFonts w:ascii="Palatino Linotype" w:eastAsia="Palatino Linotype" w:hAnsi="Palatino Linotype" w:cs="Palatino Linotype"/>
        </w:rPr>
        <w:t xml:space="preserve">Sin embargo, </w:t>
      </w:r>
      <w:r w:rsidR="00462851" w:rsidRPr="00560B11">
        <w:rPr>
          <w:rFonts w:ascii="Palatino Linotype" w:eastAsia="Palatino Linotype" w:hAnsi="Palatino Linotype" w:cs="Palatino Linotype"/>
        </w:rPr>
        <w:t>a</w:t>
      </w:r>
      <w:r w:rsidR="00732F21" w:rsidRPr="00560B11">
        <w:rPr>
          <w:rFonts w:ascii="Palatino Linotype" w:eastAsia="Palatino Linotype" w:hAnsi="Palatino Linotype" w:cs="Palatino Linotype"/>
        </w:rPr>
        <w:t xml:space="preserve">l no estar conforme con los términos de la respuesta proporcionada por el </w:t>
      </w:r>
      <w:r w:rsidR="00732F21" w:rsidRPr="00560B11">
        <w:rPr>
          <w:rFonts w:ascii="Palatino Linotype" w:eastAsia="Palatino Linotype" w:hAnsi="Palatino Linotype" w:cs="Palatino Linotype"/>
          <w:b/>
        </w:rPr>
        <w:t xml:space="preserve">Sujeto Obligado, </w:t>
      </w:r>
      <w:r w:rsidR="00732F21" w:rsidRPr="00560B11">
        <w:rPr>
          <w:rFonts w:ascii="Palatino Linotype" w:eastAsia="Palatino Linotype" w:hAnsi="Palatino Linotype" w:cs="Palatino Linotype"/>
        </w:rPr>
        <w:t xml:space="preserve">la persona solicitante </w:t>
      </w:r>
      <w:r w:rsidR="00462851" w:rsidRPr="00560B11">
        <w:rPr>
          <w:rFonts w:ascii="Palatino Linotype" w:eastAsia="Palatino Linotype" w:hAnsi="Palatino Linotype" w:cs="Palatino Linotype"/>
        </w:rPr>
        <w:t>interpuso</w:t>
      </w:r>
      <w:r w:rsidR="00732F21" w:rsidRPr="00560B11">
        <w:rPr>
          <w:rFonts w:ascii="Palatino Linotype" w:eastAsia="Palatino Linotype" w:hAnsi="Palatino Linotype" w:cs="Palatino Linotype"/>
        </w:rPr>
        <w:t xml:space="preserve"> el recurso de revisión que nos ocupa, donde señaló que</w:t>
      </w:r>
      <w:r w:rsidR="00C41B71" w:rsidRPr="00560B11">
        <w:rPr>
          <w:rFonts w:ascii="Palatino Linotype" w:eastAsia="Palatino Linotype" w:hAnsi="Palatino Linotype" w:cs="Palatino Linotype"/>
        </w:rPr>
        <w:t xml:space="preserve"> la autoridad municipal debería recabar y tener la documentación completa para ejecutar dicho acto</w:t>
      </w:r>
      <w:r w:rsidR="0009155F" w:rsidRPr="00560B11">
        <w:rPr>
          <w:rFonts w:ascii="Palatino Linotype" w:eastAsia="Palatino Linotype" w:hAnsi="Palatino Linotype" w:cs="Palatino Linotype"/>
        </w:rPr>
        <w:t>.</w:t>
      </w:r>
    </w:p>
    <w:p w14:paraId="32C81FC4" w14:textId="4F7C157A" w:rsidR="00484342" w:rsidRPr="00560B11" w:rsidRDefault="003C6CAB" w:rsidP="00484342">
      <w:pPr>
        <w:spacing w:before="240" w:after="240" w:line="360" w:lineRule="auto"/>
        <w:jc w:val="both"/>
        <w:rPr>
          <w:rFonts w:ascii="Palatino Linotype" w:hAnsi="Palatino Linotype"/>
        </w:rPr>
      </w:pPr>
      <w:r w:rsidRPr="00560B11">
        <w:rPr>
          <w:rFonts w:ascii="Palatino Linotype" w:eastAsia="Palatino Linotype" w:hAnsi="Palatino Linotype" w:cs="Palatino Linotype"/>
        </w:rPr>
        <w:t xml:space="preserve">Asimismo, la </w:t>
      </w:r>
      <w:r w:rsidR="0009155F" w:rsidRPr="00560B11">
        <w:rPr>
          <w:rFonts w:ascii="Palatino Linotype" w:eastAsia="Palatino Linotype" w:hAnsi="Palatino Linotype" w:cs="Palatino Linotype"/>
        </w:rPr>
        <w:t xml:space="preserve">parte </w:t>
      </w:r>
      <w:r w:rsidR="0009155F" w:rsidRPr="00560B11">
        <w:rPr>
          <w:rFonts w:ascii="Palatino Linotype" w:eastAsia="Palatino Linotype" w:hAnsi="Palatino Linotype" w:cs="Palatino Linotype"/>
          <w:b/>
        </w:rPr>
        <w:t>Recurrente</w:t>
      </w:r>
      <w:r w:rsidRPr="00560B11">
        <w:rPr>
          <w:rFonts w:ascii="Palatino Linotype" w:eastAsia="Palatino Linotype" w:hAnsi="Palatino Linotype" w:cs="Palatino Linotype"/>
        </w:rPr>
        <w:t xml:space="preserve"> </w:t>
      </w:r>
      <w:r w:rsidRPr="00560B11">
        <w:rPr>
          <w:rFonts w:ascii="Palatino Linotype" w:hAnsi="Palatino Linotype"/>
        </w:rPr>
        <w:t>realizó diversos planteamientos subjetivos, como parte de su recurso de revisión, tales como “</w:t>
      </w:r>
      <w:r w:rsidRPr="00560B11">
        <w:rPr>
          <w:rFonts w:ascii="Palatino Linotype" w:hAnsi="Palatino Linotype"/>
          <w:i/>
          <w:iCs/>
        </w:rPr>
        <w:t xml:space="preserve">Agradezco su amable respuesta, Sin embargo me parece absurdo que el Ayuntamiento NO haya notificado de manera formal y oficial el cierre arbitrario de esta vialidad, que vulnera Mi Derecho al Libre Tránsito por el territorio nacional, como lo marca la Constitución Política de los Estados Unidos Mexicanos. Revisando el Bando de </w:t>
      </w:r>
      <w:proofErr w:type="spellStart"/>
      <w:r w:rsidRPr="00560B11">
        <w:rPr>
          <w:rFonts w:ascii="Palatino Linotype" w:hAnsi="Palatino Linotype"/>
          <w:i/>
          <w:iCs/>
        </w:rPr>
        <w:t>Policia</w:t>
      </w:r>
      <w:proofErr w:type="spellEnd"/>
      <w:r w:rsidRPr="00560B11">
        <w:rPr>
          <w:rFonts w:ascii="Palatino Linotype" w:hAnsi="Palatino Linotype"/>
          <w:i/>
          <w:iCs/>
        </w:rPr>
        <w:t xml:space="preserve"> y Gobierno Municipal, no </w:t>
      </w:r>
      <w:proofErr w:type="spellStart"/>
      <w:r w:rsidRPr="00560B11">
        <w:rPr>
          <w:rFonts w:ascii="Palatino Linotype" w:hAnsi="Palatino Linotype"/>
          <w:i/>
          <w:iCs/>
        </w:rPr>
        <w:t>encontre</w:t>
      </w:r>
      <w:proofErr w:type="spellEnd"/>
      <w:r w:rsidRPr="00560B11">
        <w:rPr>
          <w:rFonts w:ascii="Palatino Linotype" w:hAnsi="Palatino Linotype"/>
          <w:i/>
          <w:iCs/>
        </w:rPr>
        <w:t xml:space="preserve"> donde se determine la atribución para el cierre de vialidades, y menos, donde solo "un grupo de vecinos del lugar" </w:t>
      </w:r>
      <w:proofErr w:type="spellStart"/>
      <w:r w:rsidRPr="00560B11">
        <w:rPr>
          <w:rFonts w:ascii="Palatino Linotype" w:hAnsi="Palatino Linotype"/>
          <w:i/>
          <w:iCs/>
        </w:rPr>
        <w:t>prohiban</w:t>
      </w:r>
      <w:proofErr w:type="spellEnd"/>
      <w:r w:rsidRPr="00560B11">
        <w:rPr>
          <w:rFonts w:ascii="Palatino Linotype" w:hAnsi="Palatino Linotype"/>
          <w:i/>
          <w:iCs/>
        </w:rPr>
        <w:t xml:space="preserve"> el acceso a las vialidades de la entidad. Dicho paso no solo afecta a los habitantes del municipio sino a varios habitantes de municipios aledaños, que afectan en los trayectos y traslados por el territorio. Solicito, como habitante del municipio evitar actos arbitrarios de la y se busquen soluciones </w:t>
      </w:r>
      <w:proofErr w:type="spellStart"/>
      <w:r w:rsidRPr="00560B11">
        <w:rPr>
          <w:rFonts w:ascii="Palatino Linotype" w:hAnsi="Palatino Linotype"/>
          <w:i/>
          <w:iCs/>
        </w:rPr>
        <w:t>mas</w:t>
      </w:r>
      <w:proofErr w:type="spellEnd"/>
      <w:r w:rsidRPr="00560B11">
        <w:rPr>
          <w:rFonts w:ascii="Palatino Linotype" w:hAnsi="Palatino Linotype"/>
          <w:i/>
          <w:iCs/>
        </w:rPr>
        <w:t xml:space="preserve"> concretas al tema de seguridad </w:t>
      </w:r>
      <w:proofErr w:type="spellStart"/>
      <w:r w:rsidRPr="00560B11">
        <w:rPr>
          <w:rFonts w:ascii="Palatino Linotype" w:hAnsi="Palatino Linotype"/>
          <w:i/>
          <w:iCs/>
        </w:rPr>
        <w:t>publica</w:t>
      </w:r>
      <w:proofErr w:type="spellEnd"/>
      <w:r w:rsidRPr="00560B11">
        <w:rPr>
          <w:rFonts w:ascii="Palatino Linotype" w:hAnsi="Palatino Linotype"/>
          <w:i/>
          <w:iCs/>
        </w:rPr>
        <w:t xml:space="preserve">, ya que si en todo caso hay inseguridad, deberíamos encerrar todas vialidades para que nadie </w:t>
      </w:r>
      <w:proofErr w:type="spellStart"/>
      <w:r w:rsidRPr="00560B11">
        <w:rPr>
          <w:rFonts w:ascii="Palatino Linotype" w:hAnsi="Palatino Linotype"/>
          <w:i/>
          <w:iCs/>
        </w:rPr>
        <w:t>mas</w:t>
      </w:r>
      <w:proofErr w:type="spellEnd"/>
      <w:r w:rsidRPr="00560B11">
        <w:rPr>
          <w:rFonts w:ascii="Palatino Linotype" w:hAnsi="Palatino Linotype"/>
          <w:i/>
          <w:iCs/>
        </w:rPr>
        <w:t xml:space="preserve"> transite y pueda cometer delitos en ciertas áreas del municipio. Espero </w:t>
      </w:r>
      <w:proofErr w:type="spellStart"/>
      <w:r w:rsidRPr="00560B11">
        <w:rPr>
          <w:rFonts w:ascii="Palatino Linotype" w:hAnsi="Palatino Linotype"/>
          <w:i/>
          <w:iCs/>
        </w:rPr>
        <w:t>tambien</w:t>
      </w:r>
      <w:proofErr w:type="spellEnd"/>
      <w:r w:rsidRPr="00560B11">
        <w:rPr>
          <w:rFonts w:ascii="Palatino Linotype" w:hAnsi="Palatino Linotype"/>
          <w:i/>
          <w:iCs/>
        </w:rPr>
        <w:t xml:space="preserve">, que se haga valer el derecho de todos y no se tomen decisiones por unos cuantos” ... “En todo caso que el Ayuntamiento emita la orden judicial o decreto para el cierre de la vialidad, esperemos puedan notificar de </w:t>
      </w:r>
      <w:r w:rsidRPr="00560B11">
        <w:rPr>
          <w:rFonts w:ascii="Palatino Linotype" w:hAnsi="Palatino Linotype"/>
          <w:i/>
          <w:iCs/>
        </w:rPr>
        <w:lastRenderedPageBreak/>
        <w:t>manera formal a todos los habitantes” (sic),</w:t>
      </w:r>
      <w:r w:rsidR="00484342" w:rsidRPr="00560B11">
        <w:rPr>
          <w:rFonts w:ascii="Palatino Linotype" w:hAnsi="Palatino Linotype"/>
          <w:i/>
          <w:iCs/>
        </w:rPr>
        <w:t xml:space="preserve"> </w:t>
      </w:r>
      <w:r w:rsidR="00484342" w:rsidRPr="00560B11">
        <w:rPr>
          <w:rFonts w:ascii="Palatino Linotype" w:hAnsi="Palatino Linotype"/>
        </w:rPr>
        <w:t xml:space="preserve">mismos que no son </w:t>
      </w:r>
      <w:r w:rsidR="0009155F" w:rsidRPr="00560B11">
        <w:rPr>
          <w:rFonts w:ascii="Palatino Linotype" w:hAnsi="Palatino Linotype" w:cs="Arial"/>
          <w:bCs/>
        </w:rPr>
        <w:t>susceptibles de ser tomado</w:t>
      </w:r>
      <w:r w:rsidR="00484342" w:rsidRPr="00560B11">
        <w:rPr>
          <w:rFonts w:ascii="Palatino Linotype" w:hAnsi="Palatino Linotype" w:cs="Arial"/>
          <w:bCs/>
        </w:rPr>
        <w:t>s en consideración, por los motivos ya expuestos en líneas anteriores.</w:t>
      </w:r>
    </w:p>
    <w:p w14:paraId="5E46A3CC" w14:textId="109B5993" w:rsidR="00881541" w:rsidRPr="00560B11" w:rsidRDefault="003C6CAB" w:rsidP="00484342">
      <w:pPr>
        <w:spacing w:before="240" w:after="240" w:line="360" w:lineRule="auto"/>
        <w:jc w:val="both"/>
        <w:rPr>
          <w:rFonts w:ascii="Palatino Linotype" w:hAnsi="Palatino Linotype"/>
        </w:rPr>
      </w:pPr>
      <w:r w:rsidRPr="00560B11">
        <w:rPr>
          <w:rFonts w:ascii="Palatino Linotype" w:hAnsi="Palatino Linotype"/>
          <w:i/>
          <w:iCs/>
        </w:rPr>
        <w:t xml:space="preserve"> </w:t>
      </w:r>
      <w:r w:rsidR="00732F21" w:rsidRPr="00560B11">
        <w:rPr>
          <w:rFonts w:ascii="Palatino Linotype" w:eastAsia="Palatino Linotype" w:hAnsi="Palatino Linotype" w:cs="Palatino Linotype"/>
        </w:rPr>
        <w:t>Una vez admitido el presente recurso de revisión, en términos del artículo 185 fracción II</w:t>
      </w:r>
      <w:r w:rsidR="00732F21" w:rsidRPr="00560B11">
        <w:rPr>
          <w:rFonts w:ascii="Palatino Linotype" w:eastAsia="Palatino Linotype" w:hAnsi="Palatino Linotype" w:cs="Palatino Linotype"/>
          <w:vertAlign w:val="superscript"/>
        </w:rPr>
        <w:footnoteReference w:id="4"/>
      </w:r>
      <w:r w:rsidR="00732F21" w:rsidRPr="00560B11">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 siendo ambas partes omisas en ejercer dicha prerrogativa, como se señaló anteriormente.</w:t>
      </w:r>
    </w:p>
    <w:p w14:paraId="2A69E46B" w14:textId="2AF3EA22" w:rsidR="00C32E49" w:rsidRPr="00560B11" w:rsidRDefault="0009155F" w:rsidP="00C32E49">
      <w:pPr>
        <w:spacing w:before="240" w:after="240" w:line="360" w:lineRule="auto"/>
        <w:ind w:right="49"/>
        <w:jc w:val="both"/>
        <w:rPr>
          <w:rFonts w:ascii="Palatino Linotype" w:hAnsi="Palatino Linotype"/>
        </w:rPr>
      </w:pPr>
      <w:r w:rsidRPr="00560B11">
        <w:rPr>
          <w:rFonts w:ascii="Palatino Linotype" w:eastAsia="Palatino Linotype" w:hAnsi="Palatino Linotype" w:cs="Palatino Linotype"/>
        </w:rPr>
        <w:t xml:space="preserve">Acotado lo anterior, </w:t>
      </w:r>
      <w:r w:rsidR="00346405" w:rsidRPr="00560B11">
        <w:rPr>
          <w:rFonts w:ascii="Palatino Linotype" w:eastAsia="Palatino Linotype" w:hAnsi="Palatino Linotype" w:cs="Palatino Linotype"/>
        </w:rPr>
        <w:t xml:space="preserve">por cuanto hace a la materia de la solicitud, </w:t>
      </w:r>
      <w:r w:rsidR="00970B2C" w:rsidRPr="00560B11">
        <w:rPr>
          <w:rFonts w:ascii="Palatino Linotype" w:eastAsia="Palatino Linotype" w:hAnsi="Palatino Linotype" w:cs="Palatino Linotype"/>
        </w:rPr>
        <w:t>es preciso señalar que</w:t>
      </w:r>
      <w:r w:rsidR="00C32E49" w:rsidRPr="00560B11">
        <w:rPr>
          <w:rFonts w:ascii="Palatino Linotype" w:eastAsia="Palatino Linotype" w:hAnsi="Palatino Linotype" w:cs="Palatino Linotype"/>
        </w:rPr>
        <w:t xml:space="preserve"> </w:t>
      </w:r>
      <w:r w:rsidR="00C32E49" w:rsidRPr="00560B11">
        <w:rPr>
          <w:rFonts w:ascii="Palatino Linotype" w:hAnsi="Palatino Linotype"/>
        </w:rPr>
        <w:t>el Derecho humano a la movilidad se encuentra regulado en el artículo 4, párrafo décimo séptimo de la Constitución Política de los Estados Unidos Mexicanos, a saber:</w:t>
      </w:r>
    </w:p>
    <w:p w14:paraId="3B6CA600" w14:textId="77777777" w:rsidR="00C32E49" w:rsidRPr="00560B11" w:rsidRDefault="00C32E49" w:rsidP="00C32E49">
      <w:pPr>
        <w:spacing w:before="120" w:after="120"/>
        <w:ind w:left="851" w:right="902"/>
        <w:jc w:val="both"/>
        <w:rPr>
          <w:rFonts w:ascii="Palatino Linotype" w:hAnsi="Palatino Linotype"/>
          <w:i/>
          <w:iCs/>
          <w:sz w:val="22"/>
          <w:szCs w:val="22"/>
        </w:rPr>
      </w:pPr>
      <w:r w:rsidRPr="00560B11">
        <w:rPr>
          <w:rFonts w:ascii="Palatino Linotype" w:hAnsi="Palatino Linotype"/>
          <w:i/>
          <w:iCs/>
          <w:sz w:val="22"/>
          <w:szCs w:val="22"/>
        </w:rPr>
        <w:t xml:space="preserve"> “</w:t>
      </w:r>
      <w:r w:rsidRPr="00560B11">
        <w:rPr>
          <w:rFonts w:ascii="Palatino Linotype" w:hAnsi="Palatino Linotype"/>
          <w:b/>
          <w:bCs/>
          <w:i/>
          <w:iCs/>
          <w:sz w:val="22"/>
          <w:szCs w:val="22"/>
        </w:rPr>
        <w:t>Artículo 4</w:t>
      </w:r>
      <w:r w:rsidRPr="00560B11">
        <w:rPr>
          <w:rFonts w:ascii="Palatino Linotype" w:hAnsi="Palatino Linotype"/>
          <w:i/>
          <w:iCs/>
          <w:sz w:val="22"/>
          <w:szCs w:val="22"/>
        </w:rPr>
        <w:t>º...</w:t>
      </w:r>
    </w:p>
    <w:p w14:paraId="522932A1" w14:textId="77777777" w:rsidR="00C32E49" w:rsidRPr="00560B11" w:rsidRDefault="00C32E49" w:rsidP="00C32E49">
      <w:pPr>
        <w:spacing w:before="120" w:after="120"/>
        <w:ind w:left="851" w:right="902"/>
        <w:jc w:val="both"/>
        <w:rPr>
          <w:rFonts w:ascii="Palatino Linotype" w:hAnsi="Palatino Linotype"/>
          <w:i/>
          <w:iCs/>
          <w:sz w:val="22"/>
          <w:szCs w:val="22"/>
        </w:rPr>
      </w:pPr>
      <w:r w:rsidRPr="00560B11">
        <w:rPr>
          <w:rFonts w:ascii="Palatino Linotype" w:hAnsi="Palatino Linotype"/>
          <w:i/>
          <w:iCs/>
          <w:sz w:val="22"/>
          <w:szCs w:val="22"/>
        </w:rPr>
        <w:t xml:space="preserve">Toda persona tiene </w:t>
      </w:r>
      <w:r w:rsidRPr="00560B11">
        <w:rPr>
          <w:rFonts w:ascii="Palatino Linotype" w:hAnsi="Palatino Linotype"/>
          <w:b/>
          <w:bCs/>
          <w:i/>
          <w:iCs/>
          <w:sz w:val="22"/>
          <w:szCs w:val="22"/>
        </w:rPr>
        <w:t>derecho a la movilidad</w:t>
      </w:r>
      <w:r w:rsidRPr="00560B11">
        <w:rPr>
          <w:rFonts w:ascii="Palatino Linotype" w:hAnsi="Palatino Linotype"/>
          <w:i/>
          <w:iCs/>
          <w:sz w:val="22"/>
          <w:szCs w:val="22"/>
        </w:rPr>
        <w:t xml:space="preserve"> en condiciones de seguridad vial, accesibilidad, eficiencia, sostenibilidad, calidad, inclusión e igualdad”</w:t>
      </w:r>
    </w:p>
    <w:p w14:paraId="01D2AA77" w14:textId="2D5CE0B3" w:rsidR="00970B2C" w:rsidRPr="00560B11" w:rsidRDefault="00970B2C">
      <w:pPr>
        <w:spacing w:before="240" w:after="240" w:line="360" w:lineRule="auto"/>
        <w:ind w:right="49"/>
        <w:jc w:val="both"/>
        <w:rPr>
          <w:rFonts w:ascii="Palatino Linotype" w:hAnsi="Palatino Linotype"/>
        </w:rPr>
      </w:pPr>
      <w:r w:rsidRPr="00560B11">
        <w:rPr>
          <w:rFonts w:ascii="Palatino Linotype" w:eastAsia="Palatino Linotype" w:hAnsi="Palatino Linotype" w:cs="Palatino Linotype"/>
        </w:rPr>
        <w:t>E</w:t>
      </w:r>
      <w:r w:rsidR="00C32E49" w:rsidRPr="00560B11">
        <w:rPr>
          <w:rFonts w:ascii="Palatino Linotype" w:eastAsia="Palatino Linotype" w:hAnsi="Palatino Linotype" w:cs="Palatino Linotype"/>
        </w:rPr>
        <w:t xml:space="preserve">xisten </w:t>
      </w:r>
      <w:r w:rsidRPr="00560B11">
        <w:rPr>
          <w:rFonts w:ascii="Palatino Linotype" w:hAnsi="Palatino Linotype"/>
        </w:rPr>
        <w:t xml:space="preserve">dos grandes acepciones para el vocablo movilidad: forzada o voluntaria. La primera se refiere al asilo y refugio; y </w:t>
      </w:r>
      <w:r w:rsidR="00C32E49" w:rsidRPr="00560B11">
        <w:rPr>
          <w:rFonts w:ascii="Palatino Linotype" w:hAnsi="Palatino Linotype"/>
        </w:rPr>
        <w:t xml:space="preserve">la </w:t>
      </w:r>
      <w:r w:rsidRPr="00560B11">
        <w:rPr>
          <w:rFonts w:ascii="Palatino Linotype" w:hAnsi="Palatino Linotype"/>
        </w:rPr>
        <w:t>segund</w:t>
      </w:r>
      <w:r w:rsidR="00C32E49" w:rsidRPr="00560B11">
        <w:rPr>
          <w:rFonts w:ascii="Palatino Linotype" w:hAnsi="Palatino Linotype"/>
        </w:rPr>
        <w:t>a</w:t>
      </w:r>
      <w:r w:rsidRPr="00560B11">
        <w:rPr>
          <w:rFonts w:ascii="Palatino Linotype" w:hAnsi="Palatino Linotype"/>
        </w:rPr>
        <w:t xml:space="preserve"> a la emigración, inmigración, tránsito y retorno. </w:t>
      </w:r>
    </w:p>
    <w:p w14:paraId="38109EF2" w14:textId="789F88F6" w:rsidR="00970B2C" w:rsidRPr="00560B11" w:rsidRDefault="00970B2C">
      <w:pPr>
        <w:spacing w:before="240" w:after="240" w:line="360" w:lineRule="auto"/>
        <w:ind w:right="49"/>
        <w:jc w:val="both"/>
        <w:rPr>
          <w:rFonts w:ascii="Palatino Linotype" w:eastAsia="Palatino Linotype" w:hAnsi="Palatino Linotype" w:cs="Palatino Linotype"/>
        </w:rPr>
      </w:pPr>
      <w:r w:rsidRPr="00560B11">
        <w:rPr>
          <w:rFonts w:ascii="Palatino Linotype" w:hAnsi="Palatino Linotype"/>
        </w:rPr>
        <w:t>El derecho a la movilidad voluntaria</w:t>
      </w:r>
      <w:r w:rsidR="0009155F" w:rsidRPr="00560B11">
        <w:rPr>
          <w:rFonts w:ascii="Palatino Linotype" w:hAnsi="Palatino Linotype"/>
        </w:rPr>
        <w:t>,</w:t>
      </w:r>
      <w:r w:rsidRPr="00560B11">
        <w:rPr>
          <w:rFonts w:ascii="Palatino Linotype" w:hAnsi="Palatino Linotype"/>
        </w:rPr>
        <w:t xml:space="preserve"> de manera general</w:t>
      </w:r>
      <w:r w:rsidR="0009155F" w:rsidRPr="00560B11">
        <w:rPr>
          <w:rFonts w:ascii="Palatino Linotype" w:hAnsi="Palatino Linotype"/>
        </w:rPr>
        <w:t>,</w:t>
      </w:r>
      <w:r w:rsidRPr="00560B11">
        <w:rPr>
          <w:rFonts w:ascii="Palatino Linotype" w:hAnsi="Palatino Linotype"/>
        </w:rPr>
        <w:t xml:space="preserve"> alude al desplazamiento de la persona de un lugar a otro, principalmente, con la finalidad de satisfacer </w:t>
      </w:r>
      <w:r w:rsidRPr="00560B11">
        <w:rPr>
          <w:rFonts w:ascii="Palatino Linotype" w:hAnsi="Palatino Linotype"/>
        </w:rPr>
        <w:lastRenderedPageBreak/>
        <w:t>necesidades básicas y que permitan mantener una vida digna y en ejercicio del derecho a la libre circulación.</w:t>
      </w:r>
    </w:p>
    <w:p w14:paraId="6CC456A0" w14:textId="35530C8F" w:rsidR="007801B8" w:rsidRPr="00560B11" w:rsidRDefault="003E7E9F" w:rsidP="00C32E49">
      <w:pPr>
        <w:spacing w:before="240" w:after="240" w:line="360" w:lineRule="auto"/>
        <w:ind w:right="49"/>
        <w:jc w:val="both"/>
        <w:rPr>
          <w:rFonts w:ascii="Palatino Linotype" w:hAnsi="Palatino Linotype"/>
        </w:rPr>
      </w:pPr>
      <w:r w:rsidRPr="00560B11">
        <w:rPr>
          <w:rFonts w:ascii="Palatino Linotype" w:hAnsi="Palatino Linotype"/>
        </w:rPr>
        <w:t xml:space="preserve">En ese contexto, </w:t>
      </w:r>
      <w:r w:rsidR="006B7ABA" w:rsidRPr="00560B11">
        <w:rPr>
          <w:rFonts w:ascii="Palatino Linotype" w:hAnsi="Palatino Linotype"/>
        </w:rPr>
        <w:t>la Ley de Movilidad del Estado de México en su artículo 2, fracción XI, concibe la movilidad como el derecho del que goza toda persona, sin importar su residencia, condición, modo o modalidad de transporte que utiliza, para realizar los desplazamientos efectivos dentro del Estado.</w:t>
      </w:r>
    </w:p>
    <w:p w14:paraId="5F48FB9F" w14:textId="7125166C" w:rsidR="006B7ABA" w:rsidRPr="00560B11" w:rsidRDefault="00CB7B73" w:rsidP="00C32E49">
      <w:pPr>
        <w:spacing w:before="240" w:after="240" w:line="360" w:lineRule="auto"/>
        <w:ind w:right="49"/>
        <w:jc w:val="both"/>
        <w:rPr>
          <w:rFonts w:ascii="Palatino Linotype" w:hAnsi="Palatino Linotype"/>
        </w:rPr>
      </w:pPr>
      <w:r w:rsidRPr="00560B11">
        <w:rPr>
          <w:rFonts w:ascii="Palatino Linotype" w:hAnsi="Palatino Linotype"/>
        </w:rPr>
        <w:t>En materia de movilidad los municipios cuentan con las atribuciones que les confiere el artículo 9 de la Ley de Movilidad del Estado de México, y respecto al tema que nos ocupa, la fracción XIX de dicho precepto</w:t>
      </w:r>
      <w:r w:rsidR="004B4EBA" w:rsidRPr="00560B11">
        <w:rPr>
          <w:rFonts w:ascii="Palatino Linotype" w:hAnsi="Palatino Linotype"/>
        </w:rPr>
        <w:t xml:space="preserve"> </w:t>
      </w:r>
      <w:r w:rsidR="00C24B15" w:rsidRPr="00560B11">
        <w:rPr>
          <w:rFonts w:ascii="Palatino Linotype" w:hAnsi="Palatino Linotype"/>
        </w:rPr>
        <w:t>prevé que deben mantener  la vialidad de cualquier tipo libre de obstáculos u objetos que impidan,  dificulten u obstruyan el tránsito peatonal, ciclista o vehicular, excepto en aquellos casos debidamente autorizados, a saber:</w:t>
      </w:r>
    </w:p>
    <w:p w14:paraId="61E468E1" w14:textId="77777777" w:rsidR="00CB7B73" w:rsidRPr="00560B11" w:rsidRDefault="00CB7B73" w:rsidP="00C24B15">
      <w:pPr>
        <w:spacing w:before="120" w:after="120"/>
        <w:ind w:left="851" w:right="760"/>
        <w:jc w:val="both"/>
        <w:rPr>
          <w:rFonts w:ascii="Palatino Linotype" w:hAnsi="Palatino Linotype"/>
          <w:i/>
          <w:iCs/>
          <w:sz w:val="22"/>
          <w:szCs w:val="22"/>
        </w:rPr>
      </w:pPr>
      <w:r w:rsidRPr="00560B11">
        <w:t>“</w:t>
      </w:r>
      <w:r w:rsidRPr="00560B11">
        <w:rPr>
          <w:rFonts w:ascii="Palatino Linotype" w:hAnsi="Palatino Linotype"/>
          <w:b/>
          <w:bCs/>
          <w:i/>
          <w:iCs/>
          <w:sz w:val="22"/>
          <w:szCs w:val="22"/>
        </w:rPr>
        <w:t>Artículo 9</w:t>
      </w:r>
      <w:r w:rsidRPr="00560B11">
        <w:rPr>
          <w:rFonts w:ascii="Palatino Linotype" w:hAnsi="Palatino Linotype"/>
          <w:i/>
          <w:iCs/>
          <w:sz w:val="22"/>
          <w:szCs w:val="22"/>
        </w:rPr>
        <w:t xml:space="preserve">. </w:t>
      </w:r>
      <w:r w:rsidRPr="00560B11">
        <w:rPr>
          <w:rFonts w:ascii="Palatino Linotype" w:hAnsi="Palatino Linotype"/>
          <w:b/>
          <w:bCs/>
          <w:i/>
          <w:iCs/>
          <w:sz w:val="22"/>
          <w:szCs w:val="22"/>
        </w:rPr>
        <w:t>Atribuciones municipales en materia de movilidad</w:t>
      </w:r>
      <w:r w:rsidRPr="00560B11">
        <w:rPr>
          <w:rFonts w:ascii="Palatino Linotype" w:hAnsi="Palatino Linotype"/>
          <w:i/>
          <w:iCs/>
          <w:sz w:val="22"/>
          <w:szCs w:val="22"/>
        </w:rPr>
        <w:t xml:space="preserve">. Los municipios tendrán las atribuciones siguientes en materia de movilidad: </w:t>
      </w:r>
    </w:p>
    <w:p w14:paraId="06849970" w14:textId="6EA5F005" w:rsidR="00CB7B73" w:rsidRPr="00560B11" w:rsidRDefault="00CB7B73" w:rsidP="00C24B15">
      <w:pPr>
        <w:spacing w:before="120" w:after="120"/>
        <w:ind w:left="851" w:right="760"/>
        <w:jc w:val="both"/>
        <w:rPr>
          <w:rFonts w:ascii="Palatino Linotype" w:hAnsi="Palatino Linotype"/>
          <w:i/>
          <w:iCs/>
          <w:sz w:val="22"/>
          <w:szCs w:val="22"/>
        </w:rPr>
      </w:pPr>
      <w:r w:rsidRPr="00560B11">
        <w:rPr>
          <w:rFonts w:ascii="Palatino Linotype" w:hAnsi="Palatino Linotype"/>
          <w:i/>
          <w:iCs/>
          <w:sz w:val="22"/>
          <w:szCs w:val="22"/>
        </w:rPr>
        <w:t>....</w:t>
      </w:r>
    </w:p>
    <w:p w14:paraId="793626CA" w14:textId="542EE468" w:rsidR="00CB7B73" w:rsidRPr="00560B11" w:rsidRDefault="00CB7B73" w:rsidP="00C24B15">
      <w:pPr>
        <w:spacing w:before="120" w:after="120"/>
        <w:ind w:left="1134" w:right="760"/>
        <w:jc w:val="both"/>
        <w:rPr>
          <w:rFonts w:ascii="Palatino Linotype" w:hAnsi="Palatino Linotype"/>
          <w:b/>
          <w:bCs/>
          <w:i/>
          <w:iCs/>
          <w:sz w:val="22"/>
          <w:szCs w:val="22"/>
          <w:u w:val="single"/>
        </w:rPr>
      </w:pPr>
      <w:r w:rsidRPr="00560B11">
        <w:rPr>
          <w:rFonts w:ascii="Palatino Linotype" w:hAnsi="Palatino Linotype"/>
          <w:b/>
          <w:bCs/>
          <w:i/>
          <w:iCs/>
          <w:sz w:val="22"/>
          <w:szCs w:val="22"/>
        </w:rPr>
        <w:t>XIX</w:t>
      </w:r>
      <w:r w:rsidRPr="00560B11">
        <w:rPr>
          <w:rFonts w:ascii="Palatino Linotype" w:hAnsi="Palatino Linotype"/>
          <w:i/>
          <w:iCs/>
          <w:sz w:val="22"/>
          <w:szCs w:val="22"/>
        </w:rPr>
        <w:t xml:space="preserve">. </w:t>
      </w:r>
      <w:r w:rsidRPr="00560B11">
        <w:rPr>
          <w:rFonts w:ascii="Palatino Linotype" w:hAnsi="Palatino Linotype"/>
          <w:b/>
          <w:bCs/>
          <w:i/>
          <w:iCs/>
          <w:sz w:val="22"/>
          <w:szCs w:val="22"/>
        </w:rPr>
        <w:t xml:space="preserve">Mantener la vialidad de cualquier tipo libre de obstáculos u objetos que impidan, dificulten u obstruyan el tránsito peatonal, ciclista o vehicular, </w:t>
      </w:r>
      <w:r w:rsidRPr="00560B11">
        <w:rPr>
          <w:rFonts w:ascii="Palatino Linotype" w:hAnsi="Palatino Linotype"/>
          <w:b/>
          <w:bCs/>
          <w:i/>
          <w:iCs/>
          <w:sz w:val="22"/>
          <w:szCs w:val="22"/>
          <w:u w:val="single"/>
        </w:rPr>
        <w:t>excepto en aquellos casos debidamente autorizados.</w:t>
      </w:r>
      <w:r w:rsidR="00300FE3" w:rsidRPr="00560B11">
        <w:rPr>
          <w:rFonts w:ascii="Palatino Linotype" w:hAnsi="Palatino Linotype"/>
          <w:b/>
          <w:bCs/>
          <w:i/>
          <w:iCs/>
          <w:sz w:val="22"/>
          <w:szCs w:val="22"/>
          <w:u w:val="single"/>
        </w:rPr>
        <w:t>”</w:t>
      </w:r>
    </w:p>
    <w:p w14:paraId="56CD7DB0" w14:textId="6FB443D5" w:rsidR="00A9559E" w:rsidRPr="00560B11" w:rsidRDefault="00A9559E" w:rsidP="00A9559E">
      <w:pPr>
        <w:spacing w:before="240" w:after="240" w:line="360" w:lineRule="auto"/>
        <w:jc w:val="both"/>
        <w:rPr>
          <w:rFonts w:ascii="Palatino Linotype" w:eastAsia="Palatino Linotype" w:hAnsi="Palatino Linotype" w:cs="Palatino Linotype"/>
        </w:rPr>
      </w:pPr>
      <w:r w:rsidRPr="00560B11">
        <w:rPr>
          <w:rFonts w:ascii="Palatino Linotype" w:eastAsia="Palatino Linotype" w:hAnsi="Palatino Linotype" w:cs="Palatino Linotype"/>
        </w:rPr>
        <w:t xml:space="preserve">Por su parte, el Bando Municipal de Cuautitlán, en su </w:t>
      </w:r>
      <w:r w:rsidR="0009155F" w:rsidRPr="00560B11">
        <w:rPr>
          <w:rFonts w:ascii="Palatino Linotype" w:eastAsia="Palatino Linotype" w:hAnsi="Palatino Linotype" w:cs="Palatino Linotype"/>
        </w:rPr>
        <w:t>artículo</w:t>
      </w:r>
      <w:r w:rsidRPr="00560B11">
        <w:rPr>
          <w:rFonts w:ascii="Palatino Linotype" w:eastAsia="Palatino Linotype" w:hAnsi="Palatino Linotype" w:cs="Palatino Linotype"/>
        </w:rPr>
        <w:t xml:space="preserve"> 135, establece que la Dirección de Movilidad tiene a su cargo la planeación, coordinación, evaluación, aprobación y el seguimiento de las </w:t>
      </w:r>
      <w:r w:rsidRPr="00560B11">
        <w:rPr>
          <w:rFonts w:ascii="Palatino Linotype" w:eastAsia="Palatino Linotype" w:hAnsi="Palatino Linotype" w:cs="Palatino Linotype"/>
          <w:b/>
          <w:bCs/>
        </w:rPr>
        <w:t>funciones y prestación de los servicios públicos que le corresponden a lo dispuesto en la Ley de Movilidad del Estado de México</w:t>
      </w:r>
      <w:r w:rsidRPr="00560B11">
        <w:rPr>
          <w:rFonts w:ascii="Palatino Linotype" w:eastAsia="Palatino Linotype" w:hAnsi="Palatino Linotype" w:cs="Palatino Linotype"/>
        </w:rPr>
        <w:t>; y demás disposiciones legales vigentes aplicables.</w:t>
      </w:r>
    </w:p>
    <w:p w14:paraId="0B8841B0" w14:textId="6A0BBA42" w:rsidR="00A9559E" w:rsidRPr="00560B11" w:rsidRDefault="00A9559E" w:rsidP="00A9559E">
      <w:pPr>
        <w:spacing w:before="240" w:after="240" w:line="360" w:lineRule="auto"/>
        <w:jc w:val="both"/>
        <w:rPr>
          <w:rFonts w:ascii="Palatino Linotype" w:eastAsia="Palatino Linotype" w:hAnsi="Palatino Linotype" w:cs="Palatino Linotype"/>
        </w:rPr>
      </w:pPr>
      <w:r w:rsidRPr="00560B11">
        <w:rPr>
          <w:rFonts w:ascii="Palatino Linotype" w:eastAsia="Palatino Linotype" w:hAnsi="Palatino Linotype" w:cs="Palatino Linotype"/>
        </w:rPr>
        <w:lastRenderedPageBreak/>
        <w:t xml:space="preserve">En este sentido, las atribuciones de la Dirección de Movilidad están establecidas en la Ley de Movilidad del Estado de México, el Reglamento Orgánico de la Administración Pública Municipal y demás disposiciones legales vigentes aplicables, de conformidad con el </w:t>
      </w:r>
      <w:r w:rsidR="0009155F" w:rsidRPr="00560B11">
        <w:rPr>
          <w:rFonts w:ascii="Palatino Linotype" w:eastAsia="Palatino Linotype" w:hAnsi="Palatino Linotype" w:cs="Palatino Linotype"/>
        </w:rPr>
        <w:t>artículo</w:t>
      </w:r>
      <w:r w:rsidRPr="00560B11">
        <w:rPr>
          <w:rFonts w:ascii="Palatino Linotype" w:eastAsia="Palatino Linotype" w:hAnsi="Palatino Linotype" w:cs="Palatino Linotype"/>
        </w:rPr>
        <w:t xml:space="preserve"> 136 del Bando Municipal.</w:t>
      </w:r>
    </w:p>
    <w:p w14:paraId="1812B397" w14:textId="435928BA" w:rsidR="00230138" w:rsidRPr="00560B11" w:rsidRDefault="00DE6D58" w:rsidP="00652986">
      <w:pPr>
        <w:spacing w:before="240" w:after="240" w:line="360" w:lineRule="auto"/>
        <w:jc w:val="both"/>
        <w:rPr>
          <w:rFonts w:ascii="Palatino Linotype" w:eastAsia="Palatino Linotype" w:hAnsi="Palatino Linotype" w:cs="Palatino Linotype"/>
          <w:b/>
        </w:rPr>
      </w:pPr>
      <w:r w:rsidRPr="00560B11">
        <w:rPr>
          <w:rFonts w:ascii="Palatino Linotype" w:eastAsia="Palatino Linotype" w:hAnsi="Palatino Linotype" w:cs="Palatino Linotype"/>
        </w:rPr>
        <w:t xml:space="preserve">Con base en lo anterior, se colige que la Dirección de Movilidad </w:t>
      </w:r>
      <w:r w:rsidR="0009155F" w:rsidRPr="00560B11">
        <w:rPr>
          <w:rFonts w:ascii="Palatino Linotype" w:eastAsia="Palatino Linotype" w:hAnsi="Palatino Linotype" w:cs="Palatino Linotype"/>
        </w:rPr>
        <w:t xml:space="preserve">cuenta con competencia para </w:t>
      </w:r>
      <w:r w:rsidR="00BE67D9" w:rsidRPr="00560B11">
        <w:rPr>
          <w:rFonts w:ascii="Palatino Linotype" w:eastAsia="Palatino Linotype" w:hAnsi="Palatino Linotype" w:cs="Palatino Linotype"/>
        </w:rPr>
        <w:t xml:space="preserve">conocer la información que es del interés de la persona solicitante, al estar facultada para </w:t>
      </w:r>
      <w:r w:rsidR="00652986" w:rsidRPr="00560B11">
        <w:rPr>
          <w:rFonts w:ascii="Palatino Linotype" w:eastAsia="Palatino Linotype" w:hAnsi="Palatino Linotype" w:cs="Palatino Linotype"/>
        </w:rPr>
        <w:t>mantener las vialidades de cualquier tipo libre de obstáculos u objetos que impidan, dificulten u obstruyan el tránsito</w:t>
      </w:r>
      <w:r w:rsidR="00054B5E" w:rsidRPr="00560B11">
        <w:rPr>
          <w:rFonts w:ascii="Palatino Linotype" w:eastAsia="Palatino Linotype" w:hAnsi="Palatino Linotype" w:cs="Palatino Linotype"/>
        </w:rPr>
        <w:t>,</w:t>
      </w:r>
      <w:r w:rsidR="002555E9" w:rsidRPr="00560B11">
        <w:rPr>
          <w:rFonts w:ascii="Palatino Linotype" w:eastAsia="Palatino Linotype" w:hAnsi="Palatino Linotype" w:cs="Palatino Linotype"/>
        </w:rPr>
        <w:t xml:space="preserve"> </w:t>
      </w:r>
      <w:r w:rsidR="00BE67D9" w:rsidRPr="00560B11">
        <w:rPr>
          <w:rFonts w:ascii="Palatino Linotype" w:eastAsia="Palatino Linotype" w:hAnsi="Palatino Linotype" w:cs="Palatino Linotype"/>
          <w:b/>
        </w:rPr>
        <w:t xml:space="preserve">con excepción de los casos que estén debidamente autorizados, </w:t>
      </w:r>
      <w:r w:rsidR="00BE67D9" w:rsidRPr="00560B11">
        <w:rPr>
          <w:rFonts w:ascii="Palatino Linotype" w:eastAsia="Palatino Linotype" w:hAnsi="Palatino Linotype" w:cs="Palatino Linotype"/>
        </w:rPr>
        <w:t xml:space="preserve">en cuyo caso, </w:t>
      </w:r>
      <w:r w:rsidR="00BE67D9" w:rsidRPr="00560B11">
        <w:rPr>
          <w:rFonts w:ascii="Palatino Linotype" w:eastAsia="Palatino Linotype" w:hAnsi="Palatino Linotype" w:cs="Palatino Linotype"/>
          <w:b/>
        </w:rPr>
        <w:t xml:space="preserve">también conocería sobre dicha </w:t>
      </w:r>
      <w:r w:rsidR="00230138" w:rsidRPr="00560B11">
        <w:rPr>
          <w:rFonts w:ascii="Palatino Linotype" w:eastAsia="Palatino Linotype" w:hAnsi="Palatino Linotype" w:cs="Palatino Linotype"/>
          <w:b/>
        </w:rPr>
        <w:t>circunstancia.</w:t>
      </w:r>
    </w:p>
    <w:p w14:paraId="1AA6E47B" w14:textId="013B2AD9" w:rsidR="00A437DE" w:rsidRPr="00560B11" w:rsidRDefault="00BC5A7B" w:rsidP="00BC5A7B">
      <w:pPr>
        <w:spacing w:before="240" w:after="240" w:line="360" w:lineRule="auto"/>
        <w:jc w:val="both"/>
        <w:rPr>
          <w:rFonts w:ascii="Palatino Linotype" w:eastAsia="Palatino Linotype" w:hAnsi="Palatino Linotype" w:cs="Palatino Linotype"/>
        </w:rPr>
      </w:pPr>
      <w:r w:rsidRPr="00560B11">
        <w:rPr>
          <w:rFonts w:ascii="Palatino Linotype" w:eastAsia="Palatino Linotype" w:hAnsi="Palatino Linotype" w:cs="Palatino Linotype"/>
        </w:rPr>
        <w:t xml:space="preserve">Por otro lado, la Ley Orgánica Municipal del Estado de México, en el artículo 31, fracción I, confiere a los ayuntamientos la facultad de expedir y reformar el </w:t>
      </w:r>
      <w:r w:rsidRPr="00560B11">
        <w:rPr>
          <w:rFonts w:ascii="Palatino Linotype" w:eastAsia="Palatino Linotype" w:hAnsi="Palatino Linotype" w:cs="Palatino Linotype"/>
          <w:b/>
        </w:rPr>
        <w:t xml:space="preserve">Bando Municipal, </w:t>
      </w:r>
      <w:r w:rsidRPr="00560B11">
        <w:rPr>
          <w:rFonts w:ascii="Palatino Linotype" w:eastAsia="Palatino Linotype" w:hAnsi="Palatino Linotype" w:cs="Palatino Linotype"/>
        </w:rPr>
        <w:t xml:space="preserve">así como los </w:t>
      </w:r>
      <w:r w:rsidRPr="00560B11">
        <w:rPr>
          <w:rFonts w:ascii="Palatino Linotype" w:eastAsia="Palatino Linotype" w:hAnsi="Palatino Linotype" w:cs="Palatino Linotype"/>
          <w:b/>
        </w:rPr>
        <w:t>reglamentos, circulares y disposiciones administrativas de observancia general dentro del territorio del municipi</w:t>
      </w:r>
      <w:r w:rsidRPr="00560B11">
        <w:rPr>
          <w:rFonts w:ascii="Palatino Linotype" w:eastAsia="Palatino Linotype" w:hAnsi="Palatino Linotype" w:cs="Palatino Linotype"/>
        </w:rPr>
        <w:t xml:space="preserve">o, que sean necesarios para su organización, prestación de los servicios públicos y, en general, </w:t>
      </w:r>
      <w:r w:rsidRPr="00560B11">
        <w:rPr>
          <w:rFonts w:ascii="Palatino Linotype" w:eastAsia="Palatino Linotype" w:hAnsi="Palatino Linotype" w:cs="Palatino Linotype"/>
          <w:b/>
        </w:rPr>
        <w:t>para el cumplimiento de sus atribucion</w:t>
      </w:r>
      <w:r w:rsidR="00A437DE" w:rsidRPr="00560B11">
        <w:rPr>
          <w:rFonts w:ascii="Palatino Linotype" w:eastAsia="Palatino Linotype" w:hAnsi="Palatino Linotype" w:cs="Palatino Linotype"/>
          <w:b/>
        </w:rPr>
        <w:t xml:space="preserve">es, </w:t>
      </w:r>
      <w:r w:rsidR="00A437DE" w:rsidRPr="00560B11">
        <w:rPr>
          <w:rFonts w:ascii="Palatino Linotype" w:eastAsia="Palatino Linotype" w:hAnsi="Palatino Linotype" w:cs="Palatino Linotype"/>
        </w:rPr>
        <w:t xml:space="preserve">por lo que pudiera ser el caso </w:t>
      </w:r>
      <w:r w:rsidR="00D264F1" w:rsidRPr="00560B11">
        <w:rPr>
          <w:rFonts w:ascii="Palatino Linotype" w:eastAsia="Palatino Linotype" w:hAnsi="Palatino Linotype" w:cs="Palatino Linotype"/>
        </w:rPr>
        <w:t xml:space="preserve">de </w:t>
      </w:r>
      <w:r w:rsidR="00A437DE" w:rsidRPr="00560B11">
        <w:rPr>
          <w:rFonts w:ascii="Palatino Linotype" w:eastAsia="Palatino Linotype" w:hAnsi="Palatino Linotype" w:cs="Palatino Linotype"/>
        </w:rPr>
        <w:t xml:space="preserve">que el cierre o bloqueo de la vialidad y la avenida mencionada por la parte </w:t>
      </w:r>
      <w:r w:rsidR="00A437DE" w:rsidRPr="00560B11">
        <w:rPr>
          <w:rFonts w:ascii="Palatino Linotype" w:eastAsia="Palatino Linotype" w:hAnsi="Palatino Linotype" w:cs="Palatino Linotype"/>
          <w:b/>
        </w:rPr>
        <w:t xml:space="preserve">Recurrente </w:t>
      </w:r>
      <w:r w:rsidR="00D264F1" w:rsidRPr="00560B11">
        <w:rPr>
          <w:rFonts w:ascii="Palatino Linotype" w:eastAsia="Palatino Linotype" w:hAnsi="Palatino Linotype" w:cs="Palatino Linotype"/>
        </w:rPr>
        <w:t>se hubiera autorizado a través de alguna circular o disposición administrativa expedida por los integrantes del ayuntamiento.</w:t>
      </w:r>
    </w:p>
    <w:p w14:paraId="6276EFF6" w14:textId="5B57092B" w:rsidR="00A7638E" w:rsidRPr="00560B11" w:rsidRDefault="00A7638E" w:rsidP="00BC5A7B">
      <w:pPr>
        <w:spacing w:before="240" w:after="240" w:line="360" w:lineRule="auto"/>
        <w:jc w:val="both"/>
        <w:rPr>
          <w:rFonts w:ascii="Palatino Linotype" w:eastAsia="Palatino Linotype" w:hAnsi="Palatino Linotype" w:cs="Palatino Linotype"/>
        </w:rPr>
      </w:pPr>
      <w:r w:rsidRPr="00560B11">
        <w:rPr>
          <w:rFonts w:ascii="Palatino Linotype" w:eastAsia="Palatino Linotype" w:hAnsi="Palatino Linotype" w:cs="Palatino Linotype"/>
        </w:rPr>
        <w:t>Al respecto</w:t>
      </w:r>
      <w:r w:rsidR="00D264F1" w:rsidRPr="00560B11">
        <w:rPr>
          <w:rFonts w:ascii="Palatino Linotype" w:eastAsia="Palatino Linotype" w:hAnsi="Palatino Linotype" w:cs="Palatino Linotype"/>
        </w:rPr>
        <w:t xml:space="preserve">, es preciso </w:t>
      </w:r>
      <w:r w:rsidR="00A437DE" w:rsidRPr="00560B11">
        <w:rPr>
          <w:rFonts w:ascii="Palatino Linotype" w:eastAsia="Palatino Linotype" w:hAnsi="Palatino Linotype" w:cs="Palatino Linotype"/>
        </w:rPr>
        <w:t xml:space="preserve">tomar en consideración que los ayuntamientos son órganos deliberantes y que resuelven de manera colegiada los asuntos de su competencia, a través de las sesiones de cabildo, y que es responsabilidad de la Secretaría del Ayuntamiento levantar las actas correspondientes y llevar y conservar los libros de </w:t>
      </w:r>
      <w:r w:rsidR="00A437DE" w:rsidRPr="00560B11">
        <w:rPr>
          <w:rFonts w:ascii="Palatino Linotype" w:eastAsia="Palatino Linotype" w:hAnsi="Palatino Linotype" w:cs="Palatino Linotype"/>
        </w:rPr>
        <w:lastRenderedPageBreak/>
        <w:t>actas, debidamente firmadas por los asistentes a las sesiones</w:t>
      </w:r>
      <w:r w:rsidR="00D264F1" w:rsidRPr="00560B11">
        <w:rPr>
          <w:rFonts w:ascii="Palatino Linotype" w:eastAsia="Palatino Linotype" w:hAnsi="Palatino Linotype" w:cs="Palatino Linotype"/>
        </w:rPr>
        <w:t>, como se lee en los artículos 27, párrafo primero y 91 de la Ley Orgánica Muni</w:t>
      </w:r>
      <w:r w:rsidRPr="00560B11">
        <w:rPr>
          <w:rFonts w:ascii="Palatino Linotype" w:eastAsia="Palatino Linotype" w:hAnsi="Palatino Linotype" w:cs="Palatino Linotype"/>
        </w:rPr>
        <w:t>cipal:</w:t>
      </w:r>
    </w:p>
    <w:p w14:paraId="5A768994" w14:textId="2E1FF280" w:rsidR="00A437DE" w:rsidRPr="00560B11" w:rsidRDefault="00A437DE" w:rsidP="00A7638E">
      <w:pPr>
        <w:spacing w:before="120" w:after="120"/>
        <w:ind w:left="851" w:right="902"/>
        <w:jc w:val="both"/>
        <w:rPr>
          <w:rFonts w:ascii="Palatino Linotype" w:eastAsia="Palatino Linotype" w:hAnsi="Palatino Linotype" w:cs="Palatino Linotype"/>
          <w:i/>
          <w:sz w:val="22"/>
        </w:rPr>
      </w:pPr>
      <w:r w:rsidRPr="00560B11">
        <w:rPr>
          <w:rFonts w:ascii="Palatino Linotype" w:eastAsia="Palatino Linotype" w:hAnsi="Palatino Linotype" w:cs="Palatino Linotype"/>
          <w:i/>
          <w:sz w:val="22"/>
        </w:rPr>
        <w:t>“</w:t>
      </w:r>
      <w:r w:rsidRPr="00560B11">
        <w:rPr>
          <w:rFonts w:ascii="Palatino Linotype" w:hAnsi="Palatino Linotype"/>
          <w:b/>
          <w:i/>
          <w:sz w:val="22"/>
        </w:rPr>
        <w:t>Artículo 27.-</w:t>
      </w:r>
      <w:r w:rsidRPr="00560B11">
        <w:rPr>
          <w:rFonts w:ascii="Palatino Linotype" w:hAnsi="Palatino Linotype"/>
          <w:i/>
          <w:sz w:val="22"/>
        </w:rPr>
        <w:t xml:space="preserve"> Los ayuntamientos como órganos deliberantes,</w:t>
      </w:r>
      <w:r w:rsidRPr="00560B11">
        <w:rPr>
          <w:rFonts w:ascii="Palatino Linotype" w:hAnsi="Palatino Linotype"/>
          <w:b/>
          <w:i/>
          <w:sz w:val="22"/>
        </w:rPr>
        <w:t xml:space="preserve"> </w:t>
      </w:r>
      <w:r w:rsidRPr="00560B11">
        <w:rPr>
          <w:rFonts w:ascii="Palatino Linotype" w:hAnsi="Palatino Linotype"/>
          <w:b/>
          <w:i/>
          <w:sz w:val="22"/>
          <w:u w:val="single"/>
        </w:rPr>
        <w:t xml:space="preserve">deberán resolver colegiadamente </w:t>
      </w:r>
      <w:r w:rsidRPr="00560B11">
        <w:rPr>
          <w:rFonts w:ascii="Palatino Linotype" w:hAnsi="Palatino Linotype"/>
          <w:i/>
          <w:sz w:val="22"/>
        </w:rPr>
        <w:t>los asuntos de su competencia.</w:t>
      </w:r>
    </w:p>
    <w:p w14:paraId="6F323A74" w14:textId="13CAD791" w:rsidR="00A7638E" w:rsidRPr="00560B11" w:rsidRDefault="00A7638E" w:rsidP="00A7638E">
      <w:pPr>
        <w:spacing w:before="120" w:after="120"/>
        <w:ind w:left="851" w:right="902"/>
        <w:jc w:val="both"/>
        <w:rPr>
          <w:rFonts w:ascii="Palatino Linotype" w:hAnsi="Palatino Linotype"/>
          <w:b/>
          <w:i/>
          <w:sz w:val="22"/>
        </w:rPr>
      </w:pPr>
      <w:r w:rsidRPr="00560B11">
        <w:rPr>
          <w:rFonts w:ascii="Palatino Linotype" w:hAnsi="Palatino Linotype"/>
          <w:b/>
          <w:i/>
          <w:sz w:val="22"/>
        </w:rPr>
        <w:t>…</w:t>
      </w:r>
    </w:p>
    <w:p w14:paraId="579554ED" w14:textId="1088E5EF" w:rsidR="00A437DE" w:rsidRPr="00560B11" w:rsidRDefault="00A437DE" w:rsidP="00A7638E">
      <w:pPr>
        <w:spacing w:before="120" w:after="120"/>
        <w:ind w:left="851" w:right="902"/>
        <w:jc w:val="both"/>
        <w:rPr>
          <w:rFonts w:ascii="Palatino Linotype" w:hAnsi="Palatino Linotype"/>
          <w:i/>
          <w:sz w:val="22"/>
        </w:rPr>
      </w:pPr>
      <w:r w:rsidRPr="00560B11">
        <w:rPr>
          <w:rFonts w:ascii="Palatino Linotype" w:hAnsi="Palatino Linotype"/>
          <w:b/>
          <w:i/>
          <w:sz w:val="22"/>
        </w:rPr>
        <w:t>Artículo 91.-</w:t>
      </w:r>
      <w:r w:rsidRPr="00560B11">
        <w:rPr>
          <w:rFonts w:ascii="Palatino Linotype" w:hAnsi="Palatino Linotype"/>
          <w:i/>
          <w:sz w:val="22"/>
        </w:rPr>
        <w:t xml:space="preserve"> La </w:t>
      </w:r>
      <w:r w:rsidRPr="00560B11">
        <w:rPr>
          <w:rFonts w:ascii="Palatino Linotype" w:hAnsi="Palatino Linotype"/>
          <w:b/>
          <w:i/>
          <w:sz w:val="22"/>
        </w:rPr>
        <w:t>Secretaría del Ayuntamiento</w:t>
      </w:r>
      <w:r w:rsidRPr="00560B11">
        <w:rPr>
          <w:rFonts w:ascii="Palatino Linotype" w:hAnsi="Palatino Linotype"/>
          <w:i/>
          <w:sz w:val="22"/>
        </w:rPr>
        <w:t xml:space="preserve">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36032D44" w14:textId="412FC1AB" w:rsidR="00A437DE" w:rsidRPr="00560B11" w:rsidRDefault="00A437DE" w:rsidP="00A7638E">
      <w:pPr>
        <w:spacing w:before="120" w:after="120"/>
        <w:ind w:left="1134" w:right="902"/>
        <w:jc w:val="both"/>
        <w:rPr>
          <w:rFonts w:ascii="Palatino Linotype" w:hAnsi="Palatino Linotype"/>
          <w:b/>
          <w:i/>
          <w:sz w:val="22"/>
        </w:rPr>
      </w:pPr>
      <w:r w:rsidRPr="00560B11">
        <w:rPr>
          <w:rFonts w:ascii="Palatino Linotype" w:hAnsi="Palatino Linotype"/>
          <w:b/>
          <w:i/>
          <w:sz w:val="22"/>
        </w:rPr>
        <w:t>I</w:t>
      </w:r>
      <w:r w:rsidRPr="00560B11">
        <w:rPr>
          <w:rFonts w:ascii="Palatino Linotype" w:hAnsi="Palatino Linotype"/>
          <w:i/>
          <w:sz w:val="22"/>
        </w:rPr>
        <w:t xml:space="preserve">. Asistir a las sesiones del ayuntamiento y </w:t>
      </w:r>
      <w:r w:rsidRPr="00560B11">
        <w:rPr>
          <w:rFonts w:ascii="Palatino Linotype" w:hAnsi="Palatino Linotype"/>
          <w:b/>
          <w:i/>
          <w:sz w:val="22"/>
        </w:rPr>
        <w:t>levantar las actas correspondientes;</w:t>
      </w:r>
    </w:p>
    <w:p w14:paraId="7D596AB0" w14:textId="0B385589" w:rsidR="00A437DE" w:rsidRPr="00560B11" w:rsidRDefault="00A437DE" w:rsidP="00A7638E">
      <w:pPr>
        <w:spacing w:before="120" w:after="120"/>
        <w:ind w:left="1134" w:right="902"/>
        <w:jc w:val="both"/>
        <w:rPr>
          <w:rFonts w:ascii="Palatino Linotype" w:hAnsi="Palatino Linotype"/>
          <w:i/>
          <w:sz w:val="22"/>
        </w:rPr>
      </w:pPr>
      <w:r w:rsidRPr="00560B11">
        <w:rPr>
          <w:rFonts w:ascii="Palatino Linotype" w:hAnsi="Palatino Linotype"/>
          <w:i/>
          <w:sz w:val="22"/>
        </w:rPr>
        <w:t>…</w:t>
      </w:r>
    </w:p>
    <w:p w14:paraId="0B361D00" w14:textId="0F340A29" w:rsidR="00A437DE" w:rsidRPr="00560B11" w:rsidRDefault="00A437DE" w:rsidP="00A7638E">
      <w:pPr>
        <w:spacing w:before="120" w:after="120"/>
        <w:ind w:left="1134" w:right="902"/>
        <w:jc w:val="both"/>
        <w:rPr>
          <w:rFonts w:ascii="Palatino Linotype" w:eastAsia="Palatino Linotype" w:hAnsi="Palatino Linotype" w:cs="Palatino Linotype"/>
          <w:i/>
          <w:sz w:val="22"/>
        </w:rPr>
      </w:pPr>
      <w:r w:rsidRPr="00560B11">
        <w:rPr>
          <w:rFonts w:ascii="Palatino Linotype" w:hAnsi="Palatino Linotype"/>
          <w:b/>
          <w:i/>
          <w:sz w:val="22"/>
        </w:rPr>
        <w:t>IV.</w:t>
      </w:r>
      <w:r w:rsidRPr="00560B11">
        <w:rPr>
          <w:rFonts w:ascii="Palatino Linotype" w:hAnsi="Palatino Linotype"/>
          <w:i/>
          <w:sz w:val="22"/>
        </w:rPr>
        <w:t xml:space="preserve"> Llevar y conservar los </w:t>
      </w:r>
      <w:r w:rsidRPr="00560B11">
        <w:rPr>
          <w:rFonts w:ascii="Palatino Linotype" w:hAnsi="Palatino Linotype"/>
          <w:b/>
          <w:i/>
          <w:sz w:val="22"/>
        </w:rPr>
        <w:t>libros de actas de cabildo</w:t>
      </w:r>
      <w:r w:rsidRPr="00560B11">
        <w:rPr>
          <w:rFonts w:ascii="Palatino Linotype" w:hAnsi="Palatino Linotype"/>
          <w:i/>
          <w:sz w:val="22"/>
        </w:rPr>
        <w:t>, obteniendo las firmas de los asistentes a las sesiones;</w:t>
      </w:r>
    </w:p>
    <w:p w14:paraId="4C0AD00D" w14:textId="664A0E58" w:rsidR="00560CC7" w:rsidRPr="00560B11" w:rsidRDefault="00BC5A7B" w:rsidP="00560CC7">
      <w:pPr>
        <w:spacing w:before="240" w:after="240" w:line="360" w:lineRule="auto"/>
        <w:jc w:val="both"/>
        <w:rPr>
          <w:rFonts w:ascii="Palatino Linotype" w:eastAsia="Palatino Linotype" w:hAnsi="Palatino Linotype" w:cs="Palatino Linotype"/>
        </w:rPr>
      </w:pPr>
      <w:r w:rsidRPr="00560B11">
        <w:rPr>
          <w:rFonts w:ascii="Palatino Linotype" w:eastAsia="Palatino Linotype" w:hAnsi="Palatino Linotype" w:cs="Palatino Linotype"/>
        </w:rPr>
        <w:t xml:space="preserve">Atento a lo anterior, </w:t>
      </w:r>
      <w:r w:rsidR="007868DD" w:rsidRPr="00560B11">
        <w:rPr>
          <w:rFonts w:ascii="Palatino Linotype" w:eastAsia="Palatino Linotype" w:hAnsi="Palatino Linotype" w:cs="Palatino Linotype"/>
        </w:rPr>
        <w:t>es evidente que no puede tenerse por satisfecho el derecho de acceso, pues la solicitud no se turnó a</w:t>
      </w:r>
      <w:r w:rsidR="00560CC7" w:rsidRPr="00560B11">
        <w:rPr>
          <w:rFonts w:ascii="Palatino Linotype" w:eastAsia="Palatino Linotype" w:hAnsi="Palatino Linotype" w:cs="Palatino Linotype"/>
        </w:rPr>
        <w:t xml:space="preserve"> todas</w:t>
      </w:r>
      <w:r w:rsidR="007868DD" w:rsidRPr="00560B11">
        <w:rPr>
          <w:rFonts w:ascii="Palatino Linotype" w:eastAsia="Palatino Linotype" w:hAnsi="Palatino Linotype" w:cs="Palatino Linotype"/>
        </w:rPr>
        <w:t xml:space="preserve"> las áreas competentes</w:t>
      </w:r>
      <w:r w:rsidR="00A7638E" w:rsidRPr="00560B11">
        <w:rPr>
          <w:rFonts w:ascii="Palatino Linotype" w:eastAsia="Palatino Linotype" w:hAnsi="Palatino Linotype" w:cs="Palatino Linotype"/>
        </w:rPr>
        <w:t xml:space="preserve"> que pudieran haber generado, que administren o posean la información que es del interés de la persona solicitante</w:t>
      </w:r>
      <w:r w:rsidR="007868DD" w:rsidRPr="00560B11">
        <w:rPr>
          <w:rFonts w:ascii="Palatino Linotype" w:eastAsia="Palatino Linotype" w:hAnsi="Palatino Linotype" w:cs="Palatino Linotype"/>
        </w:rPr>
        <w:t xml:space="preserve">, </w:t>
      </w:r>
      <w:r w:rsidR="00560CC7" w:rsidRPr="00560B11">
        <w:rPr>
          <w:rFonts w:ascii="Palatino Linotype" w:eastAsia="Palatino Linotype" w:hAnsi="Palatino Linotype" w:cs="Palatino Linotype"/>
        </w:rPr>
        <w:t xml:space="preserve">ya que como se señaló en líneas anteriores, la Unidad de Transparencia </w:t>
      </w:r>
      <w:r w:rsidR="00560CC7" w:rsidRPr="00560B11">
        <w:rPr>
          <w:rFonts w:ascii="Palatino Linotype" w:hAnsi="Palatino Linotype"/>
        </w:rPr>
        <w:t xml:space="preserve">en observancia de lo previsto en los artículos </w:t>
      </w:r>
      <w:r w:rsidR="00560CC7" w:rsidRPr="00560B11">
        <w:rPr>
          <w:rFonts w:ascii="Palatino Linotype" w:hAnsi="Palatino Linotype" w:cs="Arial"/>
        </w:rPr>
        <w:t xml:space="preserve">53 fracción II y IV, y 162 de la Ley de Transparencia y Acceso a la Información Pública del Estado de México y Municipios, turnó la solicitud de información únicamente a la Dirección de Gobernación, dependencia que tiene a su cargo </w:t>
      </w:r>
      <w:r w:rsidR="00560CC7" w:rsidRPr="00560B11">
        <w:rPr>
          <w:rFonts w:ascii="Palatino Linotype" w:eastAsia="Palatino Linotype" w:hAnsi="Palatino Linotype" w:cs="Palatino Linotype"/>
        </w:rPr>
        <w:t xml:space="preserve">la responsabilidad de mantener la convivencia y la paz social en el territorio de Cuautitlán, México, fomentando en todo momento el orden público respetando el ejercicio de los derechos fundamentales de la población, la participación y atención ciudadana con una visión clara que situé al ser humano en su diversidad, como sujeto central para alcanzar el </w:t>
      </w:r>
      <w:r w:rsidR="00560CC7" w:rsidRPr="00560B11">
        <w:rPr>
          <w:rFonts w:ascii="Palatino Linotype" w:eastAsia="Palatino Linotype" w:hAnsi="Palatino Linotype" w:cs="Palatino Linotype"/>
        </w:rPr>
        <w:lastRenderedPageBreak/>
        <w:t>buen vivir, de conformidad con el artículo 75 del Bando Municipal, misma que si bien reconoció que la Vialidad Cola de Caballo cuenta con un cierre definitivo,</w:t>
      </w:r>
      <w:r w:rsidR="00A7638E" w:rsidRPr="00560B11">
        <w:rPr>
          <w:rFonts w:ascii="Palatino Linotype" w:eastAsia="Palatino Linotype" w:hAnsi="Palatino Linotype" w:cs="Palatino Linotype"/>
        </w:rPr>
        <w:t xml:space="preserve"> también manifestó que</w:t>
      </w:r>
      <w:r w:rsidR="00560CC7" w:rsidRPr="00560B11">
        <w:rPr>
          <w:rFonts w:ascii="Palatino Linotype" w:eastAsia="Palatino Linotype" w:hAnsi="Palatino Linotype" w:cs="Palatino Linotype"/>
        </w:rPr>
        <w:t xml:space="preserve"> no contaba con documentación alguna que acreditara </w:t>
      </w:r>
      <w:r w:rsidR="00A7638E" w:rsidRPr="00560B11">
        <w:rPr>
          <w:rFonts w:ascii="Palatino Linotype" w:eastAsia="Palatino Linotype" w:hAnsi="Palatino Linotype" w:cs="Palatino Linotype"/>
        </w:rPr>
        <w:t>dicha circunstancia, asimismo, es de señalar que aún sin tener obligación para ello, en el ámbito de sus competencias refirió los motivos que se tomaron en consideración para llevar a cabo el cierre de la vialidad Cola de Caballo.</w:t>
      </w:r>
    </w:p>
    <w:p w14:paraId="4FE554F9" w14:textId="77A20B73" w:rsidR="00CD542B" w:rsidRPr="00560B11" w:rsidRDefault="00560CC7" w:rsidP="00AD44B7">
      <w:pPr>
        <w:spacing w:before="240" w:after="240" w:line="360" w:lineRule="auto"/>
        <w:jc w:val="both"/>
        <w:rPr>
          <w:rFonts w:ascii="Palatino Linotype" w:eastAsia="Palatino Linotype" w:hAnsi="Palatino Linotype" w:cs="Palatino Linotype"/>
        </w:rPr>
      </w:pPr>
      <w:r w:rsidRPr="00560B11">
        <w:rPr>
          <w:rFonts w:ascii="Palatino Linotype" w:eastAsia="Palatino Linotype" w:hAnsi="Palatino Linotype" w:cs="Palatino Linotype"/>
        </w:rPr>
        <w:t>En este sentido,</w:t>
      </w:r>
      <w:r w:rsidR="000857B7" w:rsidRPr="00560B11">
        <w:rPr>
          <w:rFonts w:ascii="Palatino Linotype" w:eastAsia="Palatino Linotype" w:hAnsi="Palatino Linotype" w:cs="Palatino Linotype"/>
        </w:rPr>
        <w:t xml:space="preserve"> toda vez que  de conformidad con </w:t>
      </w:r>
      <w:r w:rsidR="00A7638E" w:rsidRPr="00560B11">
        <w:rPr>
          <w:rFonts w:ascii="Palatino Linotype" w:eastAsia="Palatino Linotype" w:hAnsi="Palatino Linotype" w:cs="Palatino Linotype"/>
        </w:rPr>
        <w:t>artículo</w:t>
      </w:r>
      <w:r w:rsidR="000857B7" w:rsidRPr="00560B11">
        <w:rPr>
          <w:rFonts w:ascii="Palatino Linotype" w:eastAsia="Palatino Linotype" w:hAnsi="Palatino Linotype" w:cs="Palatino Linotype"/>
        </w:rPr>
        <w:t xml:space="preserve"> 9, fracción XIX, de Ley de Movilidad, debe existir una autorización para la obstrucción del tránsito de vialidades, </w:t>
      </w:r>
      <w:r w:rsidR="00D12B45" w:rsidRPr="00560B11">
        <w:rPr>
          <w:rFonts w:ascii="Palatino Linotype" w:eastAsia="Palatino Linotype" w:hAnsi="Palatino Linotype" w:cs="Palatino Linotype"/>
        </w:rPr>
        <w:t>a consideración de este Organismo Garante</w:t>
      </w:r>
      <w:r w:rsidR="000857B7" w:rsidRPr="00560B11">
        <w:rPr>
          <w:rFonts w:ascii="Palatino Linotype" w:eastAsia="Palatino Linotype" w:hAnsi="Palatino Linotype" w:cs="Palatino Linotype"/>
        </w:rPr>
        <w:t xml:space="preserve"> lo procedente</w:t>
      </w:r>
      <w:r w:rsidR="00D12B45" w:rsidRPr="00560B11">
        <w:rPr>
          <w:rFonts w:ascii="Palatino Linotype" w:eastAsia="Palatino Linotype" w:hAnsi="Palatino Linotype" w:cs="Palatino Linotype"/>
        </w:rPr>
        <w:t xml:space="preserve"> </w:t>
      </w:r>
      <w:r w:rsidR="00B4585D" w:rsidRPr="00560B11">
        <w:rPr>
          <w:rFonts w:ascii="Palatino Linotype" w:eastAsia="Palatino Linotype" w:hAnsi="Palatino Linotype" w:cs="Palatino Linotype"/>
        </w:rPr>
        <w:t>es ordenar se efectúe la búsqueda exhaustiva del soporte documental que</w:t>
      </w:r>
      <w:r w:rsidR="00A80775" w:rsidRPr="00560B11">
        <w:rPr>
          <w:rFonts w:ascii="Palatino Linotype" w:eastAsia="Palatino Linotype" w:hAnsi="Palatino Linotype" w:cs="Palatino Linotype"/>
        </w:rPr>
        <w:t xml:space="preserve"> </w:t>
      </w:r>
      <w:r w:rsidR="00B4585D" w:rsidRPr="00560B11">
        <w:rPr>
          <w:rFonts w:ascii="Palatino Linotype" w:eastAsia="Palatino Linotype" w:hAnsi="Palatino Linotype" w:cs="Palatino Linotype"/>
        </w:rPr>
        <w:t>d</w:t>
      </w:r>
      <w:r w:rsidR="00A80775" w:rsidRPr="00560B11">
        <w:rPr>
          <w:rFonts w:ascii="Palatino Linotype" w:eastAsia="Palatino Linotype" w:hAnsi="Palatino Linotype" w:cs="Palatino Linotype"/>
        </w:rPr>
        <w:t>é</w:t>
      </w:r>
      <w:r w:rsidR="00B4585D" w:rsidRPr="00560B11">
        <w:rPr>
          <w:rFonts w:ascii="Palatino Linotype" w:eastAsia="Palatino Linotype" w:hAnsi="Palatino Linotype" w:cs="Palatino Linotype"/>
        </w:rPr>
        <w:t xml:space="preserve"> cuenta de</w:t>
      </w:r>
      <w:r w:rsidR="003A3A98" w:rsidRPr="00560B11">
        <w:rPr>
          <w:rFonts w:ascii="Palatino Linotype" w:eastAsia="Palatino Linotype" w:hAnsi="Palatino Linotype" w:cs="Palatino Linotype"/>
        </w:rPr>
        <w:t xml:space="preserve">l </w:t>
      </w:r>
      <w:r w:rsidR="00A7638E" w:rsidRPr="00560B11">
        <w:rPr>
          <w:rFonts w:ascii="Palatino Linotype" w:eastAsia="Palatino Linotype" w:hAnsi="Palatino Linotype" w:cs="Palatino Linotype"/>
        </w:rPr>
        <w:t xml:space="preserve">fundamento </w:t>
      </w:r>
      <w:r w:rsidR="00B4585D" w:rsidRPr="00560B11">
        <w:rPr>
          <w:rFonts w:ascii="Palatino Linotype" w:eastAsia="Palatino Linotype" w:hAnsi="Palatino Linotype" w:cs="Palatino Linotype"/>
        </w:rPr>
        <w:t xml:space="preserve">para realizar el </w:t>
      </w:r>
      <w:r w:rsidR="00CD542B" w:rsidRPr="00560B11">
        <w:rPr>
          <w:rFonts w:ascii="Palatino Linotype" w:eastAsia="Palatino Linotype" w:hAnsi="Palatino Linotype" w:cs="Palatino Linotype"/>
        </w:rPr>
        <w:t xml:space="preserve">cierre o </w:t>
      </w:r>
      <w:r w:rsidR="00B4585D" w:rsidRPr="00560B11">
        <w:rPr>
          <w:rFonts w:ascii="Palatino Linotype" w:eastAsia="Palatino Linotype" w:hAnsi="Palatino Linotype" w:cs="Palatino Linotype"/>
        </w:rPr>
        <w:t>bloqueo de la vialidad Cola de Caballo</w:t>
      </w:r>
      <w:r w:rsidR="00CD542B" w:rsidRPr="00560B11">
        <w:rPr>
          <w:rFonts w:ascii="Palatino Linotype" w:eastAsia="Palatino Linotype" w:hAnsi="Palatino Linotype" w:cs="Palatino Linotype"/>
        </w:rPr>
        <w:t xml:space="preserve"> en el municipio de Cuautitlán, así como la avenida 6 de Junio que conecta Tultepec y el municipio de Cuautitlán</w:t>
      </w:r>
      <w:r w:rsidR="00BB7BA2" w:rsidRPr="00560B11">
        <w:rPr>
          <w:rFonts w:ascii="Palatino Linotype" w:eastAsia="Palatino Linotype" w:hAnsi="Palatino Linotype" w:cs="Palatino Linotype"/>
        </w:rPr>
        <w:t xml:space="preserve">, </w:t>
      </w:r>
      <w:r w:rsidR="003A3A98" w:rsidRPr="00560B11">
        <w:rPr>
          <w:rFonts w:ascii="Palatino Linotype" w:eastAsia="Palatino Linotype" w:hAnsi="Palatino Linotype" w:cs="Palatino Linotype"/>
        </w:rPr>
        <w:t xml:space="preserve">así como el estatus de dicha acción. </w:t>
      </w:r>
    </w:p>
    <w:p w14:paraId="0F2EFF5E" w14:textId="0A5FDF24" w:rsidR="00252A56" w:rsidRPr="00560B11" w:rsidRDefault="00CD542B" w:rsidP="00585BB1">
      <w:pPr>
        <w:spacing w:before="240" w:after="240" w:line="360" w:lineRule="auto"/>
        <w:jc w:val="both"/>
        <w:rPr>
          <w:rFonts w:ascii="Palatino Linotype" w:eastAsia="Palatino Linotype" w:hAnsi="Palatino Linotype" w:cs="Palatino Linotype"/>
        </w:rPr>
      </w:pPr>
      <w:r w:rsidRPr="00560B11">
        <w:rPr>
          <w:rFonts w:ascii="Palatino Linotype" w:eastAsia="Palatino Linotype" w:hAnsi="Palatino Linotype" w:cs="Palatino Linotype"/>
        </w:rPr>
        <w:t xml:space="preserve">Por otro lado, si derivado de la búsqueda que se ordena, no se llegara a localizar </w:t>
      </w:r>
      <w:r w:rsidR="009961CA" w:rsidRPr="00560B11">
        <w:rPr>
          <w:rFonts w:ascii="Palatino Linotype" w:eastAsia="Palatino Linotype" w:hAnsi="Palatino Linotype" w:cs="Palatino Linotype"/>
        </w:rPr>
        <w:t xml:space="preserve">documento alguno </w:t>
      </w:r>
      <w:r w:rsidR="003A3A98" w:rsidRPr="00560B11">
        <w:rPr>
          <w:rFonts w:ascii="Palatino Linotype" w:eastAsia="Palatino Linotype" w:hAnsi="Palatino Linotype" w:cs="Palatino Linotype"/>
        </w:rPr>
        <w:t xml:space="preserve">que contenga el fundamento para la autorización de los </w:t>
      </w:r>
      <w:r w:rsidR="00EB1645" w:rsidRPr="00560B11">
        <w:rPr>
          <w:rFonts w:ascii="Palatino Linotype" w:eastAsia="Palatino Linotype" w:hAnsi="Palatino Linotype" w:cs="Palatino Linotype"/>
        </w:rPr>
        <w:t xml:space="preserve">cierres o bloqueos referidos en la </w:t>
      </w:r>
      <w:r w:rsidR="003A3A98" w:rsidRPr="00560B11">
        <w:rPr>
          <w:rFonts w:ascii="Palatino Linotype" w:eastAsia="Palatino Linotype" w:hAnsi="Palatino Linotype" w:cs="Palatino Linotype"/>
        </w:rPr>
        <w:t>solicitud</w:t>
      </w:r>
      <w:r w:rsidR="00EB1645" w:rsidRPr="00560B11">
        <w:rPr>
          <w:rFonts w:ascii="Palatino Linotype" w:eastAsia="Palatino Linotype" w:hAnsi="Palatino Linotype" w:cs="Palatino Linotype"/>
        </w:rPr>
        <w:t>,</w:t>
      </w:r>
      <w:r w:rsidR="00585BB1" w:rsidRPr="00560B11">
        <w:rPr>
          <w:rFonts w:ascii="Palatino Linotype" w:eastAsia="Palatino Linotype" w:hAnsi="Palatino Linotype" w:cs="Palatino Linotype"/>
        </w:rPr>
        <w:t xml:space="preserve"> el </w:t>
      </w:r>
      <w:r w:rsidR="00585BB1" w:rsidRPr="00560B11">
        <w:rPr>
          <w:rFonts w:ascii="Palatino Linotype" w:eastAsia="Palatino Linotype" w:hAnsi="Palatino Linotype" w:cs="Palatino Linotype"/>
          <w:b/>
          <w:bCs/>
        </w:rPr>
        <w:t>Sujeto Obligado</w:t>
      </w:r>
      <w:r w:rsidR="00EB1645" w:rsidRPr="00560B11">
        <w:rPr>
          <w:rFonts w:ascii="Palatino Linotype" w:eastAsia="Palatino Linotype" w:hAnsi="Palatino Linotype" w:cs="Palatino Linotype"/>
        </w:rPr>
        <w:t xml:space="preserve"> </w:t>
      </w:r>
      <w:r w:rsidR="00585BB1" w:rsidRPr="00560B11">
        <w:rPr>
          <w:rFonts w:ascii="Palatino Linotype" w:eastAsia="Palatino Linotype" w:hAnsi="Palatino Linotype" w:cs="Palatino Linotype"/>
        </w:rPr>
        <w:t>deberá declarar formalmente la inexistencia, al existir una obligación normativa de contar con ellos</w:t>
      </w:r>
      <w:r w:rsidR="00252A56" w:rsidRPr="00560B11">
        <w:rPr>
          <w:rFonts w:ascii="Palatino Linotype" w:eastAsia="Palatino Linotype" w:hAnsi="Palatino Linotype" w:cs="Palatino Linotype"/>
        </w:rPr>
        <w:t>,</w:t>
      </w:r>
      <w:r w:rsidR="003A3A98" w:rsidRPr="00560B11">
        <w:rPr>
          <w:rFonts w:ascii="Palatino Linotype" w:eastAsia="Palatino Linotype" w:hAnsi="Palatino Linotype" w:cs="Palatino Linotype"/>
        </w:rPr>
        <w:t xml:space="preserve"> ya</w:t>
      </w:r>
      <w:r w:rsidR="00252A56" w:rsidRPr="00560B11">
        <w:rPr>
          <w:rFonts w:ascii="Palatino Linotype" w:eastAsia="Palatino Linotype" w:hAnsi="Palatino Linotype" w:cs="Palatino Linotype"/>
        </w:rPr>
        <w:t xml:space="preserve"> que ha reconocido</w:t>
      </w:r>
      <w:r w:rsidR="003A3A98" w:rsidRPr="00560B11">
        <w:rPr>
          <w:rFonts w:ascii="Palatino Linotype" w:eastAsia="Palatino Linotype" w:hAnsi="Palatino Linotype" w:cs="Palatino Linotype"/>
        </w:rPr>
        <w:t xml:space="preserve"> </w:t>
      </w:r>
      <w:r w:rsidR="00252A56" w:rsidRPr="00560B11">
        <w:rPr>
          <w:rFonts w:ascii="Palatino Linotype" w:eastAsia="Palatino Linotype" w:hAnsi="Palatino Linotype" w:cs="Palatino Linotype"/>
        </w:rPr>
        <w:t>conocer del hecho y</w:t>
      </w:r>
      <w:r w:rsidR="003A3A98" w:rsidRPr="00560B11">
        <w:rPr>
          <w:rFonts w:ascii="Palatino Linotype" w:eastAsia="Palatino Linotype" w:hAnsi="Palatino Linotype" w:cs="Palatino Linotype"/>
        </w:rPr>
        <w:t xml:space="preserve"> que</w:t>
      </w:r>
      <w:r w:rsidR="00252A56" w:rsidRPr="00560B11">
        <w:rPr>
          <w:rFonts w:ascii="Palatino Linotype" w:eastAsia="Palatino Linotype" w:hAnsi="Palatino Linotype" w:cs="Palatino Linotype"/>
        </w:rPr>
        <w:t xml:space="preserve"> ha autorizado continuar con el bloqueo </w:t>
      </w:r>
      <w:r w:rsidR="003A3A98" w:rsidRPr="00560B11">
        <w:rPr>
          <w:rFonts w:ascii="Palatino Linotype" w:eastAsia="Palatino Linotype" w:hAnsi="Palatino Linotype" w:cs="Palatino Linotype"/>
        </w:rPr>
        <w:t>referido.</w:t>
      </w:r>
    </w:p>
    <w:p w14:paraId="0A99717F" w14:textId="77777777" w:rsidR="00585BB1" w:rsidRPr="00560B11" w:rsidRDefault="00585BB1" w:rsidP="00585BB1">
      <w:pPr>
        <w:spacing w:before="240" w:after="240" w:line="360" w:lineRule="auto"/>
        <w:jc w:val="both"/>
        <w:rPr>
          <w:rFonts w:ascii="Palatino Linotype" w:eastAsia="Palatino Linotype" w:hAnsi="Palatino Linotype" w:cs="Palatino Linotype"/>
        </w:rPr>
      </w:pPr>
      <w:r w:rsidRPr="00560B11">
        <w:rPr>
          <w:rFonts w:ascii="Palatino Linotype" w:eastAsia="Palatino Linotype" w:hAnsi="Palatino Linotype" w:cs="Palatino Linotype"/>
        </w:rPr>
        <w:t xml:space="preserve">Sobre el tema, el artículo 19 de la Ley de Transparencia y Acceso a la Información Pública del Estado de México y Municipios, precisa que la información debe de existir, si se refiere a las facultades, competencias y funciones que los ordenamientos jurídicos aplicables otorguen a los sujetos obligados. Asimismo, que si el Sujeto Obligado, en el ejercicio de sus atribuciones, debía generar, poseer o administrar la </w:t>
      </w:r>
      <w:r w:rsidRPr="00560B11">
        <w:rPr>
          <w:rFonts w:ascii="Palatino Linotype" w:eastAsia="Palatino Linotype" w:hAnsi="Palatino Linotype" w:cs="Palatino Linotype"/>
        </w:rPr>
        <w:lastRenderedPageBreak/>
        <w:t>información, pero esta no se encuentra, el Comité de Transparencia deberá emitir un acuerdo de inexistencia, debidamente fundado y motivado, en el que detalle las razones del por qué no obra en sus archivos.</w:t>
      </w:r>
    </w:p>
    <w:p w14:paraId="3BA3D3B4" w14:textId="77777777" w:rsidR="00585BB1" w:rsidRPr="00560B11" w:rsidRDefault="00585BB1" w:rsidP="00585BB1">
      <w:pPr>
        <w:spacing w:line="360" w:lineRule="auto"/>
        <w:jc w:val="both"/>
        <w:rPr>
          <w:rFonts w:ascii="Palatino Linotype" w:eastAsia="Palatino Linotype" w:hAnsi="Palatino Linotype" w:cs="Palatino Linotype"/>
        </w:rPr>
      </w:pPr>
      <w:r w:rsidRPr="00560B11">
        <w:rPr>
          <w:rFonts w:ascii="Palatino Linotype" w:eastAsia="Palatino Linotype" w:hAnsi="Palatino Linotype" w:cs="Palatino Linotype"/>
        </w:rPr>
        <w:t xml:space="preserve">En ese orden de ideas, el Criterio de interpretación, de la Segunda Época, con clave de control SO/004/2019, emitido por el del Instituto Nacional de Transparencia, Acceso a la Información y Protección de Datos Personales, establece lo siguiente: </w:t>
      </w:r>
    </w:p>
    <w:p w14:paraId="16FD6D92" w14:textId="77777777" w:rsidR="00585BB1" w:rsidRPr="00560B11" w:rsidRDefault="00585BB1" w:rsidP="00585BB1">
      <w:pPr>
        <w:spacing w:before="120" w:after="120"/>
        <w:ind w:left="851" w:right="902"/>
        <w:jc w:val="both"/>
        <w:rPr>
          <w:rFonts w:ascii="Palatino Linotype" w:eastAsia="Palatino Linotype" w:hAnsi="Palatino Linotype" w:cs="Palatino Linotype"/>
          <w:i/>
          <w:sz w:val="22"/>
          <w:szCs w:val="22"/>
        </w:rPr>
      </w:pPr>
      <w:r w:rsidRPr="00560B11">
        <w:rPr>
          <w:rFonts w:ascii="Palatino Linotype" w:eastAsia="Palatino Linotype" w:hAnsi="Palatino Linotype" w:cs="Palatino Linotype"/>
          <w:i/>
          <w:sz w:val="22"/>
          <w:szCs w:val="22"/>
        </w:rPr>
        <w:t>“</w:t>
      </w:r>
      <w:r w:rsidRPr="00560B11">
        <w:rPr>
          <w:rFonts w:ascii="Palatino Linotype" w:eastAsia="Palatino Linotype" w:hAnsi="Palatino Linotype" w:cs="Palatino Linotype"/>
          <w:b/>
          <w:i/>
          <w:sz w:val="22"/>
          <w:szCs w:val="22"/>
        </w:rPr>
        <w:t>Propósito de la declaración formal de inexistencia.</w:t>
      </w:r>
      <w:r w:rsidRPr="00560B11">
        <w:rPr>
          <w:rFonts w:ascii="Palatino Linotype" w:eastAsia="Palatino Linotype" w:hAnsi="Palatino Linotype" w:cs="Palatino Linotype"/>
          <w:i/>
          <w:sz w:val="22"/>
          <w:szCs w:val="22"/>
        </w:rPr>
        <w:t xml:space="preserve"> 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w:t>
      </w:r>
    </w:p>
    <w:p w14:paraId="136130F7" w14:textId="77777777" w:rsidR="00585BB1" w:rsidRPr="00560B11" w:rsidRDefault="00585BB1" w:rsidP="00585BB1">
      <w:pPr>
        <w:spacing w:before="240" w:after="240" w:line="360" w:lineRule="auto"/>
        <w:jc w:val="both"/>
        <w:rPr>
          <w:rFonts w:ascii="Palatino Linotype" w:eastAsia="Palatino Linotype" w:hAnsi="Palatino Linotype" w:cs="Palatino Linotype"/>
        </w:rPr>
      </w:pPr>
      <w:r w:rsidRPr="00560B11">
        <w:rPr>
          <w:rFonts w:ascii="Palatino Linotype" w:eastAsia="Palatino Linotype" w:hAnsi="Palatino Linotype" w:cs="Palatino Linotype"/>
        </w:rPr>
        <w:t>De lo anterior se colige que las declaraciones de inexistencia de los Comités de Transparencia, deben de contener los elementos suficientes para generar en los solicitantes, certeza de que la información no obra en sus archivos, esto es, deben fundar y motivar las razones por las cuales, se buscó la información en determinadas unidades administrativas, los criterios de búsqueda y demás circunstancias tomadas en cuenta, con el fin de garantizar al solicitante que efectivamente se hicieron las gestiones necesarias para localizar la documentación de su interés.</w:t>
      </w:r>
    </w:p>
    <w:p w14:paraId="12A02CAE" w14:textId="77777777" w:rsidR="00585BB1" w:rsidRPr="00560B11" w:rsidRDefault="00585BB1" w:rsidP="00585BB1">
      <w:pPr>
        <w:spacing w:line="360" w:lineRule="auto"/>
        <w:jc w:val="both"/>
        <w:rPr>
          <w:rFonts w:ascii="Palatino Linotype" w:eastAsia="Palatino Linotype" w:hAnsi="Palatino Linotype" w:cs="Palatino Linotype"/>
        </w:rPr>
      </w:pPr>
      <w:r w:rsidRPr="00560B11">
        <w:rPr>
          <w:rFonts w:ascii="Palatino Linotype" w:eastAsia="Palatino Linotype" w:hAnsi="Palatino Linotype" w:cs="Palatino Linotype"/>
        </w:rPr>
        <w:t xml:space="preserve">Asimismo, según Calero, Natalia (2016), en la “Ley General de Transparencia y Acceso a la Información Pública Comentada” (p. 419), las declaraciones de inexistencia, deben contener lo siguiente: </w:t>
      </w:r>
    </w:p>
    <w:p w14:paraId="25DEC47D" w14:textId="77777777" w:rsidR="00585BB1" w:rsidRPr="00560B11" w:rsidRDefault="00585BB1" w:rsidP="00585BB1">
      <w:pPr>
        <w:spacing w:before="120" w:after="120" w:line="360" w:lineRule="auto"/>
        <w:ind w:left="284"/>
        <w:jc w:val="both"/>
        <w:rPr>
          <w:rFonts w:ascii="Palatino Linotype" w:eastAsia="Palatino Linotype" w:hAnsi="Palatino Linotype" w:cs="Palatino Linotype"/>
        </w:rPr>
      </w:pPr>
      <w:r w:rsidRPr="00560B11">
        <w:rPr>
          <w:rFonts w:ascii="Palatino Linotype" w:eastAsia="Palatino Linotype" w:hAnsi="Palatino Linotype" w:cs="Palatino Linotype"/>
          <w:b/>
        </w:rPr>
        <w:t>a) Los elementos que le permitan a los solicitantes tener certeza de que el Sujeto Obligado utilizó un criterio de búsqueda exhaustivo:</w:t>
      </w:r>
      <w:r w:rsidRPr="00560B11">
        <w:rPr>
          <w:rFonts w:ascii="Palatino Linotype" w:eastAsia="Palatino Linotype" w:hAnsi="Palatino Linotype" w:cs="Palatino Linotype"/>
        </w:rPr>
        <w:t xml:space="preserve"> Para atender dicho </w:t>
      </w:r>
      <w:r w:rsidRPr="00560B11">
        <w:rPr>
          <w:rFonts w:ascii="Palatino Linotype" w:eastAsia="Palatino Linotype" w:hAnsi="Palatino Linotype" w:cs="Palatino Linotype"/>
        </w:rPr>
        <w:lastRenderedPageBreak/>
        <w:t xml:space="preserve">supuesto, se debe precisar en qué unidades administrativas buscó, así como en el tipo de archivos y la manera en que realizó la indagación; </w:t>
      </w:r>
    </w:p>
    <w:p w14:paraId="6E24A881" w14:textId="77777777" w:rsidR="00585BB1" w:rsidRPr="00560B11" w:rsidRDefault="00585BB1" w:rsidP="00585BB1">
      <w:pPr>
        <w:spacing w:before="120" w:after="120" w:line="360" w:lineRule="auto"/>
        <w:ind w:left="284"/>
        <w:jc w:val="both"/>
        <w:rPr>
          <w:rFonts w:ascii="Palatino Linotype" w:eastAsia="Palatino Linotype" w:hAnsi="Palatino Linotype" w:cs="Palatino Linotype"/>
        </w:rPr>
      </w:pPr>
      <w:r w:rsidRPr="00560B11">
        <w:rPr>
          <w:rFonts w:ascii="Palatino Linotype" w:eastAsia="Palatino Linotype" w:hAnsi="Palatino Linotype" w:cs="Palatino Linotype"/>
          <w:b/>
        </w:rPr>
        <w:t>b) Las circunstancias de tiempo, modo y lugar que motiven las razones por las cuales la información es inexistente:</w:t>
      </w:r>
      <w:r w:rsidRPr="00560B11">
        <w:rPr>
          <w:rFonts w:ascii="Palatino Linotype" w:eastAsia="Palatino Linotype" w:hAnsi="Palatino Linotype" w:cs="Palatino Linotype"/>
        </w:rPr>
        <w:t xml:space="preserve"> Al respecto, los sujetos obligados para acreditar dicho punto, deberán proveer la mayor cantidad de elementos posibles que permitan evidencia las razones por las cuales la información requerida no existe, y </w:t>
      </w:r>
    </w:p>
    <w:p w14:paraId="0F614671" w14:textId="77777777" w:rsidR="00585BB1" w:rsidRPr="00560B11" w:rsidRDefault="00585BB1" w:rsidP="00585BB1">
      <w:pPr>
        <w:spacing w:before="120" w:after="120" w:line="360" w:lineRule="auto"/>
        <w:ind w:left="284"/>
        <w:jc w:val="both"/>
        <w:rPr>
          <w:rFonts w:ascii="Palatino Linotype" w:eastAsia="Palatino Linotype" w:hAnsi="Palatino Linotype" w:cs="Palatino Linotype"/>
        </w:rPr>
      </w:pPr>
      <w:r w:rsidRPr="00560B11">
        <w:rPr>
          <w:rFonts w:ascii="Palatino Linotype" w:eastAsia="Palatino Linotype" w:hAnsi="Palatino Linotype" w:cs="Palatino Linotype"/>
          <w:b/>
        </w:rPr>
        <w:t>c) El servidor público responsable de contar con ésta:</w:t>
      </w:r>
      <w:r w:rsidRPr="00560B11">
        <w:rPr>
          <w:rFonts w:ascii="Palatino Linotype" w:eastAsia="Palatino Linotype" w:hAnsi="Palatino Linotype" w:cs="Palatino Linotype"/>
        </w:rPr>
        <w:t xml:space="preserve"> Es importante indicar, el cargo y las razones jurídicas por las cuales debió generar la información. </w:t>
      </w:r>
    </w:p>
    <w:p w14:paraId="21D80DFB" w14:textId="1538AF35" w:rsidR="00585BB1" w:rsidRPr="00560B11" w:rsidRDefault="00585BB1" w:rsidP="00585BB1">
      <w:pPr>
        <w:spacing w:before="240" w:after="240" w:line="360" w:lineRule="auto"/>
        <w:jc w:val="both"/>
        <w:rPr>
          <w:rFonts w:ascii="Palatino Linotype" w:eastAsia="Palatino Linotype" w:hAnsi="Palatino Linotype" w:cs="Palatino Linotype"/>
        </w:rPr>
      </w:pPr>
      <w:r w:rsidRPr="00560B11">
        <w:rPr>
          <w:rFonts w:ascii="Palatino Linotype" w:eastAsia="Palatino Linotype" w:hAnsi="Palatino Linotype" w:cs="Palatino Linotype"/>
        </w:rPr>
        <w:t xml:space="preserve">Conforme a lo citado, se considera que es necesario que el </w:t>
      </w:r>
      <w:r w:rsidRPr="00560B11">
        <w:rPr>
          <w:rFonts w:ascii="Palatino Linotype" w:eastAsia="Palatino Linotype" w:hAnsi="Palatino Linotype" w:cs="Palatino Linotype"/>
          <w:b/>
        </w:rPr>
        <w:t>Sujeto Obligado</w:t>
      </w:r>
      <w:r w:rsidRPr="00560B11">
        <w:rPr>
          <w:rFonts w:ascii="Palatino Linotype" w:eastAsia="Palatino Linotype" w:hAnsi="Palatino Linotype" w:cs="Palatino Linotype"/>
        </w:rPr>
        <w:t>, declare por medio de su Comité de Transparencia, la inexistencia</w:t>
      </w:r>
      <w:r w:rsidR="000D1ADD" w:rsidRPr="00560B11">
        <w:rPr>
          <w:rFonts w:ascii="Palatino Linotype" w:eastAsia="Palatino Linotype" w:hAnsi="Palatino Linotype" w:cs="Palatino Linotype"/>
        </w:rPr>
        <w:t xml:space="preserve"> de</w:t>
      </w:r>
      <w:r w:rsidR="00AF0C82" w:rsidRPr="00560B11">
        <w:rPr>
          <w:rFonts w:ascii="Palatino Linotype" w:eastAsia="Palatino Linotype" w:hAnsi="Palatino Linotype" w:cs="Palatino Linotype"/>
        </w:rPr>
        <w:t xml:space="preserve">l soporte documental que dé cuenta del fundamento para la autorización de los cierres o bloqueos referidos en la solicitud, así como del estatus de los mismos, </w:t>
      </w:r>
      <w:r w:rsidRPr="00560B11">
        <w:rPr>
          <w:rFonts w:ascii="Palatino Linotype" w:eastAsia="Palatino Linotype" w:hAnsi="Palatino Linotype" w:cs="Palatino Linotype"/>
        </w:rPr>
        <w:t xml:space="preserve">para el caso que no obre en sus archivos; para tal situación, deberá seguir el procedimiento establecido en el artículo 169 y 170 de la Ley de Transparencia y Acceso a la Información Pública del Estado de México y Municipios, que precisa que cuando la información no se encuentre en los archivos del Sujeto Obligado, el Comité de Transparencia deberá: </w:t>
      </w:r>
    </w:p>
    <w:p w14:paraId="789D211C" w14:textId="77777777" w:rsidR="00585BB1" w:rsidRPr="00560B11" w:rsidRDefault="00585BB1" w:rsidP="00585BB1">
      <w:pPr>
        <w:spacing w:before="240" w:after="240" w:line="360" w:lineRule="auto"/>
        <w:ind w:left="284"/>
        <w:jc w:val="both"/>
        <w:rPr>
          <w:rFonts w:ascii="Palatino Linotype" w:eastAsia="Palatino Linotype" w:hAnsi="Palatino Linotype" w:cs="Palatino Linotype"/>
        </w:rPr>
      </w:pPr>
      <w:r w:rsidRPr="00560B11">
        <w:rPr>
          <w:rFonts w:ascii="Palatino Linotype" w:eastAsia="Palatino Linotype" w:hAnsi="Palatino Linotype" w:cs="Palatino Linotype"/>
        </w:rPr>
        <w:t>1. Analizar el caso y tomar las medidas necesarias para localizar la información;</w:t>
      </w:r>
    </w:p>
    <w:p w14:paraId="3F0C2196" w14:textId="77777777" w:rsidR="00585BB1" w:rsidRPr="00560B11" w:rsidRDefault="00585BB1" w:rsidP="00585BB1">
      <w:pPr>
        <w:spacing w:before="240" w:after="240" w:line="360" w:lineRule="auto"/>
        <w:ind w:left="284"/>
        <w:jc w:val="both"/>
        <w:rPr>
          <w:rFonts w:ascii="Palatino Linotype" w:eastAsia="Palatino Linotype" w:hAnsi="Palatino Linotype" w:cs="Palatino Linotype"/>
        </w:rPr>
      </w:pPr>
      <w:r w:rsidRPr="00560B11">
        <w:rPr>
          <w:rFonts w:ascii="Palatino Linotype" w:eastAsia="Palatino Linotype" w:hAnsi="Palatino Linotype" w:cs="Palatino Linotype"/>
        </w:rPr>
        <w:t xml:space="preserve">2. Expedir una resolución que confirme la inexistencia de la información, que contenga los elementos mínimos que permitan al Solicitante tener la certeza de que se utilizó un criterio de búsqueda exhaustivo, así como, las circunstancias de modo, tiempo y lugar que generaron la inexistencia y el servidor público responsable de contar con la información; </w:t>
      </w:r>
    </w:p>
    <w:p w14:paraId="4F715F6B" w14:textId="77777777" w:rsidR="00585BB1" w:rsidRPr="00560B11" w:rsidRDefault="00585BB1" w:rsidP="00585BB1">
      <w:pPr>
        <w:spacing w:before="240" w:after="240" w:line="360" w:lineRule="auto"/>
        <w:ind w:left="284"/>
        <w:jc w:val="both"/>
        <w:rPr>
          <w:rFonts w:ascii="Palatino Linotype" w:eastAsia="Palatino Linotype" w:hAnsi="Palatino Linotype" w:cs="Palatino Linotype"/>
        </w:rPr>
      </w:pPr>
      <w:r w:rsidRPr="00560B11">
        <w:rPr>
          <w:rFonts w:ascii="Palatino Linotype" w:eastAsia="Palatino Linotype" w:hAnsi="Palatino Linotype" w:cs="Palatino Linotype"/>
        </w:rPr>
        <w:lastRenderedPageBreak/>
        <w:t xml:space="preserve">3. Ordenar, siempre que sea materialmente posible, que se genere o reponga la información en caso que ésta tuviera que existir o previa acreditación de la imposibilidad de su generación, exponga de forma fundada y motivada las razones de dicha situación, y </w:t>
      </w:r>
    </w:p>
    <w:p w14:paraId="4B66633D" w14:textId="77777777" w:rsidR="00585BB1" w:rsidRPr="00560B11" w:rsidRDefault="00585BB1" w:rsidP="00585BB1">
      <w:pPr>
        <w:spacing w:before="240" w:after="240" w:line="360" w:lineRule="auto"/>
        <w:ind w:left="284"/>
        <w:jc w:val="both"/>
        <w:rPr>
          <w:rFonts w:ascii="Palatino Linotype" w:eastAsia="Palatino Linotype" w:hAnsi="Palatino Linotype" w:cs="Palatino Linotype"/>
        </w:rPr>
      </w:pPr>
      <w:r w:rsidRPr="00560B11">
        <w:rPr>
          <w:rFonts w:ascii="Palatino Linotype" w:eastAsia="Palatino Linotype" w:hAnsi="Palatino Linotype" w:cs="Palatino Linotype"/>
        </w:rPr>
        <w:t xml:space="preserve">4. Notificar al Órgano Interno de Control o equivalente, a efecto de que inicie el procedimiento de responsabilidad administrativa correspondiente. </w:t>
      </w:r>
    </w:p>
    <w:p w14:paraId="31F9ED0F" w14:textId="4D54FC72" w:rsidR="00585BB1" w:rsidRPr="00560B11" w:rsidRDefault="00585BB1" w:rsidP="00585BB1">
      <w:pPr>
        <w:spacing w:before="240" w:after="240" w:line="360" w:lineRule="auto"/>
        <w:jc w:val="both"/>
        <w:rPr>
          <w:rFonts w:ascii="Palatino Linotype" w:eastAsia="Palatino Linotype" w:hAnsi="Palatino Linotype" w:cs="Palatino Linotype"/>
        </w:rPr>
      </w:pPr>
      <w:r w:rsidRPr="00560B11">
        <w:rPr>
          <w:rFonts w:ascii="Palatino Linotype" w:eastAsia="Palatino Linotype" w:hAnsi="Palatino Linotype" w:cs="Palatino Linotype"/>
        </w:rPr>
        <w:t xml:space="preserve">Por tales circunstancias, para dar atención al requerimiento de información, se considera que el </w:t>
      </w:r>
      <w:r w:rsidRPr="00560B11">
        <w:rPr>
          <w:rFonts w:ascii="Palatino Linotype" w:eastAsia="Palatino Linotype" w:hAnsi="Palatino Linotype" w:cs="Palatino Linotype"/>
          <w:b/>
        </w:rPr>
        <w:t>Sujeto Obligado</w:t>
      </w:r>
      <w:r w:rsidRPr="00560B11">
        <w:rPr>
          <w:rFonts w:ascii="Palatino Linotype" w:eastAsia="Palatino Linotype" w:hAnsi="Palatino Linotype" w:cs="Palatino Linotype"/>
        </w:rPr>
        <w:t xml:space="preserve"> deberá proporcionar las documentales que den cuenta de lo solicitado o declarar la inexistencia de manera formal, de manera fundada y motivada por el Comité de Transparencia, conforme a los criterios previamente establecidos.</w:t>
      </w:r>
    </w:p>
    <w:p w14:paraId="2C5650D4" w14:textId="55F0D38B" w:rsidR="00772C2B" w:rsidRPr="00560B11" w:rsidRDefault="00772C2B" w:rsidP="00772C2B">
      <w:pPr>
        <w:spacing w:before="240" w:after="240" w:line="360" w:lineRule="auto"/>
        <w:jc w:val="both"/>
        <w:rPr>
          <w:rFonts w:ascii="Palatino Linotype" w:hAnsi="Palatino Linotype" w:cs="Arial"/>
          <w:b/>
        </w:rPr>
      </w:pPr>
      <w:r w:rsidRPr="00560B11">
        <w:rPr>
          <w:rFonts w:ascii="Palatino Linotype" w:eastAsia="Palatino Linotype" w:hAnsi="Palatino Linotype" w:cs="Palatino Linotype"/>
        </w:rPr>
        <w:t xml:space="preserve">Finalmente, toda vez que el </w:t>
      </w:r>
      <w:r w:rsidRPr="00560B11">
        <w:rPr>
          <w:rFonts w:ascii="Palatino Linotype" w:eastAsia="Palatino Linotype" w:hAnsi="Palatino Linotype" w:cs="Palatino Linotype"/>
          <w:b/>
        </w:rPr>
        <w:t xml:space="preserve">Sujeto Obligado </w:t>
      </w:r>
      <w:r w:rsidRPr="00560B11">
        <w:rPr>
          <w:rFonts w:ascii="Palatino Linotype" w:eastAsia="Palatino Linotype" w:hAnsi="Palatino Linotype" w:cs="Palatino Linotype"/>
        </w:rPr>
        <w:t xml:space="preserve">proporcionó las fotografías de las reuniones sostenidas con los residentes de las comunidades colindantes de la Vialidad Cola de Caballo, es de suma importancia mencionar que </w:t>
      </w:r>
      <w:r w:rsidRPr="00560B11">
        <w:rPr>
          <w:rFonts w:ascii="Palatino Linotype" w:hAnsi="Palatino Linotype" w:cs="Tahoma"/>
          <w:bCs/>
          <w:lang w:eastAsia="en-US"/>
        </w:rPr>
        <w:t xml:space="preserve">hacer pública dicha información </w:t>
      </w:r>
      <w:r w:rsidRPr="00560B11">
        <w:rPr>
          <w:rFonts w:ascii="Palatino Linotype" w:hAnsi="Palatino Linotype" w:cs="Arial"/>
          <w:b/>
        </w:rPr>
        <w:t xml:space="preserve">vulneró la protección de los datos personales de éstos; </w:t>
      </w:r>
      <w:r w:rsidRPr="00560B11">
        <w:rPr>
          <w:rFonts w:ascii="Palatino Linotype" w:hAnsi="Palatino Linotype" w:cs="Tahoma"/>
          <w:iCs/>
        </w:rPr>
        <w:t>por lo que, este Instituto considera que pudo revelar información privada, para el caso, que no cuente con los consentimientos respectivos.</w:t>
      </w:r>
    </w:p>
    <w:p w14:paraId="4F58FF83" w14:textId="3CF1681F" w:rsidR="00772C2B" w:rsidRPr="00560B11" w:rsidRDefault="00772C2B" w:rsidP="00772C2B">
      <w:pPr>
        <w:spacing w:before="280" w:after="280" w:line="360" w:lineRule="auto"/>
        <w:jc w:val="both"/>
        <w:rPr>
          <w:rFonts w:ascii="Palatino Linotype" w:hAnsi="Palatino Linotype" w:cs="Palatino Linotype"/>
        </w:rPr>
      </w:pPr>
      <w:r w:rsidRPr="00560B11">
        <w:rPr>
          <w:rFonts w:ascii="Palatino Linotype" w:hAnsi="Palatino Linotype" w:cs="Tahoma"/>
          <w:iCs/>
        </w:rPr>
        <w:t xml:space="preserve">Sobre el particular, si bien, la presente resolución no tiene por objetivo investigar y determinar posibles violaciones al derecho de acceso a la información; toda vez que este Organismo Garante, advirtió la posible publicación de información de datos personales, se considera procedente </w:t>
      </w:r>
      <w:r w:rsidRPr="00560B11">
        <w:rPr>
          <w:rFonts w:ascii="Palatino Linotype" w:hAnsi="Palatino Linotype" w:cs="Palatino Linotype"/>
        </w:rPr>
        <w:t xml:space="preserve">dar vista al Titular de la Dirección General de Protección de Datos Personales de este Órgano, con fundamento en el artículo 82, </w:t>
      </w:r>
      <w:r w:rsidRPr="00560B11">
        <w:rPr>
          <w:rFonts w:ascii="Palatino Linotype" w:hAnsi="Palatino Linotype" w:cs="Palatino Linotype"/>
        </w:rPr>
        <w:lastRenderedPageBreak/>
        <w:t xml:space="preserve">fracción XXVII de la Ley de Protección de Datos Personales del Estado de México y Municipios, para que en ejercicio de sus atribuciones contenidas en el numeral 24, fracciones V, XI, XII y XIII del Reglamento Interior del Instituto de Transparencia, Acceso a la Información Pública y Protección de Datos Personales del Estado de México y Municipios, investigue y sanciones las posibles omisiones en las que el </w:t>
      </w:r>
      <w:r w:rsidRPr="00560B11">
        <w:rPr>
          <w:rFonts w:ascii="Palatino Linotype" w:hAnsi="Palatino Linotype" w:cs="Palatino Linotype"/>
          <w:b/>
        </w:rPr>
        <w:t>Sujeto Obligado</w:t>
      </w:r>
      <w:r w:rsidRPr="00560B11">
        <w:rPr>
          <w:rFonts w:ascii="Palatino Linotype" w:hAnsi="Palatino Linotype" w:cs="Palatino Linotype"/>
        </w:rPr>
        <w:t xml:space="preserve"> pudo haber incurrido por el incumplimiento a las obligaciones previstas en la Ley de Protección de Datos Personales en Posesión de Sujetos Obligados del Estado de México y Municipios y, las demás disposiciones jurídicas aplicables en la materia; en caso de acreditarse las mismas, lo deberá hacer del conocimiento del Órgano de Control Interno del </w:t>
      </w:r>
      <w:r w:rsidRPr="00560B11">
        <w:rPr>
          <w:rFonts w:ascii="Palatino Linotype" w:hAnsi="Palatino Linotype" w:cs="Palatino Linotype"/>
          <w:b/>
        </w:rPr>
        <w:t>Sujeto Obligado</w:t>
      </w:r>
      <w:r w:rsidRPr="00560B11">
        <w:rPr>
          <w:rFonts w:ascii="Palatino Linotype" w:hAnsi="Palatino Linotype" w:cs="Palatino Linotype"/>
        </w:rPr>
        <w:t xml:space="preserve"> para que éste determine lo que conforme derecho corresponda, cuyo resultado deberá ser informado a este Instituto.</w:t>
      </w:r>
    </w:p>
    <w:p w14:paraId="434F252F" w14:textId="2FFC1C9D" w:rsidR="006F0545" w:rsidRPr="00560B11" w:rsidRDefault="006F0545" w:rsidP="00C56CCC">
      <w:pPr>
        <w:spacing w:before="280" w:after="280" w:line="360" w:lineRule="auto"/>
        <w:jc w:val="both"/>
        <w:rPr>
          <w:rFonts w:ascii="Palatino Linotype" w:hAnsi="Palatino Linotype" w:cs="Palatino Linotype"/>
        </w:rPr>
      </w:pPr>
      <w:r w:rsidRPr="00560B11">
        <w:rPr>
          <w:rFonts w:ascii="Palatino Linotype" w:hAnsi="Palatino Linotype" w:cs="Palatino Linotype"/>
        </w:rPr>
        <w:t xml:space="preserve">Asimismo, ya que los datos personales obran en poder de la persona solicitante, se le insta </w:t>
      </w:r>
      <w:r w:rsidR="00C56CCC" w:rsidRPr="00560B11">
        <w:rPr>
          <w:rFonts w:ascii="Palatino Linotype" w:hAnsi="Palatino Linotype" w:cs="Palatino Linotype"/>
        </w:rPr>
        <w:t xml:space="preserve">a efectos de que </w:t>
      </w:r>
      <w:r w:rsidRPr="00560B11">
        <w:rPr>
          <w:rFonts w:ascii="Palatino Linotype" w:hAnsi="Palatino Linotype" w:cs="Palatino Linotype"/>
        </w:rPr>
        <w:t xml:space="preserve">no haga un mal manejo de los mismos, pues con su divulgación afectaría indudablemente </w:t>
      </w:r>
      <w:r w:rsidR="00C56CCC" w:rsidRPr="00560B11">
        <w:rPr>
          <w:rFonts w:ascii="Palatino Linotype" w:hAnsi="Palatino Linotype" w:cs="Palatino Linotype"/>
        </w:rPr>
        <w:t>a la esfera de los particulares</w:t>
      </w:r>
      <w:r w:rsidRPr="00560B11">
        <w:rPr>
          <w:rFonts w:ascii="Palatino Linotype" w:eastAsia="Palatino Linotype" w:hAnsi="Palatino Linotype" w:cs="Palatino Linotype"/>
        </w:rPr>
        <w:t>,</w:t>
      </w:r>
      <w:r w:rsidR="00C56CCC" w:rsidRPr="00560B11">
        <w:rPr>
          <w:rFonts w:ascii="Palatino Linotype" w:eastAsia="Palatino Linotype" w:hAnsi="Palatino Linotype" w:cs="Palatino Linotype"/>
        </w:rPr>
        <w:t xml:space="preserve"> por lo que </w:t>
      </w:r>
      <w:r w:rsidRPr="00560B11">
        <w:rPr>
          <w:rFonts w:ascii="Palatino Linotype" w:eastAsia="Palatino Linotype" w:hAnsi="Palatino Linotype" w:cs="Palatino Linotype"/>
        </w:rPr>
        <w:t>queda</w:t>
      </w:r>
      <w:r w:rsidR="00C56CCC" w:rsidRPr="00560B11">
        <w:rPr>
          <w:rFonts w:ascii="Palatino Linotype" w:eastAsia="Palatino Linotype" w:hAnsi="Palatino Linotype" w:cs="Palatino Linotype"/>
        </w:rPr>
        <w:t xml:space="preserve"> </w:t>
      </w:r>
      <w:r w:rsidRPr="00560B11">
        <w:rPr>
          <w:rFonts w:ascii="Palatino Linotype" w:eastAsia="Palatino Linotype" w:hAnsi="Palatino Linotype" w:cs="Palatino Linotype"/>
        </w:rPr>
        <w:t xml:space="preserve">sujeto a las responsabilidades </w:t>
      </w:r>
      <w:r w:rsidR="00C56CCC" w:rsidRPr="00560B11">
        <w:rPr>
          <w:rFonts w:ascii="Palatino Linotype" w:eastAsia="Palatino Linotype" w:hAnsi="Palatino Linotype" w:cs="Palatino Linotype"/>
        </w:rPr>
        <w:t>que deriven</w:t>
      </w:r>
      <w:r w:rsidRPr="00560B11">
        <w:rPr>
          <w:rFonts w:ascii="Palatino Linotype" w:eastAsia="Palatino Linotype" w:hAnsi="Palatino Linotype" w:cs="Palatino Linotype"/>
        </w:rPr>
        <w:t xml:space="preserve"> el uso indebido </w:t>
      </w:r>
      <w:r w:rsidR="00C56CCC" w:rsidRPr="00560B11">
        <w:rPr>
          <w:rFonts w:ascii="Palatino Linotype" w:eastAsia="Palatino Linotype" w:hAnsi="Palatino Linotype" w:cs="Palatino Linotype"/>
        </w:rPr>
        <w:t>de dichos datos.</w:t>
      </w:r>
    </w:p>
    <w:p w14:paraId="4DA2C9F2" w14:textId="7561EB54" w:rsidR="00881541" w:rsidRPr="00560B11" w:rsidRDefault="00732F21">
      <w:pPr>
        <w:spacing w:before="240" w:after="240" w:line="360" w:lineRule="auto"/>
        <w:ind w:right="51"/>
        <w:jc w:val="both"/>
        <w:rPr>
          <w:rFonts w:ascii="Palatino Linotype" w:eastAsia="Palatino Linotype" w:hAnsi="Palatino Linotype" w:cs="Palatino Linotype"/>
        </w:rPr>
      </w:pPr>
      <w:r w:rsidRPr="00560B11">
        <w:rPr>
          <w:rFonts w:ascii="Palatino Linotype" w:eastAsia="Palatino Linotype" w:hAnsi="Palatino Linotype" w:cs="Palatino Linotype"/>
        </w:rPr>
        <w:t xml:space="preserve">De lo hasta aquí expuesto, se concluye que los motivos de inconformidad de la parte </w:t>
      </w:r>
      <w:r w:rsidRPr="00560B11">
        <w:rPr>
          <w:rFonts w:ascii="Palatino Linotype" w:eastAsia="Palatino Linotype" w:hAnsi="Palatino Linotype" w:cs="Palatino Linotype"/>
          <w:b/>
        </w:rPr>
        <w:t xml:space="preserve">Recurrente </w:t>
      </w:r>
      <w:r w:rsidRPr="00560B11">
        <w:rPr>
          <w:rFonts w:ascii="Palatino Linotype" w:eastAsia="Palatino Linotype" w:hAnsi="Palatino Linotype" w:cs="Palatino Linotype"/>
        </w:rPr>
        <w:t xml:space="preserve">devienen </w:t>
      </w:r>
      <w:r w:rsidR="00546E9B" w:rsidRPr="00560B11">
        <w:rPr>
          <w:rFonts w:ascii="Palatino Linotype" w:eastAsia="Palatino Linotype" w:hAnsi="Palatino Linotype" w:cs="Palatino Linotype"/>
        </w:rPr>
        <w:t xml:space="preserve">parcialmente </w:t>
      </w:r>
      <w:r w:rsidRPr="00560B11">
        <w:rPr>
          <w:rFonts w:ascii="Palatino Linotype" w:eastAsia="Palatino Linotype" w:hAnsi="Palatino Linotype" w:cs="Palatino Linotype"/>
        </w:rPr>
        <w:t xml:space="preserve">fundados, siendo procedente </w:t>
      </w:r>
      <w:r w:rsidR="005B1350" w:rsidRPr="00560B11">
        <w:rPr>
          <w:rFonts w:ascii="Palatino Linotype" w:eastAsia="Palatino Linotype" w:hAnsi="Palatino Linotype" w:cs="Palatino Linotype"/>
          <w:i/>
        </w:rPr>
        <w:t xml:space="preserve">Revocar </w:t>
      </w:r>
      <w:r w:rsidRPr="00560B11">
        <w:rPr>
          <w:rFonts w:ascii="Palatino Linotype" w:eastAsia="Palatino Linotype" w:hAnsi="Palatino Linotype" w:cs="Palatino Linotype"/>
        </w:rPr>
        <w:t xml:space="preserve">la respuesta proporcionada por el </w:t>
      </w:r>
      <w:r w:rsidRPr="00560B11">
        <w:rPr>
          <w:rFonts w:ascii="Palatino Linotype" w:eastAsia="Palatino Linotype" w:hAnsi="Palatino Linotype" w:cs="Palatino Linotype"/>
          <w:b/>
        </w:rPr>
        <w:t xml:space="preserve">Sujeto Obligado </w:t>
      </w:r>
      <w:r w:rsidRPr="00560B11">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03626A44" w14:textId="77777777" w:rsidR="003652E7" w:rsidRPr="00560B11" w:rsidRDefault="003652E7" w:rsidP="003652E7">
      <w:pPr>
        <w:spacing w:before="240" w:after="240" w:line="360" w:lineRule="auto"/>
        <w:jc w:val="both"/>
        <w:rPr>
          <w:rFonts w:ascii="Palatino Linotype" w:eastAsia="Palatino Linotype" w:hAnsi="Palatino Linotype" w:cs="Palatino Linotype"/>
        </w:rPr>
      </w:pPr>
      <w:r w:rsidRPr="00560B11">
        <w:rPr>
          <w:rFonts w:ascii="Palatino Linotype" w:eastAsia="Palatino Linotype" w:hAnsi="Palatino Linotype" w:cs="Palatino Linotype"/>
          <w:b/>
        </w:rPr>
        <w:t>Quinto. Versión Pública.</w:t>
      </w:r>
      <w:r w:rsidRPr="00560B11">
        <w:rPr>
          <w:rFonts w:ascii="Palatino Linotype" w:eastAsia="Palatino Linotype" w:hAnsi="Palatino Linotype" w:cs="Palatino Linotype"/>
          <w:sz w:val="28"/>
          <w:szCs w:val="28"/>
        </w:rPr>
        <w:t xml:space="preserve"> </w:t>
      </w:r>
      <w:r w:rsidRPr="00560B11">
        <w:rPr>
          <w:rFonts w:ascii="Palatino Linotype" w:eastAsia="Palatino Linotype" w:hAnsi="Palatino Linotype" w:cs="Palatino Linotype"/>
        </w:rPr>
        <w:t xml:space="preserve">Finalmente, debe señalarse que de ser el caso en que los documentos que vayan a ser entregados para dar cumplimiento a la presente </w:t>
      </w:r>
      <w:r w:rsidRPr="00560B11">
        <w:rPr>
          <w:rFonts w:ascii="Palatino Linotype" w:eastAsia="Palatino Linotype" w:hAnsi="Palatino Linotype" w:cs="Palatino Linotype"/>
        </w:rPr>
        <w:lastRenderedPageBreak/>
        <w:t xml:space="preserve">resolución, contengan datos que deban ser clasificados, el </w:t>
      </w:r>
      <w:r w:rsidRPr="00560B11">
        <w:rPr>
          <w:rFonts w:ascii="Palatino Linotype" w:eastAsia="Palatino Linotype" w:hAnsi="Palatino Linotype" w:cs="Palatino Linotype"/>
          <w:b/>
        </w:rPr>
        <w:t>Sujeto Obligado</w:t>
      </w:r>
      <w:r w:rsidRPr="00560B11">
        <w:rPr>
          <w:rFonts w:ascii="Palatino Linotype" w:eastAsia="Palatino Linotype" w:hAnsi="Palatino Linotype" w:cs="Palatino Linotype"/>
        </w:rPr>
        <w:t xml:space="preserve"> deberá hacer la elaboración de la versión pública de tales documentos a fin de satisfacer el derecho de acceso a la información pública de la parte </w:t>
      </w:r>
      <w:r w:rsidRPr="00560B11">
        <w:rPr>
          <w:rFonts w:ascii="Palatino Linotype" w:eastAsia="Palatino Linotype" w:hAnsi="Palatino Linotype" w:cs="Palatino Linotype"/>
          <w:b/>
        </w:rPr>
        <w:t>Recurrente</w:t>
      </w:r>
      <w:r w:rsidRPr="00560B11">
        <w:rPr>
          <w:rFonts w:ascii="Palatino Linotype" w:eastAsia="Palatino Linotype" w:hAnsi="Palatino Linotype" w:cs="Palatino Linotype"/>
        </w:rPr>
        <w:t xml:space="preserve"> sin menoscabo al derecho a la protección de los datos personales de terceros.</w:t>
      </w:r>
    </w:p>
    <w:p w14:paraId="71937024" w14:textId="77777777" w:rsidR="003652E7" w:rsidRPr="00560B11" w:rsidRDefault="003652E7" w:rsidP="003652E7">
      <w:pPr>
        <w:spacing w:before="240" w:after="240" w:line="360" w:lineRule="auto"/>
        <w:jc w:val="both"/>
        <w:rPr>
          <w:rFonts w:ascii="Palatino Linotype" w:eastAsia="Palatino Linotype" w:hAnsi="Palatino Linotype" w:cs="Palatino Linotype"/>
        </w:rPr>
      </w:pPr>
      <w:r w:rsidRPr="00560B11">
        <w:rPr>
          <w:rFonts w:ascii="Palatino Linotype" w:eastAsia="Palatino Linotype" w:hAnsi="Palatino Linotype" w:cs="Palatino Linotype"/>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4042132F" w14:textId="77777777" w:rsidR="003652E7" w:rsidRPr="00560B11" w:rsidRDefault="003652E7" w:rsidP="003652E7">
      <w:pPr>
        <w:spacing w:before="120" w:after="120"/>
        <w:ind w:left="851" w:right="902"/>
        <w:jc w:val="both"/>
        <w:rPr>
          <w:rFonts w:ascii="Palatino Linotype" w:eastAsia="Palatino Linotype" w:hAnsi="Palatino Linotype" w:cs="Palatino Linotype"/>
          <w:i/>
          <w:sz w:val="22"/>
          <w:szCs w:val="22"/>
        </w:rPr>
      </w:pPr>
      <w:r w:rsidRPr="00560B11">
        <w:rPr>
          <w:rFonts w:ascii="Palatino Linotype" w:eastAsia="Palatino Linotype" w:hAnsi="Palatino Linotype" w:cs="Palatino Linotype"/>
          <w:i/>
          <w:sz w:val="22"/>
          <w:szCs w:val="22"/>
        </w:rPr>
        <w:t>“</w:t>
      </w:r>
      <w:r w:rsidRPr="00560B11">
        <w:rPr>
          <w:rFonts w:ascii="Palatino Linotype" w:eastAsia="Palatino Linotype" w:hAnsi="Palatino Linotype" w:cs="Palatino Linotype"/>
          <w:b/>
          <w:i/>
          <w:sz w:val="22"/>
          <w:szCs w:val="22"/>
        </w:rPr>
        <w:t>Artículo 3</w:t>
      </w:r>
      <w:r w:rsidRPr="00560B11">
        <w:rPr>
          <w:rFonts w:ascii="Palatino Linotype" w:eastAsia="Palatino Linotype" w:hAnsi="Palatino Linotype" w:cs="Palatino Linotype"/>
          <w:i/>
          <w:sz w:val="22"/>
          <w:szCs w:val="22"/>
        </w:rPr>
        <w:t>. Para los efectos de la presente Ley se entenderá por:</w:t>
      </w:r>
    </w:p>
    <w:p w14:paraId="41E6C086" w14:textId="77777777" w:rsidR="003652E7" w:rsidRPr="00560B11" w:rsidRDefault="003652E7" w:rsidP="003652E7">
      <w:pPr>
        <w:spacing w:before="120" w:after="120"/>
        <w:ind w:left="1134" w:right="902"/>
        <w:jc w:val="both"/>
        <w:rPr>
          <w:rFonts w:ascii="Palatino Linotype" w:eastAsia="Palatino Linotype" w:hAnsi="Palatino Linotype" w:cs="Palatino Linotype"/>
          <w:i/>
          <w:sz w:val="22"/>
          <w:szCs w:val="22"/>
        </w:rPr>
      </w:pPr>
      <w:r w:rsidRPr="00560B11">
        <w:rPr>
          <w:rFonts w:ascii="Palatino Linotype" w:eastAsia="Palatino Linotype" w:hAnsi="Palatino Linotype" w:cs="Palatino Linotype"/>
          <w:i/>
          <w:sz w:val="22"/>
          <w:szCs w:val="22"/>
        </w:rPr>
        <w:t>[…]</w:t>
      </w:r>
    </w:p>
    <w:p w14:paraId="4C74B556" w14:textId="77777777" w:rsidR="003652E7" w:rsidRPr="00560B11" w:rsidRDefault="003652E7" w:rsidP="003652E7">
      <w:pPr>
        <w:spacing w:before="120" w:after="120"/>
        <w:ind w:left="1134" w:right="902"/>
        <w:jc w:val="both"/>
        <w:rPr>
          <w:rFonts w:ascii="Palatino Linotype" w:eastAsia="Palatino Linotype" w:hAnsi="Palatino Linotype" w:cs="Palatino Linotype"/>
          <w:i/>
          <w:sz w:val="22"/>
          <w:szCs w:val="22"/>
        </w:rPr>
      </w:pPr>
      <w:r w:rsidRPr="00560B11">
        <w:rPr>
          <w:rFonts w:ascii="Palatino Linotype" w:eastAsia="Palatino Linotype" w:hAnsi="Palatino Linotype" w:cs="Palatino Linotype"/>
          <w:b/>
          <w:i/>
          <w:sz w:val="22"/>
          <w:szCs w:val="22"/>
        </w:rPr>
        <w:t>IX. Datos personales</w:t>
      </w:r>
      <w:r w:rsidRPr="00560B11">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345D8A38" w14:textId="77777777" w:rsidR="003652E7" w:rsidRPr="00560B11" w:rsidRDefault="003652E7" w:rsidP="003652E7">
      <w:pPr>
        <w:spacing w:before="120" w:after="120"/>
        <w:ind w:left="1134" w:right="902"/>
        <w:jc w:val="both"/>
        <w:rPr>
          <w:rFonts w:ascii="Palatino Linotype" w:eastAsia="Palatino Linotype" w:hAnsi="Palatino Linotype" w:cs="Palatino Linotype"/>
          <w:i/>
          <w:sz w:val="22"/>
          <w:szCs w:val="22"/>
        </w:rPr>
      </w:pPr>
      <w:r w:rsidRPr="00560B11">
        <w:rPr>
          <w:rFonts w:ascii="Palatino Linotype" w:eastAsia="Palatino Linotype" w:hAnsi="Palatino Linotype" w:cs="Palatino Linotype"/>
          <w:b/>
          <w:i/>
          <w:sz w:val="22"/>
          <w:szCs w:val="22"/>
        </w:rPr>
        <w:t>XX. Información clasificada</w:t>
      </w:r>
      <w:r w:rsidRPr="00560B11">
        <w:rPr>
          <w:rFonts w:ascii="Palatino Linotype" w:eastAsia="Palatino Linotype" w:hAnsi="Palatino Linotype" w:cs="Palatino Linotype"/>
          <w:i/>
          <w:sz w:val="22"/>
          <w:szCs w:val="22"/>
        </w:rPr>
        <w:t>: Aquella considerada por la presente Ley como reservada o confidencial;</w:t>
      </w:r>
    </w:p>
    <w:p w14:paraId="038C685B" w14:textId="77777777" w:rsidR="003652E7" w:rsidRPr="00560B11" w:rsidRDefault="003652E7" w:rsidP="003652E7">
      <w:pPr>
        <w:spacing w:before="120" w:after="120"/>
        <w:ind w:left="1134" w:right="902"/>
        <w:jc w:val="both"/>
        <w:rPr>
          <w:rFonts w:ascii="Palatino Linotype" w:eastAsia="Palatino Linotype" w:hAnsi="Palatino Linotype" w:cs="Palatino Linotype"/>
          <w:i/>
          <w:sz w:val="22"/>
          <w:szCs w:val="22"/>
        </w:rPr>
      </w:pPr>
      <w:r w:rsidRPr="00560B11">
        <w:rPr>
          <w:rFonts w:ascii="Palatino Linotype" w:eastAsia="Palatino Linotype" w:hAnsi="Palatino Linotype" w:cs="Palatino Linotype"/>
          <w:b/>
          <w:i/>
          <w:sz w:val="22"/>
          <w:szCs w:val="22"/>
        </w:rPr>
        <w:t xml:space="preserve">XXI. Información confidencial: </w:t>
      </w:r>
      <w:r w:rsidRPr="00560B11">
        <w:rPr>
          <w:rFonts w:ascii="Palatino Linotype" w:eastAsia="Palatino Linotype" w:hAnsi="Palatino Linotype" w:cs="Palatino Linotype"/>
          <w:i/>
          <w:sz w:val="22"/>
          <w:szCs w:val="22"/>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C8C0EA6" w14:textId="77777777" w:rsidR="003652E7" w:rsidRPr="00560B11" w:rsidRDefault="003652E7" w:rsidP="003652E7">
      <w:pPr>
        <w:spacing w:before="120" w:after="120"/>
        <w:ind w:left="1134" w:right="902"/>
        <w:jc w:val="both"/>
        <w:rPr>
          <w:rFonts w:ascii="Palatino Linotype" w:eastAsia="Palatino Linotype" w:hAnsi="Palatino Linotype" w:cs="Palatino Linotype"/>
          <w:i/>
          <w:sz w:val="22"/>
          <w:szCs w:val="22"/>
        </w:rPr>
      </w:pPr>
      <w:r w:rsidRPr="00560B11">
        <w:rPr>
          <w:rFonts w:ascii="Palatino Linotype" w:eastAsia="Palatino Linotype" w:hAnsi="Palatino Linotype" w:cs="Palatino Linotype"/>
          <w:b/>
          <w:i/>
          <w:sz w:val="22"/>
          <w:szCs w:val="22"/>
        </w:rPr>
        <w:t>XLV. Versión pública:</w:t>
      </w:r>
      <w:r w:rsidRPr="00560B11">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641ADADB" w14:textId="77777777" w:rsidR="003652E7" w:rsidRPr="00560B11" w:rsidRDefault="003652E7" w:rsidP="003652E7">
      <w:pPr>
        <w:spacing w:before="120" w:after="120"/>
        <w:ind w:left="1134" w:right="902"/>
        <w:jc w:val="both"/>
        <w:rPr>
          <w:rFonts w:ascii="Palatino Linotype" w:eastAsia="Palatino Linotype" w:hAnsi="Palatino Linotype" w:cs="Palatino Linotype"/>
          <w:i/>
          <w:sz w:val="22"/>
          <w:szCs w:val="22"/>
        </w:rPr>
      </w:pPr>
      <w:r w:rsidRPr="00560B11">
        <w:rPr>
          <w:rFonts w:ascii="Palatino Linotype" w:eastAsia="Palatino Linotype" w:hAnsi="Palatino Linotype" w:cs="Palatino Linotype"/>
          <w:i/>
          <w:sz w:val="22"/>
          <w:szCs w:val="22"/>
        </w:rPr>
        <w:t>[…]</w:t>
      </w:r>
    </w:p>
    <w:p w14:paraId="754AFA9E" w14:textId="77777777" w:rsidR="003652E7" w:rsidRPr="00560B11" w:rsidRDefault="003652E7" w:rsidP="003652E7">
      <w:pPr>
        <w:spacing w:before="120" w:after="120"/>
        <w:ind w:left="851" w:right="902"/>
        <w:jc w:val="both"/>
        <w:rPr>
          <w:rFonts w:ascii="Palatino Linotype" w:eastAsia="Palatino Linotype" w:hAnsi="Palatino Linotype" w:cs="Palatino Linotype"/>
          <w:i/>
          <w:sz w:val="22"/>
          <w:szCs w:val="22"/>
        </w:rPr>
      </w:pPr>
      <w:r w:rsidRPr="00560B11">
        <w:rPr>
          <w:rFonts w:ascii="Palatino Linotype" w:eastAsia="Palatino Linotype" w:hAnsi="Palatino Linotype" w:cs="Palatino Linotype"/>
          <w:b/>
          <w:i/>
          <w:sz w:val="22"/>
          <w:szCs w:val="22"/>
        </w:rPr>
        <w:t>Artículo 91.</w:t>
      </w:r>
      <w:r w:rsidRPr="00560B11">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587D714A" w14:textId="77777777" w:rsidR="003652E7" w:rsidRPr="00560B11" w:rsidRDefault="003652E7" w:rsidP="003652E7">
      <w:pPr>
        <w:spacing w:before="120" w:after="120"/>
        <w:ind w:left="851" w:right="902"/>
        <w:jc w:val="both"/>
        <w:rPr>
          <w:rFonts w:ascii="Palatino Linotype" w:eastAsia="Palatino Linotype" w:hAnsi="Palatino Linotype" w:cs="Palatino Linotype"/>
          <w:i/>
          <w:sz w:val="22"/>
          <w:szCs w:val="22"/>
        </w:rPr>
      </w:pPr>
      <w:r w:rsidRPr="00560B11">
        <w:rPr>
          <w:rFonts w:ascii="Palatino Linotype" w:eastAsia="Palatino Linotype" w:hAnsi="Palatino Linotype" w:cs="Palatino Linotype"/>
          <w:b/>
          <w:i/>
          <w:sz w:val="22"/>
          <w:szCs w:val="22"/>
        </w:rPr>
        <w:t>Artículo 132.</w:t>
      </w:r>
      <w:r w:rsidRPr="00560B11">
        <w:rPr>
          <w:rFonts w:ascii="Palatino Linotype" w:eastAsia="Palatino Linotype" w:hAnsi="Palatino Linotype" w:cs="Palatino Linotype"/>
          <w:i/>
          <w:sz w:val="22"/>
          <w:szCs w:val="22"/>
        </w:rPr>
        <w:t xml:space="preserve"> La clasificación de la información se llevará a cabo en el momento en que:</w:t>
      </w:r>
    </w:p>
    <w:p w14:paraId="5F700151" w14:textId="77777777" w:rsidR="003652E7" w:rsidRPr="00560B11" w:rsidRDefault="003652E7" w:rsidP="003652E7">
      <w:pPr>
        <w:spacing w:before="120" w:after="120"/>
        <w:ind w:left="1134" w:right="902"/>
        <w:jc w:val="both"/>
        <w:rPr>
          <w:rFonts w:ascii="Palatino Linotype" w:eastAsia="Palatino Linotype" w:hAnsi="Palatino Linotype" w:cs="Palatino Linotype"/>
          <w:i/>
          <w:sz w:val="22"/>
          <w:szCs w:val="22"/>
        </w:rPr>
      </w:pPr>
      <w:r w:rsidRPr="00560B11">
        <w:rPr>
          <w:rFonts w:ascii="Palatino Linotype" w:eastAsia="Palatino Linotype" w:hAnsi="Palatino Linotype" w:cs="Palatino Linotype"/>
          <w:b/>
          <w:i/>
          <w:sz w:val="22"/>
          <w:szCs w:val="22"/>
        </w:rPr>
        <w:t>I</w:t>
      </w:r>
      <w:r w:rsidRPr="00560B11">
        <w:rPr>
          <w:rFonts w:ascii="Palatino Linotype" w:eastAsia="Palatino Linotype" w:hAnsi="Palatino Linotype" w:cs="Palatino Linotype"/>
          <w:i/>
          <w:sz w:val="22"/>
          <w:szCs w:val="22"/>
        </w:rPr>
        <w:t>. Se reciba una solicitud de acceso a la información;</w:t>
      </w:r>
    </w:p>
    <w:p w14:paraId="66EF6DAB" w14:textId="77777777" w:rsidR="003652E7" w:rsidRPr="00560B11" w:rsidRDefault="003652E7" w:rsidP="003652E7">
      <w:pPr>
        <w:spacing w:before="120" w:after="120"/>
        <w:ind w:left="1134" w:right="902"/>
        <w:jc w:val="both"/>
        <w:rPr>
          <w:rFonts w:ascii="Palatino Linotype" w:eastAsia="Palatino Linotype" w:hAnsi="Palatino Linotype" w:cs="Palatino Linotype"/>
          <w:i/>
          <w:sz w:val="22"/>
          <w:szCs w:val="22"/>
        </w:rPr>
      </w:pPr>
      <w:r w:rsidRPr="00560B11">
        <w:rPr>
          <w:rFonts w:ascii="Palatino Linotype" w:eastAsia="Palatino Linotype" w:hAnsi="Palatino Linotype" w:cs="Palatino Linotype"/>
          <w:b/>
          <w:i/>
          <w:sz w:val="22"/>
          <w:szCs w:val="22"/>
        </w:rPr>
        <w:t>II.</w:t>
      </w:r>
      <w:r w:rsidRPr="00560B11">
        <w:rPr>
          <w:rFonts w:ascii="Palatino Linotype" w:eastAsia="Palatino Linotype" w:hAnsi="Palatino Linotype" w:cs="Palatino Linotype"/>
          <w:i/>
          <w:sz w:val="22"/>
          <w:szCs w:val="22"/>
        </w:rPr>
        <w:t xml:space="preserve"> Se determine mediante resolución de autoridad competente; o</w:t>
      </w:r>
    </w:p>
    <w:p w14:paraId="0A4F32E2" w14:textId="77777777" w:rsidR="003652E7" w:rsidRPr="00560B11" w:rsidRDefault="003652E7" w:rsidP="003652E7">
      <w:pPr>
        <w:spacing w:before="120" w:after="120"/>
        <w:ind w:left="1134" w:right="902"/>
        <w:jc w:val="both"/>
        <w:rPr>
          <w:rFonts w:ascii="Palatino Linotype" w:eastAsia="Palatino Linotype" w:hAnsi="Palatino Linotype" w:cs="Palatino Linotype"/>
          <w:i/>
          <w:sz w:val="22"/>
          <w:szCs w:val="22"/>
        </w:rPr>
      </w:pPr>
      <w:r w:rsidRPr="00560B11">
        <w:rPr>
          <w:rFonts w:ascii="Palatino Linotype" w:eastAsia="Palatino Linotype" w:hAnsi="Palatino Linotype" w:cs="Palatino Linotype"/>
          <w:b/>
          <w:i/>
          <w:sz w:val="22"/>
          <w:szCs w:val="22"/>
        </w:rPr>
        <w:lastRenderedPageBreak/>
        <w:t>III.</w:t>
      </w:r>
      <w:r w:rsidRPr="00560B11">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1B5FC1F3" w14:textId="77777777" w:rsidR="003652E7" w:rsidRPr="00560B11" w:rsidRDefault="003652E7" w:rsidP="003652E7">
      <w:pPr>
        <w:spacing w:before="120" w:after="120"/>
        <w:ind w:left="851" w:right="902"/>
        <w:jc w:val="both"/>
        <w:rPr>
          <w:rFonts w:ascii="Palatino Linotype" w:eastAsia="Palatino Linotype" w:hAnsi="Palatino Linotype" w:cs="Palatino Linotype"/>
          <w:i/>
          <w:sz w:val="22"/>
          <w:szCs w:val="22"/>
        </w:rPr>
      </w:pPr>
      <w:r w:rsidRPr="00560B11">
        <w:rPr>
          <w:rFonts w:ascii="Palatino Linotype" w:eastAsia="Palatino Linotype" w:hAnsi="Palatino Linotype" w:cs="Palatino Linotype"/>
          <w:i/>
          <w:sz w:val="22"/>
          <w:szCs w:val="22"/>
        </w:rPr>
        <w:t>[…]</w:t>
      </w:r>
    </w:p>
    <w:p w14:paraId="43A04372" w14:textId="77777777" w:rsidR="003652E7" w:rsidRPr="00560B11" w:rsidRDefault="003652E7" w:rsidP="003652E7">
      <w:pPr>
        <w:spacing w:before="120" w:after="120"/>
        <w:ind w:left="851" w:right="902"/>
        <w:jc w:val="both"/>
        <w:rPr>
          <w:rFonts w:ascii="Palatino Linotype" w:eastAsia="Palatino Linotype" w:hAnsi="Palatino Linotype" w:cs="Palatino Linotype"/>
          <w:i/>
          <w:sz w:val="22"/>
          <w:szCs w:val="22"/>
        </w:rPr>
      </w:pPr>
      <w:r w:rsidRPr="00560B11">
        <w:rPr>
          <w:rFonts w:ascii="Palatino Linotype" w:eastAsia="Palatino Linotype" w:hAnsi="Palatino Linotype" w:cs="Palatino Linotype"/>
          <w:b/>
          <w:i/>
          <w:sz w:val="22"/>
          <w:szCs w:val="22"/>
        </w:rPr>
        <w:t>Artículo 143</w:t>
      </w:r>
      <w:r w:rsidRPr="00560B11">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764840C8" w14:textId="77777777" w:rsidR="003652E7" w:rsidRPr="00560B11" w:rsidRDefault="003652E7" w:rsidP="003652E7">
      <w:pPr>
        <w:spacing w:before="120" w:after="120"/>
        <w:ind w:left="1134" w:right="902"/>
        <w:jc w:val="both"/>
        <w:rPr>
          <w:rFonts w:ascii="Palatino Linotype" w:eastAsia="Palatino Linotype" w:hAnsi="Palatino Linotype" w:cs="Palatino Linotype"/>
          <w:i/>
          <w:sz w:val="22"/>
          <w:szCs w:val="22"/>
        </w:rPr>
      </w:pPr>
      <w:r w:rsidRPr="00560B11">
        <w:rPr>
          <w:rFonts w:ascii="Palatino Linotype" w:eastAsia="Palatino Linotype" w:hAnsi="Palatino Linotype" w:cs="Palatino Linotype"/>
          <w:b/>
          <w:i/>
          <w:sz w:val="22"/>
          <w:szCs w:val="22"/>
        </w:rPr>
        <w:t>I.</w:t>
      </w:r>
      <w:r w:rsidRPr="00560B11">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4CEA26BA" w14:textId="77777777" w:rsidR="003652E7" w:rsidRPr="00560B11" w:rsidRDefault="003652E7" w:rsidP="003652E7">
      <w:pPr>
        <w:spacing w:before="120" w:after="120"/>
        <w:ind w:left="1134" w:right="902"/>
        <w:jc w:val="both"/>
        <w:rPr>
          <w:rFonts w:ascii="Palatino Linotype" w:eastAsia="Palatino Linotype" w:hAnsi="Palatino Linotype" w:cs="Palatino Linotype"/>
          <w:i/>
          <w:sz w:val="22"/>
          <w:szCs w:val="22"/>
        </w:rPr>
      </w:pPr>
      <w:r w:rsidRPr="00560B11">
        <w:rPr>
          <w:rFonts w:ascii="Palatino Linotype" w:eastAsia="Palatino Linotype" w:hAnsi="Palatino Linotype" w:cs="Palatino Linotype"/>
          <w:b/>
          <w:i/>
          <w:sz w:val="22"/>
          <w:szCs w:val="22"/>
        </w:rPr>
        <w:t>II.</w:t>
      </w:r>
      <w:r w:rsidRPr="00560B11">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4DDC80F7" w14:textId="77777777" w:rsidR="003652E7" w:rsidRPr="00560B11" w:rsidRDefault="003652E7" w:rsidP="003652E7">
      <w:pPr>
        <w:spacing w:before="120" w:after="120"/>
        <w:ind w:left="1134" w:right="902"/>
        <w:jc w:val="both"/>
        <w:rPr>
          <w:rFonts w:ascii="Palatino Linotype" w:eastAsia="Palatino Linotype" w:hAnsi="Palatino Linotype" w:cs="Palatino Linotype"/>
          <w:i/>
          <w:sz w:val="22"/>
          <w:szCs w:val="22"/>
        </w:rPr>
      </w:pPr>
      <w:r w:rsidRPr="00560B11">
        <w:rPr>
          <w:rFonts w:ascii="Palatino Linotype" w:eastAsia="Palatino Linotype" w:hAnsi="Palatino Linotype" w:cs="Palatino Linotype"/>
          <w:b/>
          <w:i/>
          <w:sz w:val="22"/>
          <w:szCs w:val="22"/>
        </w:rPr>
        <w:t>III.</w:t>
      </w:r>
      <w:r w:rsidRPr="00560B11">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14:paraId="1F4C63F1" w14:textId="77777777" w:rsidR="003652E7" w:rsidRPr="00560B11" w:rsidRDefault="003652E7" w:rsidP="003652E7">
      <w:pPr>
        <w:spacing w:before="120" w:after="120"/>
        <w:ind w:left="851" w:right="902"/>
        <w:jc w:val="both"/>
        <w:rPr>
          <w:rFonts w:ascii="Palatino Linotype" w:eastAsia="Palatino Linotype" w:hAnsi="Palatino Linotype" w:cs="Palatino Linotype"/>
          <w:i/>
          <w:sz w:val="22"/>
          <w:szCs w:val="22"/>
        </w:rPr>
      </w:pPr>
      <w:r w:rsidRPr="00560B11">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0A2D0B8" w14:textId="77777777" w:rsidR="003652E7" w:rsidRPr="00560B11" w:rsidRDefault="003652E7" w:rsidP="003652E7">
      <w:pPr>
        <w:spacing w:before="120" w:after="120"/>
        <w:ind w:left="851" w:right="902"/>
        <w:jc w:val="both"/>
        <w:rPr>
          <w:rFonts w:ascii="Palatino Linotype" w:eastAsia="Palatino Linotype" w:hAnsi="Palatino Linotype" w:cs="Palatino Linotype"/>
          <w:i/>
          <w:sz w:val="22"/>
          <w:szCs w:val="22"/>
        </w:rPr>
      </w:pPr>
      <w:r w:rsidRPr="00560B11">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12DF737" w14:textId="77777777" w:rsidR="003652E7" w:rsidRPr="00560B11" w:rsidRDefault="003652E7" w:rsidP="003652E7">
      <w:pPr>
        <w:spacing w:before="240" w:after="240" w:line="360" w:lineRule="auto"/>
        <w:jc w:val="both"/>
        <w:rPr>
          <w:rFonts w:ascii="Palatino Linotype" w:eastAsia="Palatino Linotype" w:hAnsi="Palatino Linotype" w:cs="Palatino Linotype"/>
        </w:rPr>
      </w:pPr>
      <w:r w:rsidRPr="00560B11">
        <w:rPr>
          <w:rFonts w:ascii="Palatino Linotype" w:eastAsia="Palatino Linotype" w:hAnsi="Palatino Linotype" w:cs="Palatino Linotype"/>
        </w:rPr>
        <w:t>Igualmente, lo establecido en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que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B71C0B0" w14:textId="77777777" w:rsidR="003652E7" w:rsidRPr="00560B11" w:rsidRDefault="003652E7" w:rsidP="003652E7">
      <w:pPr>
        <w:spacing w:line="360" w:lineRule="auto"/>
        <w:jc w:val="both"/>
        <w:rPr>
          <w:rFonts w:ascii="Palatino Linotype" w:eastAsia="Palatino Linotype" w:hAnsi="Palatino Linotype" w:cs="Palatino Linotype"/>
        </w:rPr>
      </w:pPr>
      <w:r w:rsidRPr="00560B11">
        <w:rPr>
          <w:rFonts w:ascii="Palatino Linotype" w:eastAsia="Palatino Linotype" w:hAnsi="Palatino Linotype" w:cs="Palatino Linotype"/>
        </w:rPr>
        <w:t xml:space="preserve">Entorno a lo que aquí nos interesa, los Lineamientos Quincuagésimo, Quincuagésimo primero, Quincuagésimo segundo, de los Lineamientos Generales </w:t>
      </w:r>
      <w:r w:rsidRPr="00560B11">
        <w:rPr>
          <w:rFonts w:ascii="Palatino Linotype" w:eastAsia="Palatino Linotype" w:hAnsi="Palatino Linotype" w:cs="Palatino Linotype"/>
        </w:rPr>
        <w:lastRenderedPageBreak/>
        <w:t xml:space="preserve">en Materia de Clasificación y Desclasificación de la Información, así como para la Elaboración de Versiones Públicas señalan las formalidades que deberá llevar el acuerdo de clasificación que deberá emitir el </w:t>
      </w:r>
      <w:r w:rsidRPr="00560B11">
        <w:rPr>
          <w:rFonts w:ascii="Palatino Linotype" w:eastAsia="Palatino Linotype" w:hAnsi="Palatino Linotype" w:cs="Palatino Linotype"/>
          <w:b/>
        </w:rPr>
        <w:t>Sujeto Obligado</w:t>
      </w:r>
      <w:r w:rsidRPr="00560B11">
        <w:rPr>
          <w:rFonts w:ascii="Palatino Linotype" w:eastAsia="Palatino Linotype" w:hAnsi="Palatino Linotype" w:cs="Palatino Linotype"/>
        </w:rPr>
        <w:t>, siendo estas las siguientes:</w:t>
      </w:r>
    </w:p>
    <w:p w14:paraId="45F9F342" w14:textId="77777777" w:rsidR="003652E7" w:rsidRPr="00560B11" w:rsidRDefault="003652E7" w:rsidP="003652E7">
      <w:pPr>
        <w:spacing w:before="120" w:after="120"/>
        <w:ind w:left="851" w:right="902"/>
        <w:jc w:val="both"/>
        <w:rPr>
          <w:rFonts w:ascii="Palatino Linotype" w:eastAsia="Palatino Linotype" w:hAnsi="Palatino Linotype" w:cs="Palatino Linotype"/>
          <w:i/>
          <w:sz w:val="22"/>
          <w:szCs w:val="22"/>
        </w:rPr>
      </w:pPr>
      <w:r w:rsidRPr="00560B11">
        <w:rPr>
          <w:rFonts w:ascii="Palatino Linotype" w:eastAsia="Palatino Linotype" w:hAnsi="Palatino Linotype" w:cs="Palatino Linotype"/>
          <w:b/>
          <w:i/>
          <w:sz w:val="22"/>
          <w:szCs w:val="22"/>
        </w:rPr>
        <w:t xml:space="preserve"> “Quincuagésimo. </w:t>
      </w:r>
      <w:r w:rsidRPr="00560B11">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20F60438" w14:textId="77777777" w:rsidR="003652E7" w:rsidRPr="00560B11" w:rsidRDefault="003652E7" w:rsidP="003652E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560B11">
        <w:rPr>
          <w:rFonts w:ascii="Palatino Linotype" w:eastAsia="Palatino Linotype" w:hAnsi="Palatino Linotype" w:cs="Palatino Linotype"/>
          <w:b/>
          <w:i/>
          <w:sz w:val="22"/>
          <w:szCs w:val="22"/>
        </w:rPr>
        <w:t xml:space="preserve">Quincuagésimo primero. </w:t>
      </w:r>
      <w:r w:rsidRPr="00560B11">
        <w:rPr>
          <w:rFonts w:ascii="Palatino Linotype" w:eastAsia="Palatino Linotype" w:hAnsi="Palatino Linotype" w:cs="Palatino Linotype"/>
          <w:i/>
          <w:sz w:val="22"/>
          <w:szCs w:val="22"/>
        </w:rPr>
        <w:t xml:space="preserve">Toda acta del Comité de Transparencia deberá contener: </w:t>
      </w:r>
    </w:p>
    <w:p w14:paraId="190C98A3" w14:textId="77777777" w:rsidR="003652E7" w:rsidRPr="00560B11" w:rsidRDefault="003652E7" w:rsidP="003652E7">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560B11">
        <w:rPr>
          <w:rFonts w:ascii="Palatino Linotype" w:eastAsia="Palatino Linotype" w:hAnsi="Palatino Linotype" w:cs="Palatino Linotype"/>
          <w:b/>
          <w:i/>
          <w:sz w:val="22"/>
          <w:szCs w:val="22"/>
        </w:rPr>
        <w:t>I.</w:t>
      </w:r>
      <w:r w:rsidRPr="00560B11">
        <w:rPr>
          <w:rFonts w:ascii="Palatino Linotype" w:eastAsia="Palatino Linotype" w:hAnsi="Palatino Linotype" w:cs="Palatino Linotype"/>
          <w:i/>
          <w:sz w:val="22"/>
          <w:szCs w:val="22"/>
        </w:rPr>
        <w:t xml:space="preserve"> El número de sesión y fecha; </w:t>
      </w:r>
    </w:p>
    <w:p w14:paraId="134852D9" w14:textId="77777777" w:rsidR="003652E7" w:rsidRPr="00560B11" w:rsidRDefault="003652E7" w:rsidP="003652E7">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560B11">
        <w:rPr>
          <w:rFonts w:ascii="Palatino Linotype" w:eastAsia="Palatino Linotype" w:hAnsi="Palatino Linotype" w:cs="Palatino Linotype"/>
          <w:b/>
          <w:i/>
          <w:sz w:val="22"/>
          <w:szCs w:val="22"/>
        </w:rPr>
        <w:t>II</w:t>
      </w:r>
      <w:r w:rsidRPr="00560B11">
        <w:rPr>
          <w:rFonts w:ascii="Palatino Linotype" w:eastAsia="Palatino Linotype" w:hAnsi="Palatino Linotype" w:cs="Palatino Linotype"/>
          <w:i/>
          <w:sz w:val="22"/>
          <w:szCs w:val="22"/>
        </w:rPr>
        <w:t xml:space="preserve">. El nombre del área que solicitó la clasificación de información; </w:t>
      </w:r>
    </w:p>
    <w:p w14:paraId="589F1A0F" w14:textId="77777777" w:rsidR="003652E7" w:rsidRPr="00560B11" w:rsidRDefault="003652E7" w:rsidP="003652E7">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560B11">
        <w:rPr>
          <w:rFonts w:ascii="Palatino Linotype" w:eastAsia="Palatino Linotype" w:hAnsi="Palatino Linotype" w:cs="Palatino Linotype"/>
          <w:b/>
          <w:i/>
          <w:sz w:val="22"/>
          <w:szCs w:val="22"/>
        </w:rPr>
        <w:t>III</w:t>
      </w:r>
      <w:r w:rsidRPr="00560B11">
        <w:rPr>
          <w:rFonts w:ascii="Palatino Linotype" w:eastAsia="Palatino Linotype" w:hAnsi="Palatino Linotype" w:cs="Palatino Linotype"/>
          <w:i/>
          <w:sz w:val="22"/>
          <w:szCs w:val="22"/>
        </w:rPr>
        <w:t xml:space="preserve">. La fundamentación legal y motivación correspondiente; </w:t>
      </w:r>
    </w:p>
    <w:p w14:paraId="6AB7995F" w14:textId="77777777" w:rsidR="003652E7" w:rsidRPr="00560B11" w:rsidRDefault="003652E7" w:rsidP="003652E7">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560B11">
        <w:rPr>
          <w:rFonts w:ascii="Palatino Linotype" w:eastAsia="Palatino Linotype" w:hAnsi="Palatino Linotype" w:cs="Palatino Linotype"/>
          <w:b/>
          <w:i/>
          <w:sz w:val="22"/>
          <w:szCs w:val="22"/>
        </w:rPr>
        <w:t>IV</w:t>
      </w:r>
      <w:r w:rsidRPr="00560B11">
        <w:rPr>
          <w:rFonts w:ascii="Palatino Linotype" w:eastAsia="Palatino Linotype" w:hAnsi="Palatino Linotype" w:cs="Palatino Linotype"/>
          <w:i/>
          <w:sz w:val="22"/>
          <w:szCs w:val="22"/>
        </w:rPr>
        <w:t xml:space="preserve">. La resolución o resoluciones aprobadas; y </w:t>
      </w:r>
    </w:p>
    <w:p w14:paraId="2083CF3E" w14:textId="77777777" w:rsidR="003652E7" w:rsidRPr="00560B11" w:rsidRDefault="003652E7" w:rsidP="003652E7">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560B11">
        <w:rPr>
          <w:rFonts w:ascii="Palatino Linotype" w:eastAsia="Palatino Linotype" w:hAnsi="Palatino Linotype" w:cs="Palatino Linotype"/>
          <w:b/>
          <w:i/>
          <w:sz w:val="22"/>
          <w:szCs w:val="22"/>
        </w:rPr>
        <w:t>V</w:t>
      </w:r>
      <w:r w:rsidRPr="00560B11">
        <w:rPr>
          <w:rFonts w:ascii="Palatino Linotype" w:eastAsia="Palatino Linotype" w:hAnsi="Palatino Linotype" w:cs="Palatino Linotype"/>
          <w:i/>
          <w:sz w:val="22"/>
          <w:szCs w:val="22"/>
        </w:rPr>
        <w:t xml:space="preserve">. La rúbrica o firma digital de cada integrante del Comité de Transparencia. </w:t>
      </w:r>
    </w:p>
    <w:p w14:paraId="7BB24F6B" w14:textId="77777777" w:rsidR="003652E7" w:rsidRPr="00560B11" w:rsidRDefault="003652E7" w:rsidP="003652E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560B11">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029DAA2B" w14:textId="77777777" w:rsidR="003652E7" w:rsidRPr="00560B11" w:rsidRDefault="003652E7" w:rsidP="003652E7">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560B11">
        <w:rPr>
          <w:rFonts w:ascii="Palatino Linotype" w:eastAsia="Palatino Linotype" w:hAnsi="Palatino Linotype" w:cs="Palatino Linotype"/>
          <w:b/>
          <w:i/>
          <w:sz w:val="22"/>
          <w:szCs w:val="22"/>
        </w:rPr>
        <w:t>I.</w:t>
      </w:r>
      <w:r w:rsidRPr="00560B11">
        <w:rPr>
          <w:rFonts w:ascii="Palatino Linotype" w:eastAsia="Palatino Linotype" w:hAnsi="Palatino Linotype" w:cs="Palatino Linotype"/>
          <w:i/>
          <w:sz w:val="22"/>
          <w:szCs w:val="22"/>
        </w:rPr>
        <w:t xml:space="preserve"> Los motivos y razonamientos que sustenten la confirmación o modificación de la prueba de daño;</w:t>
      </w:r>
    </w:p>
    <w:p w14:paraId="7595F57B" w14:textId="77777777" w:rsidR="003652E7" w:rsidRPr="00560B11" w:rsidRDefault="003652E7" w:rsidP="003652E7">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sidRPr="00560B11">
        <w:rPr>
          <w:rFonts w:ascii="Palatino Linotype" w:eastAsia="Palatino Linotype" w:hAnsi="Palatino Linotype" w:cs="Palatino Linotype"/>
          <w:b/>
          <w:i/>
          <w:sz w:val="22"/>
          <w:szCs w:val="22"/>
        </w:rPr>
        <w:t>II</w:t>
      </w:r>
      <w:r w:rsidRPr="00560B11">
        <w:rPr>
          <w:rFonts w:ascii="Palatino Linotype" w:eastAsia="Palatino Linotype" w:hAnsi="Palatino Linotype" w:cs="Palatino Linotype"/>
          <w:i/>
          <w:sz w:val="22"/>
          <w:szCs w:val="22"/>
        </w:rPr>
        <w:t>. Descripción de las partes o secciones reservadas, en caso de clasificación parcial</w:t>
      </w:r>
      <w:r w:rsidRPr="00560B11">
        <w:rPr>
          <w:rFonts w:ascii="Palatino Linotype" w:eastAsia="Palatino Linotype" w:hAnsi="Palatino Linotype" w:cs="Palatino Linotype"/>
          <w:b/>
          <w:i/>
          <w:sz w:val="22"/>
          <w:szCs w:val="22"/>
        </w:rPr>
        <w:t xml:space="preserve">; </w:t>
      </w:r>
    </w:p>
    <w:p w14:paraId="14F762EE" w14:textId="77777777" w:rsidR="003652E7" w:rsidRPr="00560B11" w:rsidRDefault="003652E7" w:rsidP="003652E7">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560B11">
        <w:rPr>
          <w:rFonts w:ascii="Palatino Linotype" w:eastAsia="Palatino Linotype" w:hAnsi="Palatino Linotype" w:cs="Palatino Linotype"/>
          <w:b/>
          <w:i/>
          <w:sz w:val="22"/>
          <w:szCs w:val="22"/>
        </w:rPr>
        <w:t>III.</w:t>
      </w:r>
      <w:r w:rsidRPr="00560B11">
        <w:rPr>
          <w:rFonts w:ascii="Palatino Linotype" w:eastAsia="Palatino Linotype" w:hAnsi="Palatino Linotype" w:cs="Palatino Linotype"/>
          <w:i/>
          <w:sz w:val="22"/>
          <w:szCs w:val="22"/>
        </w:rPr>
        <w:t xml:space="preserve"> El periodo por el que mantendrá su clasificación y fecha de expiración; y </w:t>
      </w:r>
    </w:p>
    <w:p w14:paraId="719AF696" w14:textId="77777777" w:rsidR="003652E7" w:rsidRPr="00560B11" w:rsidRDefault="003652E7" w:rsidP="003652E7">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560B11">
        <w:rPr>
          <w:rFonts w:ascii="Palatino Linotype" w:eastAsia="Palatino Linotype" w:hAnsi="Palatino Linotype" w:cs="Palatino Linotype"/>
          <w:b/>
          <w:i/>
          <w:sz w:val="22"/>
          <w:szCs w:val="22"/>
        </w:rPr>
        <w:t>IV.</w:t>
      </w:r>
      <w:r w:rsidRPr="00560B11">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60F2C62F" w14:textId="77777777" w:rsidR="003652E7" w:rsidRPr="00560B11" w:rsidRDefault="003652E7" w:rsidP="003652E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560B11">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5CA9F647" w14:textId="77777777" w:rsidR="003652E7" w:rsidRPr="00560B11" w:rsidRDefault="003652E7" w:rsidP="003652E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560B11">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7F59EFA2" w14:textId="77777777" w:rsidR="003652E7" w:rsidRPr="00560B11" w:rsidRDefault="003652E7" w:rsidP="003652E7">
      <w:pPr>
        <w:spacing w:before="120" w:after="120"/>
        <w:ind w:left="851" w:right="900"/>
        <w:jc w:val="both"/>
        <w:rPr>
          <w:rFonts w:ascii="Palatino Linotype" w:eastAsia="Palatino Linotype" w:hAnsi="Palatino Linotype" w:cs="Palatino Linotype"/>
          <w:i/>
          <w:sz w:val="22"/>
          <w:szCs w:val="22"/>
        </w:rPr>
      </w:pPr>
      <w:r w:rsidRPr="00560B11">
        <w:rPr>
          <w:rFonts w:ascii="Palatino Linotype" w:eastAsia="Palatino Linotype" w:hAnsi="Palatino Linotype" w:cs="Palatino Linotype"/>
          <w:b/>
          <w:i/>
          <w:sz w:val="22"/>
          <w:szCs w:val="22"/>
        </w:rPr>
        <w:lastRenderedPageBreak/>
        <w:t>Quincuagésimo segundo</w:t>
      </w:r>
      <w:r w:rsidRPr="00560B11">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384B24FF" w14:textId="77777777" w:rsidR="003652E7" w:rsidRPr="00560B11" w:rsidRDefault="003652E7" w:rsidP="003652E7">
      <w:pPr>
        <w:spacing w:before="120" w:after="120"/>
        <w:ind w:left="851" w:right="900"/>
        <w:jc w:val="both"/>
        <w:rPr>
          <w:rFonts w:ascii="Palatino Linotype" w:eastAsia="Palatino Linotype" w:hAnsi="Palatino Linotype" w:cs="Palatino Linotype"/>
          <w:i/>
          <w:sz w:val="22"/>
          <w:szCs w:val="22"/>
        </w:rPr>
      </w:pPr>
      <w:r w:rsidRPr="00560B11">
        <w:rPr>
          <w:rFonts w:ascii="Palatino Linotype" w:eastAsia="Palatino Linotype" w:hAnsi="Palatino Linotype" w:cs="Palatino Linotype"/>
          <w:i/>
          <w:sz w:val="22"/>
          <w:szCs w:val="22"/>
        </w:rPr>
        <w:t xml:space="preserve">En el caso </w:t>
      </w:r>
      <w:proofErr w:type="spellStart"/>
      <w:r w:rsidRPr="00560B11">
        <w:rPr>
          <w:rFonts w:ascii="Palatino Linotype" w:eastAsia="Palatino Linotype" w:hAnsi="Palatino Linotype" w:cs="Palatino Linotype"/>
          <w:i/>
          <w:sz w:val="22"/>
          <w:szCs w:val="22"/>
        </w:rPr>
        <w:t>especifico</w:t>
      </w:r>
      <w:proofErr w:type="spellEnd"/>
      <w:r w:rsidRPr="00560B11">
        <w:rPr>
          <w:rFonts w:ascii="Palatino Linotype" w:eastAsia="Palatino Linotype" w:hAnsi="Palatino Linotype" w:cs="Palatino Linotype"/>
          <w:i/>
          <w:sz w:val="22"/>
          <w:szCs w:val="22"/>
        </w:rPr>
        <w:t xml:space="preserve"> de la clasificación y elaboración de versiones públicas de documentos que contengan información confidencial, las áreas de los sujetos obligados deberán: </w:t>
      </w:r>
    </w:p>
    <w:p w14:paraId="35D709F4" w14:textId="77777777" w:rsidR="003652E7" w:rsidRPr="00560B11" w:rsidRDefault="003652E7" w:rsidP="003652E7">
      <w:pPr>
        <w:spacing w:before="120" w:after="120"/>
        <w:ind w:left="1134" w:right="900"/>
        <w:jc w:val="both"/>
        <w:rPr>
          <w:rFonts w:ascii="Palatino Linotype" w:eastAsia="Palatino Linotype" w:hAnsi="Palatino Linotype" w:cs="Palatino Linotype"/>
          <w:i/>
          <w:sz w:val="22"/>
          <w:szCs w:val="22"/>
        </w:rPr>
      </w:pPr>
      <w:r w:rsidRPr="00560B11">
        <w:rPr>
          <w:rFonts w:ascii="Palatino Linotype" w:eastAsia="Palatino Linotype" w:hAnsi="Palatino Linotype" w:cs="Palatino Linotype"/>
          <w:b/>
          <w:i/>
          <w:sz w:val="22"/>
          <w:szCs w:val="22"/>
        </w:rPr>
        <w:t>I.</w:t>
      </w:r>
      <w:r w:rsidRPr="00560B11">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15A59BC7" w14:textId="77777777" w:rsidR="003652E7" w:rsidRPr="00560B11" w:rsidRDefault="003652E7" w:rsidP="003652E7">
      <w:pPr>
        <w:spacing w:before="120" w:after="120"/>
        <w:ind w:left="1134" w:right="900"/>
        <w:jc w:val="both"/>
        <w:rPr>
          <w:rFonts w:ascii="Palatino Linotype" w:eastAsia="Palatino Linotype" w:hAnsi="Palatino Linotype" w:cs="Palatino Linotype"/>
          <w:i/>
          <w:sz w:val="22"/>
          <w:szCs w:val="22"/>
        </w:rPr>
      </w:pPr>
      <w:r w:rsidRPr="00560B11">
        <w:rPr>
          <w:rFonts w:ascii="Palatino Linotype" w:eastAsia="Palatino Linotype" w:hAnsi="Palatino Linotype" w:cs="Palatino Linotype"/>
          <w:b/>
          <w:i/>
          <w:sz w:val="22"/>
          <w:szCs w:val="22"/>
        </w:rPr>
        <w:t>II.</w:t>
      </w:r>
      <w:r w:rsidRPr="00560B11">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0D55D55F" w14:textId="77777777" w:rsidR="003652E7" w:rsidRPr="00560B11" w:rsidRDefault="003652E7" w:rsidP="003652E7">
      <w:pPr>
        <w:spacing w:before="120" w:after="120"/>
        <w:ind w:left="1134" w:right="900"/>
        <w:jc w:val="both"/>
        <w:rPr>
          <w:rFonts w:ascii="Palatino Linotype" w:eastAsia="Palatino Linotype" w:hAnsi="Palatino Linotype" w:cs="Palatino Linotype"/>
          <w:i/>
          <w:sz w:val="22"/>
          <w:szCs w:val="22"/>
        </w:rPr>
      </w:pPr>
      <w:r w:rsidRPr="00560B11">
        <w:rPr>
          <w:rFonts w:ascii="Palatino Linotype" w:eastAsia="Palatino Linotype" w:hAnsi="Palatino Linotype" w:cs="Palatino Linotype"/>
          <w:b/>
          <w:i/>
          <w:sz w:val="22"/>
          <w:szCs w:val="22"/>
        </w:rPr>
        <w:t>III.</w:t>
      </w:r>
      <w:r w:rsidRPr="00560B11">
        <w:rPr>
          <w:rFonts w:ascii="Palatino Linotype" w:eastAsia="Palatino Linotype" w:hAnsi="Palatino Linotype" w:cs="Palatino Linotype"/>
          <w:i/>
          <w:sz w:val="22"/>
          <w:szCs w:val="22"/>
        </w:rPr>
        <w:t xml:space="preserve"> Señalar las personas o instancias autorizadas a acceder a la información clasificada.</w:t>
      </w:r>
    </w:p>
    <w:p w14:paraId="30E75A34" w14:textId="77777777" w:rsidR="003652E7" w:rsidRPr="00560B11" w:rsidRDefault="003652E7" w:rsidP="003652E7">
      <w:pPr>
        <w:spacing w:before="120" w:after="120"/>
        <w:ind w:left="851" w:right="900"/>
        <w:jc w:val="both"/>
        <w:rPr>
          <w:rFonts w:ascii="Palatino Linotype" w:eastAsia="Palatino Linotype" w:hAnsi="Palatino Linotype" w:cs="Palatino Linotype"/>
          <w:i/>
          <w:sz w:val="22"/>
          <w:szCs w:val="22"/>
        </w:rPr>
      </w:pPr>
      <w:r w:rsidRPr="00560B11">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367C5BAD" w14:textId="77777777" w:rsidR="003652E7" w:rsidRPr="00560B11" w:rsidRDefault="003652E7" w:rsidP="003652E7">
      <w:pPr>
        <w:spacing w:before="240" w:after="240" w:line="360" w:lineRule="auto"/>
        <w:ind w:right="50"/>
        <w:jc w:val="both"/>
        <w:rPr>
          <w:rFonts w:ascii="Palatino Linotype" w:eastAsia="Palatino Linotype" w:hAnsi="Palatino Linotype" w:cs="Palatino Linotype"/>
          <w:sz w:val="22"/>
          <w:szCs w:val="22"/>
        </w:rPr>
      </w:pPr>
      <w:r w:rsidRPr="00560B11">
        <w:rPr>
          <w:rFonts w:ascii="Palatino Linotype" w:eastAsia="Palatino Linotype" w:hAnsi="Palatino Linotype" w:cs="Palatino Linotype"/>
        </w:rPr>
        <w:t xml:space="preserve">En relación directa con ello deberá observar el Lineamiento Quincuagésimo tercero de los Lineamientos Generales en Materia de Clasificación y Desclasificación de la Información </w:t>
      </w:r>
      <w:proofErr w:type="spellStart"/>
      <w:r w:rsidRPr="00560B11">
        <w:rPr>
          <w:rFonts w:ascii="Palatino Linotype" w:eastAsia="Palatino Linotype" w:hAnsi="Palatino Linotype" w:cs="Palatino Linotype"/>
        </w:rPr>
        <w:t>supraindicados</w:t>
      </w:r>
      <w:proofErr w:type="spellEnd"/>
      <w:r w:rsidRPr="00560B11">
        <w:rPr>
          <w:rFonts w:ascii="Palatino Linotype" w:eastAsia="Palatino Linotype" w:hAnsi="Palatino Linotype" w:cs="Palatino Linotype"/>
        </w:rPr>
        <w:t xml:space="preserve">, que establece los formatos para la clasificación de los documentos, conforme a lo siguiente: </w:t>
      </w:r>
    </w:p>
    <w:p w14:paraId="5BD5CD12" w14:textId="77777777" w:rsidR="003652E7" w:rsidRPr="00560B11" w:rsidRDefault="003652E7" w:rsidP="003652E7">
      <w:pPr>
        <w:ind w:left="851" w:right="900"/>
        <w:jc w:val="center"/>
        <w:rPr>
          <w:rFonts w:ascii="Palatino Linotype" w:eastAsia="Palatino Linotype" w:hAnsi="Palatino Linotype" w:cs="Palatino Linotype"/>
          <w:b/>
          <w:i/>
          <w:sz w:val="22"/>
          <w:szCs w:val="22"/>
        </w:rPr>
      </w:pPr>
      <w:r w:rsidRPr="00560B11">
        <w:rPr>
          <w:rFonts w:ascii="Palatino Linotype" w:eastAsia="Palatino Linotype" w:hAnsi="Palatino Linotype" w:cs="Palatino Linotype"/>
          <w:b/>
          <w:i/>
          <w:sz w:val="22"/>
          <w:szCs w:val="22"/>
        </w:rPr>
        <w:t>CAPÍTULO VIII</w:t>
      </w:r>
    </w:p>
    <w:p w14:paraId="3429017C" w14:textId="77777777" w:rsidR="003652E7" w:rsidRPr="00560B11" w:rsidRDefault="003652E7" w:rsidP="003652E7">
      <w:pPr>
        <w:ind w:left="851" w:right="900"/>
        <w:jc w:val="center"/>
        <w:rPr>
          <w:rFonts w:ascii="Palatino Linotype" w:eastAsia="Palatino Linotype" w:hAnsi="Palatino Linotype" w:cs="Palatino Linotype"/>
          <w:b/>
          <w:i/>
          <w:sz w:val="22"/>
          <w:szCs w:val="22"/>
        </w:rPr>
      </w:pPr>
      <w:r w:rsidRPr="00560B11">
        <w:rPr>
          <w:rFonts w:ascii="Palatino Linotype" w:eastAsia="Palatino Linotype" w:hAnsi="Palatino Linotype" w:cs="Palatino Linotype"/>
          <w:b/>
          <w:i/>
          <w:sz w:val="22"/>
          <w:szCs w:val="22"/>
        </w:rPr>
        <w:t xml:space="preserve">DE LOS ELEMENTOS PARA LA CLASIFICACIÓN </w:t>
      </w:r>
    </w:p>
    <w:p w14:paraId="242AB2A3" w14:textId="77777777" w:rsidR="003652E7" w:rsidRPr="00560B11" w:rsidRDefault="003652E7" w:rsidP="003652E7">
      <w:pPr>
        <w:ind w:left="851" w:right="900"/>
        <w:rPr>
          <w:rFonts w:ascii="Palatino Linotype" w:eastAsia="Palatino Linotype" w:hAnsi="Palatino Linotype" w:cs="Palatino Linotype"/>
          <w:i/>
          <w:sz w:val="22"/>
          <w:szCs w:val="22"/>
        </w:rPr>
      </w:pPr>
      <w:r w:rsidRPr="00560B11">
        <w:rPr>
          <w:rFonts w:ascii="Palatino Linotype" w:eastAsia="Palatino Linotype" w:hAnsi="Palatino Linotype" w:cs="Palatino Linotype"/>
          <w:i/>
          <w:sz w:val="22"/>
          <w:szCs w:val="22"/>
        </w:rPr>
        <w:t>…</w:t>
      </w:r>
    </w:p>
    <w:p w14:paraId="1513E0B9" w14:textId="77777777" w:rsidR="003652E7" w:rsidRPr="00560B11" w:rsidRDefault="003652E7" w:rsidP="003652E7">
      <w:pPr>
        <w:spacing w:before="120" w:after="120"/>
        <w:ind w:left="851" w:right="902"/>
        <w:jc w:val="both"/>
        <w:rPr>
          <w:rFonts w:ascii="Palatino Linotype" w:eastAsia="Palatino Linotype" w:hAnsi="Palatino Linotype" w:cs="Palatino Linotype"/>
          <w:i/>
          <w:sz w:val="22"/>
          <w:szCs w:val="22"/>
        </w:rPr>
      </w:pPr>
      <w:r w:rsidRPr="00560B11">
        <w:rPr>
          <w:rFonts w:ascii="Palatino Linotype" w:eastAsia="Palatino Linotype" w:hAnsi="Palatino Linotype" w:cs="Palatino Linotype"/>
          <w:b/>
          <w:i/>
          <w:sz w:val="22"/>
          <w:szCs w:val="22"/>
        </w:rPr>
        <w:t xml:space="preserve">Quincuagésimo tercero. </w:t>
      </w:r>
      <w:r w:rsidRPr="00560B11">
        <w:rPr>
          <w:rFonts w:ascii="Palatino Linotype" w:eastAsia="Palatino Linotype" w:hAnsi="Palatino Linotype" w:cs="Palatino Linotype"/>
          <w:b/>
          <w:i/>
          <w:sz w:val="22"/>
          <w:szCs w:val="22"/>
          <w:u w:val="single"/>
        </w:rPr>
        <w:t>El formato para señalar la clasificación de un documento o expediente que contenga información reservada</w:t>
      </w:r>
      <w:r w:rsidRPr="00560B11">
        <w:rPr>
          <w:rFonts w:ascii="Palatino Linotype" w:eastAsia="Palatino Linotype" w:hAnsi="Palatino Linotype" w:cs="Palatino Linotype"/>
          <w:b/>
          <w:i/>
          <w:sz w:val="22"/>
          <w:szCs w:val="22"/>
        </w:rPr>
        <w:t xml:space="preserve">, </w:t>
      </w:r>
      <w:r w:rsidRPr="00560B11">
        <w:rPr>
          <w:rFonts w:ascii="Palatino Linotype" w:eastAsia="Palatino Linotype" w:hAnsi="Palatino Linotype" w:cs="Palatino Linotype"/>
          <w:i/>
          <w:sz w:val="22"/>
          <w:szCs w:val="22"/>
        </w:rPr>
        <w:t xml:space="preserve">es el siguiente: </w:t>
      </w:r>
    </w:p>
    <w:p w14:paraId="36A0D3F4" w14:textId="77777777" w:rsidR="003652E7" w:rsidRPr="00560B11" w:rsidRDefault="003652E7" w:rsidP="003652E7">
      <w:pPr>
        <w:spacing w:before="120" w:after="120"/>
        <w:ind w:left="851" w:right="902"/>
        <w:jc w:val="both"/>
        <w:rPr>
          <w:rFonts w:ascii="Palatino Linotype" w:eastAsia="Palatino Linotype" w:hAnsi="Palatino Linotype" w:cs="Palatino Linotype"/>
          <w:b/>
          <w:i/>
          <w:sz w:val="22"/>
          <w:szCs w:val="22"/>
        </w:rPr>
      </w:pPr>
      <w:r w:rsidRPr="00560B11">
        <w:rPr>
          <w:rFonts w:ascii="Palatino Linotype" w:eastAsia="Palatino Linotype" w:hAnsi="Palatino Linotype" w:cs="Palatino Linotype"/>
          <w:b/>
          <w:i/>
          <w:noProof/>
          <w:sz w:val="22"/>
          <w:szCs w:val="22"/>
          <w:lang w:val="es-MX"/>
        </w:rPr>
        <w:drawing>
          <wp:inline distT="0" distB="0" distL="0" distR="0" wp14:anchorId="1985D81E" wp14:editId="3EC0C32D">
            <wp:extent cx="4295775" cy="295275"/>
            <wp:effectExtent l="0" t="0" r="0" b="0"/>
            <wp:docPr id="11322239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b="95731"/>
                    <a:stretch>
                      <a:fillRect/>
                    </a:stretch>
                  </pic:blipFill>
                  <pic:spPr>
                    <a:xfrm>
                      <a:off x="0" y="0"/>
                      <a:ext cx="4295775" cy="295275"/>
                    </a:xfrm>
                    <a:prstGeom prst="rect">
                      <a:avLst/>
                    </a:prstGeom>
                    <a:ln/>
                  </pic:spPr>
                </pic:pic>
              </a:graphicData>
            </a:graphic>
          </wp:inline>
        </w:drawing>
      </w:r>
    </w:p>
    <w:p w14:paraId="52EFFAB3" w14:textId="77777777" w:rsidR="003652E7" w:rsidRPr="00560B11" w:rsidRDefault="003652E7" w:rsidP="003652E7">
      <w:pPr>
        <w:spacing w:before="120" w:after="120"/>
        <w:ind w:left="851" w:right="902"/>
        <w:jc w:val="both"/>
        <w:rPr>
          <w:rFonts w:ascii="Palatino Linotype" w:eastAsia="Palatino Linotype" w:hAnsi="Palatino Linotype" w:cs="Palatino Linotype"/>
          <w:b/>
          <w:i/>
          <w:sz w:val="22"/>
          <w:szCs w:val="22"/>
        </w:rPr>
      </w:pPr>
      <w:r w:rsidRPr="00560B11">
        <w:rPr>
          <w:rFonts w:ascii="Palatino Linotype" w:eastAsia="Palatino Linotype" w:hAnsi="Palatino Linotype" w:cs="Palatino Linotype"/>
          <w:b/>
          <w:i/>
          <w:noProof/>
          <w:sz w:val="22"/>
          <w:szCs w:val="22"/>
          <w:lang w:val="es-MX"/>
        </w:rPr>
        <w:lastRenderedPageBreak/>
        <w:drawing>
          <wp:inline distT="0" distB="0" distL="0" distR="0" wp14:anchorId="040C6BBE" wp14:editId="7ADBC47D">
            <wp:extent cx="4333240" cy="781050"/>
            <wp:effectExtent l="0" t="0" r="0" b="0"/>
            <wp:docPr id="113222392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9"/>
                    <a:srcRect t="30909" b="57781"/>
                    <a:stretch/>
                  </pic:blipFill>
                  <pic:spPr bwMode="auto">
                    <a:xfrm>
                      <a:off x="0" y="0"/>
                      <a:ext cx="4333875" cy="781164"/>
                    </a:xfrm>
                    <a:prstGeom prst="rect">
                      <a:avLst/>
                    </a:prstGeom>
                    <a:ln>
                      <a:noFill/>
                    </a:ln>
                    <a:extLst>
                      <a:ext uri="{53640926-AAD7-44D8-BBD7-CCE9431645EC}">
                        <a14:shadowObscured xmlns:a14="http://schemas.microsoft.com/office/drawing/2010/main"/>
                      </a:ext>
                    </a:extLst>
                  </pic:spPr>
                </pic:pic>
              </a:graphicData>
            </a:graphic>
          </wp:inline>
        </w:drawing>
      </w:r>
    </w:p>
    <w:p w14:paraId="5B7194AB" w14:textId="77777777" w:rsidR="003652E7" w:rsidRPr="00560B11" w:rsidRDefault="003652E7" w:rsidP="003652E7">
      <w:pPr>
        <w:spacing w:before="120" w:after="120"/>
        <w:ind w:left="851" w:right="902"/>
        <w:jc w:val="both"/>
        <w:rPr>
          <w:rFonts w:ascii="Palatino Linotype" w:eastAsia="Palatino Linotype" w:hAnsi="Palatino Linotype" w:cs="Palatino Linotype"/>
          <w:b/>
          <w:i/>
          <w:sz w:val="22"/>
          <w:szCs w:val="22"/>
        </w:rPr>
      </w:pPr>
      <w:r w:rsidRPr="00560B11">
        <w:rPr>
          <w:rFonts w:ascii="Palatino Linotype" w:eastAsia="Palatino Linotype" w:hAnsi="Palatino Linotype" w:cs="Palatino Linotype"/>
          <w:b/>
          <w:i/>
          <w:noProof/>
          <w:sz w:val="22"/>
          <w:szCs w:val="22"/>
          <w:lang w:val="es-MX"/>
        </w:rPr>
        <w:drawing>
          <wp:inline distT="0" distB="0" distL="0" distR="0" wp14:anchorId="45D74297" wp14:editId="1AD9CC60">
            <wp:extent cx="4332605" cy="3948425"/>
            <wp:effectExtent l="0" t="0" r="0" b="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9"/>
                    <a:srcRect t="41878" b="939"/>
                    <a:stretch/>
                  </pic:blipFill>
                  <pic:spPr bwMode="auto">
                    <a:xfrm>
                      <a:off x="0" y="0"/>
                      <a:ext cx="4333875" cy="3949582"/>
                    </a:xfrm>
                    <a:prstGeom prst="rect">
                      <a:avLst/>
                    </a:prstGeom>
                    <a:ln>
                      <a:noFill/>
                    </a:ln>
                    <a:extLst>
                      <a:ext uri="{53640926-AAD7-44D8-BBD7-CCE9431645EC}">
                        <a14:shadowObscured xmlns:a14="http://schemas.microsoft.com/office/drawing/2010/main"/>
                      </a:ext>
                    </a:extLst>
                  </pic:spPr>
                </pic:pic>
              </a:graphicData>
            </a:graphic>
          </wp:inline>
        </w:drawing>
      </w:r>
    </w:p>
    <w:p w14:paraId="44476D5D" w14:textId="77777777" w:rsidR="003652E7" w:rsidRPr="00560B11" w:rsidRDefault="003652E7" w:rsidP="003652E7">
      <w:pPr>
        <w:spacing w:before="120" w:after="120"/>
        <w:ind w:left="851" w:right="902"/>
        <w:jc w:val="both"/>
        <w:rPr>
          <w:rFonts w:ascii="Palatino Linotype" w:eastAsia="Palatino Linotype" w:hAnsi="Palatino Linotype" w:cs="Palatino Linotype"/>
          <w:i/>
          <w:sz w:val="22"/>
          <w:szCs w:val="22"/>
        </w:rPr>
      </w:pPr>
      <w:r w:rsidRPr="00560B11">
        <w:rPr>
          <w:rFonts w:ascii="Palatino Linotype" w:eastAsia="Palatino Linotype" w:hAnsi="Palatino Linotype" w:cs="Palatino Linotype"/>
          <w:i/>
          <w:sz w:val="22"/>
          <w:szCs w:val="22"/>
        </w:rPr>
        <w:t>Los documentos que integren un expediente reservado en su totalidad no deberán marcarse en lo individual.</w:t>
      </w:r>
    </w:p>
    <w:p w14:paraId="033B50F2" w14:textId="77777777" w:rsidR="003652E7" w:rsidRPr="00560B11" w:rsidRDefault="003652E7" w:rsidP="003652E7">
      <w:pPr>
        <w:spacing w:before="120" w:after="120"/>
        <w:ind w:left="851" w:right="902"/>
        <w:jc w:val="both"/>
        <w:rPr>
          <w:rFonts w:ascii="Palatino Linotype" w:eastAsia="Palatino Linotype" w:hAnsi="Palatino Linotype" w:cs="Palatino Linotype"/>
          <w:i/>
          <w:sz w:val="22"/>
          <w:szCs w:val="22"/>
        </w:rPr>
      </w:pPr>
      <w:r w:rsidRPr="00560B11">
        <w:rPr>
          <w:rFonts w:ascii="Palatino Linotype" w:eastAsia="Palatino Linotype" w:hAnsi="Palatino Linotype" w:cs="Palatino Linotype"/>
          <w:i/>
          <w:sz w:val="22"/>
          <w:szCs w:val="22"/>
        </w:rPr>
        <w:t>Una vez desclasificados los expedientes, si existieren documentos que tuvieran el carácter de reservados deberán permanecer o ser marcados.”</w:t>
      </w:r>
    </w:p>
    <w:p w14:paraId="159D0452" w14:textId="77777777" w:rsidR="003652E7" w:rsidRPr="00560B11" w:rsidRDefault="003652E7" w:rsidP="003652E7">
      <w:pPr>
        <w:spacing w:before="240" w:after="240" w:line="360" w:lineRule="auto"/>
        <w:jc w:val="both"/>
        <w:rPr>
          <w:rFonts w:ascii="Palatino Linotype" w:eastAsia="Palatino Linotype" w:hAnsi="Palatino Linotype" w:cs="Palatino Linotype"/>
        </w:rPr>
      </w:pPr>
      <w:r w:rsidRPr="00560B11">
        <w:rPr>
          <w:rFonts w:ascii="Palatino Linotype" w:eastAsia="Palatino Linotype" w:hAnsi="Palatino Linotype" w:cs="Palatino Linotype"/>
        </w:rPr>
        <w:t>Asimismo, deberá observar los Lineamientos Quincuagésimo cuarto, Quincuagésimo quinto, Quincuagésimo sexto, Quincuagésimo séptimo y Quincuagésimo octavo, establecen lo siguiente:</w:t>
      </w:r>
    </w:p>
    <w:p w14:paraId="43BB7E4E" w14:textId="77777777" w:rsidR="003652E7" w:rsidRPr="00560B11" w:rsidRDefault="003652E7" w:rsidP="003652E7">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560B11">
        <w:rPr>
          <w:rFonts w:ascii="Palatino Linotype" w:eastAsia="Palatino Linotype" w:hAnsi="Palatino Linotype" w:cs="Palatino Linotype"/>
          <w:i/>
          <w:sz w:val="22"/>
          <w:szCs w:val="22"/>
        </w:rPr>
        <w:t>“</w:t>
      </w:r>
      <w:r w:rsidRPr="00560B11">
        <w:rPr>
          <w:rFonts w:ascii="Palatino Linotype" w:eastAsia="Palatino Linotype" w:hAnsi="Palatino Linotype" w:cs="Palatino Linotype"/>
          <w:b/>
          <w:i/>
          <w:sz w:val="22"/>
          <w:szCs w:val="22"/>
        </w:rPr>
        <w:t xml:space="preserve">Quincuagésimo cuarto. </w:t>
      </w:r>
      <w:r w:rsidRPr="00560B11">
        <w:rPr>
          <w:rFonts w:ascii="Palatino Linotype" w:eastAsia="Palatino Linotype" w:hAnsi="Palatino Linotype" w:cs="Palatino Linotype"/>
          <w:i/>
          <w:sz w:val="22"/>
          <w:szCs w:val="22"/>
        </w:rPr>
        <w:t xml:space="preserve">Cuando el Comité de Transparencia confirme la clasificación de documentos reservados y/o confidenciales, sea total o parcialmente; se deberá anexar al expediente la resolución que determinó la </w:t>
      </w:r>
      <w:r w:rsidRPr="00560B11">
        <w:rPr>
          <w:rFonts w:ascii="Palatino Linotype" w:eastAsia="Palatino Linotype" w:hAnsi="Palatino Linotype" w:cs="Palatino Linotype"/>
          <w:i/>
          <w:sz w:val="22"/>
          <w:szCs w:val="22"/>
        </w:rPr>
        <w:lastRenderedPageBreak/>
        <w:t>clasificación o, en su defecto, identificar en la carátula del expediente del cual formen parte, la fecha y sesión del Comité de Transparencia en la que se confirmó dicha clasificación.</w:t>
      </w:r>
      <w:r w:rsidRPr="00560B11">
        <w:rPr>
          <w:rFonts w:ascii="Palatino Linotype" w:eastAsia="Palatino Linotype" w:hAnsi="Palatino Linotype" w:cs="Palatino Linotype"/>
          <w:b/>
          <w:i/>
          <w:sz w:val="22"/>
          <w:szCs w:val="22"/>
        </w:rPr>
        <w:t xml:space="preserve"> </w:t>
      </w:r>
    </w:p>
    <w:p w14:paraId="0AE94FE1" w14:textId="77777777" w:rsidR="003652E7" w:rsidRPr="00560B11" w:rsidRDefault="003652E7" w:rsidP="003652E7">
      <w:pPr>
        <w:spacing w:before="120" w:after="120"/>
        <w:ind w:left="851" w:right="902"/>
        <w:jc w:val="both"/>
        <w:rPr>
          <w:rFonts w:ascii="Palatino Linotype" w:eastAsia="Palatino Linotype" w:hAnsi="Palatino Linotype" w:cs="Palatino Linotype"/>
          <w:i/>
          <w:sz w:val="22"/>
          <w:szCs w:val="22"/>
        </w:rPr>
      </w:pPr>
      <w:r w:rsidRPr="00560B11">
        <w:rPr>
          <w:rFonts w:ascii="Palatino Linotype" w:eastAsia="Palatino Linotype" w:hAnsi="Palatino Linotype" w:cs="Palatino Linotype"/>
          <w:b/>
          <w:i/>
          <w:sz w:val="22"/>
          <w:szCs w:val="22"/>
        </w:rPr>
        <w:t xml:space="preserve">Quincuagésimo quinto. </w:t>
      </w:r>
      <w:r w:rsidRPr="00560B11">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560B11">
        <w:rPr>
          <w:rFonts w:ascii="Palatino Linotype" w:eastAsia="Palatino Linotype" w:hAnsi="Palatino Linotype" w:cs="Palatino Linotype"/>
          <w:i/>
          <w:sz w:val="22"/>
          <w:szCs w:val="22"/>
        </w:rPr>
        <w:t>testado</w:t>
      </w:r>
      <w:proofErr w:type="spellEnd"/>
      <w:r w:rsidRPr="00560B11">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33AA208A" w14:textId="77777777" w:rsidR="003652E7" w:rsidRPr="00560B11" w:rsidRDefault="003652E7" w:rsidP="003652E7">
      <w:pPr>
        <w:spacing w:before="120" w:after="120"/>
        <w:ind w:left="851" w:right="902"/>
        <w:jc w:val="both"/>
        <w:rPr>
          <w:rFonts w:ascii="Palatino Linotype" w:eastAsia="Palatino Linotype" w:hAnsi="Palatino Linotype" w:cs="Palatino Linotype"/>
          <w:b/>
          <w:i/>
          <w:sz w:val="22"/>
          <w:szCs w:val="22"/>
        </w:rPr>
      </w:pPr>
      <w:r w:rsidRPr="00560B11">
        <w:rPr>
          <w:rFonts w:ascii="Palatino Linotype" w:eastAsia="Palatino Linotype" w:hAnsi="Palatino Linotype" w:cs="Palatino Linotype"/>
          <w:b/>
          <w:i/>
          <w:sz w:val="22"/>
          <w:szCs w:val="22"/>
        </w:rPr>
        <w:t>...</w:t>
      </w:r>
    </w:p>
    <w:p w14:paraId="20AF11A5" w14:textId="77777777" w:rsidR="003652E7" w:rsidRPr="00560B11" w:rsidRDefault="003652E7" w:rsidP="003652E7">
      <w:pPr>
        <w:spacing w:before="120" w:after="120"/>
        <w:ind w:left="851" w:right="902"/>
        <w:jc w:val="both"/>
        <w:rPr>
          <w:rFonts w:ascii="Palatino Linotype" w:eastAsia="Palatino Linotype" w:hAnsi="Palatino Linotype" w:cs="Palatino Linotype"/>
          <w:i/>
          <w:sz w:val="22"/>
          <w:szCs w:val="22"/>
        </w:rPr>
      </w:pPr>
      <w:r w:rsidRPr="00560B11">
        <w:rPr>
          <w:rFonts w:ascii="Palatino Linotype" w:eastAsia="Palatino Linotype" w:hAnsi="Palatino Linotype" w:cs="Palatino Linotype"/>
          <w:b/>
          <w:i/>
          <w:sz w:val="22"/>
          <w:szCs w:val="22"/>
        </w:rPr>
        <w:t>Quincuagésimo séptimo</w:t>
      </w:r>
      <w:r w:rsidRPr="00560B11">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7744B3AA" w14:textId="77777777" w:rsidR="003652E7" w:rsidRPr="00560B11" w:rsidRDefault="003652E7" w:rsidP="003652E7">
      <w:pPr>
        <w:spacing w:before="120" w:after="120"/>
        <w:ind w:left="1134" w:right="902"/>
        <w:jc w:val="both"/>
        <w:rPr>
          <w:rFonts w:ascii="Palatino Linotype" w:eastAsia="Palatino Linotype" w:hAnsi="Palatino Linotype" w:cs="Palatino Linotype"/>
          <w:i/>
          <w:sz w:val="22"/>
          <w:szCs w:val="22"/>
        </w:rPr>
      </w:pPr>
      <w:r w:rsidRPr="00560B11">
        <w:rPr>
          <w:rFonts w:ascii="Palatino Linotype" w:eastAsia="Palatino Linotype" w:hAnsi="Palatino Linotype" w:cs="Palatino Linotype"/>
          <w:b/>
          <w:i/>
          <w:sz w:val="22"/>
          <w:szCs w:val="22"/>
        </w:rPr>
        <w:t>I</w:t>
      </w:r>
      <w:r w:rsidRPr="00560B11">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21AD80F6" w14:textId="77777777" w:rsidR="003652E7" w:rsidRPr="00560B11" w:rsidRDefault="003652E7" w:rsidP="003652E7">
      <w:pPr>
        <w:spacing w:before="120" w:after="120"/>
        <w:ind w:left="1134" w:right="902"/>
        <w:jc w:val="both"/>
        <w:rPr>
          <w:rFonts w:ascii="Palatino Linotype" w:eastAsia="Palatino Linotype" w:hAnsi="Palatino Linotype" w:cs="Palatino Linotype"/>
          <w:i/>
          <w:sz w:val="22"/>
          <w:szCs w:val="22"/>
        </w:rPr>
      </w:pPr>
      <w:r w:rsidRPr="00560B11">
        <w:rPr>
          <w:rFonts w:ascii="Palatino Linotype" w:eastAsia="Palatino Linotype" w:hAnsi="Palatino Linotype" w:cs="Palatino Linotype"/>
          <w:b/>
          <w:i/>
          <w:sz w:val="22"/>
          <w:szCs w:val="22"/>
        </w:rPr>
        <w:t>II.</w:t>
      </w:r>
      <w:r w:rsidRPr="00560B11">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18392F1E" w14:textId="77777777" w:rsidR="003652E7" w:rsidRPr="00560B11" w:rsidRDefault="003652E7" w:rsidP="003652E7">
      <w:pPr>
        <w:spacing w:before="120" w:after="120"/>
        <w:ind w:left="1134" w:right="902"/>
        <w:jc w:val="both"/>
        <w:rPr>
          <w:rFonts w:ascii="Palatino Linotype" w:eastAsia="Palatino Linotype" w:hAnsi="Palatino Linotype" w:cs="Palatino Linotype"/>
          <w:i/>
          <w:sz w:val="22"/>
          <w:szCs w:val="22"/>
        </w:rPr>
      </w:pPr>
      <w:r w:rsidRPr="00560B11">
        <w:rPr>
          <w:rFonts w:ascii="Palatino Linotype" w:eastAsia="Palatino Linotype" w:hAnsi="Palatino Linotype" w:cs="Palatino Linotype"/>
          <w:b/>
          <w:i/>
          <w:sz w:val="22"/>
          <w:szCs w:val="22"/>
        </w:rPr>
        <w:t>III</w:t>
      </w:r>
      <w:r w:rsidRPr="00560B11">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64D14BE4" w14:textId="77777777" w:rsidR="003652E7" w:rsidRPr="00560B11" w:rsidRDefault="003652E7" w:rsidP="003652E7">
      <w:pPr>
        <w:spacing w:before="120" w:after="120"/>
        <w:ind w:left="851" w:right="902"/>
        <w:jc w:val="both"/>
        <w:rPr>
          <w:rFonts w:ascii="Palatino Linotype" w:eastAsia="Palatino Linotype" w:hAnsi="Palatino Linotype" w:cs="Palatino Linotype"/>
          <w:i/>
          <w:sz w:val="22"/>
          <w:szCs w:val="22"/>
        </w:rPr>
      </w:pPr>
      <w:r w:rsidRPr="00560B11">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4C595A4C" w14:textId="77777777" w:rsidR="003652E7" w:rsidRPr="00560B11" w:rsidRDefault="003652E7" w:rsidP="003652E7">
      <w:pPr>
        <w:spacing w:before="120" w:after="120"/>
        <w:ind w:left="851" w:right="902"/>
        <w:jc w:val="both"/>
        <w:rPr>
          <w:rFonts w:ascii="Palatino Linotype" w:eastAsia="Palatino Linotype" w:hAnsi="Palatino Linotype" w:cs="Palatino Linotype"/>
          <w:i/>
          <w:sz w:val="22"/>
          <w:szCs w:val="22"/>
        </w:rPr>
      </w:pPr>
      <w:r w:rsidRPr="00560B11">
        <w:rPr>
          <w:rFonts w:ascii="Palatino Linotype" w:eastAsia="Palatino Linotype" w:hAnsi="Palatino Linotype" w:cs="Palatino Linotype"/>
          <w:b/>
          <w:i/>
          <w:sz w:val="22"/>
          <w:szCs w:val="22"/>
        </w:rPr>
        <w:t>Quincuagésimo octavo</w:t>
      </w:r>
      <w:r w:rsidRPr="00560B11">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1AE9E1BD" w14:textId="77777777" w:rsidR="003652E7" w:rsidRPr="00560B11" w:rsidRDefault="003652E7" w:rsidP="003652E7">
      <w:pPr>
        <w:spacing w:before="240" w:after="240" w:line="360" w:lineRule="auto"/>
        <w:jc w:val="both"/>
        <w:rPr>
          <w:rFonts w:ascii="Palatino Linotype" w:eastAsia="Palatino Linotype" w:hAnsi="Palatino Linotype" w:cs="Palatino Linotype"/>
        </w:rPr>
      </w:pPr>
      <w:r w:rsidRPr="00560B11">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560B11">
        <w:rPr>
          <w:rFonts w:ascii="Palatino Linotype" w:eastAsia="Palatino Linotype" w:hAnsi="Palatino Linotype" w:cs="Palatino Linotype"/>
          <w:b/>
        </w:rPr>
        <w:t>Sujeto Obligado</w:t>
      </w:r>
      <w:r w:rsidRPr="00560B11">
        <w:rPr>
          <w:rFonts w:ascii="Palatino Linotype" w:eastAsia="Palatino Linotype" w:hAnsi="Palatino Linotype" w:cs="Palatino Linotype"/>
        </w:rPr>
        <w:t xml:space="preserve"> a testar, suprimir o eliminar datos de dicho soporte documental, ya que no hacerlo, se reitera que lo </w:t>
      </w:r>
      <w:r w:rsidRPr="00560B11">
        <w:rPr>
          <w:rFonts w:ascii="Palatino Linotype" w:eastAsia="Palatino Linotype" w:hAnsi="Palatino Linotype" w:cs="Palatino Linotype"/>
        </w:rPr>
        <w:lastRenderedPageBreak/>
        <w:t>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6EDD71B" w14:textId="31320CCF" w:rsidR="00881541" w:rsidRPr="00560B11" w:rsidRDefault="00732F2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560B11">
        <w:rPr>
          <w:rFonts w:ascii="Palatino Linotype" w:eastAsia="Palatino Linotype" w:hAnsi="Palatino Linotype" w:cs="Palatino Linotype"/>
        </w:rPr>
        <w:t>Así, con fundamento en lo prescrito en los artículos 5 párrafos trigésimo segundo, trigésimo tercero y trigésimo cuarto de la Constitución Política del Estado Libre y Soberano de México; 2, fracción II; 29, 36 fracciones I y II; 176, 178, 181, 185 y 186 fracción II de la Ley de Transparencia y Acceso a la Información Pública del Estado de México y Municipios, este Pleno:</w:t>
      </w:r>
    </w:p>
    <w:p w14:paraId="7D62025E" w14:textId="77777777" w:rsidR="00881541" w:rsidRPr="00560B11" w:rsidRDefault="00732F21">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560B11">
        <w:rPr>
          <w:rFonts w:ascii="Palatino Linotype" w:eastAsia="Palatino Linotype" w:hAnsi="Palatino Linotype" w:cs="Palatino Linotype"/>
          <w:b/>
        </w:rPr>
        <w:t>III. R E S U E L V E:</w:t>
      </w:r>
    </w:p>
    <w:p w14:paraId="3401CF01" w14:textId="1B0D6DD4" w:rsidR="00881541" w:rsidRPr="00560B11" w:rsidRDefault="00732F21">
      <w:pPr>
        <w:spacing w:before="240" w:after="240" w:line="360" w:lineRule="auto"/>
        <w:jc w:val="both"/>
        <w:rPr>
          <w:rFonts w:ascii="Palatino Linotype" w:eastAsia="Palatino Linotype" w:hAnsi="Palatino Linotype" w:cs="Palatino Linotype"/>
          <w:b/>
        </w:rPr>
      </w:pPr>
      <w:bookmarkStart w:id="10" w:name="_heading=h.3dy6vkm" w:colFirst="0" w:colLast="0"/>
      <w:bookmarkEnd w:id="10"/>
      <w:r w:rsidRPr="00560B11">
        <w:rPr>
          <w:rFonts w:ascii="Palatino Linotype" w:eastAsia="Palatino Linotype" w:hAnsi="Palatino Linotype" w:cs="Palatino Linotype"/>
          <w:b/>
        </w:rPr>
        <w:t xml:space="preserve">Primero. </w:t>
      </w:r>
      <w:r w:rsidRPr="00560B11">
        <w:rPr>
          <w:rFonts w:ascii="Palatino Linotype" w:eastAsia="Palatino Linotype" w:hAnsi="Palatino Linotype" w:cs="Palatino Linotype"/>
        </w:rPr>
        <w:t>Resultan</w:t>
      </w:r>
      <w:r w:rsidRPr="00560B11">
        <w:rPr>
          <w:rFonts w:ascii="Palatino Linotype" w:eastAsia="Palatino Linotype" w:hAnsi="Palatino Linotype" w:cs="Palatino Linotype"/>
          <w:b/>
        </w:rPr>
        <w:t xml:space="preserve"> fundados</w:t>
      </w:r>
      <w:r w:rsidRPr="00560B11">
        <w:rPr>
          <w:rFonts w:ascii="Palatino Linotype" w:eastAsia="Palatino Linotype" w:hAnsi="Palatino Linotype" w:cs="Palatino Linotype"/>
        </w:rPr>
        <w:t xml:space="preserve"> los motivos de inconformidad hechos valer por la parte </w:t>
      </w:r>
      <w:r w:rsidRPr="00560B11">
        <w:rPr>
          <w:rFonts w:ascii="Palatino Linotype" w:eastAsia="Palatino Linotype" w:hAnsi="Palatino Linotype" w:cs="Palatino Linotype"/>
          <w:b/>
        </w:rPr>
        <w:t xml:space="preserve">Recurrente </w:t>
      </w:r>
      <w:r w:rsidRPr="00560B11">
        <w:rPr>
          <w:rFonts w:ascii="Palatino Linotype" w:eastAsia="Palatino Linotype" w:hAnsi="Palatino Linotype" w:cs="Palatino Linotype"/>
        </w:rPr>
        <w:t xml:space="preserve">en el recurso de revisión </w:t>
      </w:r>
      <w:r w:rsidRPr="00560B11">
        <w:rPr>
          <w:rFonts w:ascii="Palatino Linotype" w:eastAsia="Palatino Linotype" w:hAnsi="Palatino Linotype" w:cs="Palatino Linotype"/>
          <w:b/>
        </w:rPr>
        <w:t>0</w:t>
      </w:r>
      <w:r w:rsidR="005B1350" w:rsidRPr="00560B11">
        <w:rPr>
          <w:rFonts w:ascii="Palatino Linotype" w:eastAsia="Palatino Linotype" w:hAnsi="Palatino Linotype" w:cs="Palatino Linotype"/>
          <w:b/>
        </w:rPr>
        <w:t>3944</w:t>
      </w:r>
      <w:r w:rsidRPr="00560B11">
        <w:rPr>
          <w:rFonts w:ascii="Palatino Linotype" w:eastAsia="Palatino Linotype" w:hAnsi="Palatino Linotype" w:cs="Palatino Linotype"/>
          <w:b/>
        </w:rPr>
        <w:t xml:space="preserve">/INFOEM/IP/RR/2023, </w:t>
      </w:r>
      <w:r w:rsidRPr="00560B11">
        <w:rPr>
          <w:rFonts w:ascii="Palatino Linotype" w:eastAsia="Palatino Linotype" w:hAnsi="Palatino Linotype" w:cs="Palatino Linotype"/>
        </w:rPr>
        <w:t xml:space="preserve">por lo que, en términos del Considerando </w:t>
      </w:r>
      <w:r w:rsidRPr="00560B11">
        <w:rPr>
          <w:rFonts w:ascii="Palatino Linotype" w:eastAsia="Palatino Linotype" w:hAnsi="Palatino Linotype" w:cs="Palatino Linotype"/>
          <w:b/>
        </w:rPr>
        <w:t>Cuarto</w:t>
      </w:r>
      <w:r w:rsidRPr="00560B11">
        <w:rPr>
          <w:rFonts w:ascii="Palatino Linotype" w:eastAsia="Palatino Linotype" w:hAnsi="Palatino Linotype" w:cs="Palatino Linotype"/>
        </w:rPr>
        <w:t xml:space="preserve"> de la presente resolución, se</w:t>
      </w:r>
      <w:r w:rsidRPr="00560B11">
        <w:rPr>
          <w:rFonts w:ascii="Palatino Linotype" w:eastAsia="Palatino Linotype" w:hAnsi="Palatino Linotype" w:cs="Palatino Linotype"/>
          <w:b/>
        </w:rPr>
        <w:t xml:space="preserve"> </w:t>
      </w:r>
      <w:r w:rsidR="005B1350" w:rsidRPr="00560B11">
        <w:rPr>
          <w:rFonts w:ascii="Palatino Linotype" w:eastAsia="Palatino Linotype" w:hAnsi="Palatino Linotype" w:cs="Palatino Linotype"/>
          <w:b/>
        </w:rPr>
        <w:t>Revoca</w:t>
      </w:r>
      <w:r w:rsidRPr="00560B11">
        <w:rPr>
          <w:rFonts w:ascii="Palatino Linotype" w:eastAsia="Palatino Linotype" w:hAnsi="Palatino Linotype" w:cs="Palatino Linotype"/>
          <w:b/>
        </w:rPr>
        <w:t xml:space="preserve"> </w:t>
      </w:r>
      <w:r w:rsidRPr="00560B11">
        <w:rPr>
          <w:rFonts w:ascii="Palatino Linotype" w:eastAsia="Palatino Linotype" w:hAnsi="Palatino Linotype" w:cs="Palatino Linotype"/>
        </w:rPr>
        <w:t>la respuesta</w:t>
      </w:r>
      <w:r w:rsidRPr="00560B11">
        <w:rPr>
          <w:rFonts w:ascii="Palatino Linotype" w:eastAsia="Palatino Linotype" w:hAnsi="Palatino Linotype" w:cs="Palatino Linotype"/>
          <w:b/>
        </w:rPr>
        <w:t xml:space="preserve"> </w:t>
      </w:r>
      <w:r w:rsidRPr="00560B11">
        <w:rPr>
          <w:rFonts w:ascii="Palatino Linotype" w:eastAsia="Palatino Linotype" w:hAnsi="Palatino Linotype" w:cs="Palatino Linotype"/>
        </w:rPr>
        <w:t xml:space="preserve">del </w:t>
      </w:r>
      <w:r w:rsidRPr="00560B11">
        <w:rPr>
          <w:rFonts w:ascii="Palatino Linotype" w:eastAsia="Palatino Linotype" w:hAnsi="Palatino Linotype" w:cs="Palatino Linotype"/>
          <w:b/>
        </w:rPr>
        <w:t>Sujeto Obligado.</w:t>
      </w:r>
    </w:p>
    <w:p w14:paraId="446F20C5" w14:textId="77777777" w:rsidR="00881541" w:rsidRPr="00560B11" w:rsidRDefault="00732F21">
      <w:pPr>
        <w:spacing w:before="240" w:after="240" w:line="360" w:lineRule="auto"/>
        <w:jc w:val="both"/>
        <w:rPr>
          <w:rFonts w:ascii="Palatino Linotype" w:eastAsia="Palatino Linotype" w:hAnsi="Palatino Linotype" w:cs="Palatino Linotype"/>
        </w:rPr>
      </w:pPr>
      <w:bookmarkStart w:id="11" w:name="_heading=h.4d34og8" w:colFirst="0" w:colLast="0"/>
      <w:bookmarkEnd w:id="11"/>
      <w:r w:rsidRPr="00560B11">
        <w:rPr>
          <w:rFonts w:ascii="Palatino Linotype" w:eastAsia="Palatino Linotype" w:hAnsi="Palatino Linotype" w:cs="Palatino Linotype"/>
          <w:b/>
        </w:rPr>
        <w:t xml:space="preserve">Segundo. </w:t>
      </w:r>
      <w:r w:rsidRPr="00560B11">
        <w:rPr>
          <w:rFonts w:ascii="Palatino Linotype" w:eastAsia="Palatino Linotype" w:hAnsi="Palatino Linotype" w:cs="Palatino Linotype"/>
        </w:rPr>
        <w:t xml:space="preserve">Se </w:t>
      </w:r>
      <w:r w:rsidRPr="00560B11">
        <w:rPr>
          <w:rFonts w:ascii="Palatino Linotype" w:eastAsia="Palatino Linotype" w:hAnsi="Palatino Linotype" w:cs="Palatino Linotype"/>
          <w:b/>
        </w:rPr>
        <w:t>Ordena</w:t>
      </w:r>
      <w:r w:rsidRPr="00560B11">
        <w:rPr>
          <w:rFonts w:ascii="Palatino Linotype" w:eastAsia="Palatino Linotype" w:hAnsi="Palatino Linotype" w:cs="Palatino Linotype"/>
        </w:rPr>
        <w:t xml:space="preserve"> al </w:t>
      </w:r>
      <w:r w:rsidRPr="00560B11">
        <w:rPr>
          <w:rFonts w:ascii="Palatino Linotype" w:eastAsia="Palatino Linotype" w:hAnsi="Palatino Linotype" w:cs="Palatino Linotype"/>
          <w:b/>
        </w:rPr>
        <w:t>Sujeto Obligado</w:t>
      </w:r>
      <w:r w:rsidRPr="00560B11">
        <w:rPr>
          <w:rFonts w:ascii="Palatino Linotype" w:eastAsia="Palatino Linotype" w:hAnsi="Palatino Linotype" w:cs="Palatino Linotype"/>
        </w:rPr>
        <w:t xml:space="preserve">, en términos de los Considerandos </w:t>
      </w:r>
      <w:r w:rsidRPr="00560B11">
        <w:rPr>
          <w:rFonts w:ascii="Palatino Linotype" w:eastAsia="Palatino Linotype" w:hAnsi="Palatino Linotype" w:cs="Palatino Linotype"/>
          <w:b/>
        </w:rPr>
        <w:t xml:space="preserve">Cuarto </w:t>
      </w:r>
      <w:r w:rsidRPr="00560B11">
        <w:rPr>
          <w:rFonts w:ascii="Palatino Linotype" w:eastAsia="Palatino Linotype" w:hAnsi="Palatino Linotype" w:cs="Palatino Linotype"/>
        </w:rPr>
        <w:t>y</w:t>
      </w:r>
      <w:r w:rsidRPr="00560B11">
        <w:rPr>
          <w:rFonts w:ascii="Palatino Linotype" w:eastAsia="Palatino Linotype" w:hAnsi="Palatino Linotype" w:cs="Palatino Linotype"/>
          <w:b/>
        </w:rPr>
        <w:t xml:space="preserve"> Quinto </w:t>
      </w:r>
      <w:r w:rsidRPr="00560B11">
        <w:rPr>
          <w:rFonts w:ascii="Palatino Linotype" w:eastAsia="Palatino Linotype" w:hAnsi="Palatino Linotype" w:cs="Palatino Linotype"/>
        </w:rPr>
        <w:t>de esta resolución, haga entrega, vía SAIMEX, de ser el caso en versión pública de lo siguiente:</w:t>
      </w:r>
    </w:p>
    <w:p w14:paraId="7AF84610" w14:textId="7807EED2" w:rsidR="005B1350" w:rsidRPr="00560B11" w:rsidRDefault="00732F21" w:rsidP="00560B11">
      <w:pPr>
        <w:spacing w:before="240" w:after="240" w:line="360" w:lineRule="auto"/>
        <w:ind w:left="426" w:right="51"/>
        <w:jc w:val="both"/>
        <w:rPr>
          <w:rFonts w:ascii="Palatino Linotype" w:eastAsia="Palatino Linotype" w:hAnsi="Palatino Linotype" w:cs="Palatino Linotype"/>
        </w:rPr>
      </w:pPr>
      <w:r w:rsidRPr="00560B11">
        <w:rPr>
          <w:rFonts w:ascii="Palatino Linotype" w:eastAsia="Palatino Linotype" w:hAnsi="Palatino Linotype" w:cs="Palatino Linotype"/>
        </w:rPr>
        <w:t xml:space="preserve">1. </w:t>
      </w:r>
      <w:r w:rsidR="005B1350" w:rsidRPr="00560B11">
        <w:rPr>
          <w:rFonts w:ascii="Palatino Linotype" w:eastAsia="Palatino Linotype" w:hAnsi="Palatino Linotype" w:cs="Palatino Linotype"/>
        </w:rPr>
        <w:t xml:space="preserve">Documentos que den cuenta </w:t>
      </w:r>
      <w:r w:rsidR="003B145C" w:rsidRPr="00560B11">
        <w:rPr>
          <w:rFonts w:ascii="Palatino Linotype" w:eastAsia="Palatino Linotype" w:hAnsi="Palatino Linotype" w:cs="Palatino Linotype"/>
        </w:rPr>
        <w:t>del fundamento legal de la</w:t>
      </w:r>
      <w:r w:rsidR="005B1350" w:rsidRPr="00560B11">
        <w:rPr>
          <w:rFonts w:ascii="Palatino Linotype" w:eastAsia="Palatino Linotype" w:hAnsi="Palatino Linotype" w:cs="Palatino Linotype"/>
        </w:rPr>
        <w:t xml:space="preserve"> autorización para realizar el bloqueo o cierre de la vialidad Cola de Caballo en el municipio de Cuautitlán, así como la avenida 6 de </w:t>
      </w:r>
      <w:proofErr w:type="gramStart"/>
      <w:r w:rsidR="005B1350" w:rsidRPr="00560B11">
        <w:rPr>
          <w:rFonts w:ascii="Palatino Linotype" w:eastAsia="Palatino Linotype" w:hAnsi="Palatino Linotype" w:cs="Palatino Linotype"/>
        </w:rPr>
        <w:t>Junio</w:t>
      </w:r>
      <w:proofErr w:type="gramEnd"/>
      <w:r w:rsidR="005B1350" w:rsidRPr="00560B11">
        <w:rPr>
          <w:rFonts w:ascii="Palatino Linotype" w:eastAsia="Palatino Linotype" w:hAnsi="Palatino Linotype" w:cs="Palatino Linotype"/>
        </w:rPr>
        <w:t xml:space="preserve"> que conecta Tultep</w:t>
      </w:r>
      <w:r w:rsidR="003B145C" w:rsidRPr="00560B11">
        <w:rPr>
          <w:rFonts w:ascii="Palatino Linotype" w:eastAsia="Palatino Linotype" w:hAnsi="Palatino Linotype" w:cs="Palatino Linotype"/>
        </w:rPr>
        <w:t>ec y el municipio de Cuautitlán</w:t>
      </w:r>
      <w:r w:rsidR="00546E9B" w:rsidRPr="00560B11">
        <w:rPr>
          <w:rFonts w:ascii="Palatino Linotype" w:eastAsia="Palatino Linotype" w:hAnsi="Palatino Linotype" w:cs="Palatino Linotype"/>
        </w:rPr>
        <w:t>, y el estatus</w:t>
      </w:r>
      <w:r w:rsidR="003B145C" w:rsidRPr="00560B11">
        <w:rPr>
          <w:rFonts w:ascii="Palatino Linotype" w:eastAsia="Palatino Linotype" w:hAnsi="Palatino Linotype" w:cs="Palatino Linotype"/>
        </w:rPr>
        <w:t xml:space="preserve"> de las mismas</w:t>
      </w:r>
      <w:r w:rsidR="00546E9B" w:rsidRPr="00560B11">
        <w:rPr>
          <w:rFonts w:ascii="Palatino Linotype" w:eastAsia="Palatino Linotype" w:hAnsi="Palatino Linotype" w:cs="Palatino Linotype"/>
        </w:rPr>
        <w:t xml:space="preserve"> al doce de junio de dos mil veintitrés</w:t>
      </w:r>
      <w:r w:rsidR="003B145C" w:rsidRPr="00560B11">
        <w:rPr>
          <w:rFonts w:ascii="Palatino Linotype" w:eastAsia="Palatino Linotype" w:hAnsi="Palatino Linotype" w:cs="Palatino Linotype"/>
        </w:rPr>
        <w:t xml:space="preserve">. </w:t>
      </w:r>
    </w:p>
    <w:p w14:paraId="6A136399" w14:textId="77777777" w:rsidR="00881541" w:rsidRPr="00560B11" w:rsidRDefault="00732F21" w:rsidP="00560B11">
      <w:pPr>
        <w:spacing w:before="120" w:after="120"/>
        <w:ind w:left="426"/>
        <w:jc w:val="both"/>
        <w:rPr>
          <w:rFonts w:ascii="Palatino Linotype" w:eastAsia="Palatino Linotype" w:hAnsi="Palatino Linotype" w:cs="Palatino Linotype"/>
          <w:i/>
          <w:sz w:val="20"/>
          <w:szCs w:val="20"/>
        </w:rPr>
      </w:pPr>
      <w:r w:rsidRPr="00560B11">
        <w:rPr>
          <w:rFonts w:ascii="Palatino Linotype" w:eastAsia="Palatino Linotype" w:hAnsi="Palatino Linotype" w:cs="Palatino Linotype"/>
          <w:i/>
          <w:sz w:val="20"/>
          <w:szCs w:val="20"/>
        </w:rPr>
        <w:lastRenderedPageBreak/>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w:t>
      </w:r>
      <w:r w:rsidRPr="00560B11">
        <w:rPr>
          <w:rFonts w:ascii="Palatino Linotype" w:eastAsia="Palatino Linotype" w:hAnsi="Palatino Linotype" w:cs="Palatino Linotype"/>
          <w:b/>
          <w:i/>
          <w:sz w:val="20"/>
          <w:szCs w:val="20"/>
        </w:rPr>
        <w:t>Recurrente</w:t>
      </w:r>
      <w:r w:rsidRPr="00560B11">
        <w:rPr>
          <w:rFonts w:ascii="Palatino Linotype" w:eastAsia="Palatino Linotype" w:hAnsi="Palatino Linotype" w:cs="Palatino Linotype"/>
          <w:i/>
          <w:sz w:val="20"/>
          <w:szCs w:val="20"/>
        </w:rPr>
        <w:t>.</w:t>
      </w:r>
    </w:p>
    <w:p w14:paraId="1C263916" w14:textId="79818E7A" w:rsidR="00CE5981" w:rsidRPr="00560B11" w:rsidRDefault="00CE5981" w:rsidP="00560B11">
      <w:pPr>
        <w:spacing w:before="240" w:after="240"/>
        <w:ind w:left="426" w:right="49"/>
        <w:jc w:val="both"/>
        <w:rPr>
          <w:rFonts w:ascii="Palatino Linotype" w:eastAsia="Palatino Linotype" w:hAnsi="Palatino Linotype" w:cs="Palatino Linotype"/>
          <w:i/>
          <w:sz w:val="20"/>
          <w:szCs w:val="20"/>
        </w:rPr>
      </w:pPr>
      <w:r w:rsidRPr="00560B11">
        <w:rPr>
          <w:rFonts w:ascii="Palatino Linotype" w:hAnsi="Palatino Linotype"/>
          <w:i/>
          <w:sz w:val="20"/>
          <w:szCs w:val="20"/>
        </w:rPr>
        <w:t>De ser el caso que,</w:t>
      </w:r>
      <w:r w:rsidRPr="00560B11">
        <w:rPr>
          <w:rFonts w:ascii="Palatino Linotype" w:eastAsia="Palatino Linotype" w:hAnsi="Palatino Linotype" w:cs="Palatino Linotype"/>
          <w:i/>
          <w:sz w:val="20"/>
          <w:szCs w:val="20"/>
        </w:rPr>
        <w:t xml:space="preserve"> no se localice la información que </w:t>
      </w:r>
      <w:r w:rsidR="00546E9B" w:rsidRPr="00560B11">
        <w:rPr>
          <w:rFonts w:ascii="Palatino Linotype" w:eastAsia="Palatino Linotype" w:hAnsi="Palatino Linotype" w:cs="Palatino Linotype"/>
          <w:i/>
          <w:sz w:val="20"/>
          <w:szCs w:val="20"/>
        </w:rPr>
        <w:t xml:space="preserve">se ordena, </w:t>
      </w:r>
      <w:r w:rsidRPr="00560B11">
        <w:rPr>
          <w:rFonts w:ascii="Palatino Linotype" w:eastAsia="Palatino Linotype" w:hAnsi="Palatino Linotype" w:cs="Palatino Linotype"/>
          <w:i/>
          <w:sz w:val="20"/>
          <w:szCs w:val="20"/>
        </w:rPr>
        <w:t>el Sujeto Obligado deberá emitir el Acuerdo de Inexistencia en términos de los artículos 49, fracciones II y XIII, 169 y 170 de la Ley de Transparencia y Acceso a la Información Pública del Estado de México y Municipios, debiendo notificarlo al Recurrente al momento de dar cumplimiento a la presente resolución.</w:t>
      </w:r>
    </w:p>
    <w:p w14:paraId="04E0C9D0" w14:textId="77777777" w:rsidR="00881541" w:rsidRPr="00560B11" w:rsidRDefault="00732F21">
      <w:pPr>
        <w:spacing w:before="240" w:after="240" w:line="360" w:lineRule="auto"/>
        <w:jc w:val="both"/>
        <w:rPr>
          <w:rFonts w:ascii="Palatino Linotype" w:eastAsia="Palatino Linotype" w:hAnsi="Palatino Linotype" w:cs="Palatino Linotype"/>
          <w:b/>
        </w:rPr>
      </w:pPr>
      <w:r w:rsidRPr="00560B11">
        <w:rPr>
          <w:rFonts w:ascii="Palatino Linotype" w:eastAsia="Palatino Linotype" w:hAnsi="Palatino Linotype" w:cs="Palatino Linotype"/>
          <w:b/>
        </w:rPr>
        <w:t xml:space="preserve">Tercero. Notifíquese, </w:t>
      </w:r>
      <w:r w:rsidRPr="00560B11">
        <w:rPr>
          <w:rFonts w:ascii="Palatino Linotype" w:eastAsia="Palatino Linotype" w:hAnsi="Palatino Linotype" w:cs="Palatino Linotype"/>
        </w:rPr>
        <w:t xml:space="preserve">vía </w:t>
      </w:r>
      <w:r w:rsidRPr="00560B11">
        <w:rPr>
          <w:rFonts w:ascii="Palatino Linotype" w:eastAsia="Palatino Linotype" w:hAnsi="Palatino Linotype" w:cs="Palatino Linotype"/>
          <w:b/>
        </w:rPr>
        <w:t>SAIMEX</w:t>
      </w:r>
      <w:r w:rsidRPr="00560B11">
        <w:rPr>
          <w:rFonts w:ascii="Palatino Linotype" w:eastAsia="Palatino Linotype" w:hAnsi="Palatino Linotype" w:cs="Palatino Linotype"/>
        </w:rPr>
        <w:t xml:space="preserve">, al Titular de la Unidad de Transparencia del </w:t>
      </w:r>
      <w:r w:rsidRPr="00560B11">
        <w:rPr>
          <w:rFonts w:ascii="Palatino Linotype" w:eastAsia="Palatino Linotype" w:hAnsi="Palatino Linotype" w:cs="Palatino Linotype"/>
          <w:b/>
        </w:rPr>
        <w:t>Sujeto Obligado,</w:t>
      </w:r>
      <w:r w:rsidRPr="00560B11">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EAAF340" w14:textId="77777777" w:rsidR="00881541" w:rsidRPr="00560B11" w:rsidRDefault="00732F21">
      <w:pPr>
        <w:spacing w:before="240" w:after="240" w:line="360" w:lineRule="auto"/>
        <w:jc w:val="both"/>
        <w:rPr>
          <w:rFonts w:ascii="Palatino Linotype" w:eastAsia="Palatino Linotype" w:hAnsi="Palatino Linotype" w:cs="Palatino Linotype"/>
        </w:rPr>
      </w:pPr>
      <w:r w:rsidRPr="00560B11">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560B11">
        <w:rPr>
          <w:rFonts w:ascii="Palatino Linotype" w:eastAsia="Palatino Linotype" w:hAnsi="Palatino Linotype" w:cs="Palatino Linotype"/>
          <w:b/>
        </w:rPr>
        <w:t>Sujeto Obligado</w:t>
      </w:r>
      <w:r w:rsidRPr="00560B11">
        <w:rPr>
          <w:rFonts w:ascii="Palatino Linotype" w:eastAsia="Palatino Linotype" w:hAnsi="Palatino Linotype" w:cs="Palatino Linotype"/>
        </w:rPr>
        <w:t xml:space="preserve"> de manera fundada y motivada, podrá solicitar una ampliación de plazo para el cumplimiento de la presente resolución.</w:t>
      </w:r>
    </w:p>
    <w:p w14:paraId="3F42AB0D" w14:textId="77777777" w:rsidR="00881541" w:rsidRPr="00560B11" w:rsidRDefault="00732F21">
      <w:pPr>
        <w:spacing w:before="240" w:after="240" w:line="360" w:lineRule="auto"/>
        <w:jc w:val="both"/>
        <w:rPr>
          <w:rFonts w:ascii="Palatino Linotype" w:eastAsia="Palatino Linotype" w:hAnsi="Palatino Linotype" w:cs="Palatino Linotype"/>
        </w:rPr>
      </w:pPr>
      <w:r w:rsidRPr="00560B11">
        <w:rPr>
          <w:rFonts w:ascii="Palatino Linotype" w:eastAsia="Palatino Linotype" w:hAnsi="Palatino Linotype" w:cs="Palatino Linotype"/>
          <w:b/>
        </w:rPr>
        <w:t xml:space="preserve">Cuarto.  Notifíquese, </w:t>
      </w:r>
      <w:r w:rsidRPr="00560B11">
        <w:rPr>
          <w:rFonts w:ascii="Palatino Linotype" w:eastAsia="Palatino Linotype" w:hAnsi="Palatino Linotype" w:cs="Palatino Linotype"/>
        </w:rPr>
        <w:t xml:space="preserve">vía </w:t>
      </w:r>
      <w:r w:rsidRPr="00560B11">
        <w:rPr>
          <w:rFonts w:ascii="Palatino Linotype" w:eastAsia="Palatino Linotype" w:hAnsi="Palatino Linotype" w:cs="Palatino Linotype"/>
          <w:b/>
        </w:rPr>
        <w:t>SAIMEX</w:t>
      </w:r>
      <w:r w:rsidRPr="00560B11">
        <w:rPr>
          <w:rFonts w:ascii="Palatino Linotype" w:eastAsia="Palatino Linotype" w:hAnsi="Palatino Linotype" w:cs="Palatino Linotype"/>
        </w:rPr>
        <w:t xml:space="preserve">, a la parte </w:t>
      </w:r>
      <w:r w:rsidRPr="00560B11">
        <w:rPr>
          <w:rFonts w:ascii="Palatino Linotype" w:eastAsia="Palatino Linotype" w:hAnsi="Palatino Linotype" w:cs="Palatino Linotype"/>
          <w:b/>
        </w:rPr>
        <w:t>Recurrente</w:t>
      </w:r>
      <w:r w:rsidRPr="00560B11">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w:t>
      </w:r>
      <w:r w:rsidRPr="00560B11">
        <w:rPr>
          <w:rFonts w:ascii="Palatino Linotype" w:eastAsia="Palatino Linotype" w:hAnsi="Palatino Linotype" w:cs="Palatino Linotype"/>
        </w:rPr>
        <w:lastRenderedPageBreak/>
        <w:t>en caso de que considere que le causa algún perjuicio podrá impugnarla vía Juicio de Amparo en los términos de las leyes aplicables.</w:t>
      </w:r>
    </w:p>
    <w:p w14:paraId="63C2E5F9" w14:textId="77777777" w:rsidR="005952EF" w:rsidRPr="00560B11" w:rsidRDefault="005952EF" w:rsidP="005952EF">
      <w:pPr>
        <w:spacing w:before="240" w:after="240" w:line="360" w:lineRule="auto"/>
        <w:jc w:val="both"/>
        <w:rPr>
          <w:rFonts w:ascii="Palatino Linotype" w:hAnsi="Palatino Linotype"/>
          <w:lang w:eastAsia="es-ES_tradnl"/>
        </w:rPr>
      </w:pPr>
      <w:r w:rsidRPr="00560B11">
        <w:rPr>
          <w:rFonts w:ascii="Palatino Linotype" w:eastAsia="MS Mincho" w:hAnsi="Palatino Linotype"/>
          <w:b/>
          <w:bCs/>
        </w:rPr>
        <w:t>Quinto.</w:t>
      </w:r>
      <w:r w:rsidRPr="00560B11">
        <w:rPr>
          <w:rFonts w:ascii="Palatino Linotype" w:eastAsia="MS Mincho" w:hAnsi="Palatino Linotype"/>
        </w:rPr>
        <w:t xml:space="preserve"> </w:t>
      </w:r>
      <w:r w:rsidRPr="00560B11">
        <w:rPr>
          <w:rFonts w:ascii="Palatino Linotype" w:hAnsi="Palatino Linotype"/>
          <w:b/>
          <w:lang w:eastAsia="es-ES_tradnl"/>
        </w:rPr>
        <w:t>Gírese</w:t>
      </w:r>
      <w:r w:rsidRPr="00560B11">
        <w:rPr>
          <w:rFonts w:ascii="Palatino Linotype" w:hAnsi="Palatino Linotype"/>
          <w:lang w:eastAsia="es-ES_tradnl"/>
        </w:rPr>
        <w:t xml:space="preserve"> a  la </w:t>
      </w:r>
      <w:r w:rsidRPr="00560B11">
        <w:rPr>
          <w:rFonts w:ascii="Palatino Linotype" w:hAnsi="Palatino Linotype"/>
          <w:b/>
          <w:lang w:eastAsia="es-ES_tradnl"/>
        </w:rPr>
        <w:t>Dirección General de Protección de Datos Personales</w:t>
      </w:r>
      <w:r w:rsidRPr="00560B11">
        <w:rPr>
          <w:rFonts w:ascii="Palatino Linotype" w:hAnsi="Palatino Linotype"/>
          <w:lang w:eastAsia="es-ES_tradnl"/>
        </w:rPr>
        <w:t xml:space="preserve">, en atención al artículo 82, fracción XXVII de la Ley de Protección de Datos Personales en Posesión de Sujetos Obligados del Estado de México y Municipios en términos de lo señalado en el </w:t>
      </w:r>
      <w:r w:rsidRPr="00560B11">
        <w:rPr>
          <w:rFonts w:ascii="Palatino Linotype" w:hAnsi="Palatino Linotype"/>
          <w:b/>
          <w:bCs/>
          <w:lang w:eastAsia="es-ES_tradnl"/>
        </w:rPr>
        <w:t>Considerando Cuarto</w:t>
      </w:r>
      <w:r w:rsidRPr="00560B11">
        <w:rPr>
          <w:rFonts w:ascii="Palatino Linotype" w:hAnsi="Palatino Linotype"/>
          <w:lang w:eastAsia="es-ES_tradnl"/>
        </w:rPr>
        <w:t xml:space="preserve"> de la presente resolución.</w:t>
      </w:r>
    </w:p>
    <w:p w14:paraId="7BA8F287" w14:textId="365D0E4F" w:rsidR="00881541" w:rsidRPr="00560B11" w:rsidRDefault="00560B11" w:rsidP="005952EF">
      <w:pPr>
        <w:spacing w:before="240" w:after="240" w:line="360" w:lineRule="auto"/>
        <w:jc w:val="both"/>
        <w:rPr>
          <w:rFonts w:ascii="Palatino Linotype" w:eastAsia="Palatino Linotype" w:hAnsi="Palatino Linotype" w:cs="Palatino Linotype"/>
        </w:rPr>
      </w:pPr>
      <w:r w:rsidRPr="00560B11">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54DA7784" wp14:editId="23C44505">
                <wp:simplePos x="0" y="0"/>
                <wp:positionH relativeFrom="column">
                  <wp:posOffset>15240</wp:posOffset>
                </wp:positionH>
                <wp:positionV relativeFrom="paragraph">
                  <wp:posOffset>2882266</wp:posOffset>
                </wp:positionV>
                <wp:extent cx="5514975" cy="2552700"/>
                <wp:effectExtent l="38100" t="38100" r="66675" b="95250"/>
                <wp:wrapNone/>
                <wp:docPr id="106785825" name="Conector recto 1"/>
                <wp:cNvGraphicFramePr/>
                <a:graphic xmlns:a="http://schemas.openxmlformats.org/drawingml/2006/main">
                  <a:graphicData uri="http://schemas.microsoft.com/office/word/2010/wordprocessingShape">
                    <wps:wsp>
                      <wps:cNvCnPr/>
                      <wps:spPr>
                        <a:xfrm>
                          <a:off x="0" y="0"/>
                          <a:ext cx="5514975" cy="25527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2D355226"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26.95pt" to="435.45pt,4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" strokecolor="black [3200]" strokeweight="2pt">
                <v:shadow on="t" color="black" opacity="24903f" origin=",.5" offset="0,.55556mm"/>
              </v:line>
            </w:pict>
          </mc:Fallback>
        </mc:AlternateContent>
      </w:r>
      <w:r w:rsidR="00732F21" w:rsidRPr="00560B11">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w:t>
      </w:r>
      <w:r w:rsidR="005A2AFB" w:rsidRPr="00560B11">
        <w:rPr>
          <w:rFonts w:ascii="Palatino Linotype" w:eastAsia="Palatino Linotype" w:hAnsi="Palatino Linotype" w:cs="Palatino Linotype"/>
        </w:rPr>
        <w:t>MÍREZ PEÑA; EN LA CUADRAGÉSIMA CUARTA</w:t>
      </w:r>
      <w:r w:rsidR="00732F21" w:rsidRPr="00560B11">
        <w:rPr>
          <w:rFonts w:ascii="Palatino Linotype" w:eastAsia="Palatino Linotype" w:hAnsi="Palatino Linotype" w:cs="Palatino Linotype"/>
        </w:rPr>
        <w:t xml:space="preserve"> SESIÓN ORDINARIA CELEBRADA EL </w:t>
      </w:r>
      <w:r w:rsidR="005A2AFB" w:rsidRPr="00560B11">
        <w:rPr>
          <w:rFonts w:ascii="Palatino Linotype" w:eastAsia="Palatino Linotype" w:hAnsi="Palatino Linotype" w:cs="Palatino Linotype"/>
        </w:rPr>
        <w:t>SEIS DE DICIEMBRE</w:t>
      </w:r>
      <w:r w:rsidR="00732F21" w:rsidRPr="00560B11">
        <w:rPr>
          <w:rFonts w:ascii="Palatino Linotype" w:eastAsia="Palatino Linotype" w:hAnsi="Palatino Linotype" w:cs="Palatino Linotype"/>
        </w:rPr>
        <w:t xml:space="preserve"> DOS MIL VEINTITRÉS, ANTE EL SECRETARIO TÉCNICO DEL PLENO ALEXIS TAPIA RAMÍREZ.</w:t>
      </w:r>
    </w:p>
    <w:p w14:paraId="1B6D18F6" w14:textId="501AFCB2" w:rsidR="00881541" w:rsidRPr="00560B11" w:rsidRDefault="00881541">
      <w:pPr>
        <w:spacing w:line="360" w:lineRule="auto"/>
        <w:jc w:val="both"/>
        <w:rPr>
          <w:rFonts w:ascii="Palatino Linotype" w:eastAsia="Palatino Linotype" w:hAnsi="Palatino Linotype" w:cs="Palatino Linotype"/>
        </w:rPr>
      </w:pPr>
    </w:p>
    <w:p w14:paraId="436348D8" w14:textId="77777777" w:rsidR="00881541" w:rsidRPr="00560B11" w:rsidRDefault="00881541">
      <w:pPr>
        <w:spacing w:line="360" w:lineRule="auto"/>
        <w:jc w:val="both"/>
        <w:rPr>
          <w:rFonts w:ascii="Palatino Linotype" w:eastAsia="Palatino Linotype" w:hAnsi="Palatino Linotype" w:cs="Palatino Linotype"/>
        </w:rPr>
      </w:pPr>
    </w:p>
    <w:p w14:paraId="52EE5824" w14:textId="77777777" w:rsidR="00881541" w:rsidRPr="00560B11" w:rsidRDefault="00881541">
      <w:pPr>
        <w:spacing w:line="360" w:lineRule="auto"/>
        <w:jc w:val="both"/>
        <w:rPr>
          <w:rFonts w:ascii="Palatino Linotype" w:eastAsia="Palatino Linotype" w:hAnsi="Palatino Linotype" w:cs="Palatino Linotype"/>
        </w:rPr>
      </w:pPr>
    </w:p>
    <w:p w14:paraId="1CB83678" w14:textId="77777777" w:rsidR="00881541" w:rsidRPr="00560B11" w:rsidRDefault="00881541">
      <w:pPr>
        <w:rPr>
          <w:rFonts w:ascii="Palatino Linotype" w:eastAsia="Palatino Linotype" w:hAnsi="Palatino Linotype" w:cs="Palatino Linotype"/>
        </w:rPr>
      </w:pPr>
    </w:p>
    <w:p w14:paraId="620E67D1" w14:textId="77777777" w:rsidR="00881541" w:rsidRPr="00560B11" w:rsidRDefault="00881541">
      <w:pPr>
        <w:spacing w:line="360" w:lineRule="auto"/>
        <w:jc w:val="both"/>
        <w:rPr>
          <w:rFonts w:ascii="Palatino Linotype" w:eastAsia="Palatino Linotype" w:hAnsi="Palatino Linotype" w:cs="Palatino Linotype"/>
        </w:rPr>
      </w:pPr>
    </w:p>
    <w:p w14:paraId="5DB1AF0A" w14:textId="77777777" w:rsidR="00881541" w:rsidRPr="00560B11" w:rsidRDefault="00881541">
      <w:pPr>
        <w:spacing w:line="360" w:lineRule="auto"/>
        <w:jc w:val="both"/>
        <w:rPr>
          <w:rFonts w:ascii="Palatino Linotype" w:eastAsia="Palatino Linotype" w:hAnsi="Palatino Linotype" w:cs="Palatino Linotype"/>
        </w:rPr>
      </w:pPr>
    </w:p>
    <w:p w14:paraId="049504FA" w14:textId="77777777" w:rsidR="00881541" w:rsidRPr="00560B11" w:rsidRDefault="00881541">
      <w:pPr>
        <w:spacing w:line="360" w:lineRule="auto"/>
        <w:jc w:val="both"/>
        <w:rPr>
          <w:rFonts w:ascii="Palatino Linotype" w:eastAsia="Palatino Linotype" w:hAnsi="Palatino Linotype" w:cs="Palatino Linotype"/>
        </w:rPr>
      </w:pPr>
    </w:p>
    <w:p w14:paraId="63ECA556" w14:textId="77777777" w:rsidR="00881541" w:rsidRPr="00560B11" w:rsidRDefault="00881541">
      <w:pPr>
        <w:spacing w:line="360" w:lineRule="auto"/>
        <w:jc w:val="both"/>
        <w:rPr>
          <w:rFonts w:ascii="Palatino Linotype" w:eastAsia="Palatino Linotype" w:hAnsi="Palatino Linotype" w:cs="Palatino Linotype"/>
        </w:rPr>
      </w:pPr>
    </w:p>
    <w:p w14:paraId="088FCF21" w14:textId="77777777" w:rsidR="00881541" w:rsidRPr="00560B11" w:rsidRDefault="00881541">
      <w:pPr>
        <w:spacing w:line="360" w:lineRule="auto"/>
        <w:jc w:val="both"/>
        <w:rPr>
          <w:rFonts w:ascii="Palatino Linotype" w:eastAsia="Palatino Linotype" w:hAnsi="Palatino Linotype" w:cs="Palatino Linotype"/>
        </w:rPr>
      </w:pPr>
    </w:p>
    <w:p w14:paraId="1009D445" w14:textId="77777777" w:rsidR="00881541" w:rsidRPr="00560B11" w:rsidRDefault="00881541">
      <w:pPr>
        <w:spacing w:line="360" w:lineRule="auto"/>
        <w:jc w:val="both"/>
        <w:rPr>
          <w:rFonts w:ascii="Palatino Linotype" w:eastAsia="Palatino Linotype" w:hAnsi="Palatino Linotype" w:cs="Palatino Linotype"/>
        </w:rPr>
      </w:pPr>
    </w:p>
    <w:p w14:paraId="64212625" w14:textId="77777777" w:rsidR="00881541" w:rsidRPr="00560B11" w:rsidRDefault="00881541">
      <w:pPr>
        <w:spacing w:line="360" w:lineRule="auto"/>
        <w:jc w:val="both"/>
        <w:rPr>
          <w:rFonts w:ascii="Palatino Linotype" w:eastAsia="Palatino Linotype" w:hAnsi="Palatino Linotype" w:cs="Palatino Linotype"/>
        </w:rPr>
      </w:pPr>
    </w:p>
    <w:p w14:paraId="66C1336E" w14:textId="77777777" w:rsidR="00881541" w:rsidRPr="00560B11" w:rsidRDefault="00881541">
      <w:pPr>
        <w:spacing w:line="360" w:lineRule="auto"/>
        <w:jc w:val="both"/>
        <w:rPr>
          <w:rFonts w:ascii="Palatino Linotype" w:eastAsia="Palatino Linotype" w:hAnsi="Palatino Linotype" w:cs="Palatino Linotype"/>
        </w:rPr>
      </w:pPr>
    </w:p>
    <w:p w14:paraId="1CDEE292" w14:textId="77777777" w:rsidR="00881541" w:rsidRPr="00560B11" w:rsidRDefault="00881541">
      <w:pPr>
        <w:spacing w:line="360" w:lineRule="auto"/>
        <w:jc w:val="both"/>
        <w:rPr>
          <w:rFonts w:ascii="Palatino Linotype" w:eastAsia="Palatino Linotype" w:hAnsi="Palatino Linotype" w:cs="Palatino Linotype"/>
        </w:rPr>
      </w:pPr>
    </w:p>
    <w:p w14:paraId="2DA6CC30" w14:textId="77777777" w:rsidR="00881541" w:rsidRPr="00560B11" w:rsidRDefault="00881541">
      <w:pPr>
        <w:spacing w:line="360" w:lineRule="auto"/>
        <w:jc w:val="both"/>
        <w:rPr>
          <w:rFonts w:ascii="Palatino Linotype" w:eastAsia="Palatino Linotype" w:hAnsi="Palatino Linotype" w:cs="Palatino Linotype"/>
        </w:rPr>
      </w:pPr>
    </w:p>
    <w:p w14:paraId="72F41C69" w14:textId="77777777" w:rsidR="00881541" w:rsidRPr="00560B11" w:rsidRDefault="00881541">
      <w:pPr>
        <w:spacing w:line="360" w:lineRule="auto"/>
        <w:jc w:val="both"/>
        <w:rPr>
          <w:rFonts w:ascii="Palatino Linotype" w:eastAsia="Palatino Linotype" w:hAnsi="Palatino Linotype" w:cs="Palatino Linotype"/>
        </w:rPr>
      </w:pPr>
    </w:p>
    <w:p w14:paraId="19F2D338" w14:textId="77777777" w:rsidR="00881541" w:rsidRPr="00560B11" w:rsidRDefault="00881541">
      <w:pPr>
        <w:spacing w:line="360" w:lineRule="auto"/>
        <w:jc w:val="both"/>
        <w:rPr>
          <w:rFonts w:ascii="Palatino Linotype" w:eastAsia="Palatino Linotype" w:hAnsi="Palatino Linotype" w:cs="Palatino Linotype"/>
        </w:rPr>
      </w:pPr>
    </w:p>
    <w:p w14:paraId="139DD48D" w14:textId="77777777" w:rsidR="00881541" w:rsidRPr="00560B11" w:rsidRDefault="00881541">
      <w:pPr>
        <w:spacing w:line="360" w:lineRule="auto"/>
        <w:jc w:val="both"/>
        <w:rPr>
          <w:rFonts w:ascii="Palatino Linotype" w:eastAsia="Palatino Linotype" w:hAnsi="Palatino Linotype" w:cs="Palatino Linotype"/>
        </w:rPr>
      </w:pPr>
    </w:p>
    <w:p w14:paraId="28EFEA75" w14:textId="77777777" w:rsidR="00881541" w:rsidRPr="00560B11" w:rsidRDefault="00881541">
      <w:pPr>
        <w:spacing w:line="360" w:lineRule="auto"/>
        <w:jc w:val="both"/>
        <w:rPr>
          <w:rFonts w:ascii="Palatino Linotype" w:eastAsia="Palatino Linotype" w:hAnsi="Palatino Linotype" w:cs="Palatino Linotype"/>
        </w:rPr>
      </w:pPr>
    </w:p>
    <w:p w14:paraId="17025E0D" w14:textId="77777777" w:rsidR="00881541" w:rsidRPr="00560B11" w:rsidRDefault="00881541">
      <w:pPr>
        <w:spacing w:line="360" w:lineRule="auto"/>
        <w:jc w:val="both"/>
        <w:rPr>
          <w:rFonts w:ascii="Palatino Linotype" w:eastAsia="Palatino Linotype" w:hAnsi="Palatino Linotype" w:cs="Palatino Linotype"/>
        </w:rPr>
      </w:pPr>
    </w:p>
    <w:p w14:paraId="50DEE081" w14:textId="77777777" w:rsidR="00881541" w:rsidRPr="00560B11" w:rsidRDefault="00881541">
      <w:pPr>
        <w:spacing w:line="360" w:lineRule="auto"/>
        <w:jc w:val="both"/>
        <w:rPr>
          <w:rFonts w:ascii="Palatino Linotype" w:eastAsia="Palatino Linotype" w:hAnsi="Palatino Linotype" w:cs="Palatino Linotype"/>
        </w:rPr>
      </w:pPr>
    </w:p>
    <w:p w14:paraId="11578F28" w14:textId="77777777" w:rsidR="00881541" w:rsidRPr="00560B11" w:rsidRDefault="00881541">
      <w:pPr>
        <w:spacing w:line="360" w:lineRule="auto"/>
        <w:jc w:val="both"/>
        <w:rPr>
          <w:rFonts w:ascii="Palatino Linotype" w:eastAsia="Palatino Linotype" w:hAnsi="Palatino Linotype" w:cs="Palatino Linotype"/>
        </w:rPr>
      </w:pPr>
    </w:p>
    <w:p w14:paraId="671BA049" w14:textId="77777777" w:rsidR="00881541" w:rsidRPr="00560B11" w:rsidRDefault="00881541">
      <w:pPr>
        <w:spacing w:line="360" w:lineRule="auto"/>
        <w:jc w:val="both"/>
        <w:rPr>
          <w:rFonts w:ascii="Palatino Linotype" w:eastAsia="Palatino Linotype" w:hAnsi="Palatino Linotype" w:cs="Palatino Linotype"/>
        </w:rPr>
      </w:pPr>
    </w:p>
    <w:p w14:paraId="29E0F78C" w14:textId="77777777" w:rsidR="00881541" w:rsidRPr="00560B11" w:rsidRDefault="00881541">
      <w:pPr>
        <w:spacing w:line="360" w:lineRule="auto"/>
        <w:jc w:val="both"/>
        <w:rPr>
          <w:rFonts w:ascii="Palatino Linotype" w:eastAsia="Palatino Linotype" w:hAnsi="Palatino Linotype" w:cs="Palatino Linotype"/>
        </w:rPr>
      </w:pPr>
    </w:p>
    <w:p w14:paraId="36858655" w14:textId="77777777" w:rsidR="00881541" w:rsidRPr="00560B11" w:rsidRDefault="00881541">
      <w:pPr>
        <w:spacing w:line="360" w:lineRule="auto"/>
        <w:jc w:val="both"/>
        <w:rPr>
          <w:rFonts w:ascii="Palatino Linotype" w:eastAsia="Palatino Linotype" w:hAnsi="Palatino Linotype" w:cs="Palatino Linotype"/>
        </w:rPr>
      </w:pPr>
    </w:p>
    <w:p w14:paraId="3B7F47DE" w14:textId="77777777" w:rsidR="00881541" w:rsidRPr="00560B11" w:rsidRDefault="00881541">
      <w:pPr>
        <w:spacing w:line="360" w:lineRule="auto"/>
        <w:jc w:val="both"/>
        <w:rPr>
          <w:rFonts w:ascii="Palatino Linotype" w:eastAsia="Palatino Linotype" w:hAnsi="Palatino Linotype" w:cs="Palatino Linotype"/>
        </w:rPr>
      </w:pPr>
    </w:p>
    <w:sectPr w:rsidR="00881541" w:rsidRPr="00560B11">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94823" w14:textId="77777777" w:rsidR="00570B3E" w:rsidRDefault="00570B3E">
      <w:r>
        <w:separator/>
      </w:r>
    </w:p>
  </w:endnote>
  <w:endnote w:type="continuationSeparator" w:id="0">
    <w:p w14:paraId="269970F1" w14:textId="77777777" w:rsidR="00570B3E" w:rsidRDefault="00570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21B9D" w14:textId="77777777" w:rsidR="00881541" w:rsidRDefault="00732F2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8081C">
      <w:rPr>
        <w:rFonts w:ascii="Palatino Linotype" w:eastAsia="Palatino Linotype" w:hAnsi="Palatino Linotype" w:cs="Palatino Linotype"/>
        <w:b/>
        <w:noProof/>
        <w:color w:val="000000"/>
        <w:sz w:val="20"/>
        <w:szCs w:val="20"/>
      </w:rPr>
      <w:t>26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8081C">
      <w:rPr>
        <w:rFonts w:ascii="Palatino Linotype" w:eastAsia="Palatino Linotype" w:hAnsi="Palatino Linotype" w:cs="Palatino Linotype"/>
        <w:b/>
        <w:noProof/>
        <w:color w:val="000000"/>
        <w:sz w:val="20"/>
        <w:szCs w:val="20"/>
      </w:rPr>
      <w:t>39</w:t>
    </w:r>
    <w:r>
      <w:rPr>
        <w:rFonts w:ascii="Palatino Linotype" w:eastAsia="Palatino Linotype" w:hAnsi="Palatino Linotype" w:cs="Palatino Linotype"/>
        <w:b/>
        <w:color w:val="000000"/>
        <w:sz w:val="20"/>
        <w:szCs w:val="20"/>
      </w:rPr>
      <w:fldChar w:fldCharType="end"/>
    </w:r>
  </w:p>
  <w:p w14:paraId="440A5A5C" w14:textId="77777777" w:rsidR="00881541" w:rsidRDefault="0088154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EC0E" w14:textId="77777777" w:rsidR="00881541" w:rsidRDefault="00732F2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8081C">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8081C">
      <w:rPr>
        <w:rFonts w:ascii="Palatino Linotype" w:eastAsia="Palatino Linotype" w:hAnsi="Palatino Linotype" w:cs="Palatino Linotype"/>
        <w:b/>
        <w:noProof/>
        <w:color w:val="000000"/>
        <w:sz w:val="20"/>
        <w:szCs w:val="20"/>
      </w:rPr>
      <w:t>39</w:t>
    </w:r>
    <w:r>
      <w:rPr>
        <w:rFonts w:ascii="Palatino Linotype" w:eastAsia="Palatino Linotype" w:hAnsi="Palatino Linotype" w:cs="Palatino Linotype"/>
        <w:b/>
        <w:color w:val="000000"/>
        <w:sz w:val="20"/>
        <w:szCs w:val="20"/>
      </w:rPr>
      <w:fldChar w:fldCharType="end"/>
    </w:r>
  </w:p>
  <w:p w14:paraId="19C7C5EE" w14:textId="77777777" w:rsidR="00881541" w:rsidRDefault="0088154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2EF4D" w14:textId="77777777" w:rsidR="00570B3E" w:rsidRDefault="00570B3E">
      <w:r>
        <w:separator/>
      </w:r>
    </w:p>
  </w:footnote>
  <w:footnote w:type="continuationSeparator" w:id="0">
    <w:p w14:paraId="227A461E" w14:textId="77777777" w:rsidR="00570B3E" w:rsidRDefault="00570B3E">
      <w:r>
        <w:continuationSeparator/>
      </w:r>
    </w:p>
  </w:footnote>
  <w:footnote w:id="1">
    <w:p w14:paraId="5FFFF4BA" w14:textId="77777777" w:rsidR="00714E10" w:rsidRPr="0009155F" w:rsidRDefault="00714E10" w:rsidP="0009155F">
      <w:pPr>
        <w:spacing w:before="120" w:after="120"/>
        <w:jc w:val="both"/>
        <w:rPr>
          <w:rFonts w:ascii="Palatino Linotype" w:eastAsia="Palatino Linotype" w:hAnsi="Palatino Linotype" w:cs="Palatino Linotype"/>
          <w:sz w:val="16"/>
          <w:szCs w:val="16"/>
        </w:rPr>
      </w:pPr>
      <w:r w:rsidRPr="0009155F">
        <w:rPr>
          <w:rFonts w:ascii="Palatino Linotype" w:hAnsi="Palatino Linotype"/>
          <w:sz w:val="16"/>
          <w:szCs w:val="16"/>
          <w:vertAlign w:val="superscript"/>
        </w:rPr>
        <w:footnoteRef/>
      </w:r>
      <w:r w:rsidRPr="0009155F">
        <w:rPr>
          <w:rFonts w:ascii="Palatino Linotype" w:eastAsia="Palatino Linotype" w:hAnsi="Palatino Linotype" w:cs="Palatino Linotype"/>
          <w:sz w:val="16"/>
          <w:szCs w:val="16"/>
        </w:rPr>
        <w:t xml:space="preserve"> CIENFUEGOS SALGADO David. El Derecho de Petición en México. Ed. Instituto de Investigaciones Jurídica UNAM. México 2004. p. 31</w:t>
      </w:r>
    </w:p>
  </w:footnote>
  <w:footnote w:id="2">
    <w:p w14:paraId="795C6A22" w14:textId="77777777" w:rsidR="00714E10" w:rsidRPr="0009155F" w:rsidRDefault="00714E10" w:rsidP="0009155F">
      <w:pPr>
        <w:spacing w:before="120" w:after="120"/>
        <w:jc w:val="both"/>
        <w:rPr>
          <w:rFonts w:ascii="Palatino Linotype" w:eastAsia="Palatino Linotype" w:hAnsi="Palatino Linotype" w:cs="Palatino Linotype"/>
          <w:sz w:val="16"/>
          <w:szCs w:val="16"/>
        </w:rPr>
      </w:pPr>
      <w:r w:rsidRPr="0009155F">
        <w:rPr>
          <w:rFonts w:ascii="Palatino Linotype" w:hAnsi="Palatino Linotype"/>
          <w:sz w:val="16"/>
          <w:szCs w:val="16"/>
          <w:vertAlign w:val="superscript"/>
        </w:rPr>
        <w:footnoteRef/>
      </w:r>
      <w:r w:rsidRPr="0009155F">
        <w:rPr>
          <w:rFonts w:ascii="Palatino Linotype" w:eastAsia="Palatino Linotype" w:hAnsi="Palatino Linotype" w:cs="Palatino Linotype"/>
          <w:sz w:val="16"/>
          <w:szCs w:val="16"/>
        </w:rPr>
        <w:t xml:space="preserve"> Carbonell, M. (2004). Los Derechos Fundamentales (Primera Edición ed.), México: Instituto de investigaciones Jurídicas.</w:t>
      </w:r>
    </w:p>
  </w:footnote>
  <w:footnote w:id="3">
    <w:p w14:paraId="6960A4D1" w14:textId="77777777" w:rsidR="00714E10" w:rsidRPr="0009155F" w:rsidRDefault="00714E10" w:rsidP="0009155F">
      <w:pPr>
        <w:spacing w:before="120" w:after="120"/>
        <w:jc w:val="both"/>
        <w:rPr>
          <w:rFonts w:ascii="Palatino Linotype" w:eastAsia="Palatino Linotype" w:hAnsi="Palatino Linotype" w:cs="Palatino Linotype"/>
          <w:color w:val="000000"/>
          <w:sz w:val="16"/>
          <w:szCs w:val="16"/>
        </w:rPr>
      </w:pPr>
      <w:r w:rsidRPr="0009155F">
        <w:rPr>
          <w:rFonts w:ascii="Palatino Linotype" w:hAnsi="Palatino Linotype"/>
          <w:sz w:val="16"/>
          <w:szCs w:val="16"/>
          <w:vertAlign w:val="superscript"/>
        </w:rPr>
        <w:footnoteRef/>
      </w:r>
      <w:r w:rsidRPr="0009155F">
        <w:rPr>
          <w:rFonts w:ascii="Palatino Linotype" w:eastAsia="Palatino Linotype" w:hAnsi="Palatino Linotype" w:cs="Palatino Linotype"/>
          <w:color w:val="000000"/>
          <w:sz w:val="16"/>
          <w:szCs w:val="16"/>
        </w:rPr>
        <w:t xml:space="preserve"> VILLANUEVA VILLANUEVA Ernesto, Derecho de la Información, Ed, Porrúa S.A., México. 2006, pág.270.</w:t>
      </w:r>
    </w:p>
  </w:footnote>
  <w:footnote w:id="4">
    <w:p w14:paraId="7BC2898C" w14:textId="77777777" w:rsidR="00881541" w:rsidRPr="0009155F" w:rsidRDefault="00732F21" w:rsidP="0009155F">
      <w:pPr>
        <w:pBdr>
          <w:top w:val="nil"/>
          <w:left w:val="nil"/>
          <w:bottom w:val="nil"/>
          <w:right w:val="nil"/>
          <w:between w:val="nil"/>
        </w:pBdr>
        <w:spacing w:before="120" w:after="120"/>
        <w:ind w:left="720" w:hanging="720"/>
        <w:jc w:val="both"/>
        <w:rPr>
          <w:rFonts w:ascii="Palatino Linotype" w:eastAsia="Palatino Linotype" w:hAnsi="Palatino Linotype" w:cs="Palatino Linotype"/>
          <w:color w:val="000000"/>
          <w:sz w:val="16"/>
          <w:szCs w:val="16"/>
        </w:rPr>
      </w:pPr>
      <w:r w:rsidRPr="0009155F">
        <w:rPr>
          <w:rFonts w:ascii="Palatino Linotype" w:hAnsi="Palatino Linotype"/>
          <w:sz w:val="16"/>
          <w:szCs w:val="16"/>
          <w:vertAlign w:val="superscript"/>
        </w:rPr>
        <w:footnoteRef/>
      </w:r>
      <w:r w:rsidRPr="0009155F">
        <w:rPr>
          <w:rFonts w:ascii="Palatino Linotype" w:eastAsia="Palatino Linotype" w:hAnsi="Palatino Linotype" w:cs="Palatino Linotype"/>
          <w:color w:val="000000"/>
          <w:sz w:val="16"/>
          <w:szCs w:val="16"/>
        </w:rPr>
        <w:t xml:space="preserve"> “</w:t>
      </w:r>
      <w:r w:rsidRPr="0009155F">
        <w:rPr>
          <w:rFonts w:ascii="Palatino Linotype" w:eastAsia="Palatino Linotype" w:hAnsi="Palatino Linotype" w:cs="Palatino Linotype"/>
          <w:b/>
          <w:color w:val="000000"/>
          <w:sz w:val="16"/>
          <w:szCs w:val="16"/>
        </w:rPr>
        <w:t>Artículo 185.</w:t>
      </w:r>
      <w:r w:rsidRPr="0009155F">
        <w:rPr>
          <w:rFonts w:ascii="Palatino Linotype" w:eastAsia="Palatino Linotype" w:hAnsi="Palatino Linotype" w:cs="Palatino Linotype"/>
          <w:color w:val="000000"/>
          <w:sz w:val="16"/>
          <w:szCs w:val="16"/>
        </w:rPr>
        <w:t xml:space="preserve"> El Instituto resolverá el recurso de revisión conforme a lo siguiente: (…)</w:t>
      </w:r>
    </w:p>
    <w:p w14:paraId="7123AD41" w14:textId="77777777" w:rsidR="00881541" w:rsidRPr="0009155F" w:rsidRDefault="00732F21" w:rsidP="0009155F">
      <w:pPr>
        <w:pBdr>
          <w:top w:val="nil"/>
          <w:left w:val="nil"/>
          <w:bottom w:val="nil"/>
          <w:right w:val="nil"/>
          <w:between w:val="nil"/>
        </w:pBdr>
        <w:spacing w:before="120" w:after="120"/>
        <w:jc w:val="both"/>
        <w:rPr>
          <w:rFonts w:ascii="Palatino Linotype" w:eastAsia="Palatino Linotype" w:hAnsi="Palatino Linotype" w:cs="Palatino Linotype"/>
          <w:color w:val="000000"/>
          <w:sz w:val="16"/>
          <w:szCs w:val="16"/>
        </w:rPr>
      </w:pPr>
      <w:r w:rsidRPr="0009155F">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45DEC" w14:textId="77777777" w:rsidR="00881541" w:rsidRDefault="00732F21">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7224D042" wp14:editId="09565FE1">
          <wp:simplePos x="0" y="0"/>
          <wp:positionH relativeFrom="column">
            <wp:posOffset>-1080130</wp:posOffset>
          </wp:positionH>
          <wp:positionV relativeFrom="paragraph">
            <wp:posOffset>-488310</wp:posOffset>
          </wp:positionV>
          <wp:extent cx="7809865" cy="10165715"/>
          <wp:effectExtent l="0" t="0" r="0" b="0"/>
          <wp:wrapNone/>
          <wp:docPr id="21177368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ff5"/>
      <w:tblW w:w="5953" w:type="dxa"/>
      <w:tblInd w:w="3261" w:type="dxa"/>
      <w:tblLayout w:type="fixed"/>
      <w:tblLook w:val="0400" w:firstRow="0" w:lastRow="0" w:firstColumn="0" w:lastColumn="0" w:noHBand="0" w:noVBand="1"/>
    </w:tblPr>
    <w:tblGrid>
      <w:gridCol w:w="2489"/>
      <w:gridCol w:w="3464"/>
    </w:tblGrid>
    <w:tr w:rsidR="00881541" w14:paraId="1E6D0720" w14:textId="77777777">
      <w:tc>
        <w:tcPr>
          <w:tcW w:w="2489" w:type="dxa"/>
          <w:shd w:val="clear" w:color="auto" w:fill="auto"/>
        </w:tcPr>
        <w:p w14:paraId="2823E1DB" w14:textId="77777777" w:rsidR="00881541" w:rsidRDefault="00732F2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039C4E1B" w14:textId="77777777" w:rsidR="00881541" w:rsidRDefault="005A2AFB" w:rsidP="005A2AF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03944</w:t>
          </w:r>
          <w:r w:rsidR="00732F21">
            <w:rPr>
              <w:rFonts w:ascii="Palatino Linotype" w:eastAsia="Palatino Linotype" w:hAnsi="Palatino Linotype" w:cs="Palatino Linotype"/>
              <w:b/>
              <w:sz w:val="22"/>
              <w:szCs w:val="22"/>
            </w:rPr>
            <w:t>/INFOEM/IP/RR/2023</w:t>
          </w:r>
        </w:p>
      </w:tc>
    </w:tr>
    <w:tr w:rsidR="00881541" w14:paraId="2EC377B4" w14:textId="77777777">
      <w:trPr>
        <w:trHeight w:val="228"/>
      </w:trPr>
      <w:tc>
        <w:tcPr>
          <w:tcW w:w="2489" w:type="dxa"/>
          <w:shd w:val="clear" w:color="auto" w:fill="auto"/>
          <w:vAlign w:val="center"/>
        </w:tcPr>
        <w:p w14:paraId="57B71BA2" w14:textId="77777777" w:rsidR="00881541" w:rsidRDefault="00732F2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26ABFADB" w14:textId="77777777" w:rsidR="00881541" w:rsidRDefault="005A2AFB">
          <w:pPr>
            <w:ind w:left="-45" w:right="176"/>
            <w:jc w:val="both"/>
            <w:rPr>
              <w:rFonts w:ascii="Palatino Linotype" w:eastAsia="Palatino Linotype" w:hAnsi="Palatino Linotype" w:cs="Palatino Linotype"/>
              <w:b/>
              <w:sz w:val="22"/>
              <w:szCs w:val="22"/>
            </w:rPr>
          </w:pPr>
          <w:r w:rsidRPr="005A2AFB">
            <w:rPr>
              <w:rFonts w:ascii="Palatino Linotype" w:eastAsia="Palatino Linotype" w:hAnsi="Palatino Linotype" w:cs="Palatino Linotype"/>
              <w:b/>
              <w:sz w:val="22"/>
              <w:szCs w:val="22"/>
            </w:rPr>
            <w:t>Ayuntamiento de Cuautitlán</w:t>
          </w:r>
        </w:p>
      </w:tc>
    </w:tr>
    <w:tr w:rsidR="00881541" w14:paraId="22608F2F" w14:textId="77777777">
      <w:tc>
        <w:tcPr>
          <w:tcW w:w="2489" w:type="dxa"/>
          <w:shd w:val="clear" w:color="auto" w:fill="auto"/>
          <w:vAlign w:val="center"/>
        </w:tcPr>
        <w:p w14:paraId="1BD40D8F" w14:textId="77777777" w:rsidR="00881541" w:rsidRDefault="00732F2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3118E045" w14:textId="77777777" w:rsidR="00881541" w:rsidRDefault="00732F2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D61C8ED" w14:textId="77777777" w:rsidR="00881541" w:rsidRDefault="00732F21">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6CB80" w14:textId="77777777" w:rsidR="00881541" w:rsidRDefault="00881541">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ffff4"/>
      <w:tblW w:w="5670" w:type="dxa"/>
      <w:tblInd w:w="3261" w:type="dxa"/>
      <w:tblLayout w:type="fixed"/>
      <w:tblLook w:val="0400" w:firstRow="0" w:lastRow="0" w:firstColumn="0" w:lastColumn="0" w:noHBand="0" w:noVBand="1"/>
    </w:tblPr>
    <w:tblGrid>
      <w:gridCol w:w="2551"/>
      <w:gridCol w:w="3119"/>
    </w:tblGrid>
    <w:tr w:rsidR="00881541" w14:paraId="27F2A612" w14:textId="77777777">
      <w:tc>
        <w:tcPr>
          <w:tcW w:w="2551" w:type="dxa"/>
          <w:shd w:val="clear" w:color="auto" w:fill="auto"/>
          <w:vAlign w:val="center"/>
        </w:tcPr>
        <w:p w14:paraId="3FF9A1BA" w14:textId="77777777" w:rsidR="00881541" w:rsidRDefault="00732F2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66BE2732" w14:textId="77777777" w:rsidR="00881541" w:rsidRDefault="00732F21" w:rsidP="005A2AFB">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5A2AFB">
            <w:rPr>
              <w:rFonts w:ascii="Palatino Linotype" w:eastAsia="Palatino Linotype" w:hAnsi="Palatino Linotype" w:cs="Palatino Linotype"/>
              <w:b/>
              <w:sz w:val="22"/>
              <w:szCs w:val="22"/>
            </w:rPr>
            <w:t>3944</w:t>
          </w:r>
          <w:r>
            <w:rPr>
              <w:rFonts w:ascii="Palatino Linotype" w:eastAsia="Palatino Linotype" w:hAnsi="Palatino Linotype" w:cs="Palatino Linotype"/>
              <w:b/>
              <w:sz w:val="22"/>
              <w:szCs w:val="22"/>
            </w:rPr>
            <w:t>/INFOEM/IP/RR/2023</w:t>
          </w:r>
        </w:p>
      </w:tc>
    </w:tr>
    <w:tr w:rsidR="00881541" w14:paraId="21983184" w14:textId="77777777">
      <w:trPr>
        <w:trHeight w:val="130"/>
      </w:trPr>
      <w:tc>
        <w:tcPr>
          <w:tcW w:w="2551" w:type="dxa"/>
          <w:shd w:val="clear" w:color="auto" w:fill="auto"/>
          <w:vAlign w:val="center"/>
        </w:tcPr>
        <w:p w14:paraId="22D9D283" w14:textId="77777777" w:rsidR="00881541" w:rsidRDefault="00732F2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196DBA7E" w14:textId="76A13C33" w:rsidR="00881541" w:rsidRDefault="00D3468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 XXXXXX</w:t>
          </w:r>
          <w:r w:rsidR="00732F21">
            <w:rPr>
              <w:noProof/>
              <w:lang w:val="es-MX"/>
            </w:rPr>
            <w:drawing>
              <wp:anchor distT="0" distB="0" distL="0" distR="0" simplePos="0" relativeHeight="251659264" behindDoc="1" locked="0" layoutInCell="1" hidden="0" allowOverlap="1" wp14:anchorId="51A8DD6E" wp14:editId="5643A29F">
                <wp:simplePos x="0" y="0"/>
                <wp:positionH relativeFrom="column">
                  <wp:posOffset>-4838699</wp:posOffset>
                </wp:positionH>
                <wp:positionV relativeFrom="paragraph">
                  <wp:posOffset>-393064</wp:posOffset>
                </wp:positionV>
                <wp:extent cx="7809865" cy="10165715"/>
                <wp:effectExtent l="0" t="0" r="0" b="0"/>
                <wp:wrapNone/>
                <wp:docPr id="21177368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c>
    </w:tr>
    <w:tr w:rsidR="00881541" w14:paraId="7A66EBA0" w14:textId="77777777">
      <w:trPr>
        <w:trHeight w:val="228"/>
      </w:trPr>
      <w:tc>
        <w:tcPr>
          <w:tcW w:w="2551" w:type="dxa"/>
          <w:shd w:val="clear" w:color="auto" w:fill="auto"/>
          <w:vAlign w:val="center"/>
        </w:tcPr>
        <w:p w14:paraId="66B06234" w14:textId="77777777" w:rsidR="00881541" w:rsidRDefault="00732F2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17B44926" w14:textId="77777777" w:rsidR="00881541" w:rsidRDefault="005A2AFB">
          <w:pPr>
            <w:ind w:left="-45" w:right="176"/>
            <w:jc w:val="both"/>
            <w:rPr>
              <w:rFonts w:ascii="Palatino Linotype" w:eastAsia="Palatino Linotype" w:hAnsi="Palatino Linotype" w:cs="Palatino Linotype"/>
              <w:b/>
              <w:sz w:val="22"/>
              <w:szCs w:val="22"/>
            </w:rPr>
          </w:pPr>
          <w:r w:rsidRPr="005A2AFB">
            <w:rPr>
              <w:rFonts w:ascii="Palatino Linotype" w:eastAsia="Palatino Linotype" w:hAnsi="Palatino Linotype" w:cs="Palatino Linotype"/>
              <w:b/>
              <w:sz w:val="22"/>
              <w:szCs w:val="22"/>
            </w:rPr>
            <w:t>Ayuntamiento de Cuautitlán</w:t>
          </w:r>
        </w:p>
      </w:tc>
    </w:tr>
    <w:tr w:rsidR="00881541" w14:paraId="55EDB2A8" w14:textId="77777777">
      <w:tc>
        <w:tcPr>
          <w:tcW w:w="2551" w:type="dxa"/>
          <w:shd w:val="clear" w:color="auto" w:fill="auto"/>
          <w:vAlign w:val="center"/>
        </w:tcPr>
        <w:p w14:paraId="596A5B80" w14:textId="77777777" w:rsidR="00881541" w:rsidRDefault="00732F2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6045196F" w14:textId="77777777" w:rsidR="00881541" w:rsidRDefault="00732F21">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AEBB020" w14:textId="77777777" w:rsidR="00881541" w:rsidRDefault="00881541">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B55F87"/>
    <w:multiLevelType w:val="multilevel"/>
    <w:tmpl w:val="1C0EC39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7D5A3E74"/>
    <w:multiLevelType w:val="multilevel"/>
    <w:tmpl w:val="4006973A"/>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541"/>
    <w:rsid w:val="0000292F"/>
    <w:rsid w:val="00022448"/>
    <w:rsid w:val="00034B7C"/>
    <w:rsid w:val="00054B5E"/>
    <w:rsid w:val="000552A2"/>
    <w:rsid w:val="00067650"/>
    <w:rsid w:val="000805F0"/>
    <w:rsid w:val="000857B7"/>
    <w:rsid w:val="0009155F"/>
    <w:rsid w:val="000D1ADD"/>
    <w:rsid w:val="000F569F"/>
    <w:rsid w:val="001008C6"/>
    <w:rsid w:val="0013332D"/>
    <w:rsid w:val="0018792F"/>
    <w:rsid w:val="00192620"/>
    <w:rsid w:val="00193C2E"/>
    <w:rsid w:val="00193C8C"/>
    <w:rsid w:val="001A3289"/>
    <w:rsid w:val="001A6D7B"/>
    <w:rsid w:val="00221B88"/>
    <w:rsid w:val="00230138"/>
    <w:rsid w:val="00252A56"/>
    <w:rsid w:val="002555E9"/>
    <w:rsid w:val="00271E69"/>
    <w:rsid w:val="002B7A3C"/>
    <w:rsid w:val="00300FE3"/>
    <w:rsid w:val="00317BAF"/>
    <w:rsid w:val="00324BFF"/>
    <w:rsid w:val="00342BE1"/>
    <w:rsid w:val="00346405"/>
    <w:rsid w:val="00354D1F"/>
    <w:rsid w:val="003621BC"/>
    <w:rsid w:val="003652E7"/>
    <w:rsid w:val="0037083F"/>
    <w:rsid w:val="00386698"/>
    <w:rsid w:val="00386E9C"/>
    <w:rsid w:val="003A3A98"/>
    <w:rsid w:val="003B01BA"/>
    <w:rsid w:val="003B145C"/>
    <w:rsid w:val="003B20C1"/>
    <w:rsid w:val="003C6CAB"/>
    <w:rsid w:val="003D5CD3"/>
    <w:rsid w:val="003E1C88"/>
    <w:rsid w:val="003E7E9F"/>
    <w:rsid w:val="004025EF"/>
    <w:rsid w:val="004048A5"/>
    <w:rsid w:val="00413580"/>
    <w:rsid w:val="004413F7"/>
    <w:rsid w:val="00462851"/>
    <w:rsid w:val="0047299C"/>
    <w:rsid w:val="00484342"/>
    <w:rsid w:val="00485EF2"/>
    <w:rsid w:val="004B0B7E"/>
    <w:rsid w:val="004B4EBA"/>
    <w:rsid w:val="004E7D55"/>
    <w:rsid w:val="00501474"/>
    <w:rsid w:val="00502B22"/>
    <w:rsid w:val="00510D52"/>
    <w:rsid w:val="005253F4"/>
    <w:rsid w:val="00527CAE"/>
    <w:rsid w:val="00532AAF"/>
    <w:rsid w:val="00534F1F"/>
    <w:rsid w:val="00546E9B"/>
    <w:rsid w:val="00560B11"/>
    <w:rsid w:val="00560CC7"/>
    <w:rsid w:val="005676AB"/>
    <w:rsid w:val="0057076E"/>
    <w:rsid w:val="00570B3E"/>
    <w:rsid w:val="00575E37"/>
    <w:rsid w:val="0058081C"/>
    <w:rsid w:val="0058260E"/>
    <w:rsid w:val="00585BB1"/>
    <w:rsid w:val="005952EF"/>
    <w:rsid w:val="005A2AFB"/>
    <w:rsid w:val="005B0967"/>
    <w:rsid w:val="005B1350"/>
    <w:rsid w:val="005E4637"/>
    <w:rsid w:val="005F73FC"/>
    <w:rsid w:val="00644D34"/>
    <w:rsid w:val="00652986"/>
    <w:rsid w:val="0067286B"/>
    <w:rsid w:val="0069063D"/>
    <w:rsid w:val="00697748"/>
    <w:rsid w:val="006B7ABA"/>
    <w:rsid w:val="006D0D62"/>
    <w:rsid w:val="006E097C"/>
    <w:rsid w:val="006F0545"/>
    <w:rsid w:val="00713BD2"/>
    <w:rsid w:val="00714E10"/>
    <w:rsid w:val="00717517"/>
    <w:rsid w:val="00732F21"/>
    <w:rsid w:val="007336C3"/>
    <w:rsid w:val="00740373"/>
    <w:rsid w:val="00772C2B"/>
    <w:rsid w:val="007801B8"/>
    <w:rsid w:val="007868DD"/>
    <w:rsid w:val="0079707C"/>
    <w:rsid w:val="007F3343"/>
    <w:rsid w:val="007F7F8F"/>
    <w:rsid w:val="008074E6"/>
    <w:rsid w:val="00826133"/>
    <w:rsid w:val="008350DE"/>
    <w:rsid w:val="00881541"/>
    <w:rsid w:val="00886018"/>
    <w:rsid w:val="008A53AC"/>
    <w:rsid w:val="008B305C"/>
    <w:rsid w:val="008F2230"/>
    <w:rsid w:val="00950EF3"/>
    <w:rsid w:val="0095399C"/>
    <w:rsid w:val="00960710"/>
    <w:rsid w:val="00970B2C"/>
    <w:rsid w:val="0097299B"/>
    <w:rsid w:val="009961CA"/>
    <w:rsid w:val="009E32FC"/>
    <w:rsid w:val="00A02C7B"/>
    <w:rsid w:val="00A21D7F"/>
    <w:rsid w:val="00A229B3"/>
    <w:rsid w:val="00A26E0A"/>
    <w:rsid w:val="00A419F8"/>
    <w:rsid w:val="00A437DE"/>
    <w:rsid w:val="00A74231"/>
    <w:rsid w:val="00A7638E"/>
    <w:rsid w:val="00A80775"/>
    <w:rsid w:val="00A840C7"/>
    <w:rsid w:val="00A85F16"/>
    <w:rsid w:val="00A87968"/>
    <w:rsid w:val="00A9559E"/>
    <w:rsid w:val="00AB05D7"/>
    <w:rsid w:val="00AB3507"/>
    <w:rsid w:val="00AD44B7"/>
    <w:rsid w:val="00AF0C82"/>
    <w:rsid w:val="00AF0D62"/>
    <w:rsid w:val="00AF701A"/>
    <w:rsid w:val="00B06CF0"/>
    <w:rsid w:val="00B44366"/>
    <w:rsid w:val="00B4585D"/>
    <w:rsid w:val="00B520FD"/>
    <w:rsid w:val="00B813E5"/>
    <w:rsid w:val="00B91B7E"/>
    <w:rsid w:val="00BB2BD0"/>
    <w:rsid w:val="00BB2EB8"/>
    <w:rsid w:val="00BB30A1"/>
    <w:rsid w:val="00BB7BA2"/>
    <w:rsid w:val="00BC0FB5"/>
    <w:rsid w:val="00BC2095"/>
    <w:rsid w:val="00BC5A7B"/>
    <w:rsid w:val="00BE67D9"/>
    <w:rsid w:val="00C24B15"/>
    <w:rsid w:val="00C32E49"/>
    <w:rsid w:val="00C33CA3"/>
    <w:rsid w:val="00C41B71"/>
    <w:rsid w:val="00C56CCC"/>
    <w:rsid w:val="00CB7B73"/>
    <w:rsid w:val="00CD542B"/>
    <w:rsid w:val="00CE5981"/>
    <w:rsid w:val="00CF0A16"/>
    <w:rsid w:val="00D10E89"/>
    <w:rsid w:val="00D12B45"/>
    <w:rsid w:val="00D264F1"/>
    <w:rsid w:val="00D32675"/>
    <w:rsid w:val="00D34686"/>
    <w:rsid w:val="00D36371"/>
    <w:rsid w:val="00D42FA8"/>
    <w:rsid w:val="00D77415"/>
    <w:rsid w:val="00DB7CD7"/>
    <w:rsid w:val="00DC1AF6"/>
    <w:rsid w:val="00DE3F11"/>
    <w:rsid w:val="00DE4731"/>
    <w:rsid w:val="00DE6D58"/>
    <w:rsid w:val="00E10D60"/>
    <w:rsid w:val="00E16789"/>
    <w:rsid w:val="00E16FC6"/>
    <w:rsid w:val="00E6482E"/>
    <w:rsid w:val="00E73E1B"/>
    <w:rsid w:val="00EB1645"/>
    <w:rsid w:val="00EB5658"/>
    <w:rsid w:val="00EF09AC"/>
    <w:rsid w:val="00EF5A72"/>
    <w:rsid w:val="00F13691"/>
    <w:rsid w:val="00F23449"/>
    <w:rsid w:val="00F40C9D"/>
    <w:rsid w:val="00F41099"/>
    <w:rsid w:val="00F47A13"/>
    <w:rsid w:val="00F67068"/>
    <w:rsid w:val="00F908DD"/>
    <w:rsid w:val="00F94D99"/>
    <w:rsid w:val="00FA0815"/>
    <w:rsid w:val="00FC0515"/>
    <w:rsid w:val="00FD278D"/>
    <w:rsid w:val="00FF0E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DD789"/>
  <w15:docId w15:val="{C75EEB23-4EC3-4AC3-A824-A383B160E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C2B"/>
    <w:rPr>
      <w:lang w:val="es-ES"/>
    </w:rPr>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lang w:val="es-MX"/>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lang w:val="es-MX"/>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MX"/>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rPr>
      <w:lang w:val="es-MX"/>
    </w:r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rPr>
      <w:lang w:val="es-MX"/>
    </w:r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rPr>
      <w:lang w:val="es-MX"/>
    </w:r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lang w:val="es-MX"/>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rPr>
      <w:lang w:val="es-MX"/>
    </w:rPr>
  </w:style>
  <w:style w:type="paragraph" w:styleId="Lista2">
    <w:name w:val="List 2"/>
    <w:basedOn w:val="Normal"/>
    <w:uiPriority w:val="99"/>
    <w:unhideWhenUsed/>
    <w:rsid w:val="00603D72"/>
    <w:pPr>
      <w:ind w:left="566" w:hanging="283"/>
      <w:contextualSpacing/>
    </w:pPr>
    <w:rPr>
      <w:lang w:val="es-MX"/>
    </w:rPr>
  </w:style>
  <w:style w:type="paragraph" w:styleId="Lista3">
    <w:name w:val="List 3"/>
    <w:basedOn w:val="Normal"/>
    <w:uiPriority w:val="99"/>
    <w:unhideWhenUsed/>
    <w:rsid w:val="00603D72"/>
    <w:pPr>
      <w:ind w:left="849" w:hanging="283"/>
      <w:contextualSpacing/>
    </w:pPr>
    <w:rPr>
      <w:lang w:val="es-MX"/>
    </w:rPr>
  </w:style>
  <w:style w:type="paragraph" w:styleId="Listaconvietas3">
    <w:name w:val="List Bullet 3"/>
    <w:basedOn w:val="Normal"/>
    <w:uiPriority w:val="99"/>
    <w:unhideWhenUsed/>
    <w:rsid w:val="00603D72"/>
    <w:pPr>
      <w:numPr>
        <w:numId w:val="1"/>
      </w:numPr>
      <w:contextualSpacing/>
    </w:pPr>
    <w:rPr>
      <w:lang w:val="es-MX"/>
    </w:rPr>
  </w:style>
  <w:style w:type="paragraph" w:styleId="Continuarlista">
    <w:name w:val="List Continue"/>
    <w:basedOn w:val="Normal"/>
    <w:uiPriority w:val="99"/>
    <w:unhideWhenUsed/>
    <w:rsid w:val="00603D72"/>
    <w:pPr>
      <w:spacing w:after="120"/>
      <w:ind w:left="283"/>
      <w:contextualSpacing/>
    </w:pPr>
    <w:rPr>
      <w:lang w:val="es-MX"/>
    </w:rPr>
  </w:style>
  <w:style w:type="paragraph" w:styleId="Continuarlista2">
    <w:name w:val="List Continue 2"/>
    <w:basedOn w:val="Normal"/>
    <w:uiPriority w:val="99"/>
    <w:unhideWhenUsed/>
    <w:rsid w:val="00603D72"/>
    <w:pPr>
      <w:spacing w:after="120"/>
      <w:ind w:left="566"/>
      <w:contextualSpacing/>
    </w:pPr>
    <w:rPr>
      <w:lang w:val="es-MX"/>
    </w:rPr>
  </w:style>
  <w:style w:type="paragraph" w:styleId="Textoindependiente">
    <w:name w:val="Body Text"/>
    <w:basedOn w:val="Normal"/>
    <w:link w:val="TextoindependienteCar"/>
    <w:uiPriority w:val="99"/>
    <w:unhideWhenUsed/>
    <w:rsid w:val="00603D72"/>
    <w:pPr>
      <w:spacing w:after="120"/>
    </w:pPr>
    <w:rPr>
      <w:lang w:val="es-MX"/>
    </w:r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rPr>
      <w:lang w:val="es-MX"/>
    </w:r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lang w:val="es-MX"/>
    </w:rPr>
  </w:style>
  <w:style w:type="table" w:customStyle="1" w:styleId="a">
    <w:basedOn w:val="TableNormal3"/>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paragraph" w:customStyle="1" w:styleId="Citas">
    <w:name w:val="Citas"/>
    <w:basedOn w:val="Normal"/>
    <w:qFormat/>
    <w:rsid w:val="003B5C34"/>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a3">
    <w:basedOn w:val="TableNormal3"/>
    <w:tblPr>
      <w:tblStyleRowBandSize w:val="1"/>
      <w:tblStyleColBandSize w:val="1"/>
      <w:tblCellMar>
        <w:left w:w="108" w:type="dxa"/>
        <w:right w:w="108" w:type="dxa"/>
      </w:tblCellMar>
    </w:tblPr>
  </w:style>
  <w:style w:type="table" w:customStyle="1" w:styleId="a4">
    <w:basedOn w:val="TableNormal3"/>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3"/>
    <w:tblPr>
      <w:tblStyleRowBandSize w:val="1"/>
      <w:tblStyleColBandSize w:val="1"/>
      <w:tblCellMar>
        <w:left w:w="115" w:type="dxa"/>
        <w:right w:w="115" w:type="dxa"/>
      </w:tblCellMar>
    </w:tblPr>
  </w:style>
  <w:style w:type="table" w:customStyle="1" w:styleId="a6">
    <w:basedOn w:val="TableNormal3"/>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08" w:type="dxa"/>
        <w:right w:w="108" w:type="dxa"/>
      </w:tblCellMar>
    </w:tblPr>
  </w:style>
  <w:style w:type="table" w:customStyle="1" w:styleId="a8">
    <w:basedOn w:val="TableNormal2"/>
    <w:tblPr>
      <w:tblStyleRowBandSize w:val="1"/>
      <w:tblStyleColBandSize w:val="1"/>
      <w:tblCellMar>
        <w:left w:w="108" w:type="dxa"/>
        <w:right w:w="108" w:type="dxa"/>
      </w:tblCellMar>
    </w:tblPr>
  </w:style>
  <w:style w:type="table" w:customStyle="1" w:styleId="a9">
    <w:basedOn w:val="TableNormal2"/>
    <w:tblPr>
      <w:tblStyleRowBandSize w:val="1"/>
      <w:tblStyleColBandSize w:val="1"/>
      <w:tblCellMar>
        <w:left w:w="108" w:type="dxa"/>
        <w:right w:w="108" w:type="dxa"/>
      </w:tblCellMar>
    </w:tblPr>
  </w:style>
  <w:style w:type="table" w:customStyle="1" w:styleId="aa">
    <w:basedOn w:val="TableNormal2"/>
    <w:tblPr>
      <w:tblStyleRowBandSize w:val="1"/>
      <w:tblStyleColBandSize w:val="1"/>
      <w:tblCellMar>
        <w:left w:w="108" w:type="dxa"/>
        <w:right w:w="108" w:type="dxa"/>
      </w:tblCellMar>
    </w:tblPr>
  </w:style>
  <w:style w:type="table" w:customStyle="1" w:styleId="ab">
    <w:basedOn w:val="TableNormal2"/>
    <w:tblPr>
      <w:tblStyleRowBandSize w:val="1"/>
      <w:tblStyleColBandSize w:val="1"/>
      <w:tblCellMar>
        <w:left w:w="108" w:type="dxa"/>
        <w:right w:w="108" w:type="dxa"/>
      </w:tblCellMar>
    </w:tblPr>
  </w:style>
  <w:style w:type="table" w:customStyle="1" w:styleId="ac">
    <w:basedOn w:val="TableNormal2"/>
    <w:tblPr>
      <w:tblStyleRowBandSize w:val="1"/>
      <w:tblStyleColBandSize w:val="1"/>
      <w:tblCellMar>
        <w:left w:w="108" w:type="dxa"/>
        <w:right w:w="108" w:type="dxa"/>
      </w:tblCellMar>
    </w:tblPr>
  </w:style>
  <w:style w:type="table" w:customStyle="1" w:styleId="ad">
    <w:basedOn w:val="TableNormal2"/>
    <w:tblPr>
      <w:tblStyleRowBandSize w:val="1"/>
      <w:tblStyleColBandSize w:val="1"/>
      <w:tblCellMar>
        <w:left w:w="108" w:type="dxa"/>
        <w:right w:w="108" w:type="dxa"/>
      </w:tblCellMar>
    </w:tblPr>
  </w:style>
  <w:style w:type="table" w:customStyle="1" w:styleId="ae">
    <w:basedOn w:val="TableNormal2"/>
    <w:tblPr>
      <w:tblStyleRowBandSize w:val="1"/>
      <w:tblStyleColBandSize w:val="1"/>
      <w:tblCellMar>
        <w:left w:w="108" w:type="dxa"/>
        <w:right w:w="108" w:type="dxa"/>
      </w:tblCellMar>
    </w:tblPr>
  </w:style>
  <w:style w:type="table" w:customStyle="1" w:styleId="af">
    <w:basedOn w:val="TableNormal2"/>
    <w:tblPr>
      <w:tblStyleRowBandSize w:val="1"/>
      <w:tblStyleColBandSize w:val="1"/>
      <w:tblCellMar>
        <w:left w:w="108" w:type="dxa"/>
        <w:right w:w="108" w:type="dxa"/>
      </w:tblCellMar>
    </w:tblPr>
  </w:style>
  <w:style w:type="table" w:customStyle="1" w:styleId="af0">
    <w:basedOn w:val="TableNormal2"/>
    <w:tblPr>
      <w:tblStyleRowBandSize w:val="1"/>
      <w:tblStyleColBandSize w:val="1"/>
      <w:tblCellMar>
        <w:left w:w="108" w:type="dxa"/>
        <w:right w:w="108" w:type="dxa"/>
      </w:tblCellMar>
    </w:tblPr>
  </w:style>
  <w:style w:type="table" w:customStyle="1" w:styleId="af1">
    <w:basedOn w:val="TableNormal2"/>
    <w:tblPr>
      <w:tblStyleRowBandSize w:val="1"/>
      <w:tblStyleColBandSize w:val="1"/>
      <w:tblCellMar>
        <w:left w:w="108" w:type="dxa"/>
        <w:right w:w="108" w:type="dxa"/>
      </w:tblCellMar>
    </w:tblPr>
  </w:style>
  <w:style w:type="table" w:customStyle="1" w:styleId="af2">
    <w:basedOn w:val="TableNormal2"/>
    <w:tblPr>
      <w:tblStyleRowBandSize w:val="1"/>
      <w:tblStyleColBandSize w:val="1"/>
      <w:tblCellMar>
        <w:left w:w="108" w:type="dxa"/>
        <w:right w:w="108" w:type="dxa"/>
      </w:tblCellMar>
    </w:tblPr>
  </w:style>
  <w:style w:type="table" w:customStyle="1" w:styleId="af3">
    <w:basedOn w:val="TableNormal2"/>
    <w:tblPr>
      <w:tblStyleRowBandSize w:val="1"/>
      <w:tblStyleColBandSize w:val="1"/>
      <w:tblCellMar>
        <w:left w:w="108" w:type="dxa"/>
        <w:right w:w="108" w:type="dxa"/>
      </w:tblCellMar>
    </w:tblPr>
  </w:style>
  <w:style w:type="table" w:customStyle="1" w:styleId="af4">
    <w:basedOn w:val="TableNormal2"/>
    <w:tblPr>
      <w:tblStyleRowBandSize w:val="1"/>
      <w:tblStyleColBandSize w:val="1"/>
      <w:tblCellMar>
        <w:left w:w="108" w:type="dxa"/>
        <w:right w:w="108" w:type="dxa"/>
      </w:tblCellMar>
    </w:tblPr>
  </w:style>
  <w:style w:type="table" w:customStyle="1" w:styleId="af5">
    <w:basedOn w:val="TableNormal2"/>
    <w:tblPr>
      <w:tblStyleRowBandSize w:val="1"/>
      <w:tblStyleColBandSize w:val="1"/>
      <w:tblCellMar>
        <w:left w:w="108" w:type="dxa"/>
        <w:right w:w="108" w:type="dxa"/>
      </w:tblCellMar>
    </w:tblPr>
  </w:style>
  <w:style w:type="table" w:customStyle="1" w:styleId="af6">
    <w:basedOn w:val="TableNormal2"/>
    <w:tblPr>
      <w:tblStyleRowBandSize w:val="1"/>
      <w:tblStyleColBandSize w:val="1"/>
      <w:tblCellMar>
        <w:left w:w="108" w:type="dxa"/>
        <w:right w:w="108" w:type="dxa"/>
      </w:tblCellMar>
    </w:tblPr>
  </w:style>
  <w:style w:type="table" w:customStyle="1" w:styleId="af7">
    <w:basedOn w:val="TableNormal2"/>
    <w:tblPr>
      <w:tblStyleRowBandSize w:val="1"/>
      <w:tblStyleColBandSize w:val="1"/>
      <w:tblCellMar>
        <w:left w:w="108" w:type="dxa"/>
        <w:right w:w="108" w:type="dxa"/>
      </w:tblCellMar>
    </w:tblPr>
  </w:style>
  <w:style w:type="table" w:customStyle="1" w:styleId="af8">
    <w:basedOn w:val="TableNormal2"/>
    <w:tblPr>
      <w:tblStyleRowBandSize w:val="1"/>
      <w:tblStyleColBandSize w:val="1"/>
      <w:tblCellMar>
        <w:left w:w="108" w:type="dxa"/>
        <w:right w:w="108" w:type="dxa"/>
      </w:tblCellMar>
    </w:tblPr>
  </w:style>
  <w:style w:type="table" w:customStyle="1" w:styleId="af9">
    <w:basedOn w:val="TableNormal2"/>
    <w:tblPr>
      <w:tblStyleRowBandSize w:val="1"/>
      <w:tblStyleColBandSize w:val="1"/>
      <w:tblCellMar>
        <w:left w:w="108" w:type="dxa"/>
        <w:right w:w="108" w:type="dxa"/>
      </w:tblCellMar>
    </w:tblPr>
  </w:style>
  <w:style w:type="table" w:customStyle="1" w:styleId="afa">
    <w:basedOn w:val="TableNormal2"/>
    <w:tblPr>
      <w:tblStyleRowBandSize w:val="1"/>
      <w:tblStyleColBandSize w:val="1"/>
      <w:tblCellMar>
        <w:left w:w="108" w:type="dxa"/>
        <w:right w:w="108" w:type="dxa"/>
      </w:tblCellMar>
    </w:tblPr>
  </w:style>
  <w:style w:type="table" w:customStyle="1" w:styleId="afb">
    <w:basedOn w:val="TableNormal2"/>
    <w:tblPr>
      <w:tblStyleRowBandSize w:val="1"/>
      <w:tblStyleColBandSize w:val="1"/>
      <w:tblCellMar>
        <w:left w:w="108" w:type="dxa"/>
        <w:right w:w="108" w:type="dxa"/>
      </w:tblCellMar>
    </w:tblPr>
  </w:style>
  <w:style w:type="table" w:customStyle="1" w:styleId="afc">
    <w:basedOn w:val="TableNormal2"/>
    <w:tblPr>
      <w:tblStyleRowBandSize w:val="1"/>
      <w:tblStyleColBandSize w:val="1"/>
      <w:tblCellMar>
        <w:left w:w="108" w:type="dxa"/>
        <w:right w:w="108" w:type="dxa"/>
      </w:tblCellMar>
    </w:tblPr>
  </w:style>
  <w:style w:type="table" w:customStyle="1" w:styleId="afd">
    <w:basedOn w:val="TableNormal2"/>
    <w:tblPr>
      <w:tblStyleRowBandSize w:val="1"/>
      <w:tblStyleColBandSize w:val="1"/>
      <w:tblCellMar>
        <w:left w:w="108" w:type="dxa"/>
        <w:right w:w="108" w:type="dxa"/>
      </w:tblCellMar>
    </w:tblPr>
  </w:style>
  <w:style w:type="table" w:customStyle="1" w:styleId="afe">
    <w:basedOn w:val="TableNormal2"/>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
    <w:basedOn w:val="TableNormal2"/>
    <w:tblPr>
      <w:tblStyleRowBandSize w:val="1"/>
      <w:tblStyleColBandSize w:val="1"/>
      <w:tblCellMar>
        <w:left w:w="115" w:type="dxa"/>
        <w:right w:w="115" w:type="dxa"/>
      </w:tblCellMar>
    </w:tblPr>
  </w:style>
  <w:style w:type="table" w:customStyle="1" w:styleId="aff0">
    <w:basedOn w:val="TableNormal2"/>
    <w:tblPr>
      <w:tblStyleRowBandSize w:val="1"/>
      <w:tblStyleColBandSize w:val="1"/>
      <w:tblCellMar>
        <w:left w:w="115" w:type="dxa"/>
        <w:right w:w="115" w:type="dxa"/>
      </w:tblCellMar>
    </w:tblPr>
  </w:style>
  <w:style w:type="table" w:customStyle="1" w:styleId="aff1">
    <w:basedOn w:val="TableNormal1"/>
    <w:tblPr>
      <w:tblStyleRowBandSize w:val="1"/>
      <w:tblStyleColBandSize w:val="1"/>
      <w:tblCellMar>
        <w:left w:w="108" w:type="dxa"/>
        <w:right w:w="108" w:type="dxa"/>
      </w:tblCellMar>
    </w:tblPr>
  </w:style>
  <w:style w:type="table" w:customStyle="1" w:styleId="aff2">
    <w:basedOn w:val="TableNormal1"/>
    <w:tblPr>
      <w:tblStyleRowBandSize w:val="1"/>
      <w:tblStyleColBandSize w:val="1"/>
      <w:tblCellMar>
        <w:left w:w="108" w:type="dxa"/>
        <w:right w:w="108" w:type="dxa"/>
      </w:tblCellMar>
    </w:tblPr>
  </w:style>
  <w:style w:type="table" w:customStyle="1" w:styleId="aff3">
    <w:basedOn w:val="TableNormal1"/>
    <w:tblPr>
      <w:tblStyleRowBandSize w:val="1"/>
      <w:tblStyleColBandSize w:val="1"/>
      <w:tblCellMar>
        <w:left w:w="108" w:type="dxa"/>
        <w:right w:w="108" w:type="dxa"/>
      </w:tblCellMar>
    </w:tblPr>
  </w:style>
  <w:style w:type="table" w:customStyle="1" w:styleId="aff4">
    <w:basedOn w:val="TableNormal1"/>
    <w:tblPr>
      <w:tblStyleRowBandSize w:val="1"/>
      <w:tblStyleColBandSize w:val="1"/>
      <w:tblCellMar>
        <w:left w:w="108" w:type="dxa"/>
        <w:right w:w="108" w:type="dxa"/>
      </w:tblCellMar>
    </w:tblPr>
  </w:style>
  <w:style w:type="table" w:customStyle="1" w:styleId="aff5">
    <w:basedOn w:val="TableNormal1"/>
    <w:tblPr>
      <w:tblStyleRowBandSize w:val="1"/>
      <w:tblStyleColBandSize w:val="1"/>
      <w:tblCellMar>
        <w:left w:w="108" w:type="dxa"/>
        <w:right w:w="108" w:type="dxa"/>
      </w:tblCellMar>
    </w:tblPr>
  </w:style>
  <w:style w:type="table" w:customStyle="1" w:styleId="aff6">
    <w:basedOn w:val="TableNormal1"/>
    <w:tblPr>
      <w:tblStyleRowBandSize w:val="1"/>
      <w:tblStyleColBandSize w:val="1"/>
      <w:tblCellMar>
        <w:left w:w="108" w:type="dxa"/>
        <w:right w:w="108" w:type="dxa"/>
      </w:tblCellMar>
    </w:tblPr>
  </w:style>
  <w:style w:type="table" w:customStyle="1" w:styleId="aff7">
    <w:basedOn w:val="TableNormal1"/>
    <w:tblPr>
      <w:tblStyleRowBandSize w:val="1"/>
      <w:tblStyleColBandSize w:val="1"/>
      <w:tblCellMar>
        <w:left w:w="108" w:type="dxa"/>
        <w:right w:w="108" w:type="dxa"/>
      </w:tblCellMar>
    </w:tblPr>
  </w:style>
  <w:style w:type="table" w:customStyle="1" w:styleId="aff8">
    <w:basedOn w:val="TableNormal1"/>
    <w:tblPr>
      <w:tblStyleRowBandSize w:val="1"/>
      <w:tblStyleColBandSize w:val="1"/>
      <w:tblCellMar>
        <w:left w:w="108" w:type="dxa"/>
        <w:right w:w="108" w:type="dxa"/>
      </w:tblCellMar>
    </w:tblPr>
  </w:style>
  <w:style w:type="table" w:customStyle="1" w:styleId="aff9">
    <w:basedOn w:val="TableNormal1"/>
    <w:tblPr>
      <w:tblStyleRowBandSize w:val="1"/>
      <w:tblStyleColBandSize w:val="1"/>
      <w:tblCellMar>
        <w:left w:w="108" w:type="dxa"/>
        <w:right w:w="108" w:type="dxa"/>
      </w:tblCellMar>
    </w:tblPr>
  </w:style>
  <w:style w:type="table" w:customStyle="1" w:styleId="affa">
    <w:basedOn w:val="TableNormal1"/>
    <w:tblPr>
      <w:tblStyleRowBandSize w:val="1"/>
      <w:tblStyleColBandSize w:val="1"/>
      <w:tblCellMar>
        <w:left w:w="108" w:type="dxa"/>
        <w:right w:w="108" w:type="dxa"/>
      </w:tblCellMar>
    </w:tblPr>
  </w:style>
  <w:style w:type="table" w:customStyle="1" w:styleId="affb">
    <w:basedOn w:val="TableNormal1"/>
    <w:tblPr>
      <w:tblStyleRowBandSize w:val="1"/>
      <w:tblStyleColBandSize w:val="1"/>
      <w:tblCellMar>
        <w:left w:w="108" w:type="dxa"/>
        <w:right w:w="108" w:type="dxa"/>
      </w:tblCellMar>
    </w:tblPr>
  </w:style>
  <w:style w:type="table" w:customStyle="1" w:styleId="affc">
    <w:basedOn w:val="TableNormal1"/>
    <w:tblPr>
      <w:tblStyleRowBandSize w:val="1"/>
      <w:tblStyleColBandSize w:val="1"/>
      <w:tblCellMar>
        <w:left w:w="108" w:type="dxa"/>
        <w:right w:w="108" w:type="dxa"/>
      </w:tblCellMar>
    </w:tblPr>
  </w:style>
  <w:style w:type="table" w:customStyle="1" w:styleId="affd">
    <w:basedOn w:val="TableNormal1"/>
    <w:tblPr>
      <w:tblStyleRowBandSize w:val="1"/>
      <w:tblStyleColBandSize w:val="1"/>
      <w:tblCellMar>
        <w:left w:w="108" w:type="dxa"/>
        <w:right w:w="108" w:type="dxa"/>
      </w:tblCellMar>
    </w:tblPr>
  </w:style>
  <w:style w:type="table" w:customStyle="1" w:styleId="affe">
    <w:basedOn w:val="TableNormal1"/>
    <w:tblPr>
      <w:tblStyleRowBandSize w:val="1"/>
      <w:tblStyleColBandSize w:val="1"/>
      <w:tblCellMar>
        <w:left w:w="108" w:type="dxa"/>
        <w:right w:w="108" w:type="dxa"/>
      </w:tblCellMar>
    </w:tblPr>
  </w:style>
  <w:style w:type="table" w:customStyle="1" w:styleId="afff">
    <w:basedOn w:val="TableNormal1"/>
    <w:tblPr>
      <w:tblStyleRowBandSize w:val="1"/>
      <w:tblStyleColBandSize w:val="1"/>
      <w:tblCellMar>
        <w:left w:w="108" w:type="dxa"/>
        <w:right w:w="108" w:type="dxa"/>
      </w:tblCellMar>
    </w:tblPr>
  </w:style>
  <w:style w:type="table" w:customStyle="1" w:styleId="afff0">
    <w:basedOn w:val="TableNormal1"/>
    <w:tblPr>
      <w:tblStyleRowBandSize w:val="1"/>
      <w:tblStyleColBandSize w:val="1"/>
      <w:tblCellMar>
        <w:left w:w="108" w:type="dxa"/>
        <w:right w:w="108" w:type="dxa"/>
      </w:tblCellMar>
    </w:tblPr>
  </w:style>
  <w:style w:type="table" w:customStyle="1" w:styleId="afff1">
    <w:basedOn w:val="TableNormal1"/>
    <w:tblPr>
      <w:tblStyleRowBandSize w:val="1"/>
      <w:tblStyleColBandSize w:val="1"/>
      <w:tblCellMar>
        <w:left w:w="108" w:type="dxa"/>
        <w:right w:w="108" w:type="dxa"/>
      </w:tblCellMar>
    </w:tblPr>
  </w:style>
  <w:style w:type="table" w:customStyle="1" w:styleId="afff2">
    <w:basedOn w:val="TableNormal1"/>
    <w:tblPr>
      <w:tblStyleRowBandSize w:val="1"/>
      <w:tblStyleColBandSize w:val="1"/>
      <w:tblCellMar>
        <w:left w:w="108" w:type="dxa"/>
        <w:right w:w="108" w:type="dxa"/>
      </w:tblCellMar>
    </w:tblPr>
  </w:style>
  <w:style w:type="table" w:customStyle="1" w:styleId="afff3">
    <w:basedOn w:val="TableNormal1"/>
    <w:tblPr>
      <w:tblStyleRowBandSize w:val="1"/>
      <w:tblStyleColBandSize w:val="1"/>
      <w:tblCellMar>
        <w:left w:w="108" w:type="dxa"/>
        <w:right w:w="108" w:type="dxa"/>
      </w:tblCellMar>
    </w:tblPr>
  </w:style>
  <w:style w:type="table" w:customStyle="1" w:styleId="afff4">
    <w:basedOn w:val="TableNormal1"/>
    <w:tblPr>
      <w:tblStyleRowBandSize w:val="1"/>
      <w:tblStyleColBandSize w:val="1"/>
      <w:tblCellMar>
        <w:left w:w="108" w:type="dxa"/>
        <w:right w:w="108" w:type="dxa"/>
      </w:tblCellMar>
    </w:tblPr>
  </w:style>
  <w:style w:type="table" w:customStyle="1" w:styleId="afff5">
    <w:basedOn w:val="TableNormal1"/>
    <w:tblPr>
      <w:tblStyleRowBandSize w:val="1"/>
      <w:tblStyleColBandSize w:val="1"/>
      <w:tblCellMar>
        <w:left w:w="108" w:type="dxa"/>
        <w:right w:w="108" w:type="dxa"/>
      </w:tblCellMar>
    </w:tblPr>
  </w:style>
  <w:style w:type="table" w:customStyle="1" w:styleId="afff6">
    <w:basedOn w:val="TableNormal1"/>
    <w:tblPr>
      <w:tblStyleRowBandSize w:val="1"/>
      <w:tblStyleColBandSize w:val="1"/>
      <w:tblCellMar>
        <w:left w:w="108" w:type="dxa"/>
        <w:right w:w="108" w:type="dxa"/>
      </w:tblCellMar>
    </w:tblPr>
  </w:style>
  <w:style w:type="table" w:customStyle="1" w:styleId="afff7">
    <w:basedOn w:val="TableNormal1"/>
    <w:tblPr>
      <w:tblStyleRowBandSize w:val="1"/>
      <w:tblStyleColBandSize w:val="1"/>
      <w:tblCellMar>
        <w:left w:w="108" w:type="dxa"/>
        <w:right w:w="108" w:type="dxa"/>
      </w:tblCellMar>
    </w:tblPr>
  </w:style>
  <w:style w:type="table" w:customStyle="1" w:styleId="afff8">
    <w:basedOn w:val="TableNormal1"/>
    <w:tblPr>
      <w:tblStyleRowBandSize w:val="1"/>
      <w:tblStyleColBandSize w:val="1"/>
      <w:tblCellMar>
        <w:left w:w="108" w:type="dxa"/>
        <w:right w:w="108" w:type="dxa"/>
      </w:tblCellMar>
    </w:tblPr>
  </w:style>
  <w:style w:type="table" w:customStyle="1" w:styleId="afff9">
    <w:basedOn w:val="TableNormal1"/>
    <w:tblPr>
      <w:tblStyleRowBandSize w:val="1"/>
      <w:tblStyleColBandSize w:val="1"/>
      <w:tblCellMar>
        <w:left w:w="108" w:type="dxa"/>
        <w:right w:w="108" w:type="dxa"/>
      </w:tblCellMar>
    </w:tblPr>
  </w:style>
  <w:style w:type="table" w:customStyle="1" w:styleId="afffa">
    <w:basedOn w:val="TableNormal1"/>
    <w:tblPr>
      <w:tblStyleRowBandSize w:val="1"/>
      <w:tblStyleColBandSize w:val="1"/>
      <w:tblCellMar>
        <w:left w:w="108" w:type="dxa"/>
        <w:right w:w="108" w:type="dxa"/>
      </w:tblCellMar>
    </w:tblPr>
  </w:style>
  <w:style w:type="table" w:customStyle="1" w:styleId="afffb">
    <w:basedOn w:val="TableNormal1"/>
    <w:tblPr>
      <w:tblStyleRowBandSize w:val="1"/>
      <w:tblStyleColBandSize w:val="1"/>
      <w:tblCellMar>
        <w:left w:w="108" w:type="dxa"/>
        <w:right w:w="108" w:type="dxa"/>
      </w:tblCellMar>
    </w:tblPr>
  </w:style>
  <w:style w:type="table" w:customStyle="1" w:styleId="afffc">
    <w:basedOn w:val="TableNormal1"/>
    <w:tblPr>
      <w:tblStyleRowBandSize w:val="1"/>
      <w:tblStyleColBandSize w:val="1"/>
      <w:tblCellMar>
        <w:left w:w="108" w:type="dxa"/>
        <w:right w:w="108" w:type="dxa"/>
      </w:tblCellMar>
    </w:tblPr>
  </w:style>
  <w:style w:type="table" w:customStyle="1" w:styleId="afffd">
    <w:basedOn w:val="TableNormal1"/>
    <w:tblPr>
      <w:tblStyleRowBandSize w:val="1"/>
      <w:tblStyleColBandSize w:val="1"/>
      <w:tblCellMar>
        <w:left w:w="108" w:type="dxa"/>
        <w:right w:w="108" w:type="dxa"/>
      </w:tblCellMar>
    </w:tblPr>
  </w:style>
  <w:style w:type="table" w:customStyle="1" w:styleId="afffe">
    <w:basedOn w:val="TableNormal1"/>
    <w:tblPr>
      <w:tblStyleRowBandSize w:val="1"/>
      <w:tblStyleColBandSize w:val="1"/>
      <w:tblCellMar>
        <w:left w:w="108" w:type="dxa"/>
        <w:right w:w="108" w:type="dxa"/>
      </w:tblCellMar>
    </w:tblPr>
  </w:style>
  <w:style w:type="table" w:customStyle="1" w:styleId="affff">
    <w:basedOn w:val="TableNormal1"/>
    <w:tblPr>
      <w:tblStyleRowBandSize w:val="1"/>
      <w:tblStyleColBandSize w:val="1"/>
      <w:tblCellMar>
        <w:left w:w="108" w:type="dxa"/>
        <w:right w:w="108" w:type="dxa"/>
      </w:tblCellMar>
    </w:tblPr>
  </w:style>
  <w:style w:type="table" w:customStyle="1" w:styleId="affff0">
    <w:basedOn w:val="TableNormal1"/>
    <w:tblPr>
      <w:tblStyleRowBandSize w:val="1"/>
      <w:tblStyleColBandSize w:val="1"/>
      <w:tblCellMar>
        <w:left w:w="108" w:type="dxa"/>
        <w:right w:w="108" w:type="dxa"/>
      </w:tblCellMar>
    </w:tblPr>
  </w:style>
  <w:style w:type="table" w:customStyle="1" w:styleId="affff1">
    <w:basedOn w:val="TableNormal1"/>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ff2">
    <w:basedOn w:val="TableNormal1"/>
    <w:tblPr>
      <w:tblStyleRowBandSize w:val="1"/>
      <w:tblStyleColBandSize w:val="1"/>
      <w:tblCellMar>
        <w:left w:w="115" w:type="dxa"/>
        <w:right w:w="115" w:type="dxa"/>
      </w:tblCellMar>
    </w:tblPr>
  </w:style>
  <w:style w:type="table" w:customStyle="1" w:styleId="affff3">
    <w:basedOn w:val="TableNormal1"/>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F2109D"/>
    <w:pPr>
      <w:tabs>
        <w:tab w:val="num" w:pos="720"/>
      </w:tabs>
      <w:ind w:left="720" w:hanging="720"/>
      <w:contextualSpacing/>
    </w:pPr>
    <w:rPr>
      <w:lang w:val="es-MX"/>
    </w:rPr>
  </w:style>
  <w:style w:type="character" w:customStyle="1" w:styleId="Mencinsinresolver4">
    <w:name w:val="Mención sin resolver4"/>
    <w:basedOn w:val="Fuentedeprrafopredeter"/>
    <w:uiPriority w:val="99"/>
    <w:semiHidden/>
    <w:unhideWhenUsed/>
    <w:rsid w:val="00310114"/>
    <w:rPr>
      <w:color w:val="605E5C"/>
      <w:shd w:val="clear" w:color="auto" w:fill="E1DFDD"/>
    </w:rPr>
  </w:style>
  <w:style w:type="table" w:customStyle="1" w:styleId="affff4">
    <w:basedOn w:val="TableNormal0"/>
    <w:tblPr>
      <w:tblStyleRowBandSize w:val="1"/>
      <w:tblStyleColBandSize w:val="1"/>
      <w:tblCellMar>
        <w:left w:w="115" w:type="dxa"/>
        <w:right w:w="115" w:type="dxa"/>
      </w:tblCellMar>
    </w:tblPr>
  </w:style>
  <w:style w:type="table" w:customStyle="1" w:styleId="affff5">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641019">
      <w:bodyDiv w:val="1"/>
      <w:marLeft w:val="0"/>
      <w:marRight w:val="0"/>
      <w:marTop w:val="0"/>
      <w:marBottom w:val="0"/>
      <w:divBdr>
        <w:top w:val="none" w:sz="0" w:space="0" w:color="auto"/>
        <w:left w:val="none" w:sz="0" w:space="0" w:color="auto"/>
        <w:bottom w:val="none" w:sz="0" w:space="0" w:color="auto"/>
        <w:right w:val="none" w:sz="0" w:space="0" w:color="auto"/>
      </w:divBdr>
    </w:div>
    <w:div w:id="18000274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Lel7dXiFOSwZsM1NmmKaJZ50hQ==">CgMxLjAyCWguMWZvYjl0ZTIJaC4xdDNoNXNmMghoLmdqZGd4czIJaC4yNmluMXJnMgloLjMwajB6bGwyCWguMnM4ZXlvMTIJaC4ycDJjc3J5MghoLnR5amN3dDIJaC4zem55c2g3MgloLjNkeTZ2a20yCWguNGQzNG9nODgAciExZHZSR2NNeDlSS2gyVnBiOEN4dlQ1V0dqeXBDd3F1S2o=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39</Pages>
  <Words>10013</Words>
  <Characters>55072</Characters>
  <Application>Microsoft Office Word</Application>
  <DocSecurity>0</DocSecurity>
  <Lines>458</Lines>
  <Paragraphs>129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Maricela Villagómez Martínez</cp:lastModifiedBy>
  <cp:revision>2</cp:revision>
  <cp:lastPrinted>2023-12-08T17:15:00Z</cp:lastPrinted>
  <dcterms:created xsi:type="dcterms:W3CDTF">2023-12-20T15:53:00Z</dcterms:created>
  <dcterms:modified xsi:type="dcterms:W3CDTF">2023-12-20T15:53:00Z</dcterms:modified>
</cp:coreProperties>
</file>