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7B1" w:rsidRPr="003753CC" w:rsidRDefault="003D37B1" w:rsidP="003F30DD">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B17A8D">
        <w:rPr>
          <w:rFonts w:ascii="Palatino Linotype" w:eastAsia="Times New Roman" w:hAnsi="Palatino Linotype" w:cs="Arial"/>
          <w:color w:val="000000"/>
          <w:sz w:val="24"/>
          <w:szCs w:val="24"/>
          <w:lang w:eastAsia="es-MX"/>
        </w:rPr>
        <w:t xml:space="preserve">uno de febrero </w:t>
      </w:r>
      <w:r w:rsidRPr="003753CC">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3753CC">
        <w:rPr>
          <w:rFonts w:ascii="Palatino Linotype" w:eastAsia="Times New Roman" w:hAnsi="Palatino Linotype" w:cs="Arial"/>
          <w:color w:val="000000"/>
          <w:sz w:val="24"/>
          <w:szCs w:val="24"/>
          <w:lang w:eastAsia="es-MX"/>
        </w:rPr>
        <w:t>.</w:t>
      </w:r>
    </w:p>
    <w:p w:rsidR="003D37B1" w:rsidRPr="003753CC" w:rsidRDefault="003D37B1" w:rsidP="003F30D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D37B1" w:rsidRPr="009E3B15" w:rsidRDefault="003D37B1" w:rsidP="003F30DD">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14510</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Pr>
          <w:rFonts w:ascii="Palatino Linotype" w:hAnsi="Palatino Linotype"/>
          <w:sz w:val="24"/>
          <w:szCs w:val="24"/>
        </w:rPr>
        <w:t>e</w:t>
      </w:r>
      <w:r w:rsidRPr="00AD28BD">
        <w:rPr>
          <w:rFonts w:ascii="Palatino Linotype" w:hAnsi="Palatino Linotype"/>
          <w:sz w:val="24"/>
          <w:szCs w:val="24"/>
        </w:rPr>
        <w:t xml:space="preserve">l recurso de </w:t>
      </w:r>
      <w:bookmarkStart w:id="0" w:name="_GoBack"/>
      <w:bookmarkEnd w:id="0"/>
      <w:r w:rsidRPr="00AD28BD">
        <w:rPr>
          <w:rFonts w:ascii="Palatino Linotype" w:hAnsi="Palatino Linotype"/>
          <w:sz w:val="24"/>
          <w:szCs w:val="24"/>
        </w:rPr>
        <w:t xml:space="preserve">revisión, </w:t>
      </w:r>
      <w:r>
        <w:rPr>
          <w:rFonts w:ascii="Palatino Linotype" w:hAnsi="Palatino Linotype"/>
          <w:sz w:val="24"/>
          <w:szCs w:val="24"/>
        </w:rPr>
        <w:t xml:space="preserve">no </w:t>
      </w:r>
      <w:r w:rsidRPr="00AD28BD">
        <w:rPr>
          <w:rFonts w:ascii="Palatino Linotype" w:hAnsi="Palatino Linotype"/>
          <w:sz w:val="24"/>
          <w:szCs w:val="24"/>
        </w:rPr>
        <w:t>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 la</w:t>
      </w:r>
      <w:r w:rsidRPr="009E3B15">
        <w:rPr>
          <w:rFonts w:ascii="Palatino Linotype" w:hAnsi="Palatino Linotype" w:cs="Arial"/>
          <w:sz w:val="24"/>
          <w:szCs w:val="24"/>
        </w:rPr>
        <w:t xml:space="preserve"> </w:t>
      </w:r>
      <w:r w:rsidRPr="00AB2EB0">
        <w:rPr>
          <w:rFonts w:ascii="Palatino Linotype" w:hAnsi="Palatino Linotype" w:cs="Arial"/>
          <w:b/>
          <w:bCs/>
          <w:sz w:val="24"/>
          <w:szCs w:val="24"/>
        </w:rPr>
        <w:t>Secretaría de Movilidad</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3D37B1" w:rsidRPr="003753CC" w:rsidRDefault="003D37B1" w:rsidP="003F30DD">
      <w:pPr>
        <w:tabs>
          <w:tab w:val="left" w:pos="6960"/>
        </w:tabs>
        <w:spacing w:after="0" w:line="360" w:lineRule="auto"/>
        <w:jc w:val="both"/>
        <w:rPr>
          <w:rFonts w:ascii="Palatino Linotype" w:hAnsi="Palatino Linotype" w:cs="Arial"/>
          <w:sz w:val="24"/>
          <w:szCs w:val="24"/>
        </w:rPr>
      </w:pPr>
    </w:p>
    <w:p w:rsidR="003D37B1" w:rsidRPr="003753CC" w:rsidRDefault="003D37B1" w:rsidP="003F30DD">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3D37B1" w:rsidRPr="003753CC" w:rsidRDefault="003D37B1" w:rsidP="003F30DD">
      <w:pPr>
        <w:spacing w:after="0" w:line="360" w:lineRule="auto"/>
        <w:rPr>
          <w:rFonts w:ascii="Palatino Linotype" w:hAnsi="Palatino Linotype" w:cs="Arial"/>
          <w:b/>
          <w:sz w:val="24"/>
          <w:szCs w:val="24"/>
        </w:rPr>
      </w:pPr>
    </w:p>
    <w:p w:rsidR="003D37B1" w:rsidRPr="00CB45F6"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13 (trece) de julio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5E3AA0">
        <w:rPr>
          <w:rFonts w:ascii="Palatino Linotype" w:hAnsi="Palatino Linotype" w:cs="Arial"/>
          <w:b/>
          <w:sz w:val="24"/>
          <w:szCs w:val="24"/>
        </w:rPr>
        <w:t>003</w:t>
      </w:r>
      <w:r>
        <w:rPr>
          <w:rFonts w:ascii="Palatino Linotype" w:hAnsi="Palatino Linotype" w:cs="Arial"/>
          <w:b/>
          <w:sz w:val="24"/>
          <w:szCs w:val="24"/>
        </w:rPr>
        <w:t>78</w:t>
      </w:r>
      <w:r w:rsidRPr="005E3AA0">
        <w:rPr>
          <w:rFonts w:ascii="Palatino Linotype" w:hAnsi="Palatino Linotype" w:cs="Arial"/>
          <w:b/>
          <w:sz w:val="24"/>
          <w:szCs w:val="24"/>
        </w:rPr>
        <w:t>/SMOV/IP/2022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3D37B1" w:rsidRPr="00CB45F6" w:rsidRDefault="003D37B1" w:rsidP="003F30DD">
      <w:pPr>
        <w:spacing w:after="0" w:line="360" w:lineRule="auto"/>
        <w:jc w:val="both"/>
        <w:rPr>
          <w:rFonts w:ascii="Palatino Linotype" w:hAnsi="Palatino Linotype" w:cs="Arial"/>
          <w:sz w:val="24"/>
          <w:szCs w:val="24"/>
        </w:rPr>
      </w:pPr>
    </w:p>
    <w:p w:rsidR="003D37B1" w:rsidRPr="00CB45F6" w:rsidRDefault="003D37B1" w:rsidP="003F30D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3D37B1">
        <w:rPr>
          <w:rFonts w:ascii="Palatino Linotype" w:eastAsia="Times New Roman" w:hAnsi="Palatino Linotype" w:cs="Times New Roman"/>
          <w:i/>
          <w:szCs w:val="24"/>
          <w:lang w:eastAsia="es-ES"/>
        </w:rPr>
        <w:t>El padrón de concesionarios de transporte público por modalidad con unidades con marca serie, placas, nombre de la empresa y representante legal, medio de contacto, teléfono, domicilio municipio de operación, operativos realizados y unidades que se detuvieron.</w:t>
      </w:r>
      <w:r w:rsidRPr="005508BB">
        <w:rPr>
          <w:rFonts w:ascii="Palatino Linotype" w:eastAsia="Times New Roman" w:hAnsi="Palatino Linotype" w:cs="Times New Roman"/>
          <w:i/>
          <w:szCs w:val="24"/>
          <w:lang w:val="es-ES_tradnl" w:eastAsia="es-ES"/>
        </w:rPr>
        <w:t>"</w:t>
      </w:r>
    </w:p>
    <w:p w:rsidR="003D37B1" w:rsidRDefault="003D37B1" w:rsidP="003F30D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D37B1" w:rsidRDefault="003D37B1" w:rsidP="003F30DD">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3D37B1" w:rsidRPr="005E3AA0" w:rsidRDefault="003D37B1" w:rsidP="003F30DD">
      <w:pPr>
        <w:tabs>
          <w:tab w:val="left" w:pos="5647"/>
        </w:tabs>
        <w:spacing w:after="0" w:line="360" w:lineRule="auto"/>
        <w:ind w:right="850"/>
        <w:jc w:val="both"/>
        <w:rPr>
          <w:rFonts w:ascii="Palatino Linotype" w:hAnsi="Palatino Linotype"/>
          <w:color w:val="000000"/>
          <w:sz w:val="24"/>
          <w:szCs w:val="24"/>
        </w:rPr>
      </w:pPr>
    </w:p>
    <w:p w:rsidR="003D37B1" w:rsidRPr="00C03631" w:rsidRDefault="003D37B1" w:rsidP="003F30DD">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17 (diecisiete) de agosto </w:t>
      </w:r>
      <w:r w:rsidRPr="00C03631">
        <w:rPr>
          <w:rFonts w:ascii="Palatino Linotype" w:eastAsia="Times New Roman" w:hAnsi="Palatino Linotype" w:cs="Times New Roman"/>
          <w:sz w:val="24"/>
          <w:szCs w:val="24"/>
          <w:lang w:val="es-ES" w:eastAsia="es-ES"/>
        </w:rPr>
        <w:t>de 2022 (dos mil veintidós), en los términos siguientes:</w:t>
      </w:r>
    </w:p>
    <w:p w:rsidR="003D37B1" w:rsidRDefault="003D37B1" w:rsidP="003F30DD">
      <w:pPr>
        <w:spacing w:after="0" w:line="360" w:lineRule="auto"/>
        <w:jc w:val="both"/>
        <w:rPr>
          <w:rFonts w:ascii="Palatino Linotype" w:hAnsi="Palatino Linotype" w:cs="Arial"/>
          <w:sz w:val="24"/>
          <w:szCs w:val="28"/>
        </w:rPr>
      </w:pPr>
    </w:p>
    <w:p w:rsidR="003D37B1" w:rsidRDefault="003D37B1" w:rsidP="003F30D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3D37B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D37B1" w:rsidRPr="003D37B1" w:rsidRDefault="003D37B1" w:rsidP="003F30D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3D37B1" w:rsidRPr="00BA20A8" w:rsidRDefault="003D37B1" w:rsidP="003F30D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D37B1">
        <w:rPr>
          <w:rFonts w:ascii="Palatino Linotype" w:eastAsia="Times New Roman" w:hAnsi="Palatino Linotype" w:cs="Times New Roman"/>
          <w:i/>
          <w:szCs w:val="24"/>
          <w:lang w:val="es-ES_tradnl" w:eastAsia="es-ES"/>
        </w:rPr>
        <w:t>Se anexa respuesta</w:t>
      </w:r>
      <w:r w:rsidRPr="00BA20A8">
        <w:rPr>
          <w:rFonts w:ascii="Palatino Linotype" w:eastAsia="Times New Roman" w:hAnsi="Palatino Linotype" w:cs="Times New Roman"/>
          <w:i/>
          <w:szCs w:val="24"/>
          <w:lang w:val="es-ES_tradnl" w:eastAsia="es-ES"/>
        </w:rPr>
        <w:t>"</w:t>
      </w:r>
    </w:p>
    <w:p w:rsidR="003D37B1" w:rsidRPr="00BA20A8" w:rsidRDefault="003D37B1" w:rsidP="003F30DD">
      <w:pPr>
        <w:spacing w:after="0" w:line="360" w:lineRule="auto"/>
        <w:jc w:val="both"/>
        <w:rPr>
          <w:rFonts w:ascii="Palatino Linotype" w:hAnsi="Palatino Linotype" w:cs="Arial"/>
          <w:sz w:val="24"/>
          <w:szCs w:val="24"/>
        </w:rPr>
      </w:pPr>
    </w:p>
    <w:p w:rsidR="003D37B1" w:rsidRDefault="003D37B1" w:rsidP="003F30DD">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 xml:space="preserve">Se hace constar que el </w:t>
      </w:r>
      <w:r w:rsidRPr="00AB2EB0">
        <w:rPr>
          <w:rFonts w:ascii="Palatino Linotype" w:hAnsi="Palatino Linotype" w:cs="Arial"/>
          <w:b/>
          <w:sz w:val="24"/>
          <w:szCs w:val="24"/>
        </w:rPr>
        <w:t>Sujeto Obligado</w:t>
      </w:r>
      <w:r w:rsidRPr="00BA20A8">
        <w:rPr>
          <w:rFonts w:ascii="Palatino Linotype" w:hAnsi="Palatino Linotype" w:cs="Arial"/>
          <w:sz w:val="24"/>
          <w:szCs w:val="24"/>
        </w:rPr>
        <w:t xml:space="preserve"> adjunto </w:t>
      </w:r>
      <w:r>
        <w:rPr>
          <w:rFonts w:ascii="Palatino Linotype" w:hAnsi="Palatino Linotype" w:cs="Arial"/>
          <w:sz w:val="24"/>
          <w:szCs w:val="24"/>
        </w:rPr>
        <w:t>los archivos</w:t>
      </w:r>
      <w:r w:rsidRPr="00BA20A8">
        <w:rPr>
          <w:rFonts w:ascii="Palatino Linotype" w:hAnsi="Palatino Linotype" w:cs="Arial"/>
          <w:sz w:val="24"/>
          <w:szCs w:val="24"/>
        </w:rPr>
        <w:t xml:space="preserve"> electrónico</w:t>
      </w:r>
      <w:r>
        <w:rPr>
          <w:rFonts w:ascii="Palatino Linotype" w:hAnsi="Palatino Linotype" w:cs="Arial"/>
          <w:sz w:val="24"/>
          <w:szCs w:val="24"/>
        </w:rPr>
        <w:t>s</w:t>
      </w:r>
      <w:r w:rsidRPr="00BA20A8">
        <w:rPr>
          <w:rFonts w:ascii="Palatino Linotype" w:hAnsi="Palatino Linotype" w:cs="Arial"/>
          <w:sz w:val="24"/>
          <w:szCs w:val="24"/>
        </w:rPr>
        <w:t xml:space="preserve"> “</w:t>
      </w:r>
      <w:r w:rsidRPr="003D37B1">
        <w:rPr>
          <w:rFonts w:ascii="Palatino Linotype" w:hAnsi="Palatino Linotype" w:cs="Arial"/>
          <w:b/>
          <w:i/>
          <w:sz w:val="24"/>
          <w:szCs w:val="24"/>
        </w:rPr>
        <w:t>Respuesta UT Solicitud 00378 (final).pdf</w:t>
      </w:r>
      <w:r>
        <w:rPr>
          <w:rFonts w:ascii="Palatino Linotype" w:hAnsi="Palatino Linotype" w:cs="Arial"/>
          <w:b/>
          <w:i/>
          <w:sz w:val="24"/>
          <w:szCs w:val="24"/>
        </w:rPr>
        <w:t xml:space="preserve">, </w:t>
      </w:r>
      <w:r w:rsidRPr="003D37B1">
        <w:rPr>
          <w:rFonts w:ascii="Palatino Linotype" w:hAnsi="Palatino Linotype" w:cs="Arial"/>
          <w:b/>
          <w:i/>
          <w:sz w:val="24"/>
          <w:szCs w:val="24"/>
        </w:rPr>
        <w:t>Anexos Respuesta Sol 00378.zip</w:t>
      </w:r>
      <w:r w:rsidRPr="003D37B1">
        <w:rPr>
          <w:rFonts w:ascii="Palatino Linotype" w:hAnsi="Palatino Linotype" w:cs="Arial"/>
          <w:sz w:val="24"/>
          <w:szCs w:val="24"/>
        </w:rPr>
        <w:t xml:space="preserve"> y </w:t>
      </w:r>
      <w:r w:rsidRPr="003D37B1">
        <w:rPr>
          <w:rFonts w:ascii="Palatino Linotype" w:hAnsi="Palatino Linotype" w:cs="Arial"/>
          <w:b/>
          <w:i/>
          <w:sz w:val="24"/>
          <w:szCs w:val="24"/>
        </w:rPr>
        <w:t>Acta 133a Extraord Solic 00378 (Reserva).pdf</w:t>
      </w:r>
      <w:r w:rsidRPr="00BA20A8">
        <w:rPr>
          <w:rFonts w:ascii="Palatino Linotype" w:hAnsi="Palatino Linotype" w:cs="Arial"/>
          <w:sz w:val="24"/>
          <w:szCs w:val="24"/>
        </w:rPr>
        <w:t xml:space="preserve">”, </w:t>
      </w:r>
      <w:r>
        <w:rPr>
          <w:rFonts w:ascii="Palatino Linotype" w:hAnsi="Palatino Linotype" w:cs="Arial"/>
          <w:sz w:val="24"/>
          <w:szCs w:val="24"/>
        </w:rPr>
        <w:t>que</w:t>
      </w:r>
      <w:r w:rsidRPr="00BA20A8">
        <w:rPr>
          <w:rFonts w:ascii="Palatino Linotype" w:hAnsi="Palatino Linotype" w:cs="Arial"/>
          <w:sz w:val="24"/>
          <w:szCs w:val="24"/>
        </w:rPr>
        <w:t>, al ser del conocimiento de las partes, se omite su inserción en este apartado, máxime que serán objeto de estudio en párrafos posteriores.</w:t>
      </w:r>
    </w:p>
    <w:p w:rsidR="003D37B1" w:rsidRDefault="003D37B1" w:rsidP="003F30DD">
      <w:pPr>
        <w:spacing w:after="0" w:line="360" w:lineRule="auto"/>
        <w:jc w:val="both"/>
        <w:rPr>
          <w:rFonts w:ascii="Palatino Linotype" w:hAnsi="Palatino Linotype" w:cs="Arial"/>
          <w:sz w:val="24"/>
          <w:szCs w:val="24"/>
        </w:rPr>
      </w:pPr>
    </w:p>
    <w:p w:rsidR="003D37B1" w:rsidRPr="00BA20A8" w:rsidRDefault="003D37B1" w:rsidP="003F30DD">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07 (siete</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4510</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3D37B1" w:rsidRPr="00BA20A8" w:rsidRDefault="003D37B1" w:rsidP="003F30DD">
      <w:pPr>
        <w:spacing w:after="0" w:line="360" w:lineRule="auto"/>
        <w:ind w:right="51"/>
        <w:jc w:val="both"/>
        <w:rPr>
          <w:rFonts w:ascii="Palatino Linotype" w:eastAsia="Times New Roman" w:hAnsi="Palatino Linotype" w:cs="Arial"/>
          <w:sz w:val="24"/>
          <w:szCs w:val="24"/>
          <w:lang w:val="es-ES" w:eastAsia="es-ES"/>
        </w:rPr>
      </w:pPr>
    </w:p>
    <w:p w:rsidR="003D37B1" w:rsidRPr="00BA20A8" w:rsidRDefault="003D37B1" w:rsidP="003F30DD">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3D37B1" w:rsidRPr="00BA20A8" w:rsidRDefault="003D37B1" w:rsidP="003F30DD">
      <w:pPr>
        <w:spacing w:after="0" w:line="276" w:lineRule="auto"/>
        <w:ind w:right="616"/>
        <w:jc w:val="both"/>
        <w:rPr>
          <w:rFonts w:ascii="Palatino Linotype" w:eastAsia="Times New Roman" w:hAnsi="Palatino Linotype" w:cs="Times New Roman"/>
          <w:sz w:val="24"/>
          <w:szCs w:val="24"/>
          <w:lang w:val="es-ES" w:eastAsia="es-ES"/>
        </w:rPr>
      </w:pPr>
    </w:p>
    <w:p w:rsidR="003D37B1" w:rsidRPr="00BA20A8" w:rsidRDefault="003D37B1" w:rsidP="003F30DD">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3D37B1">
        <w:rPr>
          <w:rFonts w:ascii="Palatino Linotype" w:eastAsia="Times New Roman" w:hAnsi="Palatino Linotype" w:cs="Times New Roman"/>
          <w:i/>
          <w:sz w:val="24"/>
          <w:szCs w:val="24"/>
          <w:lang w:val="es-ES" w:eastAsia="es-ES"/>
        </w:rPr>
        <w:t>Para lo usuarios es importante saber la informacion que nos da seguridad y la niegan</w:t>
      </w:r>
      <w:r w:rsidRPr="00BA20A8">
        <w:rPr>
          <w:rFonts w:ascii="Palatino Linotype" w:eastAsia="Times New Roman" w:hAnsi="Palatino Linotype" w:cs="Times New Roman"/>
          <w:i/>
          <w:sz w:val="24"/>
          <w:szCs w:val="24"/>
          <w:lang w:val="es-ES" w:eastAsia="es-ES"/>
        </w:rPr>
        <w:t>” (sic)</w:t>
      </w:r>
    </w:p>
    <w:p w:rsidR="003D37B1" w:rsidRDefault="003D37B1" w:rsidP="003F30DD">
      <w:pPr>
        <w:spacing w:after="0" w:line="276" w:lineRule="auto"/>
        <w:ind w:right="616"/>
        <w:jc w:val="both"/>
        <w:rPr>
          <w:rFonts w:ascii="Palatino Linotype" w:eastAsia="Times New Roman" w:hAnsi="Palatino Linotype" w:cs="Times New Roman"/>
          <w:sz w:val="24"/>
          <w:szCs w:val="24"/>
          <w:lang w:val="es-ES" w:eastAsia="es-ES"/>
        </w:rPr>
      </w:pPr>
    </w:p>
    <w:p w:rsidR="003D37B1" w:rsidRDefault="003D37B1" w:rsidP="003F30DD">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lastRenderedPageBreak/>
        <w:t>Razones o motivos de inconformidad</w:t>
      </w:r>
      <w:r>
        <w:rPr>
          <w:rFonts w:ascii="Palatino Linotype" w:eastAsia="Times New Roman" w:hAnsi="Palatino Linotype" w:cs="Times New Roman"/>
          <w:b/>
          <w:sz w:val="24"/>
          <w:szCs w:val="24"/>
          <w:lang w:val="es-ES" w:eastAsia="es-ES"/>
        </w:rPr>
        <w:t>:</w:t>
      </w:r>
    </w:p>
    <w:p w:rsidR="003D37B1" w:rsidRPr="00AB2EB0" w:rsidRDefault="003D37B1" w:rsidP="003F30DD">
      <w:pPr>
        <w:spacing w:after="0" w:line="276" w:lineRule="auto"/>
        <w:ind w:right="616"/>
        <w:jc w:val="both"/>
        <w:rPr>
          <w:rFonts w:ascii="Palatino Linotype" w:eastAsia="Times New Roman" w:hAnsi="Palatino Linotype" w:cs="Times New Roman"/>
          <w:sz w:val="24"/>
          <w:szCs w:val="24"/>
          <w:lang w:val="es-ES" w:eastAsia="es-ES"/>
        </w:rPr>
      </w:pPr>
    </w:p>
    <w:p w:rsidR="003D37B1" w:rsidRPr="00BA20A8" w:rsidRDefault="003D37B1" w:rsidP="003F30DD">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00530DE3" w:rsidRPr="00530DE3">
        <w:rPr>
          <w:rFonts w:ascii="Palatino Linotype" w:eastAsia="Times New Roman" w:hAnsi="Palatino Linotype" w:cs="Times New Roman"/>
          <w:i/>
          <w:sz w:val="24"/>
          <w:szCs w:val="24"/>
          <w:lang w:eastAsia="es-ES"/>
        </w:rPr>
        <w:t>Para lo usuarios es importante saber la informacion que nos da seguridad y la niegan</w:t>
      </w:r>
      <w:r w:rsidRPr="00BA20A8">
        <w:rPr>
          <w:rFonts w:ascii="Palatino Linotype" w:eastAsia="Times New Roman" w:hAnsi="Palatino Linotype" w:cs="Times New Roman"/>
          <w:i/>
          <w:sz w:val="24"/>
          <w:szCs w:val="24"/>
          <w:lang w:val="es-ES" w:eastAsia="es-ES"/>
        </w:rPr>
        <w:t>” (sic)</w:t>
      </w:r>
    </w:p>
    <w:p w:rsidR="003D37B1" w:rsidRDefault="003D37B1" w:rsidP="003F30DD">
      <w:pPr>
        <w:spacing w:after="0" w:line="360" w:lineRule="auto"/>
        <w:jc w:val="both"/>
        <w:rPr>
          <w:rFonts w:ascii="Palatino Linotype" w:eastAsia="Times New Roman" w:hAnsi="Palatino Linotype" w:cs="Arial"/>
          <w:sz w:val="24"/>
          <w:lang w:eastAsia="es-ES"/>
        </w:rPr>
      </w:pPr>
    </w:p>
    <w:p w:rsidR="003D37B1" w:rsidRPr="003753CC" w:rsidRDefault="003D37B1" w:rsidP="003F30DD">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530DE3">
        <w:rPr>
          <w:rFonts w:ascii="Palatino Linotype" w:eastAsia="Times New Roman" w:hAnsi="Palatino Linotype" w:cs="Arial"/>
          <w:sz w:val="24"/>
          <w:szCs w:val="24"/>
          <w:lang w:val="es-ES" w:eastAsia="es-ES"/>
        </w:rPr>
        <w:t>07</w:t>
      </w:r>
      <w:r>
        <w:rPr>
          <w:rFonts w:ascii="Palatino Linotype" w:eastAsia="Times New Roman" w:hAnsi="Palatino Linotype" w:cs="Arial"/>
          <w:sz w:val="24"/>
          <w:szCs w:val="24"/>
          <w:lang w:val="es-ES" w:eastAsia="es-ES"/>
        </w:rPr>
        <w:t xml:space="preserve"> (s</w:t>
      </w:r>
      <w:r w:rsidR="00530DE3">
        <w:rPr>
          <w:rFonts w:ascii="Palatino Linotype" w:eastAsia="Times New Roman" w:hAnsi="Palatino Linotype" w:cs="Arial"/>
          <w:sz w:val="24"/>
          <w:szCs w:val="24"/>
          <w:lang w:val="es-ES" w:eastAsia="es-ES"/>
        </w:rPr>
        <w:t>iete</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julio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3D37B1" w:rsidRPr="003753CC" w:rsidRDefault="003D37B1" w:rsidP="003F30DD">
      <w:pPr>
        <w:spacing w:after="0" w:line="360" w:lineRule="auto"/>
        <w:ind w:right="49"/>
        <w:jc w:val="both"/>
        <w:rPr>
          <w:rFonts w:ascii="Palatino Linotype" w:eastAsia="Times New Roman" w:hAnsi="Palatino Linotype" w:cs="Arial"/>
          <w:sz w:val="24"/>
          <w:szCs w:val="24"/>
          <w:lang w:val="es-ES_tradnl" w:eastAsia="es-ES"/>
        </w:rPr>
      </w:pPr>
    </w:p>
    <w:p w:rsidR="003D37B1" w:rsidRPr="003753CC" w:rsidRDefault="003D37B1" w:rsidP="003F30DD">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530DE3">
        <w:rPr>
          <w:rFonts w:ascii="Palatino Linotype" w:eastAsia="Times New Roman" w:hAnsi="Palatino Linotype" w:cs="Arial"/>
          <w:sz w:val="24"/>
          <w:szCs w:val="24"/>
          <w:lang w:val="es-ES" w:eastAsia="es-ES"/>
        </w:rPr>
        <w:t>12</w:t>
      </w:r>
      <w:r>
        <w:rPr>
          <w:rFonts w:ascii="Palatino Linotype" w:eastAsia="Times New Roman" w:hAnsi="Palatino Linotype" w:cs="Arial"/>
          <w:sz w:val="24"/>
          <w:szCs w:val="24"/>
          <w:lang w:val="es-ES" w:eastAsia="es-ES"/>
        </w:rPr>
        <w:t xml:space="preserve"> (</w:t>
      </w:r>
      <w:r w:rsidR="00530DE3">
        <w:rPr>
          <w:rFonts w:ascii="Palatino Linotype" w:eastAsia="Times New Roman" w:hAnsi="Palatino Linotype" w:cs="Arial"/>
          <w:sz w:val="24"/>
          <w:szCs w:val="24"/>
          <w:lang w:val="es-ES" w:eastAsia="es-ES"/>
        </w:rPr>
        <w:t>doce</w:t>
      </w:r>
      <w:r>
        <w:rPr>
          <w:rFonts w:ascii="Palatino Linotype" w:eastAsia="Times New Roman" w:hAnsi="Palatino Linotype" w:cs="Arial"/>
          <w:sz w:val="24"/>
          <w:szCs w:val="24"/>
          <w:lang w:val="es-ES" w:eastAsia="es-ES"/>
        </w:rPr>
        <w:t xml:space="preserve">) de </w:t>
      </w:r>
      <w:r w:rsidR="00530DE3">
        <w:rPr>
          <w:rFonts w:ascii="Palatino Linotype" w:eastAsia="Times New Roman" w:hAnsi="Palatino Linotype" w:cs="Arial"/>
          <w:sz w:val="24"/>
          <w:szCs w:val="24"/>
          <w:lang w:val="es-ES" w:eastAsia="es-ES"/>
        </w:rPr>
        <w:t xml:space="preserve">septiembre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3D37B1"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3753CC" w:rsidRDefault="003D37B1" w:rsidP="003F30DD">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00530DE3">
        <w:rPr>
          <w:rFonts w:ascii="Palatino Linotype" w:hAnsi="Palatino Linotype" w:cs="Arial"/>
          <w:sz w:val="24"/>
          <w:szCs w:val="24"/>
        </w:rPr>
        <w:t xml:space="preserve">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Pr>
          <w:rFonts w:ascii="Palatino Linotype" w:hAnsi="Palatino Linotype" w:cs="Arial"/>
          <w:sz w:val="24"/>
          <w:szCs w:val="24"/>
        </w:rPr>
        <w:t xml:space="preserve"> </w:t>
      </w:r>
      <w:r w:rsidR="00530DE3">
        <w:rPr>
          <w:rFonts w:ascii="Palatino Linotype" w:hAnsi="Palatino Linotype" w:cs="Arial"/>
          <w:sz w:val="24"/>
          <w:szCs w:val="24"/>
        </w:rPr>
        <w:t>como el</w:t>
      </w:r>
      <w:r>
        <w:rPr>
          <w:rFonts w:ascii="Palatino Linotype" w:hAnsi="Palatino Linotype" w:cs="Arial"/>
          <w:sz w:val="24"/>
          <w:szCs w:val="24"/>
        </w:rPr>
        <w:t xml:space="preserve"> </w:t>
      </w:r>
      <w:r w:rsidRPr="00530E01">
        <w:rPr>
          <w:rFonts w:ascii="Palatino Linotype" w:hAnsi="Palatino Linotype" w:cs="Arial"/>
          <w:b/>
          <w:sz w:val="24"/>
          <w:szCs w:val="24"/>
        </w:rPr>
        <w:t>Recurrente</w:t>
      </w:r>
      <w:r>
        <w:rPr>
          <w:rFonts w:ascii="Palatino Linotype" w:hAnsi="Palatino Linotype" w:cs="Arial"/>
          <w:sz w:val="24"/>
          <w:szCs w:val="24"/>
        </w:rPr>
        <w:t xml:space="preserve"> </w:t>
      </w:r>
      <w:r w:rsidR="00530DE3">
        <w:rPr>
          <w:rFonts w:ascii="Palatino Linotype" w:hAnsi="Palatino Linotype" w:cs="Arial"/>
          <w:sz w:val="24"/>
          <w:szCs w:val="24"/>
        </w:rPr>
        <w:t>fueron</w:t>
      </w:r>
      <w:r w:rsidR="00B17A8D">
        <w:rPr>
          <w:rFonts w:ascii="Palatino Linotype" w:hAnsi="Palatino Linotype" w:cs="Arial"/>
          <w:sz w:val="24"/>
          <w:szCs w:val="24"/>
        </w:rPr>
        <w:t xml:space="preserve"> omisos</w:t>
      </w:r>
      <w:r w:rsidR="00530DE3">
        <w:rPr>
          <w:rFonts w:ascii="Palatino Linotype" w:hAnsi="Palatino Linotype" w:cs="Arial"/>
          <w:sz w:val="24"/>
          <w:szCs w:val="24"/>
        </w:rPr>
        <w:t xml:space="preserve"> en rendir su informe justificado y las </w:t>
      </w:r>
      <w:r>
        <w:rPr>
          <w:rFonts w:ascii="Palatino Linotype" w:hAnsi="Palatino Linotype" w:cs="Arial"/>
          <w:sz w:val="24"/>
          <w:szCs w:val="24"/>
        </w:rPr>
        <w:t xml:space="preserve">manifestaciones que a sus intereses conviniera, </w:t>
      </w:r>
      <w:r w:rsidR="00530DE3">
        <w:rPr>
          <w:rFonts w:ascii="Palatino Linotype" w:hAnsi="Palatino Linotype" w:cs="Arial"/>
          <w:sz w:val="24"/>
          <w:szCs w:val="24"/>
        </w:rPr>
        <w:t xml:space="preserve">respectivamente. </w:t>
      </w:r>
      <w:r w:rsidRPr="003753CC">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w:t>
      </w:r>
      <w:r w:rsidRPr="003753CC">
        <w:rPr>
          <w:rFonts w:ascii="Palatino Linotype" w:hAnsi="Palatino Linotype" w:cs="Arial"/>
          <w:sz w:val="24"/>
          <w:szCs w:val="24"/>
        </w:rPr>
        <w:lastRenderedPageBreak/>
        <w:t xml:space="preserve">desahogar, ni que documentos que integrar al expediente electrónico, se decretó el cierre de instrucción en fecha </w:t>
      </w:r>
      <w:r w:rsidR="00530DE3">
        <w:rPr>
          <w:rFonts w:ascii="Palatino Linotype" w:hAnsi="Palatino Linotype" w:cs="Arial"/>
          <w:sz w:val="24"/>
          <w:szCs w:val="24"/>
        </w:rPr>
        <w:t>23</w:t>
      </w:r>
      <w:r>
        <w:rPr>
          <w:rFonts w:ascii="Palatino Linotype" w:hAnsi="Palatino Linotype" w:cs="Arial"/>
          <w:sz w:val="24"/>
          <w:szCs w:val="24"/>
        </w:rPr>
        <w:t xml:space="preserve"> (</w:t>
      </w:r>
      <w:r w:rsidR="00530DE3">
        <w:rPr>
          <w:rFonts w:ascii="Palatino Linotype" w:hAnsi="Palatino Linotype" w:cs="Arial"/>
          <w:sz w:val="24"/>
          <w:szCs w:val="24"/>
        </w:rPr>
        <w:t>veintitrés</w:t>
      </w:r>
      <w:r>
        <w:rPr>
          <w:rFonts w:ascii="Palatino Linotype" w:hAnsi="Palatino Linotype" w:cs="Arial"/>
          <w:sz w:val="24"/>
          <w:szCs w:val="24"/>
        </w:rPr>
        <w:t xml:space="preserve">) de </w:t>
      </w:r>
      <w:r w:rsidR="00530DE3">
        <w:rPr>
          <w:rFonts w:ascii="Palatino Linotype" w:hAnsi="Palatino Linotype" w:cs="Arial"/>
          <w:sz w:val="24"/>
          <w:szCs w:val="24"/>
        </w:rPr>
        <w:t>septiembre</w:t>
      </w:r>
      <w:r>
        <w:rPr>
          <w:rFonts w:ascii="Palatino Linotype" w:hAnsi="Palatino Linotype" w:cs="Arial"/>
          <w:sz w:val="24"/>
          <w:szCs w:val="24"/>
        </w:rPr>
        <w:t xml:space="preserve">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3D37B1" w:rsidRDefault="003D37B1" w:rsidP="003F30DD">
      <w:pPr>
        <w:spacing w:after="0" w:line="360" w:lineRule="auto"/>
        <w:jc w:val="both"/>
        <w:rPr>
          <w:rFonts w:ascii="Palatino Linotype" w:hAnsi="Palatino Linotype" w:cs="Arial"/>
          <w:sz w:val="24"/>
          <w:szCs w:val="24"/>
        </w:rPr>
      </w:pPr>
    </w:p>
    <w:p w:rsidR="003D37B1" w:rsidRPr="003753CC" w:rsidRDefault="003D37B1" w:rsidP="003F30DD">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530DE3">
        <w:rPr>
          <w:rFonts w:ascii="Palatino Linotype" w:hAnsi="Palatino Linotype" w:cs="Arial"/>
          <w:sz w:val="24"/>
          <w:szCs w:val="24"/>
        </w:rPr>
        <w:t>25</w:t>
      </w:r>
      <w:r>
        <w:rPr>
          <w:rFonts w:ascii="Palatino Linotype" w:hAnsi="Palatino Linotype" w:cs="Arial"/>
          <w:sz w:val="24"/>
          <w:szCs w:val="24"/>
        </w:rPr>
        <w:t xml:space="preserve"> (</w:t>
      </w:r>
      <w:r w:rsidR="00530DE3">
        <w:rPr>
          <w:rFonts w:ascii="Palatino Linotype" w:hAnsi="Palatino Linotype" w:cs="Arial"/>
          <w:sz w:val="24"/>
          <w:szCs w:val="24"/>
        </w:rPr>
        <w:t>veinticinco</w:t>
      </w:r>
      <w:r>
        <w:rPr>
          <w:rFonts w:ascii="Palatino Linotype" w:hAnsi="Palatino Linotype" w:cs="Arial"/>
          <w:sz w:val="24"/>
          <w:szCs w:val="24"/>
        </w:rPr>
        <w:t xml:space="preserve">) de </w:t>
      </w:r>
      <w:r w:rsidR="00530DE3">
        <w:rPr>
          <w:rFonts w:ascii="Palatino Linotype" w:hAnsi="Palatino Linotype" w:cs="Arial"/>
          <w:sz w:val="24"/>
          <w:szCs w:val="24"/>
        </w:rPr>
        <w:t>octubre</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D37B1" w:rsidRDefault="003D37B1" w:rsidP="003F30DD">
      <w:pPr>
        <w:spacing w:after="0" w:line="360" w:lineRule="auto"/>
        <w:jc w:val="both"/>
        <w:rPr>
          <w:rFonts w:ascii="Palatino Linotype" w:hAnsi="Palatino Linotype" w:cs="Arial"/>
          <w:sz w:val="24"/>
          <w:szCs w:val="24"/>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591A17">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3D37B1" w:rsidRPr="00591A17" w:rsidRDefault="003D37B1" w:rsidP="003F30D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3D37B1" w:rsidRPr="00591A17" w:rsidRDefault="003D37B1" w:rsidP="003F30D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3D37B1" w:rsidRPr="00591A17" w:rsidRDefault="003D37B1" w:rsidP="003F30D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3D37B1" w:rsidRPr="00591A17" w:rsidRDefault="003D37B1" w:rsidP="003F30D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3D37B1"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91A17">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rsidR="003D37B1"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p>
    <w:p w:rsidR="003D37B1" w:rsidRPr="00591A17" w:rsidRDefault="003D37B1" w:rsidP="003F30D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3D37B1" w:rsidRDefault="003D37B1" w:rsidP="003F30DD">
      <w:pPr>
        <w:spacing w:after="0" w:line="360" w:lineRule="auto"/>
        <w:jc w:val="both"/>
        <w:rPr>
          <w:rFonts w:ascii="Palatino Linotype" w:hAnsi="Palatino Linotype" w:cs="Arial"/>
          <w:sz w:val="24"/>
          <w:szCs w:val="24"/>
        </w:rPr>
      </w:pPr>
    </w:p>
    <w:p w:rsidR="003D37B1" w:rsidRPr="003753CC" w:rsidRDefault="003D37B1" w:rsidP="003F30DD">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3D37B1" w:rsidRPr="003753CC" w:rsidRDefault="003D37B1" w:rsidP="003F30DD">
      <w:pPr>
        <w:spacing w:after="0" w:line="360" w:lineRule="auto"/>
        <w:jc w:val="center"/>
        <w:rPr>
          <w:rFonts w:ascii="Palatino Linotype" w:hAnsi="Palatino Linotype" w:cs="Arial"/>
          <w:sz w:val="24"/>
          <w:szCs w:val="24"/>
        </w:rPr>
      </w:pPr>
    </w:p>
    <w:p w:rsidR="003D37B1" w:rsidRPr="003753CC" w:rsidRDefault="003D37B1" w:rsidP="003F30DD">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3D37B1" w:rsidRPr="003753CC"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D37B1" w:rsidRDefault="003D37B1" w:rsidP="003F30DD">
      <w:pPr>
        <w:spacing w:after="0" w:line="360" w:lineRule="auto"/>
        <w:jc w:val="both"/>
        <w:rPr>
          <w:rFonts w:ascii="Palatino Linotype" w:hAnsi="Palatino Linotype" w:cs="Arial"/>
          <w:sz w:val="24"/>
          <w:szCs w:val="24"/>
        </w:rPr>
      </w:pPr>
    </w:p>
    <w:p w:rsidR="003D37B1" w:rsidRPr="003753CC" w:rsidRDefault="003D37B1" w:rsidP="003F30DD">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3D37B1" w:rsidRPr="003753CC" w:rsidRDefault="003D37B1" w:rsidP="003F30DD">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3D37B1" w:rsidRPr="003753CC" w:rsidRDefault="003D37B1" w:rsidP="003F30DD">
      <w:pPr>
        <w:autoSpaceDE w:val="0"/>
        <w:autoSpaceDN w:val="0"/>
        <w:adjustRightInd w:val="0"/>
        <w:spacing w:after="0" w:line="360" w:lineRule="auto"/>
        <w:jc w:val="both"/>
        <w:rPr>
          <w:rFonts w:ascii="Palatino Linotype" w:hAnsi="Palatino Linotype" w:cs="Arial"/>
          <w:bCs/>
          <w:sz w:val="24"/>
          <w:szCs w:val="24"/>
        </w:rPr>
      </w:pP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3753CC">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180</w:t>
      </w:r>
      <w:r w:rsidRPr="00EF1140">
        <w:rPr>
          <w:rFonts w:ascii="Palatino Linotype" w:hAnsi="Palatino Linotype" w:cs="Arial"/>
          <w:i/>
          <w:szCs w:val="24"/>
        </w:rPr>
        <w:t xml:space="preserve">. El recurso de revisión contendrá: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xml:space="preserve">. El Sujeto Obligado ante la cual se presentó la solicitud;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w:t>
      </w:r>
      <w:r w:rsidRPr="00EF1140">
        <w:rPr>
          <w:rFonts w:ascii="Palatino Linotype" w:hAnsi="Palatino Linotype" w:cs="Arial"/>
          <w:i/>
          <w:szCs w:val="24"/>
        </w:rPr>
        <w:t xml:space="preserve">. </w:t>
      </w:r>
      <w:r w:rsidRPr="00EF1140">
        <w:rPr>
          <w:rFonts w:ascii="Palatino Linotype" w:hAnsi="Palatino Linotype" w:cs="Arial"/>
          <w:i/>
          <w:szCs w:val="24"/>
          <w:u w:val="single"/>
        </w:rPr>
        <w:t>El nombre del solicitante</w:t>
      </w:r>
      <w:r w:rsidRPr="00EF1140">
        <w:rPr>
          <w:rFonts w:ascii="Palatino Linotype" w:hAnsi="Palatino Linotype" w:cs="Arial"/>
          <w:i/>
          <w:szCs w:val="24"/>
        </w:rPr>
        <w:t xml:space="preserve"> que recurre o de su representante y, en su caso, del tercero interesado, así como la dirección o medio que señale para recibir notificaciones;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El número de folio de respuesta de la solicitud de acceso;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IV</w:t>
      </w:r>
      <w:r w:rsidRPr="00EF114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xml:space="preserve">. El acto que se recurre;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razones o motivos de inconformidad;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w:t>
      </w:r>
      <w:r w:rsidRPr="00EF1140">
        <w:rPr>
          <w:rFonts w:ascii="Palatino Linotype" w:hAnsi="Palatino Linotype" w:cs="Arial"/>
          <w:i/>
          <w:szCs w:val="24"/>
        </w:rPr>
        <w:t xml:space="preserve">. La copia de la respuesta que se impugna y, en su caso, de la notificación correspondiente, en el caso de respuesta de la solicitud; y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VIII</w:t>
      </w:r>
      <w:r w:rsidRPr="00EF1140">
        <w:rPr>
          <w:rFonts w:ascii="Palatino Linotype" w:hAnsi="Palatino Linotype" w:cs="Arial"/>
          <w:i/>
          <w:szCs w:val="24"/>
        </w:rPr>
        <w:t xml:space="preserve">. Firma del Recurrente, en su caso, cuando se presente por escrito, requisito sin el cual se dará trámite al recurso.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Adicionalmente, se podrán anexar las pruebas y demás elementos que considere procedentes someter a juicio del Instituto.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En ningún caso será necesario que el particular ratifique el recurso de revisión interpuesto.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szCs w:val="24"/>
        </w:rPr>
      </w:pPr>
      <w:r w:rsidRPr="00EF114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szCs w:val="24"/>
        </w:rPr>
      </w:pPr>
    </w:p>
    <w:p w:rsidR="003D37B1" w:rsidRPr="00EF1140" w:rsidRDefault="003D37B1" w:rsidP="003F30DD">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EF1140">
        <w:rPr>
          <w:rFonts w:ascii="Palatino Linotype" w:hAnsi="Palatino Linotype" w:cs="Arial"/>
          <w:sz w:val="24"/>
          <w:szCs w:val="24"/>
        </w:rPr>
        <w:lastRenderedPageBreak/>
        <w:t xml:space="preserve">expediente electrónico del SAIMEX se desprende que el solicitante y ahora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 xml:space="preserve">no </w:t>
      </w:r>
      <w:r w:rsidRPr="00EF1140">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F1140">
        <w:rPr>
          <w:rFonts w:ascii="Palatino Linotype" w:hAnsi="Palatino Linotype" w:cs="Arial"/>
          <w:i/>
          <w:sz w:val="24"/>
          <w:szCs w:val="24"/>
        </w:rPr>
        <w:t>sine qua non</w:t>
      </w:r>
      <w:r w:rsidRPr="00EF114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30DE3" w:rsidRPr="00EF1140" w:rsidRDefault="00530DE3"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240" w:lineRule="auto"/>
        <w:jc w:val="center"/>
        <w:rPr>
          <w:rFonts w:ascii="Palatino Linotype" w:hAnsi="Palatino Linotype" w:cs="Arial"/>
          <w:b/>
          <w:i/>
        </w:rPr>
      </w:pPr>
      <w:r w:rsidRPr="00EF1140">
        <w:rPr>
          <w:rFonts w:ascii="Palatino Linotype" w:hAnsi="Palatino Linotype" w:cs="Arial"/>
          <w:b/>
          <w:i/>
        </w:rPr>
        <w:lastRenderedPageBreak/>
        <w:t>Constitución Política de los Estados Unidos Mexicanos</w:t>
      </w:r>
    </w:p>
    <w:p w:rsidR="003D37B1" w:rsidRPr="00EF1140" w:rsidRDefault="003D37B1" w:rsidP="003F30DD">
      <w:pPr>
        <w:autoSpaceDE w:val="0"/>
        <w:autoSpaceDN w:val="0"/>
        <w:adjustRightInd w:val="0"/>
        <w:spacing w:after="0" w:line="240" w:lineRule="auto"/>
        <w:jc w:val="both"/>
        <w:rPr>
          <w:rFonts w:ascii="Palatino Linotype" w:hAnsi="Palatino Linotype" w:cs="Arial"/>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rPr>
      </w:pPr>
      <w:r w:rsidRPr="00EF1140">
        <w:rPr>
          <w:rFonts w:ascii="Palatino Linotype" w:hAnsi="Palatino Linotype" w:cs="Arial"/>
          <w:i/>
        </w:rPr>
        <w:t>“</w:t>
      </w:r>
      <w:r w:rsidRPr="00EF1140">
        <w:rPr>
          <w:rFonts w:ascii="Palatino Linotype" w:hAnsi="Palatino Linotype" w:cs="Arial"/>
          <w:b/>
          <w:i/>
        </w:rPr>
        <w:t>Artículo 6o</w:t>
      </w:r>
      <w:r w:rsidRPr="00EF114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efectos de lo dispuesto en el presente artículo se observará lo siguiente:</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A</w:t>
      </w:r>
      <w:r w:rsidRPr="00EF114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 ley establecerá aquella información que se considere reservada o confidencial.</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p>
    <w:p w:rsidR="003D37B1" w:rsidRPr="00EF1140" w:rsidRDefault="003D37B1" w:rsidP="003F30DD">
      <w:pPr>
        <w:autoSpaceDE w:val="0"/>
        <w:autoSpaceDN w:val="0"/>
        <w:adjustRightInd w:val="0"/>
        <w:spacing w:after="0" w:line="240" w:lineRule="auto"/>
        <w:ind w:left="567" w:right="567"/>
        <w:jc w:val="center"/>
        <w:rPr>
          <w:rFonts w:ascii="Palatino Linotype" w:hAnsi="Palatino Linotype" w:cs="Arial"/>
          <w:b/>
          <w:i/>
          <w:szCs w:val="24"/>
        </w:rPr>
      </w:pPr>
      <w:r w:rsidRPr="00EF1140">
        <w:rPr>
          <w:rFonts w:ascii="Palatino Linotype" w:hAnsi="Palatino Linotype" w:cs="Arial"/>
          <w:b/>
          <w:i/>
          <w:szCs w:val="24"/>
        </w:rPr>
        <w:t>Constitución Política del Estado Libre y Soberano de México</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r w:rsidRPr="00EF1140">
        <w:rPr>
          <w:rFonts w:ascii="Palatino Linotype" w:hAnsi="Palatino Linotype" w:cs="Arial"/>
          <w:b/>
          <w:i/>
          <w:szCs w:val="24"/>
        </w:rPr>
        <w:t>Artículo 5</w:t>
      </w:r>
      <w:r w:rsidRPr="00EF1140">
        <w:rPr>
          <w:rFonts w:ascii="Palatino Linotype" w:hAnsi="Palatino Linotype" w:cs="Arial"/>
          <w:i/>
          <w:szCs w:val="24"/>
        </w:rPr>
        <w:t xml:space="preserve">. … </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Este derecho se regirá por los principios y bases siguientes: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D37B1" w:rsidRPr="00EF1140" w:rsidRDefault="003D37B1" w:rsidP="003F30DD">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otra parte, del contenido del artículo 1 de la Constitución Política de los Estados Unidos Mexicanos, se destaca lo siguiente:</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1o.</w:t>
      </w:r>
      <w:r w:rsidRPr="00EF114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30DE3" w:rsidRPr="00EF1140" w:rsidRDefault="00530DE3"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Acceso a información gubernamental. No debe condicionarse a que el solicitante acredite su personalidad, demuestre interés alguno o justifique su utilización.</w:t>
      </w:r>
      <w:r w:rsidRPr="00EF114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lastRenderedPageBreak/>
        <w:t>Resoluciones</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5275/13. Interpuesto en contra de la Secretaría de la Defensa Nacional. Comisionado Ponente Ángel Trinidad Zaldívar.</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2937/13. Interpuesto en contra de LICONSA, S.A. de C.V. Comisionado. Ponente Gerardo Laveaga Rendón.</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3609/12. Interpuesto en contra de la Secretaría de Educación Pública. Comisionada Ponente Sigrid Arzt Colunga.</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3361/12. Interpuesto en contra del Servicio de Administración Tributaria. Comisionada Ponente María Elena Pérez-Jaén Zermeño.</w:t>
      </w:r>
    </w:p>
    <w:p w:rsidR="003D37B1" w:rsidRPr="00EF1140" w:rsidRDefault="003D37B1" w:rsidP="003F30DD">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0563/12. Interpuesto en contra de la Secretaría de la Función Pública. Comisionada Ponente Jacqueline Peschard Mariscal.”</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consecuencia, dado lo expuesto y fundado con anterioridad, se estima que el requisito relativo al nombre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no constituye un presupuesto </w:t>
      </w:r>
      <w:r w:rsidRPr="00EF1140">
        <w:rPr>
          <w:rFonts w:ascii="Palatino Linotype" w:hAnsi="Palatino Linotype" w:cs="Arial"/>
          <w:sz w:val="24"/>
          <w:szCs w:val="24"/>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EF1140">
        <w:rPr>
          <w:rFonts w:ascii="Palatino Linotype" w:hAnsi="Palatino Linotype" w:cs="Arial"/>
          <w:b/>
          <w:sz w:val="24"/>
          <w:szCs w:val="24"/>
        </w:rPr>
        <w:t>Recurrente</w:t>
      </w:r>
      <w:r w:rsidRPr="00EF1140">
        <w:rPr>
          <w:rFonts w:ascii="Palatino Linotype" w:hAnsi="Palatino Linotype" w:cs="Arial"/>
          <w:sz w:val="24"/>
          <w:szCs w:val="24"/>
        </w:rPr>
        <w:t>, es la misma persona que realizó la solicitud de acceso a la información pública que ahora se impugna.</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3753CC" w:rsidRDefault="003D37B1" w:rsidP="003F30DD">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3D37B1" w:rsidRPr="003753CC"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3753CC" w:rsidRDefault="003D37B1" w:rsidP="003F30DD">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D37B1" w:rsidRPr="003753CC"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37B1" w:rsidRPr="003753CC" w:rsidRDefault="003D37B1" w:rsidP="003F30D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3D37B1" w:rsidRPr="003753CC" w:rsidRDefault="003D37B1" w:rsidP="003F30D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3D37B1" w:rsidRPr="003753CC"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3753CC" w:rsidRDefault="003D37B1" w:rsidP="003F30D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D37B1"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D37B1" w:rsidRPr="003753CC" w:rsidRDefault="003D37B1" w:rsidP="003F30D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3D37B1" w:rsidRPr="003753CC"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D37B1" w:rsidRPr="003753CC"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37B1"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w:t>
      </w:r>
      <w:r w:rsidRPr="000A604E">
        <w:rPr>
          <w:rFonts w:ascii="Palatino Linotype" w:eastAsia="Times New Roman" w:hAnsi="Palatino Linotype" w:cs="Arial"/>
          <w:sz w:val="24"/>
          <w:szCs w:val="24"/>
          <w:lang w:val="es-ES" w:eastAsia="es-ES"/>
        </w:rPr>
        <w:t xml:space="preserve">d, se puede apreciar que la </w:t>
      </w:r>
      <w:r w:rsidRPr="000A604E">
        <w:rPr>
          <w:rFonts w:ascii="Palatino Linotype" w:eastAsia="Times New Roman" w:hAnsi="Palatino Linotype" w:cs="Arial"/>
          <w:b/>
          <w:sz w:val="24"/>
          <w:szCs w:val="24"/>
          <w:lang w:val="es-ES" w:eastAsia="es-ES"/>
        </w:rPr>
        <w:t>Recurrente</w:t>
      </w:r>
      <w:r w:rsidRPr="000A604E">
        <w:rPr>
          <w:rFonts w:ascii="Palatino Linotype" w:eastAsia="Times New Roman" w:hAnsi="Palatino Linotype" w:cs="Arial"/>
          <w:sz w:val="24"/>
          <w:szCs w:val="24"/>
          <w:lang w:val="es-ES" w:eastAsia="es-ES"/>
        </w:rPr>
        <w:t xml:space="preserve"> peticiona objetivamente, lo siguiente:</w:t>
      </w:r>
    </w:p>
    <w:p w:rsidR="00B17A8D" w:rsidRDefault="00B17A8D"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A604E" w:rsidRDefault="000A604E" w:rsidP="003F30DD">
      <w:pPr>
        <w:pStyle w:val="Prrafodelista"/>
        <w:numPr>
          <w:ilvl w:val="0"/>
          <w:numId w:val="24"/>
        </w:numPr>
        <w:spacing w:line="360" w:lineRule="auto"/>
        <w:jc w:val="both"/>
        <w:rPr>
          <w:rFonts w:ascii="Palatino Linotype" w:eastAsia="Calibri" w:hAnsi="Palatino Linotype"/>
        </w:rPr>
      </w:pPr>
      <w:r w:rsidRPr="000A604E">
        <w:rPr>
          <w:rFonts w:ascii="Palatino Linotype" w:eastAsia="Calibri" w:hAnsi="Palatino Linotype"/>
        </w:rPr>
        <w:t xml:space="preserve">El padrón de </w:t>
      </w:r>
      <w:r w:rsidRPr="00B17A8D">
        <w:rPr>
          <w:rFonts w:ascii="Palatino Linotype" w:eastAsia="Calibri" w:hAnsi="Palatino Linotype"/>
          <w:b/>
        </w:rPr>
        <w:t>concesionarios</w:t>
      </w:r>
      <w:r w:rsidRPr="000A604E">
        <w:rPr>
          <w:rFonts w:ascii="Palatino Linotype" w:eastAsia="Calibri" w:hAnsi="Palatino Linotype"/>
        </w:rPr>
        <w:t xml:space="preserve"> de transporte público por modalidad con unidades con:</w:t>
      </w:r>
    </w:p>
    <w:p w:rsid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lastRenderedPageBreak/>
        <w:t>Marca;</w:t>
      </w:r>
    </w:p>
    <w:p w:rsid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t>Serie;</w:t>
      </w:r>
    </w:p>
    <w:p w:rsid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t>Placas;</w:t>
      </w:r>
    </w:p>
    <w:p w:rsid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t>nombre de la empresa y representante legal;</w:t>
      </w:r>
    </w:p>
    <w:p w:rsid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t>medio de contacto, teléfono;</w:t>
      </w:r>
    </w:p>
    <w:p w:rsidR="000A604E" w:rsidRPr="000A604E" w:rsidRDefault="000A604E" w:rsidP="003F30DD">
      <w:pPr>
        <w:pStyle w:val="Prrafodelista"/>
        <w:numPr>
          <w:ilvl w:val="1"/>
          <w:numId w:val="24"/>
        </w:numPr>
        <w:spacing w:line="360" w:lineRule="auto"/>
        <w:ind w:left="1276" w:hanging="513"/>
        <w:jc w:val="both"/>
        <w:rPr>
          <w:rFonts w:ascii="Palatino Linotype" w:eastAsia="Calibri" w:hAnsi="Palatino Linotype"/>
        </w:rPr>
      </w:pPr>
      <w:r w:rsidRPr="000A604E">
        <w:rPr>
          <w:rFonts w:ascii="Palatino Linotype" w:eastAsia="Calibri" w:hAnsi="Palatino Linotype"/>
        </w:rPr>
        <w:t>domicilio municipio de operación;</w:t>
      </w:r>
    </w:p>
    <w:p w:rsidR="003D37B1" w:rsidRPr="000A604E" w:rsidRDefault="000A604E" w:rsidP="003F30DD">
      <w:pPr>
        <w:pStyle w:val="Prrafodelista"/>
        <w:numPr>
          <w:ilvl w:val="0"/>
          <w:numId w:val="25"/>
        </w:numPr>
        <w:spacing w:line="360" w:lineRule="auto"/>
        <w:jc w:val="both"/>
        <w:rPr>
          <w:rFonts w:ascii="Palatino Linotype" w:eastAsia="Calibri" w:hAnsi="Palatino Linotype"/>
        </w:rPr>
      </w:pPr>
      <w:r w:rsidRPr="000A604E">
        <w:rPr>
          <w:rFonts w:ascii="Palatino Linotype" w:eastAsia="Calibri" w:hAnsi="Palatino Linotype"/>
        </w:rPr>
        <w:t>operativos realizados y unidades que se detuvieron</w:t>
      </w:r>
    </w:p>
    <w:p w:rsidR="000A604E" w:rsidRDefault="000A604E" w:rsidP="003F30DD">
      <w:pPr>
        <w:spacing w:after="0" w:line="360" w:lineRule="auto"/>
        <w:jc w:val="both"/>
        <w:rPr>
          <w:rFonts w:ascii="Palatino Linotype" w:eastAsia="Calibri" w:hAnsi="Palatino Linotype"/>
          <w:sz w:val="24"/>
        </w:rPr>
      </w:pPr>
    </w:p>
    <w:p w:rsidR="00AF5F01" w:rsidRPr="00AF5F01" w:rsidRDefault="00AF5F01" w:rsidP="003F30DD">
      <w:pPr>
        <w:spacing w:after="0" w:line="360" w:lineRule="auto"/>
        <w:jc w:val="both"/>
        <w:rPr>
          <w:rFonts w:ascii="Palatino Linotype" w:eastAsia="Calibri" w:hAnsi="Palatino Linotype" w:cs="Arial"/>
          <w:color w:val="000000"/>
          <w:sz w:val="24"/>
          <w:lang w:eastAsia="es-MX"/>
        </w:rPr>
      </w:pPr>
      <w:r>
        <w:rPr>
          <w:rFonts w:ascii="Palatino Linotype" w:eastAsia="Calibri" w:hAnsi="Palatino Linotype"/>
          <w:sz w:val="24"/>
        </w:rPr>
        <w:t xml:space="preserve">En primer lugar, no pasa desapercibido que respecto del numeral </w:t>
      </w:r>
      <w:r w:rsidRPr="00AF5F01">
        <w:rPr>
          <w:rFonts w:ascii="Palatino Linotype" w:eastAsia="Calibri" w:hAnsi="Palatino Linotype"/>
          <w:b/>
          <w:sz w:val="26"/>
          <w:szCs w:val="26"/>
        </w:rPr>
        <w:t>1</w:t>
      </w:r>
      <w:r>
        <w:rPr>
          <w:rFonts w:ascii="Palatino Linotype" w:eastAsia="Calibri" w:hAnsi="Palatino Linotype"/>
          <w:sz w:val="24"/>
        </w:rPr>
        <w:t xml:space="preserve">, el </w:t>
      </w:r>
      <w:r w:rsidRPr="00B17A8D">
        <w:rPr>
          <w:rFonts w:ascii="Palatino Linotype" w:eastAsia="Calibri" w:hAnsi="Palatino Linotype"/>
          <w:b/>
          <w:sz w:val="24"/>
        </w:rPr>
        <w:t>Recurrente</w:t>
      </w:r>
      <w:r>
        <w:rPr>
          <w:rFonts w:ascii="Palatino Linotype" w:eastAsia="Calibri" w:hAnsi="Palatino Linotype"/>
          <w:sz w:val="24"/>
        </w:rPr>
        <w:t xml:space="preserve"> peticiona la entrega de un documento de tipo específico que contenga desagregados los datos referidos en los numerales </w:t>
      </w:r>
      <w:r w:rsidRPr="00AF5F01">
        <w:rPr>
          <w:rFonts w:ascii="Palatino Linotype" w:eastAsia="Calibri" w:hAnsi="Palatino Linotype"/>
          <w:b/>
          <w:sz w:val="26"/>
          <w:szCs w:val="26"/>
        </w:rPr>
        <w:t>1.1, 1.2, 1.3, 1.4, 1.5</w:t>
      </w:r>
      <w:r>
        <w:rPr>
          <w:rFonts w:ascii="Palatino Linotype" w:eastAsia="Calibri" w:hAnsi="Palatino Linotype"/>
          <w:sz w:val="24"/>
        </w:rPr>
        <w:t xml:space="preserve"> y </w:t>
      </w:r>
      <w:r w:rsidRPr="00AF5F01">
        <w:rPr>
          <w:rFonts w:ascii="Palatino Linotype" w:eastAsia="Calibri" w:hAnsi="Palatino Linotype"/>
          <w:b/>
          <w:sz w:val="26"/>
          <w:szCs w:val="26"/>
        </w:rPr>
        <w:t>1.6</w:t>
      </w:r>
      <w:r>
        <w:rPr>
          <w:rFonts w:ascii="Palatino Linotype" w:eastAsia="Calibri" w:hAnsi="Palatino Linotype"/>
          <w:sz w:val="24"/>
        </w:rPr>
        <w:t xml:space="preserve">, atentos a ello, resulta necesario hacerle del conocimiento que el derecho de acceso a la información se satisface con la entrega del soporte documental en el cual obre la información pública, </w:t>
      </w:r>
      <w:r w:rsidRPr="00AF5F01">
        <w:rPr>
          <w:rFonts w:ascii="Palatino Linotype" w:eastAsia="Calibri" w:hAnsi="Palatino Linotype" w:cs="Arial"/>
          <w:color w:val="000000"/>
          <w:sz w:val="24"/>
          <w:lang w:eastAsia="es-MX"/>
        </w:rPr>
        <w:t>toda vez que, los Sujetos Obligados</w:t>
      </w:r>
      <w:r w:rsidRPr="00AF5F01">
        <w:rPr>
          <w:rFonts w:ascii="Palatino Linotype" w:eastAsia="Calibri" w:hAnsi="Palatino Linotype" w:cs="Arial"/>
          <w:b/>
          <w:color w:val="000000"/>
          <w:sz w:val="24"/>
          <w:lang w:eastAsia="es-MX"/>
        </w:rPr>
        <w:t xml:space="preserve"> </w:t>
      </w:r>
      <w:r w:rsidRPr="00AF5F01">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AF5F01">
        <w:rPr>
          <w:rFonts w:ascii="Palatino Linotype" w:eastAsia="Calibri" w:hAnsi="Palatino Linotype" w:cs="Arial"/>
          <w:i/>
          <w:color w:val="000000"/>
          <w:sz w:val="24"/>
          <w:lang w:eastAsia="es-MX"/>
        </w:rPr>
        <w:t>ad hoc</w:t>
      </w:r>
      <w:r w:rsidRPr="00AF5F01">
        <w:rPr>
          <w:rFonts w:ascii="Palatino Linotype" w:eastAsia="Calibri" w:hAnsi="Palatino Linotype" w:cs="Arial"/>
          <w:color w:val="000000"/>
          <w:sz w:val="24"/>
          <w:lang w:eastAsia="es-MX"/>
        </w:rPr>
        <w:t>, para satisfacer el derecho de acceso a la información pública.</w:t>
      </w:r>
    </w:p>
    <w:p w:rsidR="00AF5F01" w:rsidRDefault="00AF5F01" w:rsidP="003F30DD">
      <w:pPr>
        <w:spacing w:after="0" w:line="360" w:lineRule="auto"/>
        <w:jc w:val="both"/>
        <w:rPr>
          <w:rFonts w:ascii="Palatino Linotype" w:eastAsia="Calibri" w:hAnsi="Palatino Linotype"/>
          <w:sz w:val="24"/>
        </w:rPr>
      </w:pPr>
    </w:p>
    <w:p w:rsidR="00AF5F01" w:rsidRPr="00AF5F01" w:rsidRDefault="00AF5F01" w:rsidP="003F30DD">
      <w:pPr>
        <w:spacing w:after="0" w:line="360" w:lineRule="auto"/>
        <w:jc w:val="both"/>
        <w:rPr>
          <w:rFonts w:ascii="Palatino Linotype" w:eastAsia="Calibri" w:hAnsi="Palatino Linotype" w:cs="Calibri"/>
          <w:b/>
          <w:bCs/>
          <w:color w:val="000000"/>
          <w:sz w:val="24"/>
          <w:lang w:eastAsia="es-MX"/>
        </w:rPr>
      </w:pPr>
      <w:r w:rsidRPr="00AF5F01">
        <w:rPr>
          <w:rFonts w:ascii="Palatino Linotype" w:eastAsia="Calibri" w:hAnsi="Palatino Linotype" w:cs="Arial"/>
          <w:color w:val="000000"/>
          <w:sz w:val="24"/>
          <w:lang w:eastAsia="es-MX"/>
        </w:rPr>
        <w:t xml:space="preserve">Como apoyo a lo anterior, es aplicable el Criterio 03-17, emitido por </w:t>
      </w:r>
      <w:r w:rsidRPr="00AF5F01">
        <w:rPr>
          <w:rFonts w:ascii="Palatino Linotype" w:eastAsia="Arial Unicode MS" w:hAnsi="Palatino Linotype" w:cs="Arial"/>
          <w:color w:val="000000"/>
          <w:sz w:val="24"/>
          <w:lang w:eastAsia="es-MX"/>
        </w:rPr>
        <w:t>el Instituto Nacional de Transparencia, Acceso a la Información y Protección de Datos Personales,</w:t>
      </w:r>
      <w:r w:rsidRPr="00AF5F01">
        <w:rPr>
          <w:rFonts w:ascii="Palatino Linotype" w:eastAsia="Calibri" w:hAnsi="Palatino Linotype" w:cs="Calibri"/>
          <w:bCs/>
          <w:color w:val="000000"/>
          <w:sz w:val="24"/>
          <w:lang w:eastAsia="es-MX"/>
        </w:rPr>
        <w:t xml:space="preserve"> que dice:</w:t>
      </w:r>
      <w:r w:rsidRPr="00AF5F01">
        <w:rPr>
          <w:rFonts w:ascii="Palatino Linotype" w:eastAsia="Calibri" w:hAnsi="Palatino Linotype" w:cs="Calibri"/>
          <w:b/>
          <w:bCs/>
          <w:color w:val="000000"/>
          <w:sz w:val="24"/>
          <w:lang w:eastAsia="es-MX"/>
        </w:rPr>
        <w:t xml:space="preserve"> </w:t>
      </w:r>
    </w:p>
    <w:p w:rsidR="00AF5F01" w:rsidRPr="00AF5F01" w:rsidRDefault="00AF5F01" w:rsidP="003F30DD">
      <w:pPr>
        <w:spacing w:after="0" w:line="240" w:lineRule="auto"/>
        <w:rPr>
          <w:rFonts w:ascii="Palatino Linotype" w:eastAsia="Times New Roman" w:hAnsi="Palatino Linotype" w:cs="Times New Roman"/>
          <w:sz w:val="24"/>
          <w:szCs w:val="24"/>
          <w:lang w:eastAsia="es-ES"/>
        </w:rPr>
      </w:pPr>
    </w:p>
    <w:p w:rsidR="00AF5F01" w:rsidRPr="00AF5F01" w:rsidRDefault="00AF5F01" w:rsidP="003F30DD">
      <w:pPr>
        <w:spacing w:after="0"/>
        <w:ind w:left="851" w:right="850"/>
        <w:jc w:val="both"/>
        <w:rPr>
          <w:rFonts w:ascii="Palatino Linotype" w:eastAsia="Calibri" w:hAnsi="Palatino Linotype" w:cs="Arial"/>
          <w:color w:val="000000"/>
          <w:sz w:val="2"/>
          <w:lang w:eastAsia="es-MX"/>
        </w:rPr>
      </w:pPr>
    </w:p>
    <w:p w:rsidR="00AF5F01" w:rsidRPr="00AF5F01" w:rsidRDefault="00AF5F01" w:rsidP="003F30DD">
      <w:pPr>
        <w:spacing w:after="0" w:line="240" w:lineRule="auto"/>
        <w:ind w:left="567" w:right="567"/>
        <w:jc w:val="both"/>
        <w:rPr>
          <w:rFonts w:ascii="Palatino Linotype" w:eastAsia="Calibri" w:hAnsi="Palatino Linotype" w:cs="Arial"/>
          <w:i/>
          <w:color w:val="000000"/>
          <w:lang w:eastAsia="es-MX"/>
        </w:rPr>
      </w:pPr>
      <w:r w:rsidRPr="00AF5F01">
        <w:rPr>
          <w:rFonts w:ascii="Palatino Linotype" w:eastAsia="Calibri" w:hAnsi="Palatino Linotype" w:cs="Arial"/>
          <w:b/>
          <w:i/>
          <w:color w:val="000000"/>
          <w:lang w:eastAsia="es-MX"/>
        </w:rPr>
        <w:t>“No existe obligación de elaborar documentos ad hoc para atender las solicitudes de acceso a la información.</w:t>
      </w:r>
      <w:r w:rsidRPr="00AF5F01">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AF5F01">
        <w:rPr>
          <w:rFonts w:ascii="Palatino Linotype" w:eastAsia="Calibri" w:hAnsi="Palatino Linotype" w:cs="Arial"/>
          <w:i/>
          <w:color w:val="000000"/>
          <w:lang w:eastAsia="es-MX"/>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F5F01" w:rsidRPr="00AF5F01" w:rsidRDefault="00AF5F01" w:rsidP="003F30DD">
      <w:pPr>
        <w:spacing w:after="0" w:line="240" w:lineRule="auto"/>
        <w:ind w:left="567" w:right="567"/>
        <w:jc w:val="both"/>
        <w:rPr>
          <w:rFonts w:ascii="Palatino Linotype" w:eastAsia="Calibri" w:hAnsi="Palatino Linotype" w:cs="Arial"/>
          <w:i/>
          <w:color w:val="000000"/>
          <w:sz w:val="2"/>
          <w:lang w:eastAsia="es-MX"/>
        </w:rPr>
      </w:pPr>
    </w:p>
    <w:p w:rsidR="00AF5F01" w:rsidRPr="00AF5F01" w:rsidRDefault="00AF5F01" w:rsidP="003F30DD">
      <w:pPr>
        <w:spacing w:after="0" w:line="360" w:lineRule="auto"/>
        <w:jc w:val="both"/>
        <w:rPr>
          <w:rFonts w:ascii="Palatino Linotype" w:eastAsia="Calibri" w:hAnsi="Palatino Linotype" w:cs="Arial"/>
          <w:color w:val="000000" w:themeColor="text1"/>
          <w:sz w:val="24"/>
          <w:lang w:eastAsia="es-MX"/>
        </w:rPr>
      </w:pPr>
    </w:p>
    <w:p w:rsidR="00AF5F01" w:rsidRPr="00AF5F01" w:rsidRDefault="00AF5F01" w:rsidP="003F30DD">
      <w:pPr>
        <w:spacing w:after="0" w:line="360" w:lineRule="auto"/>
        <w:jc w:val="both"/>
        <w:rPr>
          <w:rFonts w:ascii="Palatino Linotype" w:eastAsia="Calibri" w:hAnsi="Palatino Linotype" w:cs="Arial"/>
          <w:color w:val="000000" w:themeColor="text1"/>
          <w:sz w:val="24"/>
          <w:lang w:eastAsia="es-MX"/>
        </w:rPr>
      </w:pPr>
      <w:r w:rsidRPr="00AF5F01">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AF5F01">
        <w:rPr>
          <w:rFonts w:ascii="Palatino Linotype" w:eastAsia="Calibri" w:hAnsi="Palatino Linotype" w:cs="Arial"/>
          <w:sz w:val="24"/>
          <w:lang w:eastAsia="es-MX"/>
        </w:rPr>
        <w:t>generen</w:t>
      </w:r>
      <w:r w:rsidRPr="00AF5F01">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F5F01" w:rsidRDefault="00AF5F01" w:rsidP="003F30DD">
      <w:pPr>
        <w:spacing w:after="0" w:line="360" w:lineRule="auto"/>
        <w:jc w:val="both"/>
        <w:rPr>
          <w:rFonts w:ascii="Palatino Linotype" w:eastAsia="Calibri" w:hAnsi="Palatino Linotype"/>
          <w:sz w:val="24"/>
        </w:rPr>
      </w:pPr>
    </w:p>
    <w:p w:rsidR="003D37B1" w:rsidRDefault="00AF5F01" w:rsidP="003F30DD">
      <w:pPr>
        <w:spacing w:after="0" w:line="360" w:lineRule="auto"/>
        <w:jc w:val="both"/>
        <w:rPr>
          <w:rFonts w:ascii="Palatino Linotype" w:hAnsi="Palatino Linotype" w:cs="Arial"/>
          <w:sz w:val="24"/>
          <w:szCs w:val="24"/>
        </w:rPr>
      </w:pPr>
      <w:r>
        <w:rPr>
          <w:rFonts w:ascii="Palatino Linotype" w:eastAsia="Calibri" w:hAnsi="Palatino Linotype"/>
          <w:sz w:val="24"/>
        </w:rPr>
        <w:t>Acotado lo anterior, de conformidad con las constancias, se observa que, e</w:t>
      </w:r>
      <w:r w:rsidR="003D37B1">
        <w:rPr>
          <w:rFonts w:ascii="Palatino Linotype" w:eastAsia="Calibri" w:hAnsi="Palatino Linotype"/>
          <w:sz w:val="24"/>
        </w:rPr>
        <w:t xml:space="preserve">l </w:t>
      </w:r>
      <w:r w:rsidR="003D37B1" w:rsidRPr="00F00548">
        <w:rPr>
          <w:rFonts w:ascii="Palatino Linotype" w:eastAsia="Calibri" w:hAnsi="Palatino Linotype"/>
          <w:b/>
          <w:sz w:val="24"/>
        </w:rPr>
        <w:t>Sujeto Obligado</w:t>
      </w:r>
      <w:r w:rsidR="003D37B1">
        <w:rPr>
          <w:rFonts w:ascii="Palatino Linotype" w:eastAsia="Calibri" w:hAnsi="Palatino Linotype"/>
          <w:sz w:val="24"/>
        </w:rPr>
        <w:t xml:space="preserve"> dio respuesta, a través de</w:t>
      </w:r>
      <w:r w:rsidR="000A604E">
        <w:rPr>
          <w:rFonts w:ascii="Palatino Linotype" w:eastAsia="Calibri" w:hAnsi="Palatino Linotype"/>
          <w:sz w:val="24"/>
        </w:rPr>
        <w:t xml:space="preserve"> </w:t>
      </w:r>
      <w:r w:rsidR="003D37B1">
        <w:rPr>
          <w:rFonts w:ascii="Palatino Linotype" w:eastAsia="Calibri" w:hAnsi="Palatino Linotype"/>
          <w:sz w:val="24"/>
        </w:rPr>
        <w:t>l</w:t>
      </w:r>
      <w:r w:rsidR="000A604E">
        <w:rPr>
          <w:rFonts w:ascii="Palatino Linotype" w:eastAsia="Calibri" w:hAnsi="Palatino Linotype"/>
          <w:sz w:val="24"/>
        </w:rPr>
        <w:t>os</w:t>
      </w:r>
      <w:r w:rsidR="003D37B1">
        <w:rPr>
          <w:rFonts w:ascii="Palatino Linotype" w:eastAsia="Calibri" w:hAnsi="Palatino Linotype"/>
          <w:sz w:val="24"/>
        </w:rPr>
        <w:t xml:space="preserve"> documento</w:t>
      </w:r>
      <w:r w:rsidR="000A604E">
        <w:rPr>
          <w:rFonts w:ascii="Palatino Linotype" w:eastAsia="Calibri" w:hAnsi="Palatino Linotype"/>
          <w:sz w:val="24"/>
        </w:rPr>
        <w:t>s</w:t>
      </w:r>
      <w:r w:rsidR="003D37B1">
        <w:rPr>
          <w:rFonts w:ascii="Palatino Linotype" w:eastAsia="Calibri" w:hAnsi="Palatino Linotype"/>
          <w:sz w:val="24"/>
        </w:rPr>
        <w:t xml:space="preserve"> electrónico</w:t>
      </w:r>
      <w:r w:rsidR="000A604E">
        <w:rPr>
          <w:rFonts w:ascii="Palatino Linotype" w:eastAsia="Calibri" w:hAnsi="Palatino Linotype"/>
          <w:sz w:val="24"/>
        </w:rPr>
        <w:t>s</w:t>
      </w:r>
      <w:r w:rsidR="003D37B1">
        <w:rPr>
          <w:rFonts w:ascii="Palatino Linotype" w:eastAsia="Calibri" w:hAnsi="Palatino Linotype"/>
          <w:sz w:val="24"/>
        </w:rPr>
        <w:t xml:space="preserve"> </w:t>
      </w:r>
      <w:r w:rsidR="000A604E" w:rsidRPr="00BA20A8">
        <w:rPr>
          <w:rFonts w:ascii="Palatino Linotype" w:hAnsi="Palatino Linotype" w:cs="Arial"/>
          <w:sz w:val="24"/>
          <w:szCs w:val="24"/>
        </w:rPr>
        <w:t>“</w:t>
      </w:r>
      <w:r w:rsidR="000A604E" w:rsidRPr="003D37B1">
        <w:rPr>
          <w:rFonts w:ascii="Palatino Linotype" w:hAnsi="Palatino Linotype" w:cs="Arial"/>
          <w:b/>
          <w:i/>
          <w:sz w:val="24"/>
          <w:szCs w:val="24"/>
        </w:rPr>
        <w:t>Respuesta UT Solicitud 00378 (final).pdf</w:t>
      </w:r>
      <w:r w:rsidR="000A604E">
        <w:rPr>
          <w:rFonts w:ascii="Palatino Linotype" w:hAnsi="Palatino Linotype" w:cs="Arial"/>
          <w:b/>
          <w:i/>
          <w:sz w:val="24"/>
          <w:szCs w:val="24"/>
        </w:rPr>
        <w:t xml:space="preserve">, </w:t>
      </w:r>
      <w:r w:rsidR="000A604E" w:rsidRPr="003D37B1">
        <w:rPr>
          <w:rFonts w:ascii="Palatino Linotype" w:hAnsi="Palatino Linotype" w:cs="Arial"/>
          <w:b/>
          <w:i/>
          <w:sz w:val="24"/>
          <w:szCs w:val="24"/>
        </w:rPr>
        <w:t>Anexos Respuesta Sol 00378.zip</w:t>
      </w:r>
      <w:r w:rsidR="000A604E" w:rsidRPr="003D37B1">
        <w:rPr>
          <w:rFonts w:ascii="Palatino Linotype" w:hAnsi="Palatino Linotype" w:cs="Arial"/>
          <w:sz w:val="24"/>
          <w:szCs w:val="24"/>
        </w:rPr>
        <w:t xml:space="preserve"> y </w:t>
      </w:r>
      <w:r w:rsidR="000A604E" w:rsidRPr="003D37B1">
        <w:rPr>
          <w:rFonts w:ascii="Palatino Linotype" w:hAnsi="Palatino Linotype" w:cs="Arial"/>
          <w:b/>
          <w:i/>
          <w:sz w:val="24"/>
          <w:szCs w:val="24"/>
        </w:rPr>
        <w:t>Acta 133a Extraord Solic 00378 (Reserva).pdf</w:t>
      </w:r>
      <w:r w:rsidR="000A604E" w:rsidRPr="00BA20A8">
        <w:rPr>
          <w:rFonts w:ascii="Palatino Linotype" w:hAnsi="Palatino Linotype" w:cs="Arial"/>
          <w:sz w:val="24"/>
          <w:szCs w:val="24"/>
        </w:rPr>
        <w:t>”,</w:t>
      </w:r>
      <w:r w:rsidR="000A604E">
        <w:rPr>
          <w:rFonts w:ascii="Palatino Linotype" w:hAnsi="Palatino Linotype" w:cs="Arial"/>
          <w:sz w:val="24"/>
          <w:szCs w:val="24"/>
        </w:rPr>
        <w:t xml:space="preserve"> de los que se observa el contenido siguiente</w:t>
      </w:r>
      <w:r w:rsidR="003D37B1">
        <w:rPr>
          <w:rFonts w:ascii="Palatino Linotype" w:hAnsi="Palatino Linotype" w:cs="Arial"/>
          <w:sz w:val="24"/>
          <w:szCs w:val="24"/>
        </w:rPr>
        <w:t>:</w:t>
      </w:r>
    </w:p>
    <w:p w:rsidR="003D37B1" w:rsidRDefault="003D37B1" w:rsidP="003F30DD">
      <w:pPr>
        <w:spacing w:after="0" w:line="360" w:lineRule="auto"/>
        <w:jc w:val="both"/>
        <w:rPr>
          <w:rFonts w:ascii="Palatino Linotype" w:hAnsi="Palatino Linotype" w:cs="Arial"/>
          <w:sz w:val="24"/>
          <w:szCs w:val="24"/>
        </w:rPr>
      </w:pPr>
    </w:p>
    <w:p w:rsidR="000A604E" w:rsidRPr="000A604E" w:rsidRDefault="000A604E" w:rsidP="003F30DD">
      <w:pPr>
        <w:pStyle w:val="Prrafodelista"/>
        <w:numPr>
          <w:ilvl w:val="0"/>
          <w:numId w:val="26"/>
        </w:numPr>
        <w:spacing w:line="360" w:lineRule="auto"/>
        <w:jc w:val="both"/>
        <w:rPr>
          <w:rFonts w:ascii="Palatino Linotype" w:hAnsi="Palatino Linotype" w:cs="Arial"/>
        </w:rPr>
      </w:pPr>
      <w:r w:rsidRPr="003D37B1">
        <w:rPr>
          <w:rFonts w:ascii="Palatino Linotype" w:hAnsi="Palatino Linotype" w:cs="Arial"/>
          <w:b/>
          <w:i/>
        </w:rPr>
        <w:t>Respuesta UT Solicitud 00378 (final).pdf</w:t>
      </w:r>
      <w:r>
        <w:rPr>
          <w:rFonts w:ascii="Palatino Linotype" w:hAnsi="Palatino Linotype" w:cs="Arial"/>
          <w:b/>
          <w:i/>
        </w:rPr>
        <w:t>:</w:t>
      </w:r>
      <w:r>
        <w:rPr>
          <w:rFonts w:ascii="Palatino Linotype" w:hAnsi="Palatino Linotype" w:cs="Arial"/>
        </w:rPr>
        <w:t xml:space="preserve"> oficio sin número de fecha diecisiete de agosto de dos mil veintidós, remitido por el Sujeto Obligado al entonces Solicitante, a través del cual sustancialmente informa lo siguiente:</w:t>
      </w:r>
    </w:p>
    <w:p w:rsidR="000A604E" w:rsidRDefault="000A604E" w:rsidP="003F30DD">
      <w:pPr>
        <w:spacing w:after="0" w:line="360" w:lineRule="auto"/>
        <w:jc w:val="both"/>
        <w:rPr>
          <w:rFonts w:ascii="Palatino Linotype" w:hAnsi="Palatino Linotype" w:cs="Arial"/>
          <w:sz w:val="24"/>
          <w:szCs w:val="24"/>
        </w:rPr>
      </w:pPr>
    </w:p>
    <w:p w:rsidR="000A604E" w:rsidRPr="000A604E" w:rsidRDefault="003D37B1" w:rsidP="003F30DD">
      <w:pPr>
        <w:spacing w:after="0" w:line="240" w:lineRule="auto"/>
        <w:ind w:left="567" w:right="567"/>
        <w:jc w:val="both"/>
        <w:rPr>
          <w:rFonts w:ascii="Palatino Linotype" w:eastAsia="Calibri" w:hAnsi="Palatino Linotype"/>
          <w:b/>
          <w:i/>
          <w:lang w:val="es-ES_tradnl"/>
        </w:rPr>
      </w:pPr>
      <w:r w:rsidRPr="000A604E">
        <w:rPr>
          <w:rFonts w:ascii="Palatino Linotype" w:eastAsia="Calibri" w:hAnsi="Palatino Linotype"/>
          <w:b/>
          <w:i/>
          <w:lang w:val="es-ES_tradnl"/>
        </w:rPr>
        <w:t>“</w:t>
      </w:r>
      <w:r w:rsidR="000A604E" w:rsidRPr="000A604E">
        <w:rPr>
          <w:rFonts w:ascii="Palatino Linotype" w:eastAsia="Calibri" w:hAnsi="Palatino Linotype"/>
          <w:b/>
          <w:i/>
          <w:lang w:val="es-ES_tradnl"/>
        </w:rPr>
        <w:t>Dirección General del Registro Estatal de Transporte Público</w:t>
      </w:r>
    </w:p>
    <w:p w:rsidR="000A604E" w:rsidRDefault="000A604E" w:rsidP="003F30DD">
      <w:pPr>
        <w:spacing w:after="0" w:line="240" w:lineRule="auto"/>
        <w:ind w:left="567" w:right="567"/>
        <w:jc w:val="both"/>
        <w:rPr>
          <w:rFonts w:ascii="Palatino Linotype" w:eastAsia="Calibri" w:hAnsi="Palatino Linotype"/>
          <w:i/>
          <w:lang w:val="es-ES_tradnl"/>
        </w:rPr>
      </w:pPr>
    </w:p>
    <w:p w:rsidR="000A604E" w:rsidRPr="000A604E" w:rsidRDefault="000A604E" w:rsidP="003F30DD">
      <w:pPr>
        <w:spacing w:after="0" w:line="240" w:lineRule="auto"/>
        <w:ind w:left="567" w:right="567"/>
        <w:jc w:val="both"/>
        <w:rPr>
          <w:rFonts w:ascii="Palatino Linotype" w:eastAsia="Calibri" w:hAnsi="Palatino Linotype"/>
          <w:i/>
          <w:u w:val="single"/>
          <w:lang w:val="es-ES_tradnl"/>
        </w:rPr>
      </w:pPr>
      <w:r>
        <w:rPr>
          <w:rFonts w:ascii="Palatino Linotype" w:eastAsia="Calibri" w:hAnsi="Palatino Linotype"/>
          <w:i/>
          <w:lang w:val="es-ES_tradnl"/>
        </w:rPr>
        <w:t xml:space="preserve">… </w:t>
      </w:r>
      <w:r w:rsidRPr="000A604E">
        <w:rPr>
          <w:rFonts w:ascii="Palatino Linotype" w:eastAsia="Calibri" w:hAnsi="Palatino Linotype"/>
          <w:i/>
          <w:lang w:val="es-ES_tradnl"/>
        </w:rPr>
        <w:t>de conformidad con el artículo 25 del Reglamento Interior de la Secretaría de Movilidad, esta</w:t>
      </w:r>
      <w:r>
        <w:rPr>
          <w:rFonts w:ascii="Palatino Linotype" w:eastAsia="Calibri" w:hAnsi="Palatino Linotype"/>
          <w:i/>
          <w:lang w:val="es-ES_tradnl"/>
        </w:rPr>
        <w:t xml:space="preserve"> </w:t>
      </w:r>
      <w:r w:rsidRPr="000A604E">
        <w:rPr>
          <w:rFonts w:ascii="Palatino Linotype" w:eastAsia="Calibri" w:hAnsi="Palatino Linotype"/>
          <w:i/>
          <w:lang w:val="es-ES_tradnl"/>
        </w:rPr>
        <w:t>Dirección General del Registro Estatal de Transporte Público únicamente tiene atribuciones para integrar y</w:t>
      </w:r>
      <w:r>
        <w:rPr>
          <w:rFonts w:ascii="Palatino Linotype" w:eastAsia="Calibri" w:hAnsi="Palatino Linotype"/>
          <w:i/>
          <w:lang w:val="es-ES_tradnl"/>
        </w:rPr>
        <w:t xml:space="preserve"> </w:t>
      </w:r>
      <w:r w:rsidRPr="000A604E">
        <w:rPr>
          <w:rFonts w:ascii="Palatino Linotype" w:eastAsia="Calibri" w:hAnsi="Palatino Linotype"/>
          <w:i/>
          <w:lang w:val="es-ES_tradnl"/>
        </w:rPr>
        <w:t>custodiar la información que con motivo del otorgamiento de concesiones y/o permisos se genere para la</w:t>
      </w:r>
      <w:r>
        <w:rPr>
          <w:rFonts w:ascii="Palatino Linotype" w:eastAsia="Calibri" w:hAnsi="Palatino Linotype"/>
          <w:i/>
          <w:lang w:val="es-ES_tradnl"/>
        </w:rPr>
        <w:t xml:space="preserve"> </w:t>
      </w:r>
      <w:r w:rsidRPr="000A604E">
        <w:rPr>
          <w:rFonts w:ascii="Palatino Linotype" w:eastAsia="Calibri" w:hAnsi="Palatino Linotype"/>
          <w:i/>
          <w:lang w:val="es-ES_tradnl"/>
        </w:rPr>
        <w:t>prestación del servicio de transporte público. En tal sentido, es preciso señalar que esta Dirección General</w:t>
      </w:r>
      <w:r>
        <w:rPr>
          <w:rFonts w:ascii="Palatino Linotype" w:eastAsia="Calibri" w:hAnsi="Palatino Linotype"/>
          <w:i/>
          <w:lang w:val="es-ES_tradnl"/>
        </w:rPr>
        <w:t xml:space="preserve"> </w:t>
      </w:r>
      <w:r w:rsidRPr="000A604E">
        <w:rPr>
          <w:rFonts w:ascii="Palatino Linotype" w:eastAsia="Calibri" w:hAnsi="Palatino Linotype"/>
          <w:i/>
          <w:lang w:val="es-ES_tradnl"/>
        </w:rPr>
        <w:t xml:space="preserve">del </w:t>
      </w:r>
      <w:r>
        <w:rPr>
          <w:rFonts w:ascii="Palatino Linotype" w:eastAsia="Calibri" w:hAnsi="Palatino Linotype"/>
          <w:i/>
          <w:lang w:val="es-ES_tradnl"/>
        </w:rPr>
        <w:t>Registro</w:t>
      </w:r>
      <w:r w:rsidRPr="000A604E">
        <w:rPr>
          <w:rFonts w:ascii="Palatino Linotype" w:eastAsia="Calibri" w:hAnsi="Palatino Linotype"/>
          <w:i/>
          <w:lang w:val="es-ES_tradnl"/>
        </w:rPr>
        <w:t xml:space="preserve"> Estatal de Transporte Público, en su carácter de SUJETO HABILITADO, advierte que lo</w:t>
      </w:r>
      <w:r>
        <w:rPr>
          <w:rFonts w:ascii="Palatino Linotype" w:eastAsia="Calibri" w:hAnsi="Palatino Linotype"/>
          <w:i/>
          <w:lang w:val="es-ES_tradnl"/>
        </w:rPr>
        <w:t xml:space="preserve"> </w:t>
      </w:r>
      <w:r w:rsidRPr="000A604E">
        <w:rPr>
          <w:rFonts w:ascii="Palatino Linotype" w:eastAsia="Calibri" w:hAnsi="Palatino Linotype"/>
          <w:i/>
          <w:lang w:val="es-ES_tradnl"/>
        </w:rPr>
        <w:t>solicitado en el folio descrito, versa en una primera premisa sobre *...concesionarios de transporte público</w:t>
      </w:r>
      <w:r>
        <w:rPr>
          <w:rFonts w:ascii="Palatino Linotype" w:eastAsia="Calibri" w:hAnsi="Palatino Linotype"/>
          <w:i/>
          <w:lang w:val="es-ES_tradnl"/>
        </w:rPr>
        <w:t xml:space="preserve"> </w:t>
      </w:r>
      <w:r w:rsidRPr="000A604E">
        <w:rPr>
          <w:rFonts w:ascii="Palatino Linotype" w:eastAsia="Calibri" w:hAnsi="Palatino Linotype"/>
          <w:i/>
          <w:lang w:val="es-ES_tradnl"/>
        </w:rPr>
        <w:t xml:space="preserve">por </w:t>
      </w:r>
      <w:r w:rsidRPr="000A604E">
        <w:rPr>
          <w:rFonts w:ascii="Palatino Linotype" w:eastAsia="Calibri" w:hAnsi="Palatino Linotype"/>
          <w:i/>
          <w:lang w:val="es-ES_tradnl"/>
        </w:rPr>
        <w:lastRenderedPageBreak/>
        <w:t>modalidad con unidades con marca serie, placas, nombre de la empresa...municipio de operación”[Sic],</w:t>
      </w:r>
      <w:r>
        <w:rPr>
          <w:rFonts w:ascii="Palatino Linotype" w:eastAsia="Calibri" w:hAnsi="Palatino Linotype"/>
          <w:i/>
          <w:lang w:val="es-ES_tradnl"/>
        </w:rPr>
        <w:t xml:space="preserve"> </w:t>
      </w:r>
      <w:r w:rsidRPr="000A604E">
        <w:rPr>
          <w:rFonts w:ascii="Palatino Linotype" w:eastAsia="Calibri" w:hAnsi="Palatino Linotype"/>
          <w:i/>
          <w:lang w:val="es-ES_tradnl"/>
        </w:rPr>
        <w:t>por lo que se puede advertir que esta se refieren a información que obra en la base de datos que integra el</w:t>
      </w:r>
      <w:r>
        <w:rPr>
          <w:rFonts w:ascii="Palatino Linotype" w:eastAsia="Calibri" w:hAnsi="Palatino Linotype"/>
          <w:i/>
          <w:lang w:val="es-ES_tradnl"/>
        </w:rPr>
        <w:t xml:space="preserve"> </w:t>
      </w:r>
      <w:r w:rsidRPr="000A604E">
        <w:rPr>
          <w:rFonts w:ascii="Palatino Linotype" w:eastAsia="Calibri" w:hAnsi="Palatino Linotype"/>
          <w:i/>
          <w:lang w:val="es-ES_tradnl"/>
        </w:rPr>
        <w:t xml:space="preserve">Registro Estatal de Transporte Público, por lo cual es conveniente mencionar que </w:t>
      </w:r>
      <w:r w:rsidRPr="000A604E">
        <w:rPr>
          <w:rFonts w:ascii="Palatino Linotype" w:eastAsia="Calibri" w:hAnsi="Palatino Linotype"/>
          <w:i/>
          <w:u w:val="single"/>
          <w:lang w:val="es-ES_tradnl"/>
        </w:rPr>
        <w:t>dicha información, se encuentra reservada con la aplicación de la PRUEBA DE DAÑO correspondiente, advirtiendo en la misma los MOTIVOS -RAZONES DE RIESGO.</w:t>
      </w:r>
    </w:p>
    <w:p w:rsidR="000A604E" w:rsidRPr="000A604E" w:rsidRDefault="000A604E" w:rsidP="003F30DD">
      <w:pPr>
        <w:spacing w:after="0" w:line="240" w:lineRule="auto"/>
        <w:ind w:left="567" w:right="567"/>
        <w:jc w:val="both"/>
        <w:rPr>
          <w:rFonts w:ascii="Palatino Linotype" w:eastAsia="Calibri" w:hAnsi="Palatino Linotype"/>
          <w:i/>
          <w:lang w:val="es-ES_tradnl"/>
        </w:rPr>
      </w:pPr>
    </w:p>
    <w:p w:rsidR="000A604E" w:rsidRPr="000A604E" w:rsidRDefault="000A604E" w:rsidP="003F30DD">
      <w:pPr>
        <w:spacing w:after="0" w:line="240" w:lineRule="auto"/>
        <w:ind w:left="567" w:right="567"/>
        <w:jc w:val="both"/>
        <w:rPr>
          <w:rFonts w:ascii="Palatino Linotype" w:eastAsia="Calibri" w:hAnsi="Palatino Linotype"/>
          <w:i/>
          <w:lang w:val="es-ES_tradnl"/>
        </w:rPr>
      </w:pPr>
      <w:r w:rsidRPr="000A604E">
        <w:rPr>
          <w:rFonts w:ascii="Palatino Linotype" w:eastAsia="Calibri" w:hAnsi="Palatino Linotype"/>
          <w:i/>
          <w:lang w:val="es-ES_tradnl"/>
        </w:rPr>
        <w:t xml:space="preserve">No omito mencionar que </w:t>
      </w:r>
      <w:r w:rsidRPr="00F67188">
        <w:rPr>
          <w:rFonts w:ascii="Palatino Linotype" w:eastAsia="Calibri" w:hAnsi="Palatino Linotype"/>
          <w:i/>
          <w:u w:val="single"/>
          <w:lang w:val="es-ES_tradnl"/>
        </w:rPr>
        <w:t>lo relativo a los representantes legales, no son datos que se integran y/o resguarda en los archivos digitales del Registro Estatal de Transporte Público, estos es, datos concernientes a la persona que de forma especifica ostenta facultades de representante legal de la empresas prestadoras del servicio de transporte público, por lo que se tiene imposibilidad legal y material de proporcionar tal información</w:t>
      </w:r>
      <w:r w:rsidRPr="000A604E">
        <w:rPr>
          <w:rFonts w:ascii="Palatino Linotype" w:eastAsia="Calibri" w:hAnsi="Palatino Linotype"/>
          <w:i/>
          <w:lang w:val="es-ES_tradnl"/>
        </w:rPr>
        <w:t>, sirva de sustento el párrafo segundo del artículo1.2 de la Ley de Transparencia y Acceso a la</w:t>
      </w:r>
      <w:r>
        <w:rPr>
          <w:rFonts w:ascii="Palatino Linotype" w:eastAsia="Calibri" w:hAnsi="Palatino Linotype"/>
          <w:i/>
          <w:lang w:val="es-ES_tradnl"/>
        </w:rPr>
        <w:t xml:space="preserve"> </w:t>
      </w:r>
      <w:r w:rsidRPr="000A604E">
        <w:rPr>
          <w:rFonts w:ascii="Palatino Linotype" w:eastAsia="Calibri" w:hAnsi="Palatino Linotype"/>
          <w:i/>
          <w:lang w:val="es-ES_tradnl"/>
        </w:rPr>
        <w:t>Información Pública del Estado de México y Municipios, que a la letra indica: “Artículo 12... Los sujetos</w:t>
      </w:r>
      <w:r>
        <w:rPr>
          <w:rFonts w:ascii="Palatino Linotype" w:eastAsia="Calibri" w:hAnsi="Palatino Linotype"/>
          <w:i/>
          <w:lang w:val="es-ES_tradnl"/>
        </w:rPr>
        <w:t xml:space="preserve"> </w:t>
      </w:r>
      <w:r w:rsidRPr="000A604E">
        <w:rPr>
          <w:rFonts w:ascii="Palatino Linotype" w:eastAsia="Calibri" w:hAnsi="Palatino Linotype"/>
          <w:i/>
          <w:lang w:val="es-ES_tradnl"/>
        </w:rPr>
        <w:t>obligados sólo proporcionarán la información pública que se les requiera y que obre en sus archivos y en el</w:t>
      </w:r>
      <w:r>
        <w:rPr>
          <w:rFonts w:ascii="Palatino Linotype" w:eastAsia="Calibri" w:hAnsi="Palatino Linotype"/>
          <w:i/>
          <w:lang w:val="es-ES_tradnl"/>
        </w:rPr>
        <w:t xml:space="preserve"> </w:t>
      </w:r>
      <w:r w:rsidRPr="000A604E">
        <w:rPr>
          <w:rFonts w:ascii="Palatino Linotype" w:eastAsia="Calibri" w:hAnsi="Palatino Linotype"/>
          <w:i/>
          <w:lang w:val="es-ES_tradnl"/>
        </w:rPr>
        <w:t>estado en que ésta se encuentre. La obligación de proporcionar información no comprende el</w:t>
      </w:r>
      <w:r>
        <w:rPr>
          <w:rFonts w:ascii="Palatino Linotype" w:eastAsia="Calibri" w:hAnsi="Palatino Linotype"/>
          <w:i/>
          <w:lang w:val="es-ES_tradnl"/>
        </w:rPr>
        <w:t xml:space="preserve"> </w:t>
      </w:r>
      <w:r w:rsidRPr="000A604E">
        <w:rPr>
          <w:rFonts w:ascii="Palatino Linotype" w:eastAsia="Calibri" w:hAnsi="Palatino Linotype"/>
          <w:i/>
          <w:lang w:val="es-ES_tradnl"/>
        </w:rPr>
        <w:t>procesamiento de la misma, ni el presentarla conforme al interés del solicitante; no estarán obligados a</w:t>
      </w:r>
      <w:r>
        <w:rPr>
          <w:rFonts w:ascii="Palatino Linotype" w:eastAsia="Calibri" w:hAnsi="Palatino Linotype"/>
          <w:i/>
          <w:lang w:val="es-ES_tradnl"/>
        </w:rPr>
        <w:t xml:space="preserve"> </w:t>
      </w:r>
      <w:r w:rsidRPr="000A604E">
        <w:rPr>
          <w:rFonts w:ascii="Palatino Linotype" w:eastAsia="Calibri" w:hAnsi="Palatino Linotype"/>
          <w:i/>
          <w:lang w:val="es-ES_tradnl"/>
        </w:rPr>
        <w:t>generarla, resumirla, efectuar cálculos o practicar investigaciones.”</w:t>
      </w:r>
    </w:p>
    <w:p w:rsidR="000A604E" w:rsidRPr="000A604E" w:rsidRDefault="000A604E" w:rsidP="003F30DD">
      <w:pPr>
        <w:spacing w:after="0" w:line="240" w:lineRule="auto"/>
        <w:ind w:left="567" w:right="567"/>
        <w:jc w:val="both"/>
        <w:rPr>
          <w:rFonts w:ascii="Palatino Linotype" w:eastAsia="Calibri" w:hAnsi="Palatino Linotype"/>
          <w:i/>
          <w:lang w:val="es-ES_tradnl"/>
        </w:rPr>
      </w:pPr>
    </w:p>
    <w:p w:rsidR="000A604E" w:rsidRPr="000A604E" w:rsidRDefault="000A604E" w:rsidP="003F30DD">
      <w:pPr>
        <w:spacing w:after="0" w:line="240" w:lineRule="auto"/>
        <w:ind w:left="567" w:right="567"/>
        <w:jc w:val="both"/>
        <w:rPr>
          <w:rFonts w:ascii="Palatino Linotype" w:eastAsia="Calibri" w:hAnsi="Palatino Linotype"/>
          <w:i/>
          <w:lang w:val="es-ES_tradnl"/>
        </w:rPr>
      </w:pPr>
      <w:r w:rsidRPr="000A604E">
        <w:rPr>
          <w:rFonts w:ascii="Palatino Linotype" w:eastAsia="Calibri" w:hAnsi="Palatino Linotype"/>
          <w:i/>
          <w:lang w:val="es-ES_tradnl"/>
        </w:rPr>
        <w:t xml:space="preserve">En consecuencia, por lo que hace a que también </w:t>
      </w:r>
      <w:r w:rsidRPr="00F67188">
        <w:rPr>
          <w:rFonts w:ascii="Palatino Linotype" w:eastAsia="Calibri" w:hAnsi="Palatino Linotype"/>
          <w:i/>
          <w:u w:val="single"/>
          <w:lang w:val="es-ES_tradnl"/>
        </w:rPr>
        <w:t>pide:*...medio de contacto, teléfono, domicilio” [Sic], en una interpretación armónica, se puede aludir que el teléfono, domicilio que requiere se refiere a datos del representante legal que menciona; por lo que es evidente ratificar que no se integra y/o resguarda en los archivos digitales del Registro Estatal de Transporte Público datos de los representantes legales, por ende, no se tienen sus teléfonos y/o domicilios,</w:t>
      </w:r>
      <w:r w:rsidRPr="000A604E">
        <w:rPr>
          <w:rFonts w:ascii="Palatino Linotype" w:eastAsia="Calibri" w:hAnsi="Palatino Linotype"/>
          <w:i/>
          <w:lang w:val="es-ES_tradnl"/>
        </w:rPr>
        <w:t xml:space="preserve"> en evidencia y sustento del parrafo segundo del artículo 12 ya</w:t>
      </w:r>
      <w:r>
        <w:rPr>
          <w:rFonts w:ascii="Palatino Linotype" w:eastAsia="Calibri" w:hAnsi="Palatino Linotype"/>
          <w:i/>
          <w:lang w:val="es-ES_tradnl"/>
        </w:rPr>
        <w:t xml:space="preserve"> </w:t>
      </w:r>
      <w:r w:rsidRPr="000A604E">
        <w:rPr>
          <w:rFonts w:ascii="Palatino Linotype" w:eastAsia="Calibri" w:hAnsi="Palatino Linotype"/>
          <w:i/>
          <w:lang w:val="es-ES_tradnl"/>
        </w:rPr>
        <w:t>citado, es imposible proporcionar los datos requeridos. Ahora bien, no pasa desapercibido que, de la misma</w:t>
      </w:r>
      <w:r>
        <w:rPr>
          <w:rFonts w:ascii="Palatino Linotype" w:eastAsia="Calibri" w:hAnsi="Palatino Linotype"/>
          <w:i/>
          <w:lang w:val="es-ES_tradnl"/>
        </w:rPr>
        <w:t xml:space="preserve"> </w:t>
      </w:r>
      <w:r w:rsidRPr="000A604E">
        <w:rPr>
          <w:rFonts w:ascii="Palatino Linotype" w:eastAsia="Calibri" w:hAnsi="Palatino Linotype"/>
          <w:i/>
          <w:lang w:val="es-ES_tradnl"/>
        </w:rPr>
        <w:t>forma, solicita lo referente a *...operativos realizados y unidades que se detuvieron.” [Sic], ergo, es necesario</w:t>
      </w:r>
      <w:r>
        <w:rPr>
          <w:rFonts w:ascii="Palatino Linotype" w:eastAsia="Calibri" w:hAnsi="Palatino Linotype"/>
          <w:i/>
          <w:lang w:val="es-ES_tradnl"/>
        </w:rPr>
        <w:t xml:space="preserve"> </w:t>
      </w:r>
      <w:r w:rsidRPr="000A604E">
        <w:rPr>
          <w:rFonts w:ascii="Palatino Linotype" w:eastAsia="Calibri" w:hAnsi="Palatino Linotype"/>
          <w:i/>
          <w:lang w:val="es-ES_tradnl"/>
        </w:rPr>
        <w:t>comentar que esta unidad administrativa no tiene atribuciones para coordinar, realizar o supervisar las visitas</w:t>
      </w:r>
      <w:r>
        <w:rPr>
          <w:rFonts w:ascii="Palatino Linotype" w:eastAsia="Calibri" w:hAnsi="Palatino Linotype"/>
          <w:i/>
          <w:lang w:val="es-ES_tradnl"/>
        </w:rPr>
        <w:t xml:space="preserve"> </w:t>
      </w:r>
      <w:r w:rsidRPr="000A604E">
        <w:rPr>
          <w:rFonts w:ascii="Palatino Linotype" w:eastAsia="Calibri" w:hAnsi="Palatino Linotype"/>
          <w:i/>
          <w:lang w:val="es-ES_tradnl"/>
        </w:rPr>
        <w:t>de verificación y/o Inspección para vigilar la prestación del servicio de transporte público, por lo que no</w:t>
      </w:r>
      <w:r>
        <w:rPr>
          <w:rFonts w:ascii="Palatino Linotype" w:eastAsia="Calibri" w:hAnsi="Palatino Linotype"/>
          <w:i/>
          <w:lang w:val="es-ES_tradnl"/>
        </w:rPr>
        <w:t xml:space="preserve"> </w:t>
      </w:r>
      <w:r w:rsidRPr="000A604E">
        <w:rPr>
          <w:rFonts w:ascii="Palatino Linotype" w:eastAsia="Calibri" w:hAnsi="Palatino Linotype"/>
          <w:i/>
          <w:lang w:val="es-ES_tradnl"/>
        </w:rPr>
        <w:t>conoce tales datos, menos aún, sobre vehículos detenidos en dichos operativos, por consiguiente, esta</w:t>
      </w:r>
      <w:r>
        <w:rPr>
          <w:rFonts w:ascii="Palatino Linotype" w:eastAsia="Calibri" w:hAnsi="Palatino Linotype"/>
          <w:i/>
          <w:lang w:val="es-ES_tradnl"/>
        </w:rPr>
        <w:t xml:space="preserve"> </w:t>
      </w:r>
      <w:r w:rsidRPr="000A604E">
        <w:rPr>
          <w:rFonts w:ascii="Palatino Linotype" w:eastAsia="Calibri" w:hAnsi="Palatino Linotype"/>
          <w:i/>
          <w:lang w:val="es-ES_tradnl"/>
        </w:rPr>
        <w:t>Dirección General del Registro Estatal de Transporte Público, en su carácter de Sujeto Habilitado tiene</w:t>
      </w:r>
      <w:r>
        <w:rPr>
          <w:rFonts w:ascii="Palatino Linotype" w:eastAsia="Calibri" w:hAnsi="Palatino Linotype"/>
          <w:i/>
          <w:lang w:val="es-ES_tradnl"/>
        </w:rPr>
        <w:t xml:space="preserve"> </w:t>
      </w:r>
      <w:r w:rsidRPr="000A604E">
        <w:rPr>
          <w:rFonts w:ascii="Palatino Linotype" w:eastAsia="Calibri" w:hAnsi="Palatino Linotype"/>
          <w:i/>
          <w:lang w:val="es-ES_tradnl"/>
        </w:rPr>
        <w:t>imposibilidad legal y material para dar seguimiento a la información descrita.</w:t>
      </w:r>
    </w:p>
    <w:p w:rsidR="000A604E" w:rsidRPr="000A604E" w:rsidRDefault="000A604E" w:rsidP="003F30DD">
      <w:pPr>
        <w:spacing w:after="0" w:line="240" w:lineRule="auto"/>
        <w:ind w:left="567" w:right="567"/>
        <w:jc w:val="both"/>
        <w:rPr>
          <w:rFonts w:ascii="Palatino Linotype" w:eastAsia="Calibri" w:hAnsi="Palatino Linotype"/>
          <w:i/>
          <w:lang w:val="es-ES_tradnl"/>
        </w:rPr>
      </w:pPr>
    </w:p>
    <w:p w:rsidR="000A604E" w:rsidRDefault="000A604E" w:rsidP="003F30DD">
      <w:pPr>
        <w:spacing w:after="0" w:line="240" w:lineRule="auto"/>
        <w:ind w:left="567" w:right="567"/>
        <w:jc w:val="both"/>
        <w:rPr>
          <w:rFonts w:ascii="Palatino Linotype" w:eastAsia="Calibri" w:hAnsi="Palatino Linotype"/>
          <w:i/>
          <w:lang w:val="es-ES_tradnl"/>
        </w:rPr>
      </w:pPr>
      <w:r w:rsidRPr="000A604E">
        <w:rPr>
          <w:rFonts w:ascii="Palatino Linotype" w:eastAsia="Calibri" w:hAnsi="Palatino Linotype"/>
          <w:i/>
          <w:lang w:val="es-ES_tradnl"/>
        </w:rPr>
        <w:t>Sin más por el momento envío un cordial saludo.”</w:t>
      </w:r>
    </w:p>
    <w:p w:rsidR="000A604E" w:rsidRDefault="000A604E" w:rsidP="003F30DD">
      <w:pPr>
        <w:spacing w:after="0" w:line="240" w:lineRule="auto"/>
        <w:ind w:left="567" w:right="567"/>
        <w:jc w:val="both"/>
        <w:rPr>
          <w:rFonts w:ascii="Palatino Linotype" w:eastAsia="Calibri" w:hAnsi="Palatino Linotype"/>
          <w:i/>
          <w:lang w:val="es-ES_tradnl"/>
        </w:rPr>
      </w:pPr>
    </w:p>
    <w:p w:rsidR="000A604E" w:rsidRPr="00F67188" w:rsidRDefault="00F67188" w:rsidP="003F30DD">
      <w:pPr>
        <w:spacing w:after="0" w:line="240" w:lineRule="auto"/>
        <w:ind w:left="567" w:right="567"/>
        <w:jc w:val="both"/>
        <w:rPr>
          <w:rFonts w:ascii="Palatino Linotype" w:eastAsia="Calibri" w:hAnsi="Palatino Linotype"/>
          <w:b/>
          <w:i/>
          <w:lang w:val="es-ES_tradnl"/>
        </w:rPr>
      </w:pPr>
      <w:r w:rsidRPr="00F67188">
        <w:rPr>
          <w:rFonts w:ascii="Palatino Linotype" w:eastAsia="Calibri" w:hAnsi="Palatino Linotype"/>
          <w:b/>
          <w:i/>
          <w:lang w:val="es-ES_tradnl"/>
        </w:rPr>
        <w:t>Direc</w:t>
      </w:r>
      <w:r>
        <w:rPr>
          <w:rFonts w:ascii="Palatino Linotype" w:eastAsia="Calibri" w:hAnsi="Palatino Linotype"/>
          <w:b/>
          <w:i/>
          <w:lang w:val="es-ES_tradnl"/>
        </w:rPr>
        <w:t>ción General de Movilidad Zona I</w:t>
      </w:r>
    </w:p>
    <w:p w:rsidR="000A604E" w:rsidRDefault="000A604E" w:rsidP="003F30DD">
      <w:pPr>
        <w:spacing w:after="0" w:line="240" w:lineRule="auto"/>
        <w:ind w:left="567" w:right="567"/>
        <w:jc w:val="both"/>
        <w:rPr>
          <w:rFonts w:ascii="Palatino Linotype" w:eastAsia="Calibri" w:hAnsi="Palatino Linotype"/>
          <w:i/>
          <w:lang w:val="es-ES_tradnl"/>
        </w:rPr>
      </w:pPr>
    </w:p>
    <w:p w:rsidR="00F67188" w:rsidRPr="00F67188" w:rsidRDefault="00F67188" w:rsidP="003F30DD">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Pr="00F67188">
        <w:rPr>
          <w:rFonts w:ascii="Palatino Linotype" w:eastAsia="Calibri" w:hAnsi="Palatino Linotype"/>
          <w:i/>
          <w:lang w:val="es-ES_tradnl"/>
        </w:rPr>
        <w:t xml:space="preserve"> me permito anexar</w:t>
      </w:r>
      <w:r>
        <w:rPr>
          <w:rFonts w:ascii="Palatino Linotype" w:eastAsia="Calibri" w:hAnsi="Palatino Linotype"/>
          <w:i/>
          <w:lang w:val="es-ES_tradnl"/>
        </w:rPr>
        <w:t xml:space="preserve"> en archivo </w:t>
      </w:r>
      <w:r w:rsidRPr="00F67188">
        <w:rPr>
          <w:rFonts w:ascii="Palatino Linotype" w:eastAsia="Calibri" w:hAnsi="Palatino Linotype"/>
          <w:i/>
          <w:lang w:val="es-ES_tradnl"/>
        </w:rPr>
        <w:t>digital, la información solicitada concerniente a las visitas de verificación e Inspección realizadas</w:t>
      </w:r>
      <w:r>
        <w:rPr>
          <w:rFonts w:ascii="Palatino Linotype" w:eastAsia="Calibri" w:hAnsi="Palatino Linotype"/>
          <w:i/>
          <w:lang w:val="es-ES_tradnl"/>
        </w:rPr>
        <w:t xml:space="preserve"> </w:t>
      </w:r>
      <w:r w:rsidRPr="00F67188">
        <w:rPr>
          <w:rFonts w:ascii="Palatino Linotype" w:eastAsia="Calibri" w:hAnsi="Palatino Linotype"/>
          <w:i/>
          <w:lang w:val="es-ES_tradnl"/>
        </w:rPr>
        <w:t xml:space="preserve">durante el período del 13 de julio del año 2021 al 13 </w:t>
      </w:r>
      <w:r w:rsidRPr="00F67188">
        <w:rPr>
          <w:rFonts w:ascii="Palatino Linotype" w:eastAsia="Calibri" w:hAnsi="Palatino Linotype"/>
          <w:i/>
          <w:lang w:val="es-ES_tradnl"/>
        </w:rPr>
        <w:lastRenderedPageBreak/>
        <w:t>de julio del año dos mil veintidós, dentro de la jurisdicción</w:t>
      </w:r>
      <w:r>
        <w:rPr>
          <w:rFonts w:ascii="Palatino Linotype" w:eastAsia="Calibri" w:hAnsi="Palatino Linotype"/>
          <w:i/>
          <w:lang w:val="es-ES_tradnl"/>
        </w:rPr>
        <w:t xml:space="preserve"> </w:t>
      </w:r>
      <w:r w:rsidRPr="00F67188">
        <w:rPr>
          <w:rFonts w:ascii="Palatino Linotype" w:eastAsia="Calibri" w:hAnsi="Palatino Linotype"/>
          <w:i/>
          <w:lang w:val="es-ES_tradnl"/>
        </w:rPr>
        <w:t xml:space="preserve">territorial de esta Dirección General de Movilidad Zona </w:t>
      </w:r>
      <w:r>
        <w:rPr>
          <w:rFonts w:ascii="Palatino Linotype" w:eastAsia="Calibri" w:hAnsi="Palatino Linotype"/>
          <w:i/>
          <w:lang w:val="es-ES_tradnl"/>
        </w:rPr>
        <w:t>I</w:t>
      </w:r>
      <w:r w:rsidRPr="00F67188">
        <w:rPr>
          <w:rFonts w:ascii="Palatino Linotype" w:eastAsia="Calibri" w:hAnsi="Palatino Linotype"/>
          <w:i/>
          <w:lang w:val="es-ES_tradnl"/>
        </w:rPr>
        <w:t>, siendo esta información la que de acuerdo a las</w:t>
      </w:r>
      <w:r>
        <w:rPr>
          <w:rFonts w:ascii="Palatino Linotype" w:eastAsia="Calibri" w:hAnsi="Palatino Linotype"/>
          <w:i/>
          <w:lang w:val="es-ES_tradnl"/>
        </w:rPr>
        <w:t xml:space="preserve"> </w:t>
      </w:r>
      <w:r w:rsidRPr="00F67188">
        <w:rPr>
          <w:rFonts w:ascii="Palatino Linotype" w:eastAsia="Calibri" w:hAnsi="Palatino Linotype"/>
          <w:i/>
          <w:lang w:val="es-ES_tradnl"/>
        </w:rPr>
        <w:t>facultades y atribuciones de esta Dirección, es competente a proporcionar.”</w:t>
      </w:r>
    </w:p>
    <w:p w:rsidR="00F67188" w:rsidRPr="00F67188" w:rsidRDefault="00F67188" w:rsidP="003F30DD">
      <w:pPr>
        <w:spacing w:after="0" w:line="240" w:lineRule="auto"/>
        <w:ind w:left="567" w:right="567"/>
        <w:jc w:val="both"/>
        <w:rPr>
          <w:rFonts w:ascii="Palatino Linotype" w:eastAsia="Calibri" w:hAnsi="Palatino Linotype"/>
          <w:i/>
          <w:lang w:val="es-ES_tradnl"/>
        </w:rPr>
      </w:pPr>
    </w:p>
    <w:p w:rsidR="00F67188" w:rsidRPr="00F67188" w:rsidRDefault="00F67188" w:rsidP="003F30DD">
      <w:pPr>
        <w:spacing w:after="0" w:line="240" w:lineRule="auto"/>
        <w:ind w:left="567" w:right="567"/>
        <w:jc w:val="both"/>
        <w:rPr>
          <w:rFonts w:ascii="Palatino Linotype" w:eastAsia="Calibri" w:hAnsi="Palatino Linotype"/>
          <w:b/>
          <w:i/>
          <w:lang w:val="es-ES_tradnl"/>
        </w:rPr>
      </w:pPr>
      <w:r w:rsidRPr="00F67188">
        <w:rPr>
          <w:rFonts w:ascii="Palatino Linotype" w:eastAsia="Calibri" w:hAnsi="Palatino Linotype"/>
          <w:b/>
          <w:i/>
          <w:lang w:val="es-ES_tradnl"/>
        </w:rPr>
        <w:t>Dirección General de Movilidad Zona II</w:t>
      </w:r>
    </w:p>
    <w:p w:rsidR="00F67188" w:rsidRDefault="00F67188" w:rsidP="003F30DD">
      <w:pPr>
        <w:spacing w:after="0" w:line="240" w:lineRule="auto"/>
        <w:ind w:left="567" w:right="567"/>
        <w:jc w:val="both"/>
        <w:rPr>
          <w:rFonts w:ascii="Palatino Linotype" w:eastAsia="Calibri" w:hAnsi="Palatino Linotype"/>
          <w:i/>
          <w:lang w:val="es-ES_tradnl"/>
        </w:rPr>
      </w:pPr>
    </w:p>
    <w:p w:rsidR="00F67188" w:rsidRPr="00F67188" w:rsidRDefault="00F67188" w:rsidP="003F30DD">
      <w:pPr>
        <w:spacing w:after="0" w:line="240" w:lineRule="auto"/>
        <w:ind w:left="567" w:right="567"/>
        <w:jc w:val="both"/>
        <w:rPr>
          <w:rFonts w:ascii="Palatino Linotype" w:eastAsia="Calibri" w:hAnsi="Palatino Linotype"/>
          <w:i/>
          <w:lang w:val="es-ES_tradnl"/>
        </w:rPr>
      </w:pPr>
      <w:r w:rsidRPr="00F67188">
        <w:rPr>
          <w:rFonts w:ascii="Palatino Linotype" w:eastAsia="Calibri" w:hAnsi="Palatino Linotype"/>
          <w:i/>
          <w:lang w:val="es-ES_tradnl"/>
        </w:rPr>
        <w:t>“A efecto de dar cumplimiento a la presente s</w:t>
      </w:r>
      <w:r>
        <w:rPr>
          <w:rFonts w:ascii="Palatino Linotype" w:eastAsia="Calibri" w:hAnsi="Palatino Linotype"/>
          <w:i/>
          <w:lang w:val="es-ES_tradnl"/>
        </w:rPr>
        <w:t>olicitud con número de folio 000</w:t>
      </w:r>
      <w:r w:rsidRPr="00F67188">
        <w:rPr>
          <w:rFonts w:ascii="Palatino Linotype" w:eastAsia="Calibri" w:hAnsi="Palatino Linotype"/>
          <w:i/>
          <w:lang w:val="es-ES_tradnl"/>
        </w:rPr>
        <w:t>378M0V/1P/2022, presentada</w:t>
      </w:r>
      <w:r>
        <w:rPr>
          <w:rFonts w:ascii="Palatino Linotype" w:eastAsia="Calibri" w:hAnsi="Palatino Linotype"/>
          <w:i/>
          <w:lang w:val="es-ES_tradnl"/>
        </w:rPr>
        <w:t xml:space="preserve"> </w:t>
      </w:r>
      <w:r w:rsidRPr="00F67188">
        <w:rPr>
          <w:rFonts w:ascii="Palatino Linotype" w:eastAsia="Calibri" w:hAnsi="Palatino Linotype"/>
          <w:i/>
          <w:lang w:val="es-ES_tradnl"/>
        </w:rPr>
        <w:t>ante el Instituto de Transparencia, Acceso a la Información Pública y Protección de Datos Personales del</w:t>
      </w:r>
      <w:r>
        <w:rPr>
          <w:rFonts w:ascii="Palatino Linotype" w:eastAsia="Calibri" w:hAnsi="Palatino Linotype"/>
          <w:i/>
          <w:lang w:val="es-ES_tradnl"/>
        </w:rPr>
        <w:t xml:space="preserve"> </w:t>
      </w:r>
      <w:r w:rsidRPr="00F67188">
        <w:rPr>
          <w:rFonts w:ascii="Palatino Linotype" w:eastAsia="Calibri" w:hAnsi="Palatino Linotype"/>
          <w:i/>
          <w:lang w:val="es-ES_tradnl"/>
        </w:rPr>
        <w:t>Estado de México (INFOEM); mediante la cual solicita: ” El padrón de concesionarios de transporte público</w:t>
      </w:r>
      <w:r>
        <w:rPr>
          <w:rFonts w:ascii="Palatino Linotype" w:eastAsia="Calibri" w:hAnsi="Palatino Linotype"/>
          <w:i/>
          <w:lang w:val="es-ES_tradnl"/>
        </w:rPr>
        <w:t xml:space="preserve"> </w:t>
      </w:r>
      <w:r w:rsidRPr="00F67188">
        <w:rPr>
          <w:rFonts w:ascii="Palatino Linotype" w:eastAsia="Calibri" w:hAnsi="Palatino Linotype"/>
          <w:i/>
          <w:lang w:val="es-ES_tradnl"/>
        </w:rPr>
        <w:t>por modalidad con unidades con marca ser</w:t>
      </w:r>
      <w:r>
        <w:rPr>
          <w:rFonts w:ascii="Palatino Linotype" w:eastAsia="Calibri" w:hAnsi="Palatino Linotype"/>
          <w:i/>
          <w:lang w:val="es-ES_tradnl"/>
        </w:rPr>
        <w:t>i</w:t>
      </w:r>
      <w:r w:rsidRPr="00F67188">
        <w:rPr>
          <w:rFonts w:ascii="Palatino Linotype" w:eastAsia="Calibri" w:hAnsi="Palatino Linotype"/>
          <w:i/>
          <w:lang w:val="es-ES_tradnl"/>
        </w:rPr>
        <w:t>e, placas, nombre de la empresa y representante legal, medio</w:t>
      </w:r>
      <w:r>
        <w:rPr>
          <w:rFonts w:ascii="Palatino Linotype" w:eastAsia="Calibri" w:hAnsi="Palatino Linotype"/>
          <w:i/>
          <w:lang w:val="es-ES_tradnl"/>
        </w:rPr>
        <w:t xml:space="preserve"> </w:t>
      </w:r>
      <w:r w:rsidRPr="00F67188">
        <w:rPr>
          <w:rFonts w:ascii="Palatino Linotype" w:eastAsia="Calibri" w:hAnsi="Palatino Linotype"/>
          <w:i/>
          <w:lang w:val="es-ES_tradnl"/>
        </w:rPr>
        <w:t>de contacto, teléfono, domicilio municipio de operación, operativos realizados y unidades que se</w:t>
      </w:r>
      <w:r>
        <w:rPr>
          <w:rFonts w:ascii="Palatino Linotype" w:eastAsia="Calibri" w:hAnsi="Palatino Linotype"/>
          <w:i/>
          <w:lang w:val="es-ES_tradnl"/>
        </w:rPr>
        <w:t xml:space="preserve"> </w:t>
      </w:r>
      <w:r w:rsidRPr="00F67188">
        <w:rPr>
          <w:rFonts w:ascii="Palatino Linotype" w:eastAsia="Calibri" w:hAnsi="Palatino Linotype"/>
          <w:i/>
          <w:lang w:val="es-ES_tradnl"/>
        </w:rPr>
        <w:t>detuvieron..” (sic).</w:t>
      </w:r>
    </w:p>
    <w:p w:rsidR="00F67188" w:rsidRDefault="00F67188" w:rsidP="003F30DD">
      <w:pPr>
        <w:spacing w:after="0" w:line="240" w:lineRule="auto"/>
        <w:ind w:left="567" w:right="567"/>
        <w:jc w:val="both"/>
        <w:rPr>
          <w:rFonts w:ascii="Palatino Linotype" w:eastAsia="Calibri" w:hAnsi="Palatino Linotype"/>
          <w:i/>
          <w:lang w:val="es-ES_tradnl"/>
        </w:rPr>
      </w:pPr>
    </w:p>
    <w:p w:rsidR="00F67188" w:rsidRPr="00F67188" w:rsidRDefault="00F67188" w:rsidP="003F30DD">
      <w:pPr>
        <w:spacing w:after="0" w:line="240" w:lineRule="auto"/>
        <w:ind w:left="567" w:right="567"/>
        <w:jc w:val="both"/>
        <w:rPr>
          <w:rFonts w:ascii="Palatino Linotype" w:eastAsia="Calibri" w:hAnsi="Palatino Linotype"/>
          <w:i/>
          <w:lang w:val="es-ES_tradnl"/>
        </w:rPr>
      </w:pPr>
      <w:r w:rsidRPr="00F67188">
        <w:rPr>
          <w:rFonts w:ascii="Palatino Linotype" w:eastAsia="Calibri" w:hAnsi="Palatino Linotype"/>
          <w:i/>
          <w:lang w:val="es-ES_tradnl"/>
        </w:rPr>
        <w:t>Al respecto, con fundamento en lo dispuesto en los artículos 6, 8, y 35 fracción V de la Constitución Política</w:t>
      </w:r>
      <w:r>
        <w:rPr>
          <w:rFonts w:ascii="Palatino Linotype" w:eastAsia="Calibri" w:hAnsi="Palatino Linotype"/>
          <w:i/>
          <w:lang w:val="es-ES_tradnl"/>
        </w:rPr>
        <w:t xml:space="preserve"> </w:t>
      </w:r>
      <w:r w:rsidRPr="00F67188">
        <w:rPr>
          <w:rFonts w:ascii="Palatino Linotype" w:eastAsia="Calibri" w:hAnsi="Palatino Linotype"/>
          <w:i/>
          <w:lang w:val="es-ES_tradnl"/>
        </w:rPr>
        <w:t>de los Estados Unidos Mexicanos, 5 de la Constitución Política del Estado Libre y Soberano, 1, 2 fracción</w:t>
      </w:r>
      <w:r>
        <w:rPr>
          <w:rFonts w:ascii="Palatino Linotype" w:eastAsia="Calibri" w:hAnsi="Palatino Linotype"/>
          <w:i/>
          <w:lang w:val="es-ES_tradnl"/>
        </w:rPr>
        <w:t xml:space="preserve"> </w:t>
      </w:r>
      <w:r w:rsidRPr="00F67188">
        <w:rPr>
          <w:rFonts w:ascii="Palatino Linotype" w:eastAsia="Calibri" w:hAnsi="Palatino Linotype"/>
          <w:i/>
          <w:lang w:val="es-ES_tradnl"/>
        </w:rPr>
        <w:t>I</w:t>
      </w:r>
      <w:r>
        <w:rPr>
          <w:rFonts w:ascii="Palatino Linotype" w:eastAsia="Calibri" w:hAnsi="Palatino Linotype"/>
          <w:i/>
          <w:lang w:val="es-ES_tradnl"/>
        </w:rPr>
        <w:t>I</w:t>
      </w:r>
      <w:r w:rsidRPr="00F67188">
        <w:rPr>
          <w:rFonts w:ascii="Palatino Linotype" w:eastAsia="Calibri" w:hAnsi="Palatino Linotype"/>
          <w:i/>
          <w:lang w:val="es-ES_tradnl"/>
        </w:rPr>
        <w:t>, 3 fracción VII, 4, 12 segundo parrafo, 15 y 24 último párrafo de la Ley de Transparencia y Acceso a la</w:t>
      </w:r>
      <w:r>
        <w:rPr>
          <w:rFonts w:ascii="Palatino Linotype" w:eastAsia="Calibri" w:hAnsi="Palatino Linotype"/>
          <w:i/>
          <w:lang w:val="es-ES_tradnl"/>
        </w:rPr>
        <w:t xml:space="preserve"> </w:t>
      </w:r>
      <w:r w:rsidRPr="00F67188">
        <w:rPr>
          <w:rFonts w:ascii="Palatino Linotype" w:eastAsia="Calibri" w:hAnsi="Palatino Linotype"/>
          <w:i/>
          <w:lang w:val="es-ES_tradnl"/>
        </w:rPr>
        <w:t>Información Pública del Estado de México y Municipios, 143 de la Constitución Política del Estado Libre y</w:t>
      </w:r>
      <w:r>
        <w:rPr>
          <w:rFonts w:ascii="Palatino Linotype" w:eastAsia="Calibri" w:hAnsi="Palatino Linotype"/>
          <w:i/>
          <w:lang w:val="es-ES_tradnl"/>
        </w:rPr>
        <w:t xml:space="preserve"> </w:t>
      </w:r>
      <w:r w:rsidRPr="00F67188">
        <w:rPr>
          <w:rFonts w:ascii="Palatino Linotype" w:eastAsia="Calibri" w:hAnsi="Palatino Linotype"/>
          <w:i/>
          <w:lang w:val="es-ES_tradnl"/>
        </w:rPr>
        <w:t>Soberano; así</w:t>
      </w:r>
      <w:r>
        <w:rPr>
          <w:rFonts w:ascii="Palatino Linotype" w:eastAsia="Calibri" w:hAnsi="Palatino Linotype"/>
          <w:i/>
          <w:lang w:val="es-ES_tradnl"/>
        </w:rPr>
        <w:t xml:space="preserve"> como el 1°</w:t>
      </w:r>
      <w:r w:rsidRPr="00F67188">
        <w:rPr>
          <w:rFonts w:ascii="Palatino Linotype" w:eastAsia="Calibri" w:hAnsi="Palatino Linotype"/>
          <w:i/>
          <w:lang w:val="es-ES_tradnl"/>
        </w:rPr>
        <w:t xml:space="preserve"> y 37 de la Ley de Archivos y Administración de Documentos del Estado de México</w:t>
      </w:r>
      <w:r>
        <w:rPr>
          <w:rFonts w:ascii="Palatino Linotype" w:eastAsia="Calibri" w:hAnsi="Palatino Linotype"/>
          <w:i/>
          <w:lang w:val="es-ES_tradnl"/>
        </w:rPr>
        <w:t xml:space="preserve"> </w:t>
      </w:r>
      <w:r w:rsidRPr="00F67188">
        <w:rPr>
          <w:rFonts w:ascii="Palatino Linotype" w:eastAsia="Calibri" w:hAnsi="Palatino Linotype"/>
          <w:i/>
          <w:lang w:val="es-ES_tradnl"/>
        </w:rPr>
        <w:t xml:space="preserve">y Municipios; </w:t>
      </w:r>
      <w:r w:rsidRPr="00F67188">
        <w:rPr>
          <w:rFonts w:ascii="Palatino Linotype" w:eastAsia="Calibri" w:hAnsi="Palatino Linotype"/>
          <w:i/>
          <w:u w:val="single"/>
          <w:lang w:val="es-ES_tradnl"/>
        </w:rPr>
        <w:t>me permito manifestar que se emite información, de acuerdo a los operativos realizados por parte de las Delegaciones Regionales de Movilidad, adscritas a esta Dirección General de Movilidad Zona II, teniendo como resultado 173 operativos realizados, en los cuales se retuvieron 170 unidades, mismas que se describen en archivos adjuntos</w:t>
      </w:r>
      <w:r w:rsidRPr="00F67188">
        <w:rPr>
          <w:rFonts w:ascii="Palatino Linotype" w:eastAsia="Calibri" w:hAnsi="Palatino Linotype"/>
          <w:i/>
          <w:lang w:val="es-ES_tradnl"/>
        </w:rPr>
        <w:t>.</w:t>
      </w:r>
    </w:p>
    <w:p w:rsidR="00F67188" w:rsidRDefault="00F67188" w:rsidP="003F30DD">
      <w:pPr>
        <w:spacing w:after="0" w:line="240" w:lineRule="auto"/>
        <w:ind w:left="567" w:right="567"/>
        <w:jc w:val="both"/>
        <w:rPr>
          <w:rFonts w:ascii="Palatino Linotype" w:eastAsia="Calibri" w:hAnsi="Palatino Linotype"/>
          <w:i/>
          <w:lang w:val="es-ES_tradnl"/>
        </w:rPr>
      </w:pPr>
    </w:p>
    <w:p w:rsidR="00F67188" w:rsidRPr="00F67188" w:rsidRDefault="00F67188" w:rsidP="003F30DD">
      <w:pPr>
        <w:spacing w:after="0" w:line="240" w:lineRule="auto"/>
        <w:ind w:left="567" w:right="567"/>
        <w:jc w:val="both"/>
        <w:rPr>
          <w:rFonts w:ascii="Palatino Linotype" w:eastAsia="Calibri" w:hAnsi="Palatino Linotype"/>
          <w:i/>
          <w:lang w:val="es-ES_tradnl"/>
        </w:rPr>
      </w:pPr>
      <w:r w:rsidRPr="00F67188">
        <w:rPr>
          <w:rFonts w:ascii="Palatino Linotype" w:eastAsia="Calibri" w:hAnsi="Palatino Linotype"/>
          <w:i/>
          <w:lang w:val="es-ES_tradnl"/>
        </w:rPr>
        <w:t>Sin otro particular, en espera de serle útil la presente información, le envío un cordial saludo.”</w:t>
      </w:r>
    </w:p>
    <w:p w:rsidR="00F67188" w:rsidRPr="00F67188" w:rsidRDefault="00F67188" w:rsidP="003F30DD">
      <w:pPr>
        <w:spacing w:after="0" w:line="240" w:lineRule="auto"/>
        <w:ind w:left="567" w:right="567"/>
        <w:jc w:val="both"/>
        <w:rPr>
          <w:rFonts w:ascii="Palatino Linotype" w:eastAsia="Calibri" w:hAnsi="Palatino Linotype"/>
          <w:i/>
          <w:lang w:val="es-ES_tradnl"/>
        </w:rPr>
      </w:pPr>
    </w:p>
    <w:p w:rsidR="000A604E" w:rsidRPr="00F67188" w:rsidRDefault="00F67188" w:rsidP="003F30DD">
      <w:pPr>
        <w:spacing w:after="0" w:line="240" w:lineRule="auto"/>
        <w:ind w:left="567" w:right="567"/>
        <w:jc w:val="both"/>
        <w:rPr>
          <w:rFonts w:ascii="Palatino Linotype" w:eastAsia="Calibri" w:hAnsi="Palatino Linotype"/>
          <w:b/>
          <w:i/>
          <w:lang w:val="es-ES_tradnl"/>
        </w:rPr>
      </w:pPr>
      <w:r w:rsidRPr="00F67188">
        <w:rPr>
          <w:rFonts w:ascii="Palatino Linotype" w:eastAsia="Calibri" w:hAnsi="Palatino Linotype"/>
          <w:b/>
          <w:i/>
          <w:lang w:val="es-ES_tradnl"/>
        </w:rPr>
        <w:t>Dirección General de Movilidad Zona III</w:t>
      </w:r>
    </w:p>
    <w:p w:rsidR="000A604E" w:rsidRDefault="000A604E" w:rsidP="003F30DD">
      <w:pPr>
        <w:spacing w:after="0" w:line="240" w:lineRule="auto"/>
        <w:ind w:left="567" w:right="567"/>
        <w:jc w:val="both"/>
        <w:rPr>
          <w:rFonts w:ascii="Palatino Linotype" w:eastAsia="Calibri" w:hAnsi="Palatino Linotype"/>
          <w:i/>
          <w:lang w:val="es-ES_tradnl"/>
        </w:rPr>
      </w:pPr>
    </w:p>
    <w:p w:rsidR="00F67188" w:rsidRDefault="00F67188" w:rsidP="003F30DD">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 </w:t>
      </w:r>
      <w:r w:rsidRPr="00F67188">
        <w:rPr>
          <w:rFonts w:ascii="Palatino Linotype" w:eastAsia="Calibri" w:hAnsi="Palatino Linotype"/>
          <w:i/>
          <w:lang w:val="es-ES_tradnl"/>
        </w:rPr>
        <w:t>se adjunta la información solicitada consistente en *... operativos realizados y unidades</w:t>
      </w:r>
      <w:r>
        <w:rPr>
          <w:rFonts w:ascii="Palatino Linotype" w:eastAsia="Calibri" w:hAnsi="Palatino Linotype"/>
          <w:i/>
          <w:lang w:val="es-ES_tradnl"/>
        </w:rPr>
        <w:t xml:space="preserve"> </w:t>
      </w:r>
      <w:r w:rsidRPr="00F67188">
        <w:rPr>
          <w:rFonts w:ascii="Palatino Linotype" w:eastAsia="Calibri" w:hAnsi="Palatino Linotype"/>
          <w:i/>
          <w:lang w:val="es-ES_tradnl"/>
        </w:rPr>
        <w:t>que se detuvieron.” (sic), únicamente de un año calendario de conformidad al</w:t>
      </w:r>
      <w:r>
        <w:rPr>
          <w:rFonts w:ascii="Palatino Linotype" w:eastAsia="Calibri" w:hAnsi="Palatino Linotype"/>
          <w:i/>
          <w:lang w:val="es-ES_tradnl"/>
        </w:rPr>
        <w:t xml:space="preserve"> criterio 03/19 emitido por el </w:t>
      </w:r>
      <w:r w:rsidRPr="00F67188">
        <w:rPr>
          <w:rFonts w:ascii="Palatino Linotype" w:eastAsia="Calibri" w:hAnsi="Palatino Linotype"/>
          <w:i/>
          <w:lang w:val="es-ES_tradnl"/>
        </w:rPr>
        <w:t>Instituto Nacional de Transparencia, Acceso a la Información y Protección de Datos Personales (INA]).</w:t>
      </w:r>
    </w:p>
    <w:p w:rsidR="00F67188" w:rsidRPr="00F67188" w:rsidRDefault="00F67188" w:rsidP="003F30DD">
      <w:pPr>
        <w:spacing w:after="0" w:line="240" w:lineRule="auto"/>
        <w:ind w:left="567" w:right="567"/>
        <w:jc w:val="both"/>
        <w:rPr>
          <w:rFonts w:ascii="Palatino Linotype" w:eastAsia="Calibri" w:hAnsi="Palatino Linotype"/>
          <w:i/>
          <w:lang w:val="es-ES_tradnl"/>
        </w:rPr>
      </w:pPr>
    </w:p>
    <w:p w:rsidR="00824417" w:rsidRPr="00824417" w:rsidRDefault="00F67188" w:rsidP="003F30DD">
      <w:pPr>
        <w:spacing w:after="0" w:line="240" w:lineRule="auto"/>
        <w:ind w:left="567" w:right="567"/>
        <w:jc w:val="both"/>
        <w:rPr>
          <w:rFonts w:ascii="Palatino Linotype" w:eastAsia="Calibri" w:hAnsi="Palatino Linotype"/>
          <w:i/>
          <w:lang w:val="es-ES_tradnl"/>
        </w:rPr>
      </w:pPr>
      <w:r w:rsidRPr="00F67188">
        <w:rPr>
          <w:rFonts w:ascii="Palatino Linotype" w:eastAsia="Calibri" w:hAnsi="Palatino Linotype"/>
          <w:i/>
          <w:lang w:val="es-ES_tradnl"/>
        </w:rPr>
        <w:t xml:space="preserve">Por otra parte </w:t>
      </w:r>
      <w:r w:rsidRPr="00824417">
        <w:rPr>
          <w:rFonts w:ascii="Palatino Linotype" w:eastAsia="Calibri" w:hAnsi="Palatino Linotype"/>
          <w:i/>
          <w:u w:val="single"/>
          <w:lang w:val="es-ES_tradnl"/>
        </w:rPr>
        <w:t>esta Dirección General de Movilidad Zona III es incompetente para pronunciarse respecto a “El padrón de concesionarios de transporte público por modalidad con unidades con marca serie, placas, nombre de la empresa y representante legal, medio de contacto, teléfono, domicilio municipio de operación... (sic)”, al no contar con la información solicitada y ser competencia de autoridad diversas</w:t>
      </w:r>
      <w:r w:rsidRPr="00F67188">
        <w:rPr>
          <w:rFonts w:ascii="Palatino Linotype" w:eastAsia="Calibri" w:hAnsi="Palatino Linotype"/>
          <w:i/>
          <w:lang w:val="es-ES_tradnl"/>
        </w:rPr>
        <w:t>,</w:t>
      </w:r>
      <w:r w:rsidR="00824417">
        <w:rPr>
          <w:rFonts w:ascii="Palatino Linotype" w:eastAsia="Calibri" w:hAnsi="Palatino Linotype"/>
          <w:i/>
          <w:lang w:val="es-ES_tradnl"/>
        </w:rPr>
        <w:t>…</w:t>
      </w:r>
      <w:r w:rsidRPr="00F67188">
        <w:rPr>
          <w:rFonts w:ascii="Palatino Linotype" w:eastAsia="Calibri" w:hAnsi="Palatino Linotype"/>
          <w:i/>
          <w:lang w:val="es-ES_tradnl"/>
        </w:rPr>
        <w:t xml:space="preserve"> </w:t>
      </w:r>
    </w:p>
    <w:p w:rsidR="00824417" w:rsidRPr="00824417" w:rsidRDefault="00824417" w:rsidP="003F30DD">
      <w:pPr>
        <w:spacing w:after="0" w:line="240" w:lineRule="auto"/>
        <w:ind w:left="567" w:right="567"/>
        <w:jc w:val="both"/>
        <w:rPr>
          <w:rFonts w:ascii="Palatino Linotype" w:eastAsia="Calibri" w:hAnsi="Palatino Linotype"/>
          <w:i/>
          <w:lang w:val="es-ES_tradnl"/>
        </w:rPr>
      </w:pPr>
    </w:p>
    <w:p w:rsidR="00824417" w:rsidRPr="00824417" w:rsidRDefault="00824417" w:rsidP="003F30DD">
      <w:pPr>
        <w:spacing w:after="0" w:line="240" w:lineRule="auto"/>
        <w:ind w:left="567" w:right="567"/>
        <w:jc w:val="both"/>
        <w:rPr>
          <w:rFonts w:ascii="Palatino Linotype" w:eastAsia="Calibri" w:hAnsi="Palatino Linotype"/>
          <w:b/>
          <w:i/>
          <w:lang w:val="es-ES_tradnl"/>
        </w:rPr>
      </w:pPr>
      <w:r w:rsidRPr="00824417">
        <w:rPr>
          <w:rFonts w:ascii="Palatino Linotype" w:eastAsia="Calibri" w:hAnsi="Palatino Linotype"/>
          <w:b/>
          <w:i/>
          <w:lang w:val="es-ES_tradnl"/>
        </w:rPr>
        <w:lastRenderedPageBreak/>
        <w:t>Dirección General de Movilidad Zona IV</w:t>
      </w:r>
    </w:p>
    <w:p w:rsidR="00824417" w:rsidRDefault="00824417" w:rsidP="003F30DD">
      <w:pPr>
        <w:spacing w:after="0" w:line="240" w:lineRule="auto"/>
        <w:ind w:left="567" w:right="567"/>
        <w:jc w:val="both"/>
        <w:rPr>
          <w:rFonts w:ascii="Palatino Linotype" w:eastAsia="Calibri" w:hAnsi="Palatino Linotype"/>
          <w:i/>
          <w:lang w:val="es-ES_tradnl"/>
        </w:rPr>
      </w:pPr>
    </w:p>
    <w:p w:rsidR="00F67188" w:rsidRDefault="00824417" w:rsidP="003F30DD">
      <w:pPr>
        <w:spacing w:after="0" w:line="240" w:lineRule="auto"/>
        <w:ind w:left="567" w:right="567"/>
        <w:jc w:val="both"/>
        <w:rPr>
          <w:rFonts w:ascii="Palatino Linotype" w:eastAsia="Calibri" w:hAnsi="Palatino Linotype"/>
          <w:i/>
          <w:lang w:val="es-ES_tradnl"/>
        </w:rPr>
      </w:pPr>
      <w:r w:rsidRPr="00824417">
        <w:rPr>
          <w:rFonts w:ascii="Palatino Linotype" w:eastAsia="Calibri" w:hAnsi="Palatino Linotype"/>
          <w:i/>
          <w:lang w:val="es-ES_tradnl"/>
        </w:rPr>
        <w:t>“</w:t>
      </w:r>
      <w:r>
        <w:rPr>
          <w:rFonts w:ascii="Palatino Linotype" w:eastAsia="Calibri" w:hAnsi="Palatino Linotype"/>
          <w:i/>
          <w:lang w:val="es-ES_tradnl"/>
        </w:rPr>
        <w:t>…</w:t>
      </w:r>
      <w:r w:rsidRPr="00824417">
        <w:rPr>
          <w:rFonts w:ascii="Palatino Linotype" w:eastAsia="Calibri" w:hAnsi="Palatino Linotype"/>
          <w:i/>
          <w:lang w:val="es-ES_tradnl"/>
        </w:rPr>
        <w:t>con fundamento en lo establecido en la “CIRCULAR</w:t>
      </w:r>
      <w:r>
        <w:rPr>
          <w:rFonts w:ascii="Palatino Linotype" w:eastAsia="Calibri" w:hAnsi="Palatino Linotype"/>
          <w:i/>
          <w:lang w:val="es-ES_tradnl"/>
        </w:rPr>
        <w:t xml:space="preserve"> </w:t>
      </w:r>
      <w:r w:rsidRPr="00824417">
        <w:rPr>
          <w:rFonts w:ascii="Palatino Linotype" w:eastAsia="Calibri" w:hAnsi="Palatino Linotype"/>
          <w:i/>
          <w:lang w:val="es-ES_tradnl"/>
        </w:rPr>
        <w:t>MEDIANTE EL CUAL SE LES ENCOMIENDA A LA DIRECCIÓN GENERAL DE ASUNTOS JURÍDICOS Y A</w:t>
      </w:r>
      <w:r>
        <w:rPr>
          <w:rFonts w:ascii="Palatino Linotype" w:eastAsia="Calibri" w:hAnsi="Palatino Linotype"/>
          <w:i/>
          <w:lang w:val="es-ES_tradnl"/>
        </w:rPr>
        <w:t xml:space="preserve"> </w:t>
      </w:r>
      <w:r w:rsidRPr="00824417">
        <w:rPr>
          <w:rFonts w:ascii="Palatino Linotype" w:eastAsia="Calibri" w:hAnsi="Palatino Linotype"/>
          <w:i/>
          <w:lang w:val="es-ES_tradnl"/>
        </w:rPr>
        <w:t>LA DIRECCIÓN DEL REGISTRO ESTATAL DE TRANSPORTE, LA REALIZACIÓN DE DIVERSOS TRÁMITES”</w:t>
      </w:r>
      <w:r>
        <w:rPr>
          <w:rFonts w:ascii="Palatino Linotype" w:eastAsia="Calibri" w:hAnsi="Palatino Linotype"/>
          <w:i/>
          <w:lang w:val="es-ES_tradnl"/>
        </w:rPr>
        <w:t xml:space="preserve"> </w:t>
      </w:r>
      <w:r w:rsidRPr="00824417">
        <w:rPr>
          <w:rFonts w:ascii="Palatino Linotype" w:eastAsia="Calibri" w:hAnsi="Palatino Linotype"/>
          <w:i/>
          <w:lang w:val="es-ES_tradnl"/>
        </w:rPr>
        <w:t xml:space="preserve">publicada en el órgano de difusión Estatal el nueve de diciembre de dos mil catorce, </w:t>
      </w:r>
      <w:r w:rsidRPr="00824417">
        <w:rPr>
          <w:rFonts w:ascii="Palatino Linotype" w:eastAsia="Calibri" w:hAnsi="Palatino Linotype"/>
          <w:i/>
          <w:u w:val="single"/>
          <w:lang w:val="es-ES_tradnl"/>
        </w:rPr>
        <w:t>manifiesto la imposibilidad legal que existe para exhibir información alguna, en razón de que en los archivos de esta unidad administrativa no obra registro de les unidades vehiculares que forman parte del parque vehicular de las empresas afectas a la prestación del servicio público de transporte en sus diversas modalidades, por lo que se sugiere respetuosamente solicitar dicha información a la Dirección General del Registro Estatal de Transporte Público</w:t>
      </w:r>
      <w:r w:rsidRPr="00824417">
        <w:rPr>
          <w:rFonts w:ascii="Palatino Linotype" w:eastAsia="Calibri" w:hAnsi="Palatino Linotype"/>
          <w:i/>
          <w:lang w:val="es-ES_tradnl"/>
        </w:rPr>
        <w:t xml:space="preserve">, no obstante </w:t>
      </w:r>
      <w:r w:rsidRPr="00824417">
        <w:rPr>
          <w:rFonts w:ascii="Palatino Linotype" w:eastAsia="Calibri" w:hAnsi="Palatino Linotype"/>
          <w:i/>
          <w:u w:val="single"/>
          <w:lang w:val="es-ES_tradnl"/>
        </w:rPr>
        <w:t>por cuanto hace a las visitas de inspección y verificación (operativos) y unidades retenidas se adjunta en archivo la información que obra en el archivo de esta unidad administrativa</w:t>
      </w:r>
      <w:r w:rsidRPr="00824417">
        <w:rPr>
          <w:rFonts w:ascii="Palatino Linotype" w:eastAsia="Calibri" w:hAnsi="Palatino Linotype"/>
          <w:i/>
          <w:lang w:val="es-ES_tradnl"/>
        </w:rPr>
        <w:t>.”</w:t>
      </w:r>
    </w:p>
    <w:p w:rsidR="00F67188" w:rsidRDefault="00F67188" w:rsidP="003F30DD">
      <w:pPr>
        <w:spacing w:after="0" w:line="240" w:lineRule="auto"/>
        <w:ind w:left="567" w:right="567"/>
        <w:jc w:val="both"/>
        <w:rPr>
          <w:rFonts w:ascii="Palatino Linotype" w:eastAsia="Calibri" w:hAnsi="Palatino Linotype"/>
          <w:lang w:val="es-ES_tradnl"/>
        </w:rPr>
      </w:pPr>
    </w:p>
    <w:p w:rsidR="00824417" w:rsidRPr="00824417" w:rsidRDefault="00824417" w:rsidP="003F30DD">
      <w:pPr>
        <w:spacing w:after="0" w:line="240" w:lineRule="auto"/>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rsidR="003D37B1" w:rsidRDefault="003D37B1" w:rsidP="003F30DD">
      <w:pPr>
        <w:spacing w:after="0" w:line="360" w:lineRule="auto"/>
        <w:jc w:val="both"/>
        <w:rPr>
          <w:rFonts w:ascii="Palatino Linotype" w:eastAsia="Calibri" w:hAnsi="Palatino Linotype"/>
          <w:sz w:val="24"/>
          <w:lang w:val="es-ES_tradnl"/>
        </w:rPr>
      </w:pPr>
    </w:p>
    <w:p w:rsidR="00824417" w:rsidRPr="00824417" w:rsidRDefault="00824417" w:rsidP="003F30DD">
      <w:pPr>
        <w:pStyle w:val="Prrafodelista"/>
        <w:numPr>
          <w:ilvl w:val="0"/>
          <w:numId w:val="26"/>
        </w:numPr>
        <w:spacing w:line="360" w:lineRule="auto"/>
        <w:jc w:val="both"/>
        <w:rPr>
          <w:rFonts w:ascii="Palatino Linotype" w:eastAsia="Calibri" w:hAnsi="Palatino Linotype"/>
          <w:lang w:val="es-ES_tradnl"/>
        </w:rPr>
      </w:pPr>
      <w:r w:rsidRPr="003D37B1">
        <w:rPr>
          <w:rFonts w:ascii="Palatino Linotype" w:hAnsi="Palatino Linotype" w:cs="Arial"/>
          <w:b/>
          <w:i/>
        </w:rPr>
        <w:t>Anexos Respuesta Sol 00378.zip</w:t>
      </w:r>
      <w:r>
        <w:rPr>
          <w:rFonts w:ascii="Palatino Linotype" w:hAnsi="Palatino Linotype" w:cs="Arial"/>
          <w:b/>
          <w:i/>
        </w:rPr>
        <w:t>:</w:t>
      </w:r>
      <w:r>
        <w:rPr>
          <w:rFonts w:ascii="Palatino Linotype" w:hAnsi="Palatino Linotype" w:cs="Arial"/>
        </w:rPr>
        <w:t xml:space="preserve"> carpeta de tipo comprimido, que contiene cuatro subcarpetas denominadas “ZONA IV, ZONA III, ZONA II y ZONA I”, las cuales contienen cada una los documentos que se describen a continuación:</w:t>
      </w:r>
    </w:p>
    <w:p w:rsidR="00824417" w:rsidRPr="00824417" w:rsidRDefault="00824417" w:rsidP="003F30DD">
      <w:pPr>
        <w:pStyle w:val="Prrafodelista"/>
        <w:spacing w:line="360" w:lineRule="auto"/>
        <w:ind w:left="720"/>
        <w:jc w:val="both"/>
        <w:rPr>
          <w:rFonts w:ascii="Palatino Linotype" w:eastAsia="Calibri" w:hAnsi="Palatino Linotype"/>
          <w:lang w:val="es-ES_tradnl"/>
        </w:rPr>
      </w:pPr>
    </w:p>
    <w:p w:rsidR="00824417" w:rsidRPr="00824417" w:rsidRDefault="00824417" w:rsidP="003F30DD">
      <w:pPr>
        <w:pStyle w:val="Prrafodelista"/>
        <w:numPr>
          <w:ilvl w:val="0"/>
          <w:numId w:val="27"/>
        </w:numPr>
        <w:spacing w:line="360" w:lineRule="auto"/>
        <w:jc w:val="both"/>
        <w:rPr>
          <w:rFonts w:ascii="Palatino Linotype" w:eastAsia="Calibri" w:hAnsi="Palatino Linotype"/>
          <w:lang w:val="es-ES_tradnl"/>
        </w:rPr>
      </w:pPr>
      <w:r w:rsidRPr="00824417">
        <w:rPr>
          <w:rFonts w:ascii="Palatino Linotype" w:eastAsia="Calibri" w:hAnsi="Palatino Linotype"/>
          <w:lang w:val="es-ES_tradnl"/>
        </w:rPr>
        <w:t>ZONA IV</w:t>
      </w:r>
      <w:r>
        <w:rPr>
          <w:rFonts w:ascii="Palatino Linotype" w:eastAsia="Calibri" w:hAnsi="Palatino Linotype"/>
          <w:lang w:val="es-ES_tradnl"/>
        </w:rPr>
        <w:t xml:space="preserve">: contiene </w:t>
      </w:r>
      <w:r w:rsidRPr="00E26E99">
        <w:rPr>
          <w:rFonts w:ascii="Palatino Linotype" w:eastAsia="Calibri" w:hAnsi="Palatino Linotype"/>
          <w:lang w:val="es-ES_tradnl"/>
        </w:rPr>
        <w:t>archivo de tipo imagen, relativo a un cuadro que contiene la información siguiente:</w:t>
      </w:r>
    </w:p>
    <w:p w:rsidR="00824417" w:rsidRDefault="00824417" w:rsidP="003F30DD">
      <w:pPr>
        <w:spacing w:after="0" w:line="360" w:lineRule="auto"/>
        <w:jc w:val="both"/>
        <w:rPr>
          <w:rFonts w:ascii="Palatino Linotype" w:eastAsia="Calibri" w:hAnsi="Palatino Linotype"/>
          <w:sz w:val="24"/>
          <w:lang w:val="es-ES_tradnl"/>
        </w:rPr>
      </w:pPr>
    </w:p>
    <w:p w:rsidR="00824417" w:rsidRDefault="00824417" w:rsidP="003F30DD">
      <w:pPr>
        <w:spacing w:after="0" w:line="360" w:lineRule="auto"/>
        <w:jc w:val="center"/>
        <w:rPr>
          <w:rFonts w:ascii="Palatino Linotype" w:eastAsia="Calibri" w:hAnsi="Palatino Linotype"/>
          <w:sz w:val="24"/>
          <w:lang w:val="es-ES_tradnl"/>
        </w:rPr>
      </w:pPr>
      <w:r w:rsidRPr="00824417">
        <w:rPr>
          <w:rFonts w:ascii="Palatino Linotype" w:eastAsia="Calibri" w:hAnsi="Palatino Linotype"/>
          <w:noProof/>
          <w:sz w:val="24"/>
          <w:lang w:eastAsia="es-MX"/>
        </w:rPr>
        <w:drawing>
          <wp:inline distT="0" distB="0" distL="0" distR="0" wp14:anchorId="29E495DB" wp14:editId="0E483383">
            <wp:extent cx="2514951" cy="8954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951" cy="895475"/>
                    </a:xfrm>
                    <a:prstGeom prst="rect">
                      <a:avLst/>
                    </a:prstGeom>
                  </pic:spPr>
                </pic:pic>
              </a:graphicData>
            </a:graphic>
          </wp:inline>
        </w:drawing>
      </w:r>
    </w:p>
    <w:p w:rsidR="00824417" w:rsidRDefault="00824417" w:rsidP="003F30DD">
      <w:pPr>
        <w:spacing w:after="0" w:line="360" w:lineRule="auto"/>
        <w:jc w:val="both"/>
        <w:rPr>
          <w:rFonts w:ascii="Palatino Linotype" w:eastAsia="Calibri" w:hAnsi="Palatino Linotype"/>
          <w:sz w:val="24"/>
          <w:lang w:val="es-ES_tradnl"/>
        </w:rPr>
      </w:pPr>
    </w:p>
    <w:p w:rsidR="00824417" w:rsidRPr="00E26E99" w:rsidRDefault="00E26E99" w:rsidP="003F30DD">
      <w:pPr>
        <w:pStyle w:val="Prrafodelista"/>
        <w:numPr>
          <w:ilvl w:val="0"/>
          <w:numId w:val="27"/>
        </w:numPr>
        <w:spacing w:line="360" w:lineRule="auto"/>
        <w:jc w:val="both"/>
        <w:rPr>
          <w:rFonts w:ascii="Palatino Linotype" w:eastAsia="Calibri" w:hAnsi="Palatino Linotype"/>
          <w:lang w:val="es-ES_tradnl"/>
        </w:rPr>
      </w:pPr>
      <w:r w:rsidRPr="00E26E99">
        <w:rPr>
          <w:rFonts w:ascii="Palatino Linotype" w:eastAsia="Calibri" w:hAnsi="Palatino Linotype"/>
          <w:lang w:val="es-ES_tradnl"/>
        </w:rPr>
        <w:t>ZONA III</w:t>
      </w:r>
      <w:r>
        <w:rPr>
          <w:rFonts w:ascii="Palatino Linotype" w:eastAsia="Calibri" w:hAnsi="Palatino Linotype"/>
          <w:lang w:val="es-ES_tradnl"/>
        </w:rPr>
        <w:t>: contiene los documentos “</w:t>
      </w:r>
      <w:r w:rsidRPr="00E26E99">
        <w:rPr>
          <w:rFonts w:ascii="Palatino Linotype" w:eastAsia="Calibri" w:hAnsi="Palatino Linotype"/>
          <w:b/>
          <w:i/>
          <w:lang w:val="es-ES_tradnl"/>
        </w:rPr>
        <w:t>RETENIDAS Y LIBERADAS TEXCOCO 2021-2022 (1).xlsx, UNIDADES DETENIDAS Y LIBERADAS 2021 ECATEPEC (1).xlsx</w:t>
      </w:r>
      <w:r>
        <w:rPr>
          <w:rFonts w:ascii="Palatino Linotype" w:eastAsia="Calibri" w:hAnsi="Palatino Linotype"/>
          <w:lang w:val="es-ES_tradnl"/>
        </w:rPr>
        <w:t xml:space="preserve"> y </w:t>
      </w:r>
      <w:r w:rsidRPr="00E26E99">
        <w:rPr>
          <w:rFonts w:ascii="Palatino Linotype" w:eastAsia="Calibri" w:hAnsi="Palatino Linotype"/>
          <w:b/>
          <w:i/>
          <w:lang w:val="es-ES_tradnl"/>
        </w:rPr>
        <w:t>RETENIDAS Y LIBERADAS TEXCOCO 2021-2022 (1).xlsx</w:t>
      </w:r>
      <w:r>
        <w:rPr>
          <w:rFonts w:ascii="Palatino Linotype" w:eastAsia="Calibri" w:hAnsi="Palatino Linotype"/>
          <w:lang w:val="es-ES_tradnl"/>
        </w:rPr>
        <w:t xml:space="preserve">”, </w:t>
      </w:r>
      <w:r>
        <w:rPr>
          <w:rFonts w:ascii="Palatino Linotype" w:eastAsia="Calibri" w:hAnsi="Palatino Linotype"/>
          <w:lang w:val="es-ES_tradnl"/>
        </w:rPr>
        <w:lastRenderedPageBreak/>
        <w:t>consistentes en hojas de cálculo que contienen desagregada la información siguiente:</w:t>
      </w:r>
    </w:p>
    <w:p w:rsidR="00824417" w:rsidRDefault="00824417" w:rsidP="003F30DD">
      <w:pPr>
        <w:spacing w:after="0" w:line="360" w:lineRule="auto"/>
        <w:jc w:val="both"/>
        <w:rPr>
          <w:rFonts w:ascii="Palatino Linotype" w:eastAsia="Calibri" w:hAnsi="Palatino Linotype"/>
          <w:sz w:val="24"/>
          <w:lang w:val="es-ES_tradnl"/>
        </w:rPr>
      </w:pPr>
    </w:p>
    <w:p w:rsidR="00E26E99" w:rsidRPr="00E26E99" w:rsidRDefault="00E26E99" w:rsidP="003F30DD">
      <w:pPr>
        <w:spacing w:after="0" w:line="360" w:lineRule="auto"/>
        <w:ind w:left="567"/>
        <w:jc w:val="both"/>
        <w:rPr>
          <w:rFonts w:ascii="Palatino Linotype" w:eastAsia="Calibri" w:hAnsi="Palatino Linotype"/>
          <w:b/>
          <w:sz w:val="24"/>
          <w:lang w:val="es-ES_tradnl"/>
        </w:rPr>
      </w:pPr>
      <w:r w:rsidRPr="00E26E99">
        <w:rPr>
          <w:rFonts w:ascii="Palatino Linotype" w:eastAsia="Calibri" w:hAnsi="Palatino Linotype"/>
          <w:b/>
          <w:sz w:val="24"/>
          <w:lang w:val="es-ES_tradnl"/>
        </w:rPr>
        <w:t>RETENIDAS Y LIBERADAS TEXCOCO 2021-2022 (1).xlsx</w:t>
      </w:r>
    </w:p>
    <w:p w:rsidR="00E26E99" w:rsidRDefault="00E26E99" w:rsidP="003F30DD">
      <w:pPr>
        <w:spacing w:after="0" w:line="360" w:lineRule="auto"/>
        <w:ind w:left="567"/>
        <w:jc w:val="both"/>
        <w:rPr>
          <w:rFonts w:ascii="Palatino Linotype" w:eastAsia="Calibri" w:hAnsi="Palatino Linotype"/>
          <w:sz w:val="24"/>
          <w:lang w:val="es-ES_tradnl"/>
        </w:rPr>
      </w:pPr>
    </w:p>
    <w:p w:rsidR="00E26E99" w:rsidRDefault="00E26E99" w:rsidP="003F30DD">
      <w:pPr>
        <w:spacing w:after="0" w:line="360" w:lineRule="auto"/>
        <w:ind w:left="567"/>
        <w:jc w:val="center"/>
        <w:rPr>
          <w:rFonts w:ascii="Palatino Linotype" w:eastAsia="Calibri" w:hAnsi="Palatino Linotype"/>
          <w:sz w:val="24"/>
          <w:lang w:val="es-ES_tradnl"/>
        </w:rPr>
      </w:pPr>
      <w:r w:rsidRPr="00E26E99">
        <w:rPr>
          <w:rFonts w:ascii="Palatino Linotype" w:eastAsia="Calibri" w:hAnsi="Palatino Linotype"/>
          <w:noProof/>
          <w:sz w:val="24"/>
          <w:lang w:eastAsia="es-MX"/>
        </w:rPr>
        <w:drawing>
          <wp:inline distT="0" distB="0" distL="0" distR="0" wp14:anchorId="27D1B0C3" wp14:editId="15C3588A">
            <wp:extent cx="3133973" cy="259989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9647" cy="2612901"/>
                    </a:xfrm>
                    <a:prstGeom prst="rect">
                      <a:avLst/>
                    </a:prstGeom>
                  </pic:spPr>
                </pic:pic>
              </a:graphicData>
            </a:graphic>
          </wp:inline>
        </w:drawing>
      </w:r>
    </w:p>
    <w:p w:rsidR="00E26E99" w:rsidRDefault="00E26E99" w:rsidP="003F30DD">
      <w:pPr>
        <w:spacing w:after="0" w:line="360" w:lineRule="auto"/>
        <w:ind w:left="567"/>
        <w:jc w:val="both"/>
        <w:rPr>
          <w:rFonts w:ascii="Palatino Linotype" w:eastAsia="Calibri" w:hAnsi="Palatino Linotype"/>
          <w:sz w:val="24"/>
          <w:lang w:val="es-ES_tradnl"/>
        </w:rPr>
      </w:pPr>
    </w:p>
    <w:p w:rsidR="00E26E99" w:rsidRPr="00E26E99" w:rsidRDefault="00E26E99" w:rsidP="003F30DD">
      <w:pPr>
        <w:spacing w:after="0" w:line="360" w:lineRule="auto"/>
        <w:ind w:left="567"/>
        <w:jc w:val="both"/>
        <w:rPr>
          <w:rFonts w:ascii="Palatino Linotype" w:eastAsia="Calibri" w:hAnsi="Palatino Linotype"/>
          <w:b/>
          <w:sz w:val="28"/>
          <w:lang w:val="es-ES_tradnl"/>
        </w:rPr>
      </w:pPr>
      <w:r w:rsidRPr="00E26E99">
        <w:rPr>
          <w:rFonts w:ascii="Palatino Linotype" w:eastAsia="Calibri" w:hAnsi="Palatino Linotype"/>
          <w:b/>
          <w:sz w:val="24"/>
          <w:lang w:val="es-ES_tradnl"/>
        </w:rPr>
        <w:t>UNIDADES DETENIDAS Y LIBERADAS 2021 ECATEPEC (1).xlsx</w:t>
      </w:r>
    </w:p>
    <w:p w:rsidR="00E26E99" w:rsidRDefault="00E26E99" w:rsidP="003F30DD">
      <w:pPr>
        <w:spacing w:after="0" w:line="360" w:lineRule="auto"/>
        <w:ind w:left="567"/>
        <w:jc w:val="both"/>
        <w:rPr>
          <w:rFonts w:ascii="Palatino Linotype" w:eastAsia="Calibri" w:hAnsi="Palatino Linotype"/>
          <w:sz w:val="24"/>
          <w:lang w:val="es-ES_tradnl"/>
        </w:rPr>
      </w:pPr>
    </w:p>
    <w:p w:rsidR="00E26E99" w:rsidRDefault="00E26E99" w:rsidP="003F30DD">
      <w:pPr>
        <w:spacing w:after="0" w:line="360" w:lineRule="auto"/>
        <w:ind w:left="567"/>
        <w:jc w:val="center"/>
        <w:rPr>
          <w:rFonts w:ascii="Palatino Linotype" w:eastAsia="Calibri" w:hAnsi="Palatino Linotype"/>
          <w:sz w:val="24"/>
          <w:lang w:val="es-ES_tradnl"/>
        </w:rPr>
      </w:pPr>
      <w:r w:rsidRPr="00E26E99">
        <w:rPr>
          <w:rFonts w:ascii="Palatino Linotype" w:eastAsia="Calibri" w:hAnsi="Palatino Linotype"/>
          <w:noProof/>
          <w:sz w:val="24"/>
          <w:lang w:eastAsia="es-MX"/>
        </w:rPr>
        <w:drawing>
          <wp:inline distT="0" distB="0" distL="0" distR="0" wp14:anchorId="1E090A73" wp14:editId="202E2C90">
            <wp:extent cx="3176979" cy="2415653"/>
            <wp:effectExtent l="0" t="0" r="444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99058" cy="2432441"/>
                    </a:xfrm>
                    <a:prstGeom prst="rect">
                      <a:avLst/>
                    </a:prstGeom>
                  </pic:spPr>
                </pic:pic>
              </a:graphicData>
            </a:graphic>
          </wp:inline>
        </w:drawing>
      </w:r>
    </w:p>
    <w:p w:rsidR="00E26E99" w:rsidRPr="00002527" w:rsidRDefault="00002527" w:rsidP="003F30DD">
      <w:pPr>
        <w:spacing w:after="0" w:line="360" w:lineRule="auto"/>
        <w:ind w:left="567"/>
        <w:jc w:val="both"/>
        <w:rPr>
          <w:rFonts w:ascii="Palatino Linotype" w:eastAsia="Calibri" w:hAnsi="Palatino Linotype"/>
          <w:sz w:val="28"/>
          <w:lang w:val="es-ES_tradnl"/>
        </w:rPr>
      </w:pPr>
      <w:r w:rsidRPr="00002527">
        <w:rPr>
          <w:rFonts w:ascii="Palatino Linotype" w:eastAsia="Calibri" w:hAnsi="Palatino Linotype"/>
          <w:b/>
          <w:sz w:val="24"/>
          <w:lang w:val="es-ES_tradnl"/>
        </w:rPr>
        <w:lastRenderedPageBreak/>
        <w:t>RETENIDAS Y LIBERADAS TEXCOCO 2021-2022 (1).xlsx</w:t>
      </w:r>
    </w:p>
    <w:p w:rsidR="00002527" w:rsidRDefault="00002527" w:rsidP="003F30DD">
      <w:pPr>
        <w:spacing w:after="0" w:line="360" w:lineRule="auto"/>
        <w:ind w:left="567"/>
        <w:jc w:val="both"/>
        <w:rPr>
          <w:rFonts w:ascii="Palatino Linotype" w:eastAsia="Calibri" w:hAnsi="Palatino Linotype"/>
          <w:sz w:val="24"/>
          <w:lang w:val="es-ES_tradnl"/>
        </w:rPr>
      </w:pPr>
    </w:p>
    <w:p w:rsidR="00002527" w:rsidRDefault="00002527" w:rsidP="003F30DD">
      <w:pPr>
        <w:spacing w:after="0" w:line="360" w:lineRule="auto"/>
        <w:ind w:left="567"/>
        <w:jc w:val="center"/>
        <w:rPr>
          <w:rFonts w:ascii="Palatino Linotype" w:eastAsia="Calibri" w:hAnsi="Palatino Linotype"/>
          <w:sz w:val="24"/>
          <w:lang w:val="es-ES_tradnl"/>
        </w:rPr>
      </w:pPr>
      <w:r w:rsidRPr="00002527">
        <w:rPr>
          <w:rFonts w:ascii="Palatino Linotype" w:eastAsia="Calibri" w:hAnsi="Palatino Linotype"/>
          <w:noProof/>
          <w:sz w:val="24"/>
          <w:lang w:eastAsia="es-MX"/>
        </w:rPr>
        <w:drawing>
          <wp:inline distT="0" distB="0" distL="0" distR="0" wp14:anchorId="5CDEECB3" wp14:editId="6A30C8DB">
            <wp:extent cx="3957851" cy="2441809"/>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0135" cy="2455557"/>
                    </a:xfrm>
                    <a:prstGeom prst="rect">
                      <a:avLst/>
                    </a:prstGeom>
                  </pic:spPr>
                </pic:pic>
              </a:graphicData>
            </a:graphic>
          </wp:inline>
        </w:drawing>
      </w:r>
    </w:p>
    <w:p w:rsidR="00E26E99" w:rsidRDefault="00E26E99" w:rsidP="003F30DD">
      <w:pPr>
        <w:spacing w:after="0" w:line="360" w:lineRule="auto"/>
        <w:jc w:val="both"/>
        <w:rPr>
          <w:rFonts w:ascii="Palatino Linotype" w:eastAsia="Calibri" w:hAnsi="Palatino Linotype"/>
          <w:sz w:val="24"/>
          <w:lang w:val="es-ES_tradnl"/>
        </w:rPr>
      </w:pPr>
    </w:p>
    <w:p w:rsidR="00E26E99" w:rsidRPr="00002527" w:rsidRDefault="00002527" w:rsidP="003F30DD">
      <w:pPr>
        <w:pStyle w:val="Prrafodelista"/>
        <w:numPr>
          <w:ilvl w:val="0"/>
          <w:numId w:val="27"/>
        </w:numPr>
        <w:spacing w:line="360" w:lineRule="auto"/>
        <w:jc w:val="both"/>
        <w:rPr>
          <w:rFonts w:ascii="Palatino Linotype" w:eastAsia="Calibri" w:hAnsi="Palatino Linotype"/>
          <w:lang w:val="es-ES_tradnl"/>
        </w:rPr>
      </w:pPr>
      <w:r w:rsidRPr="00002527">
        <w:rPr>
          <w:rFonts w:ascii="Palatino Linotype" w:eastAsia="Calibri" w:hAnsi="Palatino Linotype"/>
          <w:lang w:val="es-ES_tradnl"/>
        </w:rPr>
        <w:t>ZONA II</w:t>
      </w:r>
      <w:r>
        <w:rPr>
          <w:rFonts w:ascii="Palatino Linotype" w:eastAsia="Calibri" w:hAnsi="Palatino Linotype"/>
          <w:lang w:val="es-ES_tradnl"/>
        </w:rPr>
        <w:t>: se observa contener los documentos “</w:t>
      </w:r>
      <w:r w:rsidRPr="00002527">
        <w:rPr>
          <w:rFonts w:ascii="Palatino Linotype" w:eastAsia="Calibri" w:hAnsi="Palatino Linotype"/>
          <w:lang w:val="es-ES_tradnl"/>
        </w:rPr>
        <w:t>OPERATIVOS ZUMPANGO.pdf</w:t>
      </w:r>
      <w:r>
        <w:rPr>
          <w:rFonts w:ascii="Palatino Linotype" w:eastAsia="Calibri" w:hAnsi="Palatino Linotype"/>
          <w:lang w:val="es-ES_tradnl"/>
        </w:rPr>
        <w:t xml:space="preserve">, </w:t>
      </w:r>
      <w:r w:rsidRPr="00002527">
        <w:rPr>
          <w:rFonts w:ascii="Palatino Linotype" w:eastAsia="Calibri" w:hAnsi="Palatino Linotype"/>
          <w:lang w:val="es-ES_tradnl"/>
        </w:rPr>
        <w:t>OPERATIVOS NAUCALPAN.pdf</w:t>
      </w:r>
      <w:r>
        <w:rPr>
          <w:rFonts w:ascii="Palatino Linotype" w:eastAsia="Calibri" w:hAnsi="Palatino Linotype"/>
          <w:lang w:val="es-ES_tradnl"/>
        </w:rPr>
        <w:t xml:space="preserve"> y </w:t>
      </w:r>
      <w:r w:rsidRPr="00002527">
        <w:rPr>
          <w:rFonts w:ascii="Palatino Linotype" w:eastAsia="Calibri" w:hAnsi="Palatino Linotype"/>
          <w:lang w:val="es-ES_tradnl"/>
        </w:rPr>
        <w:t>OPERATIVOS CUAUTITLÁN IZCALLI.pdf</w:t>
      </w:r>
      <w:r>
        <w:rPr>
          <w:rFonts w:ascii="Palatino Linotype" w:eastAsia="Calibri" w:hAnsi="Palatino Linotype"/>
          <w:lang w:val="es-ES_tradnl"/>
        </w:rPr>
        <w:t xml:space="preserve">”, </w:t>
      </w:r>
      <w:r w:rsidR="00D9667B">
        <w:rPr>
          <w:rFonts w:ascii="Palatino Linotype" w:eastAsia="Calibri" w:hAnsi="Palatino Linotype"/>
          <w:lang w:val="es-ES_tradnl"/>
        </w:rPr>
        <w:t>relativos a la relación de operativos implementados en los municipios de Zumpango, Naucalpan y Cuautitlán Izcalli, en el periodo de julio 2021 a julio 2022.</w:t>
      </w:r>
    </w:p>
    <w:p w:rsidR="00E26E99" w:rsidRDefault="00E26E99" w:rsidP="003F30DD">
      <w:pPr>
        <w:spacing w:after="0" w:line="360" w:lineRule="auto"/>
        <w:jc w:val="both"/>
        <w:rPr>
          <w:rFonts w:ascii="Palatino Linotype" w:eastAsia="Calibri" w:hAnsi="Palatino Linotype"/>
          <w:sz w:val="24"/>
          <w:lang w:val="es-ES_tradnl"/>
        </w:rPr>
      </w:pPr>
    </w:p>
    <w:p w:rsidR="00E26E99" w:rsidRPr="00D9667B" w:rsidRDefault="00D9667B" w:rsidP="003F30DD">
      <w:pPr>
        <w:pStyle w:val="Prrafodelista"/>
        <w:numPr>
          <w:ilvl w:val="0"/>
          <w:numId w:val="27"/>
        </w:numPr>
        <w:spacing w:line="360" w:lineRule="auto"/>
        <w:jc w:val="both"/>
        <w:rPr>
          <w:rFonts w:ascii="Palatino Linotype" w:eastAsia="Calibri" w:hAnsi="Palatino Linotype"/>
          <w:lang w:val="es-ES_tradnl"/>
        </w:rPr>
      </w:pPr>
      <w:r w:rsidRPr="00D9667B">
        <w:rPr>
          <w:rFonts w:ascii="Palatino Linotype" w:eastAsia="Calibri" w:hAnsi="Palatino Linotype"/>
          <w:lang w:val="es-ES_tradnl"/>
        </w:rPr>
        <w:t>ZONA I</w:t>
      </w:r>
      <w:r>
        <w:rPr>
          <w:rFonts w:ascii="Palatino Linotype" w:eastAsia="Calibri" w:hAnsi="Palatino Linotype"/>
          <w:lang w:val="es-ES_tradnl"/>
        </w:rPr>
        <w:t>: contiene el documento “</w:t>
      </w:r>
      <w:r w:rsidRPr="00D9667B">
        <w:rPr>
          <w:rFonts w:ascii="Palatino Linotype" w:eastAsia="Calibri" w:hAnsi="Palatino Linotype"/>
          <w:lang w:val="es-ES_tradnl"/>
        </w:rPr>
        <w:t>VISITAS_PET378 (1).xlsx</w:t>
      </w:r>
      <w:r>
        <w:rPr>
          <w:rFonts w:ascii="Palatino Linotype" w:eastAsia="Calibri" w:hAnsi="Palatino Linotype"/>
          <w:lang w:val="es-ES_tradnl"/>
        </w:rPr>
        <w:t>”, referente a la relación de visitas de verificación realizadas por la Dirección General de Movilidad Zona I, en el periodo del 13 de julio de 2021 al 13 de julio de 2022.</w:t>
      </w:r>
    </w:p>
    <w:p w:rsidR="00E26E99" w:rsidRDefault="00E26E99" w:rsidP="003F30DD">
      <w:pPr>
        <w:spacing w:after="0" w:line="360" w:lineRule="auto"/>
        <w:jc w:val="both"/>
        <w:rPr>
          <w:rFonts w:ascii="Palatino Linotype" w:eastAsia="Calibri" w:hAnsi="Palatino Linotype"/>
          <w:sz w:val="24"/>
          <w:lang w:val="es-ES_tradnl"/>
        </w:rPr>
      </w:pPr>
    </w:p>
    <w:p w:rsidR="00E26E99" w:rsidRDefault="00D9667B" w:rsidP="003F30DD">
      <w:pPr>
        <w:spacing w:after="0" w:line="360" w:lineRule="auto"/>
        <w:jc w:val="center"/>
        <w:rPr>
          <w:rFonts w:ascii="Palatino Linotype" w:eastAsia="Calibri" w:hAnsi="Palatino Linotype"/>
          <w:sz w:val="24"/>
          <w:lang w:val="es-ES_tradnl"/>
        </w:rPr>
      </w:pPr>
      <w:r w:rsidRPr="00D9667B">
        <w:rPr>
          <w:rFonts w:ascii="Palatino Linotype" w:eastAsia="Calibri" w:hAnsi="Palatino Linotype"/>
          <w:noProof/>
          <w:sz w:val="24"/>
          <w:lang w:eastAsia="es-MX"/>
        </w:rPr>
        <w:lastRenderedPageBreak/>
        <w:drawing>
          <wp:inline distT="0" distB="0" distL="0" distR="0" wp14:anchorId="69520DB5" wp14:editId="657AFFA4">
            <wp:extent cx="3609833" cy="280764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1109" cy="2831974"/>
                    </a:xfrm>
                    <a:prstGeom prst="rect">
                      <a:avLst/>
                    </a:prstGeom>
                  </pic:spPr>
                </pic:pic>
              </a:graphicData>
            </a:graphic>
          </wp:inline>
        </w:drawing>
      </w:r>
    </w:p>
    <w:p w:rsidR="00E26E99" w:rsidRDefault="00E26E99" w:rsidP="003F30DD">
      <w:pPr>
        <w:spacing w:after="0" w:line="360" w:lineRule="auto"/>
        <w:jc w:val="both"/>
        <w:rPr>
          <w:rFonts w:ascii="Palatino Linotype" w:eastAsia="Calibri" w:hAnsi="Palatino Linotype"/>
          <w:sz w:val="24"/>
          <w:lang w:val="es-ES_tradnl"/>
        </w:rPr>
      </w:pPr>
    </w:p>
    <w:p w:rsidR="00E26E99" w:rsidRPr="009A5E44" w:rsidRDefault="00805D06" w:rsidP="003F30DD">
      <w:pPr>
        <w:pStyle w:val="Prrafodelista"/>
        <w:numPr>
          <w:ilvl w:val="0"/>
          <w:numId w:val="26"/>
        </w:numPr>
        <w:tabs>
          <w:tab w:val="left" w:pos="7513"/>
        </w:tabs>
        <w:spacing w:line="360" w:lineRule="auto"/>
        <w:jc w:val="both"/>
        <w:rPr>
          <w:rFonts w:ascii="Palatino Linotype" w:eastAsia="Calibri" w:hAnsi="Palatino Linotype"/>
          <w:lang w:val="es-ES_tradnl"/>
        </w:rPr>
      </w:pPr>
      <w:r w:rsidRPr="003D37B1">
        <w:rPr>
          <w:rFonts w:ascii="Palatino Linotype" w:hAnsi="Palatino Linotype" w:cs="Arial"/>
          <w:b/>
          <w:i/>
        </w:rPr>
        <w:t>Acta 133a Extraord Solic 00378 (Reserva).pdf</w:t>
      </w:r>
      <w:r>
        <w:rPr>
          <w:rFonts w:ascii="Palatino Linotype" w:hAnsi="Palatino Linotype" w:cs="Arial"/>
          <w:b/>
          <w:i/>
        </w:rPr>
        <w:t>:</w:t>
      </w:r>
      <w:r>
        <w:rPr>
          <w:rFonts w:ascii="Palatino Linotype" w:hAnsi="Palatino Linotype" w:cs="Arial"/>
        </w:rPr>
        <w:t xml:space="preserve"> </w:t>
      </w:r>
      <w:r w:rsidR="00356BA5">
        <w:rPr>
          <w:rFonts w:ascii="Palatino Linotype" w:hAnsi="Palatino Linotype" w:cs="Arial"/>
        </w:rPr>
        <w:t>relativo al Acta de la Centésima Trigésima Tercera Sesión Extraordinaria del diecisiete de agosto de dos mil veintidós, la cual contiene la discusión y aprobación de la reserva de la información requerida en la solicitud de información 00378/SMOV/IP/2022, referente al “Padrón de concesionarios de transporte público por modalidad con unidades con marca serie, placas, nombre de la empresa y representante legal, medio de contacto, teléfono, domicilio municipio de operación, operativos realizados y unidades que se detuvieron.”</w:t>
      </w:r>
    </w:p>
    <w:p w:rsidR="00E26E99" w:rsidRDefault="00E26E99" w:rsidP="003F30DD">
      <w:pPr>
        <w:spacing w:after="0" w:line="360" w:lineRule="auto"/>
        <w:jc w:val="both"/>
        <w:rPr>
          <w:rFonts w:ascii="Palatino Linotype" w:eastAsia="Calibri" w:hAnsi="Palatino Linotype"/>
          <w:sz w:val="24"/>
          <w:lang w:val="es-ES_tradnl"/>
        </w:rPr>
      </w:pPr>
    </w:p>
    <w:p w:rsidR="003D37B1" w:rsidRPr="00A62FD8" w:rsidRDefault="003D37B1" w:rsidP="003F30D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acto impugnado </w:t>
      </w:r>
      <w:r>
        <w:rPr>
          <w:rFonts w:ascii="Palatino Linotype" w:eastAsia="Calibri" w:hAnsi="Palatino Linotype"/>
        </w:rPr>
        <w:t>y</w:t>
      </w:r>
      <w:r>
        <w:rPr>
          <w:rFonts w:ascii="Palatino Linotype" w:eastAsia="Calibri" w:hAnsi="Palatino Linotype"/>
          <w:sz w:val="24"/>
          <w:lang w:val="es-ES_tradnl"/>
        </w:rPr>
        <w:t xml:space="preserve"> como razones o motivos de inconformidad objetivamente </w:t>
      </w:r>
      <w:r w:rsidR="00196322" w:rsidRPr="00196322">
        <w:rPr>
          <w:rFonts w:ascii="Palatino Linotype" w:eastAsia="Calibri" w:hAnsi="Palatino Linotype"/>
          <w:i/>
          <w:sz w:val="24"/>
          <w:lang w:val="es-ES"/>
        </w:rPr>
        <w:t>“Para lo usuarios es importante saber la informacion que nos da seguridad y la niegan” (sic)</w:t>
      </w:r>
      <w:r w:rsidR="00196322">
        <w:rPr>
          <w:rFonts w:ascii="Palatino Linotype" w:eastAsia="Calibri" w:hAnsi="Palatino Linotype"/>
          <w:i/>
          <w:sz w:val="24"/>
          <w:lang w:val="es-ES"/>
        </w:rPr>
        <w:t>,</w:t>
      </w:r>
      <w:r>
        <w:rPr>
          <w:rFonts w:ascii="Palatino Linotype" w:eastAsia="Calibri" w:hAnsi="Palatino Linotype"/>
          <w:sz w:val="24"/>
          <w:lang w:val="es-ES_tradnl"/>
        </w:rPr>
        <w:t xml:space="preserve"> consideraciones que se encuentran fundadas al encuadrar en la hipótesis </w:t>
      </w:r>
      <w:r>
        <w:rPr>
          <w:rFonts w:ascii="Palatino Linotype" w:eastAsia="Calibri" w:hAnsi="Palatino Linotype"/>
          <w:sz w:val="24"/>
          <w:lang w:val="es-ES_tradnl"/>
        </w:rPr>
        <w:lastRenderedPageBreak/>
        <w:t>normativa consagrada en la fracciones I</w:t>
      </w:r>
      <w:r w:rsidR="00196322">
        <w:rPr>
          <w:rFonts w:ascii="Palatino Linotype" w:eastAsia="Calibri" w:hAnsi="Palatino Linotype"/>
          <w:sz w:val="24"/>
          <w:lang w:val="es-ES_tradnl"/>
        </w:rPr>
        <w:t xml:space="preserve">I </w:t>
      </w:r>
      <w:r>
        <w:rPr>
          <w:rFonts w:ascii="Palatino Linotype" w:eastAsia="Calibri" w:hAnsi="Palatino Linotype"/>
          <w:sz w:val="24"/>
          <w:lang w:val="es-ES_tradnl"/>
        </w:rPr>
        <w:t>del artículo 179 de la Ley de Transparencia Local</w:t>
      </w:r>
      <w:r>
        <w:rPr>
          <w:rStyle w:val="Refdenotaalpie"/>
          <w:rFonts w:ascii="Palatino Linotype" w:eastAsia="Calibri" w:hAnsi="Palatino Linotype"/>
          <w:sz w:val="24"/>
          <w:lang w:val="es-ES_tradnl"/>
        </w:rPr>
        <w:footnoteReference w:id="1"/>
      </w:r>
      <w:r>
        <w:rPr>
          <w:rFonts w:ascii="Palatino Linotype" w:eastAsia="Calibri" w:hAnsi="Palatino Linotype"/>
          <w:sz w:val="24"/>
          <w:lang w:val="es-ES_tradnl"/>
        </w:rPr>
        <w:t>, relativa a la clasificación de la información.</w:t>
      </w:r>
    </w:p>
    <w:p w:rsidR="003D37B1" w:rsidRDefault="003D37B1" w:rsidP="003F30DD">
      <w:pPr>
        <w:spacing w:after="0" w:line="360" w:lineRule="auto"/>
        <w:jc w:val="both"/>
        <w:rPr>
          <w:rFonts w:ascii="Palatino Linotype" w:eastAsia="Calibri" w:hAnsi="Palatino Linotype"/>
          <w:sz w:val="24"/>
          <w:lang w:val="es-ES_tradnl"/>
        </w:rPr>
      </w:pPr>
    </w:p>
    <w:p w:rsidR="000C0F34" w:rsidRPr="007F109C" w:rsidRDefault="000C0F34" w:rsidP="003F30DD">
      <w:pPr>
        <w:spacing w:after="0" w:line="360" w:lineRule="auto"/>
        <w:jc w:val="both"/>
        <w:rPr>
          <w:rFonts w:ascii="Palatino Linotype" w:hAnsi="Palatino Linotype" w:cs="Arial"/>
          <w:sz w:val="24"/>
        </w:rPr>
      </w:pPr>
      <w:r w:rsidRPr="007F109C">
        <w:rPr>
          <w:rFonts w:ascii="Palatino Linotype" w:hAnsi="Palatino Linotype" w:cs="Arial"/>
          <w:sz w:val="24"/>
        </w:rPr>
        <w:t xml:space="preserve">Atentos a lo anterior, no pasa desapercibido que, el </w:t>
      </w:r>
      <w:r w:rsidRPr="007F109C">
        <w:rPr>
          <w:rFonts w:ascii="Palatino Linotype" w:hAnsi="Palatino Linotype" w:cs="Arial"/>
          <w:b/>
          <w:sz w:val="24"/>
        </w:rPr>
        <w:t>Recurrente</w:t>
      </w:r>
      <w:r w:rsidRPr="007F109C">
        <w:rPr>
          <w:rFonts w:ascii="Palatino Linotype" w:hAnsi="Palatino Linotype" w:cs="Arial"/>
          <w:sz w:val="24"/>
        </w:rPr>
        <w:t xml:space="preserve"> no se inconforma de la totalidad de la información entregada, </w:t>
      </w:r>
      <w:r>
        <w:rPr>
          <w:rFonts w:ascii="Palatino Linotype" w:hAnsi="Palatino Linotype" w:cs="Arial"/>
          <w:sz w:val="24"/>
        </w:rPr>
        <w:t xml:space="preserve">particularmente del numeral </w:t>
      </w:r>
      <w:r w:rsidRPr="000C0F34">
        <w:rPr>
          <w:rFonts w:ascii="Palatino Linotype" w:hAnsi="Palatino Linotype" w:cs="Arial"/>
          <w:b/>
          <w:sz w:val="26"/>
          <w:szCs w:val="26"/>
        </w:rPr>
        <w:t>2</w:t>
      </w:r>
      <w:r>
        <w:rPr>
          <w:rFonts w:ascii="Palatino Linotype" w:hAnsi="Palatino Linotype" w:cs="Arial"/>
          <w:sz w:val="24"/>
        </w:rPr>
        <w:t>, relativo a los operativos y unidades que se detuvieron, c</w:t>
      </w:r>
      <w:r w:rsidRPr="007F109C">
        <w:rPr>
          <w:rFonts w:ascii="Palatino Linotype" w:hAnsi="Palatino Linotype" w:cs="Arial"/>
          <w:sz w:val="24"/>
        </w:rPr>
        <w:t xml:space="preserve">onsecuentemente, al no impugnar el total de los requerimientos, se debe entender que está conforme con la respuesta otorgada, por lo que se considera que consintió parcialmente la respuesta. </w:t>
      </w:r>
    </w:p>
    <w:p w:rsidR="000C0F34" w:rsidRPr="007F109C" w:rsidRDefault="000C0F34" w:rsidP="003F30DD">
      <w:pPr>
        <w:spacing w:after="0" w:line="360" w:lineRule="auto"/>
        <w:jc w:val="both"/>
        <w:rPr>
          <w:rFonts w:ascii="Palatino Linotype" w:hAnsi="Palatino Linotype" w:cs="Arial"/>
          <w:sz w:val="24"/>
        </w:rPr>
      </w:pPr>
    </w:p>
    <w:p w:rsidR="000C0F34" w:rsidRPr="007F109C" w:rsidRDefault="000C0F34" w:rsidP="003F30DD">
      <w:pPr>
        <w:spacing w:after="0" w:line="360" w:lineRule="auto"/>
        <w:jc w:val="both"/>
        <w:rPr>
          <w:rFonts w:ascii="Palatino Linotype" w:hAnsi="Palatino Linotype" w:cs="Arial"/>
          <w:sz w:val="24"/>
        </w:rPr>
      </w:pPr>
      <w:r w:rsidRPr="007F109C">
        <w:rPr>
          <w:rFonts w:ascii="Palatino Linotype" w:hAnsi="Palatino Linotype" w:cs="Arial"/>
          <w:sz w:val="24"/>
        </w:rPr>
        <w:t xml:space="preserve">Lo anterior es así, debido a que cuando el </w:t>
      </w:r>
      <w:r w:rsidRPr="007F109C">
        <w:rPr>
          <w:rFonts w:ascii="Palatino Linotype" w:hAnsi="Palatino Linotype" w:cs="Arial"/>
          <w:b/>
          <w:sz w:val="24"/>
        </w:rPr>
        <w:t>Recurrente</w:t>
      </w:r>
      <w:r w:rsidRPr="007F109C">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C0F34" w:rsidRPr="007F109C" w:rsidRDefault="000C0F34" w:rsidP="003F30DD">
      <w:pPr>
        <w:spacing w:after="0" w:line="360" w:lineRule="auto"/>
        <w:jc w:val="both"/>
        <w:rPr>
          <w:rFonts w:ascii="Palatino Linotype" w:hAnsi="Palatino Linotype" w:cs="Arial"/>
          <w:sz w:val="24"/>
        </w:rPr>
      </w:pPr>
    </w:p>
    <w:p w:rsidR="000C0F34" w:rsidRPr="007F109C" w:rsidRDefault="000C0F34" w:rsidP="003F30DD">
      <w:pPr>
        <w:spacing w:after="0" w:line="240" w:lineRule="auto"/>
        <w:ind w:left="567" w:right="567"/>
        <w:jc w:val="both"/>
        <w:rPr>
          <w:rFonts w:ascii="Palatino Linotype" w:hAnsi="Palatino Linotype" w:cs="Arial"/>
          <w:i/>
        </w:rPr>
      </w:pPr>
      <w:r w:rsidRPr="007F109C">
        <w:rPr>
          <w:rFonts w:ascii="Palatino Linotype" w:hAnsi="Palatino Linotype" w:cs="Arial"/>
          <w:i/>
        </w:rPr>
        <w:t>“</w:t>
      </w:r>
      <w:r w:rsidRPr="007F109C">
        <w:rPr>
          <w:rFonts w:ascii="Palatino Linotype" w:hAnsi="Palatino Linotype" w:cs="Arial"/>
          <w:b/>
          <w:i/>
        </w:rPr>
        <w:t>REVISIÓN EN AMPARO. LOS RESOLUTIVOS NO COMBATIDOS DEBEN DECLARARSE FIRMES</w:t>
      </w:r>
      <w:r w:rsidRPr="007F109C">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C0F34" w:rsidRPr="007F109C" w:rsidRDefault="000C0F34" w:rsidP="003F30DD">
      <w:pPr>
        <w:spacing w:after="0" w:line="360" w:lineRule="auto"/>
        <w:jc w:val="both"/>
        <w:rPr>
          <w:rFonts w:ascii="Palatino Linotype" w:hAnsi="Palatino Linotype" w:cs="Arial"/>
          <w:sz w:val="24"/>
        </w:rPr>
      </w:pPr>
      <w:r w:rsidRPr="007F109C">
        <w:rPr>
          <w:rFonts w:ascii="Palatino Linotype" w:hAnsi="Palatino Linotype" w:cs="Arial"/>
          <w:sz w:val="24"/>
        </w:rPr>
        <w:lastRenderedPageBreak/>
        <w:t xml:space="preserve">Así, la parte de la solicitud sobre la que no se expresó inconformidad, debe declararse consentida por el hoy </w:t>
      </w:r>
      <w:r w:rsidRPr="007F109C">
        <w:rPr>
          <w:rFonts w:ascii="Palatino Linotype" w:hAnsi="Palatino Linotype" w:cs="Arial"/>
          <w:b/>
          <w:sz w:val="24"/>
        </w:rPr>
        <w:t>Recurrente</w:t>
      </w:r>
      <w:r w:rsidRPr="007F109C">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0C0F34" w:rsidRPr="007F109C" w:rsidRDefault="000C0F34" w:rsidP="003F30DD">
      <w:pPr>
        <w:spacing w:after="0" w:line="360" w:lineRule="auto"/>
        <w:jc w:val="both"/>
        <w:rPr>
          <w:rFonts w:ascii="Palatino Linotype" w:hAnsi="Palatino Linotype" w:cs="Arial"/>
          <w:sz w:val="24"/>
        </w:rPr>
      </w:pPr>
    </w:p>
    <w:p w:rsidR="000C0F34" w:rsidRPr="007F109C" w:rsidRDefault="000C0F34" w:rsidP="003F30DD">
      <w:pPr>
        <w:spacing w:after="0" w:line="240" w:lineRule="auto"/>
        <w:ind w:left="567" w:right="567"/>
        <w:jc w:val="both"/>
        <w:rPr>
          <w:rFonts w:ascii="Palatino Linotype" w:hAnsi="Palatino Linotype" w:cs="Arial"/>
          <w:i/>
        </w:rPr>
      </w:pPr>
      <w:r w:rsidRPr="007F109C">
        <w:rPr>
          <w:rFonts w:ascii="Palatino Linotype" w:hAnsi="Palatino Linotype" w:cs="Arial"/>
          <w:i/>
        </w:rPr>
        <w:t>“</w:t>
      </w:r>
      <w:r w:rsidRPr="007F109C">
        <w:rPr>
          <w:rFonts w:ascii="Palatino Linotype" w:hAnsi="Palatino Linotype" w:cs="Arial"/>
          <w:b/>
          <w:i/>
        </w:rPr>
        <w:t>ACTOS CONSENTIDOS. SON LOS QUE NO SE IMPUGNAN MEDIANTE EL RECURSO IDÓNEO</w:t>
      </w:r>
      <w:r w:rsidRPr="007F109C">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C0F34" w:rsidRDefault="000C0F34" w:rsidP="003F30DD">
      <w:pPr>
        <w:spacing w:after="0" w:line="360" w:lineRule="auto"/>
        <w:jc w:val="both"/>
        <w:rPr>
          <w:rFonts w:ascii="Palatino Linotype" w:eastAsia="Calibri" w:hAnsi="Palatino Linotype"/>
          <w:sz w:val="24"/>
        </w:rPr>
      </w:pPr>
    </w:p>
    <w:p w:rsidR="00D72D90" w:rsidRDefault="00B17A8D" w:rsidP="003F30DD">
      <w:pPr>
        <w:spacing w:after="0" w:line="360" w:lineRule="auto"/>
        <w:jc w:val="both"/>
        <w:rPr>
          <w:rFonts w:ascii="Palatino Linotype" w:eastAsia="Calibri" w:hAnsi="Palatino Linotype"/>
          <w:sz w:val="24"/>
        </w:rPr>
      </w:pPr>
      <w:r>
        <w:rPr>
          <w:rFonts w:ascii="Palatino Linotype" w:eastAsia="Calibri" w:hAnsi="Palatino Linotype"/>
          <w:sz w:val="24"/>
        </w:rPr>
        <w:t>Ahora bien, respecto del numeral 1 y sus sub-numerales, de los que se inconforma el Recurrente, se advierte que la naturaleza de la información es respecto de las concesiones otorgadas en transporte público, por lo que en primer lugar debemos establecer que es una concesión.</w:t>
      </w:r>
      <w:r w:rsidR="00D72D90">
        <w:rPr>
          <w:rFonts w:ascii="Palatino Linotype" w:eastAsia="Calibri" w:hAnsi="Palatino Linotype"/>
          <w:sz w:val="24"/>
        </w:rPr>
        <w:t xml:space="preserve"> El Diccionario Panhispánico de la Real Academia de la Lengua Española, señala lo siguiente:</w:t>
      </w:r>
    </w:p>
    <w:p w:rsidR="00D72D90" w:rsidRDefault="00D72D90" w:rsidP="003F30DD">
      <w:pPr>
        <w:spacing w:after="0" w:line="360" w:lineRule="auto"/>
        <w:jc w:val="both"/>
        <w:rPr>
          <w:rFonts w:ascii="Palatino Linotype" w:eastAsia="Calibri" w:hAnsi="Palatino Linotype"/>
          <w:sz w:val="24"/>
        </w:rPr>
      </w:pPr>
    </w:p>
    <w:p w:rsidR="00D72D90" w:rsidRPr="00D72D90" w:rsidRDefault="00D72D90" w:rsidP="00D72D90">
      <w:pPr>
        <w:spacing w:after="0" w:line="360" w:lineRule="auto"/>
        <w:ind w:left="1843" w:right="567" w:hanging="1276"/>
        <w:jc w:val="both"/>
        <w:rPr>
          <w:rFonts w:ascii="Palatino Linotype" w:eastAsia="Calibri" w:hAnsi="Palatino Linotype"/>
        </w:rPr>
      </w:pPr>
      <w:r w:rsidRPr="00D72D90">
        <w:rPr>
          <w:rFonts w:ascii="Palatino Linotype" w:eastAsia="Calibri" w:hAnsi="Palatino Linotype"/>
          <w:b/>
        </w:rPr>
        <w:t>Concesión</w:t>
      </w:r>
      <w:r w:rsidRPr="00D72D90">
        <w:rPr>
          <w:rFonts w:ascii="Palatino Linotype" w:eastAsia="Calibri" w:hAnsi="Palatino Linotype"/>
        </w:rPr>
        <w:t xml:space="preserve">: Adm. Acto administrativo que implica el otorgamiento del derecho de explotación o gestión, por un período determinado, de bienes y </w:t>
      </w:r>
      <w:r w:rsidRPr="00D72D90">
        <w:rPr>
          <w:rFonts w:ascii="Palatino Linotype" w:eastAsia="Calibri" w:hAnsi="Palatino Linotype"/>
          <w:u w:val="single"/>
        </w:rPr>
        <w:t>servicios</w:t>
      </w:r>
      <w:r w:rsidRPr="00D72D90">
        <w:rPr>
          <w:rFonts w:ascii="Palatino Linotype" w:eastAsia="Calibri" w:hAnsi="Palatino Linotype"/>
        </w:rPr>
        <w:t xml:space="preserve"> por parte de una administración pública o empresa a otra, generalmente privada.</w:t>
      </w:r>
    </w:p>
    <w:p w:rsidR="00B17A8D" w:rsidRDefault="00B17A8D" w:rsidP="003F30DD">
      <w:pPr>
        <w:spacing w:after="0" w:line="360" w:lineRule="auto"/>
        <w:jc w:val="both"/>
        <w:rPr>
          <w:rFonts w:ascii="Palatino Linotype" w:eastAsia="Calibri" w:hAnsi="Palatino Linotype"/>
          <w:sz w:val="24"/>
        </w:rPr>
      </w:pPr>
    </w:p>
    <w:p w:rsidR="00B17A8D" w:rsidRDefault="00D72D90" w:rsidP="003F30DD">
      <w:pPr>
        <w:spacing w:after="0" w:line="360" w:lineRule="auto"/>
        <w:jc w:val="both"/>
        <w:rPr>
          <w:rFonts w:ascii="Palatino Linotype" w:eastAsia="Calibri" w:hAnsi="Palatino Linotype"/>
          <w:sz w:val="24"/>
        </w:rPr>
      </w:pPr>
      <w:r>
        <w:rPr>
          <w:rFonts w:ascii="Palatino Linotype" w:eastAsia="Calibri" w:hAnsi="Palatino Linotype"/>
          <w:sz w:val="24"/>
        </w:rPr>
        <w:lastRenderedPageBreak/>
        <w:t xml:space="preserve">Atentos a la definición anterior, podemos precisar que en el caso particular, las concesiones son los actos administrativos mediante los cuales el </w:t>
      </w:r>
      <w:r w:rsidRPr="00D72D90">
        <w:rPr>
          <w:rFonts w:ascii="Palatino Linotype" w:eastAsia="Calibri" w:hAnsi="Palatino Linotype"/>
          <w:b/>
          <w:sz w:val="24"/>
        </w:rPr>
        <w:t>Sujeto Obligado</w:t>
      </w:r>
      <w:r>
        <w:rPr>
          <w:rFonts w:ascii="Palatino Linotype" w:eastAsia="Calibri" w:hAnsi="Palatino Linotype"/>
          <w:sz w:val="24"/>
        </w:rPr>
        <w:t xml:space="preserve"> otorga a particulares o empresas privadas, la prestación del servicio de transporte público.</w:t>
      </w:r>
    </w:p>
    <w:p w:rsidR="00B17A8D" w:rsidRPr="007F109C" w:rsidRDefault="00B17A8D" w:rsidP="003F30DD">
      <w:pPr>
        <w:spacing w:after="0" w:line="360" w:lineRule="auto"/>
        <w:jc w:val="both"/>
        <w:rPr>
          <w:rFonts w:ascii="Palatino Linotype" w:eastAsia="Calibri" w:hAnsi="Palatino Linotype"/>
          <w:sz w:val="24"/>
        </w:rPr>
      </w:pPr>
    </w:p>
    <w:p w:rsidR="002024A4" w:rsidRDefault="002024A4" w:rsidP="003F30D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Acotado lo anterior, podemos apreciar que en primer lugar, que respecto del numeral </w:t>
      </w:r>
      <w:r w:rsidRPr="00917073">
        <w:rPr>
          <w:rFonts w:ascii="Palatino Linotype" w:eastAsia="Calibri" w:hAnsi="Palatino Linotype"/>
          <w:b/>
          <w:sz w:val="26"/>
          <w:szCs w:val="26"/>
          <w:lang w:val="es-ES_tradnl"/>
        </w:rPr>
        <w:t>1</w:t>
      </w:r>
      <w:r>
        <w:rPr>
          <w:rFonts w:ascii="Palatino Linotype" w:eastAsia="Calibri" w:hAnsi="Palatino Linotype"/>
          <w:sz w:val="24"/>
          <w:lang w:val="es-ES_tradnl"/>
        </w:rPr>
        <w:t xml:space="preserve">, relativo al padrón de </w:t>
      </w:r>
      <w:r w:rsidRPr="00B17A8D">
        <w:rPr>
          <w:rFonts w:ascii="Palatino Linotype" w:eastAsia="Calibri" w:hAnsi="Palatino Linotype"/>
          <w:b/>
          <w:sz w:val="24"/>
          <w:lang w:val="es-ES_tradnl"/>
        </w:rPr>
        <w:t>concesionarios</w:t>
      </w:r>
      <w:r>
        <w:rPr>
          <w:rFonts w:ascii="Palatino Linotype" w:eastAsia="Calibri" w:hAnsi="Palatino Linotype"/>
          <w:sz w:val="24"/>
          <w:lang w:val="es-ES_tradnl"/>
        </w:rPr>
        <w:t xml:space="preserve"> de transporte público, el </w:t>
      </w:r>
      <w:r w:rsidRPr="00490BC4">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w:t>
      </w:r>
      <w:r w:rsidRPr="00917073">
        <w:rPr>
          <w:rFonts w:ascii="Palatino Linotype" w:eastAsia="Calibri" w:hAnsi="Palatino Linotype"/>
          <w:b/>
          <w:sz w:val="24"/>
          <w:lang w:val="es-ES_tradnl"/>
        </w:rPr>
        <w:t xml:space="preserve">reconoce </w:t>
      </w:r>
      <w:r>
        <w:rPr>
          <w:rFonts w:ascii="Palatino Linotype" w:eastAsia="Calibri" w:hAnsi="Palatino Linotype"/>
          <w:b/>
          <w:sz w:val="24"/>
          <w:lang w:val="es-ES_tradnl"/>
        </w:rPr>
        <w:t>parcialmente que</w:t>
      </w:r>
      <w:r w:rsidRPr="00917073">
        <w:rPr>
          <w:rFonts w:ascii="Palatino Linotype" w:eastAsia="Calibri" w:hAnsi="Palatino Linotype"/>
          <w:b/>
          <w:sz w:val="24"/>
          <w:lang w:val="es-ES_tradnl"/>
        </w:rPr>
        <w:t xml:space="preserve"> dentro de sus archivos se encuentra la información</w:t>
      </w:r>
      <w:r w:rsidR="00690957">
        <w:rPr>
          <w:rFonts w:ascii="Palatino Linotype" w:eastAsia="Calibri" w:hAnsi="Palatino Linotype"/>
          <w:b/>
          <w:sz w:val="24"/>
          <w:lang w:val="es-ES_tradnl"/>
        </w:rPr>
        <w:t xml:space="preserve"> respecto de los numerales 1.1, 1.2 y 1.3</w:t>
      </w:r>
      <w:r>
        <w:rPr>
          <w:rFonts w:ascii="Palatino Linotype" w:eastAsia="Calibri" w:hAnsi="Palatino Linotype"/>
          <w:sz w:val="24"/>
          <w:lang w:val="es-ES_tradnl"/>
        </w:rPr>
        <w:t xml:space="preserve">, al manifestar que la calidad de la </w:t>
      </w:r>
      <w:r w:rsidRPr="00604E3B">
        <w:rPr>
          <w:rFonts w:ascii="Palatino Linotype" w:eastAsia="Calibri" w:hAnsi="Palatino Linotype"/>
          <w:sz w:val="24"/>
          <w:lang w:val="es-ES_tradnl"/>
        </w:rPr>
        <w:t>misma es de naturaleza reservada, por lo que hizo entrega del acuerdo de clasificación.</w:t>
      </w:r>
      <w:r>
        <w:rPr>
          <w:rFonts w:ascii="Palatino Linotype" w:eastAsia="Calibri" w:hAnsi="Palatino Linotype"/>
          <w:sz w:val="24"/>
          <w:lang w:val="es-ES_tradnl"/>
        </w:rPr>
        <w:t xml:space="preserve"> </w:t>
      </w:r>
    </w:p>
    <w:p w:rsidR="002024A4" w:rsidRDefault="002024A4" w:rsidP="003F30DD">
      <w:pPr>
        <w:spacing w:after="0" w:line="360" w:lineRule="auto"/>
        <w:jc w:val="both"/>
        <w:rPr>
          <w:rFonts w:ascii="Palatino Linotype" w:eastAsia="Calibri" w:hAnsi="Palatino Linotype"/>
          <w:sz w:val="24"/>
          <w:lang w:val="es-ES_tradnl"/>
        </w:rPr>
      </w:pPr>
    </w:p>
    <w:p w:rsidR="002024A4" w:rsidRDefault="002024A4" w:rsidP="003F30D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w:t>
      </w:r>
      <w:r w:rsidRPr="00490BC4">
        <w:rPr>
          <w:rFonts w:ascii="Palatino Linotype" w:eastAsia="Calibri" w:hAnsi="Palatino Linotype" w:cs="Times New Roman"/>
          <w:sz w:val="24"/>
          <w:szCs w:val="24"/>
          <w:lang w:val="es-ES_tradnl" w:eastAsia="es-ES"/>
        </w:rPr>
        <w:t xml:space="preserve">n ese sentido, </w:t>
      </w:r>
      <w:r>
        <w:rPr>
          <w:rFonts w:ascii="Palatino Linotype" w:eastAsia="Calibri" w:hAnsi="Palatino Linotype" w:cs="Times New Roman"/>
          <w:sz w:val="24"/>
          <w:szCs w:val="24"/>
          <w:lang w:val="es-ES_tradnl" w:eastAsia="es-ES"/>
        </w:rPr>
        <w:t xml:space="preserve">en lo que corresponde al numeral </w:t>
      </w:r>
      <w:r w:rsidRPr="00917073">
        <w:rPr>
          <w:rFonts w:ascii="Palatino Linotype" w:eastAsia="Calibri" w:hAnsi="Palatino Linotype" w:cs="Times New Roman"/>
          <w:b/>
          <w:sz w:val="26"/>
          <w:szCs w:val="26"/>
          <w:lang w:val="es-ES_tradnl" w:eastAsia="es-ES"/>
        </w:rPr>
        <w:t>1</w:t>
      </w:r>
      <w:r w:rsidR="00690957">
        <w:rPr>
          <w:rFonts w:ascii="Palatino Linotype" w:eastAsia="Calibri" w:hAnsi="Palatino Linotype" w:cs="Times New Roman"/>
          <w:b/>
          <w:sz w:val="26"/>
          <w:szCs w:val="26"/>
          <w:lang w:val="es-ES_tradnl" w:eastAsia="es-ES"/>
        </w:rPr>
        <w:t xml:space="preserve">, </w:t>
      </w:r>
      <w:r w:rsidR="00690957" w:rsidRPr="00690957">
        <w:rPr>
          <w:rFonts w:ascii="Palatino Linotype" w:eastAsia="Calibri" w:hAnsi="Palatino Linotype"/>
          <w:b/>
          <w:sz w:val="26"/>
          <w:szCs w:val="26"/>
          <w:lang w:val="es-ES_tradnl"/>
        </w:rPr>
        <w:t>1.1, 1.2</w:t>
      </w:r>
      <w:r w:rsidR="00690957" w:rsidRPr="00690957">
        <w:rPr>
          <w:rFonts w:ascii="Palatino Linotype" w:eastAsia="Calibri" w:hAnsi="Palatino Linotype"/>
          <w:sz w:val="24"/>
          <w:szCs w:val="26"/>
          <w:lang w:val="es-ES_tradnl"/>
        </w:rPr>
        <w:t xml:space="preserve"> y </w:t>
      </w:r>
      <w:r w:rsidR="00690957" w:rsidRPr="00690957">
        <w:rPr>
          <w:rFonts w:ascii="Palatino Linotype" w:eastAsia="Calibri" w:hAnsi="Palatino Linotype"/>
          <w:b/>
          <w:sz w:val="26"/>
          <w:szCs w:val="26"/>
          <w:lang w:val="es-ES_tradnl"/>
        </w:rPr>
        <w:t>1.3</w:t>
      </w:r>
      <w:r>
        <w:rPr>
          <w:rFonts w:ascii="Palatino Linotype" w:eastAsia="Calibri" w:hAnsi="Palatino Linotype" w:cs="Times New Roman"/>
          <w:sz w:val="24"/>
          <w:szCs w:val="24"/>
          <w:lang w:val="es-ES_tradnl" w:eastAsia="es-ES"/>
        </w:rPr>
        <w:t xml:space="preserve">, </w:t>
      </w:r>
      <w:r w:rsidRPr="00490BC4">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que constriñe al </w:t>
      </w:r>
      <w:r w:rsidRPr="00490BC4">
        <w:rPr>
          <w:rFonts w:ascii="Palatino Linotype" w:eastAsia="Calibri" w:hAnsi="Palatino Linotype" w:cs="Times New Roman"/>
          <w:b/>
          <w:sz w:val="24"/>
          <w:szCs w:val="24"/>
          <w:lang w:val="es-ES_tradnl" w:eastAsia="es-ES"/>
        </w:rPr>
        <w:t>Sujeto Obligado</w:t>
      </w:r>
      <w:r w:rsidRPr="00490BC4">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2024A4" w:rsidRDefault="002024A4" w:rsidP="003F30DD">
      <w:pPr>
        <w:spacing w:after="0" w:line="360" w:lineRule="auto"/>
        <w:jc w:val="both"/>
        <w:rPr>
          <w:rFonts w:ascii="Palatino Linotype" w:eastAsia="Calibri" w:hAnsi="Palatino Linotype" w:cs="Times New Roman"/>
          <w:sz w:val="24"/>
          <w:szCs w:val="24"/>
          <w:lang w:val="es-ES_tradnl" w:eastAsia="es-ES"/>
        </w:rPr>
      </w:pPr>
    </w:p>
    <w:p w:rsidR="002024A4" w:rsidRDefault="002024A4" w:rsidP="003F30D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En ese orden de ideas, </w:t>
      </w:r>
      <w:r w:rsidRPr="00CC0F14">
        <w:rPr>
          <w:rFonts w:ascii="Palatino Linotype" w:eastAsia="Calibri" w:hAnsi="Palatino Linotype"/>
          <w:sz w:val="24"/>
          <w:lang w:val="es-ES_tradnl"/>
        </w:rPr>
        <w:t xml:space="preserve">debe precisarse que la </w:t>
      </w:r>
      <w:r w:rsidRPr="007173E4">
        <w:rPr>
          <w:rFonts w:ascii="Palatino Linotype" w:eastAsia="Calibri" w:hAnsi="Palatino Linotype"/>
          <w:b/>
          <w:sz w:val="24"/>
          <w:lang w:val="es-ES_tradnl"/>
        </w:rPr>
        <w:t>inexistencia de la información y su clasificación no podrán coexistir</w:t>
      </w:r>
      <w:r w:rsidRPr="00CC0F14">
        <w:rPr>
          <w:rFonts w:ascii="Palatino Linotype" w:eastAsia="Calibri" w:hAnsi="Palatino Linotype"/>
          <w:sz w:val="24"/>
          <w:lang w:val="es-ES_tradnl"/>
        </w:rPr>
        <w:t xml:space="preserve">, sirve de sustento el Criterio orientador </w:t>
      </w:r>
      <w:r w:rsidRPr="007173E4">
        <w:rPr>
          <w:rFonts w:ascii="Palatino Linotype" w:eastAsia="Calibri" w:hAnsi="Palatino Linotype"/>
          <w:b/>
          <w:sz w:val="24"/>
          <w:lang w:val="es-ES_tradnl"/>
        </w:rPr>
        <w:t>29/10</w:t>
      </w:r>
      <w:r w:rsidRPr="00CC0F14">
        <w:rPr>
          <w:rFonts w:ascii="Palatino Linotype" w:eastAsia="Calibri" w:hAnsi="Palatino Linotype"/>
          <w:sz w:val="24"/>
          <w:lang w:val="es-ES_tradnl"/>
        </w:rPr>
        <w:t xml:space="preserve"> emitido por el Instituto Nacional de Transparencia, Acceso a la Información y Protección de Datos Personales, INAI, el cual refiere lo siguiente:</w:t>
      </w:r>
    </w:p>
    <w:p w:rsidR="002024A4" w:rsidRPr="00CC0F14" w:rsidRDefault="002024A4" w:rsidP="003F30DD">
      <w:pPr>
        <w:spacing w:after="0" w:line="360" w:lineRule="auto"/>
        <w:jc w:val="both"/>
        <w:rPr>
          <w:rFonts w:ascii="Palatino Linotype" w:eastAsia="Calibri" w:hAnsi="Palatino Linotype"/>
          <w:sz w:val="24"/>
          <w:lang w:val="es-ES_tradnl"/>
        </w:rPr>
      </w:pPr>
    </w:p>
    <w:p w:rsidR="002024A4" w:rsidRPr="00CC0F14" w:rsidRDefault="002024A4" w:rsidP="003F30DD">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lastRenderedPageBreak/>
        <w:t>“</w:t>
      </w:r>
      <w:r w:rsidRPr="00CC0F14">
        <w:rPr>
          <w:rFonts w:ascii="Palatino Linotype" w:eastAsia="Calibri" w:hAnsi="Palatino Linotype"/>
          <w:b/>
          <w:i/>
          <w:lang w:val="es-ES_tradnl"/>
        </w:rPr>
        <w:t>LA CLASIFICACIÓN Y LA INEXISTENCIA DE INFORMACIÓN SON CONCEPTOS QUE NO PUEDEN COEXISTIR</w:t>
      </w:r>
      <w:r w:rsidRPr="00CC0F14">
        <w:rPr>
          <w:rFonts w:ascii="Palatino Linotype" w:eastAsia="Calibri" w:hAnsi="Palatino Linotype"/>
          <w:i/>
          <w:lang w:val="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CC0F14">
        <w:rPr>
          <w:rFonts w:ascii="Palatino Linotype" w:eastAsia="Calibri" w:hAnsi="Palatino Linotype"/>
          <w:b/>
          <w:i/>
          <w:lang w:val="es-ES_tradnl"/>
        </w:rPr>
        <w:t xml:space="preserve">la clasificación y la inexistencia no coexisten entre sí, en virtud de que </w:t>
      </w:r>
      <w:r w:rsidRPr="002C57B6">
        <w:rPr>
          <w:rFonts w:ascii="Palatino Linotype" w:eastAsia="Calibri" w:hAnsi="Palatino Linotype"/>
          <w:b/>
          <w:i/>
          <w:u w:val="single"/>
          <w:lang w:val="es-ES_tradnl"/>
        </w:rPr>
        <w:t>la clasificación de información implica invariablemente la existencia de un documento o documentos determinados,</w:t>
      </w:r>
      <w:r w:rsidRPr="00CC0F14">
        <w:rPr>
          <w:rFonts w:ascii="Palatino Linotype" w:eastAsia="Calibri" w:hAnsi="Palatino Linotype"/>
          <w:b/>
          <w:i/>
          <w:lang w:val="es-ES_tradnl"/>
        </w:rPr>
        <w:t xml:space="preserve"> mientras que la inexistencia conlleva la ausencia de los mismos en los archivos de la dependencia o entidad de que se trate</w:t>
      </w:r>
      <w:r w:rsidRPr="00CC0F14">
        <w:rPr>
          <w:rFonts w:ascii="Palatino Linotype" w:eastAsia="Calibri" w:hAnsi="Palatino Linotype"/>
          <w:i/>
          <w:lang w:val="es-ES_tradnl"/>
        </w:rPr>
        <w:t>."</w:t>
      </w:r>
    </w:p>
    <w:p w:rsidR="002024A4" w:rsidRPr="00CC0F14" w:rsidRDefault="002024A4" w:rsidP="003F30DD">
      <w:pPr>
        <w:spacing w:after="0" w:line="240" w:lineRule="auto"/>
        <w:ind w:left="567" w:right="567"/>
        <w:jc w:val="right"/>
        <w:rPr>
          <w:rFonts w:ascii="Palatino Linotype" w:eastAsia="Calibri" w:hAnsi="Palatino Linotype"/>
          <w:lang w:val="es-ES_tradnl"/>
        </w:rPr>
      </w:pPr>
      <w:r w:rsidRPr="00CC0F14">
        <w:rPr>
          <w:rFonts w:ascii="Palatino Linotype" w:eastAsia="Calibri" w:hAnsi="Palatino Linotype"/>
          <w:lang w:val="es-ES_tradnl"/>
        </w:rPr>
        <w:t>(Énfasis añadido)</w:t>
      </w:r>
    </w:p>
    <w:p w:rsidR="002024A4" w:rsidRDefault="002024A4" w:rsidP="003F30DD">
      <w:pPr>
        <w:spacing w:after="0" w:line="360" w:lineRule="auto"/>
        <w:jc w:val="both"/>
        <w:rPr>
          <w:rFonts w:ascii="Palatino Linotype" w:eastAsia="Calibri" w:hAnsi="Palatino Linotype"/>
          <w:sz w:val="24"/>
          <w:lang w:val="es-ES_tradnl"/>
        </w:rPr>
      </w:pPr>
    </w:p>
    <w:p w:rsidR="002024A4" w:rsidRDefault="002024A4" w:rsidP="003F30DD">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tal sentido, la restricción al derecho de acceso a la información implica necesariamente una clasificación, la cual debe entenderse como el proceso mediante el cual el </w:t>
      </w:r>
      <w:r w:rsidRPr="00CC0F14">
        <w:rPr>
          <w:rFonts w:ascii="Palatino Linotype" w:eastAsia="Calibri" w:hAnsi="Palatino Linotype"/>
          <w:b/>
          <w:sz w:val="24"/>
          <w:lang w:val="es-ES_tradnl"/>
        </w:rPr>
        <w:t>Sujeto Obligado</w:t>
      </w:r>
      <w:r w:rsidRPr="00CC0F14">
        <w:rPr>
          <w:rFonts w:ascii="Palatino Linotype" w:eastAsia="Calibri" w:hAnsi="Palatino Linotype"/>
          <w:sz w:val="24"/>
          <w:lang w:val="es-ES_tradnl"/>
        </w:rPr>
        <w:t xml:space="preserve"> determina que </w:t>
      </w:r>
      <w:r w:rsidRPr="00962D2F">
        <w:rPr>
          <w:rFonts w:ascii="Palatino Linotype" w:eastAsia="Calibri" w:hAnsi="Palatino Linotype"/>
          <w:b/>
          <w:sz w:val="24"/>
          <w:lang w:val="es-ES_tradnl"/>
        </w:rPr>
        <w:t>la información en su poder</w:t>
      </w:r>
      <w:r w:rsidRPr="00CC0F14">
        <w:rPr>
          <w:rFonts w:ascii="Palatino Linotype" w:eastAsia="Calibri" w:hAnsi="Palatino Linotype"/>
          <w:sz w:val="24"/>
          <w:lang w:val="es-ES_tradnl"/>
        </w:rPr>
        <w:t>, actualiza alguno de los supuestos de reserva o confidencialidad, de conformidad con las normas aplicables.</w:t>
      </w:r>
    </w:p>
    <w:p w:rsidR="002024A4" w:rsidRPr="00CC0F14" w:rsidRDefault="002024A4" w:rsidP="003F30DD">
      <w:pPr>
        <w:spacing w:after="0" w:line="360" w:lineRule="auto"/>
        <w:jc w:val="both"/>
        <w:rPr>
          <w:rFonts w:ascii="Palatino Linotype" w:eastAsia="Calibri" w:hAnsi="Palatino Linotype"/>
          <w:sz w:val="24"/>
          <w:lang w:val="es-ES_tradnl"/>
        </w:rPr>
      </w:pPr>
    </w:p>
    <w:p w:rsidR="002024A4" w:rsidRPr="00CC0F14" w:rsidRDefault="002024A4" w:rsidP="003F30DD">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efecto, para los casos en los que los </w:t>
      </w:r>
      <w:r w:rsidRPr="00CC0F14">
        <w:rPr>
          <w:rFonts w:ascii="Palatino Linotype" w:eastAsia="Calibri" w:hAnsi="Palatino Linotype"/>
          <w:b/>
          <w:sz w:val="24"/>
          <w:lang w:val="es-ES_tradnl"/>
        </w:rPr>
        <w:t>Sujetos Obligados</w:t>
      </w:r>
      <w:r w:rsidRPr="00CC0F14">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rsidR="002024A4" w:rsidRDefault="002024A4" w:rsidP="003F30DD">
      <w:pPr>
        <w:spacing w:after="0" w:line="360" w:lineRule="auto"/>
        <w:jc w:val="both"/>
        <w:rPr>
          <w:rFonts w:ascii="Palatino Linotype" w:eastAsia="Calibri" w:hAnsi="Palatino Linotype"/>
          <w:sz w:val="24"/>
          <w:lang w:val="es-ES_tradnl"/>
        </w:rPr>
      </w:pPr>
    </w:p>
    <w:p w:rsidR="002024A4" w:rsidRPr="00CC0F14" w:rsidRDefault="002024A4" w:rsidP="003F30DD">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w:t>
      </w:r>
      <w:r w:rsidRPr="00CC0F14">
        <w:rPr>
          <w:rFonts w:ascii="Palatino Linotype" w:eastAsia="Calibri" w:hAnsi="Palatino Linotype"/>
          <w:b/>
          <w:i/>
          <w:lang w:val="es-ES_tradnl"/>
        </w:rPr>
        <w:t>Artículo 131.</w:t>
      </w:r>
      <w:r w:rsidRPr="00CC0F14">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w:t>
      </w:r>
      <w:r w:rsidRPr="00CC0F14">
        <w:rPr>
          <w:rFonts w:ascii="Palatino Linotype" w:eastAsia="Calibri" w:hAnsi="Palatino Linotype"/>
          <w:i/>
          <w:lang w:val="es-ES_tradnl"/>
        </w:rPr>
        <w:lastRenderedPageBreak/>
        <w:t>Ley corresponderá a los sujetos obligados; en tal caso deberá fundar y motivar debidamente la clasificación de la información, de conformidad con lo previsto en la presente Ley.”</w:t>
      </w:r>
    </w:p>
    <w:p w:rsidR="002024A4" w:rsidRDefault="002024A4" w:rsidP="003F30DD">
      <w:pPr>
        <w:spacing w:after="0" w:line="360" w:lineRule="auto"/>
        <w:jc w:val="both"/>
        <w:rPr>
          <w:rFonts w:ascii="Palatino Linotype" w:eastAsia="Calibri" w:hAnsi="Palatino Linotype"/>
          <w:sz w:val="24"/>
          <w:lang w:val="es-ES_tradnl"/>
        </w:rPr>
      </w:pPr>
    </w:p>
    <w:p w:rsidR="002024A4" w:rsidRDefault="002024A4" w:rsidP="003F30D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sz w:val="24"/>
          <w:lang w:val="es-ES_tradnl"/>
        </w:rPr>
        <w:t xml:space="preserve">Consideraciones de hecho y de derecho que concatenadas con </w:t>
      </w:r>
      <w:r w:rsidRPr="0005476D">
        <w:rPr>
          <w:rFonts w:ascii="Palatino Linotype" w:eastAsia="Calibri" w:hAnsi="Palatino Linotype"/>
          <w:sz w:val="24"/>
          <w:lang w:val="es-ES_tradnl"/>
        </w:rPr>
        <w:t xml:space="preserve">los artículos </w:t>
      </w:r>
      <w:r w:rsidRPr="0005476D">
        <w:rPr>
          <w:rFonts w:ascii="Palatino Linotype" w:eastAsia="Calibri" w:hAnsi="Palatino Linotype" w:cs="Times New Roman"/>
          <w:sz w:val="24"/>
          <w:szCs w:val="24"/>
          <w:lang w:val="es-ES_tradnl" w:eastAsia="es-ES"/>
        </w:rPr>
        <w:t>18 y 19 de la Ley de Transparencia y Acceso a la Información Pública del Estado de México y Municipios</w:t>
      </w:r>
      <w:r w:rsidRPr="0005476D">
        <w:rPr>
          <w:rFonts w:ascii="Palatino Linotype" w:eastAsia="Calibri" w:hAnsi="Palatino Linotype" w:cs="Times New Roman"/>
          <w:sz w:val="24"/>
          <w:szCs w:val="24"/>
          <w:vertAlign w:val="superscript"/>
          <w:lang w:val="es-ES_tradnl" w:eastAsia="es-ES"/>
        </w:rPr>
        <w:footnoteReference w:id="2"/>
      </w:r>
      <w:r w:rsidRPr="0005476D">
        <w:rPr>
          <w:rFonts w:ascii="Palatino Linotype" w:eastAsia="Calibri" w:hAnsi="Palatino Linotype" w:cs="Times New Roman"/>
          <w:sz w:val="24"/>
          <w:szCs w:val="24"/>
          <w:lang w:val="es-ES_tradnl" w:eastAsia="es-ES"/>
        </w:rPr>
        <w:t>, relativos a la obligación de documentar todo acto de</w:t>
      </w:r>
      <w:r w:rsidRPr="002C57B6">
        <w:rPr>
          <w:rFonts w:ascii="Palatino Linotype" w:eastAsia="Calibri" w:hAnsi="Palatino Linotype" w:cs="Times New Roman"/>
          <w:sz w:val="24"/>
          <w:szCs w:val="24"/>
          <w:lang w:val="es-ES_tradnl" w:eastAsia="es-ES"/>
        </w:rPr>
        <w:t xml:space="preserve"> autoridad en ejercicio de sus facultades, funciones y atribuciones, así como la presunción de la existencia del soporte documental en que consta la información en comento, </w:t>
      </w:r>
      <w:r w:rsidRPr="00690957">
        <w:rPr>
          <w:rFonts w:ascii="Palatino Linotype" w:eastAsia="Calibri" w:hAnsi="Palatino Linotype" w:cs="Times New Roman"/>
          <w:b/>
          <w:sz w:val="24"/>
          <w:szCs w:val="24"/>
          <w:lang w:val="es-ES_tradnl" w:eastAsia="es-ES"/>
        </w:rPr>
        <w:t>s</w:t>
      </w:r>
      <w:r w:rsidRPr="00962D2F">
        <w:rPr>
          <w:rFonts w:ascii="Palatino Linotype" w:eastAsia="Calibri" w:hAnsi="Palatino Linotype" w:cs="Times New Roman"/>
          <w:b/>
          <w:sz w:val="24"/>
          <w:szCs w:val="24"/>
          <w:lang w:val="es-ES_tradnl" w:eastAsia="es-ES"/>
        </w:rPr>
        <w:t>irven de sustento para tener por acreditada la existencia del soporte documental en que obre la información.</w:t>
      </w:r>
      <w:r>
        <w:rPr>
          <w:rFonts w:ascii="Palatino Linotype" w:eastAsia="Calibri" w:hAnsi="Palatino Linotype" w:cs="Times New Roman"/>
          <w:sz w:val="24"/>
          <w:szCs w:val="24"/>
          <w:lang w:val="es-ES_tradnl" w:eastAsia="es-ES"/>
        </w:rPr>
        <w:t xml:space="preserve"> </w:t>
      </w:r>
    </w:p>
    <w:p w:rsidR="00D72D90" w:rsidRPr="002C57B6" w:rsidRDefault="00D72D90" w:rsidP="003F30DD">
      <w:pPr>
        <w:spacing w:after="0" w:line="360" w:lineRule="auto"/>
        <w:jc w:val="both"/>
        <w:rPr>
          <w:rFonts w:ascii="Palatino Linotype" w:eastAsia="Calibri" w:hAnsi="Palatino Linotype" w:cs="Times New Roman"/>
          <w:sz w:val="24"/>
          <w:szCs w:val="24"/>
          <w:lang w:val="es-ES_tradnl" w:eastAsia="es-ES"/>
        </w:rPr>
      </w:pPr>
    </w:p>
    <w:p w:rsidR="002024A4" w:rsidRPr="000A07D4" w:rsidRDefault="002024A4" w:rsidP="003F30DD">
      <w:pPr>
        <w:spacing w:after="0" w:line="360" w:lineRule="auto"/>
        <w:jc w:val="both"/>
        <w:rPr>
          <w:rFonts w:ascii="Palatino Linotype" w:hAnsi="Palatino Linotype"/>
          <w:b/>
          <w:sz w:val="24"/>
          <w:szCs w:val="24"/>
        </w:rPr>
      </w:pPr>
      <w:r>
        <w:rPr>
          <w:rFonts w:ascii="Palatino Linotype" w:eastAsia="Calibri" w:hAnsi="Palatino Linotype"/>
          <w:sz w:val="24"/>
          <w:lang w:val="es-ES_tradnl"/>
        </w:rPr>
        <w:t xml:space="preserve">Hechas las precisiones anteriores, lo procedente es hacer estudio del acuerdo de clasificación que contiene la prueba de daño, a efecto de poder determinar si la misma cumple los requisitos de Ley. </w:t>
      </w: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w:t>
      </w:r>
      <w:r>
        <w:rPr>
          <w:rFonts w:ascii="Palatino Linotype" w:hAnsi="Palatino Linotype"/>
          <w:sz w:val="24"/>
          <w:szCs w:val="24"/>
        </w:rPr>
        <w:t>D</w:t>
      </w:r>
      <w:r w:rsidRPr="000A07D4">
        <w:rPr>
          <w:rFonts w:ascii="Palatino Linotype" w:hAnsi="Palatino Linotype"/>
          <w:sz w:val="24"/>
          <w:szCs w:val="24"/>
        </w:rPr>
        <w:t xml:space="preserve">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w:t>
      </w:r>
      <w:r w:rsidRPr="000A07D4">
        <w:rPr>
          <w:rFonts w:ascii="Palatino Linotype" w:hAnsi="Palatino Linotype"/>
          <w:sz w:val="24"/>
          <w:szCs w:val="24"/>
        </w:rPr>
        <w:lastRenderedPageBreak/>
        <w:t>protegido</w:t>
      </w:r>
      <w:r w:rsidRPr="000A07D4">
        <w:rPr>
          <w:sz w:val="24"/>
          <w:szCs w:val="24"/>
          <w:vertAlign w:val="superscript"/>
        </w:rPr>
        <w:footnoteReference w:id="3"/>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4"/>
      </w:r>
      <w:r w:rsidRPr="000A07D4">
        <w:rPr>
          <w:rFonts w:ascii="Palatino Linotype" w:hAnsi="Palatino Linotype"/>
          <w:sz w:val="24"/>
          <w:szCs w:val="24"/>
        </w:rPr>
        <w:t>.</w:t>
      </w:r>
    </w:p>
    <w:p w:rsidR="002024A4" w:rsidRDefault="002024A4" w:rsidP="003F30DD">
      <w:pPr>
        <w:spacing w:after="0" w:line="360" w:lineRule="auto"/>
        <w:jc w:val="both"/>
        <w:rPr>
          <w:rFonts w:ascii="Palatino Linotype" w:hAnsi="Palatino Linotype"/>
          <w:color w:val="000000" w:themeColor="text1"/>
          <w:sz w:val="24"/>
          <w:szCs w:val="24"/>
        </w:rPr>
      </w:pPr>
    </w:p>
    <w:p w:rsidR="002024A4" w:rsidRPr="000A07D4" w:rsidRDefault="002024A4" w:rsidP="003F30DD">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rsidR="002024A4" w:rsidRDefault="002024A4" w:rsidP="003F30DD">
      <w:pPr>
        <w:spacing w:after="0" w:line="360" w:lineRule="auto"/>
        <w:jc w:val="both"/>
        <w:rPr>
          <w:rFonts w:ascii="Palatino Linotype" w:hAnsi="Palatino Linotype"/>
          <w:color w:val="000000" w:themeColor="text1"/>
          <w:sz w:val="24"/>
          <w:szCs w:val="24"/>
        </w:rPr>
      </w:pPr>
    </w:p>
    <w:p w:rsidR="002024A4" w:rsidRDefault="002024A4" w:rsidP="003F30DD">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rsidR="00D72D90" w:rsidRDefault="00D72D90" w:rsidP="003F30DD">
      <w:pPr>
        <w:spacing w:after="0" w:line="360" w:lineRule="auto"/>
        <w:jc w:val="both"/>
        <w:rPr>
          <w:rFonts w:ascii="Palatino Linotype" w:hAnsi="Palatino Linotype"/>
          <w:color w:val="000000" w:themeColor="text1"/>
          <w:sz w:val="24"/>
          <w:szCs w:val="24"/>
        </w:rPr>
      </w:pPr>
    </w:p>
    <w:p w:rsidR="002024A4" w:rsidRDefault="002024A4" w:rsidP="003F30DD">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w:t>
      </w:r>
      <w:r w:rsidRPr="001735AF">
        <w:rPr>
          <w:rFonts w:ascii="Palatino Linotype" w:hAnsi="Palatino Linotype" w:cs="Bookman Old Style"/>
          <w:b/>
          <w:color w:val="000000" w:themeColor="text1"/>
          <w:sz w:val="24"/>
          <w:szCs w:val="24"/>
          <w:lang w:val="es-ES_tradnl"/>
        </w:rPr>
        <w:t>riesgo real, demostrable e identificable</w:t>
      </w:r>
      <w:r w:rsidRPr="000A07D4">
        <w:rPr>
          <w:rFonts w:ascii="Palatino Linotype" w:hAnsi="Palatino Linotype" w:cs="Bookman Old Style"/>
          <w:color w:val="000000" w:themeColor="text1"/>
          <w:sz w:val="24"/>
          <w:szCs w:val="24"/>
          <w:lang w:val="es-ES_tradnl"/>
        </w:rPr>
        <w:t xml:space="preserve"> del perjuicio significativo al interés público o a la seguridad pública; </w:t>
      </w:r>
    </w:p>
    <w:p w:rsidR="002024A4" w:rsidRDefault="002024A4" w:rsidP="003F30DD">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DB7B7E">
        <w:rPr>
          <w:rFonts w:ascii="Palatino Linotype" w:hAnsi="Palatino Linotype" w:cs="Bookman Old Style"/>
          <w:b/>
          <w:color w:val="000000" w:themeColor="text1"/>
          <w:sz w:val="24"/>
          <w:szCs w:val="24"/>
          <w:lang w:val="es-ES_tradnl"/>
        </w:rPr>
        <w:t>El riesgo</w:t>
      </w:r>
      <w:r w:rsidRPr="000A07D4">
        <w:rPr>
          <w:rFonts w:ascii="Palatino Linotype" w:hAnsi="Palatino Linotype" w:cs="Bookman Old Style"/>
          <w:color w:val="000000" w:themeColor="text1"/>
          <w:sz w:val="24"/>
          <w:szCs w:val="24"/>
          <w:lang w:val="es-ES_tradnl"/>
        </w:rPr>
        <w:t xml:space="preserve"> de perjuicio que supondría la divulgación </w:t>
      </w:r>
      <w:r w:rsidRPr="00DB7B7E">
        <w:rPr>
          <w:rFonts w:ascii="Palatino Linotype" w:hAnsi="Palatino Linotype" w:cs="Bookman Old Style"/>
          <w:b/>
          <w:color w:val="000000" w:themeColor="text1"/>
          <w:sz w:val="24"/>
          <w:szCs w:val="24"/>
          <w:lang w:val="es-ES_tradnl"/>
        </w:rPr>
        <w:t>supera el interés público</w:t>
      </w:r>
      <w:r w:rsidRPr="000A07D4">
        <w:rPr>
          <w:rFonts w:ascii="Palatino Linotype" w:hAnsi="Palatino Linotype" w:cs="Bookman Old Style"/>
          <w:color w:val="000000" w:themeColor="text1"/>
          <w:sz w:val="24"/>
          <w:szCs w:val="24"/>
          <w:lang w:val="es-ES_tradnl"/>
        </w:rPr>
        <w:t xml:space="preserve"> general de que se difunda; y </w:t>
      </w:r>
    </w:p>
    <w:p w:rsidR="002024A4" w:rsidRPr="000A07D4" w:rsidRDefault="002024A4" w:rsidP="003F30DD">
      <w:pPr>
        <w:widowControl w:val="0"/>
        <w:autoSpaceDE w:val="0"/>
        <w:autoSpaceDN w:val="0"/>
        <w:adjustRightInd w:val="0"/>
        <w:spacing w:after="0" w:line="360" w:lineRule="auto"/>
        <w:ind w:left="567"/>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DB7B7E">
        <w:rPr>
          <w:rFonts w:ascii="Palatino Linotype" w:hAnsi="Palatino Linotype" w:cs="Bookman Old Style"/>
          <w:b/>
          <w:color w:val="000000" w:themeColor="text1"/>
          <w:sz w:val="24"/>
          <w:szCs w:val="24"/>
          <w:lang w:val="es-ES_tradnl"/>
        </w:rPr>
        <w:t>La limitación se adecua al principio de proporcionalidad</w:t>
      </w:r>
      <w:r w:rsidRPr="000A07D4">
        <w:rPr>
          <w:rFonts w:ascii="Palatino Linotype" w:hAnsi="Palatino Linotype" w:cs="Bookman Old Style"/>
          <w:color w:val="000000" w:themeColor="text1"/>
          <w:sz w:val="24"/>
          <w:szCs w:val="24"/>
          <w:lang w:val="es-ES_tradnl"/>
        </w:rPr>
        <w:t xml:space="preserve"> y representa el medio menos restrictivo disponible para evitar el perjuicio. </w:t>
      </w:r>
    </w:p>
    <w:p w:rsidR="002024A4" w:rsidRDefault="002024A4" w:rsidP="003F30DD">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024A4" w:rsidRPr="000A07D4" w:rsidRDefault="002024A4" w:rsidP="003F30DD">
      <w:pPr>
        <w:spacing w:after="0" w:line="360" w:lineRule="auto"/>
        <w:jc w:val="both"/>
        <w:rPr>
          <w:rFonts w:ascii="Palatino Linotype" w:hAnsi="Palatino Linotype"/>
          <w:color w:val="000000" w:themeColor="text1"/>
          <w:sz w:val="24"/>
          <w:szCs w:val="24"/>
        </w:rPr>
      </w:pPr>
    </w:p>
    <w:p w:rsidR="002024A4" w:rsidRDefault="002024A4" w:rsidP="003F30DD">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5"/>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6"/>
      </w:r>
      <w:r w:rsidRPr="000A07D4">
        <w:rPr>
          <w:rFonts w:ascii="Palatino Linotype" w:hAnsi="Palatino Linotype"/>
          <w:color w:val="000000" w:themeColor="text1"/>
          <w:sz w:val="24"/>
          <w:szCs w:val="24"/>
        </w:rPr>
        <w:t xml:space="preserve"> el juicio de idoneidad, que la medida adoptada sea la idónea para el ejercicio del derecho; de necesidad, que </w:t>
      </w:r>
      <w:r w:rsidRPr="000A07D4">
        <w:rPr>
          <w:rFonts w:ascii="Palatino Linotype" w:hAnsi="Palatino Linotype"/>
          <w:color w:val="000000" w:themeColor="text1"/>
          <w:sz w:val="24"/>
          <w:szCs w:val="24"/>
        </w:rPr>
        <w:lastRenderedPageBreak/>
        <w:t>sea necearía para que el derecho que prevalece se ejerza y el de estricta proporcionalidad esto es, que el derecho que prevalezca sea en la dimensión estrictamente proporcional al derecho que retrocede.</w:t>
      </w:r>
    </w:p>
    <w:p w:rsidR="002024A4" w:rsidRPr="000A07D4" w:rsidRDefault="002024A4" w:rsidP="003F30DD">
      <w:pPr>
        <w:spacing w:after="0" w:line="360" w:lineRule="auto"/>
        <w:jc w:val="both"/>
        <w:rPr>
          <w:rFonts w:ascii="Palatino Linotype" w:hAnsi="Palatino Linotype"/>
          <w:color w:val="000000" w:themeColor="text1"/>
          <w:sz w:val="24"/>
          <w:szCs w:val="24"/>
        </w:rPr>
      </w:pPr>
    </w:p>
    <w:p w:rsidR="002024A4" w:rsidRDefault="002024A4" w:rsidP="003F30DD">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r>
        <w:rPr>
          <w:rFonts w:ascii="Palatino Linotype" w:hAnsi="Palatino Linotype"/>
          <w:color w:val="000000" w:themeColor="text1"/>
          <w:sz w:val="24"/>
          <w:szCs w:val="24"/>
        </w:rPr>
        <w:t xml:space="preserve"> </w:t>
      </w:r>
    </w:p>
    <w:p w:rsidR="002024A4" w:rsidRDefault="002024A4" w:rsidP="003F30DD">
      <w:pPr>
        <w:spacing w:after="0" w:line="360" w:lineRule="auto"/>
        <w:jc w:val="both"/>
        <w:rPr>
          <w:rFonts w:ascii="Palatino Linotype" w:hAnsi="Palatino Linotype"/>
          <w:sz w:val="24"/>
          <w:szCs w:val="24"/>
          <w:lang w:val="es-ES"/>
        </w:rPr>
      </w:pPr>
    </w:p>
    <w:p w:rsidR="002024A4" w:rsidRDefault="002024A4" w:rsidP="003F30DD">
      <w:pPr>
        <w:spacing w:after="0" w:line="360" w:lineRule="auto"/>
        <w:jc w:val="both"/>
        <w:rPr>
          <w:rFonts w:ascii="Palatino Linotype" w:hAnsi="Palatino Linotype"/>
          <w:sz w:val="24"/>
          <w:szCs w:val="24"/>
        </w:rPr>
      </w:pPr>
      <w:r>
        <w:rPr>
          <w:rFonts w:ascii="Palatino Linotype" w:hAnsi="Palatino Linotype"/>
          <w:sz w:val="24"/>
          <w:szCs w:val="24"/>
        </w:rPr>
        <w:t>En virtud de lo anterior, se desprende que los Acuerdos de Reserva deberán de cumplir parámetros de forma y fondo, los cuales se abordan a continuación:</w:t>
      </w:r>
    </w:p>
    <w:p w:rsidR="002024A4" w:rsidRDefault="002024A4" w:rsidP="003F30DD">
      <w:pPr>
        <w:spacing w:after="0" w:line="360" w:lineRule="auto"/>
        <w:jc w:val="both"/>
        <w:rPr>
          <w:rFonts w:ascii="Palatino Linotype" w:hAnsi="Palatino Linotype"/>
          <w:sz w:val="24"/>
          <w:szCs w:val="24"/>
        </w:rPr>
      </w:pPr>
    </w:p>
    <w:tbl>
      <w:tblPr>
        <w:tblStyle w:val="Tablaconcuadrcula"/>
        <w:tblW w:w="9072" w:type="dxa"/>
        <w:tblLayout w:type="fixed"/>
        <w:tblLook w:val="04A0" w:firstRow="1" w:lastRow="0" w:firstColumn="1" w:lastColumn="0" w:noHBand="0" w:noVBand="1"/>
      </w:tblPr>
      <w:tblGrid>
        <w:gridCol w:w="1560"/>
        <w:gridCol w:w="1417"/>
        <w:gridCol w:w="6095"/>
      </w:tblGrid>
      <w:tr w:rsidR="002024A4" w:rsidRPr="00A5268A" w:rsidTr="002024A4">
        <w:tc>
          <w:tcPr>
            <w:tcW w:w="1560" w:type="dxa"/>
            <w:tcBorders>
              <w:top w:val="nil"/>
              <w:left w:val="nil"/>
            </w:tcBorders>
          </w:tcPr>
          <w:p w:rsidR="002024A4" w:rsidRPr="00A5268A" w:rsidRDefault="002024A4" w:rsidP="003F30DD">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rsidR="002024A4" w:rsidRPr="00A5268A" w:rsidRDefault="002024A4" w:rsidP="003F30DD">
            <w:pPr>
              <w:pStyle w:val="Prrafodelista"/>
              <w:ind w:left="47"/>
              <w:jc w:val="center"/>
              <w:rPr>
                <w:rFonts w:ascii="Palatino Linotype" w:hAnsi="Palatino Linotype"/>
                <w:b/>
                <w:sz w:val="20"/>
                <w:szCs w:val="20"/>
              </w:rPr>
            </w:pPr>
            <w:r w:rsidRPr="00A5268A">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rsidR="002024A4" w:rsidRPr="00A5268A" w:rsidRDefault="002024A4" w:rsidP="003F30DD">
            <w:pPr>
              <w:pStyle w:val="Prrafodelista"/>
              <w:ind w:left="47"/>
              <w:jc w:val="center"/>
              <w:rPr>
                <w:rFonts w:ascii="Palatino Linotype" w:hAnsi="Palatino Linotype"/>
                <w:b/>
              </w:rPr>
            </w:pPr>
            <w:r w:rsidRPr="00A5268A">
              <w:rPr>
                <w:rFonts w:ascii="Palatino Linotype" w:hAnsi="Palatino Linotype"/>
                <w:b/>
              </w:rPr>
              <w:t>Contenido</w:t>
            </w:r>
          </w:p>
        </w:tc>
      </w:tr>
      <w:tr w:rsidR="002024A4" w:rsidRPr="00A5268A" w:rsidTr="002024A4">
        <w:tc>
          <w:tcPr>
            <w:tcW w:w="1560" w:type="dxa"/>
            <w:shd w:val="clear" w:color="auto" w:fill="D5DCE4" w:themeFill="text2" w:themeFillTint="33"/>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t>Número de folio de la solicitud</w:t>
            </w:r>
          </w:p>
        </w:tc>
        <w:tc>
          <w:tcPr>
            <w:tcW w:w="1417" w:type="dxa"/>
            <w:tcBorders>
              <w:top w:val="single" w:sz="4" w:space="0" w:color="auto"/>
            </w:tcBorders>
            <w:shd w:val="clear" w:color="auto" w:fill="D5DCE4" w:themeFill="text2" w:themeFillTint="33"/>
            <w:vAlign w:val="center"/>
          </w:tcPr>
          <w:p w:rsidR="002024A4" w:rsidRPr="00B01CED" w:rsidRDefault="002024A4" w:rsidP="003F30DD">
            <w:pPr>
              <w:ind w:left="47"/>
              <w:jc w:val="center"/>
              <w:rPr>
                <w:rFonts w:ascii="Palatino Linotype" w:hAnsi="Palatino Linotype"/>
                <w:b/>
              </w:rPr>
            </w:pPr>
            <w:r>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rsidR="002024A4" w:rsidRPr="00EE434B" w:rsidRDefault="002024A4" w:rsidP="003F30DD">
            <w:pPr>
              <w:ind w:left="-115"/>
              <w:jc w:val="both"/>
              <w:rPr>
                <w:rFonts w:ascii="Palatino Linotype" w:hAnsi="Palatino Linotype"/>
                <w:sz w:val="20"/>
              </w:rPr>
            </w:pPr>
            <w:r w:rsidRPr="00EE434B">
              <w:rPr>
                <w:rFonts w:ascii="Palatino Linotype" w:hAnsi="Palatino Linotype"/>
                <w:sz w:val="20"/>
              </w:rPr>
              <w:t>“…para atender la solicitud 00</w:t>
            </w:r>
            <w:r w:rsidR="00757CCB">
              <w:rPr>
                <w:rFonts w:ascii="Palatino Linotype" w:hAnsi="Palatino Linotype"/>
                <w:sz w:val="20"/>
              </w:rPr>
              <w:t>378</w:t>
            </w:r>
            <w:r w:rsidRPr="00EE434B">
              <w:rPr>
                <w:rFonts w:ascii="Palatino Linotype" w:hAnsi="Palatino Linotype"/>
                <w:sz w:val="20"/>
              </w:rPr>
              <w:t>2/SMOV/IP/2022…”</w:t>
            </w:r>
          </w:p>
        </w:tc>
      </w:tr>
      <w:tr w:rsidR="002024A4" w:rsidRPr="00A5268A" w:rsidTr="002024A4">
        <w:tc>
          <w:tcPr>
            <w:tcW w:w="1560" w:type="dxa"/>
            <w:shd w:val="clear" w:color="auto" w:fill="F2F2F2" w:themeFill="background1" w:themeFillShade="F2"/>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rsidR="002024A4" w:rsidRPr="00B01CED" w:rsidRDefault="002024A4" w:rsidP="003F30DD">
            <w:pPr>
              <w:ind w:left="47"/>
              <w:jc w:val="center"/>
              <w:rPr>
                <w:rFonts w:ascii="Palatino Linotype" w:hAnsi="Palatino Linotype"/>
                <w:b/>
              </w:rPr>
            </w:pPr>
            <w:r>
              <w:rPr>
                <w:rFonts w:ascii="Palatino Linotype" w:hAnsi="Palatino Linotype"/>
                <w:b/>
              </w:rPr>
              <w:t>Sí</w:t>
            </w:r>
          </w:p>
        </w:tc>
        <w:tc>
          <w:tcPr>
            <w:tcW w:w="6095" w:type="dxa"/>
            <w:shd w:val="clear" w:color="auto" w:fill="F2F2F2" w:themeFill="background1" w:themeFillShade="F2"/>
            <w:vAlign w:val="center"/>
          </w:tcPr>
          <w:p w:rsidR="002024A4" w:rsidRPr="00EE434B" w:rsidRDefault="002024A4" w:rsidP="003F30DD">
            <w:pPr>
              <w:jc w:val="both"/>
              <w:rPr>
                <w:rFonts w:ascii="Palatino Linotype" w:hAnsi="Palatino Linotype"/>
                <w:sz w:val="20"/>
              </w:rPr>
            </w:pPr>
            <w:r w:rsidRPr="00EE434B">
              <w:rPr>
                <w:rFonts w:ascii="Palatino Linotype" w:hAnsi="Palatino Linotype"/>
                <w:i/>
                <w:sz w:val="20"/>
                <w:lang w:val="es-ES_tradnl"/>
              </w:rPr>
              <w:t>“…</w:t>
            </w:r>
            <w:r w:rsidR="00757CCB" w:rsidRPr="00757CCB">
              <w:rPr>
                <w:rFonts w:ascii="Palatino Linotype" w:hAnsi="Palatino Linotype"/>
                <w:i/>
                <w:sz w:val="20"/>
                <w:lang w:val="es-ES_tradnl"/>
              </w:rPr>
              <w:t>00378/SMOV/IP/2022, referente a “El padrón de concesionarios de transporte público por modalidad</w:t>
            </w:r>
            <w:r w:rsidR="00757CCB">
              <w:rPr>
                <w:rFonts w:ascii="Palatino Linotype" w:hAnsi="Palatino Linotype"/>
                <w:i/>
                <w:sz w:val="20"/>
                <w:lang w:val="es-ES_tradnl"/>
              </w:rPr>
              <w:t xml:space="preserve"> </w:t>
            </w:r>
            <w:r w:rsidR="00757CCB" w:rsidRPr="00757CCB">
              <w:rPr>
                <w:rFonts w:ascii="Palatino Linotype" w:hAnsi="Palatino Linotype"/>
                <w:i/>
                <w:sz w:val="20"/>
                <w:lang w:val="es-ES_tradnl"/>
              </w:rPr>
              <w:t>con unidades con marca serie, placas, nombre de la empresa y representante legal, medio de contacto,</w:t>
            </w:r>
            <w:r w:rsidR="00757CCB">
              <w:rPr>
                <w:rFonts w:ascii="Palatino Linotype" w:hAnsi="Palatino Linotype"/>
                <w:i/>
                <w:sz w:val="20"/>
                <w:lang w:val="es-ES_tradnl"/>
              </w:rPr>
              <w:t xml:space="preserve"> </w:t>
            </w:r>
            <w:r w:rsidR="00757CCB" w:rsidRPr="00757CCB">
              <w:rPr>
                <w:rFonts w:ascii="Palatino Linotype" w:hAnsi="Palatino Linotype"/>
                <w:i/>
                <w:sz w:val="20"/>
                <w:lang w:val="es-ES_tradnl"/>
              </w:rPr>
              <w:t>teléfono, domicilio municipio de operación, operativos realizados y unidades que se detuvieron.” (sic)</w:t>
            </w:r>
            <w:r w:rsidRPr="00EE434B">
              <w:rPr>
                <w:rFonts w:ascii="Palatino Linotype" w:hAnsi="Palatino Linotype"/>
                <w:i/>
                <w:sz w:val="20"/>
                <w:lang w:val="es-ES_tradnl"/>
              </w:rPr>
              <w:t>…”</w:t>
            </w:r>
          </w:p>
        </w:tc>
      </w:tr>
      <w:tr w:rsidR="002024A4" w:rsidRPr="00A5268A" w:rsidTr="002024A4">
        <w:tc>
          <w:tcPr>
            <w:tcW w:w="1560" w:type="dxa"/>
            <w:shd w:val="clear" w:color="auto" w:fill="D5DCE4" w:themeFill="text2" w:themeFillTint="33"/>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rsidR="002024A4" w:rsidRPr="00B01CED" w:rsidRDefault="002024A4" w:rsidP="003F30DD">
            <w:pPr>
              <w:ind w:left="47"/>
              <w:jc w:val="center"/>
              <w:rPr>
                <w:rFonts w:ascii="Palatino Linotype" w:hAnsi="Palatino Linotype"/>
                <w:sz w:val="18"/>
                <w:szCs w:val="18"/>
              </w:rPr>
            </w:pPr>
            <w:r>
              <w:rPr>
                <w:rFonts w:ascii="Palatino Linotype" w:hAnsi="Palatino Linotype"/>
                <w:sz w:val="18"/>
                <w:szCs w:val="18"/>
              </w:rPr>
              <w:t>No</w:t>
            </w:r>
          </w:p>
        </w:tc>
        <w:tc>
          <w:tcPr>
            <w:tcW w:w="6095" w:type="dxa"/>
            <w:shd w:val="clear" w:color="auto" w:fill="D5DCE4" w:themeFill="text2" w:themeFillTint="33"/>
            <w:vAlign w:val="center"/>
          </w:tcPr>
          <w:p w:rsidR="002024A4" w:rsidRPr="0002305B" w:rsidRDefault="002024A4" w:rsidP="003F30DD">
            <w:pPr>
              <w:jc w:val="both"/>
              <w:rPr>
                <w:rFonts w:ascii="Palatino Linotype" w:hAnsi="Palatino Linotype"/>
                <w:b/>
                <w:noProof/>
                <w:lang w:eastAsia="es-MX"/>
              </w:rPr>
            </w:pPr>
            <w:r w:rsidRPr="00EE434B">
              <w:rPr>
                <w:rFonts w:ascii="Palatino Linotype" w:hAnsi="Palatino Linotype"/>
                <w:noProof/>
                <w:sz w:val="20"/>
                <w:lang w:eastAsia="es-MX"/>
              </w:rPr>
              <w:t>El acuerdo unicamente se encuentra fundamentado conforme la Ley de Transparencia Local.</w:t>
            </w:r>
          </w:p>
        </w:tc>
      </w:tr>
      <w:tr w:rsidR="002024A4" w:rsidRPr="00A5268A" w:rsidTr="002024A4">
        <w:tc>
          <w:tcPr>
            <w:tcW w:w="1560" w:type="dxa"/>
            <w:shd w:val="clear" w:color="auto" w:fill="F2F2F2" w:themeFill="background1" w:themeFillShade="F2"/>
            <w:vAlign w:val="center"/>
          </w:tcPr>
          <w:p w:rsidR="002024A4" w:rsidRPr="00B01CED" w:rsidRDefault="002024A4" w:rsidP="003F30DD">
            <w:pPr>
              <w:tabs>
                <w:tab w:val="left" w:pos="317"/>
              </w:tabs>
              <w:jc w:val="center"/>
              <w:rPr>
                <w:rFonts w:ascii="Palatino Linotype" w:hAnsi="Palatino Linotype"/>
                <w:b/>
                <w:sz w:val="16"/>
                <w:szCs w:val="16"/>
              </w:rPr>
            </w:pPr>
            <w:r w:rsidRPr="00B01CED">
              <w:rPr>
                <w:rFonts w:ascii="Palatino Linotype" w:hAnsi="Palatino Linotype"/>
                <w:b/>
                <w:sz w:val="16"/>
                <w:szCs w:val="16"/>
              </w:rPr>
              <w:t>Fundamento y Motivación Legal</w:t>
            </w:r>
          </w:p>
        </w:tc>
        <w:tc>
          <w:tcPr>
            <w:tcW w:w="1417" w:type="dxa"/>
            <w:shd w:val="clear" w:color="auto" w:fill="F2F2F2" w:themeFill="background1" w:themeFillShade="F2"/>
            <w:vAlign w:val="center"/>
          </w:tcPr>
          <w:p w:rsidR="002024A4" w:rsidRPr="00B01CED" w:rsidRDefault="002024A4" w:rsidP="003F30DD">
            <w:pPr>
              <w:ind w:left="47"/>
              <w:jc w:val="center"/>
              <w:rPr>
                <w:rFonts w:ascii="Palatino Linotype" w:hAnsi="Palatino Linotype"/>
                <w:sz w:val="18"/>
                <w:szCs w:val="18"/>
              </w:rPr>
            </w:pPr>
            <w:r>
              <w:rPr>
                <w:rFonts w:ascii="Palatino Linotype" w:hAnsi="Palatino Linotype"/>
                <w:sz w:val="18"/>
                <w:szCs w:val="18"/>
              </w:rPr>
              <w:t>parcial</w:t>
            </w:r>
            <w:r w:rsidRPr="00B01CED">
              <w:rPr>
                <w:rFonts w:ascii="Palatino Linotype" w:hAnsi="Palatino Linotype"/>
                <w:sz w:val="18"/>
                <w:szCs w:val="18"/>
              </w:rPr>
              <w:t xml:space="preserve"> </w:t>
            </w:r>
          </w:p>
        </w:tc>
        <w:tc>
          <w:tcPr>
            <w:tcW w:w="6095" w:type="dxa"/>
            <w:shd w:val="clear" w:color="auto" w:fill="F2F2F2" w:themeFill="background1" w:themeFillShade="F2"/>
            <w:vAlign w:val="center"/>
          </w:tcPr>
          <w:p w:rsidR="002024A4" w:rsidRPr="00FA74D1" w:rsidRDefault="002024A4" w:rsidP="003F30DD">
            <w:pPr>
              <w:ind w:left="47"/>
              <w:jc w:val="both"/>
              <w:rPr>
                <w:rFonts w:ascii="Palatino Linotype" w:hAnsi="Palatino Linotype"/>
                <w:i/>
                <w:sz w:val="20"/>
                <w:lang w:val="es-ES_tradnl"/>
              </w:rPr>
            </w:pPr>
            <w:r w:rsidRPr="00FA74D1">
              <w:rPr>
                <w:rFonts w:ascii="Palatino Linotype" w:hAnsi="Palatino Linotype"/>
                <w:b/>
                <w:i/>
                <w:sz w:val="20"/>
                <w:lang w:val="es-ES_tradnl"/>
              </w:rPr>
              <w:t xml:space="preserve">Artículo 140. </w:t>
            </w:r>
            <w:r w:rsidRPr="00FA74D1">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rsidR="002024A4" w:rsidRDefault="002024A4" w:rsidP="003F30DD">
            <w:pPr>
              <w:ind w:left="47"/>
              <w:jc w:val="both"/>
              <w:rPr>
                <w:rFonts w:ascii="Palatino Linotype" w:hAnsi="Palatino Linotype"/>
                <w:i/>
                <w:sz w:val="20"/>
                <w:lang w:val="es-ES_tradnl"/>
              </w:rPr>
            </w:pPr>
            <w:r w:rsidRPr="00FA74D1">
              <w:rPr>
                <w:rFonts w:ascii="Palatino Linotype" w:hAnsi="Palatino Linotype"/>
                <w:i/>
                <w:sz w:val="20"/>
                <w:lang w:val="es-ES_tradnl"/>
              </w:rPr>
              <w:t>…</w:t>
            </w:r>
          </w:p>
          <w:p w:rsidR="00757CCB" w:rsidRDefault="00757CCB" w:rsidP="003F30DD">
            <w:pPr>
              <w:ind w:left="47"/>
              <w:jc w:val="both"/>
              <w:rPr>
                <w:rFonts w:ascii="Palatino Linotype" w:hAnsi="Palatino Linotype"/>
                <w:i/>
                <w:sz w:val="20"/>
              </w:rPr>
            </w:pPr>
            <w:r w:rsidRPr="00757CCB">
              <w:rPr>
                <w:rFonts w:ascii="Palatino Linotype" w:hAnsi="Palatino Linotype"/>
                <w:i/>
                <w:sz w:val="20"/>
              </w:rPr>
              <w:lastRenderedPageBreak/>
              <w:t>VII. La que contengan las opiniones, recomendaciones o puntos de vista que formen parte del proceso deliberativo de los servidores públicos, hasta en tanto sea adoptada la decisión definitiva, la cual deberá estar documentada;</w:t>
            </w:r>
          </w:p>
          <w:p w:rsidR="00757CCB" w:rsidRPr="00FA74D1" w:rsidRDefault="00757CCB" w:rsidP="003F30DD">
            <w:pPr>
              <w:ind w:left="47"/>
              <w:jc w:val="both"/>
              <w:rPr>
                <w:rFonts w:ascii="Palatino Linotype" w:hAnsi="Palatino Linotype"/>
                <w:i/>
                <w:sz w:val="20"/>
                <w:lang w:val="es-ES_tradnl"/>
              </w:rPr>
            </w:pPr>
            <w:r>
              <w:rPr>
                <w:rFonts w:ascii="Palatino Linotype" w:hAnsi="Palatino Linotype"/>
                <w:i/>
                <w:sz w:val="20"/>
              </w:rPr>
              <w:t>…</w:t>
            </w:r>
          </w:p>
          <w:p w:rsidR="002024A4" w:rsidRPr="00FA74D1" w:rsidRDefault="002024A4" w:rsidP="003F30DD">
            <w:pPr>
              <w:ind w:left="47"/>
              <w:jc w:val="both"/>
              <w:rPr>
                <w:rFonts w:ascii="Palatino Linotype" w:hAnsi="Palatino Linotype"/>
                <w:i/>
                <w:sz w:val="20"/>
              </w:rPr>
            </w:pPr>
            <w:r w:rsidRPr="00FA74D1">
              <w:rPr>
                <w:rFonts w:ascii="Palatino Linotype" w:hAnsi="Palatino Linotype"/>
                <w:i/>
                <w:sz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tc>
      </w:tr>
      <w:tr w:rsidR="002024A4" w:rsidRPr="00A5268A" w:rsidTr="002024A4">
        <w:tc>
          <w:tcPr>
            <w:tcW w:w="1560" w:type="dxa"/>
            <w:shd w:val="clear" w:color="auto" w:fill="D5DCE4" w:themeFill="text2" w:themeFillTint="33"/>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lastRenderedPageBreak/>
              <w:t>Conexión entre los fundamentos y motivos que dieron origen a la Reserva de la información</w:t>
            </w:r>
          </w:p>
        </w:tc>
        <w:tc>
          <w:tcPr>
            <w:tcW w:w="1417" w:type="dxa"/>
            <w:shd w:val="clear" w:color="auto" w:fill="D5DCE4" w:themeFill="text2" w:themeFillTint="33"/>
            <w:vAlign w:val="center"/>
          </w:tcPr>
          <w:p w:rsidR="002024A4" w:rsidRPr="00B01CED" w:rsidRDefault="002024A4" w:rsidP="003F30DD">
            <w:pPr>
              <w:pStyle w:val="Prrafodelista"/>
              <w:ind w:left="29" w:firstLine="18"/>
              <w:jc w:val="center"/>
              <w:rPr>
                <w:rFonts w:ascii="Palatino Linotype" w:hAnsi="Palatino Linotype"/>
                <w:b/>
                <w:sz w:val="18"/>
                <w:szCs w:val="18"/>
              </w:rPr>
            </w:pPr>
            <w:r>
              <w:rPr>
                <w:rFonts w:ascii="Palatino Linotype" w:hAnsi="Palatino Linotype"/>
                <w:b/>
                <w:sz w:val="18"/>
                <w:szCs w:val="18"/>
              </w:rPr>
              <w:t>Si</w:t>
            </w:r>
          </w:p>
        </w:tc>
        <w:tc>
          <w:tcPr>
            <w:tcW w:w="6095" w:type="dxa"/>
            <w:shd w:val="clear" w:color="auto" w:fill="D5DCE4" w:themeFill="text2" w:themeFillTint="33"/>
            <w:vAlign w:val="center"/>
          </w:tcPr>
          <w:p w:rsidR="002024A4" w:rsidRPr="00EE434B" w:rsidRDefault="002024A4" w:rsidP="003F30DD">
            <w:pPr>
              <w:autoSpaceDE w:val="0"/>
              <w:autoSpaceDN w:val="0"/>
              <w:adjustRightInd w:val="0"/>
              <w:jc w:val="both"/>
              <w:rPr>
                <w:rFonts w:ascii="Palatino Linotype" w:hAnsi="Palatino Linotype" w:cs="Arial"/>
                <w:i/>
                <w:color w:val="0A0D14"/>
                <w:sz w:val="20"/>
                <w:szCs w:val="24"/>
              </w:rPr>
            </w:pPr>
            <w:r w:rsidRPr="00EE434B">
              <w:rPr>
                <w:rFonts w:ascii="Palatino Linotype" w:hAnsi="Palatino Linotype" w:cs="Arial"/>
                <w:i/>
                <w:color w:val="0A0D14"/>
                <w:sz w:val="20"/>
                <w:szCs w:val="24"/>
              </w:rPr>
              <w:t>“…</w:t>
            </w:r>
            <w:r w:rsidR="00757CCB" w:rsidRPr="00757CCB">
              <w:rPr>
                <w:rFonts w:ascii="Palatino Linotype" w:hAnsi="Palatino Linotype" w:cs="Arial"/>
                <w:i/>
                <w:color w:val="0A0D14"/>
                <w:sz w:val="20"/>
                <w:szCs w:val="24"/>
                <w:u w:val="single"/>
              </w:rPr>
              <w:t>los datos aludidos por el solicitante, se encuentran contenidos en la base de datos integrada de forma digital en los archivos del Registro Estatal de Transporte Público, por lo que es conveniente someter a consideración del Comité de Transparencia de esta Secretaría de Movilidad, la reserva de la base de datos,</w:t>
            </w:r>
            <w:r w:rsidR="00757CCB" w:rsidRPr="00757CCB">
              <w:rPr>
                <w:rFonts w:ascii="Palatino Linotype" w:hAnsi="Palatino Linotype" w:cs="Arial"/>
                <w:i/>
                <w:color w:val="0A0D14"/>
                <w:sz w:val="20"/>
                <w:szCs w:val="24"/>
              </w:rPr>
              <w:t xml:space="preserve"> en virtud de que a la fecha en que se actúa, de hacerse pública</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a información contenida en la base de datos, podría ocasionar un perjuicio real y directo a los titulares de</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derechos como concesionarios del servicio de transporte público, además de poner en riesgo la legal y verídica</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integración y actualización de los archivos digitales del Registro Estatal de Transporte Público; para lo cual se</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presenta y aplica una PRUEBA DE DAÑO, con el fin de demostrar de manera fundada y motivada que la</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divulgación de la información lesiona el interés jurídicamente protegido por la Ley y que el menoscabo o daño</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que puede producirse con su publicidad es mayor que el interés de conocerla y, por consiguiente, debe</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clasificarse como reservada, precisando las razones objetivas por las que la apertura de dichos datos podría</w:t>
            </w:r>
            <w:r w:rsidR="00757CCB">
              <w:rPr>
                <w:rFonts w:ascii="Palatino Linotype" w:hAnsi="Palatino Linotype" w:cs="Arial"/>
                <w:i/>
                <w:color w:val="0A0D14"/>
                <w:sz w:val="20"/>
                <w:szCs w:val="24"/>
              </w:rPr>
              <w:t xml:space="preserve"> </w:t>
            </w:r>
            <w:r w:rsidR="00757CCB" w:rsidRPr="00757CCB">
              <w:rPr>
                <w:rFonts w:ascii="Palatino Linotype" w:hAnsi="Palatino Linotype" w:cs="Arial"/>
                <w:i/>
                <w:color w:val="0A0D14"/>
                <w:sz w:val="20"/>
                <w:szCs w:val="24"/>
              </w:rPr>
              <w:t>generar una afectación.</w:t>
            </w:r>
            <w:r w:rsidRPr="00EE434B">
              <w:rPr>
                <w:rFonts w:ascii="Palatino Linotype" w:hAnsi="Palatino Linotype" w:cs="Arial"/>
                <w:i/>
                <w:color w:val="0A0D14"/>
                <w:sz w:val="20"/>
                <w:szCs w:val="24"/>
              </w:rPr>
              <w:t>”</w:t>
            </w:r>
          </w:p>
          <w:p w:rsidR="002024A4" w:rsidRDefault="00757CCB" w:rsidP="003F30DD">
            <w:pPr>
              <w:autoSpaceDE w:val="0"/>
              <w:autoSpaceDN w:val="0"/>
              <w:adjustRightInd w:val="0"/>
              <w:jc w:val="both"/>
              <w:rPr>
                <w:rFonts w:ascii="Palatino Linotype" w:hAnsi="Palatino Linotype" w:cs="Arial"/>
                <w:i/>
                <w:color w:val="0A0D14"/>
                <w:sz w:val="20"/>
                <w:szCs w:val="24"/>
              </w:rPr>
            </w:pPr>
            <w:r>
              <w:rPr>
                <w:rFonts w:ascii="Palatino Linotype" w:hAnsi="Palatino Linotype" w:cs="Arial"/>
                <w:i/>
                <w:color w:val="0A0D14"/>
                <w:sz w:val="20"/>
                <w:szCs w:val="24"/>
              </w:rPr>
              <w:t>…</w:t>
            </w:r>
          </w:p>
          <w:p w:rsidR="00757CCB" w:rsidRPr="00EE434B" w:rsidRDefault="00757CCB" w:rsidP="003F30DD">
            <w:pPr>
              <w:autoSpaceDE w:val="0"/>
              <w:autoSpaceDN w:val="0"/>
              <w:adjustRightInd w:val="0"/>
              <w:jc w:val="both"/>
              <w:rPr>
                <w:rFonts w:ascii="Palatino Linotype" w:hAnsi="Palatino Linotype" w:cs="Arial"/>
                <w:i/>
                <w:color w:val="0A0D14"/>
                <w:sz w:val="20"/>
                <w:szCs w:val="24"/>
              </w:rPr>
            </w:pPr>
          </w:p>
          <w:p w:rsidR="002024A4" w:rsidRPr="00EE434B" w:rsidRDefault="00757CCB" w:rsidP="003F30DD">
            <w:pPr>
              <w:autoSpaceDE w:val="0"/>
              <w:autoSpaceDN w:val="0"/>
              <w:adjustRightInd w:val="0"/>
              <w:jc w:val="center"/>
              <w:rPr>
                <w:rFonts w:ascii="Palatino Linotype" w:hAnsi="Palatino Linotype" w:cs="Arial"/>
                <w:b/>
                <w:i/>
                <w:color w:val="0A0D14"/>
                <w:sz w:val="20"/>
                <w:szCs w:val="24"/>
              </w:rPr>
            </w:pPr>
            <w:r>
              <w:rPr>
                <w:rFonts w:ascii="Palatino Linotype" w:hAnsi="Palatino Linotype" w:cs="Arial"/>
                <w:b/>
                <w:i/>
                <w:color w:val="0A0D14"/>
                <w:sz w:val="20"/>
                <w:szCs w:val="24"/>
              </w:rPr>
              <w:t>ANTECEDENTE</w:t>
            </w:r>
            <w:r w:rsidR="002024A4" w:rsidRPr="00EE434B">
              <w:rPr>
                <w:rFonts w:ascii="Palatino Linotype" w:hAnsi="Palatino Linotype" w:cs="Arial"/>
                <w:b/>
                <w:i/>
                <w:color w:val="0A0D14"/>
                <w:sz w:val="20"/>
                <w:szCs w:val="24"/>
              </w:rPr>
              <w:t>:</w:t>
            </w:r>
          </w:p>
          <w:p w:rsidR="002024A4" w:rsidRDefault="002024A4" w:rsidP="003F30DD">
            <w:pPr>
              <w:autoSpaceDE w:val="0"/>
              <w:autoSpaceDN w:val="0"/>
              <w:adjustRightInd w:val="0"/>
              <w:jc w:val="both"/>
              <w:rPr>
                <w:rFonts w:ascii="Palatino Linotype" w:hAnsi="Palatino Linotype" w:cs="Arial"/>
                <w:i/>
                <w:color w:val="0A0D14"/>
                <w:sz w:val="20"/>
                <w:szCs w:val="24"/>
              </w:rPr>
            </w:pPr>
          </w:p>
          <w:p w:rsidR="00757CCB" w:rsidRDefault="00757CCB" w:rsidP="003F30DD">
            <w:pPr>
              <w:autoSpaceDE w:val="0"/>
              <w:autoSpaceDN w:val="0"/>
              <w:adjustRightInd w:val="0"/>
              <w:jc w:val="both"/>
              <w:rPr>
                <w:rFonts w:ascii="Palatino Linotype" w:hAnsi="Palatino Linotype" w:cs="Arial"/>
                <w:i/>
                <w:color w:val="0A0D14"/>
                <w:sz w:val="20"/>
                <w:szCs w:val="24"/>
              </w:rPr>
            </w:pPr>
            <w:r>
              <w:rPr>
                <w:rFonts w:ascii="Palatino Linotype" w:hAnsi="Palatino Linotype" w:cs="Arial"/>
                <w:i/>
                <w:color w:val="0A0D14"/>
                <w:sz w:val="20"/>
                <w:szCs w:val="24"/>
              </w:rPr>
              <w:t xml:space="preserve">Que el 25 de abril del año 2019, se publicó en Periódico oficial “Gaceta de Gobierno”, el denominado “ACUERDO DEL SECRETARIO DE MOVILIDAD POR EL QUE SE INSTRUYE AL DIRECTOR GENERAL DEL REGISTRO ESTATAL DE TRANSPORTE PÚBLICO, DAR CONTINUIDAD A LOS TRAMITES DE OTORGAMIENTO DE PRÓRROGAS, BAJA Y SUSTITUCIÓN DE VEHICULOS, TODOS LOS RELACIONADO CON LA REGULACIÓN Y ORDENAMIENTO DEL SERVICIO DE TRANSPORTE PÚBLICO DE PASAJEROS, </w:t>
            </w:r>
            <w:r w:rsidRPr="00757CCB">
              <w:rPr>
                <w:rFonts w:ascii="Palatino Linotype" w:hAnsi="Palatino Linotype" w:cs="Arial"/>
                <w:i/>
                <w:color w:val="0A0D14"/>
                <w:sz w:val="20"/>
                <w:szCs w:val="24"/>
              </w:rPr>
              <w:t>QUE SOLICITEN PERSONAS DISTINTAS A LOS TITULARES DE LAS CONCESIONES, SIEMPRE Y CUANDO</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SE ACREDITE INTERÉS JURÍDICO EN LA REALIZACIÓN DEL ACTO ADMINISTRATIVO”, en donde se instruye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dar continuidad a los trámites de actualización de vigencia de las concesiones, baja y/o sustitución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vehículos, aun cuando quienes lo soliciten, sean personas distintas a los concesionarios titulares, siempre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 xml:space="preserve">que acrediten el interés </w:t>
            </w:r>
            <w:r w:rsidRPr="00757CCB">
              <w:rPr>
                <w:rFonts w:ascii="Palatino Linotype" w:hAnsi="Palatino Linotype" w:cs="Arial"/>
                <w:i/>
                <w:color w:val="0A0D14"/>
                <w:sz w:val="20"/>
                <w:szCs w:val="24"/>
              </w:rPr>
              <w:lastRenderedPageBreak/>
              <w:t xml:space="preserve">jurídico mediante la presentación de documentos que </w:t>
            </w:r>
            <w:r w:rsidR="00F1623C" w:rsidRPr="00757CCB">
              <w:rPr>
                <w:rFonts w:ascii="Palatino Linotype" w:hAnsi="Palatino Linotype" w:cs="Arial"/>
                <w:i/>
                <w:color w:val="0A0D14"/>
                <w:sz w:val="20"/>
                <w:szCs w:val="24"/>
              </w:rPr>
              <w:t>atestigüe</w:t>
            </w:r>
            <w:r w:rsidRPr="00757CCB">
              <w:rPr>
                <w:rFonts w:ascii="Palatino Linotype" w:hAnsi="Palatino Linotype" w:cs="Arial"/>
                <w:i/>
                <w:color w:val="0A0D14"/>
                <w:sz w:val="20"/>
                <w:szCs w:val="24"/>
              </w:rPr>
              <w:t xml:space="preserve"> una cesión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 xml:space="preserve">derechos, así como la explotación del servicio de transporte </w:t>
            </w:r>
            <w:r w:rsidR="00F1623C" w:rsidRPr="00757CCB">
              <w:rPr>
                <w:rFonts w:ascii="Palatino Linotype" w:hAnsi="Palatino Linotype" w:cs="Arial"/>
                <w:i/>
                <w:color w:val="0A0D14"/>
                <w:sz w:val="20"/>
                <w:szCs w:val="24"/>
              </w:rPr>
              <w:t>público</w:t>
            </w:r>
            <w:r w:rsidRPr="00757CCB">
              <w:rPr>
                <w:rFonts w:ascii="Palatino Linotype" w:hAnsi="Palatino Linotype" w:cs="Arial"/>
                <w:i/>
                <w:color w:val="0A0D14"/>
                <w:sz w:val="20"/>
                <w:szCs w:val="24"/>
              </w:rPr>
              <w:t xml:space="preserve"> con la unidad que actualmente se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encuentre afecta a la concesión de la que se trate, lo anterior a fin de que después de un proceso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diagnóstico y/o encontrar concordancia entre los datos que manifiesten los interesados contra lo que obra en</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los archivos digitales del Registro Estatal de Transporte Público, sobre la concesión y el vehículo vinculado a</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la misma, se delibere sobre la viabilidad del registro de los poseedores de estas concesiones como posibles</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candidatos a la transferencia de titularidad de dichas concesiones, destacando que el registro como posible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candidato les permite a los interesados la realización de trámites de actualización de vigencia, alta y baja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vehículos, por ende, obtener documentos de identificación vehicular (matrículas, engomado, tarjeta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circulación) para la prestación del servicio.</w:t>
            </w:r>
          </w:p>
          <w:p w:rsidR="00F1623C" w:rsidRPr="00757CCB" w:rsidRDefault="00F1623C" w:rsidP="003F30DD">
            <w:pPr>
              <w:autoSpaceDE w:val="0"/>
              <w:autoSpaceDN w:val="0"/>
              <w:adjustRightInd w:val="0"/>
              <w:jc w:val="both"/>
              <w:rPr>
                <w:rFonts w:ascii="Palatino Linotype" w:hAnsi="Palatino Linotype" w:cs="Arial"/>
                <w:i/>
                <w:color w:val="0A0D14"/>
                <w:sz w:val="20"/>
                <w:szCs w:val="24"/>
              </w:rPr>
            </w:pPr>
          </w:p>
          <w:p w:rsidR="00757CCB" w:rsidRPr="00757CCB" w:rsidRDefault="00757CCB" w:rsidP="003F30DD">
            <w:pPr>
              <w:autoSpaceDE w:val="0"/>
              <w:autoSpaceDN w:val="0"/>
              <w:adjustRightInd w:val="0"/>
              <w:jc w:val="both"/>
              <w:rPr>
                <w:rFonts w:ascii="Palatino Linotype" w:hAnsi="Palatino Linotype" w:cs="Arial"/>
                <w:i/>
                <w:color w:val="0A0D14"/>
                <w:sz w:val="20"/>
                <w:szCs w:val="24"/>
              </w:rPr>
            </w:pPr>
            <w:r w:rsidRPr="00757CCB">
              <w:rPr>
                <w:rFonts w:ascii="Palatino Linotype" w:hAnsi="Palatino Linotype" w:cs="Arial"/>
                <w:i/>
                <w:color w:val="0A0D14"/>
                <w:sz w:val="20"/>
                <w:szCs w:val="24"/>
              </w:rPr>
              <w:t>Cabe destacar que el ordenamiento antes citado, fue prorrogado para sus efectos hasta el 15 de diciembre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del año 2022, mediante el diverso publicado el pasado 17 de diciembre del año 2021, por lo que se puede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confirmar su vigencia, por tanto, la continuidad del proceso de deliberación que se lleva a cabo a la fecha en</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que se actúa para acreditar legítimos derechos de titularidad de concesiones.</w:t>
            </w:r>
          </w:p>
          <w:p w:rsidR="00757CCB" w:rsidRPr="00757CCB" w:rsidRDefault="00757CCB" w:rsidP="003F30DD">
            <w:pPr>
              <w:autoSpaceDE w:val="0"/>
              <w:autoSpaceDN w:val="0"/>
              <w:adjustRightInd w:val="0"/>
              <w:jc w:val="both"/>
              <w:rPr>
                <w:rFonts w:ascii="Palatino Linotype" w:hAnsi="Palatino Linotype" w:cs="Arial"/>
                <w:i/>
                <w:color w:val="0A0D14"/>
                <w:sz w:val="20"/>
                <w:szCs w:val="24"/>
              </w:rPr>
            </w:pPr>
          </w:p>
          <w:p w:rsidR="00757CCB" w:rsidRPr="00F1623C" w:rsidRDefault="00757CCB" w:rsidP="003F30DD">
            <w:pPr>
              <w:autoSpaceDE w:val="0"/>
              <w:autoSpaceDN w:val="0"/>
              <w:adjustRightInd w:val="0"/>
              <w:jc w:val="center"/>
              <w:rPr>
                <w:rFonts w:ascii="Palatino Linotype" w:hAnsi="Palatino Linotype" w:cs="Arial"/>
                <w:b/>
                <w:i/>
                <w:color w:val="0A0D14"/>
                <w:sz w:val="20"/>
                <w:szCs w:val="24"/>
              </w:rPr>
            </w:pPr>
            <w:r w:rsidRPr="00F1623C">
              <w:rPr>
                <w:rFonts w:ascii="Palatino Linotype" w:hAnsi="Palatino Linotype" w:cs="Arial"/>
                <w:b/>
                <w:i/>
                <w:color w:val="0A0D14"/>
                <w:sz w:val="20"/>
                <w:szCs w:val="24"/>
              </w:rPr>
              <w:t xml:space="preserve">MOTIVOS </w:t>
            </w:r>
            <w:r w:rsidR="00F1623C" w:rsidRPr="00F1623C">
              <w:rPr>
                <w:rFonts w:ascii="Palatino Linotype" w:hAnsi="Palatino Linotype" w:cs="Arial"/>
                <w:b/>
                <w:i/>
                <w:color w:val="0A0D14"/>
                <w:sz w:val="20"/>
                <w:szCs w:val="24"/>
              </w:rPr>
              <w:t>–</w:t>
            </w:r>
            <w:r w:rsidRPr="00F1623C">
              <w:rPr>
                <w:rFonts w:ascii="Palatino Linotype" w:hAnsi="Palatino Linotype" w:cs="Arial"/>
                <w:b/>
                <w:i/>
                <w:color w:val="0A0D14"/>
                <w:sz w:val="20"/>
                <w:szCs w:val="24"/>
              </w:rPr>
              <w:t>RAZONES</w:t>
            </w:r>
          </w:p>
          <w:p w:rsidR="00757CCB" w:rsidRPr="00F1623C" w:rsidRDefault="00757CCB" w:rsidP="003F30DD">
            <w:pPr>
              <w:autoSpaceDE w:val="0"/>
              <w:autoSpaceDN w:val="0"/>
              <w:adjustRightInd w:val="0"/>
              <w:jc w:val="center"/>
              <w:rPr>
                <w:rFonts w:ascii="Palatino Linotype" w:hAnsi="Palatino Linotype" w:cs="Arial"/>
                <w:b/>
                <w:i/>
                <w:color w:val="0A0D14"/>
                <w:sz w:val="20"/>
                <w:szCs w:val="24"/>
              </w:rPr>
            </w:pPr>
            <w:r w:rsidRPr="00F1623C">
              <w:rPr>
                <w:rFonts w:ascii="Palatino Linotype" w:hAnsi="Palatino Linotype" w:cs="Arial"/>
                <w:b/>
                <w:i/>
                <w:color w:val="0A0D14"/>
                <w:sz w:val="20"/>
                <w:szCs w:val="24"/>
              </w:rPr>
              <w:t>DE RIESGO</w:t>
            </w:r>
          </w:p>
          <w:p w:rsidR="00757CCB" w:rsidRPr="00757CCB" w:rsidRDefault="00757CCB" w:rsidP="003F30DD">
            <w:pPr>
              <w:autoSpaceDE w:val="0"/>
              <w:autoSpaceDN w:val="0"/>
              <w:adjustRightInd w:val="0"/>
              <w:jc w:val="both"/>
              <w:rPr>
                <w:rFonts w:ascii="Palatino Linotype" w:hAnsi="Palatino Linotype" w:cs="Arial"/>
                <w:i/>
                <w:color w:val="0A0D14"/>
                <w:sz w:val="20"/>
                <w:szCs w:val="24"/>
              </w:rPr>
            </w:pPr>
          </w:p>
          <w:p w:rsidR="00757CCB" w:rsidRPr="004433A3" w:rsidRDefault="00757CCB" w:rsidP="003F30DD">
            <w:pPr>
              <w:autoSpaceDE w:val="0"/>
              <w:autoSpaceDN w:val="0"/>
              <w:adjustRightInd w:val="0"/>
              <w:jc w:val="both"/>
              <w:rPr>
                <w:rFonts w:ascii="Palatino Linotype" w:hAnsi="Palatino Linotype" w:cs="Arial"/>
                <w:i/>
                <w:color w:val="0A0D14"/>
                <w:sz w:val="20"/>
                <w:szCs w:val="24"/>
                <w:u w:val="single"/>
              </w:rPr>
            </w:pPr>
            <w:r w:rsidRPr="00757CCB">
              <w:rPr>
                <w:rFonts w:ascii="Palatino Linotype" w:hAnsi="Palatino Linotype" w:cs="Arial"/>
                <w:i/>
                <w:color w:val="0A0D14"/>
                <w:sz w:val="20"/>
                <w:szCs w:val="24"/>
              </w:rPr>
              <w:t>En ese contexto, la divulgación de la información contenida en la base de datos del Registro Estatal de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Transporte Público, como lo es, la codificación alfanumérica (concesión) asignada para la legal prestación del</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servicio de transporte público, el nombre del titular de la misma y la información del vehículo afecto a esta</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permite que se dé a conocer datos precisos de la concesión y su accesorio de la misma, que es el vehículo,</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datos que en su conjunto y en estricto sentido, solo conoce el mismo titular, en su caso, las personas que se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acreditan como poseedores y que de forma real han venido prestando tal servicio, por lo que, en una primera</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etapa, el conocimiento de estos datos por parte de los interesados, es una de las razones por lo que la</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autoridad competente, determina la viabilidad para integrarlos al registro de candidatos para la posible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 xml:space="preserve">transferencia de concesiones, luego entonces, </w:t>
            </w:r>
            <w:r w:rsidRPr="004433A3">
              <w:rPr>
                <w:rFonts w:ascii="Palatino Linotype" w:hAnsi="Palatino Linotype" w:cs="Arial"/>
                <w:i/>
                <w:color w:val="0A0D14"/>
                <w:sz w:val="20"/>
                <w:szCs w:val="24"/>
                <w:u w:val="single"/>
              </w:rPr>
              <w:t>la publicación de tales datos, representan un riesgo, toda vez</w:t>
            </w:r>
            <w:r w:rsidR="00F1623C" w:rsidRPr="004433A3">
              <w:rPr>
                <w:rFonts w:ascii="Palatino Linotype" w:hAnsi="Palatino Linotype" w:cs="Arial"/>
                <w:i/>
                <w:color w:val="0A0D14"/>
                <w:sz w:val="20"/>
                <w:szCs w:val="24"/>
                <w:u w:val="single"/>
              </w:rPr>
              <w:t xml:space="preserve"> </w:t>
            </w:r>
            <w:r w:rsidRPr="004433A3">
              <w:rPr>
                <w:rFonts w:ascii="Palatino Linotype" w:hAnsi="Palatino Linotype" w:cs="Arial"/>
                <w:i/>
                <w:color w:val="0A0D14"/>
                <w:sz w:val="20"/>
                <w:szCs w:val="24"/>
                <w:u w:val="single"/>
              </w:rPr>
              <w:t xml:space="preserve">que estos </w:t>
            </w:r>
            <w:r w:rsidR="00401887" w:rsidRPr="004433A3">
              <w:rPr>
                <w:rFonts w:ascii="Palatino Linotype" w:hAnsi="Palatino Linotype" w:cs="Arial"/>
                <w:i/>
                <w:color w:val="0A0D14"/>
                <w:sz w:val="20"/>
                <w:szCs w:val="24"/>
                <w:u w:val="single"/>
              </w:rPr>
              <w:t>podrían</w:t>
            </w:r>
            <w:r w:rsidRPr="004433A3">
              <w:rPr>
                <w:rFonts w:ascii="Palatino Linotype" w:hAnsi="Palatino Linotype" w:cs="Arial"/>
                <w:i/>
                <w:color w:val="0A0D14"/>
                <w:sz w:val="20"/>
                <w:szCs w:val="24"/>
                <w:u w:val="single"/>
              </w:rPr>
              <w:t xml:space="preserve"> ser utilizados por personas distintas al titular de la concesión o el poseedor de la misma,</w:t>
            </w:r>
            <w:r w:rsidR="00F1623C" w:rsidRPr="004433A3">
              <w:rPr>
                <w:rFonts w:ascii="Palatino Linotype" w:hAnsi="Palatino Linotype" w:cs="Arial"/>
                <w:i/>
                <w:color w:val="0A0D14"/>
                <w:sz w:val="20"/>
                <w:szCs w:val="24"/>
                <w:u w:val="single"/>
              </w:rPr>
              <w:t xml:space="preserve"> </w:t>
            </w:r>
            <w:r w:rsidRPr="004433A3">
              <w:rPr>
                <w:rFonts w:ascii="Palatino Linotype" w:hAnsi="Palatino Linotype" w:cs="Arial"/>
                <w:i/>
                <w:color w:val="0A0D14"/>
                <w:sz w:val="20"/>
                <w:szCs w:val="24"/>
                <w:u w:val="single"/>
              </w:rPr>
              <w:t>esto es, que cualquier persona podría ostentarse como poseedor y actual prestador del servicio de pasajeros</w:t>
            </w:r>
            <w:r w:rsidR="00F1623C" w:rsidRPr="004433A3">
              <w:rPr>
                <w:rFonts w:ascii="Palatino Linotype" w:hAnsi="Palatino Linotype" w:cs="Arial"/>
                <w:i/>
                <w:color w:val="0A0D14"/>
                <w:sz w:val="20"/>
                <w:szCs w:val="24"/>
                <w:u w:val="single"/>
              </w:rPr>
              <w:t xml:space="preserve"> </w:t>
            </w:r>
            <w:r w:rsidRPr="004433A3">
              <w:rPr>
                <w:rFonts w:ascii="Palatino Linotype" w:hAnsi="Palatino Linotype" w:cs="Arial"/>
                <w:i/>
                <w:color w:val="0A0D14"/>
                <w:sz w:val="20"/>
                <w:szCs w:val="24"/>
                <w:u w:val="single"/>
              </w:rPr>
              <w:t>en argumentación del conocimiento de los datos de la concesión y/o del vehículo afecto a la misma, y solicitar</w:t>
            </w:r>
            <w:r w:rsidR="00F1623C" w:rsidRPr="004433A3">
              <w:rPr>
                <w:rFonts w:ascii="Palatino Linotype" w:hAnsi="Palatino Linotype" w:cs="Arial"/>
                <w:i/>
                <w:color w:val="0A0D14"/>
                <w:sz w:val="20"/>
                <w:szCs w:val="24"/>
                <w:u w:val="single"/>
              </w:rPr>
              <w:t xml:space="preserve"> </w:t>
            </w:r>
            <w:r w:rsidRPr="004433A3">
              <w:rPr>
                <w:rFonts w:ascii="Palatino Linotype" w:hAnsi="Palatino Linotype" w:cs="Arial"/>
                <w:i/>
                <w:color w:val="0A0D14"/>
                <w:sz w:val="20"/>
                <w:szCs w:val="24"/>
                <w:u w:val="single"/>
              </w:rPr>
              <w:t>ser inscritos al registro de posibles candidatos a la transferencia de la concesión en amparo del acuerdo citado.</w:t>
            </w:r>
          </w:p>
          <w:p w:rsidR="00F1623C" w:rsidRPr="00757CCB" w:rsidRDefault="00F1623C" w:rsidP="003F30DD">
            <w:pPr>
              <w:autoSpaceDE w:val="0"/>
              <w:autoSpaceDN w:val="0"/>
              <w:adjustRightInd w:val="0"/>
              <w:jc w:val="both"/>
              <w:rPr>
                <w:rFonts w:ascii="Palatino Linotype" w:hAnsi="Palatino Linotype" w:cs="Arial"/>
                <w:i/>
                <w:color w:val="0A0D14"/>
                <w:sz w:val="20"/>
                <w:szCs w:val="24"/>
              </w:rPr>
            </w:pPr>
          </w:p>
          <w:p w:rsidR="00757CCB" w:rsidRDefault="00757CCB" w:rsidP="003F30DD">
            <w:pPr>
              <w:autoSpaceDE w:val="0"/>
              <w:autoSpaceDN w:val="0"/>
              <w:adjustRightInd w:val="0"/>
              <w:jc w:val="both"/>
              <w:rPr>
                <w:rFonts w:ascii="Palatino Linotype" w:hAnsi="Palatino Linotype" w:cs="Arial"/>
                <w:i/>
                <w:color w:val="0A0D14"/>
                <w:sz w:val="20"/>
                <w:szCs w:val="24"/>
              </w:rPr>
            </w:pPr>
            <w:r w:rsidRPr="00757CCB">
              <w:rPr>
                <w:rFonts w:ascii="Palatino Linotype" w:hAnsi="Palatino Linotype" w:cs="Arial"/>
                <w:i/>
                <w:color w:val="0A0D14"/>
                <w:sz w:val="20"/>
                <w:szCs w:val="24"/>
              </w:rPr>
              <w:t xml:space="preserve">Lo expresado, </w:t>
            </w:r>
            <w:r w:rsidRPr="004433A3">
              <w:rPr>
                <w:rFonts w:ascii="Palatino Linotype" w:hAnsi="Palatino Linotype" w:cs="Arial"/>
                <w:i/>
                <w:color w:val="0A0D14"/>
                <w:sz w:val="20"/>
                <w:szCs w:val="24"/>
                <w:u w:val="single"/>
              </w:rPr>
              <w:t>representaría la imposibilidad de integrar un padrón certero de las personas que explotan el</w:t>
            </w:r>
            <w:r w:rsidR="00F1623C" w:rsidRPr="004433A3">
              <w:rPr>
                <w:rFonts w:ascii="Palatino Linotype" w:hAnsi="Palatino Linotype" w:cs="Arial"/>
                <w:i/>
                <w:color w:val="0A0D14"/>
                <w:sz w:val="20"/>
                <w:szCs w:val="24"/>
                <w:u w:val="single"/>
              </w:rPr>
              <w:t xml:space="preserve"> </w:t>
            </w:r>
            <w:r w:rsidRPr="004433A3">
              <w:rPr>
                <w:rFonts w:ascii="Palatino Linotype" w:hAnsi="Palatino Linotype" w:cs="Arial"/>
                <w:i/>
                <w:color w:val="0A0D14"/>
                <w:sz w:val="20"/>
                <w:szCs w:val="24"/>
                <w:u w:val="single"/>
              </w:rPr>
              <w:t>servicio, que han pagado los derechos generados por el mismo</w:t>
            </w:r>
            <w:r w:rsidRPr="00757CCB">
              <w:rPr>
                <w:rFonts w:ascii="Palatino Linotype" w:hAnsi="Palatino Linotype" w:cs="Arial"/>
                <w:i/>
                <w:color w:val="0A0D14"/>
                <w:sz w:val="20"/>
                <w:szCs w:val="24"/>
              </w:rPr>
              <w:t>, y además ha cumplido con las obligaciones</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como prestador del transporte público, aunado, a que se estaría iniciando el procedimiento que establece el</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acuerdo descrito, a personas distintas al titular o al poseedor, es decir, que no tiene ningún interés Jurídico,</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generando a su favor la documentación de control vehicular para la prestación del servicio, en tanto se resuelve</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la titularidad, toda vez que el hecho de ser inscritos al padrón de candidatos les permite regularizar la vigencia</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de concesión, por ende, efectuar trámites de baja y alta de vehículo, ergo, obtener elementos de control</w:t>
            </w:r>
            <w:r w:rsidR="00F1623C">
              <w:rPr>
                <w:rFonts w:ascii="Palatino Linotype" w:hAnsi="Palatino Linotype" w:cs="Arial"/>
                <w:i/>
                <w:color w:val="0A0D14"/>
                <w:sz w:val="20"/>
                <w:szCs w:val="24"/>
              </w:rPr>
              <w:t xml:space="preserve"> </w:t>
            </w:r>
            <w:r w:rsidRPr="00757CCB">
              <w:rPr>
                <w:rFonts w:ascii="Palatino Linotype" w:hAnsi="Palatino Linotype" w:cs="Arial"/>
                <w:i/>
                <w:color w:val="0A0D14"/>
                <w:sz w:val="20"/>
                <w:szCs w:val="24"/>
              </w:rPr>
              <w:t>vehicular (matrículas, tarjeta de circulación y engomado).</w:t>
            </w:r>
            <w:r w:rsidR="00F1623C">
              <w:rPr>
                <w:rFonts w:ascii="Palatino Linotype" w:hAnsi="Palatino Linotype" w:cs="Arial"/>
                <w:i/>
                <w:color w:val="0A0D14"/>
                <w:sz w:val="20"/>
                <w:szCs w:val="24"/>
              </w:rPr>
              <w:t xml:space="preserve"> </w:t>
            </w:r>
          </w:p>
          <w:p w:rsidR="004433A3" w:rsidRDefault="004433A3" w:rsidP="003F30DD">
            <w:pPr>
              <w:autoSpaceDE w:val="0"/>
              <w:autoSpaceDN w:val="0"/>
              <w:adjustRightInd w:val="0"/>
              <w:jc w:val="both"/>
              <w:rPr>
                <w:rFonts w:ascii="Palatino Linotype" w:hAnsi="Palatino Linotype" w:cs="Arial"/>
                <w:i/>
                <w:color w:val="0A0D14"/>
                <w:sz w:val="20"/>
                <w:szCs w:val="24"/>
              </w:rPr>
            </w:pPr>
          </w:p>
          <w:p w:rsidR="004433A3" w:rsidRDefault="004433A3" w:rsidP="003F30DD">
            <w:pPr>
              <w:autoSpaceDE w:val="0"/>
              <w:autoSpaceDN w:val="0"/>
              <w:adjustRightInd w:val="0"/>
              <w:jc w:val="both"/>
              <w:rPr>
                <w:rFonts w:ascii="Palatino Linotype" w:hAnsi="Palatino Linotype" w:cs="Arial"/>
                <w:i/>
                <w:color w:val="0A0D14"/>
                <w:sz w:val="20"/>
                <w:szCs w:val="24"/>
              </w:rPr>
            </w:pPr>
            <w:r w:rsidRPr="004433A3">
              <w:rPr>
                <w:rFonts w:ascii="Palatino Linotype" w:hAnsi="Palatino Linotype" w:cs="Arial"/>
                <w:i/>
                <w:color w:val="0A0D14"/>
                <w:sz w:val="20"/>
                <w:szCs w:val="24"/>
              </w:rPr>
              <w:t>Lo anterior, obstaculizaría la legal regularización del servicio de transporte público en la entidad, así como la</w:t>
            </w:r>
            <w:r>
              <w:rPr>
                <w:rFonts w:ascii="Palatino Linotype" w:hAnsi="Palatino Linotype" w:cs="Arial"/>
                <w:i/>
                <w:color w:val="0A0D14"/>
                <w:sz w:val="20"/>
                <w:szCs w:val="24"/>
              </w:rPr>
              <w:t xml:space="preserve"> </w:t>
            </w:r>
            <w:r w:rsidRPr="004433A3">
              <w:rPr>
                <w:rFonts w:ascii="Palatino Linotype" w:hAnsi="Palatino Linotype" w:cs="Arial"/>
                <w:i/>
                <w:color w:val="0A0D14"/>
                <w:sz w:val="20"/>
                <w:szCs w:val="24"/>
              </w:rPr>
              <w:t>certeza de que quien se ostenta como poseedor, y que este verdaderamente ha obtenido un derecho de</w:t>
            </w:r>
            <w:r>
              <w:rPr>
                <w:rFonts w:ascii="Palatino Linotype" w:hAnsi="Palatino Linotype" w:cs="Arial"/>
                <w:i/>
                <w:color w:val="0A0D14"/>
                <w:sz w:val="20"/>
                <w:szCs w:val="24"/>
              </w:rPr>
              <w:t xml:space="preserve"> </w:t>
            </w:r>
            <w:r w:rsidRPr="004433A3">
              <w:rPr>
                <w:rFonts w:ascii="Palatino Linotype" w:hAnsi="Palatino Linotype" w:cs="Arial"/>
                <w:i/>
                <w:color w:val="0A0D14"/>
                <w:sz w:val="20"/>
                <w:szCs w:val="24"/>
              </w:rPr>
              <w:t>titularidad sobre la concesión por el tiempo transcurrido de explotación del servicio, poniendo en riesgo el</w:t>
            </w:r>
            <w:r>
              <w:rPr>
                <w:rFonts w:ascii="Palatino Linotype" w:hAnsi="Palatino Linotype" w:cs="Arial"/>
                <w:i/>
                <w:color w:val="0A0D14"/>
                <w:sz w:val="20"/>
                <w:szCs w:val="24"/>
              </w:rPr>
              <w:t xml:space="preserve"> </w:t>
            </w:r>
            <w:r w:rsidRPr="004433A3">
              <w:rPr>
                <w:rFonts w:ascii="Palatino Linotype" w:hAnsi="Palatino Linotype" w:cs="Arial"/>
                <w:i/>
                <w:color w:val="0A0D14"/>
                <w:sz w:val="20"/>
                <w:szCs w:val="24"/>
              </w:rPr>
              <w:t>derecho legítimo de titularidad, de las personas a las que les fue otorgada la concesión, y que no se encuentran</w:t>
            </w:r>
            <w:r>
              <w:rPr>
                <w:rFonts w:ascii="Palatino Linotype" w:hAnsi="Palatino Linotype" w:cs="Arial"/>
                <w:i/>
                <w:color w:val="0A0D14"/>
                <w:sz w:val="20"/>
                <w:szCs w:val="24"/>
              </w:rPr>
              <w:t xml:space="preserve"> </w:t>
            </w:r>
            <w:r w:rsidRPr="004433A3">
              <w:rPr>
                <w:rFonts w:ascii="Palatino Linotype" w:hAnsi="Palatino Linotype" w:cs="Arial"/>
                <w:i/>
                <w:color w:val="0A0D14"/>
                <w:sz w:val="20"/>
                <w:szCs w:val="24"/>
              </w:rPr>
              <w:t xml:space="preserve">en el </w:t>
            </w:r>
            <w:r>
              <w:rPr>
                <w:rFonts w:ascii="Palatino Linotype" w:hAnsi="Palatino Linotype" w:cs="Arial"/>
                <w:i/>
                <w:color w:val="0A0D14"/>
                <w:sz w:val="20"/>
                <w:szCs w:val="24"/>
              </w:rPr>
              <w:t>s</w:t>
            </w:r>
            <w:r w:rsidRPr="004433A3">
              <w:rPr>
                <w:rFonts w:ascii="Palatino Linotype" w:hAnsi="Palatino Linotype" w:cs="Arial"/>
                <w:i/>
                <w:color w:val="0A0D14"/>
                <w:sz w:val="20"/>
                <w:szCs w:val="24"/>
              </w:rPr>
              <w:t>upuesto</w:t>
            </w:r>
            <w:r>
              <w:rPr>
                <w:rFonts w:ascii="Palatino Linotype" w:hAnsi="Palatino Linotype" w:cs="Arial"/>
                <w:i/>
                <w:color w:val="0A0D14"/>
                <w:sz w:val="20"/>
                <w:szCs w:val="24"/>
              </w:rPr>
              <w:t xml:space="preserve"> previsto por el o</w:t>
            </w:r>
            <w:r w:rsidRPr="004433A3">
              <w:rPr>
                <w:rFonts w:ascii="Palatino Linotype" w:hAnsi="Palatino Linotype" w:cs="Arial"/>
                <w:i/>
                <w:color w:val="0A0D14"/>
                <w:sz w:val="20"/>
                <w:szCs w:val="24"/>
              </w:rPr>
              <w:t xml:space="preserve">rdenamiento </w:t>
            </w:r>
            <w:r>
              <w:rPr>
                <w:rFonts w:ascii="Palatino Linotype" w:hAnsi="Palatino Linotype" w:cs="Arial"/>
                <w:i/>
                <w:color w:val="0A0D14"/>
                <w:sz w:val="20"/>
                <w:szCs w:val="24"/>
              </w:rPr>
              <w:t>i</w:t>
            </w:r>
            <w:r w:rsidRPr="004433A3">
              <w:rPr>
                <w:rFonts w:ascii="Palatino Linotype" w:hAnsi="Palatino Linotype" w:cs="Arial"/>
                <w:i/>
                <w:color w:val="0A0D14"/>
                <w:sz w:val="20"/>
                <w:szCs w:val="24"/>
              </w:rPr>
              <w:t>nvocado en antecedentes, a</w:t>
            </w:r>
            <w:r>
              <w:rPr>
                <w:rFonts w:ascii="Palatino Linotype" w:hAnsi="Palatino Linotype" w:cs="Arial"/>
                <w:i/>
                <w:color w:val="0A0D14"/>
                <w:sz w:val="20"/>
                <w:szCs w:val="24"/>
              </w:rPr>
              <w:t>d</w:t>
            </w:r>
            <w:r w:rsidRPr="004433A3">
              <w:rPr>
                <w:rFonts w:ascii="Palatino Linotype" w:hAnsi="Palatino Linotype" w:cs="Arial"/>
                <w:i/>
                <w:color w:val="0A0D14"/>
                <w:sz w:val="20"/>
                <w:szCs w:val="24"/>
              </w:rPr>
              <w:t>vir</w:t>
            </w:r>
            <w:r>
              <w:rPr>
                <w:rFonts w:ascii="Palatino Linotype" w:hAnsi="Palatino Linotype" w:cs="Arial"/>
                <w:i/>
                <w:color w:val="0A0D14"/>
                <w:sz w:val="20"/>
                <w:szCs w:val="24"/>
              </w:rPr>
              <w:t>ti</w:t>
            </w:r>
            <w:r w:rsidRPr="004433A3">
              <w:rPr>
                <w:rFonts w:ascii="Palatino Linotype" w:hAnsi="Palatino Linotype" w:cs="Arial"/>
                <w:i/>
                <w:color w:val="0A0D14"/>
                <w:sz w:val="20"/>
                <w:szCs w:val="24"/>
              </w:rPr>
              <w:t xml:space="preserve">endo con la </w:t>
            </w:r>
            <w:r>
              <w:rPr>
                <w:rFonts w:ascii="Palatino Linotype" w:hAnsi="Palatino Linotype" w:cs="Arial"/>
                <w:i/>
                <w:color w:val="0A0D14"/>
                <w:sz w:val="20"/>
                <w:szCs w:val="24"/>
              </w:rPr>
              <w:t>divulgación de</w:t>
            </w:r>
            <w:r w:rsidRPr="004433A3">
              <w:rPr>
                <w:rFonts w:ascii="Palatino Linotype" w:hAnsi="Palatino Linotype" w:cs="Arial"/>
                <w:i/>
                <w:color w:val="0A0D14"/>
                <w:sz w:val="20"/>
                <w:szCs w:val="24"/>
              </w:rPr>
              <w:t xml:space="preserve"> tal</w:t>
            </w:r>
            <w:r>
              <w:rPr>
                <w:rFonts w:ascii="Palatino Linotype" w:hAnsi="Palatino Linotype" w:cs="Arial"/>
                <w:i/>
                <w:color w:val="0A0D14"/>
                <w:sz w:val="20"/>
                <w:szCs w:val="24"/>
              </w:rPr>
              <w:t xml:space="preserve"> </w:t>
            </w:r>
            <w:r w:rsidRPr="004433A3">
              <w:rPr>
                <w:rFonts w:ascii="Palatino Linotype" w:hAnsi="Palatino Linotype" w:cs="Arial"/>
                <w:i/>
                <w:color w:val="0A0D14"/>
                <w:sz w:val="20"/>
                <w:szCs w:val="24"/>
              </w:rPr>
              <w:t>información un riesgo real, demostrable e identificable</w:t>
            </w:r>
            <w:r>
              <w:rPr>
                <w:rFonts w:ascii="Palatino Linotype" w:hAnsi="Palatino Linotype" w:cs="Arial"/>
                <w:i/>
                <w:color w:val="0A0D14"/>
                <w:sz w:val="20"/>
                <w:szCs w:val="24"/>
              </w:rPr>
              <w:t>.</w:t>
            </w:r>
          </w:p>
          <w:p w:rsidR="002024A4" w:rsidRPr="00FA74D1" w:rsidRDefault="002024A4" w:rsidP="003F30DD">
            <w:pPr>
              <w:autoSpaceDE w:val="0"/>
              <w:autoSpaceDN w:val="0"/>
              <w:adjustRightInd w:val="0"/>
              <w:jc w:val="both"/>
              <w:rPr>
                <w:sz w:val="2"/>
              </w:rPr>
            </w:pPr>
          </w:p>
        </w:tc>
      </w:tr>
      <w:tr w:rsidR="002024A4" w:rsidRPr="00A5268A" w:rsidTr="002024A4">
        <w:tc>
          <w:tcPr>
            <w:tcW w:w="9072" w:type="dxa"/>
            <w:gridSpan w:val="3"/>
            <w:shd w:val="clear" w:color="auto" w:fill="D9D9D9" w:themeFill="background1" w:themeFillShade="D9"/>
            <w:vAlign w:val="center"/>
          </w:tcPr>
          <w:p w:rsidR="002024A4" w:rsidRPr="00A5268A" w:rsidRDefault="002024A4" w:rsidP="003F30DD">
            <w:pPr>
              <w:pStyle w:val="Prrafodelista"/>
              <w:ind w:left="29" w:firstLine="18"/>
              <w:jc w:val="center"/>
              <w:rPr>
                <w:rFonts w:ascii="Palatino Linotype" w:hAnsi="Palatino Linotype"/>
              </w:rPr>
            </w:pPr>
            <w:r w:rsidRPr="00A5268A">
              <w:rPr>
                <w:rFonts w:ascii="Palatino Linotype" w:hAnsi="Palatino Linotype"/>
                <w:b/>
              </w:rPr>
              <w:lastRenderedPageBreak/>
              <w:t>Prueba de Daño</w:t>
            </w:r>
          </w:p>
        </w:tc>
      </w:tr>
      <w:tr w:rsidR="002024A4" w:rsidRPr="00A5268A" w:rsidTr="002024A4">
        <w:tc>
          <w:tcPr>
            <w:tcW w:w="1560" w:type="dxa"/>
            <w:shd w:val="clear" w:color="auto" w:fill="F2F2F2" w:themeFill="background1" w:themeFillShade="F2"/>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t>Riesgo Real, Demostrable e Identificable</w:t>
            </w:r>
          </w:p>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t>(Modo, Tiempo y Lugar)</w:t>
            </w:r>
          </w:p>
        </w:tc>
        <w:tc>
          <w:tcPr>
            <w:tcW w:w="1417" w:type="dxa"/>
            <w:shd w:val="clear" w:color="auto" w:fill="F2F2F2" w:themeFill="background1" w:themeFillShade="F2"/>
            <w:vAlign w:val="center"/>
          </w:tcPr>
          <w:p w:rsidR="002024A4" w:rsidRPr="00B01CED" w:rsidRDefault="009E4E5E" w:rsidP="003F30DD">
            <w:pPr>
              <w:pStyle w:val="Prrafodelista"/>
              <w:ind w:left="29" w:firstLine="18"/>
              <w:jc w:val="center"/>
              <w:rPr>
                <w:rFonts w:ascii="Palatino Linotype" w:hAnsi="Palatino Linotype"/>
                <w:b/>
                <w:sz w:val="18"/>
                <w:szCs w:val="18"/>
              </w:rPr>
            </w:pPr>
            <w:r>
              <w:rPr>
                <w:rFonts w:ascii="Palatino Linotype" w:hAnsi="Palatino Linotype"/>
                <w:b/>
                <w:sz w:val="18"/>
                <w:szCs w:val="18"/>
              </w:rPr>
              <w:t>Si</w:t>
            </w:r>
          </w:p>
        </w:tc>
        <w:tc>
          <w:tcPr>
            <w:tcW w:w="6095" w:type="dxa"/>
            <w:shd w:val="clear" w:color="auto" w:fill="F2F2F2" w:themeFill="background1" w:themeFillShade="F2"/>
            <w:vAlign w:val="center"/>
          </w:tcPr>
          <w:p w:rsidR="009E4E5E" w:rsidRPr="009E4E5E" w:rsidRDefault="009E4E5E" w:rsidP="003F30DD">
            <w:pPr>
              <w:pStyle w:val="Prrafodelista"/>
              <w:ind w:left="29" w:firstLine="18"/>
              <w:jc w:val="both"/>
              <w:rPr>
                <w:rFonts w:ascii="Palatino Linotype" w:hAnsi="Palatino Linotype"/>
                <w:i/>
                <w:sz w:val="20"/>
              </w:rPr>
            </w:pPr>
            <w:r w:rsidRPr="009E4E5E">
              <w:rPr>
                <w:rFonts w:ascii="Palatino Linotype" w:hAnsi="Palatino Linotype"/>
                <w:i/>
                <w:sz w:val="20"/>
              </w:rPr>
              <w:t>RIESGO REAL: Afectación al interés jurídico tutelado, que en el caso concreto es el derecho de titularidad de</w:t>
            </w:r>
            <w:r>
              <w:rPr>
                <w:rFonts w:ascii="Palatino Linotype" w:hAnsi="Palatino Linotype"/>
                <w:i/>
                <w:sz w:val="20"/>
              </w:rPr>
              <w:t xml:space="preserve"> </w:t>
            </w:r>
            <w:r w:rsidRPr="009E4E5E">
              <w:rPr>
                <w:rFonts w:ascii="Palatino Linotype" w:hAnsi="Palatino Linotype"/>
                <w:i/>
                <w:sz w:val="20"/>
              </w:rPr>
              <w:t>concesiones para la prestación del servicio de transporte público, de personas que no encuentran en los</w:t>
            </w:r>
            <w:r>
              <w:rPr>
                <w:rFonts w:ascii="Palatino Linotype" w:hAnsi="Palatino Linotype"/>
                <w:i/>
                <w:sz w:val="20"/>
              </w:rPr>
              <w:t xml:space="preserve"> </w:t>
            </w:r>
            <w:r w:rsidRPr="009E4E5E">
              <w:rPr>
                <w:rFonts w:ascii="Palatino Linotype" w:hAnsi="Palatino Linotype"/>
                <w:i/>
                <w:sz w:val="20"/>
              </w:rPr>
              <w:t>supuestos previstos en el acuerdo citado en antecedentes del presente.</w:t>
            </w:r>
          </w:p>
          <w:p w:rsidR="009E4E5E" w:rsidRPr="009E4E5E" w:rsidRDefault="009E4E5E" w:rsidP="003F30DD">
            <w:pPr>
              <w:pStyle w:val="Prrafodelista"/>
              <w:ind w:left="29" w:firstLine="18"/>
              <w:jc w:val="both"/>
              <w:rPr>
                <w:rFonts w:ascii="Palatino Linotype" w:hAnsi="Palatino Linotype"/>
                <w:i/>
                <w:sz w:val="20"/>
              </w:rPr>
            </w:pPr>
          </w:p>
          <w:p w:rsidR="009E4E5E" w:rsidRPr="009E4E5E" w:rsidRDefault="009E4E5E" w:rsidP="003F30DD">
            <w:pPr>
              <w:pStyle w:val="Prrafodelista"/>
              <w:ind w:left="29" w:firstLine="18"/>
              <w:jc w:val="both"/>
              <w:rPr>
                <w:rFonts w:ascii="Palatino Linotype" w:hAnsi="Palatino Linotype"/>
                <w:i/>
                <w:sz w:val="20"/>
              </w:rPr>
            </w:pPr>
            <w:r w:rsidRPr="009E4E5E">
              <w:rPr>
                <w:rFonts w:ascii="Palatino Linotype" w:hAnsi="Palatino Linotype"/>
                <w:i/>
                <w:sz w:val="20"/>
              </w:rPr>
              <w:t>RIESGO DEMOSTABLE: La manifestación oficiosa por parte del titular de la concesión, para expresar que no</w:t>
            </w:r>
            <w:r>
              <w:rPr>
                <w:rFonts w:ascii="Palatino Linotype" w:hAnsi="Palatino Linotype"/>
                <w:i/>
                <w:sz w:val="20"/>
              </w:rPr>
              <w:t xml:space="preserve"> </w:t>
            </w:r>
            <w:r w:rsidRPr="009E4E5E">
              <w:rPr>
                <w:rFonts w:ascii="Palatino Linotype" w:hAnsi="Palatino Linotype"/>
                <w:i/>
                <w:sz w:val="20"/>
              </w:rPr>
              <w:t>existe un tercer poseedor o prestador del servicio, una vez que ya se inició el acto deliberativo, estando ante</w:t>
            </w:r>
            <w:r>
              <w:rPr>
                <w:rFonts w:ascii="Palatino Linotype" w:hAnsi="Palatino Linotype"/>
                <w:i/>
                <w:sz w:val="20"/>
              </w:rPr>
              <w:t xml:space="preserve"> </w:t>
            </w:r>
            <w:r w:rsidRPr="009E4E5E">
              <w:rPr>
                <w:rFonts w:ascii="Palatino Linotype" w:hAnsi="Palatino Linotype"/>
                <w:i/>
                <w:sz w:val="20"/>
              </w:rPr>
              <w:t>la interrupción y menoscabo del proceso.</w:t>
            </w:r>
          </w:p>
          <w:p w:rsidR="009E4E5E" w:rsidRPr="009E4E5E" w:rsidRDefault="009E4E5E" w:rsidP="003F30DD">
            <w:pPr>
              <w:pStyle w:val="Prrafodelista"/>
              <w:ind w:left="29" w:firstLine="18"/>
              <w:jc w:val="both"/>
              <w:rPr>
                <w:rFonts w:ascii="Palatino Linotype" w:hAnsi="Palatino Linotype"/>
                <w:i/>
                <w:sz w:val="20"/>
              </w:rPr>
            </w:pPr>
          </w:p>
          <w:p w:rsidR="009E4E5E" w:rsidRPr="009E4E5E" w:rsidRDefault="009E4E5E" w:rsidP="003F30DD">
            <w:pPr>
              <w:pStyle w:val="Prrafodelista"/>
              <w:ind w:left="29" w:firstLine="18"/>
              <w:jc w:val="both"/>
              <w:rPr>
                <w:rFonts w:ascii="Palatino Linotype" w:hAnsi="Palatino Linotype"/>
                <w:i/>
                <w:sz w:val="20"/>
              </w:rPr>
            </w:pPr>
            <w:r w:rsidRPr="009E4E5E">
              <w:rPr>
                <w:rFonts w:ascii="Palatino Linotype" w:hAnsi="Palatino Linotype"/>
                <w:i/>
                <w:sz w:val="20"/>
              </w:rPr>
              <w:t>RIESGO IDENTIFICABLE: Reconocimiento de derechos de titularidad de concesión a personas sin interés</w:t>
            </w:r>
            <w:r>
              <w:rPr>
                <w:rFonts w:ascii="Palatino Linotype" w:hAnsi="Palatino Linotype"/>
                <w:i/>
                <w:sz w:val="20"/>
              </w:rPr>
              <w:t xml:space="preserve"> </w:t>
            </w:r>
            <w:r w:rsidRPr="009E4E5E">
              <w:rPr>
                <w:rFonts w:ascii="Palatino Linotype" w:hAnsi="Palatino Linotype"/>
                <w:i/>
                <w:sz w:val="20"/>
              </w:rPr>
              <w:t>jurídico, por ende, vulnerar los derechos de titulares de concesiones, en consecuencia, integrar un padrón de</w:t>
            </w:r>
            <w:r>
              <w:rPr>
                <w:rFonts w:ascii="Palatino Linotype" w:hAnsi="Palatino Linotype"/>
                <w:i/>
                <w:sz w:val="20"/>
              </w:rPr>
              <w:t xml:space="preserve"> </w:t>
            </w:r>
            <w:r w:rsidRPr="009E4E5E">
              <w:rPr>
                <w:rFonts w:ascii="Palatino Linotype" w:hAnsi="Palatino Linotype"/>
                <w:i/>
                <w:sz w:val="20"/>
              </w:rPr>
              <w:t>candidatos a la posible transferencia incie</w:t>
            </w:r>
            <w:r>
              <w:rPr>
                <w:rFonts w:ascii="Palatino Linotype" w:hAnsi="Palatino Linotype"/>
                <w:i/>
                <w:sz w:val="20"/>
              </w:rPr>
              <w:t>rto.</w:t>
            </w:r>
          </w:p>
          <w:p w:rsidR="009E4E5E" w:rsidRPr="009E4E5E" w:rsidRDefault="009E4E5E" w:rsidP="003F30DD">
            <w:pPr>
              <w:pStyle w:val="Prrafodelista"/>
              <w:ind w:left="29" w:firstLine="18"/>
              <w:jc w:val="both"/>
              <w:rPr>
                <w:rFonts w:ascii="Palatino Linotype" w:hAnsi="Palatino Linotype"/>
                <w:i/>
                <w:sz w:val="20"/>
              </w:rPr>
            </w:pPr>
          </w:p>
          <w:p w:rsidR="009E4E5E" w:rsidRPr="009E4E5E" w:rsidRDefault="009E4E5E" w:rsidP="003F30DD">
            <w:pPr>
              <w:pStyle w:val="Prrafodelista"/>
              <w:ind w:left="29" w:firstLine="18"/>
              <w:jc w:val="both"/>
              <w:rPr>
                <w:rFonts w:ascii="Palatino Linotype" w:hAnsi="Palatino Linotype"/>
                <w:i/>
                <w:sz w:val="20"/>
              </w:rPr>
            </w:pPr>
            <w:r w:rsidRPr="009E4E5E">
              <w:rPr>
                <w:rFonts w:ascii="Palatino Linotype" w:hAnsi="Palatino Linotype"/>
                <w:i/>
                <w:sz w:val="20"/>
              </w:rPr>
              <w:t>Sirva lo expuesto, para confirmar que los riesgos al divulgar los datos contenidos en la base de datos en</w:t>
            </w:r>
            <w:r>
              <w:rPr>
                <w:rFonts w:ascii="Palatino Linotype" w:hAnsi="Palatino Linotype"/>
                <w:i/>
                <w:sz w:val="20"/>
              </w:rPr>
              <w:t xml:space="preserve"> </w:t>
            </w:r>
            <w:r w:rsidRPr="009E4E5E">
              <w:rPr>
                <w:rFonts w:ascii="Palatino Linotype" w:hAnsi="Palatino Linotype"/>
                <w:i/>
                <w:sz w:val="20"/>
              </w:rPr>
              <w:t>resguardo de esta unidad administrativa, impiden la regularización del servicio de transporte público, la</w:t>
            </w:r>
            <w:r>
              <w:rPr>
                <w:rFonts w:ascii="Palatino Linotype" w:hAnsi="Palatino Linotype"/>
                <w:i/>
                <w:sz w:val="20"/>
              </w:rPr>
              <w:t xml:space="preserve"> </w:t>
            </w:r>
            <w:r w:rsidRPr="009E4E5E">
              <w:rPr>
                <w:rFonts w:ascii="Palatino Linotype" w:hAnsi="Palatino Linotype"/>
                <w:i/>
                <w:sz w:val="20"/>
              </w:rPr>
              <w:t>integración certera de los prestadores del mismo, poniendo en riesgo la debida y legal integración de datos</w:t>
            </w:r>
            <w:r>
              <w:rPr>
                <w:rFonts w:ascii="Palatino Linotype" w:hAnsi="Palatino Linotype"/>
                <w:i/>
                <w:sz w:val="20"/>
              </w:rPr>
              <w:t xml:space="preserve"> </w:t>
            </w:r>
            <w:r w:rsidRPr="009E4E5E">
              <w:rPr>
                <w:rFonts w:ascii="Palatino Linotype" w:hAnsi="Palatino Linotype"/>
                <w:i/>
                <w:sz w:val="20"/>
              </w:rPr>
              <w:t xml:space="preserve">relativos a los vehículos con los que se </w:t>
            </w:r>
            <w:r w:rsidRPr="009E4E5E">
              <w:rPr>
                <w:rFonts w:ascii="Palatino Linotype" w:hAnsi="Palatino Linotype"/>
                <w:i/>
                <w:sz w:val="20"/>
              </w:rPr>
              <w:lastRenderedPageBreak/>
              <w:t>presta el servicio de pasajeros, anteponiendo el bien particular sobre</w:t>
            </w:r>
            <w:r>
              <w:rPr>
                <w:rFonts w:ascii="Palatino Linotype" w:hAnsi="Palatino Linotype"/>
                <w:i/>
                <w:sz w:val="20"/>
              </w:rPr>
              <w:t xml:space="preserve"> </w:t>
            </w:r>
            <w:r w:rsidRPr="009E4E5E">
              <w:rPr>
                <w:rFonts w:ascii="Palatino Linotype" w:hAnsi="Palatino Linotype"/>
                <w:i/>
                <w:sz w:val="20"/>
              </w:rPr>
              <w:t>el bien común, que en el caso específico de este último son los usuarios del servicio de transporte público,</w:t>
            </w:r>
            <w:r>
              <w:rPr>
                <w:rFonts w:ascii="Palatino Linotype" w:hAnsi="Palatino Linotype"/>
                <w:i/>
                <w:sz w:val="20"/>
              </w:rPr>
              <w:t xml:space="preserve"> </w:t>
            </w:r>
            <w:r w:rsidRPr="009E4E5E">
              <w:rPr>
                <w:rFonts w:ascii="Palatino Linotype" w:hAnsi="Palatino Linotype"/>
                <w:i/>
                <w:sz w:val="20"/>
              </w:rPr>
              <w:t>quienes se benefician con el reordenamiento del servicio que utilizan de forma diaria para el traslado a sus</w:t>
            </w:r>
            <w:r>
              <w:rPr>
                <w:rFonts w:ascii="Palatino Linotype" w:hAnsi="Palatino Linotype"/>
                <w:i/>
                <w:sz w:val="20"/>
              </w:rPr>
              <w:t xml:space="preserve"> </w:t>
            </w:r>
            <w:r w:rsidRPr="009E4E5E">
              <w:rPr>
                <w:rFonts w:ascii="Palatino Linotype" w:hAnsi="Palatino Linotype"/>
                <w:i/>
                <w:sz w:val="20"/>
              </w:rPr>
              <w:t>destinos.</w:t>
            </w:r>
          </w:p>
          <w:p w:rsidR="009E4E5E" w:rsidRPr="009E4E5E" w:rsidRDefault="009E4E5E" w:rsidP="003F30DD">
            <w:pPr>
              <w:pStyle w:val="Prrafodelista"/>
              <w:ind w:left="29" w:firstLine="18"/>
              <w:jc w:val="both"/>
              <w:rPr>
                <w:rFonts w:ascii="Palatino Linotype" w:hAnsi="Palatino Linotype"/>
                <w:i/>
                <w:sz w:val="20"/>
              </w:rPr>
            </w:pPr>
          </w:p>
          <w:p w:rsidR="009E4E5E" w:rsidRPr="009E4E5E" w:rsidRDefault="009E4E5E" w:rsidP="003F30DD">
            <w:pPr>
              <w:pStyle w:val="Prrafodelista"/>
              <w:ind w:left="29" w:firstLine="18"/>
              <w:jc w:val="both"/>
              <w:rPr>
                <w:rFonts w:ascii="Palatino Linotype" w:hAnsi="Palatino Linotype"/>
                <w:i/>
                <w:sz w:val="20"/>
              </w:rPr>
            </w:pPr>
            <w:r>
              <w:rPr>
                <w:rFonts w:ascii="Palatino Linotype" w:hAnsi="Palatino Linotype"/>
                <w:i/>
                <w:sz w:val="20"/>
              </w:rPr>
              <w:t>…</w:t>
            </w:r>
          </w:p>
          <w:p w:rsidR="009E4E5E" w:rsidRPr="009E4E5E" w:rsidRDefault="009E4E5E" w:rsidP="003F30DD">
            <w:pPr>
              <w:pStyle w:val="Prrafodelista"/>
              <w:ind w:left="29" w:firstLine="18"/>
              <w:jc w:val="both"/>
              <w:rPr>
                <w:rFonts w:ascii="Palatino Linotype" w:hAnsi="Palatino Linotype"/>
                <w:i/>
                <w:sz w:val="20"/>
              </w:rPr>
            </w:pPr>
          </w:p>
          <w:p w:rsidR="002024A4" w:rsidRPr="00A5268A" w:rsidRDefault="009E4E5E" w:rsidP="003F30DD">
            <w:pPr>
              <w:pStyle w:val="Prrafodelista"/>
              <w:ind w:left="29" w:firstLine="18"/>
              <w:jc w:val="both"/>
              <w:rPr>
                <w:rFonts w:ascii="Palatino Linotype" w:hAnsi="Palatino Linotype"/>
                <w:sz w:val="2"/>
              </w:rPr>
            </w:pPr>
            <w:r w:rsidRPr="009E4E5E">
              <w:rPr>
                <w:rFonts w:ascii="Palatino Linotype" w:hAnsi="Palatino Linotype"/>
                <w:i/>
                <w:sz w:val="20"/>
              </w:rPr>
              <w:t>En consecuencia, ya que la base de datos integrada para el Registro Estatal de Transporte Público, contiene</w:t>
            </w:r>
            <w:r>
              <w:rPr>
                <w:rFonts w:ascii="Palatino Linotype" w:hAnsi="Palatino Linotype"/>
                <w:i/>
                <w:sz w:val="20"/>
              </w:rPr>
              <w:t xml:space="preserve"> </w:t>
            </w:r>
            <w:r w:rsidRPr="009E4E5E">
              <w:rPr>
                <w:rFonts w:ascii="Palatino Linotype" w:hAnsi="Palatino Linotype"/>
                <w:i/>
                <w:sz w:val="20"/>
              </w:rPr>
              <w:t>información relacionada de forma directa con el proceso deliberativo para el registro de candidatos a la posible</w:t>
            </w:r>
            <w:r>
              <w:rPr>
                <w:rFonts w:ascii="Palatino Linotype" w:hAnsi="Palatino Linotype"/>
                <w:i/>
                <w:sz w:val="20"/>
              </w:rPr>
              <w:t xml:space="preserve"> </w:t>
            </w:r>
            <w:r w:rsidRPr="009E4E5E">
              <w:rPr>
                <w:rFonts w:ascii="Palatino Linotype" w:hAnsi="Palatino Linotype"/>
                <w:i/>
                <w:sz w:val="20"/>
              </w:rPr>
              <w:t>transferencia de concesiones, en su caso, la transferencia de esta titularidad, su divulgación puede interrumpir,</w:t>
            </w:r>
            <w:r>
              <w:rPr>
                <w:rFonts w:ascii="Palatino Linotype" w:hAnsi="Palatino Linotype"/>
                <w:i/>
                <w:sz w:val="20"/>
              </w:rPr>
              <w:t xml:space="preserve"> </w:t>
            </w:r>
            <w:r w:rsidRPr="009E4E5E">
              <w:rPr>
                <w:rFonts w:ascii="Palatino Linotype" w:hAnsi="Palatino Linotype"/>
                <w:i/>
                <w:sz w:val="20"/>
              </w:rPr>
              <w:t>menoscabar el proceso para decidir la materialización de tal acto administrativo, por lo que es conveniente</w:t>
            </w:r>
            <w:r>
              <w:rPr>
                <w:rFonts w:ascii="Palatino Linotype" w:hAnsi="Palatino Linotype"/>
                <w:i/>
                <w:sz w:val="20"/>
              </w:rPr>
              <w:t xml:space="preserve"> </w:t>
            </w:r>
            <w:r w:rsidRPr="009E4E5E">
              <w:rPr>
                <w:rFonts w:ascii="Palatino Linotype" w:hAnsi="Palatino Linotype"/>
                <w:i/>
                <w:sz w:val="20"/>
              </w:rPr>
              <w:t xml:space="preserve">que de conformidad con las fracciones </w:t>
            </w:r>
            <w:r>
              <w:rPr>
                <w:rFonts w:ascii="Palatino Linotype" w:hAnsi="Palatino Linotype"/>
                <w:i/>
                <w:sz w:val="20"/>
              </w:rPr>
              <w:t>I, III y IV</w:t>
            </w:r>
            <w:r w:rsidRPr="009E4E5E">
              <w:rPr>
                <w:rFonts w:ascii="Palatino Linotype" w:hAnsi="Palatino Linotype"/>
                <w:i/>
                <w:sz w:val="20"/>
              </w:rPr>
              <w:t xml:space="preserve"> del artículo Vigésimo séptimo, de los “Lineamientos Generales</w:t>
            </w:r>
            <w:r>
              <w:rPr>
                <w:rFonts w:ascii="Palatino Linotype" w:hAnsi="Palatino Linotype"/>
                <w:i/>
                <w:sz w:val="20"/>
              </w:rPr>
              <w:t xml:space="preserve"> </w:t>
            </w:r>
            <w:r w:rsidRPr="009E4E5E">
              <w:rPr>
                <w:rFonts w:ascii="Palatino Linotype" w:hAnsi="Palatino Linotype"/>
                <w:i/>
                <w:sz w:val="20"/>
              </w:rPr>
              <w:t>en Materia de Clasificación y Desclasificación de la Información, así como para la Elaboración de Versiones</w:t>
            </w:r>
            <w:r>
              <w:rPr>
                <w:rFonts w:ascii="Palatino Linotype" w:hAnsi="Palatino Linotype"/>
                <w:i/>
                <w:sz w:val="20"/>
              </w:rPr>
              <w:t xml:space="preserve"> </w:t>
            </w:r>
            <w:r w:rsidRPr="009E4E5E">
              <w:rPr>
                <w:rFonts w:ascii="Palatino Linotype" w:hAnsi="Palatino Linotype"/>
                <w:i/>
                <w:sz w:val="20"/>
              </w:rPr>
              <w:t>Públicas”</w:t>
            </w:r>
            <w:r>
              <w:rPr>
                <w:rFonts w:ascii="Palatino Linotype" w:hAnsi="Palatino Linotype"/>
                <w:i/>
                <w:sz w:val="20"/>
              </w:rPr>
              <w:t>,</w:t>
            </w:r>
            <w:r w:rsidRPr="009E4E5E">
              <w:rPr>
                <w:rFonts w:ascii="Palatino Linotype" w:hAnsi="Palatino Linotype"/>
                <w:i/>
                <w:sz w:val="20"/>
              </w:rPr>
              <w:t xml:space="preserve"> así como. el articulo 129 fracciones </w:t>
            </w:r>
            <w:r>
              <w:rPr>
                <w:rFonts w:ascii="Palatino Linotype" w:hAnsi="Palatino Linotype"/>
                <w:i/>
                <w:sz w:val="20"/>
              </w:rPr>
              <w:t xml:space="preserve">I y II, 140 fracción X Ley </w:t>
            </w:r>
            <w:r w:rsidRPr="009E4E5E">
              <w:rPr>
                <w:rFonts w:ascii="Palatino Linotype" w:hAnsi="Palatino Linotype"/>
                <w:i/>
                <w:sz w:val="20"/>
              </w:rPr>
              <w:t xml:space="preserve">de Transparencia </w:t>
            </w:r>
            <w:r>
              <w:rPr>
                <w:rFonts w:ascii="Palatino Linotype" w:hAnsi="Palatino Linotype"/>
                <w:i/>
                <w:sz w:val="20"/>
              </w:rPr>
              <w:t>y</w:t>
            </w:r>
            <w:r w:rsidRPr="009E4E5E">
              <w:rPr>
                <w:rFonts w:ascii="Palatino Linotype" w:hAnsi="Palatino Linotype"/>
                <w:i/>
                <w:sz w:val="20"/>
              </w:rPr>
              <w:t xml:space="preserve"> Acceso a la</w:t>
            </w:r>
            <w:r>
              <w:rPr>
                <w:rFonts w:ascii="Palatino Linotype" w:hAnsi="Palatino Linotype"/>
                <w:i/>
                <w:sz w:val="20"/>
              </w:rPr>
              <w:t xml:space="preserve"> Información Pública del Estado de México y Municipios;…”</w:t>
            </w:r>
          </w:p>
        </w:tc>
      </w:tr>
      <w:tr w:rsidR="002024A4" w:rsidRPr="00A5268A" w:rsidTr="002024A4">
        <w:tc>
          <w:tcPr>
            <w:tcW w:w="1560" w:type="dxa"/>
            <w:shd w:val="clear" w:color="auto" w:fill="D5DCE4" w:themeFill="text2" w:themeFillTint="33"/>
            <w:vAlign w:val="center"/>
          </w:tcPr>
          <w:p w:rsidR="002024A4" w:rsidRPr="00B01CED" w:rsidRDefault="002024A4" w:rsidP="003F30DD">
            <w:pPr>
              <w:jc w:val="center"/>
              <w:rPr>
                <w:rFonts w:ascii="Palatino Linotype" w:hAnsi="Palatino Linotype"/>
                <w:b/>
                <w:sz w:val="16"/>
                <w:szCs w:val="16"/>
              </w:rPr>
            </w:pPr>
            <w:r w:rsidRPr="00B01CED">
              <w:rPr>
                <w:rFonts w:ascii="Palatino Linotype" w:hAnsi="Palatino Linotype"/>
                <w:b/>
                <w:sz w:val="16"/>
                <w:szCs w:val="16"/>
              </w:rPr>
              <w:lastRenderedPageBreak/>
              <w:t>Temporalidad de la Reserva de la información</w:t>
            </w:r>
          </w:p>
        </w:tc>
        <w:tc>
          <w:tcPr>
            <w:tcW w:w="1417" w:type="dxa"/>
            <w:shd w:val="clear" w:color="auto" w:fill="D5DCE4" w:themeFill="text2" w:themeFillTint="33"/>
            <w:vAlign w:val="center"/>
          </w:tcPr>
          <w:p w:rsidR="002024A4" w:rsidRPr="00B01CED" w:rsidRDefault="002024A4" w:rsidP="003F30DD">
            <w:pPr>
              <w:pStyle w:val="Prrafodelista"/>
              <w:ind w:left="29" w:firstLine="18"/>
              <w:jc w:val="center"/>
              <w:rPr>
                <w:rFonts w:ascii="Palatino Linotype" w:hAnsi="Palatino Linotype"/>
                <w:b/>
              </w:rPr>
            </w:pPr>
            <w:r w:rsidRPr="00B01CED">
              <w:rPr>
                <w:rFonts w:ascii="Palatino Linotype" w:hAnsi="Palatino Linotype"/>
                <w:b/>
              </w:rPr>
              <w:t>Sí</w:t>
            </w:r>
          </w:p>
        </w:tc>
        <w:tc>
          <w:tcPr>
            <w:tcW w:w="6095" w:type="dxa"/>
            <w:shd w:val="clear" w:color="auto" w:fill="D5DCE4" w:themeFill="text2" w:themeFillTint="33"/>
            <w:vAlign w:val="center"/>
          </w:tcPr>
          <w:p w:rsidR="002024A4" w:rsidRPr="00FA74D1" w:rsidRDefault="004433A3" w:rsidP="003F30DD">
            <w:pPr>
              <w:pStyle w:val="Prrafodelista"/>
              <w:ind w:left="29" w:firstLine="18"/>
              <w:jc w:val="both"/>
              <w:rPr>
                <w:rFonts w:ascii="Palatino Linotype" w:hAnsi="Palatino Linotype"/>
                <w:i/>
                <w:lang w:val="es-MX"/>
              </w:rPr>
            </w:pPr>
            <w:r w:rsidRPr="004433A3">
              <w:rPr>
                <w:rFonts w:ascii="Palatino Linotype" w:hAnsi="Palatino Linotype"/>
                <w:i/>
                <w:sz w:val="20"/>
                <w:lang w:val="es-MX"/>
              </w:rPr>
              <w:t xml:space="preserve">En sustento de lo manifestado, </w:t>
            </w:r>
            <w:r w:rsidRPr="00BC76F1">
              <w:rPr>
                <w:rFonts w:ascii="Palatino Linotype" w:hAnsi="Palatino Linotype"/>
                <w:i/>
                <w:sz w:val="20"/>
                <w:u w:val="single"/>
                <w:lang w:val="es-MX"/>
              </w:rPr>
              <w:t>se debe clasificar como información reservada la base de datos</w:t>
            </w:r>
            <w:r w:rsidRPr="004433A3">
              <w:rPr>
                <w:rFonts w:ascii="Palatino Linotype" w:hAnsi="Palatino Linotype"/>
                <w:i/>
                <w:sz w:val="20"/>
                <w:lang w:val="es-MX"/>
              </w:rPr>
              <w:t xml:space="preserve"> del Registro</w:t>
            </w:r>
            <w:r>
              <w:rPr>
                <w:rFonts w:ascii="Palatino Linotype" w:hAnsi="Palatino Linotype"/>
                <w:i/>
                <w:sz w:val="20"/>
                <w:lang w:val="es-MX"/>
              </w:rPr>
              <w:t xml:space="preserve"> </w:t>
            </w:r>
            <w:r w:rsidRPr="004433A3">
              <w:rPr>
                <w:rFonts w:ascii="Palatino Linotype" w:hAnsi="Palatino Linotype"/>
                <w:i/>
                <w:sz w:val="20"/>
                <w:lang w:val="es-MX"/>
              </w:rPr>
              <w:t>Estatal de Transporte Público, integrada con los números de concesión para la prestación del servicio de</w:t>
            </w:r>
            <w:r>
              <w:rPr>
                <w:rFonts w:ascii="Palatino Linotype" w:hAnsi="Palatino Linotype"/>
                <w:i/>
                <w:sz w:val="20"/>
                <w:lang w:val="es-MX"/>
              </w:rPr>
              <w:t xml:space="preserve"> </w:t>
            </w:r>
            <w:r w:rsidRPr="004433A3">
              <w:rPr>
                <w:rFonts w:ascii="Palatino Linotype" w:hAnsi="Palatino Linotype"/>
                <w:i/>
                <w:sz w:val="20"/>
                <w:lang w:val="es-MX"/>
              </w:rPr>
              <w:t>transporte público, nombre de su titular y los datos de los vehículos afectos a la mismas como son: año</w:t>
            </w:r>
            <w:r>
              <w:rPr>
                <w:rFonts w:ascii="Palatino Linotype" w:hAnsi="Palatino Linotype"/>
                <w:i/>
                <w:sz w:val="20"/>
                <w:lang w:val="es-MX"/>
              </w:rPr>
              <w:t xml:space="preserve"> </w:t>
            </w:r>
            <w:r w:rsidRPr="004433A3">
              <w:rPr>
                <w:rFonts w:ascii="Palatino Linotype" w:hAnsi="Palatino Linotype"/>
                <w:i/>
                <w:sz w:val="20"/>
                <w:lang w:val="es-MX"/>
              </w:rPr>
              <w:t xml:space="preserve">modelo, marca, número de serle, número de motor y el municipio de operación de dicho vehículo, </w:t>
            </w:r>
            <w:r w:rsidRPr="00BC76F1">
              <w:rPr>
                <w:rFonts w:ascii="Palatino Linotype" w:hAnsi="Palatino Linotype"/>
                <w:i/>
                <w:sz w:val="20"/>
                <w:u w:val="single"/>
                <w:lang w:val="es-MX"/>
              </w:rPr>
              <w:t>durante el tempo de vigencia del denominado</w:t>
            </w:r>
            <w:r w:rsidRPr="004433A3">
              <w:rPr>
                <w:rFonts w:ascii="Palatino Linotype" w:hAnsi="Palatino Linotype"/>
                <w:i/>
                <w:sz w:val="20"/>
                <w:lang w:val="es-MX"/>
              </w:rPr>
              <w:t xml:space="preserve"> “ACUERDO DEL SECRETARIO DE MOVILIDAD POR EL QUE SE</w:t>
            </w:r>
            <w:r>
              <w:rPr>
                <w:rFonts w:ascii="Palatino Linotype" w:hAnsi="Palatino Linotype"/>
                <w:i/>
                <w:sz w:val="20"/>
                <w:lang w:val="es-MX"/>
              </w:rPr>
              <w:t xml:space="preserve"> </w:t>
            </w:r>
            <w:r w:rsidRPr="004433A3">
              <w:rPr>
                <w:rFonts w:ascii="Palatino Linotype" w:hAnsi="Palatino Linotype"/>
                <w:i/>
                <w:sz w:val="20"/>
                <w:lang w:val="es-MX"/>
              </w:rPr>
              <w:t>INSTRUYE AL DIRECTOR GENERAL DEL REGISTRO ESTATAL DE TRANSPORTE PÚBLICO, DAR</w:t>
            </w:r>
            <w:r>
              <w:rPr>
                <w:rFonts w:ascii="Palatino Linotype" w:hAnsi="Palatino Linotype"/>
                <w:i/>
                <w:sz w:val="20"/>
                <w:lang w:val="es-MX"/>
              </w:rPr>
              <w:t xml:space="preserve"> </w:t>
            </w:r>
            <w:r w:rsidRPr="004433A3">
              <w:rPr>
                <w:rFonts w:ascii="Palatino Linotype" w:hAnsi="Palatino Linotype"/>
                <w:i/>
                <w:sz w:val="20"/>
                <w:lang w:val="es-MX"/>
              </w:rPr>
              <w:t>CONTINUIDAD A LOS TRÁMITES DE OTORGAMIENTO DE PRÓRROGAS, BAJA Y SUSTITUCIÓN DE</w:t>
            </w:r>
            <w:r>
              <w:rPr>
                <w:rFonts w:ascii="Palatino Linotype" w:hAnsi="Palatino Linotype"/>
                <w:i/>
                <w:sz w:val="20"/>
                <w:lang w:val="es-MX"/>
              </w:rPr>
              <w:t xml:space="preserve"> </w:t>
            </w:r>
            <w:r w:rsidRPr="004433A3">
              <w:rPr>
                <w:rFonts w:ascii="Palatino Linotype" w:hAnsi="Palatino Linotype"/>
                <w:i/>
                <w:sz w:val="20"/>
                <w:lang w:val="es-MX"/>
              </w:rPr>
              <w:t>VEHÍCULOS, TODOS RELACIONADOS CON LA REGULARIZACIÓN Y ORDENAMIENTO DEL SERVICIO DE</w:t>
            </w:r>
            <w:r>
              <w:rPr>
                <w:rFonts w:ascii="Palatino Linotype" w:hAnsi="Palatino Linotype"/>
                <w:i/>
                <w:sz w:val="20"/>
                <w:lang w:val="es-MX"/>
              </w:rPr>
              <w:t xml:space="preserve"> </w:t>
            </w:r>
            <w:r w:rsidRPr="004433A3">
              <w:rPr>
                <w:rFonts w:ascii="Palatino Linotype" w:hAnsi="Palatino Linotype"/>
                <w:i/>
                <w:sz w:val="20"/>
                <w:lang w:val="es-MX"/>
              </w:rPr>
              <w:t>TRANSPORTE PÚBLICO DE PASAJEROS, QUE SOLICITEN PERSONAS DISTINTAS A LOS TITULARES DE</w:t>
            </w:r>
            <w:r>
              <w:rPr>
                <w:rFonts w:ascii="Palatino Linotype" w:hAnsi="Palatino Linotype"/>
                <w:i/>
                <w:sz w:val="20"/>
                <w:lang w:val="es-MX"/>
              </w:rPr>
              <w:t xml:space="preserve"> </w:t>
            </w:r>
            <w:r w:rsidRPr="004433A3">
              <w:rPr>
                <w:rFonts w:ascii="Palatino Linotype" w:hAnsi="Palatino Linotype"/>
                <w:i/>
                <w:sz w:val="20"/>
                <w:lang w:val="es-MX"/>
              </w:rPr>
              <w:t>LAS CONCESIONES, SIEMPRE Y CUANDO SE ACREDITE INTERÉS JURÍDICO EN LA REALIZACIÓN DEL</w:t>
            </w:r>
            <w:r>
              <w:rPr>
                <w:rFonts w:ascii="Palatino Linotype" w:hAnsi="Palatino Linotype"/>
                <w:i/>
                <w:sz w:val="20"/>
                <w:lang w:val="es-MX"/>
              </w:rPr>
              <w:t xml:space="preserve"> </w:t>
            </w:r>
            <w:r w:rsidRPr="004433A3">
              <w:rPr>
                <w:rFonts w:ascii="Palatino Linotype" w:hAnsi="Palatino Linotype"/>
                <w:i/>
                <w:sz w:val="20"/>
                <w:lang w:val="es-MX"/>
              </w:rPr>
              <w:t xml:space="preserve">ACTO ADMINISTRATIVO”, siendo </w:t>
            </w:r>
            <w:r w:rsidRPr="00BC76F1">
              <w:rPr>
                <w:rFonts w:ascii="Palatino Linotype" w:hAnsi="Palatino Linotype"/>
                <w:i/>
                <w:sz w:val="20"/>
                <w:u w:val="single"/>
                <w:lang w:val="es-MX"/>
              </w:rPr>
              <w:t>dicha vigencia hasta el 15 de diciembre del año 2022;</w:t>
            </w:r>
            <w:r w:rsidRPr="004433A3">
              <w:rPr>
                <w:rFonts w:ascii="Palatino Linotype" w:hAnsi="Palatino Linotype"/>
                <w:i/>
                <w:sz w:val="20"/>
                <w:lang w:val="es-MX"/>
              </w:rPr>
              <w:t xml:space="preserve"> esto con la finalidad</w:t>
            </w:r>
            <w:r>
              <w:rPr>
                <w:rFonts w:ascii="Palatino Linotype" w:hAnsi="Palatino Linotype"/>
                <w:i/>
                <w:sz w:val="20"/>
                <w:lang w:val="es-MX"/>
              </w:rPr>
              <w:t xml:space="preserve"> </w:t>
            </w:r>
            <w:r w:rsidRPr="004433A3">
              <w:rPr>
                <w:rFonts w:ascii="Palatino Linotype" w:hAnsi="Palatino Linotype"/>
                <w:i/>
                <w:sz w:val="20"/>
                <w:lang w:val="es-MX"/>
              </w:rPr>
              <w:t>de que el acto administrativo decisorio por parte de la autoridad competente para el registro de candidatos a</w:t>
            </w:r>
            <w:r>
              <w:rPr>
                <w:rFonts w:ascii="Palatino Linotype" w:hAnsi="Palatino Linotype"/>
                <w:i/>
                <w:sz w:val="20"/>
                <w:lang w:val="es-MX"/>
              </w:rPr>
              <w:t xml:space="preserve"> </w:t>
            </w:r>
            <w:r w:rsidRPr="004433A3">
              <w:rPr>
                <w:rFonts w:ascii="Palatino Linotype" w:hAnsi="Palatino Linotype"/>
                <w:i/>
                <w:sz w:val="20"/>
                <w:lang w:val="es-MX"/>
              </w:rPr>
              <w:t>la posible transferencia de titularidad a favor de persona distinta, sea con certeza de que los interesados por</w:t>
            </w:r>
            <w:r>
              <w:rPr>
                <w:rFonts w:ascii="Palatino Linotype" w:hAnsi="Palatino Linotype"/>
                <w:i/>
                <w:sz w:val="20"/>
                <w:lang w:val="es-MX"/>
              </w:rPr>
              <w:t xml:space="preserve"> </w:t>
            </w:r>
            <w:r w:rsidRPr="004433A3">
              <w:rPr>
                <w:rFonts w:ascii="Palatino Linotype" w:hAnsi="Palatino Linotype"/>
                <w:i/>
                <w:sz w:val="20"/>
                <w:lang w:val="es-MX"/>
              </w:rPr>
              <w:t>el paso de los años han generado un derecho a la misma, luego entonces tiene derecho a su legal</w:t>
            </w:r>
            <w:r>
              <w:rPr>
                <w:rFonts w:ascii="Palatino Linotype" w:hAnsi="Palatino Linotype"/>
                <w:i/>
                <w:sz w:val="20"/>
                <w:lang w:val="es-MX"/>
              </w:rPr>
              <w:t xml:space="preserve"> </w:t>
            </w:r>
            <w:r w:rsidRPr="004433A3">
              <w:rPr>
                <w:rFonts w:ascii="Palatino Linotype" w:hAnsi="Palatino Linotype"/>
                <w:i/>
                <w:sz w:val="20"/>
                <w:lang w:val="es-MX"/>
              </w:rPr>
              <w:t>regularización.</w:t>
            </w:r>
          </w:p>
        </w:tc>
      </w:tr>
      <w:tr w:rsidR="002024A4" w:rsidRPr="00A5268A" w:rsidTr="002024A4">
        <w:trPr>
          <w:trHeight w:val="1204"/>
        </w:trPr>
        <w:tc>
          <w:tcPr>
            <w:tcW w:w="1560" w:type="dxa"/>
            <w:shd w:val="clear" w:color="auto" w:fill="F2F2F2" w:themeFill="background1" w:themeFillShade="F2"/>
            <w:vAlign w:val="center"/>
          </w:tcPr>
          <w:p w:rsidR="002024A4" w:rsidRPr="00B01CED" w:rsidRDefault="002024A4" w:rsidP="003F30DD">
            <w:pPr>
              <w:tabs>
                <w:tab w:val="left" w:pos="317"/>
              </w:tabs>
              <w:jc w:val="center"/>
              <w:rPr>
                <w:rFonts w:ascii="Palatino Linotype" w:hAnsi="Palatino Linotype"/>
                <w:b/>
                <w:sz w:val="16"/>
                <w:szCs w:val="16"/>
              </w:rPr>
            </w:pPr>
            <w:r w:rsidRPr="00B01CED">
              <w:rPr>
                <w:rFonts w:ascii="Palatino Linotype" w:hAnsi="Palatino Linotype"/>
                <w:b/>
                <w:sz w:val="16"/>
                <w:szCs w:val="16"/>
              </w:rPr>
              <w:lastRenderedPageBreak/>
              <w:t>Autoridades competentes.</w:t>
            </w:r>
          </w:p>
        </w:tc>
        <w:tc>
          <w:tcPr>
            <w:tcW w:w="1417" w:type="dxa"/>
            <w:shd w:val="clear" w:color="auto" w:fill="F2F2F2" w:themeFill="background1" w:themeFillShade="F2"/>
            <w:vAlign w:val="center"/>
          </w:tcPr>
          <w:p w:rsidR="002024A4" w:rsidRPr="00FA74D1" w:rsidRDefault="002024A4" w:rsidP="003F30DD">
            <w:pPr>
              <w:pStyle w:val="Prrafodelista"/>
              <w:ind w:left="29" w:firstLine="18"/>
              <w:jc w:val="center"/>
              <w:rPr>
                <w:rFonts w:ascii="Palatino Linotype" w:hAnsi="Palatino Linotype"/>
                <w:b/>
                <w:sz w:val="18"/>
              </w:rPr>
            </w:pPr>
            <w:r w:rsidRPr="00FA74D1">
              <w:rPr>
                <w:rFonts w:ascii="Palatino Linotype" w:hAnsi="Palatino Linotype"/>
                <w:b/>
                <w:sz w:val="18"/>
              </w:rPr>
              <w:t>No</w:t>
            </w:r>
          </w:p>
          <w:p w:rsidR="002024A4" w:rsidRPr="00FA74D1" w:rsidRDefault="002024A4" w:rsidP="003F30DD">
            <w:pPr>
              <w:pStyle w:val="Prrafodelista"/>
              <w:ind w:left="29" w:firstLine="18"/>
              <w:jc w:val="center"/>
              <w:rPr>
                <w:rFonts w:ascii="Palatino Linotype" w:hAnsi="Palatino Linotype"/>
                <w:b/>
                <w:sz w:val="18"/>
              </w:rPr>
            </w:pPr>
          </w:p>
          <w:p w:rsidR="002024A4" w:rsidRPr="00B01CED" w:rsidRDefault="002024A4" w:rsidP="003F30DD">
            <w:pPr>
              <w:pStyle w:val="Prrafodelista"/>
              <w:ind w:left="29" w:firstLine="18"/>
              <w:jc w:val="center"/>
              <w:rPr>
                <w:rFonts w:ascii="Palatino Linotype" w:hAnsi="Palatino Linotype"/>
                <w:b/>
              </w:rPr>
            </w:pPr>
            <w:r w:rsidRPr="00FA74D1">
              <w:rPr>
                <w:rFonts w:ascii="Palatino Linotype" w:hAnsi="Palatino Linotype"/>
                <w:b/>
                <w:sz w:val="18"/>
              </w:rPr>
              <w:t>Al carecer de firma por parte de los que intervinieron.</w:t>
            </w:r>
          </w:p>
        </w:tc>
        <w:tc>
          <w:tcPr>
            <w:tcW w:w="6095" w:type="dxa"/>
            <w:shd w:val="clear" w:color="auto" w:fill="F2F2F2" w:themeFill="background1" w:themeFillShade="F2"/>
          </w:tcPr>
          <w:p w:rsidR="002024A4" w:rsidRPr="004025EF" w:rsidRDefault="00BC76F1" w:rsidP="003F30DD">
            <w:pPr>
              <w:jc w:val="center"/>
              <w:rPr>
                <w:rFonts w:ascii="Palatino Linotype" w:hAnsi="Palatino Linotype"/>
              </w:rPr>
            </w:pPr>
            <w:r w:rsidRPr="00BC76F1">
              <w:rPr>
                <w:rFonts w:ascii="Palatino Linotype" w:hAnsi="Palatino Linotype"/>
                <w:noProof/>
                <w:lang w:eastAsia="es-MX"/>
              </w:rPr>
              <w:drawing>
                <wp:inline distT="0" distB="0" distL="0" distR="0" wp14:anchorId="42A63745" wp14:editId="5653BF6D">
                  <wp:extent cx="3733165" cy="209613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33165" cy="2096135"/>
                          </a:xfrm>
                          <a:prstGeom prst="rect">
                            <a:avLst/>
                          </a:prstGeom>
                        </pic:spPr>
                      </pic:pic>
                    </a:graphicData>
                  </a:graphic>
                </wp:inline>
              </w:drawing>
            </w:r>
          </w:p>
        </w:tc>
      </w:tr>
    </w:tbl>
    <w:p w:rsidR="002024A4" w:rsidRDefault="002024A4" w:rsidP="003F30DD">
      <w:pPr>
        <w:spacing w:after="0" w:line="360" w:lineRule="auto"/>
        <w:jc w:val="both"/>
        <w:rPr>
          <w:rFonts w:ascii="Palatino Linotype" w:hAnsi="Palatino Linotype"/>
          <w:sz w:val="24"/>
          <w:szCs w:val="24"/>
        </w:rPr>
      </w:pPr>
    </w:p>
    <w:p w:rsidR="002024A4" w:rsidRDefault="002024A4" w:rsidP="003F30DD">
      <w:pPr>
        <w:spacing w:after="0" w:line="360" w:lineRule="auto"/>
        <w:jc w:val="both"/>
        <w:rPr>
          <w:rFonts w:ascii="Palatino Linotype" w:hAnsi="Palatino Linotype"/>
          <w:sz w:val="24"/>
          <w:szCs w:val="24"/>
        </w:rPr>
      </w:pPr>
      <w:r>
        <w:rPr>
          <w:rFonts w:ascii="Palatino Linotype" w:hAnsi="Palatino Linotype"/>
          <w:sz w:val="24"/>
          <w:szCs w:val="24"/>
        </w:rPr>
        <w:t xml:space="preserve">En razón de lo </w:t>
      </w:r>
      <w:r w:rsidRPr="005E797B">
        <w:rPr>
          <w:rFonts w:ascii="Palatino Linotype" w:hAnsi="Palatino Linotype"/>
          <w:sz w:val="24"/>
          <w:szCs w:val="24"/>
        </w:rPr>
        <w:t>anterior, se destaca que la pauta metodológica</w:t>
      </w:r>
      <w:r>
        <w:rPr>
          <w:rFonts w:ascii="Palatino Linotype" w:hAnsi="Palatino Linotype"/>
          <w:sz w:val="24"/>
          <w:szCs w:val="24"/>
        </w:rPr>
        <w:t xml:space="preserve">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FA74D1">
        <w:rPr>
          <w:rFonts w:ascii="Palatino Linotype" w:hAnsi="Palatino Linotype"/>
          <w:b/>
          <w:sz w:val="24"/>
          <w:szCs w:val="24"/>
        </w:rPr>
        <w:t>así como el artículo 113 de la Ley General de Transparencia</w:t>
      </w:r>
      <w:r>
        <w:rPr>
          <w:rFonts w:ascii="Palatino Linotype" w:hAnsi="Palatino Linotype"/>
          <w:sz w:val="24"/>
          <w:szCs w:val="24"/>
        </w:rPr>
        <w:t xml:space="preserve">, que disponen a la literalidad lo siguiente: </w:t>
      </w:r>
    </w:p>
    <w:p w:rsidR="002024A4" w:rsidRDefault="002024A4" w:rsidP="003F30DD">
      <w:pPr>
        <w:spacing w:after="0" w:line="360" w:lineRule="auto"/>
        <w:jc w:val="both"/>
        <w:rPr>
          <w:rFonts w:ascii="Palatino Linotype" w:hAnsi="Palatino Linotype"/>
          <w:sz w:val="24"/>
          <w:szCs w:val="24"/>
        </w:rPr>
      </w:pPr>
    </w:p>
    <w:p w:rsidR="002024A4" w:rsidRDefault="002024A4" w:rsidP="003F30DD">
      <w:pPr>
        <w:pStyle w:val="Citas"/>
        <w:spacing w:before="0" w:after="0" w:line="240" w:lineRule="auto"/>
        <w:ind w:left="567" w:right="567"/>
        <w:jc w:val="center"/>
        <w:rPr>
          <w:b/>
        </w:rPr>
      </w:pPr>
      <w:r>
        <w:rPr>
          <w:b/>
        </w:rPr>
        <w:t xml:space="preserve">Ley de Transparencia y Acceso a la Información Pública del </w:t>
      </w:r>
    </w:p>
    <w:p w:rsidR="002024A4" w:rsidRDefault="002024A4" w:rsidP="003F30DD">
      <w:pPr>
        <w:pStyle w:val="Citas"/>
        <w:spacing w:before="0" w:after="0" w:line="240" w:lineRule="auto"/>
        <w:ind w:left="567" w:right="567"/>
        <w:jc w:val="center"/>
        <w:rPr>
          <w:b/>
        </w:rPr>
      </w:pPr>
      <w:r>
        <w:rPr>
          <w:b/>
        </w:rPr>
        <w:t xml:space="preserve">Estado de México y Municipios </w:t>
      </w:r>
    </w:p>
    <w:p w:rsidR="002024A4" w:rsidRPr="00571389" w:rsidRDefault="002024A4" w:rsidP="003F30DD">
      <w:pPr>
        <w:pStyle w:val="Citas"/>
        <w:spacing w:before="0" w:after="0" w:line="240" w:lineRule="auto"/>
        <w:ind w:left="567" w:right="567"/>
        <w:jc w:val="center"/>
        <w:rPr>
          <w:b/>
        </w:rPr>
      </w:pPr>
    </w:p>
    <w:p w:rsidR="002024A4" w:rsidRDefault="002024A4" w:rsidP="003F30DD">
      <w:pPr>
        <w:pStyle w:val="Citas"/>
        <w:spacing w:before="0" w:after="0" w:line="240" w:lineRule="auto"/>
        <w:ind w:left="567" w:right="567"/>
      </w:pPr>
      <w:r>
        <w:t>“</w:t>
      </w:r>
      <w:r w:rsidRPr="004142C8">
        <w:rPr>
          <w:b/>
        </w:rPr>
        <w:t>Artículo 140.</w:t>
      </w:r>
      <w:r>
        <w:t xml:space="preserve"> El acceso a la información pública será restringido excepcionalmente, cuando por razones de interés público, ésta sea clasificada como reservada, conforme a los criterios siguientes: </w:t>
      </w:r>
    </w:p>
    <w:p w:rsidR="002024A4" w:rsidRPr="004142C8" w:rsidRDefault="002024A4" w:rsidP="003F30DD">
      <w:pPr>
        <w:pStyle w:val="Citas"/>
        <w:spacing w:before="0" w:after="0" w:line="240" w:lineRule="auto"/>
        <w:ind w:left="567" w:right="567"/>
      </w:pPr>
      <w:r w:rsidRPr="004142C8">
        <w:t xml:space="preserve">I. Comprometa la seguridad pública y cuente con un propósito genuino y un efecto demostrable; </w:t>
      </w:r>
    </w:p>
    <w:p w:rsidR="002024A4" w:rsidRDefault="002024A4" w:rsidP="003F30DD">
      <w:pPr>
        <w:pStyle w:val="Citas"/>
        <w:spacing w:before="0" w:after="0" w:line="240" w:lineRule="auto"/>
        <w:ind w:left="567" w:right="567"/>
      </w:pPr>
      <w:r>
        <w:t xml:space="preserve">II. Pueda menoscabar la conducción de las negociaciones y relaciones internacionales; </w:t>
      </w:r>
    </w:p>
    <w:p w:rsidR="002024A4" w:rsidRDefault="002024A4" w:rsidP="003F30DD">
      <w:pPr>
        <w:pStyle w:val="Citas"/>
        <w:spacing w:before="0" w:after="0" w:line="240" w:lineRule="auto"/>
        <w:ind w:left="567" w:right="567"/>
      </w:pPr>
      <w: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024A4" w:rsidRPr="00EF6048" w:rsidRDefault="002024A4" w:rsidP="003F30DD">
      <w:pPr>
        <w:pStyle w:val="Citas"/>
        <w:spacing w:before="0" w:after="0" w:line="240" w:lineRule="auto"/>
        <w:ind w:left="567" w:right="567"/>
      </w:pPr>
      <w:r w:rsidRPr="00EF6048">
        <w:t xml:space="preserve">IV. Ponga en riesgo la vida, la seguridad o la salud de una persona física; </w:t>
      </w:r>
    </w:p>
    <w:p w:rsidR="002024A4" w:rsidRDefault="002024A4" w:rsidP="003F30DD">
      <w:pPr>
        <w:pStyle w:val="Citas"/>
        <w:spacing w:before="0" w:after="0" w:line="240" w:lineRule="auto"/>
        <w:ind w:left="567" w:right="567"/>
      </w:pPr>
      <w:r>
        <w:t xml:space="preserve">V. Aquella cuya divulgación obstruya o pueda causar un serio perjuicio a: </w:t>
      </w:r>
    </w:p>
    <w:p w:rsidR="002024A4" w:rsidRDefault="002024A4" w:rsidP="003F30DD">
      <w:pPr>
        <w:pStyle w:val="Citas"/>
        <w:spacing w:before="0" w:after="0" w:line="240" w:lineRule="auto"/>
        <w:ind w:left="993" w:right="567" w:hanging="284"/>
      </w:pPr>
      <w:r>
        <w:t xml:space="preserve">1. Las actividades de fiscalización, verificación, inspección, comprobación y auditoría sobre el cumplimiento de las Leyes; o </w:t>
      </w:r>
    </w:p>
    <w:p w:rsidR="002024A4" w:rsidRDefault="002024A4" w:rsidP="003F30DD">
      <w:pPr>
        <w:pStyle w:val="Citas"/>
        <w:spacing w:before="0" w:after="0" w:line="240" w:lineRule="auto"/>
        <w:ind w:left="993" w:right="567" w:hanging="284"/>
      </w:pPr>
      <w:r>
        <w:lastRenderedPageBreak/>
        <w:t xml:space="preserve">2. La recaudación de las contribuciones. </w:t>
      </w:r>
    </w:p>
    <w:p w:rsidR="002024A4" w:rsidRPr="001C3331" w:rsidRDefault="002024A4" w:rsidP="003F30DD">
      <w:pPr>
        <w:pStyle w:val="Citas"/>
        <w:spacing w:before="0" w:after="0" w:line="240" w:lineRule="auto"/>
        <w:ind w:left="567" w:right="567"/>
        <w:rPr>
          <w:b/>
        </w:rPr>
      </w:pPr>
      <w:r w:rsidRPr="001C3331">
        <w:rPr>
          <w:b/>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2024A4" w:rsidRPr="001C3331" w:rsidRDefault="002024A4" w:rsidP="003F30DD">
      <w:pPr>
        <w:pStyle w:val="Citas"/>
        <w:spacing w:before="0" w:after="0" w:line="240" w:lineRule="auto"/>
        <w:ind w:left="567" w:right="567"/>
      </w:pPr>
      <w:r w:rsidRPr="001C3331">
        <w:t xml:space="preserve">VII. La que contengan las opiniones, recomendaciones o puntos de vista que formen parte del proceso deliberativo de los servidores públicos, hasta en tanto sea adoptada la decisión definitiva, la cual deberá estar documentada; </w:t>
      </w:r>
    </w:p>
    <w:p w:rsidR="002024A4" w:rsidRDefault="002024A4" w:rsidP="003F30DD">
      <w:pPr>
        <w:pStyle w:val="Citas"/>
        <w:spacing w:before="0" w:after="0" w:line="240" w:lineRule="auto"/>
        <w:ind w:left="567" w:right="567"/>
      </w:pPr>
      <w:r w:rsidRPr="00FA74D1">
        <w:t>VIII. Vulnere la conducción de los expedientes judiciales o de los procedimientos administrativos seguidos en forma de juicio, en tanto no hayan quedado firmes</w:t>
      </w:r>
      <w:r>
        <w:t xml:space="preserve">; </w:t>
      </w:r>
    </w:p>
    <w:p w:rsidR="002024A4" w:rsidRDefault="002024A4" w:rsidP="003F30DD">
      <w:pPr>
        <w:pStyle w:val="Citas"/>
        <w:spacing w:before="0" w:after="0" w:line="240" w:lineRule="auto"/>
        <w:ind w:left="567" w:right="567"/>
      </w:pPr>
      <w:r>
        <w:t xml:space="preserve">IX. Se encuentre contenida dentro de las investigaciones de hechos que la Ley señale como delitos y se tramiten ante el Ministerio Público; </w:t>
      </w:r>
    </w:p>
    <w:p w:rsidR="002024A4" w:rsidRPr="005E797B" w:rsidRDefault="002024A4" w:rsidP="003F30DD">
      <w:pPr>
        <w:pStyle w:val="Citas"/>
        <w:spacing w:before="0" w:after="0" w:line="240" w:lineRule="auto"/>
        <w:ind w:left="567" w:right="567"/>
        <w:rPr>
          <w:b/>
        </w:rPr>
      </w:pPr>
      <w:r w:rsidRPr="005E797B">
        <w:rPr>
          <w:b/>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024A4" w:rsidRDefault="002024A4" w:rsidP="003F30DD">
      <w:pPr>
        <w:pStyle w:val="Citas"/>
        <w:spacing w:before="0" w:after="0" w:line="240" w:lineRule="auto"/>
        <w:ind w:left="567" w:right="567"/>
      </w:pPr>
      <w: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2024A4" w:rsidRPr="00FA74D1" w:rsidRDefault="002024A4" w:rsidP="003F30DD">
      <w:pPr>
        <w:pStyle w:val="Citas"/>
        <w:spacing w:before="0" w:after="0" w:line="240" w:lineRule="auto"/>
        <w:ind w:left="567" w:right="567"/>
      </w:pPr>
      <w:r w:rsidRPr="00FA74D1">
        <w:t>XI. Las que por disposición expresa de una ley tengan tal carácter, siempre que sean acordes con las bases, principios y disposiciones establecidos en esta Ley y no la contravengan; así como las previstas en tratados internacionales.</w:t>
      </w:r>
    </w:p>
    <w:p w:rsidR="002024A4" w:rsidRDefault="002024A4" w:rsidP="003F30DD">
      <w:pPr>
        <w:pStyle w:val="Citas"/>
        <w:spacing w:before="0" w:after="0" w:line="240" w:lineRule="auto"/>
        <w:ind w:left="567" w:right="567"/>
      </w:pPr>
    </w:p>
    <w:p w:rsidR="002024A4" w:rsidRDefault="002024A4" w:rsidP="003F30DD">
      <w:pPr>
        <w:pStyle w:val="Citas"/>
        <w:spacing w:before="0" w:after="0" w:line="240" w:lineRule="auto"/>
        <w:ind w:left="567" w:right="567"/>
        <w:jc w:val="center"/>
        <w:rPr>
          <w:b/>
        </w:rPr>
      </w:pPr>
      <w:r w:rsidRPr="004142C8">
        <w:rPr>
          <w:b/>
        </w:rPr>
        <w:t xml:space="preserve">LEY GENERAL DE TRANSPARENCIA Y ACCESO A </w:t>
      </w:r>
    </w:p>
    <w:p w:rsidR="002024A4" w:rsidRPr="004142C8" w:rsidRDefault="002024A4" w:rsidP="003F30DD">
      <w:pPr>
        <w:pStyle w:val="Citas"/>
        <w:spacing w:before="0" w:after="0" w:line="240" w:lineRule="auto"/>
        <w:ind w:left="567" w:right="567"/>
        <w:jc w:val="center"/>
        <w:rPr>
          <w:b/>
        </w:rPr>
      </w:pPr>
      <w:r w:rsidRPr="004142C8">
        <w:rPr>
          <w:b/>
        </w:rPr>
        <w:t>LA INFORMACIÓN PÚBLICA</w:t>
      </w:r>
    </w:p>
    <w:p w:rsidR="002024A4" w:rsidRDefault="002024A4" w:rsidP="003F30DD">
      <w:pPr>
        <w:pStyle w:val="Citas"/>
        <w:spacing w:before="0" w:after="0" w:line="240" w:lineRule="auto"/>
        <w:ind w:left="567" w:right="567"/>
      </w:pPr>
    </w:p>
    <w:p w:rsidR="002024A4" w:rsidRDefault="002024A4" w:rsidP="003F30DD">
      <w:pPr>
        <w:pStyle w:val="Citas"/>
        <w:spacing w:before="0" w:after="0" w:line="240" w:lineRule="auto"/>
        <w:ind w:left="567" w:right="567"/>
      </w:pPr>
      <w:r w:rsidRPr="004142C8">
        <w:rPr>
          <w:b/>
        </w:rPr>
        <w:t>Artículo 113.</w:t>
      </w:r>
      <w:r w:rsidRPr="004142C8">
        <w:t xml:space="preserve"> Como información reservada podrá clasificarse aquella cuya publicación: </w:t>
      </w:r>
    </w:p>
    <w:p w:rsidR="002024A4" w:rsidRDefault="002024A4" w:rsidP="003F30DD">
      <w:pPr>
        <w:pStyle w:val="Citas"/>
        <w:spacing w:before="0" w:after="0" w:line="240" w:lineRule="auto"/>
        <w:ind w:left="567" w:right="567"/>
      </w:pPr>
      <w:r w:rsidRPr="004142C8">
        <w:t xml:space="preserve">I. Comprometa la seguridad nacional, la seguridad pública o la defensa nacional y cuente con un propósito genuino y un efecto demostrable; </w:t>
      </w:r>
    </w:p>
    <w:p w:rsidR="002024A4" w:rsidRDefault="002024A4" w:rsidP="003F30DD">
      <w:pPr>
        <w:pStyle w:val="Citas"/>
        <w:spacing w:before="0" w:after="0" w:line="240" w:lineRule="auto"/>
        <w:ind w:left="567" w:right="567"/>
      </w:pPr>
      <w:r w:rsidRPr="004142C8">
        <w:t xml:space="preserve">II. Pueda menoscabar la conducción de las negociaciones y relaciones internacionales; </w:t>
      </w:r>
    </w:p>
    <w:p w:rsidR="002024A4" w:rsidRDefault="002024A4" w:rsidP="003F30DD">
      <w:pPr>
        <w:pStyle w:val="Citas"/>
        <w:spacing w:before="0" w:after="0" w:line="240" w:lineRule="auto"/>
        <w:ind w:left="567" w:right="567"/>
      </w:pPr>
      <w:r w:rsidRPr="004142C8">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2024A4" w:rsidRDefault="002024A4" w:rsidP="003F30DD">
      <w:pPr>
        <w:pStyle w:val="Citas"/>
        <w:spacing w:before="0" w:after="0" w:line="240" w:lineRule="auto"/>
        <w:ind w:left="567" w:right="567"/>
      </w:pPr>
      <w:r w:rsidRPr="004142C8">
        <w:t xml:space="preserve">IV. Pueda afectar la efectividad de las medidas adoptadas en relación con las políticas en materia monetaria, cambiaria o del sistema financiero del país; pueda poner en riesgo la </w:t>
      </w:r>
      <w:r w:rsidRPr="004142C8">
        <w:lastRenderedPageBreak/>
        <w:t xml:space="preserve">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2024A4" w:rsidRDefault="002024A4" w:rsidP="003F30DD">
      <w:pPr>
        <w:pStyle w:val="Citas"/>
        <w:spacing w:before="0" w:after="0" w:line="240" w:lineRule="auto"/>
        <w:ind w:left="567" w:right="567"/>
      </w:pPr>
      <w:r w:rsidRPr="004142C8">
        <w:t xml:space="preserve">V. Pueda poner en riesgo la vida, seguridad o salud de una persona física; </w:t>
      </w:r>
    </w:p>
    <w:p w:rsidR="002024A4" w:rsidRDefault="002024A4" w:rsidP="003F30DD">
      <w:pPr>
        <w:pStyle w:val="Citas"/>
        <w:spacing w:before="0" w:after="0" w:line="240" w:lineRule="auto"/>
        <w:ind w:left="567" w:right="567"/>
      </w:pPr>
      <w:r w:rsidRPr="004142C8">
        <w:t xml:space="preserve">VI. Obstruya las actividades de verificación, inspección y auditoría relativas al cumplimiento de las leyes o afecte la recaudación de contribuciones; </w:t>
      </w:r>
    </w:p>
    <w:p w:rsidR="002024A4" w:rsidRPr="00F458DF" w:rsidRDefault="002024A4" w:rsidP="003F30DD">
      <w:pPr>
        <w:pStyle w:val="Citas"/>
        <w:spacing w:before="0" w:after="0" w:line="240" w:lineRule="auto"/>
        <w:ind w:left="567" w:right="567"/>
      </w:pPr>
      <w:r w:rsidRPr="00F458DF">
        <w:t xml:space="preserve">VII. Obstruya la prevención o persecución de los delitos; </w:t>
      </w:r>
    </w:p>
    <w:p w:rsidR="002024A4" w:rsidRPr="00C127E8" w:rsidRDefault="002024A4" w:rsidP="003F30DD">
      <w:pPr>
        <w:pStyle w:val="Citas"/>
        <w:spacing w:before="0" w:after="0" w:line="240" w:lineRule="auto"/>
        <w:ind w:left="567" w:right="567"/>
        <w:rPr>
          <w:b/>
        </w:rPr>
      </w:pPr>
      <w:r w:rsidRPr="00C127E8">
        <w:rPr>
          <w:b/>
        </w:rPr>
        <w:t xml:space="preserve">VIII. La que contenga las opiniones, recomendaciones o puntos de vista que formen parte del proceso deliberativo de los servidores públicos, hasta en tanto no sea adoptada la decisión definitiva, la cual deberá estar documentada; </w:t>
      </w:r>
    </w:p>
    <w:p w:rsidR="002024A4" w:rsidRPr="005E797B" w:rsidRDefault="002024A4" w:rsidP="003F30DD">
      <w:pPr>
        <w:pStyle w:val="Citas"/>
        <w:spacing w:before="0" w:after="0" w:line="240" w:lineRule="auto"/>
        <w:ind w:left="567" w:right="567"/>
      </w:pPr>
      <w:r w:rsidRPr="005E797B">
        <w:t>IX. Obstruya los procedimientos para fincar responsabilidad a los Servidores Públicos, en tanto no se haya dictado la resolución administrativa;</w:t>
      </w:r>
    </w:p>
    <w:p w:rsidR="002024A4" w:rsidRDefault="002024A4" w:rsidP="003F30DD">
      <w:pPr>
        <w:pStyle w:val="Citas"/>
        <w:spacing w:before="0" w:after="0" w:line="240" w:lineRule="auto"/>
        <w:ind w:left="567" w:right="567"/>
      </w:pPr>
      <w:r w:rsidRPr="004142C8">
        <w:t xml:space="preserve">X. Afecte los derechos del debido proceso; </w:t>
      </w:r>
    </w:p>
    <w:p w:rsidR="002024A4" w:rsidRPr="00FA74D1" w:rsidRDefault="002024A4" w:rsidP="003F30DD">
      <w:pPr>
        <w:pStyle w:val="Citas"/>
        <w:spacing w:before="0" w:after="0" w:line="240" w:lineRule="auto"/>
        <w:ind w:left="567" w:right="567"/>
      </w:pPr>
      <w:r w:rsidRPr="00FA74D1">
        <w:t xml:space="preserve">XI. Vulnere la conducción de los Expedientes judiciales o de los procedimientos administrativos seguidos en forma de juicio, en tanto no hayan causado estado; </w:t>
      </w:r>
    </w:p>
    <w:p w:rsidR="002024A4" w:rsidRDefault="002024A4" w:rsidP="003F30DD">
      <w:pPr>
        <w:pStyle w:val="Citas"/>
        <w:spacing w:before="0" w:after="0" w:line="240" w:lineRule="auto"/>
        <w:ind w:left="567" w:right="567"/>
      </w:pPr>
      <w:r w:rsidRPr="004142C8">
        <w:t xml:space="preserve">XII. Se encuentre contenida dentro de las investigaciones de hechos que la ley señale como delitos y se tramiten ante el Ministerio Público, y </w:t>
      </w:r>
    </w:p>
    <w:p w:rsidR="002024A4" w:rsidRDefault="002024A4" w:rsidP="003F30DD">
      <w:pPr>
        <w:pStyle w:val="Citas"/>
        <w:spacing w:before="0" w:after="0" w:line="240" w:lineRule="auto"/>
        <w:ind w:left="567" w:right="567"/>
      </w:pPr>
      <w:r w:rsidRPr="004142C8">
        <w:t>XIII. Las que por disposición expresa de una ley tengan tal carácter, siempre que sean acordes con las bases, principios y disposiciones establecidos en esta Ley y no la contravengan; así como las previstas en tratados internacionales.</w:t>
      </w:r>
    </w:p>
    <w:p w:rsidR="002024A4" w:rsidRDefault="002024A4" w:rsidP="003F30DD">
      <w:pPr>
        <w:pStyle w:val="Citas"/>
        <w:spacing w:before="0" w:after="0" w:line="240" w:lineRule="auto"/>
        <w:ind w:left="567" w:right="567"/>
        <w:rPr>
          <w:i w:val="0"/>
        </w:rPr>
      </w:pPr>
    </w:p>
    <w:p w:rsidR="002024A4" w:rsidRPr="004142C8" w:rsidRDefault="002024A4" w:rsidP="003F30DD">
      <w:pPr>
        <w:pStyle w:val="Citas"/>
        <w:spacing w:before="0" w:after="0" w:line="240" w:lineRule="auto"/>
        <w:ind w:left="567" w:right="567"/>
        <w:jc w:val="right"/>
        <w:rPr>
          <w:i w:val="0"/>
          <w:sz w:val="24"/>
          <w:szCs w:val="24"/>
        </w:rPr>
      </w:pPr>
      <w:r>
        <w:rPr>
          <w:i w:val="0"/>
        </w:rPr>
        <w:t>(Énfasis añadido)</w:t>
      </w:r>
    </w:p>
    <w:p w:rsidR="002024A4" w:rsidRDefault="002024A4" w:rsidP="003F30DD">
      <w:pPr>
        <w:spacing w:after="0" w:line="360" w:lineRule="auto"/>
        <w:jc w:val="both"/>
        <w:rPr>
          <w:rFonts w:ascii="Palatino Linotype" w:hAnsi="Palatino Linotype"/>
          <w:sz w:val="24"/>
          <w:szCs w:val="24"/>
        </w:rPr>
      </w:pPr>
    </w:p>
    <w:p w:rsidR="002024A4" w:rsidRDefault="002024A4" w:rsidP="003F30DD">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esta Ponencia Resolutora estima que la información requerida es susceptible de actualizar la causal de procedencia de reserva de la información inmersa en la fracción X del artículo 140 de la Ley de Transparencia local </w:t>
      </w:r>
      <w:r w:rsidRPr="00A5285E">
        <w:rPr>
          <w:rFonts w:ascii="Palatino Linotype" w:hAnsi="Palatino Linotype"/>
          <w:sz w:val="24"/>
          <w:szCs w:val="24"/>
        </w:rPr>
        <w:t>(numeral 113, fracci</w:t>
      </w:r>
      <w:r>
        <w:rPr>
          <w:rFonts w:ascii="Palatino Linotype" w:hAnsi="Palatino Linotype"/>
          <w:sz w:val="24"/>
          <w:szCs w:val="24"/>
        </w:rPr>
        <w:t>ón VIII</w:t>
      </w:r>
      <w:r w:rsidRPr="00A5285E">
        <w:rPr>
          <w:rFonts w:ascii="Palatino Linotype" w:hAnsi="Palatino Linotype"/>
          <w:sz w:val="24"/>
          <w:szCs w:val="24"/>
        </w:rPr>
        <w:t xml:space="preserve"> de la Ley General de Transparencia</w:t>
      </w:r>
      <w:r>
        <w:rPr>
          <w:rFonts w:ascii="Palatino Linotype" w:hAnsi="Palatino Linotype"/>
          <w:sz w:val="24"/>
          <w:szCs w:val="24"/>
        </w:rPr>
        <w:t>), relativas a que “E</w:t>
      </w:r>
      <w:r w:rsidRPr="00C127E8">
        <w:rPr>
          <w:rFonts w:ascii="Palatino Linotype" w:hAnsi="Palatino Linotype"/>
          <w:sz w:val="24"/>
          <w:szCs w:val="24"/>
        </w:rPr>
        <w:t>l daño que pueda producirse con la publicación de la información sea mayor que el interés</w:t>
      </w:r>
      <w:r>
        <w:rPr>
          <w:rFonts w:ascii="Palatino Linotype" w:hAnsi="Palatino Linotype"/>
          <w:sz w:val="24"/>
          <w:szCs w:val="24"/>
        </w:rPr>
        <w:t xml:space="preserve"> </w:t>
      </w:r>
      <w:r w:rsidRPr="00C127E8">
        <w:rPr>
          <w:rFonts w:ascii="Palatino Linotype" w:hAnsi="Palatino Linotype"/>
          <w:sz w:val="24"/>
          <w:szCs w:val="24"/>
        </w:rPr>
        <w:t>público de conocer la información de referencia, siempre que esté directamente relacionado con</w:t>
      </w:r>
      <w:r>
        <w:rPr>
          <w:rFonts w:ascii="Palatino Linotype" w:hAnsi="Palatino Linotype"/>
          <w:sz w:val="24"/>
          <w:szCs w:val="24"/>
        </w:rPr>
        <w:t xml:space="preserve"> </w:t>
      </w:r>
      <w:r w:rsidR="001C3331">
        <w:rPr>
          <w:rFonts w:ascii="Palatino Linotype" w:hAnsi="Palatino Linotype"/>
          <w:sz w:val="24"/>
          <w:szCs w:val="24"/>
        </w:rPr>
        <w:t xml:space="preserve">un </w:t>
      </w:r>
      <w:r w:rsidRPr="00C127E8">
        <w:rPr>
          <w:rFonts w:ascii="Palatino Linotype" w:hAnsi="Palatino Linotype"/>
          <w:sz w:val="24"/>
          <w:szCs w:val="24"/>
        </w:rPr>
        <w:t xml:space="preserve">proceso </w:t>
      </w:r>
      <w:r w:rsidR="001C3331" w:rsidRPr="001C3331">
        <w:rPr>
          <w:rFonts w:ascii="Palatino Linotype" w:hAnsi="Palatino Linotype"/>
          <w:sz w:val="24"/>
          <w:szCs w:val="24"/>
        </w:rPr>
        <w:t xml:space="preserve">deliberativo </w:t>
      </w:r>
      <w:r>
        <w:rPr>
          <w:rFonts w:ascii="Palatino Linotype" w:hAnsi="Palatino Linotype"/>
          <w:sz w:val="24"/>
          <w:szCs w:val="24"/>
        </w:rPr>
        <w:t>que no haya quedado firmes;”</w:t>
      </w:r>
    </w:p>
    <w:p w:rsidR="002024A4" w:rsidRDefault="002024A4" w:rsidP="003F30DD">
      <w:pPr>
        <w:spacing w:after="0" w:line="360" w:lineRule="auto"/>
        <w:jc w:val="both"/>
        <w:rPr>
          <w:rFonts w:ascii="Palatino Linotype" w:hAnsi="Palatino Linotype"/>
          <w:sz w:val="24"/>
          <w:szCs w:val="24"/>
        </w:rPr>
      </w:pPr>
    </w:p>
    <w:p w:rsidR="002024A4" w:rsidRDefault="002024A4" w:rsidP="003F30DD">
      <w:pPr>
        <w:spacing w:after="0" w:line="360" w:lineRule="auto"/>
        <w:jc w:val="both"/>
        <w:rPr>
          <w:rFonts w:ascii="Palatino Linotype" w:hAnsi="Palatino Linotype"/>
          <w:sz w:val="24"/>
          <w:szCs w:val="24"/>
        </w:rPr>
      </w:pPr>
      <w:r>
        <w:rPr>
          <w:rFonts w:ascii="Palatino Linotype" w:hAnsi="Palatino Linotype"/>
          <w:sz w:val="24"/>
          <w:szCs w:val="24"/>
        </w:rPr>
        <w:t xml:space="preserve">Bajo este contexto, para delimitar las fronteras conceptuales entre </w:t>
      </w:r>
      <w:r w:rsidRPr="00D04204">
        <w:rPr>
          <w:rFonts w:ascii="Palatino Linotype" w:hAnsi="Palatino Linotype"/>
          <w:b/>
          <w:sz w:val="24"/>
          <w:szCs w:val="24"/>
          <w:u w:val="single"/>
        </w:rPr>
        <w:t>falta</w:t>
      </w:r>
      <w:r>
        <w:rPr>
          <w:rFonts w:ascii="Palatino Linotype" w:hAnsi="Palatino Linotype"/>
          <w:sz w:val="24"/>
          <w:szCs w:val="24"/>
        </w:rPr>
        <w:t xml:space="preserve"> e </w:t>
      </w:r>
      <w:r w:rsidRPr="004142C8">
        <w:rPr>
          <w:rFonts w:ascii="Palatino Linotype" w:hAnsi="Palatino Linotype"/>
          <w:b/>
          <w:sz w:val="24"/>
          <w:szCs w:val="24"/>
        </w:rPr>
        <w:t>indebida</w:t>
      </w:r>
      <w:r>
        <w:rPr>
          <w:rFonts w:ascii="Palatino Linotype" w:hAnsi="Palatino Linotype"/>
          <w:sz w:val="24"/>
          <w:szCs w:val="24"/>
        </w:rPr>
        <w:t xml:space="preserve"> </w:t>
      </w:r>
      <w:r w:rsidRPr="004142C8">
        <w:rPr>
          <w:rFonts w:ascii="Palatino Linotype" w:hAnsi="Palatino Linotype"/>
          <w:b/>
          <w:sz w:val="24"/>
          <w:szCs w:val="24"/>
        </w:rPr>
        <w:t>fundamentación y motivación</w:t>
      </w:r>
      <w:r>
        <w:rPr>
          <w:rFonts w:ascii="Palatino Linotype" w:hAnsi="Palatino Linotype"/>
          <w:sz w:val="24"/>
          <w:szCs w:val="24"/>
        </w:rPr>
        <w:t xml:space="preserve">, cobra particular relevancia la corriente que emana del </w:t>
      </w:r>
      <w:r>
        <w:rPr>
          <w:rFonts w:ascii="Palatino Linotype" w:hAnsi="Palatino Linotype"/>
          <w:sz w:val="24"/>
          <w:szCs w:val="24"/>
        </w:rPr>
        <w:lastRenderedPageBreak/>
        <w:t xml:space="preserve">Tercer Tribunal Colegiado en Materia Civil del Primer Circuito, a través de la jurisprudencia con número de registro digital </w:t>
      </w:r>
      <w:r>
        <w:rPr>
          <w:rFonts w:ascii="Palatino Linotype" w:hAnsi="Palatino Linotype"/>
          <w:b/>
          <w:sz w:val="24"/>
          <w:szCs w:val="24"/>
        </w:rPr>
        <w:t xml:space="preserve">170307 </w:t>
      </w:r>
      <w:r>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rsidR="002024A4" w:rsidRDefault="002024A4" w:rsidP="003F30DD">
      <w:pPr>
        <w:spacing w:after="0" w:line="360" w:lineRule="auto"/>
        <w:jc w:val="both"/>
        <w:rPr>
          <w:rFonts w:ascii="Palatino Linotype" w:hAnsi="Palatino Linotype"/>
          <w:sz w:val="24"/>
          <w:szCs w:val="24"/>
        </w:rPr>
      </w:pPr>
    </w:p>
    <w:p w:rsidR="002024A4" w:rsidRPr="00575268" w:rsidRDefault="002024A4" w:rsidP="003F30DD">
      <w:pPr>
        <w:pStyle w:val="Citas"/>
        <w:spacing w:before="0" w:after="0" w:line="240" w:lineRule="auto"/>
        <w:ind w:left="567" w:right="567"/>
        <w:rPr>
          <w:b/>
        </w:rPr>
      </w:pPr>
      <w:r>
        <w:rPr>
          <w:b/>
        </w:rPr>
        <w:t xml:space="preserve">“FUNDAMENTACIÓN Y MOTIVACIÓN. </w:t>
      </w:r>
      <w:r w:rsidRPr="00575268">
        <w:rPr>
          <w:b/>
        </w:rPr>
        <w:t>LA</w:t>
      </w:r>
      <w:r>
        <w:rPr>
          <w:b/>
        </w:rPr>
        <w:t xml:space="preserve"> </w:t>
      </w:r>
      <w:r w:rsidRPr="00575268">
        <w:rPr>
          <w:b/>
        </w:rPr>
        <w:t>DIFERENCIA</w:t>
      </w:r>
      <w:r>
        <w:rPr>
          <w:b/>
        </w:rPr>
        <w:t xml:space="preserve"> </w:t>
      </w:r>
      <w:r w:rsidRPr="00575268">
        <w:rPr>
          <w:b/>
        </w:rPr>
        <w:t xml:space="preserve">ENTRE </w:t>
      </w:r>
      <w:r>
        <w:rPr>
          <w:b/>
        </w:rPr>
        <w:t>L</w:t>
      </w:r>
      <w:r w:rsidRPr="00575268">
        <w:rPr>
          <w:b/>
        </w:rPr>
        <w:t>A</w:t>
      </w:r>
      <w:r>
        <w:rPr>
          <w:b/>
        </w:rPr>
        <w:t xml:space="preserve"> </w:t>
      </w:r>
      <w:r w:rsidRPr="00575268">
        <w:rPr>
          <w:b/>
        </w:rPr>
        <w:t>FALTA</w:t>
      </w:r>
      <w:r>
        <w:rPr>
          <w:b/>
        </w:rPr>
        <w:t xml:space="preserve"> Y LA INDEBIDA </w:t>
      </w:r>
      <w:r w:rsidRPr="00575268">
        <w:rPr>
          <w:b/>
        </w:rPr>
        <w:t>SATISFACCIÓN DE AMBOS REQUISITOS CONSTITUCIONALES TRASCIENDE AL ORDEN EN QUE DEBEN ESTUDIARSE LOS CONCEPTOS DE VIOLACIÓN Y A LOS EFECTOS DEL FALLO PROTECTOR.</w:t>
      </w:r>
    </w:p>
    <w:p w:rsidR="002024A4" w:rsidRDefault="002024A4" w:rsidP="003F30DD">
      <w:pPr>
        <w:pStyle w:val="Citas"/>
        <w:spacing w:before="0" w:after="0" w:line="240" w:lineRule="auto"/>
        <w:ind w:left="567" w:right="567"/>
      </w:pPr>
      <w:r w:rsidRPr="00B53849">
        <w:rPr>
          <w:u w:val="single"/>
        </w:rPr>
        <w:t>La falta de fundamentación y motivación es una violación formal</w:t>
      </w:r>
      <w:r>
        <w:t xml:space="preserve"> diversa a la indebida o incorrecta fundamentación y motivación, que es una violación material o de fondo, siendo </w:t>
      </w:r>
      <w:r w:rsidRPr="00575268">
        <w:t>distintos los efectos que genera la existencia de una u otra, por lo que el estudio de aquella omisión debe hacerse de manera previa. En efecto, el artículo</w:t>
      </w:r>
      <w:r>
        <w:t xml:space="preserve"> </w:t>
      </w:r>
      <w:hyperlink r:id="rId15" w:history="1">
        <w:r w:rsidRPr="00575268">
          <w:t>16 constitucional</w:t>
        </w:r>
      </w:hyperlink>
      <w:r>
        <w:t xml:space="preserve"> </w:t>
      </w:r>
      <w:r w:rsidRPr="00575268">
        <w:t>establece, en su primer párrafo, el imperativo para las autoridades de fundar y motivar sus actos</w:t>
      </w:r>
      <w:r>
        <w:t xml:space="preserve">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B53849">
        <w:rPr>
          <w:b/>
        </w:rPr>
        <w:t>la falta de fundamentación y motivación</w:t>
      </w:r>
      <w:r>
        <w:t xml:space="preserve">, cuando </w:t>
      </w:r>
      <w:r w:rsidRPr="00B53849">
        <w:rPr>
          <w:u w:val="single"/>
        </w:rPr>
        <w:t>se omite expresar el dispositivo legal aplicable al asunto y las razones que se hayan considerado para estimar que el caso puede subsumirse en la hipótesis prevista en esa norma jurídica</w:t>
      </w:r>
      <w:r>
        <w:t xml:space="preserve">. En cambio, hay una </w:t>
      </w:r>
      <w:r w:rsidRPr="00B53849">
        <w:rPr>
          <w:b/>
        </w:rPr>
        <w:t>indebida fundamentación</w:t>
      </w:r>
      <w:r>
        <w:t xml:space="preserve"> cuando en </w:t>
      </w:r>
      <w:r w:rsidRPr="00B53849">
        <w:rPr>
          <w:u w:val="single"/>
        </w:rPr>
        <w:t>el acto de autoridad sí se invoca el precepto legal, sin embargo, resulta inaplicable al asunto por las características específicas de éste que impiden su adecuación o encuadre en la hipótesis normativa;</w:t>
      </w:r>
      <w: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w:t>
      </w:r>
      <w:r>
        <w:lastRenderedPageBreak/>
        <w:t>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2024A4" w:rsidRPr="00F458DF" w:rsidRDefault="002024A4" w:rsidP="003F30DD">
      <w:pPr>
        <w:pStyle w:val="Citas"/>
        <w:spacing w:before="0" w:after="0" w:line="240" w:lineRule="auto"/>
        <w:ind w:left="567" w:right="567"/>
        <w:rPr>
          <w:sz w:val="18"/>
        </w:rPr>
      </w:pPr>
      <w:r w:rsidRPr="00F458DF">
        <w:rPr>
          <w:sz w:val="18"/>
        </w:rPr>
        <w:t>TERCER TRIBUNAL COLEGIADO EN MATERIA CIVIL DEL PRIMER CIRCUITO.</w:t>
      </w:r>
    </w:p>
    <w:p w:rsidR="002024A4" w:rsidRPr="00F458DF" w:rsidRDefault="002024A4" w:rsidP="003F30DD">
      <w:pPr>
        <w:pStyle w:val="Citas"/>
        <w:spacing w:before="0" w:after="0" w:line="240" w:lineRule="auto"/>
        <w:ind w:left="567" w:right="567"/>
        <w:rPr>
          <w:sz w:val="18"/>
        </w:rPr>
      </w:pPr>
      <w:r w:rsidRPr="00F458DF">
        <w:rPr>
          <w:sz w:val="18"/>
        </w:rPr>
        <w:t>Amparo directo 551/2005. Jorge Luis Almaral Mendívil. 20 de octubre de 2005. Unanimidad de votos. Ponente: Neófito López Ramos. Secretario: Raúl Alfaro Telpalo.</w:t>
      </w:r>
    </w:p>
    <w:p w:rsidR="002024A4" w:rsidRPr="00F458DF" w:rsidRDefault="002024A4" w:rsidP="003F30DD">
      <w:pPr>
        <w:pStyle w:val="Citas"/>
        <w:spacing w:before="0" w:after="0" w:line="240" w:lineRule="auto"/>
        <w:ind w:left="567" w:right="567"/>
        <w:rPr>
          <w:sz w:val="18"/>
        </w:rPr>
      </w:pPr>
      <w:r w:rsidRPr="00F458DF">
        <w:rPr>
          <w:sz w:val="18"/>
        </w:rPr>
        <w:t>Amparo directo 66/2007. Juan Ramón Jaime Alcántara. 15 de febrero de 2007. Unanimidad de votos. Ponente: Neófito López Ramos. Secretario: Raúl Alfaro Telpalo.</w:t>
      </w:r>
    </w:p>
    <w:p w:rsidR="002024A4" w:rsidRPr="00F458DF" w:rsidRDefault="002024A4" w:rsidP="003F30DD">
      <w:pPr>
        <w:pStyle w:val="Citas"/>
        <w:spacing w:before="0" w:after="0" w:line="240" w:lineRule="auto"/>
        <w:ind w:left="567" w:right="567"/>
        <w:rPr>
          <w:sz w:val="18"/>
        </w:rPr>
      </w:pPr>
      <w:r w:rsidRPr="00F458DF">
        <w:rPr>
          <w:sz w:val="18"/>
        </w:rPr>
        <w:t>Amparo directo 364/2007. Guadalupe Rodríguez Daniel. 6 de julio de 2007. Unanimidad de votos. Ponente: Neófito López Ramos. Secretaria: Greta Lozada Amezcua.</w:t>
      </w:r>
    </w:p>
    <w:p w:rsidR="002024A4" w:rsidRPr="00F458DF" w:rsidRDefault="002024A4" w:rsidP="003F30DD">
      <w:pPr>
        <w:pStyle w:val="Citas"/>
        <w:spacing w:before="0" w:after="0" w:line="240" w:lineRule="auto"/>
        <w:ind w:left="567" w:right="567"/>
        <w:rPr>
          <w:sz w:val="18"/>
        </w:rPr>
      </w:pPr>
      <w:r w:rsidRPr="00F458DF">
        <w:rPr>
          <w:sz w:val="18"/>
        </w:rPr>
        <w:t>Amparo directo 513/2007. Autofinanciamiento México, S.A. de C.V. 4 de octubre de 2007. Unanimidad de votos. Ponente: Neófito López Ramos. Secretario: Raúl Alfaro Telpalo.</w:t>
      </w:r>
    </w:p>
    <w:p w:rsidR="002024A4" w:rsidRPr="00F458DF" w:rsidRDefault="002024A4" w:rsidP="003F30DD">
      <w:pPr>
        <w:pStyle w:val="Citas"/>
        <w:spacing w:before="0" w:after="0" w:line="240" w:lineRule="auto"/>
        <w:ind w:left="567" w:right="567"/>
        <w:rPr>
          <w:b/>
          <w:sz w:val="18"/>
        </w:rPr>
      </w:pPr>
      <w:r w:rsidRPr="00F458DF">
        <w:rPr>
          <w:sz w:val="18"/>
        </w:rPr>
        <w:t>Amparo directo 562/2007. Arenas y Gravas Xaltepec, S.A. 11 de octubre de 2007. Unanimidad de votos. Ponente: Neófito López Ramos. Secretario: Raúl Alfaro Telpalo.” (Sic)</w:t>
      </w:r>
    </w:p>
    <w:p w:rsidR="002024A4" w:rsidRDefault="002024A4" w:rsidP="003F30DD">
      <w:pPr>
        <w:spacing w:after="0" w:line="360" w:lineRule="auto"/>
        <w:jc w:val="both"/>
        <w:rPr>
          <w:rFonts w:ascii="Palatino Linotype" w:hAnsi="Palatino Linotype" w:cs="Arial"/>
          <w:noProof/>
          <w:color w:val="000000"/>
          <w:sz w:val="24"/>
          <w:lang w:eastAsia="es-MX"/>
        </w:rPr>
      </w:pPr>
    </w:p>
    <w:p w:rsidR="002024A4" w:rsidRDefault="002024A4" w:rsidP="003F30DD">
      <w:pPr>
        <w:spacing w:after="0" w:line="360" w:lineRule="auto"/>
        <w:jc w:val="both"/>
        <w:rPr>
          <w:rFonts w:ascii="Palatino Linotype" w:hAnsi="Palatino Linotype" w:cs="Arial"/>
          <w:sz w:val="24"/>
          <w:szCs w:val="24"/>
        </w:rPr>
      </w:pPr>
      <w:r w:rsidRPr="008F4670">
        <w:rPr>
          <w:rFonts w:ascii="Palatino Linotype" w:hAnsi="Palatino Linotype" w:cs="Arial"/>
          <w:noProof/>
          <w:color w:val="000000"/>
          <w:sz w:val="24"/>
          <w:szCs w:val="24"/>
          <w:lang w:eastAsia="es-MX"/>
        </w:rPr>
        <w:t xml:space="preserve">Con base en lo anteriormente expuesto, se arriba a la conclusión de que </w:t>
      </w:r>
      <w:r w:rsidRPr="001E2AEC">
        <w:rPr>
          <w:rFonts w:ascii="Palatino Linotype" w:hAnsi="Palatino Linotype" w:cs="Arial"/>
          <w:b/>
          <w:noProof/>
          <w:color w:val="000000"/>
          <w:sz w:val="24"/>
          <w:szCs w:val="24"/>
          <w:lang w:eastAsia="es-MX"/>
        </w:rPr>
        <w:t>el acuerdo de clasificación remitido no cumple con la pauta metodologica</w:t>
      </w:r>
      <w:r w:rsidRPr="008F4670">
        <w:rPr>
          <w:rFonts w:ascii="Palatino Linotype" w:hAnsi="Palatino Linotype" w:cs="Arial"/>
          <w:noProof/>
          <w:color w:val="000000"/>
          <w:sz w:val="24"/>
          <w:szCs w:val="24"/>
          <w:lang w:eastAsia="es-MX"/>
        </w:rPr>
        <w:t xml:space="preserve"> prevista en los </w:t>
      </w:r>
      <w:r w:rsidRPr="008F4670">
        <w:rPr>
          <w:rFonts w:ascii="Palatino Linotype" w:hAnsi="Palatino Linotype" w:cs="Arial"/>
          <w:sz w:val="24"/>
          <w:szCs w:val="24"/>
        </w:rPr>
        <w:t xml:space="preserve">Lineamientos Generales en Materia de Clasificación y Desclasificación de la Información, así como para la Elaboración de Versiones Públicas, y demás normatividad aplicable, lo anterior al tomar en consideración que </w:t>
      </w:r>
      <w:r w:rsidRPr="00B53849">
        <w:rPr>
          <w:rFonts w:ascii="Palatino Linotype" w:hAnsi="Palatino Linotype" w:cs="Arial"/>
          <w:b/>
          <w:sz w:val="24"/>
          <w:szCs w:val="24"/>
        </w:rPr>
        <w:t>el acuerdo remitido refleja falta de la debida fundamentación y motivación</w:t>
      </w:r>
      <w:r>
        <w:rPr>
          <w:rFonts w:ascii="Palatino Linotype" w:hAnsi="Palatino Linotype" w:cs="Arial"/>
          <w:b/>
          <w:sz w:val="24"/>
          <w:szCs w:val="24"/>
        </w:rPr>
        <w:t>.</w:t>
      </w:r>
    </w:p>
    <w:p w:rsidR="002024A4" w:rsidRDefault="002024A4" w:rsidP="003F30DD">
      <w:pPr>
        <w:spacing w:after="0" w:line="360" w:lineRule="auto"/>
        <w:jc w:val="both"/>
        <w:rPr>
          <w:rFonts w:ascii="Palatino Linotype" w:hAnsi="Palatino Linotype" w:cs="Arial"/>
          <w:sz w:val="24"/>
          <w:szCs w:val="24"/>
        </w:rPr>
      </w:pPr>
    </w:p>
    <w:p w:rsidR="002024A4" w:rsidRDefault="002024A4" w:rsidP="003F30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Ello es así, atendiendo que como se observa en el cuadro inserto en párrafos previos, se acredita que el </w:t>
      </w:r>
      <w:r w:rsidRPr="001C3331">
        <w:rPr>
          <w:rFonts w:ascii="Palatino Linotype" w:hAnsi="Palatino Linotype" w:cs="Arial"/>
          <w:b/>
          <w:sz w:val="24"/>
          <w:szCs w:val="24"/>
        </w:rPr>
        <w:t>Sujeto Obligado</w:t>
      </w:r>
      <w:r>
        <w:rPr>
          <w:rFonts w:ascii="Palatino Linotype" w:hAnsi="Palatino Linotype" w:cs="Arial"/>
          <w:sz w:val="24"/>
          <w:szCs w:val="24"/>
        </w:rPr>
        <w:t xml:space="preserve"> fue omiso en realizar su prueba de daño, al no señalar </w:t>
      </w:r>
      <w:r w:rsidR="004901EF">
        <w:rPr>
          <w:rFonts w:ascii="Palatino Linotype" w:hAnsi="Palatino Linotype" w:cs="Arial"/>
          <w:sz w:val="24"/>
          <w:szCs w:val="24"/>
        </w:rPr>
        <w:t xml:space="preserve">de manera precisa </w:t>
      </w:r>
      <w:r>
        <w:rPr>
          <w:rFonts w:ascii="Palatino Linotype" w:hAnsi="Palatino Linotype" w:cs="Arial"/>
          <w:sz w:val="24"/>
          <w:szCs w:val="24"/>
        </w:rPr>
        <w:t xml:space="preserve">el </w:t>
      </w:r>
      <w:r w:rsidRPr="00B53849">
        <w:rPr>
          <w:rFonts w:ascii="Palatino Linotype" w:hAnsi="Palatino Linotype" w:cs="Arial"/>
          <w:b/>
          <w:sz w:val="24"/>
          <w:szCs w:val="24"/>
        </w:rPr>
        <w:t>riesgo real</w:t>
      </w:r>
      <w:r>
        <w:rPr>
          <w:rFonts w:ascii="Palatino Linotype" w:hAnsi="Palatino Linotype" w:cs="Arial"/>
          <w:b/>
          <w:sz w:val="24"/>
          <w:szCs w:val="24"/>
        </w:rPr>
        <w:t>, demostrable e identificable</w:t>
      </w:r>
      <w:r>
        <w:rPr>
          <w:rFonts w:ascii="Palatino Linotype" w:hAnsi="Palatino Linotype" w:cs="Arial"/>
          <w:sz w:val="24"/>
          <w:szCs w:val="24"/>
        </w:rPr>
        <w:t xml:space="preserve">. Aunado que, </w:t>
      </w:r>
      <w:r w:rsidRPr="00DA4A0F">
        <w:rPr>
          <w:rFonts w:ascii="Palatino Linotype" w:hAnsi="Palatino Linotype" w:cs="Arial"/>
          <w:b/>
          <w:sz w:val="24"/>
          <w:szCs w:val="24"/>
        </w:rPr>
        <w:t xml:space="preserve">el </w:t>
      </w:r>
      <w:r w:rsidRPr="00DA4A0F">
        <w:rPr>
          <w:rFonts w:ascii="Palatino Linotype" w:hAnsi="Palatino Linotype" w:cs="Arial"/>
          <w:b/>
          <w:sz w:val="24"/>
          <w:szCs w:val="24"/>
        </w:rPr>
        <w:lastRenderedPageBreak/>
        <w:t xml:space="preserve">Acta de su Comité de Transparencia, </w:t>
      </w:r>
      <w:r>
        <w:rPr>
          <w:rFonts w:ascii="Palatino Linotype" w:hAnsi="Palatino Linotype" w:cs="Arial"/>
          <w:b/>
          <w:sz w:val="24"/>
          <w:szCs w:val="24"/>
        </w:rPr>
        <w:t>no cuenta con firmas que de los Titulares de las Áreas que participaron y le otorgan validez</w:t>
      </w:r>
      <w:r>
        <w:rPr>
          <w:rFonts w:ascii="Palatino Linotype" w:hAnsi="Palatino Linotype" w:cs="Arial"/>
          <w:sz w:val="24"/>
          <w:szCs w:val="24"/>
        </w:rPr>
        <w:t>. Como lo establecen los artículos 1.7 y 1.8 del Código Administrativo del Estado de México, que dispone:</w:t>
      </w:r>
    </w:p>
    <w:p w:rsidR="002024A4" w:rsidRDefault="002024A4" w:rsidP="003F30DD">
      <w:pPr>
        <w:spacing w:after="0" w:line="360" w:lineRule="auto"/>
        <w:jc w:val="both"/>
        <w:rPr>
          <w:rFonts w:ascii="Palatino Linotype" w:hAnsi="Palatino Linotype" w:cs="Arial"/>
          <w:sz w:val="24"/>
          <w:szCs w:val="24"/>
        </w:rPr>
      </w:pPr>
    </w:p>
    <w:p w:rsidR="002024A4" w:rsidRDefault="002024A4" w:rsidP="003F30D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127E8">
        <w:rPr>
          <w:rFonts w:ascii="Palatino Linotype" w:hAnsi="Palatino Linotype" w:cs="Arial"/>
          <w:b/>
          <w:i/>
          <w:szCs w:val="24"/>
        </w:rPr>
        <w:t>Artículo 1.7.-</w:t>
      </w:r>
      <w:r w:rsidRPr="00C127E8">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Para efectos de este Título, se entiende por </w:t>
      </w:r>
      <w:r w:rsidRPr="00E7773C">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C127E8">
        <w:rPr>
          <w:rFonts w:ascii="Palatino Linotype" w:hAnsi="Palatino Linotype" w:cs="Arial"/>
          <w:i/>
          <w:szCs w:val="24"/>
        </w:rPr>
        <w:t xml:space="preserve"> </w:t>
      </w:r>
    </w:p>
    <w:p w:rsidR="002024A4" w:rsidRDefault="002024A4" w:rsidP="003F30DD">
      <w:pPr>
        <w:spacing w:after="0" w:line="240" w:lineRule="auto"/>
        <w:ind w:left="567" w:right="567"/>
        <w:jc w:val="both"/>
        <w:rPr>
          <w:rFonts w:ascii="Palatino Linotype" w:hAnsi="Palatino Linotype" w:cs="Arial"/>
          <w:i/>
          <w:szCs w:val="24"/>
        </w:rPr>
      </w:pPr>
    </w:p>
    <w:p w:rsidR="002024A4" w:rsidRDefault="002024A4" w:rsidP="003F30DD">
      <w:pPr>
        <w:spacing w:after="0" w:line="240" w:lineRule="auto"/>
        <w:ind w:left="567" w:right="567"/>
        <w:jc w:val="both"/>
        <w:rPr>
          <w:rFonts w:ascii="Palatino Linotype" w:hAnsi="Palatino Linotype" w:cs="Arial"/>
          <w:i/>
          <w:szCs w:val="24"/>
        </w:rPr>
      </w:pPr>
      <w:r w:rsidRPr="00E7773C">
        <w:rPr>
          <w:rFonts w:ascii="Palatino Linotype" w:hAnsi="Palatino Linotype" w:cs="Arial"/>
          <w:b/>
          <w:i/>
          <w:szCs w:val="24"/>
        </w:rPr>
        <w:t>Artículo 1.8.-</w:t>
      </w:r>
      <w:r w:rsidRPr="00C127E8">
        <w:rPr>
          <w:rFonts w:ascii="Palatino Linotype" w:hAnsi="Palatino Linotype" w:cs="Arial"/>
          <w:i/>
          <w:szCs w:val="24"/>
        </w:rPr>
        <w:t xml:space="preserve"> Para tener validez, el acto administrativo deberá satisfacer lo siguiente: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II. Ser expedido sin que medie error sobre el objeto, causa o fin del acto;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III. Ser expedido sin que existan dolo ni violencia en su emisión;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IV. Que su objeto sea posible de hecho, determinado o determinable y esté previsto en el ordenamiento que resulte aplicable;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 Cumplir con la finalidad de interés público señalada en el ordenamiento que resulte aplicable, sin que puedan perseguirse otros fines distintos;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 </w:t>
      </w:r>
      <w:r w:rsidRPr="00E7773C">
        <w:rPr>
          <w:rFonts w:ascii="Palatino Linotype" w:hAnsi="Palatino Linotype" w:cs="Arial"/>
          <w:i/>
          <w:szCs w:val="24"/>
          <w:u w:val="single"/>
        </w:rPr>
        <w:t>Constar por escrito o de manera electrónica indicando la autoridad de la que emane y contener la firma autógrafa, electrónica avanzada o el sello electrónico en su caso del servidor público;</w:t>
      </w:r>
      <w:r w:rsidRPr="00C127E8">
        <w:rPr>
          <w:rFonts w:ascii="Palatino Linotype" w:hAnsi="Palatino Linotype" w:cs="Arial"/>
          <w:i/>
          <w:szCs w:val="24"/>
        </w:rPr>
        <w:t xml:space="preserve">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VIII. </w:t>
      </w:r>
      <w:r w:rsidRPr="00E7773C">
        <w:rPr>
          <w:rFonts w:ascii="Palatino Linotype" w:hAnsi="Palatino Linotype" w:cs="Arial"/>
          <w:i/>
          <w:szCs w:val="24"/>
          <w:u w:val="single"/>
        </w:rPr>
        <w:t>Expedirse de conformidad con los principios, normas e instituciones jurídicas que establezcan las disposiciones aplicables;</w:t>
      </w:r>
      <w:r w:rsidRPr="00C127E8">
        <w:rPr>
          <w:rFonts w:ascii="Palatino Linotype" w:hAnsi="Palatino Linotype" w:cs="Arial"/>
          <w:i/>
          <w:szCs w:val="24"/>
        </w:rPr>
        <w:t xml:space="preserve">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IX. Guardar congruencia en su contenido y, en su caso, con lo solicitado;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lastRenderedPageBreak/>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rsidR="002024A4" w:rsidRDefault="002024A4" w:rsidP="003F30DD">
      <w:pPr>
        <w:spacing w:after="0" w:line="240" w:lineRule="auto"/>
        <w:ind w:left="567" w:right="567"/>
        <w:jc w:val="both"/>
        <w:rPr>
          <w:rFonts w:ascii="Palatino Linotype" w:hAnsi="Palatino Linotype" w:cs="Arial"/>
          <w:i/>
          <w:szCs w:val="24"/>
        </w:rPr>
      </w:pPr>
      <w:r w:rsidRPr="00C127E8">
        <w:rPr>
          <w:rFonts w:ascii="Palatino Linotype" w:hAnsi="Palatino Linotype" w:cs="Arial"/>
          <w:i/>
          <w:szCs w:val="24"/>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rsidR="002024A4" w:rsidRDefault="002024A4" w:rsidP="003F30DD">
      <w:pPr>
        <w:spacing w:after="0" w:line="240" w:lineRule="auto"/>
        <w:ind w:left="567" w:right="567"/>
        <w:jc w:val="both"/>
        <w:rPr>
          <w:rFonts w:ascii="Palatino Linotype" w:hAnsi="Palatino Linotype" w:cs="Arial"/>
          <w:szCs w:val="24"/>
        </w:rPr>
      </w:pPr>
      <w:r w:rsidRPr="00C127E8">
        <w:rPr>
          <w:rFonts w:ascii="Palatino Linotype" w:hAnsi="Palatino Linotype" w:cs="Arial"/>
          <w:i/>
          <w:szCs w:val="24"/>
        </w:rPr>
        <w:t>XIII. Resolver expresamente todos los puntos propuestos por los interesados o previstos en las disposiciones aplicables.</w:t>
      </w:r>
      <w:r>
        <w:rPr>
          <w:rFonts w:ascii="Palatino Linotype" w:hAnsi="Palatino Linotype" w:cs="Arial"/>
          <w:i/>
          <w:szCs w:val="24"/>
        </w:rPr>
        <w:t>”</w:t>
      </w:r>
    </w:p>
    <w:p w:rsidR="002024A4" w:rsidRPr="00E7773C" w:rsidRDefault="002024A4" w:rsidP="003F30DD">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2024A4" w:rsidRDefault="002024A4" w:rsidP="003F30DD">
      <w:pPr>
        <w:spacing w:after="0" w:line="360" w:lineRule="auto"/>
        <w:jc w:val="both"/>
        <w:rPr>
          <w:rFonts w:ascii="Palatino Linotype" w:hAnsi="Palatino Linotype" w:cs="Arial"/>
          <w:sz w:val="24"/>
          <w:szCs w:val="24"/>
        </w:rPr>
      </w:pPr>
    </w:p>
    <w:p w:rsidR="002024A4" w:rsidRPr="00B53849" w:rsidRDefault="002024A4" w:rsidP="003F30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Circunstancias que al tenerse por acreditadas, generan una afectación al </w:t>
      </w:r>
      <w:r w:rsidRPr="00DA4A0F">
        <w:rPr>
          <w:rFonts w:ascii="Palatino Linotype" w:hAnsi="Palatino Linotype" w:cs="Arial"/>
          <w:b/>
          <w:sz w:val="24"/>
          <w:szCs w:val="24"/>
        </w:rPr>
        <w:t>Recurrente</w:t>
      </w:r>
      <w:r>
        <w:rPr>
          <w:rFonts w:ascii="Palatino Linotype" w:hAnsi="Palatino Linotype" w:cs="Arial"/>
          <w:sz w:val="24"/>
          <w:szCs w:val="24"/>
        </w:rPr>
        <w:t>, quien se encuentra en estado de incertidumbre, al no contar con las consideraciones de hecho (debida justificación) y de derecho (validez) que sirvieron de base para la pretendida clasificación como reservada de la información.</w:t>
      </w:r>
    </w:p>
    <w:p w:rsidR="004901EF" w:rsidRPr="001735AF" w:rsidRDefault="004901EF" w:rsidP="003F30DD">
      <w:pPr>
        <w:spacing w:after="0" w:line="360" w:lineRule="auto"/>
        <w:jc w:val="both"/>
        <w:rPr>
          <w:rFonts w:ascii="Palatino Linotype" w:eastAsia="Calibri" w:hAnsi="Palatino Linotype"/>
          <w:sz w:val="24"/>
        </w:rPr>
      </w:pPr>
    </w:p>
    <w:p w:rsidR="002024A4" w:rsidRDefault="002024A4" w:rsidP="003F30D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E74C8B">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no satisface el requerimiento de información del </w:t>
      </w:r>
      <w:r w:rsidRPr="00E74C8B">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D72D90" w:rsidRDefault="00D72D90" w:rsidP="003F30DD">
      <w:pPr>
        <w:spacing w:after="0" w:line="360" w:lineRule="auto"/>
        <w:jc w:val="both"/>
        <w:rPr>
          <w:rFonts w:ascii="Palatino Linotype" w:eastAsia="Calibri" w:hAnsi="Palatino Linotype" w:cs="Times New Roman"/>
          <w:sz w:val="24"/>
          <w:szCs w:val="24"/>
          <w:lang w:val="es-ES_tradnl" w:eastAsia="es-ES"/>
        </w:rPr>
      </w:pPr>
    </w:p>
    <w:p w:rsidR="002024A4" w:rsidRPr="007D27D7" w:rsidRDefault="002024A4" w:rsidP="003F30DD">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Finalmente, en lo que corresponde a</w:t>
      </w:r>
      <w:r w:rsidR="00125A8B">
        <w:rPr>
          <w:rFonts w:ascii="Palatino Linotype" w:eastAsia="MS Mincho" w:hAnsi="Palatino Linotype" w:cs="Arial"/>
          <w:sz w:val="24"/>
          <w:szCs w:val="24"/>
          <w:lang w:val="es-ES"/>
        </w:rPr>
        <w:t xml:space="preserve"> </w:t>
      </w:r>
      <w:r>
        <w:rPr>
          <w:rFonts w:ascii="Palatino Linotype" w:eastAsia="MS Mincho" w:hAnsi="Palatino Linotype" w:cs="Arial"/>
          <w:sz w:val="24"/>
          <w:szCs w:val="24"/>
          <w:lang w:val="es-ES"/>
        </w:rPr>
        <w:t>l</w:t>
      </w:r>
      <w:r w:rsidR="00125A8B">
        <w:rPr>
          <w:rFonts w:ascii="Palatino Linotype" w:eastAsia="MS Mincho" w:hAnsi="Palatino Linotype" w:cs="Arial"/>
          <w:sz w:val="24"/>
          <w:szCs w:val="24"/>
          <w:lang w:val="es-ES"/>
        </w:rPr>
        <w:t>os</w:t>
      </w:r>
      <w:r>
        <w:rPr>
          <w:rFonts w:ascii="Palatino Linotype" w:eastAsia="MS Mincho" w:hAnsi="Palatino Linotype" w:cs="Arial"/>
          <w:sz w:val="24"/>
          <w:szCs w:val="24"/>
          <w:lang w:val="es-ES"/>
        </w:rPr>
        <w:t xml:space="preserve"> numeral</w:t>
      </w:r>
      <w:r w:rsidR="00125A8B">
        <w:rPr>
          <w:rFonts w:ascii="Palatino Linotype" w:eastAsia="MS Mincho" w:hAnsi="Palatino Linotype" w:cs="Arial"/>
          <w:sz w:val="24"/>
          <w:szCs w:val="24"/>
          <w:lang w:val="es-ES"/>
        </w:rPr>
        <w:t>es</w:t>
      </w:r>
      <w:r>
        <w:rPr>
          <w:rFonts w:ascii="Palatino Linotype" w:eastAsia="MS Mincho" w:hAnsi="Palatino Linotype" w:cs="Arial"/>
          <w:sz w:val="24"/>
          <w:szCs w:val="24"/>
          <w:lang w:val="es-ES"/>
        </w:rPr>
        <w:t xml:space="preserve"> </w:t>
      </w:r>
      <w:r w:rsidR="00125A8B">
        <w:rPr>
          <w:rFonts w:ascii="Palatino Linotype" w:eastAsia="MS Mincho" w:hAnsi="Palatino Linotype" w:cs="Arial"/>
          <w:b/>
          <w:sz w:val="26"/>
          <w:szCs w:val="26"/>
          <w:lang w:val="es-ES"/>
        </w:rPr>
        <w:t>1.4</w:t>
      </w:r>
      <w:r w:rsidR="00125A8B" w:rsidRPr="007D27D7">
        <w:rPr>
          <w:rFonts w:ascii="Palatino Linotype" w:eastAsia="MS Mincho" w:hAnsi="Palatino Linotype" w:cs="Arial"/>
          <w:sz w:val="24"/>
          <w:szCs w:val="26"/>
          <w:lang w:val="es-ES"/>
        </w:rPr>
        <w:t xml:space="preserve"> y </w:t>
      </w:r>
      <w:r w:rsidR="00125A8B">
        <w:rPr>
          <w:rFonts w:ascii="Palatino Linotype" w:eastAsia="MS Mincho" w:hAnsi="Palatino Linotype" w:cs="Arial"/>
          <w:b/>
          <w:sz w:val="26"/>
          <w:szCs w:val="26"/>
          <w:lang w:val="es-ES"/>
        </w:rPr>
        <w:t>1.5</w:t>
      </w:r>
      <w:r>
        <w:rPr>
          <w:rFonts w:ascii="Palatino Linotype" w:eastAsia="MS Mincho" w:hAnsi="Palatino Linotype" w:cs="Arial"/>
          <w:sz w:val="24"/>
          <w:szCs w:val="24"/>
          <w:lang w:val="es-ES"/>
        </w:rPr>
        <w:t>, relativo</w:t>
      </w:r>
      <w:r w:rsidR="00125A8B">
        <w:rPr>
          <w:rFonts w:ascii="Palatino Linotype" w:eastAsia="MS Mincho" w:hAnsi="Palatino Linotype" w:cs="Arial"/>
          <w:sz w:val="24"/>
          <w:szCs w:val="24"/>
          <w:lang w:val="es-ES"/>
        </w:rPr>
        <w:t>s</w:t>
      </w:r>
      <w:r>
        <w:rPr>
          <w:rFonts w:ascii="Palatino Linotype" w:eastAsia="MS Mincho" w:hAnsi="Palatino Linotype" w:cs="Arial"/>
          <w:sz w:val="24"/>
          <w:szCs w:val="24"/>
          <w:lang w:val="es-ES"/>
        </w:rPr>
        <w:t xml:space="preserve"> a</w:t>
      </w:r>
      <w:r w:rsidR="00125A8B">
        <w:rPr>
          <w:rFonts w:ascii="Palatino Linotype" w:eastAsia="MS Mincho" w:hAnsi="Palatino Linotype" w:cs="Arial"/>
          <w:sz w:val="24"/>
          <w:szCs w:val="24"/>
          <w:lang w:val="es-ES"/>
        </w:rPr>
        <w:t>l nombre del representante legal, medios de contacto, teléfono</w:t>
      </w:r>
      <w:r w:rsidR="007D27D7">
        <w:rPr>
          <w:rFonts w:ascii="Palatino Linotype" w:eastAsia="MS Mincho" w:hAnsi="Palatino Linotype" w:cs="Arial"/>
          <w:sz w:val="24"/>
          <w:szCs w:val="24"/>
          <w:lang w:val="es-ES"/>
        </w:rPr>
        <w:t xml:space="preserve">. El </w:t>
      </w:r>
      <w:r w:rsidR="007D27D7" w:rsidRPr="007D27D7">
        <w:rPr>
          <w:rFonts w:ascii="Palatino Linotype" w:eastAsia="MS Mincho" w:hAnsi="Palatino Linotype" w:cs="Arial"/>
          <w:b/>
          <w:sz w:val="24"/>
          <w:szCs w:val="24"/>
          <w:lang w:val="es-ES"/>
        </w:rPr>
        <w:t>Sujeto Obligado</w:t>
      </w:r>
      <w:r w:rsidR="007D27D7">
        <w:rPr>
          <w:rFonts w:ascii="Palatino Linotype" w:eastAsia="MS Mincho" w:hAnsi="Palatino Linotype" w:cs="Arial"/>
          <w:sz w:val="24"/>
          <w:szCs w:val="24"/>
          <w:lang w:val="es-ES"/>
        </w:rPr>
        <w:t xml:space="preserve"> emitió respuesta manifestando que </w:t>
      </w:r>
      <w:r w:rsidR="007D27D7">
        <w:rPr>
          <w:rFonts w:ascii="Palatino Linotype" w:eastAsia="MS Mincho" w:hAnsi="Palatino Linotype" w:cs="Arial"/>
          <w:i/>
          <w:sz w:val="24"/>
          <w:szCs w:val="24"/>
          <w:lang w:val="es-ES"/>
        </w:rPr>
        <w:t>“</w:t>
      </w:r>
      <w:r w:rsidR="007D27D7" w:rsidRPr="007D27D7">
        <w:rPr>
          <w:rFonts w:ascii="Palatino Linotype" w:eastAsia="MS Mincho" w:hAnsi="Palatino Linotype" w:cs="Arial"/>
          <w:i/>
          <w:sz w:val="24"/>
          <w:szCs w:val="24"/>
          <w:lang w:val="es-ES"/>
        </w:rPr>
        <w:t xml:space="preserve">no son datos que se integran y/o resguarda en los archivos digitales del Registro Estatal de Transporte Público, estos es, datos concernientes a la persona que de forma especifica ostenta facultades </w:t>
      </w:r>
      <w:r w:rsidR="007D27D7" w:rsidRPr="00FF35C6">
        <w:rPr>
          <w:rFonts w:ascii="Palatino Linotype" w:eastAsia="MS Mincho" w:hAnsi="Palatino Linotype" w:cs="Arial"/>
          <w:i/>
          <w:sz w:val="24"/>
          <w:szCs w:val="24"/>
          <w:lang w:val="es-ES"/>
        </w:rPr>
        <w:t>de representante legal de la empresas prestadoras del servicio de transporte público, por lo que se tiene imposibilidad legal y material de proporcionar tal información,…”</w:t>
      </w:r>
      <w:r w:rsidR="007D27D7" w:rsidRPr="00FF35C6">
        <w:rPr>
          <w:rFonts w:ascii="Palatino Linotype" w:eastAsia="MS Mincho" w:hAnsi="Palatino Linotype" w:cs="Arial"/>
          <w:sz w:val="24"/>
          <w:szCs w:val="24"/>
          <w:lang w:val="es-ES"/>
        </w:rPr>
        <w:t>.</w:t>
      </w:r>
    </w:p>
    <w:p w:rsidR="00125A8B" w:rsidRDefault="00125A8B" w:rsidP="003F30DD">
      <w:pPr>
        <w:spacing w:after="0" w:line="360" w:lineRule="auto"/>
        <w:jc w:val="both"/>
        <w:rPr>
          <w:rFonts w:ascii="Palatino Linotype" w:eastAsia="MS Mincho" w:hAnsi="Palatino Linotype" w:cs="Arial"/>
          <w:sz w:val="24"/>
          <w:szCs w:val="24"/>
          <w:lang w:val="es-ES"/>
        </w:rPr>
      </w:pPr>
    </w:p>
    <w:p w:rsidR="00125A8B" w:rsidRDefault="0095502D" w:rsidP="003F30DD">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lastRenderedPageBreak/>
        <w:t xml:space="preserve">De conformidad con la respuesta </w:t>
      </w:r>
      <w:r w:rsidR="005A2D21">
        <w:rPr>
          <w:rFonts w:ascii="Palatino Linotype" w:eastAsia="MS Mincho" w:hAnsi="Palatino Linotype" w:cs="Arial"/>
          <w:sz w:val="24"/>
          <w:szCs w:val="24"/>
          <w:lang w:val="es-ES"/>
        </w:rPr>
        <w:t>proporcionada</w:t>
      </w:r>
      <w:r>
        <w:rPr>
          <w:rFonts w:ascii="Palatino Linotype" w:eastAsia="MS Mincho" w:hAnsi="Palatino Linotype" w:cs="Arial"/>
          <w:sz w:val="24"/>
          <w:szCs w:val="24"/>
          <w:lang w:val="es-ES"/>
        </w:rPr>
        <w:t xml:space="preserve"> por el Sujeto obligado, es necesario traer a colación </w:t>
      </w:r>
      <w:r w:rsidR="005A2D21">
        <w:rPr>
          <w:rFonts w:ascii="Palatino Linotype" w:eastAsia="MS Mincho" w:hAnsi="Palatino Linotype" w:cs="Arial"/>
          <w:sz w:val="24"/>
          <w:szCs w:val="24"/>
          <w:lang w:val="es-ES"/>
        </w:rPr>
        <w:t>las atribuciones del área denominada Departamento de Concesiones</w:t>
      </w:r>
      <w:r>
        <w:rPr>
          <w:rFonts w:ascii="Palatino Linotype" w:eastAsia="MS Mincho" w:hAnsi="Palatino Linotype" w:cs="Arial"/>
          <w:sz w:val="24"/>
          <w:szCs w:val="24"/>
          <w:lang w:val="es-ES"/>
        </w:rPr>
        <w:t xml:space="preserve"> </w:t>
      </w:r>
      <w:r w:rsidR="005A2D21">
        <w:rPr>
          <w:rFonts w:ascii="Palatino Linotype" w:eastAsia="MS Mincho" w:hAnsi="Palatino Linotype" w:cs="Arial"/>
          <w:sz w:val="24"/>
          <w:szCs w:val="24"/>
          <w:lang w:val="es-ES"/>
        </w:rPr>
        <w:t>y Autorizaciones</w:t>
      </w:r>
      <w:r>
        <w:rPr>
          <w:rFonts w:ascii="Palatino Linotype" w:eastAsia="MS Mincho" w:hAnsi="Palatino Linotype" w:cs="Arial"/>
          <w:sz w:val="24"/>
          <w:szCs w:val="24"/>
          <w:lang w:val="es-ES"/>
        </w:rPr>
        <w:t xml:space="preserve"> del Manual General de Organización del Sujeto Obligado</w:t>
      </w:r>
      <w:r w:rsidR="003F30DD">
        <w:rPr>
          <w:rStyle w:val="Refdenotaalpie"/>
          <w:rFonts w:ascii="Palatino Linotype" w:eastAsia="MS Mincho" w:hAnsi="Palatino Linotype" w:cs="Arial"/>
          <w:sz w:val="24"/>
          <w:szCs w:val="24"/>
          <w:lang w:val="es-ES"/>
        </w:rPr>
        <w:footnoteReference w:id="7"/>
      </w:r>
      <w:r>
        <w:rPr>
          <w:rFonts w:ascii="Palatino Linotype" w:eastAsia="MS Mincho" w:hAnsi="Palatino Linotype" w:cs="Arial"/>
          <w:sz w:val="24"/>
          <w:szCs w:val="24"/>
          <w:lang w:val="es-ES"/>
        </w:rPr>
        <w:t xml:space="preserve">, </w:t>
      </w:r>
      <w:r w:rsidR="00A70AFB">
        <w:rPr>
          <w:rFonts w:ascii="Palatino Linotype" w:eastAsia="MS Mincho" w:hAnsi="Palatino Linotype" w:cs="Arial"/>
          <w:sz w:val="24"/>
          <w:szCs w:val="24"/>
          <w:lang w:val="es-ES"/>
        </w:rPr>
        <w:t xml:space="preserve">así como el </w:t>
      </w:r>
      <w:r w:rsidR="00A70AFB" w:rsidRPr="00A70AFB">
        <w:rPr>
          <w:rFonts w:ascii="Palatino Linotype" w:eastAsia="MS Mincho" w:hAnsi="Palatino Linotype" w:cs="Arial"/>
          <w:sz w:val="24"/>
          <w:szCs w:val="24"/>
          <w:lang w:val="es-ES"/>
        </w:rPr>
        <w:t>Acuerdo por el que se dispone La</w:t>
      </w:r>
      <w:r w:rsidR="00A70AFB">
        <w:rPr>
          <w:rFonts w:ascii="Palatino Linotype" w:eastAsia="MS Mincho" w:hAnsi="Palatino Linotype" w:cs="Arial"/>
          <w:sz w:val="24"/>
          <w:szCs w:val="24"/>
          <w:lang w:val="es-ES"/>
        </w:rPr>
        <w:t xml:space="preserve"> </w:t>
      </w:r>
      <w:r w:rsidR="00A70AFB" w:rsidRPr="00A70AFB">
        <w:rPr>
          <w:rFonts w:ascii="Palatino Linotype" w:eastAsia="MS Mincho" w:hAnsi="Palatino Linotype" w:cs="Arial"/>
          <w:sz w:val="24"/>
          <w:szCs w:val="24"/>
          <w:lang w:val="es-ES"/>
        </w:rPr>
        <w:t>Integración del “Índice Del</w:t>
      </w:r>
      <w:r w:rsidR="00A70AFB">
        <w:rPr>
          <w:rFonts w:ascii="Palatino Linotype" w:eastAsia="MS Mincho" w:hAnsi="Palatino Linotype" w:cs="Arial"/>
          <w:sz w:val="24"/>
          <w:szCs w:val="24"/>
          <w:lang w:val="es-ES"/>
        </w:rPr>
        <w:t xml:space="preserve"> </w:t>
      </w:r>
      <w:r w:rsidR="00A70AFB" w:rsidRPr="00A70AFB">
        <w:rPr>
          <w:rFonts w:ascii="Palatino Linotype" w:eastAsia="MS Mincho" w:hAnsi="Palatino Linotype" w:cs="Arial"/>
          <w:sz w:val="24"/>
          <w:szCs w:val="24"/>
          <w:lang w:val="es-ES"/>
        </w:rPr>
        <w:t>Expediente de Concesiones de</w:t>
      </w:r>
      <w:r w:rsidR="00A70AFB">
        <w:rPr>
          <w:rFonts w:ascii="Palatino Linotype" w:eastAsia="MS Mincho" w:hAnsi="Palatino Linotype" w:cs="Arial"/>
          <w:sz w:val="24"/>
          <w:szCs w:val="24"/>
          <w:lang w:val="es-ES"/>
        </w:rPr>
        <w:t xml:space="preserve"> </w:t>
      </w:r>
      <w:r w:rsidR="00A70AFB" w:rsidRPr="00A70AFB">
        <w:rPr>
          <w:rFonts w:ascii="Palatino Linotype" w:eastAsia="MS Mincho" w:hAnsi="Palatino Linotype" w:cs="Arial"/>
          <w:sz w:val="24"/>
          <w:szCs w:val="24"/>
          <w:lang w:val="es-ES"/>
        </w:rPr>
        <w:t>Transporte Público y sus</w:t>
      </w:r>
      <w:r w:rsidR="00A70AFB">
        <w:rPr>
          <w:rFonts w:ascii="Palatino Linotype" w:eastAsia="MS Mincho" w:hAnsi="Palatino Linotype" w:cs="Arial"/>
          <w:sz w:val="24"/>
          <w:szCs w:val="24"/>
          <w:lang w:val="es-ES"/>
        </w:rPr>
        <w:t xml:space="preserve"> </w:t>
      </w:r>
      <w:r w:rsidR="00A70AFB" w:rsidRPr="00A70AFB">
        <w:rPr>
          <w:rFonts w:ascii="Palatino Linotype" w:eastAsia="MS Mincho" w:hAnsi="Palatino Linotype" w:cs="Arial"/>
          <w:sz w:val="24"/>
          <w:szCs w:val="24"/>
          <w:lang w:val="es-ES"/>
        </w:rPr>
        <w:t>Movimientos Adicionales”</w:t>
      </w:r>
      <w:r w:rsidR="003F30DD">
        <w:rPr>
          <w:rStyle w:val="Refdenotaalpie"/>
          <w:rFonts w:ascii="Palatino Linotype" w:eastAsia="MS Mincho" w:hAnsi="Palatino Linotype" w:cs="Arial"/>
          <w:sz w:val="24"/>
          <w:szCs w:val="24"/>
          <w:lang w:val="es-ES"/>
        </w:rPr>
        <w:footnoteReference w:id="8"/>
      </w:r>
      <w:r w:rsidR="00A70AFB">
        <w:rPr>
          <w:rFonts w:ascii="Palatino Linotype" w:eastAsia="MS Mincho" w:hAnsi="Palatino Linotype" w:cs="Arial"/>
          <w:sz w:val="24"/>
          <w:szCs w:val="24"/>
          <w:lang w:val="es-ES"/>
        </w:rPr>
        <w:t xml:space="preserve">, </w:t>
      </w:r>
      <w:r>
        <w:rPr>
          <w:rFonts w:ascii="Palatino Linotype" w:eastAsia="MS Mincho" w:hAnsi="Palatino Linotype" w:cs="Arial"/>
          <w:sz w:val="24"/>
          <w:szCs w:val="24"/>
          <w:lang w:val="es-ES"/>
        </w:rPr>
        <w:t>que señalan:</w:t>
      </w:r>
    </w:p>
    <w:p w:rsidR="0095502D" w:rsidRDefault="0095502D" w:rsidP="003F30DD">
      <w:pPr>
        <w:spacing w:after="0" w:line="360" w:lineRule="auto"/>
        <w:jc w:val="both"/>
        <w:rPr>
          <w:rFonts w:ascii="Palatino Linotype" w:eastAsia="MS Mincho" w:hAnsi="Palatino Linotype" w:cs="Arial"/>
          <w:sz w:val="24"/>
          <w:szCs w:val="24"/>
          <w:lang w:val="es-ES"/>
        </w:rPr>
      </w:pPr>
    </w:p>
    <w:p w:rsidR="005A2D21" w:rsidRDefault="0095502D" w:rsidP="003F30DD">
      <w:pPr>
        <w:spacing w:after="0" w:line="240" w:lineRule="auto"/>
        <w:ind w:left="567" w:right="567"/>
        <w:jc w:val="both"/>
        <w:rPr>
          <w:rFonts w:ascii="Palatino Linotype" w:eastAsia="MS Mincho" w:hAnsi="Palatino Linotype" w:cs="Arial"/>
          <w:b/>
          <w:i/>
          <w:szCs w:val="24"/>
        </w:rPr>
      </w:pPr>
      <w:r>
        <w:rPr>
          <w:rFonts w:ascii="Palatino Linotype" w:eastAsia="MS Mincho" w:hAnsi="Palatino Linotype" w:cs="Arial"/>
          <w:i/>
          <w:szCs w:val="24"/>
          <w:lang w:val="es-ES"/>
        </w:rPr>
        <w:t>“</w:t>
      </w:r>
      <w:r w:rsidRPr="0095502D">
        <w:rPr>
          <w:rFonts w:ascii="Palatino Linotype" w:eastAsia="MS Mincho" w:hAnsi="Palatino Linotype" w:cs="Arial"/>
          <w:b/>
          <w:i/>
          <w:szCs w:val="24"/>
        </w:rPr>
        <w:t xml:space="preserve">22000007020102L DEPARTAMENTO DE CONCESIONES Y AUTORIZACIONES </w:t>
      </w:r>
    </w:p>
    <w:p w:rsidR="0095502D" w:rsidRDefault="0095502D" w:rsidP="003F30DD">
      <w:pPr>
        <w:spacing w:after="0" w:line="240" w:lineRule="auto"/>
        <w:ind w:left="567" w:right="567"/>
        <w:jc w:val="both"/>
        <w:rPr>
          <w:rFonts w:ascii="Palatino Linotype" w:eastAsia="MS Mincho" w:hAnsi="Palatino Linotype" w:cs="Arial"/>
          <w:i/>
          <w:szCs w:val="24"/>
        </w:rPr>
      </w:pPr>
      <w:r w:rsidRPr="0095502D">
        <w:rPr>
          <w:rFonts w:ascii="Palatino Linotype" w:eastAsia="MS Mincho" w:hAnsi="Palatino Linotype" w:cs="Arial"/>
          <w:b/>
          <w:i/>
          <w:szCs w:val="24"/>
        </w:rPr>
        <w:t>OBJETIVO:</w:t>
      </w:r>
      <w:r w:rsidRPr="0095502D">
        <w:rPr>
          <w:rFonts w:ascii="Palatino Linotype" w:eastAsia="MS Mincho" w:hAnsi="Palatino Linotype" w:cs="Arial"/>
          <w:i/>
          <w:szCs w:val="24"/>
        </w:rPr>
        <w:t xml:space="preserve"> </w:t>
      </w:r>
    </w:p>
    <w:p w:rsidR="0095502D" w:rsidRDefault="0095502D" w:rsidP="003F30DD">
      <w:pPr>
        <w:spacing w:after="0" w:line="240" w:lineRule="auto"/>
        <w:ind w:left="567" w:right="567"/>
        <w:jc w:val="both"/>
        <w:rPr>
          <w:rFonts w:ascii="Palatino Linotype" w:eastAsia="MS Mincho" w:hAnsi="Palatino Linotype" w:cs="Arial"/>
          <w:i/>
          <w:szCs w:val="24"/>
        </w:rPr>
      </w:pPr>
      <w:r w:rsidRPr="0095502D">
        <w:rPr>
          <w:rFonts w:ascii="Palatino Linotype" w:eastAsia="MS Mincho" w:hAnsi="Palatino Linotype" w:cs="Arial"/>
          <w:i/>
          <w:szCs w:val="24"/>
        </w:rPr>
        <w:t xml:space="preserve">Coadyuvar con las demás unidades administrativas de la Secretaría en el otorgamiento de concesiones, permisos, autorizaciones y tramites adicionales para la prestación del servicio público de transporte en sus diversas modalidades en la entidad, previo dictamen de viabilidad, su debida regularización conforme a los ordenamientos y normas en la materia, así como el registro y control de la documentación referente. </w:t>
      </w:r>
    </w:p>
    <w:p w:rsidR="0095502D" w:rsidRPr="005A2D21" w:rsidRDefault="0095502D" w:rsidP="003F30DD">
      <w:pPr>
        <w:spacing w:after="0" w:line="240" w:lineRule="auto"/>
        <w:ind w:left="567" w:right="567"/>
        <w:jc w:val="both"/>
        <w:rPr>
          <w:rFonts w:ascii="Palatino Linotype" w:eastAsia="MS Mincho" w:hAnsi="Palatino Linotype" w:cs="Arial"/>
          <w:b/>
          <w:i/>
          <w:szCs w:val="24"/>
        </w:rPr>
      </w:pPr>
      <w:r w:rsidRPr="005A2D21">
        <w:rPr>
          <w:rFonts w:ascii="Palatino Linotype" w:eastAsia="MS Mincho" w:hAnsi="Palatino Linotype" w:cs="Arial"/>
          <w:b/>
          <w:i/>
          <w:szCs w:val="24"/>
        </w:rPr>
        <w:t xml:space="preserve">FUNCIONES: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Supervisar y elaborar previo cumplimiento de los requisitos, el formato universal de pago por los diferentes conceptos de trámites y servicios prestados por la Secretaría de Movilidad.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Emitir los instrumentos documentales necesarios, previa verificación del cumplimiento de requisitos, para el otorgamiento de concesiones, permisos y autorizaciones para la prestación de los servicios de transporte público en sus diversas modalidades.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Coadyuvar con las áreas de la Dirección General del Registro Estatal de Transporte Público a la concentración y mantenimiento actualizado el banco de datos estadísticos sobre las concesiones, permisos y autorizaciones para la prestación del servicio de transporte público.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Coadyuvar con la Subdirección de Concesiones y Permisos en los procedimientos de regularización de otorgamiento de concesiones, permisos, relacionadas al servicio público de transporte, así como revisión de los servicios de seguros de viajero, cromática, publicidad, programas de estímulos y uso de plataformas </w:t>
      </w:r>
      <w:r w:rsidRPr="0095502D">
        <w:rPr>
          <w:rFonts w:ascii="Palatino Linotype" w:eastAsia="MS Mincho" w:hAnsi="Palatino Linotype" w:cs="Arial"/>
          <w:i/>
        </w:rPr>
        <w:lastRenderedPageBreak/>
        <w:t xml:space="preserve">electrónicas y ordenamiento del transporte, conforme a la normatividad establecida en la materia.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Turnar al Archivo Único de Concesionamiento, previa autorización de la Subdirección de Concesiones y Permisos los expedientes concluidos de trámites de concesionamiento y autorizaciones para la prestación del servicio de transporte público en sus diversas modalidades, a fin de que se concentren y controlen de acuerdo con la normatividad vigente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Atender las solicitudes de las y los concesionarios o permisionarios, respecto a la información que obra en los archivos.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Integrar la información sobre el establecimiento o modificación de rutas y derroteros para la prestación del servicio público de transporte en todas sus modalidades, a fin de contar con información actual, veraz y oportuna.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Participar y apoyar en los procedimientos de otorgamiento de concesiones y autorizaciones para la prestación del servicio público de transporte con las Direcciones Generales de Movilidad.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Tramitar y resolver en coadyuvancia con la Dirección General de Asuntos Jurídicos e Igualdad de Género, los procedimientos administrativos de reclamo de usuarios de servicios que sufran daño por siniestro cuando no reciban la debida atención por parte de las y los concesionarios o permisionarios para el pago de las indemnizaciones correspondientes, así como los derivados de la duplicidad de concesiones y las no registradas. </w:t>
      </w:r>
    </w:p>
    <w:p w:rsidR="0095502D" w:rsidRPr="0095502D" w:rsidRDefault="0095502D" w:rsidP="003F30DD">
      <w:pPr>
        <w:pStyle w:val="Prrafodelista"/>
        <w:numPr>
          <w:ilvl w:val="0"/>
          <w:numId w:val="28"/>
        </w:numPr>
        <w:ind w:right="567"/>
        <w:jc w:val="both"/>
        <w:rPr>
          <w:rFonts w:ascii="Palatino Linotype" w:eastAsia="MS Mincho" w:hAnsi="Palatino Linotype" w:cs="Arial"/>
          <w:i/>
        </w:rPr>
      </w:pPr>
      <w:r w:rsidRPr="0095502D">
        <w:rPr>
          <w:rFonts w:ascii="Palatino Linotype" w:eastAsia="MS Mincho" w:hAnsi="Palatino Linotype" w:cs="Arial"/>
          <w:i/>
        </w:rPr>
        <w:t xml:space="preserve">Informar periódicamente a la Subdirección de Concesiones y Permisos sobre las acciones desarrolladas en el ámbito de su competencia. </w:t>
      </w:r>
    </w:p>
    <w:p w:rsidR="0095502D" w:rsidRPr="00A70AFB" w:rsidRDefault="0095502D" w:rsidP="003F30DD">
      <w:pPr>
        <w:pStyle w:val="Prrafodelista"/>
        <w:numPr>
          <w:ilvl w:val="0"/>
          <w:numId w:val="28"/>
        </w:numPr>
        <w:ind w:right="567"/>
        <w:jc w:val="both"/>
        <w:rPr>
          <w:rFonts w:ascii="Palatino Linotype" w:eastAsia="MS Mincho" w:hAnsi="Palatino Linotype" w:cs="Arial"/>
          <w:i/>
          <w:sz w:val="22"/>
        </w:rPr>
      </w:pPr>
      <w:r w:rsidRPr="0095502D">
        <w:rPr>
          <w:rFonts w:ascii="Palatino Linotype" w:eastAsia="MS Mincho" w:hAnsi="Palatino Linotype" w:cs="Arial"/>
          <w:i/>
        </w:rPr>
        <w:t>Desarrollar las demás funciones inherentes al área de su competencia.</w:t>
      </w:r>
    </w:p>
    <w:p w:rsidR="00A70AFB" w:rsidRDefault="00A70AFB" w:rsidP="003F30DD">
      <w:pPr>
        <w:spacing w:after="0"/>
        <w:ind w:left="360" w:right="567"/>
        <w:jc w:val="both"/>
        <w:rPr>
          <w:rFonts w:ascii="Palatino Linotype" w:eastAsia="MS Mincho" w:hAnsi="Palatino Linotype" w:cs="Arial"/>
          <w:i/>
        </w:rPr>
      </w:pPr>
    </w:p>
    <w:p w:rsidR="00A70AFB" w:rsidRDefault="00A70AFB" w:rsidP="003F30DD">
      <w:pPr>
        <w:spacing w:after="0"/>
        <w:ind w:left="360" w:right="567"/>
        <w:jc w:val="both"/>
        <w:rPr>
          <w:rFonts w:ascii="Palatino Linotype" w:eastAsia="MS Mincho" w:hAnsi="Palatino Linotype" w:cs="Arial"/>
          <w:i/>
        </w:rPr>
      </w:pPr>
    </w:p>
    <w:p w:rsidR="00A70AFB" w:rsidRPr="003F30DD" w:rsidRDefault="00A70AFB" w:rsidP="003F30DD">
      <w:pPr>
        <w:spacing w:after="0" w:line="240" w:lineRule="auto"/>
        <w:ind w:left="360" w:right="567"/>
        <w:jc w:val="both"/>
        <w:rPr>
          <w:rFonts w:ascii="Palatino Linotype" w:eastAsia="MS Mincho" w:hAnsi="Palatino Linotype" w:cs="Arial"/>
          <w:b/>
          <w:i/>
        </w:rPr>
      </w:pPr>
      <w:r w:rsidRPr="003F30DD">
        <w:rPr>
          <w:rFonts w:ascii="Palatino Linotype" w:eastAsia="MS Mincho" w:hAnsi="Palatino Linotype" w:cs="Arial"/>
          <w:b/>
          <w:i/>
        </w:rPr>
        <w:t>3. Documentación que debe contener el expediente de concesiones</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3.1.Acta de nacimiento, documento oficial, acta constitutiva y protocolización de acta de asamblea vigente, en la que conste que el objeto social es la prestación del servicio público de transporte, con facultad para ejercer actos de administración, que en su caso contenga la aportación irrevocable de concesiones vigentes y documental pública de quien ostente la representación legal de la sociedad, debidamente inscrita en el Instituto de la Función Registral del Estado de México:</w:t>
      </w:r>
      <w:r w:rsidRPr="00A70AFB">
        <w:rPr>
          <w:rFonts w:ascii="Palatino Linotype" w:eastAsia="MS Mincho" w:hAnsi="Palatino Linotype" w:cs="Arial"/>
          <w:i/>
        </w:rPr>
        <w:t xml:space="preserve"> Documento que acredita la propiedad jurídica del</w:t>
      </w:r>
      <w:r>
        <w:rPr>
          <w:rFonts w:ascii="Palatino Linotype" w:eastAsia="MS Mincho" w:hAnsi="Palatino Linotype" w:cs="Arial"/>
          <w:i/>
        </w:rPr>
        <w:t xml:space="preserve"> </w:t>
      </w:r>
      <w:r w:rsidRPr="00A70AFB">
        <w:rPr>
          <w:rFonts w:ascii="Palatino Linotype" w:eastAsia="MS Mincho" w:hAnsi="Palatino Linotype" w:cs="Arial"/>
          <w:i/>
        </w:rPr>
        <w:t>concesionario, expedido por la autoridad civil o mercantil, según sea el caso, debidamente inscrita en el Instituto de</w:t>
      </w:r>
      <w:r>
        <w:rPr>
          <w:rFonts w:ascii="Palatino Linotype" w:eastAsia="MS Mincho" w:hAnsi="Palatino Linotype" w:cs="Arial"/>
          <w:i/>
        </w:rPr>
        <w:t xml:space="preserve"> </w:t>
      </w:r>
      <w:r w:rsidRPr="00A70AFB">
        <w:rPr>
          <w:rFonts w:ascii="Palatino Linotype" w:eastAsia="MS Mincho" w:hAnsi="Palatino Linotype" w:cs="Arial"/>
          <w:i/>
        </w:rPr>
        <w:t>la Función Registral del Estado de México.</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lastRenderedPageBreak/>
        <w:t>3.2. Registro Federal de Contribuyentes:</w:t>
      </w:r>
      <w:r w:rsidRPr="00A70AFB">
        <w:rPr>
          <w:rFonts w:ascii="Palatino Linotype" w:eastAsia="MS Mincho" w:hAnsi="Palatino Linotype" w:cs="Arial"/>
          <w:i/>
        </w:rPr>
        <w:t xml:space="preserve"> Cédula de inscripción al Registro Federal de Contribuyentes de la persona</w:t>
      </w:r>
      <w:r>
        <w:rPr>
          <w:rFonts w:ascii="Palatino Linotype" w:eastAsia="MS Mincho" w:hAnsi="Palatino Linotype" w:cs="Arial"/>
          <w:i/>
        </w:rPr>
        <w:t xml:space="preserve"> </w:t>
      </w:r>
      <w:r w:rsidRPr="00A70AFB">
        <w:rPr>
          <w:rFonts w:ascii="Palatino Linotype" w:eastAsia="MS Mincho" w:hAnsi="Palatino Linotype" w:cs="Arial"/>
          <w:i/>
        </w:rPr>
        <w:t>jurídico colectiva proporcionado por el Sistema de Administración Tributaria (SAT).</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u w:val="single"/>
        </w:rPr>
        <w:t>3.3. Comprobante de domicilio</w:t>
      </w:r>
      <w:r w:rsidRPr="003F30DD">
        <w:rPr>
          <w:rFonts w:ascii="Palatino Linotype" w:eastAsia="MS Mincho" w:hAnsi="Palatino Linotype" w:cs="Arial"/>
          <w:b/>
          <w:i/>
        </w:rPr>
        <w:t xml:space="preserve"> a nombre del solicitante que pretende dar servicio:</w:t>
      </w:r>
      <w:r w:rsidRPr="00A70AFB">
        <w:rPr>
          <w:rFonts w:ascii="Palatino Linotype" w:eastAsia="MS Mincho" w:hAnsi="Palatino Linotype" w:cs="Arial"/>
          <w:i/>
        </w:rPr>
        <w:t xml:space="preserve"> Documento que acredita la</w:t>
      </w:r>
      <w:r>
        <w:rPr>
          <w:rFonts w:ascii="Palatino Linotype" w:eastAsia="MS Mincho" w:hAnsi="Palatino Linotype" w:cs="Arial"/>
          <w:i/>
        </w:rPr>
        <w:t xml:space="preserve"> </w:t>
      </w:r>
      <w:r w:rsidRPr="00A70AFB">
        <w:rPr>
          <w:rFonts w:ascii="Palatino Linotype" w:eastAsia="MS Mincho" w:hAnsi="Palatino Linotype" w:cs="Arial"/>
          <w:i/>
        </w:rPr>
        <w:t>residencia fiscal del concesionario (recibo de teléfono, predial, agua y por último constancia expedida por la autoridad</w:t>
      </w:r>
      <w:r>
        <w:rPr>
          <w:rFonts w:ascii="Palatino Linotype" w:eastAsia="MS Mincho" w:hAnsi="Palatino Linotype" w:cs="Arial"/>
          <w:i/>
        </w:rPr>
        <w:t xml:space="preserve"> </w:t>
      </w:r>
      <w:r w:rsidRPr="00A70AFB">
        <w:rPr>
          <w:rFonts w:ascii="Palatino Linotype" w:eastAsia="MS Mincho" w:hAnsi="Palatino Linotype" w:cs="Arial"/>
          <w:i/>
        </w:rPr>
        <w:t>municipal, todos estos con un tiempo de vigencia no mayor a dos meses al momento de solicitar el trámite).</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u w:val="single"/>
        </w:rPr>
        <w:t>3.4. Identificación oficial vigente del titular de la concesión/representante legal</w:t>
      </w:r>
      <w:r w:rsidRPr="003F30DD">
        <w:rPr>
          <w:rFonts w:ascii="Palatino Linotype" w:eastAsia="MS Mincho" w:hAnsi="Palatino Linotype" w:cs="Arial"/>
          <w:b/>
          <w:i/>
        </w:rPr>
        <w:t>:</w:t>
      </w:r>
      <w:r w:rsidRPr="00A70AFB">
        <w:rPr>
          <w:rFonts w:ascii="Palatino Linotype" w:eastAsia="MS Mincho" w:hAnsi="Palatino Linotype" w:cs="Arial"/>
          <w:i/>
        </w:rPr>
        <w:t xml:space="preserve"> Documento expedido por la</w:t>
      </w:r>
      <w:r>
        <w:rPr>
          <w:rFonts w:ascii="Palatino Linotype" w:eastAsia="MS Mincho" w:hAnsi="Palatino Linotype" w:cs="Arial"/>
          <w:i/>
        </w:rPr>
        <w:t xml:space="preserve"> </w:t>
      </w:r>
      <w:r w:rsidRPr="00A70AFB">
        <w:rPr>
          <w:rFonts w:ascii="Palatino Linotype" w:eastAsia="MS Mincho" w:hAnsi="Palatino Linotype" w:cs="Arial"/>
          <w:i/>
        </w:rPr>
        <w:t>autoridad pública para acreditar la personalidad del titular de la concesión y/o del representante legal de ser el caso,</w:t>
      </w:r>
      <w:r>
        <w:rPr>
          <w:rFonts w:ascii="Palatino Linotype" w:eastAsia="MS Mincho" w:hAnsi="Palatino Linotype" w:cs="Arial"/>
          <w:i/>
        </w:rPr>
        <w:t xml:space="preserve"> </w:t>
      </w:r>
      <w:r w:rsidRPr="00A70AFB">
        <w:rPr>
          <w:rFonts w:ascii="Palatino Linotype" w:eastAsia="MS Mincho" w:hAnsi="Palatino Linotype" w:cs="Arial"/>
          <w:i/>
        </w:rPr>
        <w:t>credencial para votar expedida por el Instituto Nacional Electoral vigente (antes Instituto Federal Electoral), pasaporte</w:t>
      </w:r>
      <w:r>
        <w:rPr>
          <w:rFonts w:ascii="Palatino Linotype" w:eastAsia="MS Mincho" w:hAnsi="Palatino Linotype" w:cs="Arial"/>
          <w:i/>
        </w:rPr>
        <w:t xml:space="preserve"> </w:t>
      </w:r>
      <w:r w:rsidRPr="00A70AFB">
        <w:rPr>
          <w:rFonts w:ascii="Palatino Linotype" w:eastAsia="MS Mincho" w:hAnsi="Palatino Linotype" w:cs="Arial"/>
          <w:i/>
        </w:rPr>
        <w:t>vigente, cédula profesional vigente y licencia de conducir vigente.</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3.5. Documento legal que acredite la propiedad o posesión del vehículo que se pretenda destinar al servicio público de transporte:</w:t>
      </w:r>
      <w:r w:rsidRPr="00A70AFB">
        <w:rPr>
          <w:rFonts w:ascii="Palatino Linotype" w:eastAsia="MS Mincho" w:hAnsi="Palatino Linotype" w:cs="Arial"/>
          <w:i/>
        </w:rPr>
        <w:t xml:space="preserve"> Documento legal que acredite que el vehículo destinado para la prestación del servicio</w:t>
      </w:r>
      <w:r>
        <w:rPr>
          <w:rFonts w:ascii="Palatino Linotype" w:eastAsia="MS Mincho" w:hAnsi="Palatino Linotype" w:cs="Arial"/>
          <w:i/>
        </w:rPr>
        <w:t xml:space="preserve"> </w:t>
      </w:r>
      <w:r w:rsidRPr="00A70AFB">
        <w:rPr>
          <w:rFonts w:ascii="Palatino Linotype" w:eastAsia="MS Mincho" w:hAnsi="Palatino Linotype" w:cs="Arial"/>
          <w:i/>
        </w:rPr>
        <w:t>público de transporte es propiedad o se tiene en posesión de la persona física y/o jurídico colectiva a quien se le</w:t>
      </w:r>
      <w:r>
        <w:rPr>
          <w:rFonts w:ascii="Palatino Linotype" w:eastAsia="MS Mincho" w:hAnsi="Palatino Linotype" w:cs="Arial"/>
          <w:i/>
        </w:rPr>
        <w:t xml:space="preserve"> </w:t>
      </w:r>
      <w:r w:rsidRPr="00A70AFB">
        <w:rPr>
          <w:rFonts w:ascii="Palatino Linotype" w:eastAsia="MS Mincho" w:hAnsi="Palatino Linotype" w:cs="Arial"/>
          <w:i/>
        </w:rPr>
        <w:t>otorga la concesión (factura endosada a favor del titular de la concesión acompañada de contrato de compraventa o</w:t>
      </w:r>
      <w:r>
        <w:rPr>
          <w:rFonts w:ascii="Palatino Linotype" w:eastAsia="MS Mincho" w:hAnsi="Palatino Linotype" w:cs="Arial"/>
          <w:i/>
        </w:rPr>
        <w:t xml:space="preserve"> </w:t>
      </w:r>
      <w:r w:rsidRPr="00A70AFB">
        <w:rPr>
          <w:rFonts w:ascii="Palatino Linotype" w:eastAsia="MS Mincho" w:hAnsi="Palatino Linotype" w:cs="Arial"/>
          <w:i/>
        </w:rPr>
        <w:t>carta factura en caso de financiamiento, con una vigencia no mayor a treinta días naturales a partir de su expedición)</w:t>
      </w:r>
      <w:r>
        <w:rPr>
          <w:rFonts w:ascii="Palatino Linotype" w:eastAsia="MS Mincho" w:hAnsi="Palatino Linotype" w:cs="Arial"/>
          <w:i/>
        </w:rPr>
        <w:t xml:space="preserve"> </w:t>
      </w:r>
      <w:r w:rsidRPr="00A70AFB">
        <w:rPr>
          <w:rFonts w:ascii="Palatino Linotype" w:eastAsia="MS Mincho" w:hAnsi="Palatino Linotype" w:cs="Arial"/>
          <w:i/>
        </w:rPr>
        <w:t>y en caso de contar con la posesión del vehículo para su uso, presentar el documento legal que lo acredite.</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3.6. Último recibo oficial del pago del impuesto sobre tenencia o uso de vehículos, cuando el vehículo este registrado en el Estado de México, y últimos cinco recibos tratándose de vehículos registrados en otra entidad federativa, así como comprobante de pago y baja del vehículo, según sea el caso:</w:t>
      </w:r>
      <w:r w:rsidRPr="00A70AFB">
        <w:rPr>
          <w:rFonts w:ascii="Palatino Linotype" w:eastAsia="MS Mincho" w:hAnsi="Palatino Linotype" w:cs="Arial"/>
          <w:i/>
        </w:rPr>
        <w:t xml:space="preserve"> Formato emitido por</w:t>
      </w:r>
      <w:r>
        <w:rPr>
          <w:rFonts w:ascii="Palatino Linotype" w:eastAsia="MS Mincho" w:hAnsi="Palatino Linotype" w:cs="Arial"/>
          <w:i/>
        </w:rPr>
        <w:t xml:space="preserve"> </w:t>
      </w:r>
      <w:r w:rsidRPr="00A70AFB">
        <w:rPr>
          <w:rFonts w:ascii="Palatino Linotype" w:eastAsia="MS Mincho" w:hAnsi="Palatino Linotype" w:cs="Arial"/>
          <w:i/>
        </w:rPr>
        <w:t>la autoridad competente por el pago de tenencia y uso de vehículo del año en que se materializa el otorgamiento de la</w:t>
      </w:r>
      <w:r>
        <w:rPr>
          <w:rFonts w:ascii="Palatino Linotype" w:eastAsia="MS Mincho" w:hAnsi="Palatino Linotype" w:cs="Arial"/>
          <w:i/>
        </w:rPr>
        <w:t xml:space="preserve"> </w:t>
      </w:r>
      <w:r w:rsidRPr="00A70AFB">
        <w:rPr>
          <w:rFonts w:ascii="Palatino Linotype" w:eastAsia="MS Mincho" w:hAnsi="Palatino Linotype" w:cs="Arial"/>
          <w:i/>
        </w:rPr>
        <w:t>concesión, demostrando estar al corriente en el pago de dicho impuesto.</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3.7. Póliza de seguro vigente que cubra responsabilidad civil al viajero y daños a terceros de acuerdo del número de ocupantes:</w:t>
      </w:r>
      <w:r w:rsidRPr="00A70AFB">
        <w:rPr>
          <w:rFonts w:ascii="Palatino Linotype" w:eastAsia="MS Mincho" w:hAnsi="Palatino Linotype" w:cs="Arial"/>
          <w:i/>
        </w:rPr>
        <w:t xml:space="preserve"> Póliza de seguro contratado a favor de la persona física y/o jurídica colectiva que cubra</w:t>
      </w:r>
      <w:r>
        <w:rPr>
          <w:rFonts w:ascii="Palatino Linotype" w:eastAsia="MS Mincho" w:hAnsi="Palatino Linotype" w:cs="Arial"/>
          <w:i/>
        </w:rPr>
        <w:t xml:space="preserve"> </w:t>
      </w:r>
      <w:r w:rsidRPr="00A70AFB">
        <w:rPr>
          <w:rFonts w:ascii="Palatino Linotype" w:eastAsia="MS Mincho" w:hAnsi="Palatino Linotype" w:cs="Arial"/>
          <w:i/>
        </w:rPr>
        <w:t>responsabilidad civil a viajeros y daños a terceros en caso de siniestro del automotor durante la vigencia de la</w:t>
      </w:r>
      <w:r>
        <w:rPr>
          <w:rFonts w:ascii="Palatino Linotype" w:eastAsia="MS Mincho" w:hAnsi="Palatino Linotype" w:cs="Arial"/>
          <w:i/>
        </w:rPr>
        <w:t xml:space="preserve"> </w:t>
      </w:r>
      <w:r w:rsidRPr="00A70AFB">
        <w:rPr>
          <w:rFonts w:ascii="Palatino Linotype" w:eastAsia="MS Mincho" w:hAnsi="Palatino Linotype" w:cs="Arial"/>
          <w:i/>
        </w:rPr>
        <w:t>concesión.</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3.8. Orden de pago por estudio técnico y recibo:</w:t>
      </w:r>
      <w:r w:rsidRPr="00A70AFB">
        <w:rPr>
          <w:rFonts w:ascii="Palatino Linotype" w:eastAsia="MS Mincho" w:hAnsi="Palatino Linotype" w:cs="Arial"/>
          <w:i/>
        </w:rPr>
        <w:t xml:space="preserve"> Documento expedido por la autoridad competente para realizar el</w:t>
      </w:r>
      <w:r>
        <w:rPr>
          <w:rFonts w:ascii="Palatino Linotype" w:eastAsia="MS Mincho" w:hAnsi="Palatino Linotype" w:cs="Arial"/>
          <w:i/>
        </w:rPr>
        <w:t xml:space="preserve"> </w:t>
      </w:r>
      <w:r w:rsidRPr="00A70AFB">
        <w:rPr>
          <w:rFonts w:ascii="Palatino Linotype" w:eastAsia="MS Mincho" w:hAnsi="Palatino Linotype" w:cs="Arial"/>
          <w:i/>
        </w:rPr>
        <w:t>pago de derechos por la realización de estudios técnicos, así como recibo oficial o ficha de depósito ante la institución</w:t>
      </w:r>
      <w:r>
        <w:rPr>
          <w:rFonts w:ascii="Palatino Linotype" w:eastAsia="MS Mincho" w:hAnsi="Palatino Linotype" w:cs="Arial"/>
          <w:i/>
        </w:rPr>
        <w:t xml:space="preserve"> </w:t>
      </w:r>
      <w:r w:rsidRPr="00A70AFB">
        <w:rPr>
          <w:rFonts w:ascii="Palatino Linotype" w:eastAsia="MS Mincho" w:hAnsi="Palatino Linotype" w:cs="Arial"/>
          <w:i/>
        </w:rPr>
        <w:t>bancaria a favor de la Secretaría de Finanzas que acredite que el solicitante haya efectuado el depósito del importe</w:t>
      </w:r>
      <w:r>
        <w:rPr>
          <w:rFonts w:ascii="Palatino Linotype" w:eastAsia="MS Mincho" w:hAnsi="Palatino Linotype" w:cs="Arial"/>
          <w:i/>
        </w:rPr>
        <w:t xml:space="preserve"> </w:t>
      </w:r>
      <w:r w:rsidRPr="00A70AFB">
        <w:rPr>
          <w:rFonts w:ascii="Palatino Linotype" w:eastAsia="MS Mincho" w:hAnsi="Palatino Linotype" w:cs="Arial"/>
          <w:i/>
        </w:rPr>
        <w:t>de los derechos.</w:t>
      </w:r>
    </w:p>
    <w:p w:rsidR="00A70AFB" w:rsidRPr="0064327F" w:rsidRDefault="00A70AFB" w:rsidP="003F30DD">
      <w:pPr>
        <w:spacing w:after="0" w:line="240" w:lineRule="auto"/>
        <w:ind w:left="360" w:right="567"/>
        <w:jc w:val="both"/>
        <w:rPr>
          <w:rFonts w:ascii="Palatino Linotype" w:eastAsia="MS Mincho" w:hAnsi="Palatino Linotype" w:cs="Arial"/>
          <w:i/>
          <w:u w:val="single"/>
        </w:rPr>
      </w:pPr>
      <w:r w:rsidRPr="0064327F">
        <w:rPr>
          <w:rFonts w:ascii="Palatino Linotype" w:eastAsia="MS Mincho" w:hAnsi="Palatino Linotype" w:cs="Arial"/>
          <w:b/>
          <w:i/>
          <w:u w:val="single"/>
        </w:rPr>
        <w:t>3.9. Estudio técnico:</w:t>
      </w:r>
      <w:r w:rsidRPr="0064327F">
        <w:rPr>
          <w:rFonts w:ascii="Palatino Linotype" w:eastAsia="MS Mincho" w:hAnsi="Palatino Linotype" w:cs="Arial"/>
          <w:i/>
          <w:u w:val="single"/>
        </w:rPr>
        <w:t xml:space="preserve"> Documento oficial a través del cual se realiza la declaratoria de existencia de necesidad pública de transporte.</w:t>
      </w:r>
    </w:p>
    <w:p w:rsidR="00A70AFB" w:rsidRPr="00A70AFB" w:rsidRDefault="00A70AFB" w:rsidP="003F30DD">
      <w:pPr>
        <w:spacing w:after="0" w:line="240" w:lineRule="auto"/>
        <w:ind w:left="360" w:right="567"/>
        <w:jc w:val="both"/>
        <w:rPr>
          <w:rFonts w:ascii="Palatino Linotype" w:eastAsia="MS Mincho" w:hAnsi="Palatino Linotype" w:cs="Arial"/>
          <w:i/>
        </w:rPr>
      </w:pPr>
      <w:r w:rsidRPr="003F30DD">
        <w:rPr>
          <w:rFonts w:ascii="Palatino Linotype" w:eastAsia="MS Mincho" w:hAnsi="Palatino Linotype" w:cs="Arial"/>
          <w:b/>
          <w:i/>
        </w:rPr>
        <w:t>3.10. Recibo de pago por la concesión:</w:t>
      </w:r>
      <w:r w:rsidRPr="00A70AFB">
        <w:rPr>
          <w:rFonts w:ascii="Palatino Linotype" w:eastAsia="MS Mincho" w:hAnsi="Palatino Linotype" w:cs="Arial"/>
          <w:i/>
        </w:rPr>
        <w:t xml:space="preserve"> Recibo oficial o ficha de depósito ante la institución bancaria a favor de la</w:t>
      </w:r>
      <w:r>
        <w:rPr>
          <w:rFonts w:ascii="Palatino Linotype" w:eastAsia="MS Mincho" w:hAnsi="Palatino Linotype" w:cs="Arial"/>
          <w:i/>
        </w:rPr>
        <w:t xml:space="preserve"> </w:t>
      </w:r>
      <w:r w:rsidRPr="00A70AFB">
        <w:rPr>
          <w:rFonts w:ascii="Palatino Linotype" w:eastAsia="MS Mincho" w:hAnsi="Palatino Linotype" w:cs="Arial"/>
          <w:i/>
        </w:rPr>
        <w:t>Secretaría de Finanzas que acredite que el solicitante haya efectuado el depósito de los derechos.</w:t>
      </w:r>
    </w:p>
    <w:p w:rsidR="00A70AFB" w:rsidRDefault="00A70AFB" w:rsidP="003F30DD">
      <w:pPr>
        <w:spacing w:after="0" w:line="240" w:lineRule="auto"/>
        <w:ind w:left="360" w:right="567"/>
        <w:jc w:val="both"/>
        <w:rPr>
          <w:rFonts w:ascii="Palatino Linotype" w:eastAsia="MS Mincho" w:hAnsi="Palatino Linotype" w:cs="Arial"/>
        </w:rPr>
      </w:pPr>
      <w:r w:rsidRPr="003F30DD">
        <w:rPr>
          <w:rFonts w:ascii="Palatino Linotype" w:eastAsia="MS Mincho" w:hAnsi="Palatino Linotype" w:cs="Arial"/>
          <w:b/>
          <w:i/>
        </w:rPr>
        <w:t xml:space="preserve">3.11. Acta de nacimiento, CURP o credencial para votar, expedida por el Instituto Nacional Electoral de dos beneficiarios: </w:t>
      </w:r>
      <w:r w:rsidRPr="00A70AFB">
        <w:rPr>
          <w:rFonts w:ascii="Palatino Linotype" w:eastAsia="MS Mincho" w:hAnsi="Palatino Linotype" w:cs="Arial"/>
          <w:i/>
        </w:rPr>
        <w:t xml:space="preserve">Estos documentos se integraran al expediente y </w:t>
      </w:r>
      <w:r w:rsidRPr="00A70AFB">
        <w:rPr>
          <w:rFonts w:ascii="Palatino Linotype" w:eastAsia="MS Mincho" w:hAnsi="Palatino Linotype" w:cs="Arial"/>
          <w:i/>
        </w:rPr>
        <w:lastRenderedPageBreak/>
        <w:t>se registraran en el título de concesión, estos en caso</w:t>
      </w:r>
      <w:r>
        <w:rPr>
          <w:rFonts w:ascii="Palatino Linotype" w:eastAsia="MS Mincho" w:hAnsi="Palatino Linotype" w:cs="Arial"/>
          <w:i/>
        </w:rPr>
        <w:t xml:space="preserve"> </w:t>
      </w:r>
      <w:r w:rsidRPr="00A70AFB">
        <w:rPr>
          <w:rFonts w:ascii="Palatino Linotype" w:eastAsia="MS Mincho" w:hAnsi="Palatino Linotype" w:cs="Arial"/>
          <w:i/>
        </w:rPr>
        <w:t>de defunción del titular, podrán seguir obteniendo los beneficios de la misma, siempre y cuando cumplan con lo</w:t>
      </w:r>
      <w:r>
        <w:rPr>
          <w:rFonts w:ascii="Palatino Linotype" w:eastAsia="MS Mincho" w:hAnsi="Palatino Linotype" w:cs="Arial"/>
          <w:i/>
        </w:rPr>
        <w:t xml:space="preserve"> </w:t>
      </w:r>
      <w:r w:rsidRPr="00A70AFB">
        <w:rPr>
          <w:rFonts w:ascii="Palatino Linotype" w:eastAsia="MS Mincho" w:hAnsi="Palatino Linotype" w:cs="Arial"/>
          <w:i/>
        </w:rPr>
        <w:t>establecido por la autoridad administrativa.</w:t>
      </w:r>
      <w:r w:rsidR="003F30DD">
        <w:rPr>
          <w:rFonts w:ascii="Palatino Linotype" w:eastAsia="MS Mincho" w:hAnsi="Palatino Linotype" w:cs="Arial"/>
          <w:i/>
        </w:rPr>
        <w:t>”</w:t>
      </w:r>
    </w:p>
    <w:p w:rsidR="003F30DD" w:rsidRPr="003F30DD" w:rsidRDefault="003F30DD" w:rsidP="003F30DD">
      <w:pPr>
        <w:spacing w:after="0" w:line="240" w:lineRule="auto"/>
        <w:ind w:left="360" w:right="567"/>
        <w:jc w:val="right"/>
        <w:rPr>
          <w:rFonts w:ascii="Palatino Linotype" w:eastAsia="MS Mincho" w:hAnsi="Palatino Linotype" w:cs="Arial"/>
        </w:rPr>
      </w:pPr>
      <w:r w:rsidRPr="003F30DD">
        <w:rPr>
          <w:rFonts w:ascii="Palatino Linotype" w:eastAsia="MS Mincho" w:hAnsi="Palatino Linotype" w:cs="Arial"/>
        </w:rPr>
        <w:t>(Énfasis añadido)</w:t>
      </w:r>
    </w:p>
    <w:p w:rsidR="00125A8B" w:rsidRDefault="00125A8B" w:rsidP="003F30DD">
      <w:pPr>
        <w:spacing w:after="0" w:line="360" w:lineRule="auto"/>
        <w:jc w:val="both"/>
        <w:rPr>
          <w:rFonts w:ascii="Palatino Linotype" w:eastAsia="MS Mincho" w:hAnsi="Palatino Linotype" w:cs="Arial"/>
          <w:sz w:val="24"/>
          <w:szCs w:val="24"/>
          <w:lang w:val="es-ES"/>
        </w:rPr>
      </w:pPr>
    </w:p>
    <w:p w:rsidR="000C0F34" w:rsidRDefault="003F30DD" w:rsidP="003F30D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Preceptos normativos de los que podemos observar, establecen los requisitos que dentro de las distintas unidades administrativas que integran la estructura orgánica del Sujeto Obligado se encuentra el Departamento de Concesiones y Autorizaciones, quien dentro de sus diversas atribuciones se encuentran las relativas a los procedimientos de regularización de otorgamiento de concesiones de transporte público, debiendo integrar los expedientes respectivos, precisándose de igual manera que debe contenerse las identificaciones de los titulares de las concesiones y/o sus representantes.</w:t>
      </w:r>
      <w:r w:rsidR="0064327F">
        <w:rPr>
          <w:rFonts w:ascii="Palatino Linotype" w:eastAsia="Calibri" w:hAnsi="Palatino Linotype"/>
          <w:sz w:val="24"/>
          <w:lang w:val="es-ES_tradnl"/>
        </w:rPr>
        <w:t xml:space="preserve"> Así como, lo relativo al estudio técnico, en el cual se establece la necesidad pública de transporte en una zona territorial o demarcación.</w:t>
      </w:r>
    </w:p>
    <w:p w:rsidR="003F30DD" w:rsidRDefault="003F30DD" w:rsidP="003F30DD">
      <w:pPr>
        <w:spacing w:after="0" w:line="360" w:lineRule="auto"/>
        <w:jc w:val="both"/>
        <w:rPr>
          <w:rFonts w:ascii="Palatino Linotype" w:eastAsia="Calibri" w:hAnsi="Palatino Linotype"/>
          <w:sz w:val="24"/>
          <w:lang w:val="es-ES_tradnl"/>
        </w:rPr>
      </w:pPr>
    </w:p>
    <w:p w:rsidR="003F30DD" w:rsidRDefault="003F30DD" w:rsidP="003F30D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En ese orden de ideas, se acredita la existencia de la </w:t>
      </w:r>
      <w:r w:rsidR="0064327F">
        <w:rPr>
          <w:rFonts w:ascii="Palatino Linotype" w:eastAsia="Calibri" w:hAnsi="Palatino Linotype"/>
          <w:sz w:val="24"/>
          <w:lang w:val="es-ES_tradnl"/>
        </w:rPr>
        <w:t>fuente</w:t>
      </w:r>
      <w:r>
        <w:rPr>
          <w:rFonts w:ascii="Palatino Linotype" w:eastAsia="Calibri" w:hAnsi="Palatino Linotype"/>
          <w:sz w:val="24"/>
          <w:lang w:val="es-ES_tradnl"/>
        </w:rPr>
        <w:t xml:space="preserve"> obligacional </w:t>
      </w:r>
      <w:r w:rsidR="0064327F">
        <w:rPr>
          <w:rFonts w:ascii="Palatino Linotype" w:eastAsia="Calibri" w:hAnsi="Palatino Linotype"/>
          <w:sz w:val="24"/>
          <w:lang w:val="es-ES_tradnl"/>
        </w:rPr>
        <w:t>que establece la obligación de tener en sus archivos la información relativa a</w:t>
      </w:r>
      <w:r w:rsidR="00B9649F">
        <w:rPr>
          <w:rFonts w:ascii="Palatino Linotype" w:eastAsia="Calibri" w:hAnsi="Palatino Linotype"/>
          <w:sz w:val="24"/>
          <w:lang w:val="es-ES_tradnl"/>
        </w:rPr>
        <w:t xml:space="preserve">l nombre </w:t>
      </w:r>
      <w:r w:rsidR="0064327F">
        <w:rPr>
          <w:rFonts w:ascii="Palatino Linotype" w:eastAsia="Calibri" w:hAnsi="Palatino Linotype"/>
          <w:sz w:val="24"/>
          <w:lang w:val="es-ES_tradnl"/>
        </w:rPr>
        <w:t xml:space="preserve">del representante legal y el domicilio </w:t>
      </w:r>
      <w:r w:rsidR="00B9649F">
        <w:rPr>
          <w:rFonts w:ascii="Palatino Linotype" w:eastAsia="Calibri" w:hAnsi="Palatino Linotype"/>
          <w:sz w:val="24"/>
          <w:lang w:val="es-ES_tradnl"/>
        </w:rPr>
        <w:t xml:space="preserve">(municipio) </w:t>
      </w:r>
      <w:r w:rsidR="001268B1">
        <w:rPr>
          <w:rFonts w:ascii="Palatino Linotype" w:eastAsia="Calibri" w:hAnsi="Palatino Linotype"/>
          <w:sz w:val="24"/>
          <w:lang w:val="es-ES_tradnl"/>
        </w:rPr>
        <w:t>en que se presta el servicio público.</w:t>
      </w:r>
      <w:r w:rsidR="00B9649F">
        <w:rPr>
          <w:rFonts w:ascii="Palatino Linotype" w:eastAsia="Calibri" w:hAnsi="Palatino Linotype"/>
          <w:sz w:val="24"/>
          <w:lang w:val="es-ES_tradnl"/>
        </w:rPr>
        <w:t xml:space="preserve"> Por lo que resulta dable ordenar su entrega, debiendo observar lo relativo a la clasificación de los datos de carácter sensible y confidencial</w:t>
      </w:r>
      <w:r w:rsidR="00D72D90">
        <w:rPr>
          <w:rFonts w:ascii="Palatino Linotype" w:eastAsia="Calibri" w:hAnsi="Palatino Linotype"/>
          <w:sz w:val="24"/>
          <w:lang w:val="es-ES_tradnl"/>
        </w:rPr>
        <w:t>.</w:t>
      </w:r>
    </w:p>
    <w:p w:rsidR="00D72D90" w:rsidRDefault="00D72D90" w:rsidP="003F30DD">
      <w:pPr>
        <w:spacing w:after="0" w:line="360" w:lineRule="auto"/>
        <w:jc w:val="both"/>
        <w:rPr>
          <w:rFonts w:ascii="Palatino Linotype" w:eastAsia="Calibri" w:hAnsi="Palatino Linotype"/>
          <w:sz w:val="24"/>
          <w:lang w:val="es-ES_tradnl"/>
        </w:rPr>
      </w:pPr>
    </w:p>
    <w:p w:rsidR="002024A4" w:rsidRDefault="00B9649F" w:rsidP="003F30DD">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Finalmente, </w:t>
      </w:r>
      <w:r w:rsidR="001268B1">
        <w:rPr>
          <w:rFonts w:ascii="Palatino Linotype" w:eastAsia="MS Mincho" w:hAnsi="Palatino Linotype" w:cs="Arial"/>
          <w:sz w:val="24"/>
          <w:szCs w:val="24"/>
          <w:lang w:val="es-ES"/>
        </w:rPr>
        <w:t>de los ordenamientos normativos, no se advierte atribución relativa a administrar los medios de contacto y/o teléfono de la empresa o representante legal, consecuentemente, de conformidad con los artículos 12 y 24 de la Ley de Transparencia Local, no resulta dable ordenar su entrega, al carecer de fuente obligacional que lo constriña a tener en sus archivos la información.</w:t>
      </w:r>
    </w:p>
    <w:p w:rsidR="002024A4" w:rsidRDefault="002024A4" w:rsidP="003F30DD">
      <w:pPr>
        <w:spacing w:after="0" w:line="360" w:lineRule="auto"/>
        <w:jc w:val="both"/>
        <w:rPr>
          <w:rFonts w:ascii="Palatino Linotype" w:eastAsia="MS Mincho" w:hAnsi="Palatino Linotype" w:cs="Arial"/>
          <w:sz w:val="24"/>
          <w:szCs w:val="24"/>
          <w:lang w:val="es-ES"/>
        </w:rPr>
      </w:pPr>
    </w:p>
    <w:p w:rsidR="003D37B1" w:rsidRPr="00A97C22" w:rsidRDefault="003D37B1" w:rsidP="003F30DD">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lastRenderedPageBreak/>
        <w:t>De la versión pública</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97C22">
        <w:rPr>
          <w:rFonts w:ascii="Palatino Linotype" w:hAnsi="Palatino Linotype" w:cs="Arial"/>
          <w:b/>
          <w:sz w:val="24"/>
          <w:szCs w:val="24"/>
        </w:rPr>
        <w:t>Registro Federal de Contribuyentes</w:t>
      </w:r>
      <w:r w:rsidRPr="00A97C22">
        <w:rPr>
          <w:rFonts w:ascii="Palatino Linotype" w:hAnsi="Palatino Linotype" w:cs="Arial"/>
          <w:sz w:val="24"/>
          <w:szCs w:val="24"/>
        </w:rPr>
        <w:t xml:space="preserve"> (RFC), la </w:t>
      </w:r>
      <w:r w:rsidRPr="00A97C22">
        <w:rPr>
          <w:rFonts w:ascii="Palatino Linotype" w:hAnsi="Palatino Linotype" w:cs="Arial"/>
          <w:b/>
          <w:sz w:val="24"/>
          <w:szCs w:val="24"/>
        </w:rPr>
        <w:t>Clave Única de Registro de Población</w:t>
      </w:r>
      <w:r w:rsidRPr="00A97C22">
        <w:rPr>
          <w:rFonts w:ascii="Palatino Linotype" w:hAnsi="Palatino Linotype" w:cs="Arial"/>
          <w:sz w:val="24"/>
          <w:szCs w:val="24"/>
        </w:rPr>
        <w:t xml:space="preserve"> (CURP)</w:t>
      </w:r>
      <w:r>
        <w:rPr>
          <w:rFonts w:ascii="Palatino Linotype" w:hAnsi="Palatino Linotype" w:cs="Arial"/>
          <w:sz w:val="24"/>
          <w:szCs w:val="24"/>
        </w:rPr>
        <w:t>.</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“Registro Federal de Contribuyentes (RFC) de las personas físicas es un dato personal confidencial. </w:t>
      </w:r>
      <w:r w:rsidRPr="00A97C22">
        <w:rPr>
          <w:rFonts w:ascii="Palatino Linotype" w:hAnsi="Palatino Linotype" w:cs="Arial"/>
          <w:i/>
        </w:rPr>
        <w:t>De conformidad con lo establecido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 xml:space="preserve">Gubernamental </w:t>
      </w:r>
      <w:r w:rsidRPr="00A97C22">
        <w:rPr>
          <w:rFonts w:ascii="Palatino Linotype" w:hAnsi="Palatino Linotype" w:cs="Arial"/>
          <w:i/>
          <w:u w:val="single"/>
        </w:rPr>
        <w:t>se considera información confidencial los datos personales que</w:t>
      </w:r>
      <w:r w:rsidRPr="00A97C22">
        <w:rPr>
          <w:rFonts w:ascii="Palatino Linotype" w:hAnsi="Palatino Linotype" w:cs="Arial"/>
          <w:bCs/>
          <w:i/>
          <w:u w:val="single"/>
        </w:rPr>
        <w:t xml:space="preserve"> </w:t>
      </w:r>
      <w:r w:rsidRPr="00A97C22">
        <w:rPr>
          <w:rFonts w:ascii="Palatino Linotype" w:hAnsi="Palatino Linotype" w:cs="Arial"/>
          <w:i/>
          <w:u w:val="single"/>
        </w:rPr>
        <w:t>requieren el consentimiento de los individuos para su difusión, distribución o</w:t>
      </w:r>
      <w:r w:rsidRPr="00A97C22">
        <w:rPr>
          <w:rFonts w:ascii="Palatino Linotype" w:hAnsi="Palatino Linotype" w:cs="Arial"/>
          <w:bCs/>
          <w:i/>
          <w:u w:val="single"/>
        </w:rPr>
        <w:t xml:space="preserve"> </w:t>
      </w:r>
      <w:r w:rsidRPr="00A97C22">
        <w:rPr>
          <w:rFonts w:ascii="Palatino Linotype" w:hAnsi="Palatino Linotype" w:cs="Arial"/>
          <w:i/>
          <w:u w:val="single"/>
        </w:rPr>
        <w:t>comercialización en los términos de esta Ley. Por su parte, según dispone el</w:t>
      </w:r>
      <w:r w:rsidRPr="00A97C22">
        <w:rPr>
          <w:rFonts w:ascii="Palatino Linotype" w:hAnsi="Palatino Linotype" w:cs="Arial"/>
          <w:bCs/>
          <w:i/>
          <w:u w:val="single"/>
        </w:rPr>
        <w:t xml:space="preserve"> </w:t>
      </w:r>
      <w:r w:rsidRPr="00A97C22">
        <w:rPr>
          <w:rFonts w:ascii="Palatino Linotype" w:hAnsi="Palatino Linotype" w:cs="Arial"/>
          <w:i/>
          <w:u w:val="single"/>
        </w:rPr>
        <w:t>artículo 3, fracción II de la Ley Federal de Transparencia y Acceso a la Información</w:t>
      </w:r>
      <w:r w:rsidRPr="00A97C22">
        <w:rPr>
          <w:rFonts w:ascii="Palatino Linotype" w:hAnsi="Palatino Linotype" w:cs="Arial"/>
          <w:bCs/>
          <w:i/>
          <w:u w:val="single"/>
        </w:rPr>
        <w:t xml:space="preserve"> </w:t>
      </w:r>
      <w:r w:rsidRPr="00A97C22">
        <w:rPr>
          <w:rFonts w:ascii="Palatino Linotype" w:hAnsi="Palatino Linotype" w:cs="Arial"/>
          <w:i/>
          <w:u w:val="single"/>
        </w:rPr>
        <w:t>Pública Gubernamental, dato personal es toda aquella información concerniente a</w:t>
      </w:r>
      <w:r w:rsidRPr="00A97C22">
        <w:rPr>
          <w:rFonts w:ascii="Palatino Linotype" w:hAnsi="Palatino Linotype" w:cs="Arial"/>
          <w:bCs/>
          <w:i/>
          <w:u w:val="single"/>
        </w:rPr>
        <w:t xml:space="preserve"> </w:t>
      </w:r>
      <w:r w:rsidRPr="00A97C22">
        <w:rPr>
          <w:rFonts w:ascii="Palatino Linotype" w:hAnsi="Palatino Linotype" w:cs="Arial"/>
          <w:i/>
          <w:u w:val="single"/>
        </w:rPr>
        <w:t>una persona física identificada o identificable</w:t>
      </w:r>
      <w:r w:rsidRPr="00A97C22">
        <w:rPr>
          <w:rFonts w:ascii="Palatino Linotype" w:hAnsi="Palatino Linotype" w:cs="Arial"/>
          <w:i/>
        </w:rPr>
        <w:t xml:space="preserve">. Para </w:t>
      </w:r>
      <w:r w:rsidRPr="00A97C22">
        <w:rPr>
          <w:rFonts w:ascii="Palatino Linotype" w:hAnsi="Palatino Linotype" w:cs="Arial"/>
          <w:i/>
          <w:u w:val="single"/>
        </w:rPr>
        <w:t>obtener el RFC es necesario</w:t>
      </w:r>
      <w:r w:rsidRPr="00A97C22">
        <w:rPr>
          <w:rFonts w:ascii="Palatino Linotype" w:hAnsi="Palatino Linotype" w:cs="Arial"/>
          <w:b/>
          <w:bCs/>
          <w:i/>
          <w:u w:val="single"/>
        </w:rPr>
        <w:t xml:space="preserve"> </w:t>
      </w:r>
      <w:r w:rsidRPr="00A97C22">
        <w:rPr>
          <w:rFonts w:ascii="Palatino Linotype" w:hAnsi="Palatino Linotype" w:cs="Arial"/>
          <w:i/>
          <w:u w:val="single"/>
        </w:rPr>
        <w:t>acreditar previamente mediante documentos oficiales (pasaporte, acta de</w:t>
      </w:r>
      <w:r w:rsidRPr="00A97C22">
        <w:rPr>
          <w:rFonts w:ascii="Palatino Linotype" w:hAnsi="Palatino Linotype" w:cs="Arial"/>
          <w:b/>
          <w:bCs/>
          <w:i/>
          <w:u w:val="single"/>
        </w:rPr>
        <w:t xml:space="preserve"> </w:t>
      </w:r>
      <w:r w:rsidRPr="00A97C22">
        <w:rPr>
          <w:rFonts w:ascii="Palatino Linotype" w:hAnsi="Palatino Linotype" w:cs="Arial"/>
          <w:i/>
          <w:u w:val="single"/>
        </w:rPr>
        <w:t>nacimiento, etc.) la identidad de la persona, su fecha y lugar de nacimiento, entre</w:t>
      </w:r>
      <w:r w:rsidRPr="00A97C22">
        <w:rPr>
          <w:rFonts w:ascii="Palatino Linotype" w:hAnsi="Palatino Linotype" w:cs="Arial"/>
          <w:b/>
          <w:bCs/>
          <w:i/>
          <w:u w:val="single"/>
        </w:rPr>
        <w:t xml:space="preserve"> </w:t>
      </w:r>
      <w:r w:rsidRPr="00A97C22">
        <w:rPr>
          <w:rFonts w:ascii="Palatino Linotype" w:hAnsi="Palatino Linotype" w:cs="Arial"/>
          <w:i/>
          <w:u w:val="single"/>
        </w:rPr>
        <w:t xml:space="preserve">otros. </w:t>
      </w:r>
      <w:r w:rsidRPr="00A97C22">
        <w:rPr>
          <w:rFonts w:ascii="Palatino Linotype" w:hAnsi="Palatino Linotype" w:cs="Arial"/>
          <w:i/>
        </w:rPr>
        <w:t>De acuerdo con la legislación tributaria, las personas físicas tramitan su</w:t>
      </w:r>
      <w:r w:rsidRPr="00A97C22">
        <w:rPr>
          <w:rFonts w:ascii="Palatino Linotype" w:hAnsi="Palatino Linotype" w:cs="Arial"/>
          <w:b/>
          <w:bCs/>
          <w:i/>
        </w:rPr>
        <w:t xml:space="preserve"> </w:t>
      </w:r>
      <w:r w:rsidRPr="00A97C22">
        <w:rPr>
          <w:rFonts w:ascii="Palatino Linotype" w:hAnsi="Palatino Linotype" w:cs="Arial"/>
          <w:i/>
        </w:rPr>
        <w:t xml:space="preserve">inscripción en el </w:t>
      </w:r>
      <w:r w:rsidRPr="00A97C22">
        <w:rPr>
          <w:rFonts w:ascii="Palatino Linotype" w:hAnsi="Palatino Linotype" w:cs="Arial"/>
          <w:i/>
        </w:rPr>
        <w:lastRenderedPageBreak/>
        <w:t>Registro Federal de Contribuyentes con el único propósito de</w:t>
      </w:r>
      <w:r w:rsidRPr="00A97C22">
        <w:rPr>
          <w:rFonts w:ascii="Palatino Linotype" w:hAnsi="Palatino Linotype" w:cs="Arial"/>
          <w:b/>
          <w:bCs/>
          <w:i/>
        </w:rPr>
        <w:t xml:space="preserve"> </w:t>
      </w:r>
      <w:r w:rsidRPr="00A97C22">
        <w:rPr>
          <w:rFonts w:ascii="Palatino Linotype" w:hAnsi="Palatino Linotype" w:cs="Arial"/>
          <w:i/>
        </w:rPr>
        <w:t>realizar mediante esa clave de identificación, operaciones o actividades de</w:t>
      </w:r>
      <w:r w:rsidRPr="00A97C22">
        <w:rPr>
          <w:rFonts w:ascii="Palatino Linotype" w:hAnsi="Palatino Linotype" w:cs="Arial"/>
          <w:b/>
          <w:bCs/>
          <w:i/>
        </w:rPr>
        <w:t xml:space="preserve"> </w:t>
      </w:r>
      <w:r w:rsidRPr="00A97C22">
        <w:rPr>
          <w:rFonts w:ascii="Palatino Linotype" w:hAnsi="Palatino Linotype" w:cs="Arial"/>
          <w:i/>
        </w:rPr>
        <w:t>naturaleza tributaria. En este sentido, el artículo 79 del Código Fiscal de la</w:t>
      </w:r>
      <w:r w:rsidRPr="00A97C22">
        <w:rPr>
          <w:rFonts w:ascii="Palatino Linotype" w:hAnsi="Palatino Linotype" w:cs="Arial"/>
          <w:b/>
          <w:bCs/>
          <w:i/>
        </w:rPr>
        <w:t xml:space="preserve"> </w:t>
      </w:r>
      <w:r w:rsidRPr="00A97C22">
        <w:rPr>
          <w:rFonts w:ascii="Palatino Linotype" w:hAnsi="Palatino Linotype" w:cs="Arial"/>
          <w:i/>
        </w:rPr>
        <w:t>Federación prevé que la utilización de una clave de registro no asignada por la</w:t>
      </w:r>
      <w:r w:rsidRPr="00A97C22">
        <w:rPr>
          <w:rFonts w:ascii="Palatino Linotype" w:hAnsi="Palatino Linotype" w:cs="Arial"/>
          <w:b/>
          <w:bCs/>
          <w:i/>
        </w:rPr>
        <w:t xml:space="preserve"> </w:t>
      </w:r>
      <w:r w:rsidRPr="00A97C22">
        <w:rPr>
          <w:rFonts w:ascii="Palatino Linotype" w:hAnsi="Palatino Linotype" w:cs="Arial"/>
          <w:i/>
        </w:rPr>
        <w:t>autoridad constituye como una infracción en materia fiscal. De acuerdo con lo</w:t>
      </w:r>
      <w:r w:rsidRPr="00A97C22">
        <w:rPr>
          <w:rFonts w:ascii="Palatino Linotype" w:hAnsi="Palatino Linotype" w:cs="Arial"/>
          <w:b/>
          <w:bCs/>
          <w:i/>
        </w:rPr>
        <w:t xml:space="preserve"> </w:t>
      </w:r>
      <w:r w:rsidRPr="00A97C22">
        <w:rPr>
          <w:rFonts w:ascii="Palatino Linotype" w:hAnsi="Palatino Linotype" w:cs="Arial"/>
          <w:i/>
        </w:rPr>
        <w:t>antes apuntado, el RFC vinculado al nombre de su titular, permite identificar la</w:t>
      </w:r>
      <w:r w:rsidRPr="00A97C22">
        <w:rPr>
          <w:rFonts w:ascii="Palatino Linotype" w:hAnsi="Palatino Linotype" w:cs="Arial"/>
          <w:b/>
          <w:bCs/>
          <w:i/>
        </w:rPr>
        <w:t xml:space="preserve"> </w:t>
      </w:r>
      <w:r w:rsidRPr="00A97C22">
        <w:rPr>
          <w:rFonts w:ascii="Palatino Linotype" w:hAnsi="Palatino Linotype" w:cs="Arial"/>
          <w:i/>
        </w:rPr>
        <w:t>edad de la persona, así como su homoclave, siendo esta última única e irrepetible,</w:t>
      </w:r>
      <w:r w:rsidRPr="00A97C22">
        <w:rPr>
          <w:rFonts w:ascii="Palatino Linotype" w:hAnsi="Palatino Linotype" w:cs="Arial"/>
          <w:b/>
          <w:bCs/>
          <w:i/>
        </w:rPr>
        <w:t xml:space="preserve"> </w:t>
      </w:r>
      <w:r w:rsidRPr="00A97C22">
        <w:rPr>
          <w:rFonts w:ascii="Palatino Linotype" w:hAnsi="Palatino Linotype" w:cs="Arial"/>
          <w:i/>
        </w:rPr>
        <w:t>por lo que es posible concluir que el RFC constituye un dato personal y, por tanto,</w:t>
      </w:r>
      <w:r w:rsidRPr="00A97C22">
        <w:rPr>
          <w:rFonts w:ascii="Palatino Linotype" w:hAnsi="Palatino Linotype" w:cs="Arial"/>
          <w:b/>
          <w:bCs/>
          <w:i/>
        </w:rPr>
        <w:t xml:space="preserve"> </w:t>
      </w:r>
      <w:r w:rsidRPr="00A97C22">
        <w:rPr>
          <w:rFonts w:ascii="Palatino Linotype" w:hAnsi="Palatino Linotype" w:cs="Arial"/>
          <w:i/>
        </w:rPr>
        <w:t>información confidencial, de conformidad con los previsto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Gubernamental</w:t>
      </w:r>
      <w:r w:rsidRPr="00A97C22">
        <w:rPr>
          <w:rFonts w:ascii="Palatino Linotype" w:hAnsi="Palatino Linotype" w:cs="Arial"/>
          <w:bCs/>
          <w:i/>
        </w:rPr>
        <w:t xml:space="preserve">…” </w:t>
      </w:r>
    </w:p>
    <w:p w:rsidR="003D37B1" w:rsidRPr="00A97C22" w:rsidRDefault="003D37B1" w:rsidP="003F30DD">
      <w:pPr>
        <w:tabs>
          <w:tab w:val="left" w:pos="8647"/>
        </w:tabs>
        <w:spacing w:after="0" w:line="240" w:lineRule="auto"/>
        <w:ind w:left="567" w:right="567"/>
        <w:jc w:val="both"/>
        <w:rPr>
          <w:rFonts w:ascii="Palatino Linotype" w:hAnsi="Palatino Linotype" w:cs="Arial"/>
          <w:bCs/>
        </w:rPr>
      </w:pPr>
    </w:p>
    <w:p w:rsidR="003D37B1" w:rsidRPr="00A97C22" w:rsidRDefault="003D37B1" w:rsidP="003F30DD">
      <w:pPr>
        <w:tabs>
          <w:tab w:val="left" w:pos="8647"/>
        </w:tabs>
        <w:spacing w:after="0" w:line="240" w:lineRule="auto"/>
        <w:ind w:left="567" w:right="284"/>
        <w:jc w:val="right"/>
        <w:rPr>
          <w:rFonts w:ascii="Palatino Linotype" w:hAnsi="Palatino Linotype" w:cs="Arial"/>
        </w:rPr>
      </w:pPr>
      <w:r w:rsidRPr="00A97C22">
        <w:rPr>
          <w:rFonts w:ascii="Palatino Linotype" w:hAnsi="Palatino Linotype" w:cs="Arial"/>
        </w:rPr>
        <w:t>(Énfasis añadido)</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97C22">
        <w:rPr>
          <w:rFonts w:ascii="Palatino Linotype" w:hAnsi="Palatino Linotype" w:cs="Arial"/>
          <w:b/>
          <w:bCs/>
          <w:sz w:val="24"/>
          <w:szCs w:val="24"/>
        </w:rPr>
        <w:t xml:space="preserve">Instituto Federal de Acceso a la Información y Protección de Datos (IFAI), conforme al </w:t>
      </w:r>
      <w:r w:rsidRPr="00A97C22">
        <w:rPr>
          <w:rFonts w:ascii="Palatino Linotype" w:hAnsi="Palatino Linotype" w:cs="Arial"/>
          <w:sz w:val="24"/>
          <w:szCs w:val="24"/>
        </w:rPr>
        <w:t xml:space="preserve">criterio número 0003-10, el cual refiere: </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505"/>
        </w:tabs>
        <w:spacing w:after="0" w:line="276" w:lineRule="auto"/>
        <w:ind w:left="567" w:right="567"/>
        <w:jc w:val="both"/>
        <w:rPr>
          <w:rFonts w:ascii="Palatino Linotype" w:hAnsi="Palatino Linotype" w:cs="Arial"/>
          <w:i/>
        </w:rPr>
      </w:pPr>
      <w:r w:rsidRPr="00A97C22">
        <w:rPr>
          <w:rFonts w:ascii="Palatino Linotype" w:hAnsi="Palatino Linotype" w:cs="Arial"/>
          <w:b/>
          <w:bCs/>
          <w:i/>
        </w:rPr>
        <w:t xml:space="preserve">“Clave Única de Registro de Población (CURP) es un dato personal confidencial. </w:t>
      </w:r>
      <w:r w:rsidRPr="00A97C22">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A97C22">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97C22">
        <w:rPr>
          <w:rFonts w:ascii="Palatino Linotype" w:hAnsi="Palatino Linotype" w:cs="Arial"/>
          <w:b/>
          <w:bCs/>
          <w:i/>
        </w:rPr>
        <w:t>..</w:t>
      </w:r>
      <w:r w:rsidRPr="00A97C22">
        <w:rPr>
          <w:rFonts w:ascii="Palatino Linotype" w:hAnsi="Palatino Linotype" w:cs="Arial"/>
          <w:i/>
        </w:rPr>
        <w:t>.” (Sic)</w:t>
      </w:r>
    </w:p>
    <w:p w:rsidR="003D37B1" w:rsidRPr="00A97C22" w:rsidRDefault="003D37B1" w:rsidP="003F3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D37B1" w:rsidRPr="00A97C22" w:rsidRDefault="003D37B1" w:rsidP="003F3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D37B1" w:rsidRPr="00A97C22" w:rsidRDefault="003D37B1" w:rsidP="003F30D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A97C22">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tabs>
          <w:tab w:val="left" w:pos="8505"/>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por actualizarse cualquiera de los supuestos de clasificación previstos en la 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3D37B1" w:rsidRPr="00A97C22" w:rsidRDefault="003D37B1" w:rsidP="003F30DD">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rsidR="003D37B1" w:rsidRPr="00A97C22" w:rsidRDefault="003D37B1" w:rsidP="003F30DD">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III …</w:t>
      </w:r>
    </w:p>
    <w:p w:rsidR="003D37B1" w:rsidRPr="00A97C22" w:rsidRDefault="003D37B1" w:rsidP="003F30D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D37B1" w:rsidRPr="00A97C22" w:rsidRDefault="003D37B1" w:rsidP="003F30DD">
      <w:pPr>
        <w:tabs>
          <w:tab w:val="left" w:pos="8647"/>
        </w:tabs>
        <w:spacing w:after="0" w:line="240" w:lineRule="auto"/>
        <w:ind w:left="567" w:right="567"/>
        <w:jc w:val="right"/>
        <w:rPr>
          <w:rFonts w:ascii="Palatino Linotype" w:hAnsi="Palatino Linotype" w:cs="Arial"/>
          <w:bCs/>
        </w:rPr>
      </w:pPr>
      <w:r w:rsidRPr="00A97C22">
        <w:rPr>
          <w:rFonts w:ascii="Palatino Linotype" w:hAnsi="Palatino Linotype" w:cs="Arial"/>
          <w:bCs/>
        </w:rPr>
        <w:t>(Énfasis añadido)</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D37B1" w:rsidRPr="00A97C22" w:rsidRDefault="003D37B1" w:rsidP="003F30DD">
      <w:pPr>
        <w:tabs>
          <w:tab w:val="left" w:pos="8647"/>
        </w:tabs>
        <w:spacing w:after="0" w:line="360" w:lineRule="auto"/>
        <w:ind w:right="51"/>
        <w:jc w:val="both"/>
        <w:rPr>
          <w:rFonts w:ascii="Palatino Linotype" w:hAnsi="Palatino Linotype" w:cs="Arial"/>
          <w:sz w:val="24"/>
          <w:szCs w:val="24"/>
        </w:rPr>
      </w:pPr>
    </w:p>
    <w:p w:rsidR="003D37B1" w:rsidRPr="00A97C22" w:rsidRDefault="003D37B1" w:rsidP="003F30DD">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rsidR="003D37B1" w:rsidRDefault="003D37B1" w:rsidP="003F30DD">
      <w:pPr>
        <w:spacing w:after="0" w:line="360" w:lineRule="auto"/>
        <w:jc w:val="both"/>
        <w:rPr>
          <w:rFonts w:ascii="Palatino Linotype" w:hAnsi="Palatino Linotype" w:cs="Arial"/>
          <w:sz w:val="24"/>
          <w:szCs w:val="24"/>
          <w:lang w:val="es-ES"/>
        </w:rPr>
      </w:pPr>
    </w:p>
    <w:p w:rsidR="003D37B1" w:rsidRPr="00EF1140" w:rsidRDefault="003D37B1" w:rsidP="003F30DD">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xml:space="preserve">, con fundamento en la </w:t>
      </w:r>
      <w:r w:rsidR="00D72D90">
        <w:rPr>
          <w:rFonts w:ascii="Palatino Linotype" w:hAnsi="Palatino Linotype"/>
          <w:sz w:val="24"/>
          <w:szCs w:val="24"/>
        </w:rPr>
        <w:t>segunda</w:t>
      </w:r>
      <w:r w:rsidRPr="00EF1140">
        <w:rPr>
          <w:rFonts w:ascii="Palatino Linotype" w:hAnsi="Palatino Linotype"/>
          <w:sz w:val="24"/>
          <w:szCs w:val="24"/>
        </w:rPr>
        <w:t xml:space="preserve"> hipótesis del artículo 186 fracción III de la Ley de Transparencia y Acceso a la Información </w:t>
      </w:r>
      <w:r w:rsidRPr="00EF1140">
        <w:rPr>
          <w:rFonts w:ascii="Palatino Linotype" w:hAnsi="Palatino Linotype"/>
          <w:sz w:val="24"/>
          <w:szCs w:val="24"/>
        </w:rPr>
        <w:lastRenderedPageBreak/>
        <w:t>Pública del Estado de México y Municipios, se</w:t>
      </w:r>
      <w:r w:rsidRPr="004A34CA">
        <w:rPr>
          <w:rFonts w:ascii="Palatino Linotype" w:hAnsi="Palatino Linotype"/>
          <w:sz w:val="24"/>
          <w:szCs w:val="24"/>
        </w:rPr>
        <w:t xml:space="preserve">, </w:t>
      </w:r>
      <w:r w:rsidR="00D72D90">
        <w:rPr>
          <w:rFonts w:ascii="Palatino Linotype" w:hAnsi="Palatino Linotype"/>
          <w:b/>
          <w:sz w:val="24"/>
          <w:szCs w:val="24"/>
        </w:rPr>
        <w:t>MODIFICA</w:t>
      </w:r>
      <w:r w:rsidRPr="00EF1140">
        <w:rPr>
          <w:rFonts w:ascii="Palatino Linotype" w:hAnsi="Palatino Linotype"/>
          <w:b/>
          <w:sz w:val="24"/>
          <w:szCs w:val="24"/>
        </w:rPr>
        <w:t xml:space="preserve">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00DF775C" w:rsidRPr="00DF775C">
        <w:rPr>
          <w:rFonts w:ascii="Palatino Linotype" w:hAnsi="Palatino Linotype" w:cs="Arial"/>
          <w:b/>
          <w:sz w:val="24"/>
          <w:szCs w:val="24"/>
        </w:rPr>
        <w:t>00378/SMOV/IP/2022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rsidR="003D37B1" w:rsidRPr="00EF1140" w:rsidRDefault="003D37B1" w:rsidP="003F30DD">
      <w:pPr>
        <w:spacing w:after="0" w:line="360" w:lineRule="auto"/>
        <w:jc w:val="both"/>
        <w:rPr>
          <w:rFonts w:ascii="Palatino Linotype" w:hAnsi="Palatino Linotype"/>
          <w:sz w:val="24"/>
          <w:szCs w:val="24"/>
        </w:rPr>
      </w:pPr>
    </w:p>
    <w:p w:rsidR="003D37B1" w:rsidRDefault="003D37B1" w:rsidP="003F30D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3D37B1" w:rsidRPr="00EF1140" w:rsidRDefault="003D37B1" w:rsidP="003F30DD">
      <w:pPr>
        <w:autoSpaceDE w:val="0"/>
        <w:autoSpaceDN w:val="0"/>
        <w:adjustRightInd w:val="0"/>
        <w:spacing w:after="0" w:line="360" w:lineRule="auto"/>
        <w:jc w:val="both"/>
        <w:rPr>
          <w:rFonts w:ascii="Palatino Linotype" w:hAnsi="Palatino Linotype" w:cs="Arial"/>
          <w:sz w:val="24"/>
          <w:szCs w:val="24"/>
        </w:rPr>
      </w:pPr>
    </w:p>
    <w:p w:rsidR="003D37B1" w:rsidRPr="00EF1140" w:rsidRDefault="003D37B1" w:rsidP="003F30DD">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3D37B1" w:rsidRPr="00EF1140" w:rsidRDefault="003D37B1" w:rsidP="003F30DD">
      <w:pPr>
        <w:spacing w:after="0" w:line="360" w:lineRule="auto"/>
        <w:ind w:left="426"/>
        <w:jc w:val="center"/>
        <w:rPr>
          <w:rFonts w:ascii="Palatino Linotype" w:eastAsia="Times New Roman" w:hAnsi="Palatino Linotype" w:cs="Times New Roman"/>
          <w:b/>
          <w:color w:val="000000"/>
          <w:sz w:val="24"/>
          <w:szCs w:val="24"/>
          <w:lang w:val="es-ES" w:eastAsia="es-ES"/>
        </w:rPr>
      </w:pPr>
    </w:p>
    <w:p w:rsidR="003D37B1" w:rsidRPr="007C3942" w:rsidRDefault="003D37B1" w:rsidP="003F30DD">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sidR="00D72D90">
        <w:rPr>
          <w:rFonts w:ascii="Palatino Linotype" w:eastAsia="Times New Roman" w:hAnsi="Palatino Linotype" w:cs="Arial"/>
          <w:b/>
          <w:sz w:val="24"/>
          <w:szCs w:val="24"/>
          <w:lang w:eastAsia="es-ES"/>
        </w:rPr>
        <w:t>MODIFICA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DF775C" w:rsidRPr="00DF775C">
        <w:rPr>
          <w:rFonts w:ascii="Palatino Linotype" w:hAnsi="Palatino Linotype" w:cs="Arial"/>
          <w:b/>
          <w:sz w:val="24"/>
          <w:szCs w:val="24"/>
        </w:rPr>
        <w:t>00378/SMOV/IP/2022</w:t>
      </w:r>
      <w:r>
        <w:rPr>
          <w:rFonts w:ascii="Palatino Linotype" w:hAnsi="Palatino Linotype" w:cs="Arial"/>
          <w:sz w:val="24"/>
          <w:szCs w:val="24"/>
        </w:rPr>
        <w:t>,</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rsidR="003D37B1" w:rsidRPr="007C3942" w:rsidRDefault="003D37B1" w:rsidP="003F30DD">
      <w:pPr>
        <w:spacing w:after="0" w:line="360" w:lineRule="auto"/>
        <w:ind w:right="-595"/>
        <w:jc w:val="both"/>
        <w:rPr>
          <w:rFonts w:ascii="Palatino Linotype" w:eastAsia="Times New Roman" w:hAnsi="Palatino Linotype" w:cs="Arial"/>
          <w:b/>
          <w:sz w:val="24"/>
          <w:szCs w:val="24"/>
          <w:lang w:eastAsia="es-ES"/>
        </w:rPr>
      </w:pPr>
    </w:p>
    <w:p w:rsidR="003D37B1" w:rsidRPr="00046391" w:rsidRDefault="003D37B1" w:rsidP="003F30DD">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00B9649F">
        <w:rPr>
          <w:rFonts w:ascii="Palatino Linotype" w:eastAsia="Times New Roman" w:hAnsi="Palatino Linotype" w:cs="Tahoma"/>
          <w:b/>
          <w:sz w:val="24"/>
          <w:szCs w:val="24"/>
          <w:lang w:eastAsia="es-ES"/>
        </w:rPr>
        <w:t>,</w:t>
      </w:r>
      <w:r w:rsidR="00B9649F" w:rsidRPr="00B9649F">
        <w:rPr>
          <w:rFonts w:ascii="Palatino Linotype" w:eastAsia="Times New Roman" w:hAnsi="Palatino Linotype" w:cs="Tahoma"/>
          <w:sz w:val="24"/>
          <w:szCs w:val="24"/>
          <w:lang w:eastAsia="es-ES"/>
        </w:rPr>
        <w:t xml:space="preserve"> previa búsqueda exhaustiva y razonable,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sidRPr="00042CAE">
        <w:rPr>
          <w:rFonts w:ascii="Palatino Linotype" w:hAnsi="Palatino Linotype" w:cs="Tahoma"/>
          <w:sz w:val="24"/>
          <w:szCs w:val="24"/>
        </w:rPr>
        <w:t xml:space="preserve">el soporte documental </w:t>
      </w:r>
      <w:r w:rsidR="00F24D04">
        <w:rPr>
          <w:rFonts w:ascii="Palatino Linotype" w:hAnsi="Palatino Linotype" w:cs="Tahoma"/>
          <w:sz w:val="24"/>
          <w:szCs w:val="24"/>
        </w:rPr>
        <w:t xml:space="preserve">vigente al </w:t>
      </w:r>
      <w:r w:rsidR="00F24D04" w:rsidRPr="00F24D04">
        <w:rPr>
          <w:rFonts w:ascii="Palatino Linotype" w:hAnsi="Palatino Linotype" w:cs="Tahoma"/>
          <w:sz w:val="24"/>
          <w:szCs w:val="24"/>
        </w:rPr>
        <w:t xml:space="preserve">13 (trece) de julio de 2022 (dos mil veintidós), </w:t>
      </w:r>
      <w:r w:rsidRPr="00042CAE">
        <w:rPr>
          <w:rFonts w:ascii="Palatino Linotype" w:hAnsi="Palatino Linotype" w:cs="Tahoma"/>
          <w:sz w:val="24"/>
          <w:szCs w:val="24"/>
        </w:rPr>
        <w:t>en que obr</w:t>
      </w:r>
      <w:r w:rsidR="00B9649F">
        <w:rPr>
          <w:rFonts w:ascii="Palatino Linotype" w:hAnsi="Palatino Linotype" w:cs="Tahoma"/>
          <w:sz w:val="24"/>
          <w:szCs w:val="24"/>
        </w:rPr>
        <w:t xml:space="preserve">e </w:t>
      </w:r>
      <w:r w:rsidRPr="00042CAE">
        <w:rPr>
          <w:rFonts w:ascii="Palatino Linotype" w:hAnsi="Palatino Linotype" w:cs="Tahoma"/>
          <w:sz w:val="24"/>
          <w:szCs w:val="24"/>
        </w:rPr>
        <w:t>al mayor grado de desagregación, lo siguiente:</w:t>
      </w:r>
    </w:p>
    <w:p w:rsidR="003D37B1" w:rsidRDefault="003D37B1" w:rsidP="003F30DD">
      <w:pPr>
        <w:spacing w:after="0" w:line="360" w:lineRule="auto"/>
        <w:ind w:right="-595"/>
        <w:jc w:val="both"/>
        <w:rPr>
          <w:rFonts w:ascii="Palatino Linotype" w:eastAsia="Times New Roman" w:hAnsi="Palatino Linotype" w:cs="Tahoma"/>
          <w:sz w:val="24"/>
          <w:szCs w:val="24"/>
          <w:lang w:eastAsia="es-ES"/>
        </w:rPr>
      </w:pPr>
    </w:p>
    <w:p w:rsidR="00F24D04" w:rsidRPr="00D97820" w:rsidRDefault="00F24D04" w:rsidP="00D97820">
      <w:pPr>
        <w:pStyle w:val="Prrafodelista"/>
        <w:numPr>
          <w:ilvl w:val="0"/>
          <w:numId w:val="29"/>
        </w:numPr>
        <w:spacing w:line="276" w:lineRule="auto"/>
        <w:ind w:right="567"/>
        <w:jc w:val="both"/>
        <w:rPr>
          <w:rFonts w:ascii="Palatino Linotype" w:eastAsia="Calibri" w:hAnsi="Palatino Linotype"/>
          <w:i/>
        </w:rPr>
      </w:pPr>
      <w:r w:rsidRPr="00D97820">
        <w:rPr>
          <w:rFonts w:ascii="Palatino Linotype" w:eastAsia="Calibri" w:hAnsi="Palatino Linotype"/>
          <w:i/>
        </w:rPr>
        <w:t>El padrón de concesionarios de transporte público</w:t>
      </w:r>
      <w:r w:rsidR="00D97820" w:rsidRPr="00D97820">
        <w:rPr>
          <w:rFonts w:ascii="Palatino Linotype" w:eastAsia="Calibri" w:hAnsi="Palatino Linotype"/>
          <w:i/>
        </w:rPr>
        <w:t xml:space="preserve"> por modalidad con unidades que contenga:</w:t>
      </w:r>
    </w:p>
    <w:p w:rsidR="00F24D04" w:rsidRPr="00D97820" w:rsidRDefault="00F24D04" w:rsidP="00D97820">
      <w:pPr>
        <w:pStyle w:val="Prrafodelista"/>
        <w:numPr>
          <w:ilvl w:val="1"/>
          <w:numId w:val="29"/>
        </w:numPr>
        <w:spacing w:line="276" w:lineRule="auto"/>
        <w:ind w:left="1276" w:right="567" w:hanging="513"/>
        <w:jc w:val="both"/>
        <w:rPr>
          <w:rFonts w:ascii="Palatino Linotype" w:eastAsia="Calibri" w:hAnsi="Palatino Linotype"/>
          <w:i/>
        </w:rPr>
      </w:pPr>
      <w:r w:rsidRPr="00D97820">
        <w:rPr>
          <w:rFonts w:ascii="Palatino Linotype" w:eastAsia="Calibri" w:hAnsi="Palatino Linotype"/>
          <w:i/>
        </w:rPr>
        <w:t>Marca;</w:t>
      </w:r>
    </w:p>
    <w:p w:rsidR="00F24D04" w:rsidRPr="00D97820" w:rsidRDefault="00F24D04" w:rsidP="00D97820">
      <w:pPr>
        <w:pStyle w:val="Prrafodelista"/>
        <w:numPr>
          <w:ilvl w:val="1"/>
          <w:numId w:val="29"/>
        </w:numPr>
        <w:spacing w:line="276" w:lineRule="auto"/>
        <w:ind w:left="1276" w:right="567" w:hanging="513"/>
        <w:jc w:val="both"/>
        <w:rPr>
          <w:rFonts w:ascii="Palatino Linotype" w:eastAsia="Calibri" w:hAnsi="Palatino Linotype"/>
          <w:i/>
        </w:rPr>
      </w:pPr>
      <w:r w:rsidRPr="00D97820">
        <w:rPr>
          <w:rFonts w:ascii="Palatino Linotype" w:eastAsia="Calibri" w:hAnsi="Palatino Linotype"/>
          <w:i/>
        </w:rPr>
        <w:t>Serie;</w:t>
      </w:r>
    </w:p>
    <w:p w:rsidR="00F24D04" w:rsidRPr="00D97820" w:rsidRDefault="00F24D04" w:rsidP="00D97820">
      <w:pPr>
        <w:pStyle w:val="Prrafodelista"/>
        <w:numPr>
          <w:ilvl w:val="1"/>
          <w:numId w:val="29"/>
        </w:numPr>
        <w:spacing w:line="276" w:lineRule="auto"/>
        <w:ind w:left="1276" w:right="567" w:hanging="513"/>
        <w:jc w:val="both"/>
        <w:rPr>
          <w:rFonts w:ascii="Palatino Linotype" w:eastAsia="Calibri" w:hAnsi="Palatino Linotype"/>
          <w:i/>
        </w:rPr>
      </w:pPr>
      <w:r w:rsidRPr="00D97820">
        <w:rPr>
          <w:rFonts w:ascii="Palatino Linotype" w:eastAsia="Calibri" w:hAnsi="Palatino Linotype"/>
          <w:i/>
        </w:rPr>
        <w:t>Placas;</w:t>
      </w:r>
    </w:p>
    <w:p w:rsidR="00F24D04" w:rsidRPr="00D97820" w:rsidRDefault="00F24D04" w:rsidP="00D97820">
      <w:pPr>
        <w:pStyle w:val="Prrafodelista"/>
        <w:numPr>
          <w:ilvl w:val="1"/>
          <w:numId w:val="29"/>
        </w:numPr>
        <w:spacing w:line="276" w:lineRule="auto"/>
        <w:ind w:left="1276" w:right="567" w:hanging="513"/>
        <w:jc w:val="both"/>
        <w:rPr>
          <w:rFonts w:ascii="Palatino Linotype" w:eastAsia="Calibri" w:hAnsi="Palatino Linotype"/>
          <w:i/>
        </w:rPr>
      </w:pPr>
      <w:r w:rsidRPr="00D97820">
        <w:rPr>
          <w:rFonts w:ascii="Palatino Linotype" w:eastAsia="Calibri" w:hAnsi="Palatino Linotype"/>
          <w:i/>
        </w:rPr>
        <w:t>nombre de la empresa y representante legal; y</w:t>
      </w:r>
    </w:p>
    <w:p w:rsidR="00F24D04" w:rsidRPr="00D97820" w:rsidRDefault="00F24D04" w:rsidP="00D97820">
      <w:pPr>
        <w:pStyle w:val="Prrafodelista"/>
        <w:numPr>
          <w:ilvl w:val="1"/>
          <w:numId w:val="29"/>
        </w:numPr>
        <w:spacing w:line="276" w:lineRule="auto"/>
        <w:ind w:left="1276" w:right="567" w:hanging="513"/>
        <w:jc w:val="both"/>
        <w:rPr>
          <w:rFonts w:ascii="Palatino Linotype" w:eastAsia="Calibri" w:hAnsi="Palatino Linotype"/>
          <w:i/>
        </w:rPr>
      </w:pPr>
      <w:r w:rsidRPr="00D97820">
        <w:rPr>
          <w:rFonts w:ascii="Palatino Linotype" w:eastAsia="Calibri" w:hAnsi="Palatino Linotype"/>
          <w:i/>
        </w:rPr>
        <w:t>d</w:t>
      </w:r>
      <w:r w:rsidR="00D97820">
        <w:rPr>
          <w:rFonts w:ascii="Palatino Linotype" w:eastAsia="Calibri" w:hAnsi="Palatino Linotype"/>
          <w:i/>
        </w:rPr>
        <w:t>omicilio municipio de operación.</w:t>
      </w:r>
    </w:p>
    <w:p w:rsidR="003D37B1" w:rsidRPr="004A34CA" w:rsidRDefault="003D37B1" w:rsidP="003F30DD">
      <w:pPr>
        <w:spacing w:after="0" w:line="360" w:lineRule="auto"/>
        <w:ind w:right="-595"/>
        <w:jc w:val="both"/>
        <w:rPr>
          <w:rFonts w:ascii="Palatino Linotype" w:eastAsia="Times New Roman" w:hAnsi="Palatino Linotype" w:cs="Tahoma"/>
          <w:sz w:val="24"/>
          <w:szCs w:val="24"/>
          <w:lang w:val="es-ES" w:eastAsia="es-ES"/>
        </w:rPr>
      </w:pPr>
    </w:p>
    <w:p w:rsidR="003D37B1" w:rsidRDefault="003D37B1" w:rsidP="003F30DD">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3D37B1" w:rsidRDefault="003D37B1" w:rsidP="003F30DD">
      <w:pPr>
        <w:spacing w:after="0" w:line="360" w:lineRule="auto"/>
        <w:jc w:val="both"/>
        <w:rPr>
          <w:rFonts w:ascii="Palatino Linotype" w:eastAsia="Times New Roman" w:hAnsi="Palatino Linotype" w:cs="Tahoma"/>
          <w:sz w:val="24"/>
          <w:szCs w:val="24"/>
          <w:lang w:eastAsia="es-ES"/>
        </w:rPr>
      </w:pPr>
    </w:p>
    <w:p w:rsidR="003D37B1" w:rsidRDefault="003D37B1" w:rsidP="003F30DD">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3D37B1" w:rsidRDefault="003D37B1" w:rsidP="003F30DD">
      <w:pPr>
        <w:spacing w:after="0" w:line="360" w:lineRule="auto"/>
        <w:jc w:val="both"/>
        <w:rPr>
          <w:rFonts w:ascii="Palatino Linotype" w:eastAsia="Times New Roman" w:hAnsi="Palatino Linotype" w:cs="Tahoma"/>
          <w:sz w:val="24"/>
          <w:szCs w:val="24"/>
          <w:lang w:eastAsia="es-ES"/>
        </w:rPr>
      </w:pPr>
    </w:p>
    <w:p w:rsidR="003D37B1" w:rsidRDefault="003D37B1"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72D90" w:rsidRPr="007C3942" w:rsidRDefault="00D72D90" w:rsidP="003F30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37B1" w:rsidRPr="007C3942" w:rsidRDefault="003D37B1" w:rsidP="003F30DD">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D37B1" w:rsidRPr="003753CC"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97820">
        <w:rPr>
          <w:rFonts w:ascii="Palatino Linotype" w:hAnsi="Palatino Linotype" w:cs="Arial"/>
          <w:sz w:val="24"/>
          <w:szCs w:val="24"/>
        </w:rPr>
        <w:t>CUARTA</w:t>
      </w:r>
      <w:r w:rsidRPr="003753CC">
        <w:rPr>
          <w:rFonts w:ascii="Palatino Linotype" w:hAnsi="Palatino Linotype" w:cs="Arial"/>
          <w:sz w:val="24"/>
          <w:szCs w:val="24"/>
        </w:rPr>
        <w:t xml:space="preserve"> SESIÓN ORDINARIA CELEBRADA EL </w:t>
      </w:r>
      <w:r w:rsidR="00D97820">
        <w:rPr>
          <w:rFonts w:ascii="Palatino Linotype" w:hAnsi="Palatino Linotype" w:cs="Arial"/>
          <w:sz w:val="24"/>
          <w:szCs w:val="24"/>
        </w:rPr>
        <w:t xml:space="preserve">UNO DE FEBRERO </w:t>
      </w:r>
      <w:r w:rsidRPr="003753CC">
        <w:rPr>
          <w:rFonts w:ascii="Palatino Linotype" w:hAnsi="Palatino Linotype" w:cs="Arial"/>
          <w:sz w:val="24"/>
          <w:szCs w:val="24"/>
        </w:rPr>
        <w:t>DE DOS MIL VEINTI</w:t>
      </w:r>
      <w:r w:rsidR="00F24D04">
        <w:rPr>
          <w:rFonts w:ascii="Palatino Linotype" w:hAnsi="Palatino Linotype" w:cs="Arial"/>
          <w:sz w:val="24"/>
          <w:szCs w:val="24"/>
        </w:rPr>
        <w:t>TRÉS</w:t>
      </w:r>
      <w:r w:rsidRPr="003753C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r w:rsidR="00D97820">
        <w:rPr>
          <w:rFonts w:ascii="Palatino Linotype" w:hAnsi="Palatino Linotype" w:cs="Arial"/>
          <w:sz w:val="24"/>
          <w:szCs w:val="24"/>
        </w:rPr>
        <w:t>----------------------------------------------</w:t>
      </w:r>
      <w:r w:rsidRPr="003753CC">
        <w:rPr>
          <w:rFonts w:ascii="Palatino Linotype" w:hAnsi="Palatino Linotype" w:cs="Arial"/>
          <w:sz w:val="24"/>
          <w:szCs w:val="24"/>
        </w:rPr>
        <w:t>------</w:t>
      </w:r>
    </w:p>
    <w:p w:rsidR="003D37B1" w:rsidRPr="003753CC"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D37B1" w:rsidRPr="003753CC"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D37B1" w:rsidRDefault="003D37B1" w:rsidP="003F30D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D97820" w:rsidRPr="003753CC" w:rsidRDefault="00D97820" w:rsidP="00D9782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D37B1" w:rsidRPr="005323D1" w:rsidRDefault="003D37B1" w:rsidP="003F30DD">
      <w:pPr>
        <w:spacing w:after="0" w:line="360" w:lineRule="auto"/>
        <w:jc w:val="both"/>
        <w:rPr>
          <w:rFonts w:ascii="Palatino Linotype" w:hAnsi="Palatino Linotype" w:cs="Arial"/>
          <w:sz w:val="20"/>
        </w:rPr>
      </w:pPr>
      <w:r>
        <w:rPr>
          <w:rFonts w:ascii="Palatino Linotype" w:hAnsi="Palatino Linotype" w:cs="Arial"/>
          <w:sz w:val="20"/>
        </w:rPr>
        <w:t>CCR/</w:t>
      </w:r>
    </w:p>
    <w:p w:rsidR="003D37B1" w:rsidRDefault="003D37B1" w:rsidP="003F30DD">
      <w:pPr>
        <w:spacing w:after="0" w:line="360" w:lineRule="auto"/>
        <w:jc w:val="both"/>
        <w:rPr>
          <w:rFonts w:ascii="Palatino Linotype" w:hAnsi="Palatino Linotype" w:cs="Arial"/>
          <w:sz w:val="24"/>
          <w:szCs w:val="24"/>
        </w:rPr>
      </w:pPr>
    </w:p>
    <w:p w:rsidR="003D37B1" w:rsidRDefault="003D37B1" w:rsidP="003F30DD">
      <w:pPr>
        <w:spacing w:after="0" w:line="360" w:lineRule="auto"/>
        <w:jc w:val="both"/>
        <w:rPr>
          <w:rFonts w:ascii="Palatino Linotype" w:hAnsi="Palatino Linotype" w:cs="Arial"/>
          <w:sz w:val="24"/>
          <w:szCs w:val="24"/>
        </w:rPr>
      </w:pPr>
    </w:p>
    <w:p w:rsidR="003D37B1" w:rsidRDefault="003D37B1" w:rsidP="003F30DD">
      <w:pPr>
        <w:spacing w:after="0" w:line="360" w:lineRule="auto"/>
        <w:jc w:val="both"/>
        <w:rPr>
          <w:rFonts w:ascii="Palatino Linotype" w:hAnsi="Palatino Linotype" w:cs="Arial"/>
          <w:sz w:val="24"/>
          <w:szCs w:val="24"/>
        </w:rPr>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3D37B1" w:rsidRDefault="003D37B1" w:rsidP="003F30DD">
      <w:pPr>
        <w:spacing w:after="0"/>
      </w:pPr>
    </w:p>
    <w:p w:rsidR="000A604E" w:rsidRPr="003D37B1" w:rsidRDefault="000A604E" w:rsidP="003F30DD">
      <w:pPr>
        <w:spacing w:after="0"/>
      </w:pPr>
    </w:p>
    <w:sectPr w:rsidR="000A604E" w:rsidRPr="003D37B1" w:rsidSect="000A604E">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50" w:rsidRDefault="00FC2550" w:rsidP="001F16E3">
      <w:pPr>
        <w:spacing w:after="0" w:line="240" w:lineRule="auto"/>
      </w:pPr>
      <w:r>
        <w:separator/>
      </w:r>
    </w:p>
  </w:endnote>
  <w:endnote w:type="continuationSeparator" w:id="0">
    <w:p w:rsidR="00FC2550" w:rsidRDefault="00FC2550" w:rsidP="001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17A8D" w:rsidRPr="002D6DD8" w:rsidRDefault="00B17A8D" w:rsidP="000A60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51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1512">
              <w:rPr>
                <w:rFonts w:ascii="Palatino Linotype" w:hAnsi="Palatino Linotype"/>
                <w:bCs/>
                <w:noProof/>
                <w:sz w:val="20"/>
              </w:rPr>
              <w:t>58</w:t>
            </w:r>
            <w:r>
              <w:rPr>
                <w:rFonts w:ascii="Palatino Linotype" w:hAnsi="Palatino Linotype"/>
                <w:bCs/>
                <w:noProof/>
                <w:sz w:val="20"/>
              </w:rPr>
              <w:fldChar w:fldCharType="end"/>
            </w:r>
          </w:p>
        </w:sdtContent>
      </w:sdt>
    </w:sdtContent>
  </w:sdt>
  <w:p w:rsidR="00B17A8D" w:rsidRDefault="00B17A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8D" w:rsidRPr="000B69FA" w:rsidRDefault="00B17A8D" w:rsidP="000A60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5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1512">
      <w:rPr>
        <w:rFonts w:ascii="Palatino Linotype" w:hAnsi="Palatino Linotype"/>
        <w:bCs/>
        <w:noProof/>
        <w:sz w:val="20"/>
      </w:rPr>
      <w:t>58</w:t>
    </w:r>
    <w:r>
      <w:rPr>
        <w:rFonts w:ascii="Palatino Linotype" w:hAnsi="Palatino Linotype"/>
        <w:bCs/>
        <w:noProof/>
        <w:sz w:val="20"/>
      </w:rPr>
      <w:fldChar w:fldCharType="end"/>
    </w:r>
  </w:p>
  <w:p w:rsidR="00B17A8D" w:rsidRDefault="00B17A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50" w:rsidRDefault="00FC2550" w:rsidP="001F16E3">
      <w:pPr>
        <w:spacing w:after="0" w:line="240" w:lineRule="auto"/>
      </w:pPr>
      <w:r>
        <w:separator/>
      </w:r>
    </w:p>
  </w:footnote>
  <w:footnote w:type="continuationSeparator" w:id="0">
    <w:p w:rsidR="00FC2550" w:rsidRDefault="00FC2550" w:rsidP="001F16E3">
      <w:pPr>
        <w:spacing w:after="0" w:line="240" w:lineRule="auto"/>
      </w:pPr>
      <w:r>
        <w:continuationSeparator/>
      </w:r>
    </w:p>
  </w:footnote>
  <w:footnote w:id="1">
    <w:p w:rsidR="00B17A8D" w:rsidRPr="00A62FD8" w:rsidRDefault="00B17A8D" w:rsidP="003D37B1">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B17A8D" w:rsidRDefault="00B17A8D" w:rsidP="003D37B1">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B17A8D" w:rsidRDefault="00B17A8D" w:rsidP="003D37B1">
      <w:pPr>
        <w:pStyle w:val="Textonotapie"/>
        <w:jc w:val="both"/>
        <w:rPr>
          <w:rFonts w:ascii="Palatino Linotype" w:hAnsi="Palatino Linotype"/>
          <w:i/>
          <w:lang w:val="es-MX"/>
        </w:rPr>
      </w:pPr>
      <w:r w:rsidRPr="00B50229">
        <w:rPr>
          <w:rFonts w:ascii="Palatino Linotype" w:hAnsi="Palatino Linotype"/>
          <w:b/>
          <w:i/>
          <w:lang w:val="es-MX"/>
        </w:rPr>
        <w:t>IV.</w:t>
      </w:r>
      <w:r w:rsidRPr="00B50229">
        <w:rPr>
          <w:rFonts w:ascii="Palatino Linotype" w:hAnsi="Palatino Linotype"/>
          <w:i/>
          <w:lang w:val="es-MX"/>
        </w:rPr>
        <w:t xml:space="preserve"> La declaración de incompetencia por el sujeto obligado;</w:t>
      </w:r>
    </w:p>
    <w:p w:rsidR="00B17A8D" w:rsidRPr="00EE7AE1" w:rsidRDefault="00B17A8D" w:rsidP="003D37B1">
      <w:pPr>
        <w:pStyle w:val="Textonotapie"/>
        <w:jc w:val="both"/>
        <w:rPr>
          <w:rFonts w:ascii="Palatino Linotype" w:hAnsi="Palatino Linotype"/>
          <w:i/>
          <w:lang w:val="es-MX"/>
        </w:rPr>
      </w:pPr>
      <w:r>
        <w:rPr>
          <w:rFonts w:ascii="Palatino Linotype" w:hAnsi="Palatino Linotype"/>
          <w:i/>
        </w:rPr>
        <w:t>…</w:t>
      </w:r>
    </w:p>
  </w:footnote>
  <w:footnote w:id="2">
    <w:p w:rsidR="00B17A8D" w:rsidRPr="0005476D" w:rsidRDefault="00B17A8D" w:rsidP="002024A4">
      <w:pPr>
        <w:pStyle w:val="Textonotapie"/>
        <w:jc w:val="both"/>
        <w:rPr>
          <w:rFonts w:ascii="Palatino Linotype" w:hAnsi="Palatino Linotype"/>
          <w:i/>
          <w:sz w:val="18"/>
          <w:lang w:val="es-MX"/>
        </w:rPr>
      </w:pPr>
      <w:r>
        <w:rPr>
          <w:rStyle w:val="Refdenotaalpie"/>
        </w:rPr>
        <w:footnoteRef/>
      </w:r>
      <w:r>
        <w:t xml:space="preserve"> </w:t>
      </w:r>
      <w:r w:rsidRPr="0005476D">
        <w:rPr>
          <w:rFonts w:ascii="Palatino Linotype" w:hAnsi="Palatino Linotype"/>
          <w:b/>
          <w:i/>
          <w:sz w:val="18"/>
          <w:lang w:val="es-MX"/>
        </w:rPr>
        <w:t>Artículo 18.</w:t>
      </w:r>
      <w:r w:rsidRPr="0005476D">
        <w:rPr>
          <w:rFonts w:ascii="Palatino Linotype" w:hAnsi="Palatino Linotype"/>
          <w:i/>
          <w:sz w:val="18"/>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B17A8D" w:rsidRPr="0005476D" w:rsidRDefault="00B17A8D" w:rsidP="002024A4">
      <w:pPr>
        <w:pStyle w:val="Textonotapie"/>
        <w:jc w:val="both"/>
        <w:rPr>
          <w:rFonts w:ascii="Palatino Linotype" w:hAnsi="Palatino Linotype"/>
          <w:i/>
          <w:sz w:val="18"/>
          <w:lang w:val="es-MX"/>
        </w:rPr>
      </w:pPr>
    </w:p>
    <w:p w:rsidR="00B17A8D" w:rsidRPr="00EF7063" w:rsidRDefault="00B17A8D" w:rsidP="002024A4">
      <w:pPr>
        <w:pStyle w:val="Textonotapie"/>
        <w:jc w:val="both"/>
        <w:rPr>
          <w:lang w:val="es-MX"/>
        </w:rPr>
      </w:pPr>
      <w:r w:rsidRPr="0005476D">
        <w:rPr>
          <w:rFonts w:ascii="Palatino Linotype" w:hAnsi="Palatino Linotype"/>
          <w:b/>
          <w:i/>
          <w:sz w:val="18"/>
          <w:lang w:val="es-MX"/>
        </w:rPr>
        <w:t>Artículo 19.</w:t>
      </w:r>
      <w:r w:rsidRPr="0005476D">
        <w:rPr>
          <w:rFonts w:ascii="Palatino Linotype" w:hAnsi="Palatino Linotype"/>
          <w:i/>
          <w:sz w:val="18"/>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3">
    <w:p w:rsidR="00B17A8D" w:rsidRDefault="00B17A8D" w:rsidP="002024A4">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rsidR="00B17A8D" w:rsidRDefault="00B17A8D" w:rsidP="002024A4">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5">
    <w:p w:rsidR="00B17A8D" w:rsidRPr="005E797B" w:rsidRDefault="00B17A8D" w:rsidP="002024A4">
      <w:pPr>
        <w:jc w:val="both"/>
        <w:rPr>
          <w:rFonts w:ascii="Palatino Linotype" w:eastAsia="Times New Roman" w:hAnsi="Palatino Linotype" w:cs="Times New Roman"/>
          <w:i/>
          <w:color w:val="000000" w:themeColor="text1"/>
          <w:sz w:val="18"/>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5E797B">
        <w:rPr>
          <w:rFonts w:ascii="Palatino Linotype" w:hAnsi="Palatino Linotype"/>
          <w:i/>
          <w:color w:val="000000" w:themeColor="text1"/>
          <w:sz w:val="18"/>
          <w:szCs w:val="16"/>
          <w:lang w:val="es-ES"/>
        </w:rPr>
        <w:t>“</w:t>
      </w:r>
      <w:r w:rsidRPr="005E797B">
        <w:rPr>
          <w:rFonts w:ascii="Palatino Linotype" w:eastAsia="Times New Roman" w:hAnsi="Palatino Linotype" w:cs="Arial"/>
          <w:i/>
          <w:color w:val="000000" w:themeColor="text1"/>
          <w:sz w:val="18"/>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rsidR="00B17A8D" w:rsidRPr="00D75A73" w:rsidRDefault="00B17A8D" w:rsidP="002024A4">
      <w:pPr>
        <w:pStyle w:val="Textonotapie"/>
        <w:jc w:val="both"/>
        <w:rPr>
          <w:rFonts w:ascii="Palatino Linotype" w:hAnsi="Palatino Linotype"/>
          <w:color w:val="000000" w:themeColor="text1"/>
          <w:sz w:val="16"/>
          <w:szCs w:val="16"/>
        </w:rPr>
      </w:pPr>
      <w:r w:rsidRPr="005E797B">
        <w:rPr>
          <w:rStyle w:val="Refdenotaalpie"/>
          <w:rFonts w:ascii="Palatino Linotype" w:hAnsi="Palatino Linotype"/>
          <w:i/>
          <w:color w:val="000000" w:themeColor="text1"/>
          <w:sz w:val="18"/>
          <w:szCs w:val="16"/>
        </w:rPr>
        <w:footnoteRef/>
      </w:r>
      <w:r w:rsidRPr="005E797B">
        <w:rPr>
          <w:rFonts w:ascii="Palatino Linotype" w:hAnsi="Palatino Linotype"/>
          <w:i/>
          <w:color w:val="000000" w:themeColor="text1"/>
          <w:sz w:val="18"/>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7">
    <w:p w:rsidR="00B17A8D" w:rsidRPr="003F30DD" w:rsidRDefault="00B17A8D" w:rsidP="003F30DD">
      <w:pPr>
        <w:pStyle w:val="Textonotapie"/>
        <w:jc w:val="both"/>
      </w:pPr>
      <w:r>
        <w:rPr>
          <w:rStyle w:val="Refdenotaalpie"/>
        </w:rPr>
        <w:footnoteRef/>
      </w:r>
      <w:r>
        <w:t xml:space="preserve"> </w:t>
      </w:r>
      <w:hyperlink r:id="rId1" w:history="1">
        <w:r w:rsidRPr="003F30DD">
          <w:rPr>
            <w:rStyle w:val="Hipervnculo"/>
            <w:rFonts w:ascii="Palatino Linotype" w:hAnsi="Palatino Linotype"/>
          </w:rPr>
          <w:t>https://www.coordinacionformatica.com.mx/Semov/Doc8262083995338126700jul081c.pdf</w:t>
        </w:r>
      </w:hyperlink>
      <w:r w:rsidRPr="003F30DD">
        <w:rPr>
          <w:rFonts w:ascii="Palatino Linotype" w:hAnsi="Palatino Linotype"/>
        </w:rPr>
        <w:t xml:space="preserve"> consultado el día 16 de enero de 2023 a las 10:15 horas</w:t>
      </w:r>
      <w:r>
        <w:t xml:space="preserve"> </w:t>
      </w:r>
    </w:p>
  </w:footnote>
  <w:footnote w:id="8">
    <w:p w:rsidR="00B17A8D" w:rsidRPr="003F30DD" w:rsidRDefault="00B17A8D" w:rsidP="003F30DD">
      <w:pPr>
        <w:pStyle w:val="Textonotapie"/>
        <w:jc w:val="both"/>
        <w:rPr>
          <w:lang w:val="es-419"/>
        </w:rPr>
      </w:pPr>
      <w:r>
        <w:rPr>
          <w:rStyle w:val="Refdenotaalpie"/>
        </w:rPr>
        <w:footnoteRef/>
      </w:r>
      <w:r>
        <w:t xml:space="preserve"> </w:t>
      </w:r>
      <w:hyperlink r:id="rId2" w:history="1">
        <w:r w:rsidRPr="003F30DD">
          <w:rPr>
            <w:rStyle w:val="Hipervnculo"/>
            <w:rFonts w:ascii="Palatino Linotype" w:hAnsi="Palatino Linotype"/>
          </w:rPr>
          <w:t>https://www.coordinacionformatica.com.mx/Semov/Doc886115406624486510728.09.16.pdf</w:t>
        </w:r>
      </w:hyperlink>
      <w:r w:rsidRPr="003F30DD">
        <w:rPr>
          <w:rFonts w:ascii="Palatino Linotype" w:hAnsi="Palatino Linotype"/>
        </w:rPr>
        <w:t xml:space="preserve"> consultado el día 16 de enero de 2023 a las 12:19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17A8D" w:rsidTr="000A604E">
      <w:trPr>
        <w:trHeight w:val="227"/>
      </w:trPr>
      <w:tc>
        <w:tcPr>
          <w:tcW w:w="5246" w:type="dxa"/>
          <w:hideMark/>
        </w:tcPr>
        <w:p w:rsidR="00B17A8D" w:rsidRPr="00641471" w:rsidRDefault="00B17A8D" w:rsidP="000A604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17A8D" w:rsidRPr="00641471" w:rsidRDefault="00B17A8D" w:rsidP="003D37B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14510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17A8D" w:rsidTr="000A604E">
      <w:trPr>
        <w:trHeight w:val="242"/>
      </w:trPr>
      <w:tc>
        <w:tcPr>
          <w:tcW w:w="5246" w:type="dxa"/>
          <w:hideMark/>
        </w:tcPr>
        <w:p w:rsidR="00B17A8D" w:rsidRPr="00641471" w:rsidRDefault="00B17A8D" w:rsidP="000A604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17A8D" w:rsidRPr="00641471" w:rsidRDefault="00B17A8D" w:rsidP="000A604E">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B17A8D" w:rsidTr="000A604E">
      <w:trPr>
        <w:trHeight w:val="342"/>
      </w:trPr>
      <w:tc>
        <w:tcPr>
          <w:tcW w:w="5246" w:type="dxa"/>
          <w:hideMark/>
        </w:tcPr>
        <w:p w:rsidR="00B17A8D" w:rsidRPr="00641471" w:rsidRDefault="00B17A8D" w:rsidP="000A604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17A8D" w:rsidRPr="00641471" w:rsidRDefault="00B17A8D" w:rsidP="000A604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17A8D" w:rsidRPr="00AE046A" w:rsidRDefault="00B17A8D" w:rsidP="000A604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F0771A" wp14:editId="2415CB4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17A8D" w:rsidTr="000A604E">
      <w:trPr>
        <w:trHeight w:val="227"/>
      </w:trPr>
      <w:tc>
        <w:tcPr>
          <w:tcW w:w="5104" w:type="dxa"/>
          <w:hideMark/>
        </w:tcPr>
        <w:p w:rsidR="00B17A8D" w:rsidRPr="00641471" w:rsidRDefault="00B17A8D" w:rsidP="000A604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17A8D" w:rsidRPr="00641471" w:rsidRDefault="00B17A8D" w:rsidP="003D37B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14510/INFOEM/IP/RR/2022</w:t>
          </w:r>
        </w:p>
      </w:tc>
    </w:tr>
    <w:tr w:rsidR="00B17A8D" w:rsidTr="000A604E">
      <w:trPr>
        <w:trHeight w:val="242"/>
      </w:trPr>
      <w:tc>
        <w:tcPr>
          <w:tcW w:w="5104" w:type="dxa"/>
          <w:hideMark/>
        </w:tcPr>
        <w:p w:rsidR="00B17A8D" w:rsidRPr="00641471" w:rsidRDefault="00B17A8D" w:rsidP="000A604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17A8D" w:rsidRPr="00641471" w:rsidRDefault="00B17A8D" w:rsidP="000A604E">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B17A8D" w:rsidTr="000A604E">
      <w:trPr>
        <w:trHeight w:val="342"/>
      </w:trPr>
      <w:tc>
        <w:tcPr>
          <w:tcW w:w="5104" w:type="dxa"/>
        </w:tcPr>
        <w:p w:rsidR="00B17A8D" w:rsidRPr="00641471" w:rsidRDefault="00B17A8D" w:rsidP="000A604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17A8D" w:rsidRPr="00641471" w:rsidRDefault="00451512" w:rsidP="000A604E">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B17A8D" w:rsidTr="000A604E">
      <w:trPr>
        <w:trHeight w:val="342"/>
      </w:trPr>
      <w:tc>
        <w:tcPr>
          <w:tcW w:w="5104" w:type="dxa"/>
        </w:tcPr>
        <w:p w:rsidR="00B17A8D" w:rsidRPr="00641471" w:rsidRDefault="00B17A8D" w:rsidP="000A604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17A8D" w:rsidRPr="00641471" w:rsidRDefault="00B17A8D" w:rsidP="000A604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17A8D" w:rsidRPr="00C222C0" w:rsidRDefault="00B17A8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254547" wp14:editId="77DFA73E">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BE36D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686A98"/>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1C37B7"/>
    <w:multiLevelType w:val="hybridMultilevel"/>
    <w:tmpl w:val="30B02B30"/>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B59014C"/>
    <w:multiLevelType w:val="hybridMultilevel"/>
    <w:tmpl w:val="DD66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B5561"/>
    <w:multiLevelType w:val="hybridMultilevel"/>
    <w:tmpl w:val="4EE642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417F1"/>
    <w:multiLevelType w:val="hybridMultilevel"/>
    <w:tmpl w:val="B25ABA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BA7233"/>
    <w:multiLevelType w:val="hybridMultilevel"/>
    <w:tmpl w:val="5978C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D22DD7"/>
    <w:multiLevelType w:val="multilevel"/>
    <w:tmpl w:val="889A240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2E58B0"/>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446D62"/>
    <w:multiLevelType w:val="hybridMultilevel"/>
    <w:tmpl w:val="36FA6CFE"/>
    <w:lvl w:ilvl="0" w:tplc="F62EF31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46D6D"/>
    <w:multiLevelType w:val="hybridMultilevel"/>
    <w:tmpl w:val="B3381CD0"/>
    <w:lvl w:ilvl="0" w:tplc="9F74BCB6">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23"/>
  </w:num>
  <w:num w:numId="4">
    <w:abstractNumId w:val="7"/>
  </w:num>
  <w:num w:numId="5">
    <w:abstractNumId w:val="15"/>
  </w:num>
  <w:num w:numId="6">
    <w:abstractNumId w:val="2"/>
  </w:num>
  <w:num w:numId="7">
    <w:abstractNumId w:val="0"/>
  </w:num>
  <w:num w:numId="8">
    <w:abstractNumId w:val="26"/>
  </w:num>
  <w:num w:numId="9">
    <w:abstractNumId w:val="25"/>
  </w:num>
  <w:num w:numId="10">
    <w:abstractNumId w:val="5"/>
  </w:num>
  <w:num w:numId="11">
    <w:abstractNumId w:val="11"/>
  </w:num>
  <w:num w:numId="12">
    <w:abstractNumId w:val="4"/>
  </w:num>
  <w:num w:numId="13">
    <w:abstractNumId w:val="21"/>
  </w:num>
  <w:num w:numId="14">
    <w:abstractNumId w:val="9"/>
  </w:num>
  <w:num w:numId="15">
    <w:abstractNumId w:val="1"/>
  </w:num>
  <w:num w:numId="16">
    <w:abstractNumId w:val="8"/>
  </w:num>
  <w:num w:numId="17">
    <w:abstractNumId w:val="18"/>
  </w:num>
  <w:num w:numId="18">
    <w:abstractNumId w:val="27"/>
  </w:num>
  <w:num w:numId="19">
    <w:abstractNumId w:val="12"/>
  </w:num>
  <w:num w:numId="20">
    <w:abstractNumId w:val="22"/>
  </w:num>
  <w:num w:numId="21">
    <w:abstractNumId w:val="13"/>
  </w:num>
  <w:num w:numId="22">
    <w:abstractNumId w:val="24"/>
  </w:num>
  <w:num w:numId="23">
    <w:abstractNumId w:val="6"/>
  </w:num>
  <w:num w:numId="24">
    <w:abstractNumId w:val="19"/>
  </w:num>
  <w:num w:numId="25">
    <w:abstractNumId w:val="28"/>
  </w:num>
  <w:num w:numId="26">
    <w:abstractNumId w:val="17"/>
  </w:num>
  <w:num w:numId="27">
    <w:abstractNumId w:val="16"/>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E3"/>
    <w:rsid w:val="00002527"/>
    <w:rsid w:val="000A604E"/>
    <w:rsid w:val="000C0F34"/>
    <w:rsid w:val="00114379"/>
    <w:rsid w:val="00125A8B"/>
    <w:rsid w:val="001268B1"/>
    <w:rsid w:val="0016427B"/>
    <w:rsid w:val="00196322"/>
    <w:rsid w:val="001C3331"/>
    <w:rsid w:val="001F16E3"/>
    <w:rsid w:val="002024A4"/>
    <w:rsid w:val="00334773"/>
    <w:rsid w:val="00356BA5"/>
    <w:rsid w:val="003A43E0"/>
    <w:rsid w:val="003D37B1"/>
    <w:rsid w:val="003F30DD"/>
    <w:rsid w:val="00401887"/>
    <w:rsid w:val="004433A3"/>
    <w:rsid w:val="00451512"/>
    <w:rsid w:val="004901EF"/>
    <w:rsid w:val="00530DE3"/>
    <w:rsid w:val="005A2D21"/>
    <w:rsid w:val="0064327F"/>
    <w:rsid w:val="00690957"/>
    <w:rsid w:val="00727E73"/>
    <w:rsid w:val="00757CCB"/>
    <w:rsid w:val="007A05A2"/>
    <w:rsid w:val="007D27D7"/>
    <w:rsid w:val="007E2BAA"/>
    <w:rsid w:val="00805D06"/>
    <w:rsid w:val="00824417"/>
    <w:rsid w:val="00830B55"/>
    <w:rsid w:val="008915C5"/>
    <w:rsid w:val="0095502D"/>
    <w:rsid w:val="009A5E44"/>
    <w:rsid w:val="009D3512"/>
    <w:rsid w:val="009E4E5E"/>
    <w:rsid w:val="00A70AFB"/>
    <w:rsid w:val="00AF45E2"/>
    <w:rsid w:val="00AF5F01"/>
    <w:rsid w:val="00B17A8D"/>
    <w:rsid w:val="00B7512F"/>
    <w:rsid w:val="00B94FE8"/>
    <w:rsid w:val="00B9649F"/>
    <w:rsid w:val="00BC76F1"/>
    <w:rsid w:val="00C467F2"/>
    <w:rsid w:val="00C51201"/>
    <w:rsid w:val="00CC3A7B"/>
    <w:rsid w:val="00D502A1"/>
    <w:rsid w:val="00D72D90"/>
    <w:rsid w:val="00D9667B"/>
    <w:rsid w:val="00D97820"/>
    <w:rsid w:val="00DF775C"/>
    <w:rsid w:val="00E26E99"/>
    <w:rsid w:val="00E87C3A"/>
    <w:rsid w:val="00EC6FBA"/>
    <w:rsid w:val="00F1623C"/>
    <w:rsid w:val="00F24D04"/>
    <w:rsid w:val="00F32D2F"/>
    <w:rsid w:val="00F67188"/>
    <w:rsid w:val="00FC2550"/>
    <w:rsid w:val="00FF35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870FA-AAD0-4EC7-91C7-FEEC9147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6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16E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16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16E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16E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16E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16E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F16E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F16E3"/>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1F16E3"/>
    <w:rPr>
      <w:color w:val="0563C1" w:themeColor="hyperlink"/>
      <w:u w:val="single"/>
    </w:rPr>
  </w:style>
  <w:style w:type="table" w:styleId="Tablaconcuadrcula">
    <w:name w:val="Table Grid"/>
    <w:basedOn w:val="Tablanormal"/>
    <w:uiPriority w:val="59"/>
    <w:rsid w:val="003D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D37B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800196">
      <w:bodyDiv w:val="1"/>
      <w:marLeft w:val="0"/>
      <w:marRight w:val="0"/>
      <w:marTop w:val="0"/>
      <w:marBottom w:val="0"/>
      <w:divBdr>
        <w:top w:val="none" w:sz="0" w:space="0" w:color="auto"/>
        <w:left w:val="none" w:sz="0" w:space="0" w:color="auto"/>
        <w:bottom w:val="none" w:sz="0" w:space="0" w:color="auto"/>
        <w:right w:val="none" w:sz="0" w:space="0" w:color="auto"/>
      </w:divBdr>
      <w:divsChild>
        <w:div w:id="715855862">
          <w:marLeft w:val="0"/>
          <w:marRight w:val="0"/>
          <w:marTop w:val="0"/>
          <w:marBottom w:val="225"/>
          <w:divBdr>
            <w:top w:val="none" w:sz="0" w:space="0" w:color="auto"/>
            <w:left w:val="none" w:sz="0" w:space="0" w:color="auto"/>
            <w:bottom w:val="none" w:sz="0" w:space="0" w:color="auto"/>
            <w:right w:val="none" w:sz="0" w:space="0" w:color="auto"/>
          </w:divBdr>
        </w:div>
      </w:divsChild>
    </w:div>
    <w:div w:id="16698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www.coordinacionformatica.com.mx/Semov/Doc886115406624486510728.09.16.pdf" TargetMode="External"/><Relationship Id="rId1" Type="http://schemas.openxmlformats.org/officeDocument/2006/relationships/hyperlink" Target="https://www.coordinacionformatica.com.mx/Semov/Doc8262083995338126700jul081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58</Pages>
  <Words>16804</Words>
  <Characters>92423</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14</cp:revision>
  <dcterms:created xsi:type="dcterms:W3CDTF">2023-01-11T21:35:00Z</dcterms:created>
  <dcterms:modified xsi:type="dcterms:W3CDTF">2023-03-01T00:29:00Z</dcterms:modified>
</cp:coreProperties>
</file>