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9164" w14:textId="77777777" w:rsidR="00090CD7" w:rsidRDefault="00090CD7" w:rsidP="006E64F0">
      <w:pPr>
        <w:tabs>
          <w:tab w:val="left" w:pos="8931"/>
        </w:tabs>
        <w:spacing w:after="0" w:line="360" w:lineRule="auto"/>
        <w:contextualSpacing/>
        <w:rPr>
          <w:rFonts w:cs="Tahoma"/>
          <w:bCs/>
        </w:rPr>
      </w:pPr>
    </w:p>
    <w:p w14:paraId="63E834DF" w14:textId="1ABAF128" w:rsidR="00EC77D9" w:rsidRPr="002D0AC7" w:rsidRDefault="00EC77D9" w:rsidP="006E64F0">
      <w:pPr>
        <w:tabs>
          <w:tab w:val="left" w:pos="8931"/>
        </w:tabs>
        <w:spacing w:after="0" w:line="360" w:lineRule="auto"/>
        <w:contextualSpacing/>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7D5A4D">
        <w:rPr>
          <w:rFonts w:eastAsia="Calibri" w:cs="Tahoma"/>
          <w:lang w:val="es-ES"/>
        </w:rPr>
        <w:t>veintinueve</w:t>
      </w:r>
      <w:r w:rsidR="00A2050F">
        <w:rPr>
          <w:rFonts w:eastAsia="Calibri" w:cs="Tahoma"/>
          <w:lang w:val="es-ES"/>
        </w:rPr>
        <w:t xml:space="preserve"> de </w:t>
      </w:r>
      <w:r w:rsidR="007D5A4D">
        <w:rPr>
          <w:rFonts w:eastAsia="Calibri" w:cs="Tahoma"/>
          <w:lang w:val="es-ES"/>
        </w:rPr>
        <w:t>marzo</w:t>
      </w:r>
      <w:r w:rsidRPr="002D0AC7">
        <w:rPr>
          <w:rFonts w:eastAsia="Calibri" w:cs="Tahoma"/>
          <w:lang w:val="es-ES"/>
        </w:rPr>
        <w:t xml:space="preserve"> de dos mil veinti</w:t>
      </w:r>
      <w:r w:rsidR="007D5A4D">
        <w:rPr>
          <w:rFonts w:eastAsia="Calibri" w:cs="Tahoma"/>
          <w:lang w:val="es-ES"/>
        </w:rPr>
        <w:t>tré</w:t>
      </w:r>
      <w:r w:rsidRPr="002D0AC7">
        <w:rPr>
          <w:rFonts w:eastAsia="Calibri" w:cs="Tahoma"/>
          <w:lang w:val="es-ES"/>
        </w:rPr>
        <w:t xml:space="preserve">s. </w:t>
      </w:r>
    </w:p>
    <w:p w14:paraId="5E4128C6" w14:textId="77777777" w:rsidR="00EC77D9" w:rsidRPr="002D0AC7" w:rsidRDefault="00EC77D9" w:rsidP="006E64F0">
      <w:pPr>
        <w:spacing w:after="0" w:line="360" w:lineRule="auto"/>
        <w:contextualSpacing/>
        <w:rPr>
          <w:rFonts w:eastAsia="Calibri" w:cs="Tahoma"/>
          <w:b/>
          <w:bCs/>
          <w:lang w:val="es-ES"/>
        </w:rPr>
      </w:pPr>
    </w:p>
    <w:p w14:paraId="04C62500" w14:textId="214E8E6F" w:rsidR="00EC77D9" w:rsidRPr="002D0AC7" w:rsidRDefault="00EC77D9" w:rsidP="006E64F0">
      <w:pPr>
        <w:spacing w:after="0" w:line="360" w:lineRule="auto"/>
        <w:contextualSpacing/>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B429D2">
        <w:rPr>
          <w:bCs/>
          <w:color w:val="000000"/>
        </w:rPr>
        <w:t>17151/INFOEM/ICR-142/IP/RR/2022</w:t>
      </w:r>
      <w:r w:rsidRPr="00090CD7">
        <w:rPr>
          <w:rFonts w:eastAsia="Calibri" w:cs="Tahoma"/>
        </w:rPr>
        <w:t xml:space="preserve">, </w:t>
      </w:r>
      <w:r w:rsidRPr="002D0AC7">
        <w:rPr>
          <w:rFonts w:eastAsia="Calibri" w:cs="Tahoma"/>
        </w:rPr>
        <w:t xml:space="preserve">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w:t>
      </w:r>
      <w:r w:rsidR="00B429D2">
        <w:t>1186</w:t>
      </w:r>
      <w:r w:rsidR="000C006D">
        <w:t>/ZINACANT/IP/2022</w:t>
      </w:r>
      <w:r w:rsidRPr="002D0AC7">
        <w:rPr>
          <w:rFonts w:cs="Tahoma"/>
          <w:iCs/>
          <w:color w:val="0D0D0D" w:themeColor="text1" w:themeTint="F2"/>
        </w:rPr>
        <w:t>,</w:t>
      </w:r>
      <w:r w:rsidRPr="002D0AC7">
        <w:rPr>
          <w:rFonts w:cs="Tahoma"/>
          <w:color w:val="0D0D0D" w:themeColor="text1" w:themeTint="F2"/>
        </w:rPr>
        <w:t xml:space="preserve"> </w:t>
      </w:r>
      <w:r w:rsidR="007D5A4D" w:rsidRPr="00926AD1">
        <w:rPr>
          <w:rFonts w:cs="Tahoma"/>
          <w:bCs/>
          <w:color w:val="0D0D0D"/>
        </w:rPr>
        <w:t xml:space="preserve">en cumplimiento a la determinación del diverso con número </w:t>
      </w:r>
      <w:r w:rsidR="00B429D2">
        <w:rPr>
          <w:rFonts w:eastAsia="Calibri" w:cs="Tahoma"/>
        </w:rPr>
        <w:t>17151</w:t>
      </w:r>
      <w:r w:rsidR="007D5A4D" w:rsidRPr="002D0AC7">
        <w:rPr>
          <w:rFonts w:eastAsia="Calibri" w:cs="Tahoma"/>
        </w:rPr>
        <w:t>/INFOEM/IP/RR/2022</w:t>
      </w:r>
      <w:r w:rsidR="007D5A4D">
        <w:rPr>
          <w:rFonts w:eastAsia="Calibri" w:cs="Tahoma"/>
        </w:rPr>
        <w:t xml:space="preserve">, </w:t>
      </w:r>
      <w:r w:rsidRPr="002D0AC7">
        <w:rPr>
          <w:rFonts w:cs="Tahoma"/>
          <w:color w:val="0D0D0D" w:themeColor="text1" w:themeTint="F2"/>
        </w:rPr>
        <w:t>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6E64F0">
      <w:pPr>
        <w:spacing w:after="0" w:line="360" w:lineRule="auto"/>
        <w:contextualSpacing/>
        <w:rPr>
          <w:rFonts w:eastAsia="Calibri" w:cs="Tahoma"/>
          <w:b/>
          <w:bCs/>
          <w:lang w:val="es-ES"/>
        </w:rPr>
      </w:pPr>
    </w:p>
    <w:p w14:paraId="75BF07A7" w14:textId="77777777" w:rsidR="00EC77D9" w:rsidRPr="002D0AC7" w:rsidRDefault="00EC77D9" w:rsidP="006E64F0">
      <w:pPr>
        <w:spacing w:after="0" w:line="360" w:lineRule="auto"/>
        <w:contextualSpacing/>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6E64F0">
      <w:pPr>
        <w:spacing w:after="0" w:line="360" w:lineRule="auto"/>
        <w:contextualSpacing/>
        <w:rPr>
          <w:lang w:val="es-ES"/>
        </w:rPr>
      </w:pPr>
    </w:p>
    <w:p w14:paraId="4F749C11" w14:textId="77777777" w:rsidR="00EC77D9" w:rsidRPr="002D0AC7" w:rsidRDefault="00EC77D9" w:rsidP="006E64F0">
      <w:pPr>
        <w:spacing w:after="0" w:line="360" w:lineRule="auto"/>
        <w:contextualSpacing/>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6E64F0">
      <w:pPr>
        <w:spacing w:after="0" w:line="360" w:lineRule="auto"/>
        <w:contextualSpacing/>
        <w:rPr>
          <w:rFonts w:eastAsia="Calibri" w:cs="Tahoma"/>
          <w:b/>
          <w:bCs/>
          <w:lang w:val="es-ES"/>
        </w:rPr>
      </w:pPr>
    </w:p>
    <w:p w14:paraId="7FB82DC5" w14:textId="77777777" w:rsidR="00B429D2" w:rsidRPr="00B429D2" w:rsidRDefault="00B429D2" w:rsidP="00B429D2">
      <w:pPr>
        <w:tabs>
          <w:tab w:val="left" w:pos="567"/>
        </w:tabs>
        <w:spacing w:after="0" w:line="360" w:lineRule="auto"/>
        <w:contextualSpacing/>
        <w:rPr>
          <w:rFonts w:eastAsia="Times New Roman" w:cs="Tahoma"/>
          <w:b/>
          <w:color w:val="auto"/>
          <w:lang w:eastAsia="es-ES"/>
        </w:rPr>
      </w:pPr>
      <w:r w:rsidRPr="00B429D2">
        <w:rPr>
          <w:rFonts w:eastAsia="Times New Roman" w:cs="Tahoma"/>
          <w:color w:val="auto"/>
          <w:lang w:eastAsia="es-ES"/>
        </w:rPr>
        <w:t xml:space="preserve">Con fecha siete de noviembre de dos mil veintidós, el Particular presentó una solicitud de acceso a la información pública, a través del Sistema de Acceso a la Información Mexiquense (SAIMEX), ante el </w:t>
      </w:r>
      <w:r w:rsidRPr="00B429D2">
        <w:rPr>
          <w:rFonts w:eastAsia="Times New Roman" w:cs="Tahoma"/>
          <w:bCs/>
          <w:color w:val="auto"/>
          <w:lang w:eastAsia="es-ES"/>
        </w:rPr>
        <w:t xml:space="preserve">Ayuntamiento de Zinacantepec, </w:t>
      </w:r>
      <w:r w:rsidRPr="00B429D2">
        <w:rPr>
          <w:rFonts w:eastAsia="Times New Roman" w:cs="Tahoma"/>
          <w:color w:val="auto"/>
          <w:lang w:eastAsia="es-ES"/>
        </w:rPr>
        <w:t>en la cual requirió lo siguiente:</w:t>
      </w:r>
    </w:p>
    <w:p w14:paraId="57C0E403" w14:textId="77777777" w:rsidR="00B429D2" w:rsidRPr="00B429D2" w:rsidRDefault="00B429D2" w:rsidP="00B429D2">
      <w:pPr>
        <w:autoSpaceDE w:val="0"/>
        <w:autoSpaceDN w:val="0"/>
        <w:adjustRightInd w:val="0"/>
        <w:spacing w:after="0" w:line="360" w:lineRule="auto"/>
        <w:rPr>
          <w:rFonts w:eastAsia="Times New Roman" w:cs="Tahoma"/>
          <w:b/>
          <w:i/>
          <w:iCs/>
          <w:color w:val="auto"/>
          <w:sz w:val="20"/>
          <w:szCs w:val="20"/>
          <w:lang w:eastAsia="es-ES"/>
        </w:rPr>
      </w:pPr>
      <w:r w:rsidRPr="00B429D2">
        <w:rPr>
          <w:rFonts w:eastAsia="Times New Roman" w:cs="Tahoma"/>
          <w:bCs/>
          <w:color w:val="auto"/>
          <w:lang w:eastAsia="es-ES"/>
        </w:rPr>
        <w:t xml:space="preserve"> </w:t>
      </w:r>
    </w:p>
    <w:p w14:paraId="1DF83443" w14:textId="77777777" w:rsidR="00B429D2" w:rsidRPr="00B429D2" w:rsidRDefault="00B429D2" w:rsidP="00B429D2">
      <w:pPr>
        <w:spacing w:after="0" w:line="360" w:lineRule="auto"/>
        <w:ind w:left="567" w:right="567"/>
        <w:contextualSpacing/>
        <w:rPr>
          <w:rFonts w:eastAsia="Times New Roman" w:cs="Tahoma"/>
          <w:b/>
          <w:i/>
          <w:iCs/>
          <w:color w:val="auto"/>
          <w:sz w:val="20"/>
          <w:szCs w:val="20"/>
          <w:lang w:eastAsia="es-ES"/>
        </w:rPr>
      </w:pPr>
      <w:r w:rsidRPr="00B429D2">
        <w:rPr>
          <w:rFonts w:eastAsia="Times New Roman" w:cs="Tahoma"/>
          <w:b/>
          <w:i/>
          <w:iCs/>
          <w:color w:val="auto"/>
          <w:sz w:val="20"/>
          <w:szCs w:val="20"/>
          <w:lang w:eastAsia="es-ES"/>
        </w:rPr>
        <w:t xml:space="preserve"> “DESCRIPCIÓN CLARA Y PRECISA DE LA INFORMACIÓN SOLICITADA</w:t>
      </w:r>
    </w:p>
    <w:p w14:paraId="55F9BAC4" w14:textId="77777777" w:rsidR="00B429D2" w:rsidRPr="00B429D2" w:rsidRDefault="00B429D2" w:rsidP="00B429D2">
      <w:pPr>
        <w:widowControl w:val="0"/>
        <w:spacing w:after="0" w:line="360" w:lineRule="auto"/>
        <w:ind w:left="567" w:right="567"/>
        <w:contextualSpacing/>
        <w:rPr>
          <w:rFonts w:eastAsia="Times New Roman" w:cs="Times New Roman"/>
          <w:bCs/>
          <w:i/>
          <w:iCs/>
          <w:color w:val="000000"/>
          <w:sz w:val="20"/>
          <w:szCs w:val="20"/>
          <w:lang w:eastAsia="es-ES"/>
        </w:rPr>
      </w:pPr>
      <w:r w:rsidRPr="00B429D2">
        <w:rPr>
          <w:rFonts w:eastAsia="Times New Roman" w:cs="Times New Roman"/>
          <w:i/>
          <w:iCs/>
          <w:color w:val="000000"/>
          <w:sz w:val="20"/>
          <w:szCs w:val="20"/>
          <w:lang w:eastAsia="es-ES"/>
        </w:rPr>
        <w:t>DE TODAS LAS DIRECCIONES, SOLICITO TODAS LAS REQUISICIONES POR CONCEPTO DE ASESORÍAS ASÍ COMO LAS FACTURAS DE PAGO</w:t>
      </w:r>
      <w:r w:rsidRPr="00B429D2">
        <w:rPr>
          <w:rFonts w:eastAsia="Times New Roman" w:cs="Times New Roman"/>
          <w:bCs/>
          <w:i/>
          <w:iCs/>
          <w:color w:val="000000"/>
          <w:sz w:val="20"/>
          <w:szCs w:val="20"/>
          <w:lang w:eastAsia="es-ES"/>
        </w:rPr>
        <w:t>” (Sic.)</w:t>
      </w:r>
    </w:p>
    <w:p w14:paraId="3F4037DA" w14:textId="0A19B38F" w:rsidR="00EC77D9" w:rsidRDefault="00EC77D9" w:rsidP="006E64F0">
      <w:pPr>
        <w:tabs>
          <w:tab w:val="left" w:pos="4667"/>
        </w:tabs>
        <w:spacing w:after="0" w:line="360" w:lineRule="auto"/>
        <w:ind w:left="567" w:right="567"/>
        <w:contextualSpacing/>
        <w:rPr>
          <w:rFonts w:cs="Tahoma"/>
          <w:bCs/>
          <w:i/>
          <w:sz w:val="20"/>
          <w:szCs w:val="20"/>
        </w:rPr>
      </w:pPr>
    </w:p>
    <w:p w14:paraId="1DAB7206" w14:textId="0AAF1ECD" w:rsidR="00EC77D9" w:rsidRPr="009019A4" w:rsidRDefault="00EC77D9" w:rsidP="006E64F0">
      <w:pPr>
        <w:tabs>
          <w:tab w:val="left" w:pos="4667"/>
        </w:tabs>
        <w:spacing w:after="0" w:line="360" w:lineRule="auto"/>
        <w:ind w:left="567" w:right="567"/>
        <w:contextualSpacing/>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6E64F0">
      <w:pPr>
        <w:spacing w:after="0" w:line="360" w:lineRule="auto"/>
        <w:ind w:left="567" w:right="567"/>
        <w:contextualSpacing/>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025F4758" w14:textId="77777777" w:rsidR="00B429D2" w:rsidRDefault="00B429D2" w:rsidP="006E64F0">
      <w:pPr>
        <w:pStyle w:val="paragraph"/>
        <w:spacing w:before="0" w:beforeAutospacing="0" w:after="0" w:afterAutospacing="0" w:line="360" w:lineRule="auto"/>
        <w:contextualSpacing/>
        <w:jc w:val="both"/>
        <w:textAlignment w:val="baseline"/>
        <w:rPr>
          <w:rStyle w:val="normaltextrun"/>
          <w:rFonts w:ascii="Palatino Linotype" w:hAnsi="Palatino Linotype" w:cs="Segoe UI"/>
          <w:b/>
          <w:bCs/>
          <w:sz w:val="22"/>
          <w:szCs w:val="22"/>
          <w:lang w:val="es-MX"/>
        </w:rPr>
      </w:pPr>
    </w:p>
    <w:p w14:paraId="0A818F14" w14:textId="22C90AA7" w:rsidR="001756F2" w:rsidRDefault="001756F2" w:rsidP="006E64F0">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B62FCB">
        <w:rPr>
          <w:rStyle w:val="normaltextrun"/>
          <w:rFonts w:ascii="Palatino Linotype" w:hAnsi="Palatino Linotype" w:cs="Segoe UI"/>
          <w:b/>
          <w:bCs/>
          <w:sz w:val="22"/>
          <w:szCs w:val="22"/>
          <w:lang w:val="es-MX"/>
        </w:rPr>
        <w:lastRenderedPageBreak/>
        <w:t>II. Requerimiento de aclaración a la solicitud de acceso a la información.</w:t>
      </w:r>
      <w:r w:rsidRPr="00B62FCB">
        <w:rPr>
          <w:rStyle w:val="eop"/>
          <w:rFonts w:ascii="Palatino Linotype" w:hAnsi="Palatino Linotype" w:cs="Segoe UI"/>
          <w:sz w:val="22"/>
          <w:szCs w:val="22"/>
          <w:lang w:val="es-MX"/>
        </w:rPr>
        <w:t> </w:t>
      </w:r>
    </w:p>
    <w:p w14:paraId="52C43622" w14:textId="77777777" w:rsidR="00090CD7" w:rsidRDefault="00090CD7" w:rsidP="006E64F0">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p>
    <w:p w14:paraId="495C69E5" w14:textId="77777777" w:rsidR="00B429D2" w:rsidRPr="00B429D2" w:rsidRDefault="00B429D2" w:rsidP="00B429D2">
      <w:pPr>
        <w:autoSpaceDE w:val="0"/>
        <w:autoSpaceDN w:val="0"/>
        <w:adjustRightInd w:val="0"/>
        <w:spacing w:after="0" w:line="360" w:lineRule="auto"/>
        <w:ind w:right="-28"/>
        <w:rPr>
          <w:rFonts w:eastAsia="Times New Roman" w:cs="Tahoma"/>
          <w:bCs/>
          <w:color w:val="auto"/>
          <w:lang w:eastAsia="es-ES"/>
        </w:rPr>
      </w:pPr>
      <w:r w:rsidRPr="00B429D2">
        <w:rPr>
          <w:rFonts w:eastAsia="Times New Roman" w:cs="Tahoma"/>
          <w:bCs/>
          <w:color w:val="auto"/>
          <w:lang w:eastAsia="es-ES"/>
        </w:rPr>
        <w:t xml:space="preserve">Con fecha catorce de noviembre de dos mil veintidós, </w:t>
      </w:r>
      <w:r w:rsidRPr="00B429D2">
        <w:rPr>
          <w:rFonts w:eastAsia="Times New Roman" w:cs="Segoe UI"/>
          <w:color w:val="auto"/>
          <w:lang w:eastAsia="es-ES"/>
        </w:rPr>
        <w:t>la Unidad de Transparencia del Ayuntamiento de Zinacantepec, notificó al Particular, mediante el Sistema de Acceso a la Información Mexiquense (SAIMEX), un requerimiento de información adicional a las solicitudes de información previamente referidas, en los siguientes términos: </w:t>
      </w:r>
    </w:p>
    <w:p w14:paraId="79576502"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eastAsia="es-ES"/>
        </w:rPr>
      </w:pPr>
    </w:p>
    <w:p w14:paraId="28CAF05E"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w:t>
      </w:r>
    </w:p>
    <w:p w14:paraId="0C741CB2"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D7D8445"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p>
    <w:p w14:paraId="33484055"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5D8BA9E"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 xml:space="preserve">…” (Sic) </w:t>
      </w:r>
    </w:p>
    <w:p w14:paraId="167C3304"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eastAsia="es-ES"/>
        </w:rPr>
      </w:pPr>
    </w:p>
    <w:p w14:paraId="35BDDE6B"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eastAsia="es-ES"/>
        </w:rPr>
      </w:pPr>
      <w:r w:rsidRPr="00B429D2">
        <w:rPr>
          <w:rFonts w:eastAsia="Times New Roman" w:cs="Tahoma"/>
          <w:b/>
          <w:color w:val="auto"/>
          <w:lang w:eastAsia="es-ES"/>
        </w:rPr>
        <w:t xml:space="preserve">III. Desahogo del requerimiento de información adicional. </w:t>
      </w:r>
    </w:p>
    <w:p w14:paraId="500A9107" w14:textId="77777777" w:rsidR="00B429D2" w:rsidRPr="00B429D2" w:rsidRDefault="00B429D2" w:rsidP="00B429D2">
      <w:pPr>
        <w:autoSpaceDE w:val="0"/>
        <w:autoSpaceDN w:val="0"/>
        <w:adjustRightInd w:val="0"/>
        <w:spacing w:after="0" w:line="360" w:lineRule="auto"/>
        <w:ind w:right="-28"/>
        <w:rPr>
          <w:rFonts w:eastAsia="Times New Roman" w:cs="Tahoma"/>
          <w:bCs/>
          <w:color w:val="auto"/>
          <w:lang w:eastAsia="es-ES"/>
        </w:rPr>
      </w:pPr>
    </w:p>
    <w:p w14:paraId="406A916F" w14:textId="77777777" w:rsidR="00B429D2" w:rsidRPr="00B429D2" w:rsidRDefault="00B429D2" w:rsidP="00B429D2">
      <w:pPr>
        <w:autoSpaceDE w:val="0"/>
        <w:autoSpaceDN w:val="0"/>
        <w:adjustRightInd w:val="0"/>
        <w:spacing w:after="0" w:line="360" w:lineRule="auto"/>
        <w:ind w:right="-28"/>
        <w:rPr>
          <w:rFonts w:eastAsia="Times New Roman" w:cs="Tahoma"/>
          <w:bCs/>
          <w:color w:val="auto"/>
          <w:lang w:eastAsia="es-ES"/>
        </w:rPr>
      </w:pPr>
      <w:r w:rsidRPr="00B429D2">
        <w:rPr>
          <w:rFonts w:eastAsia="Times New Roman" w:cs="Tahoma"/>
          <w:bCs/>
          <w:color w:val="auto"/>
          <w:lang w:eastAsia="es-ES"/>
        </w:rPr>
        <w:t xml:space="preserve">El catorce de noviembre de dos mil veintidós, el Particular desahogo la solicitud de aclaración presentada por el Ente Recurrido, en los siguientes términos: </w:t>
      </w:r>
    </w:p>
    <w:p w14:paraId="535A2BA3" w14:textId="77777777" w:rsidR="00B429D2" w:rsidRPr="00B429D2" w:rsidRDefault="00B429D2" w:rsidP="00B429D2">
      <w:pPr>
        <w:autoSpaceDE w:val="0"/>
        <w:autoSpaceDN w:val="0"/>
        <w:adjustRightInd w:val="0"/>
        <w:spacing w:after="0" w:line="360" w:lineRule="auto"/>
        <w:ind w:right="-28"/>
        <w:rPr>
          <w:rFonts w:eastAsia="Times New Roman" w:cs="Tahoma"/>
          <w:bCs/>
          <w:color w:val="auto"/>
          <w:lang w:eastAsia="es-ES"/>
        </w:rPr>
      </w:pPr>
    </w:p>
    <w:p w14:paraId="4548DDA9"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w:t>
      </w:r>
    </w:p>
    <w:p w14:paraId="176C873F"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LA SOLICITUD ES MUY ESPECÍFICA</w:t>
      </w:r>
    </w:p>
    <w:p w14:paraId="398D301D" w14:textId="77777777" w:rsidR="00B429D2" w:rsidRPr="00B429D2" w:rsidRDefault="00B429D2" w:rsidP="00B429D2">
      <w:pPr>
        <w:autoSpaceDE w:val="0"/>
        <w:autoSpaceDN w:val="0"/>
        <w:adjustRightInd w:val="0"/>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 xml:space="preserve">…” (Sic) </w:t>
      </w:r>
    </w:p>
    <w:p w14:paraId="787B9329" w14:textId="77777777" w:rsidR="00B429D2" w:rsidRPr="00B429D2" w:rsidRDefault="00B429D2" w:rsidP="00B429D2">
      <w:pPr>
        <w:autoSpaceDE w:val="0"/>
        <w:autoSpaceDN w:val="0"/>
        <w:adjustRightInd w:val="0"/>
        <w:spacing w:after="0" w:line="360" w:lineRule="auto"/>
        <w:ind w:right="-28"/>
        <w:rPr>
          <w:rFonts w:eastAsia="Times New Roman" w:cs="Tahoma"/>
          <w:bCs/>
          <w:color w:val="auto"/>
          <w:lang w:eastAsia="es-ES"/>
        </w:rPr>
      </w:pPr>
    </w:p>
    <w:p w14:paraId="37C988CD"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eastAsia="es-ES"/>
        </w:rPr>
      </w:pPr>
      <w:r w:rsidRPr="00B429D2">
        <w:rPr>
          <w:rFonts w:eastAsia="Times New Roman" w:cs="Tahoma"/>
          <w:b/>
          <w:color w:val="auto"/>
          <w:lang w:eastAsia="es-ES"/>
        </w:rPr>
        <w:t>III. Respuesta del Sujeto Obligado.</w:t>
      </w:r>
    </w:p>
    <w:p w14:paraId="4991F285" w14:textId="77777777" w:rsidR="00B429D2" w:rsidRPr="00B429D2" w:rsidRDefault="00B429D2" w:rsidP="00B429D2">
      <w:pPr>
        <w:autoSpaceDE w:val="0"/>
        <w:autoSpaceDN w:val="0"/>
        <w:adjustRightInd w:val="0"/>
        <w:spacing w:after="0" w:line="360" w:lineRule="auto"/>
        <w:contextualSpacing/>
        <w:rPr>
          <w:rFonts w:eastAsia="Times New Roman" w:cs="Tahoma"/>
          <w:b/>
          <w:color w:val="auto"/>
          <w:lang w:eastAsia="es-ES"/>
        </w:rPr>
      </w:pPr>
    </w:p>
    <w:p w14:paraId="7F11AE2E" w14:textId="77777777" w:rsidR="00B429D2" w:rsidRPr="00B429D2" w:rsidRDefault="00B429D2" w:rsidP="00B429D2">
      <w:pPr>
        <w:autoSpaceDE w:val="0"/>
        <w:autoSpaceDN w:val="0"/>
        <w:adjustRightInd w:val="0"/>
        <w:spacing w:after="0" w:line="360" w:lineRule="auto"/>
        <w:rPr>
          <w:rFonts w:eastAsia="Calibri" w:cs="Tahoma"/>
          <w:color w:val="000000"/>
          <w:szCs w:val="20"/>
          <w:lang w:val="es-ES" w:eastAsia="es-ES"/>
        </w:rPr>
      </w:pPr>
      <w:r w:rsidRPr="00B429D2">
        <w:rPr>
          <w:rFonts w:eastAsia="Calibri" w:cs="Tahoma"/>
          <w:color w:val="000000"/>
          <w:szCs w:val="20"/>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429D2">
        <w:rPr>
          <w:rFonts w:eastAsia="Calibri" w:cs="Tahoma"/>
          <w:color w:val="000000"/>
          <w:szCs w:val="20"/>
          <w:lang w:val="es-ES" w:eastAsia="es-ES"/>
        </w:rPr>
        <w:t xml:space="preserve">Sistema de Acceso a la Información Mexiquense (SAIMEX), se advierte que el </w:t>
      </w:r>
      <w:r w:rsidRPr="00B429D2">
        <w:rPr>
          <w:rFonts w:eastAsia="Calibri" w:cs="Tahoma"/>
          <w:b/>
          <w:bCs/>
          <w:color w:val="auto"/>
          <w:szCs w:val="20"/>
          <w:lang w:eastAsia="es-ES"/>
        </w:rPr>
        <w:t>Ayuntamiento de Zinacantepec</w:t>
      </w:r>
      <w:r w:rsidRPr="00B429D2">
        <w:rPr>
          <w:rFonts w:eastAsia="Calibri" w:cs="Tahoma"/>
          <w:bCs/>
          <w:color w:val="000000"/>
          <w:szCs w:val="20"/>
          <w:lang w:eastAsia="es-ES"/>
        </w:rPr>
        <w:t xml:space="preserve">, omitió dar respuesta, por lo que </w:t>
      </w:r>
      <w:r w:rsidRPr="00B429D2">
        <w:rPr>
          <w:rFonts w:eastAsia="Calibri" w:cs="Tahoma"/>
          <w:b/>
          <w:color w:val="000000"/>
          <w:szCs w:val="20"/>
          <w:lang w:eastAsia="es-ES"/>
        </w:rPr>
        <w:t xml:space="preserve">se configura la </w:t>
      </w:r>
      <w:r w:rsidRPr="00B429D2">
        <w:rPr>
          <w:rFonts w:eastAsia="Calibri" w:cs="Tahoma"/>
          <w:b/>
          <w:color w:val="000000"/>
          <w:szCs w:val="20"/>
          <w:lang w:val="es-ES" w:eastAsia="es-ES"/>
        </w:rPr>
        <w:t>negativa ficta</w:t>
      </w:r>
      <w:r w:rsidRPr="00B429D2">
        <w:rPr>
          <w:rFonts w:eastAsia="Calibri" w:cs="Tahoma"/>
          <w:color w:val="000000"/>
          <w:szCs w:val="20"/>
          <w:lang w:val="es-ES" w:eastAsia="es-ES"/>
        </w:rPr>
        <w:t xml:space="preserve"> a entregar información, prevista en los artículos 166, párrafo cuarto y 178, párrafo segundo, de la Ley de Transparencia y Acceso a la Información Pública del Estado de México y Municipios.</w:t>
      </w:r>
    </w:p>
    <w:p w14:paraId="6454210E"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val="es-ES" w:eastAsia="es-ES"/>
        </w:rPr>
      </w:pPr>
    </w:p>
    <w:p w14:paraId="0A850A27" w14:textId="77777777" w:rsidR="00B429D2" w:rsidRPr="00B429D2" w:rsidRDefault="00B429D2" w:rsidP="00B429D2">
      <w:pPr>
        <w:autoSpaceDE w:val="0"/>
        <w:autoSpaceDN w:val="0"/>
        <w:adjustRightInd w:val="0"/>
        <w:spacing w:after="0" w:line="360" w:lineRule="auto"/>
        <w:ind w:right="-28"/>
        <w:rPr>
          <w:rFonts w:eastAsia="Times New Roman" w:cs="Tahoma"/>
          <w:b/>
          <w:color w:val="auto"/>
          <w:lang w:eastAsia="es-ES"/>
        </w:rPr>
      </w:pPr>
      <w:r w:rsidRPr="00B429D2">
        <w:rPr>
          <w:rFonts w:eastAsia="Times New Roman" w:cs="Tahoma"/>
          <w:b/>
          <w:color w:val="auto"/>
          <w:lang w:eastAsia="es-ES"/>
        </w:rPr>
        <w:t xml:space="preserve">IV. Interposición del Recurso de Revisión. </w:t>
      </w:r>
    </w:p>
    <w:p w14:paraId="2CE33B82" w14:textId="77777777" w:rsidR="00B429D2" w:rsidRPr="00B429D2" w:rsidRDefault="00B429D2" w:rsidP="00B429D2">
      <w:pPr>
        <w:autoSpaceDE w:val="0"/>
        <w:autoSpaceDN w:val="0"/>
        <w:adjustRightInd w:val="0"/>
        <w:spacing w:after="0" w:line="360" w:lineRule="auto"/>
        <w:ind w:right="-28"/>
        <w:rPr>
          <w:rFonts w:eastAsia="Times New Roman" w:cs="Tahoma"/>
          <w:color w:val="auto"/>
          <w:lang w:eastAsia="es-ES"/>
        </w:rPr>
      </w:pPr>
    </w:p>
    <w:p w14:paraId="246EACB1" w14:textId="77777777" w:rsidR="00B429D2" w:rsidRPr="00B429D2" w:rsidRDefault="00B429D2" w:rsidP="00B429D2">
      <w:pPr>
        <w:spacing w:after="0" w:line="360" w:lineRule="auto"/>
        <w:rPr>
          <w:rFonts w:eastAsia="Times New Roman" w:cs="Tahoma"/>
          <w:bCs/>
          <w:color w:val="auto"/>
          <w:lang w:val="es-ES" w:eastAsia="es-ES"/>
        </w:rPr>
      </w:pPr>
      <w:r w:rsidRPr="00B429D2">
        <w:rPr>
          <w:rFonts w:eastAsia="Times New Roman" w:cs="Tahoma"/>
          <w:bCs/>
          <w:color w:val="auto"/>
          <w:lang w:val="es-ES" w:eastAsia="es-ES"/>
        </w:rPr>
        <w:t xml:space="preserve">Con fecha siete de diciembre de dos mil veintidós, </w:t>
      </w:r>
      <w:r w:rsidRPr="00B429D2">
        <w:rPr>
          <w:rFonts w:eastAsia="Times New Roman" w:cs="Tahoma"/>
          <w:bCs/>
          <w:color w:val="auto"/>
          <w:lang w:eastAsia="es-ES"/>
        </w:rPr>
        <w:t xml:space="preserve">se recibió en este Instituto, a través del </w:t>
      </w:r>
      <w:r w:rsidRPr="00B429D2">
        <w:rPr>
          <w:rFonts w:eastAsia="Times New Roman" w:cs="Tahoma"/>
          <w:bCs/>
          <w:color w:val="auto"/>
          <w:lang w:val="es-ES" w:eastAsia="es-ES"/>
        </w:rPr>
        <w:t>Sistema de Acceso a la Información Mexiquense (SAIMEX)</w:t>
      </w:r>
      <w:r w:rsidRPr="00B429D2">
        <w:rPr>
          <w:rFonts w:eastAsia="Times New Roman" w:cs="Tahoma"/>
          <w:bCs/>
          <w:color w:val="auto"/>
          <w:lang w:eastAsia="es-ES"/>
        </w:rPr>
        <w:t>, el Recurso de Revisión interpuesto por la parte Recurrente, en contra de la respuesta del Sujeto Obligado, en los siguientes términos:</w:t>
      </w:r>
    </w:p>
    <w:p w14:paraId="44E3BA33" w14:textId="77777777" w:rsidR="00B429D2" w:rsidRPr="00B429D2" w:rsidRDefault="00B429D2" w:rsidP="00B429D2">
      <w:pPr>
        <w:autoSpaceDE w:val="0"/>
        <w:autoSpaceDN w:val="0"/>
        <w:adjustRightInd w:val="0"/>
        <w:spacing w:after="0" w:line="360" w:lineRule="auto"/>
        <w:ind w:right="-28"/>
        <w:rPr>
          <w:rFonts w:eastAsia="Times New Roman" w:cs="Tahoma"/>
          <w:color w:val="auto"/>
          <w:lang w:val="es-ES" w:eastAsia="es-ES"/>
        </w:rPr>
      </w:pPr>
    </w:p>
    <w:p w14:paraId="6F6AFD55" w14:textId="77777777" w:rsidR="00B429D2" w:rsidRPr="00B429D2" w:rsidRDefault="00B429D2" w:rsidP="00B429D2">
      <w:pPr>
        <w:tabs>
          <w:tab w:val="left" w:pos="4667"/>
        </w:tabs>
        <w:spacing w:after="0" w:line="360" w:lineRule="auto"/>
        <w:ind w:left="567" w:right="567"/>
        <w:rPr>
          <w:rFonts w:eastAsia="Times New Roman" w:cs="Tahoma"/>
          <w:b/>
          <w:bCs/>
          <w:i/>
          <w:color w:val="auto"/>
          <w:sz w:val="20"/>
          <w:szCs w:val="20"/>
          <w:lang w:eastAsia="es-ES"/>
        </w:rPr>
      </w:pPr>
      <w:r w:rsidRPr="00B429D2">
        <w:rPr>
          <w:rFonts w:eastAsia="Times New Roman" w:cs="Tahoma"/>
          <w:b/>
          <w:bCs/>
          <w:i/>
          <w:color w:val="auto"/>
          <w:sz w:val="20"/>
          <w:szCs w:val="20"/>
          <w:lang w:eastAsia="es-ES"/>
        </w:rPr>
        <w:t>“ACTO IMPUGNADO</w:t>
      </w:r>
    </w:p>
    <w:p w14:paraId="768598AB" w14:textId="77777777" w:rsidR="00B429D2" w:rsidRPr="00B429D2" w:rsidRDefault="00B429D2" w:rsidP="00B429D2">
      <w:pPr>
        <w:tabs>
          <w:tab w:val="left" w:pos="4667"/>
        </w:tabs>
        <w:spacing w:after="0" w:line="360" w:lineRule="auto"/>
        <w:ind w:left="567" w:right="567"/>
        <w:rPr>
          <w:rFonts w:eastAsia="Times New Roman" w:cs="Tahoma"/>
          <w:bCs/>
          <w:i/>
          <w:iCs/>
          <w:color w:val="auto"/>
          <w:sz w:val="20"/>
          <w:szCs w:val="20"/>
          <w:lang w:eastAsia="es-ES"/>
        </w:rPr>
      </w:pPr>
      <w:r w:rsidRPr="00B429D2">
        <w:rPr>
          <w:rFonts w:eastAsia="Times New Roman" w:cs="Times New Roman"/>
          <w:i/>
          <w:iCs/>
          <w:color w:val="000000"/>
          <w:sz w:val="20"/>
          <w:szCs w:val="20"/>
          <w:lang w:eastAsia="es-ES"/>
        </w:rPr>
        <w:t>NO ENTREGA INFORMACIÓN</w:t>
      </w:r>
      <w:r w:rsidRPr="00B429D2">
        <w:rPr>
          <w:rFonts w:eastAsia="Times New Roman" w:cs="Tahoma"/>
          <w:bCs/>
          <w:i/>
          <w:iCs/>
          <w:color w:val="auto"/>
          <w:sz w:val="20"/>
          <w:szCs w:val="20"/>
          <w:lang w:eastAsia="es-ES"/>
        </w:rPr>
        <w:t>” (Sic.)</w:t>
      </w:r>
    </w:p>
    <w:p w14:paraId="7E3EBC72" w14:textId="77777777" w:rsidR="00B429D2" w:rsidRPr="00B429D2" w:rsidRDefault="00B429D2" w:rsidP="00B429D2">
      <w:pPr>
        <w:tabs>
          <w:tab w:val="left" w:pos="4667"/>
        </w:tabs>
        <w:spacing w:after="0" w:line="360" w:lineRule="auto"/>
        <w:ind w:left="567" w:right="567"/>
        <w:rPr>
          <w:rFonts w:eastAsia="Times New Roman" w:cs="Tahoma"/>
          <w:b/>
          <w:bCs/>
          <w:i/>
          <w:color w:val="auto"/>
          <w:sz w:val="20"/>
          <w:szCs w:val="20"/>
          <w:lang w:eastAsia="es-ES"/>
        </w:rPr>
      </w:pPr>
    </w:p>
    <w:p w14:paraId="47D06A02" w14:textId="77777777" w:rsidR="00B429D2" w:rsidRPr="00B429D2" w:rsidRDefault="00B429D2" w:rsidP="00B429D2">
      <w:pPr>
        <w:tabs>
          <w:tab w:val="left" w:pos="4667"/>
        </w:tabs>
        <w:spacing w:after="0" w:line="360" w:lineRule="auto"/>
        <w:ind w:left="567" w:right="567"/>
        <w:rPr>
          <w:rFonts w:eastAsia="Times New Roman" w:cs="Tahoma"/>
          <w:b/>
          <w:bCs/>
          <w:i/>
          <w:color w:val="auto"/>
          <w:sz w:val="20"/>
          <w:szCs w:val="20"/>
          <w:lang w:eastAsia="es-ES"/>
        </w:rPr>
      </w:pPr>
      <w:r w:rsidRPr="00B429D2">
        <w:rPr>
          <w:rFonts w:eastAsia="Times New Roman" w:cs="Tahoma"/>
          <w:b/>
          <w:bCs/>
          <w:i/>
          <w:color w:val="auto"/>
          <w:sz w:val="20"/>
          <w:szCs w:val="20"/>
          <w:lang w:eastAsia="es-ES"/>
        </w:rPr>
        <w:t>“RAZONES O MOTIVOS DE LA INCONFORMIDAD</w:t>
      </w:r>
    </w:p>
    <w:p w14:paraId="217FADAA" w14:textId="77777777" w:rsidR="00B429D2" w:rsidRPr="00B429D2" w:rsidRDefault="00B429D2" w:rsidP="00B429D2">
      <w:pPr>
        <w:tabs>
          <w:tab w:val="left" w:pos="4667"/>
        </w:tabs>
        <w:spacing w:after="0" w:line="360" w:lineRule="auto"/>
        <w:ind w:left="567" w:right="567"/>
        <w:rPr>
          <w:rFonts w:eastAsia="Times New Roman" w:cs="Tahoma"/>
          <w:i/>
          <w:color w:val="auto"/>
          <w:sz w:val="20"/>
          <w:szCs w:val="20"/>
          <w:lang w:eastAsia="es-ES"/>
        </w:rPr>
      </w:pPr>
      <w:r w:rsidRPr="00B429D2">
        <w:rPr>
          <w:rFonts w:eastAsia="Times New Roman" w:cs="Times New Roman"/>
          <w:i/>
          <w:iCs/>
          <w:color w:val="000000"/>
          <w:sz w:val="20"/>
          <w:szCs w:val="20"/>
          <w:lang w:eastAsia="es-ES"/>
        </w:rPr>
        <w:t>NO ENTREGA INFORMACIÓN</w:t>
      </w:r>
      <w:r w:rsidRPr="00B429D2">
        <w:rPr>
          <w:rFonts w:eastAsia="Times New Roman" w:cs="Tahoma"/>
          <w:i/>
          <w:color w:val="auto"/>
          <w:sz w:val="20"/>
          <w:szCs w:val="20"/>
          <w:lang w:eastAsia="es-ES"/>
        </w:rPr>
        <w:t>” (Sic.)</w:t>
      </w:r>
    </w:p>
    <w:p w14:paraId="3A360B8E" w14:textId="77777777" w:rsidR="00B429D2" w:rsidRPr="00B429D2" w:rsidRDefault="00B429D2" w:rsidP="00B429D2">
      <w:pPr>
        <w:spacing w:after="0" w:line="360" w:lineRule="auto"/>
        <w:rPr>
          <w:rFonts w:eastAsia="Times New Roman" w:cs="Tahoma"/>
          <w:b/>
          <w:color w:val="auto"/>
          <w:lang w:eastAsia="es-ES"/>
        </w:rPr>
      </w:pPr>
    </w:p>
    <w:p w14:paraId="46661449" w14:textId="77777777" w:rsidR="00B429D2" w:rsidRPr="00B429D2" w:rsidRDefault="00B429D2" w:rsidP="00B429D2">
      <w:pPr>
        <w:spacing w:after="0" w:line="360" w:lineRule="auto"/>
        <w:rPr>
          <w:rFonts w:eastAsia="Batang" w:cs="Tahoma"/>
          <w:b/>
          <w:bCs/>
          <w:color w:val="auto"/>
          <w:lang w:eastAsia="es-ES"/>
        </w:rPr>
      </w:pPr>
      <w:r w:rsidRPr="00B429D2">
        <w:rPr>
          <w:rFonts w:eastAsia="Times New Roman" w:cs="Tahoma"/>
          <w:b/>
          <w:color w:val="auto"/>
          <w:lang w:eastAsia="es-ES"/>
        </w:rPr>
        <w:t xml:space="preserve">V. </w:t>
      </w:r>
      <w:r w:rsidRPr="00B429D2">
        <w:rPr>
          <w:rFonts w:eastAsia="Batang" w:cs="Tahoma"/>
          <w:b/>
          <w:bCs/>
          <w:color w:val="auto"/>
          <w:lang w:eastAsia="es-ES"/>
        </w:rPr>
        <w:t xml:space="preserve">Trámite del </w:t>
      </w:r>
      <w:r w:rsidRPr="00B429D2">
        <w:rPr>
          <w:rFonts w:eastAsia="Times New Roman" w:cs="Tahoma"/>
          <w:b/>
          <w:color w:val="auto"/>
          <w:lang w:eastAsia="es-ES"/>
        </w:rPr>
        <w:t xml:space="preserve">Recurso de Revisión </w:t>
      </w:r>
      <w:r w:rsidRPr="00B429D2">
        <w:rPr>
          <w:rFonts w:eastAsia="Batang" w:cs="Tahoma"/>
          <w:b/>
          <w:bCs/>
          <w:color w:val="auto"/>
          <w:lang w:eastAsia="es-ES"/>
        </w:rPr>
        <w:t>ante el Instituto.</w:t>
      </w:r>
    </w:p>
    <w:p w14:paraId="55251C38" w14:textId="77777777" w:rsidR="00B429D2" w:rsidRPr="00B429D2" w:rsidRDefault="00B429D2" w:rsidP="00B429D2">
      <w:pPr>
        <w:spacing w:after="0" w:line="360" w:lineRule="auto"/>
        <w:rPr>
          <w:rFonts w:eastAsia="Batang" w:cs="Tahoma"/>
          <w:b/>
          <w:bCs/>
          <w:color w:val="auto"/>
          <w:lang w:eastAsia="es-ES"/>
        </w:rPr>
      </w:pPr>
    </w:p>
    <w:p w14:paraId="0BB8792C" w14:textId="77777777" w:rsidR="00B429D2" w:rsidRPr="00B429D2" w:rsidRDefault="00B429D2" w:rsidP="00B429D2">
      <w:pPr>
        <w:spacing w:after="0" w:line="360" w:lineRule="auto"/>
        <w:rPr>
          <w:rFonts w:eastAsia="Batang" w:cs="Tahoma"/>
          <w:bCs/>
          <w:color w:val="auto"/>
          <w:lang w:eastAsia="es-ES"/>
        </w:rPr>
      </w:pPr>
      <w:r w:rsidRPr="00B429D2">
        <w:rPr>
          <w:rFonts w:eastAsia="Batang" w:cs="Tahoma"/>
          <w:b/>
          <w:bCs/>
          <w:color w:val="auto"/>
          <w:lang w:eastAsia="es-ES"/>
        </w:rPr>
        <w:lastRenderedPageBreak/>
        <w:t xml:space="preserve">a) Turno del </w:t>
      </w:r>
      <w:r w:rsidRPr="00B429D2">
        <w:rPr>
          <w:rFonts w:eastAsia="Times New Roman" w:cs="Tahoma"/>
          <w:b/>
          <w:color w:val="auto"/>
          <w:lang w:eastAsia="es-ES"/>
        </w:rPr>
        <w:t>Recurso de Revisión</w:t>
      </w:r>
      <w:r w:rsidRPr="00B429D2">
        <w:rPr>
          <w:rFonts w:eastAsia="Batang" w:cs="Tahoma"/>
          <w:b/>
          <w:bCs/>
          <w:color w:val="auto"/>
          <w:lang w:eastAsia="es-ES"/>
        </w:rPr>
        <w:t xml:space="preserve">. </w:t>
      </w:r>
      <w:r w:rsidRPr="00B429D2">
        <w:rPr>
          <w:rFonts w:eastAsia="Batang" w:cs="Tahoma"/>
          <w:bCs/>
          <w:color w:val="auto"/>
          <w:lang w:eastAsia="es-ES"/>
        </w:rPr>
        <w:t xml:space="preserve">El siete de diciembre de dos mil veintidós, el </w:t>
      </w:r>
      <w:r w:rsidRPr="00B429D2">
        <w:rPr>
          <w:rFonts w:eastAsia="Times New Roman" w:cs="Tahoma"/>
          <w:color w:val="auto"/>
          <w:lang w:val="es-ES" w:eastAsia="es-ES"/>
        </w:rPr>
        <w:t>Sistema de Acceso a la Información Mexiquense (SAIMEX),</w:t>
      </w:r>
      <w:r w:rsidRPr="00B429D2">
        <w:rPr>
          <w:rFonts w:eastAsia="Batang" w:cs="Tahoma"/>
          <w:bCs/>
          <w:color w:val="auto"/>
          <w:lang w:eastAsia="es-ES"/>
        </w:rPr>
        <w:t xml:space="preserve"> asignó con número de expediente </w:t>
      </w:r>
      <w:r w:rsidRPr="00B429D2">
        <w:rPr>
          <w:rFonts w:eastAsia="Batang" w:cs="Tahoma"/>
          <w:b/>
          <w:bCs/>
          <w:color w:val="auto"/>
          <w:lang w:eastAsia="es-ES"/>
        </w:rPr>
        <w:t xml:space="preserve">17151/INFOEM/IP/RR/2022 </w:t>
      </w:r>
      <w:r w:rsidRPr="00B429D2">
        <w:rPr>
          <w:rFonts w:eastAsia="Batang" w:cs="Tahoma"/>
          <w:bCs/>
          <w:color w:val="auto"/>
          <w:lang w:eastAsia="es-ES"/>
        </w:rPr>
        <w:t xml:space="preserve">al Medio de Impugnación que nos ocupa, con base en el sistema aprobado por el Pleno de este Órgano Garante y lo turnó al </w:t>
      </w:r>
      <w:r w:rsidRPr="00B429D2">
        <w:rPr>
          <w:rFonts w:eastAsia="Batang" w:cs="Tahoma"/>
          <w:b/>
          <w:bCs/>
          <w:color w:val="auto"/>
          <w:lang w:eastAsia="es-ES"/>
        </w:rPr>
        <w:t>Comisionado Ponente Luis Gustavo Parra Noriega</w:t>
      </w:r>
      <w:r w:rsidRPr="00B429D2">
        <w:rPr>
          <w:rFonts w:eastAsia="Batang" w:cs="Tahoma"/>
          <w:bCs/>
          <w:color w:val="auto"/>
          <w:lang w:eastAsia="es-ES"/>
        </w:rPr>
        <w:t>, para los efectos del artículo 185, fracción I de la Ley de Transparencia y Acceso a la Información Pública del Estado de México y Municipios.</w:t>
      </w:r>
    </w:p>
    <w:p w14:paraId="3F0D44E2" w14:textId="77777777" w:rsidR="00B429D2" w:rsidRPr="00B429D2" w:rsidRDefault="00B429D2" w:rsidP="00B429D2">
      <w:pPr>
        <w:spacing w:after="0" w:line="360" w:lineRule="auto"/>
        <w:rPr>
          <w:rFonts w:eastAsia="Batang" w:cs="Tahoma"/>
          <w:bCs/>
          <w:color w:val="auto"/>
          <w:lang w:eastAsia="es-ES"/>
        </w:rPr>
      </w:pPr>
    </w:p>
    <w:p w14:paraId="7B1858E8" w14:textId="77777777" w:rsidR="00B429D2" w:rsidRPr="00B429D2" w:rsidRDefault="00B429D2" w:rsidP="00B429D2">
      <w:pPr>
        <w:spacing w:after="0" w:line="360" w:lineRule="auto"/>
        <w:rPr>
          <w:rFonts w:eastAsia="Batang" w:cs="Tahoma"/>
          <w:bCs/>
          <w:color w:val="auto"/>
          <w:lang w:eastAsia="es-ES"/>
        </w:rPr>
      </w:pPr>
      <w:r w:rsidRPr="00B429D2">
        <w:rPr>
          <w:rFonts w:eastAsia="Batang" w:cs="Tahoma"/>
          <w:b/>
          <w:bCs/>
          <w:color w:val="auto"/>
          <w:lang w:eastAsia="es-ES"/>
        </w:rPr>
        <w:t xml:space="preserve">b) Admisión del </w:t>
      </w:r>
      <w:r w:rsidRPr="00B429D2">
        <w:rPr>
          <w:rFonts w:eastAsia="Times New Roman" w:cs="Tahoma"/>
          <w:b/>
          <w:color w:val="auto"/>
          <w:lang w:eastAsia="es-ES"/>
        </w:rPr>
        <w:t>Recurso de Revisión</w:t>
      </w:r>
      <w:r w:rsidRPr="00B429D2">
        <w:rPr>
          <w:rFonts w:eastAsia="Batang" w:cs="Tahoma"/>
          <w:b/>
          <w:bCs/>
          <w:color w:val="auto"/>
          <w:lang w:eastAsia="es-ES"/>
        </w:rPr>
        <w:t xml:space="preserve">. </w:t>
      </w:r>
      <w:r w:rsidRPr="00B429D2">
        <w:rPr>
          <w:rFonts w:eastAsia="Batang" w:cs="Tahoma"/>
          <w:bCs/>
          <w:color w:val="auto"/>
          <w:lang w:eastAsia="es-ES"/>
        </w:rPr>
        <w:t>El doce de diciembre de dos mil veintidós,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trece de dicho mes y año, a través del Sistema de Acceso a la Información Mexiquense (SAIMEX), en el que se les otorgó un plazo de siete días hábiles posteriores a la misma, para que manifestaran lo que a su derecho conviniera y formularan alegatos.</w:t>
      </w:r>
    </w:p>
    <w:p w14:paraId="7017AF12" w14:textId="77777777" w:rsidR="00B429D2" w:rsidRPr="00B429D2" w:rsidRDefault="00B429D2" w:rsidP="00B429D2">
      <w:pPr>
        <w:spacing w:after="0" w:line="360" w:lineRule="auto"/>
        <w:rPr>
          <w:rFonts w:eastAsia="Batang" w:cs="Tahoma"/>
          <w:bCs/>
          <w:color w:val="auto"/>
          <w:lang w:eastAsia="es-ES"/>
        </w:rPr>
      </w:pPr>
    </w:p>
    <w:p w14:paraId="57A429DE" w14:textId="77777777" w:rsidR="00B429D2" w:rsidRPr="00B429D2" w:rsidRDefault="00B429D2" w:rsidP="00B429D2">
      <w:pPr>
        <w:spacing w:after="0" w:line="360" w:lineRule="auto"/>
        <w:ind w:right="-28"/>
        <w:rPr>
          <w:rFonts w:eastAsia="Times New Roman" w:cs="Tahoma"/>
          <w:bCs/>
          <w:color w:val="auto"/>
          <w:lang w:eastAsia="es-ES"/>
        </w:rPr>
      </w:pPr>
      <w:r w:rsidRPr="00B429D2">
        <w:rPr>
          <w:rFonts w:eastAsia="Calibri" w:cs="Tahoma"/>
          <w:b/>
          <w:color w:val="auto"/>
        </w:rPr>
        <w:t xml:space="preserve">c) </w:t>
      </w:r>
      <w:r w:rsidRPr="00B429D2">
        <w:rPr>
          <w:rFonts w:eastAsia="Times New Roman" w:cs="Tahoma"/>
          <w:b/>
          <w:color w:val="auto"/>
          <w:lang w:eastAsia="es-ES"/>
        </w:rPr>
        <w:t xml:space="preserve">Informe Justificado. </w:t>
      </w:r>
      <w:r w:rsidRPr="00B429D2">
        <w:rPr>
          <w:rFonts w:eastAsia="Times New Roman" w:cs="Tahoma"/>
          <w:bCs/>
          <w:color w:val="auto"/>
          <w:lang w:eastAsia="es-ES"/>
        </w:rPr>
        <w:t>El seis de enero de dos mil veintitrés, este Instituto recibió, a través del Sistema de Acceso a la Información Mexiquense (SAIMEX), el Informe Justificado del Sujeto Obligado, por medio del oficio sin número, ni fecha, suscrito por el Titular de la Unidad de Transparencia y dirigido al Solicitante, por medio del cual informa lo siguiente:</w:t>
      </w:r>
    </w:p>
    <w:p w14:paraId="4FE70BE1" w14:textId="77777777" w:rsidR="00B429D2" w:rsidRPr="00B429D2" w:rsidRDefault="00B429D2" w:rsidP="00B429D2">
      <w:pPr>
        <w:spacing w:after="0" w:line="360" w:lineRule="auto"/>
        <w:ind w:right="-28"/>
        <w:rPr>
          <w:rFonts w:eastAsia="Times New Roman" w:cs="Tahoma"/>
          <w:bCs/>
          <w:color w:val="auto"/>
          <w:lang w:eastAsia="es-ES"/>
        </w:rPr>
      </w:pPr>
    </w:p>
    <w:p w14:paraId="6DBF9598" w14:textId="77777777" w:rsidR="00B429D2" w:rsidRPr="00B429D2" w:rsidRDefault="00B429D2" w:rsidP="00B429D2">
      <w:pPr>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w:t>
      </w:r>
    </w:p>
    <w:p w14:paraId="69DAE6C5" w14:textId="77777777" w:rsidR="00B429D2" w:rsidRPr="00B429D2" w:rsidRDefault="00B429D2" w:rsidP="00B429D2">
      <w:pPr>
        <w:spacing w:after="0" w:line="360" w:lineRule="auto"/>
        <w:ind w:left="567" w:right="567"/>
        <w:rPr>
          <w:rFonts w:eastAsia="Times New Roman" w:cs="Tahoma"/>
          <w:bCs/>
          <w:i/>
          <w:iCs/>
          <w:color w:val="auto"/>
          <w:sz w:val="20"/>
          <w:szCs w:val="20"/>
          <w:lang w:eastAsia="es-ES"/>
        </w:rPr>
      </w:pPr>
      <w:r w:rsidRPr="00B429D2">
        <w:rPr>
          <w:rFonts w:eastAsia="Times New Roman" w:cs="Arial"/>
          <w:i/>
          <w:iCs/>
          <w:color w:val="auto"/>
          <w:sz w:val="20"/>
          <w:szCs w:val="20"/>
          <w:lang w:eastAsia="es-ES"/>
        </w:rPr>
        <w:t>Con el fin de poder darle una oportuna contestación al hoy recurrente le informo</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que este Sujeto Obligado al realizar un análisis en su solicitud procedió a turnarla al</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Servidor Público Habilitado poseedor de la información, mismo que nos informa que</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lo solicitado se encuentra dentro del Sistema de Información Pública de Oficio</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Mexiquense (IPOMEX), cabe hacer mención que dentro de dicho sistema se carga</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la información que este Sujeto Obligado debe transparentar de conformidad con</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la Ley de Transparencia y Acceso a la información Pública de Oficio Mexiquense</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lastRenderedPageBreak/>
        <w:t>del Estado de México y Municipios en su artículo 94, por lo anteriormente expuesto</w:t>
      </w:r>
      <w:r w:rsidRPr="00B429D2">
        <w:rPr>
          <w:rFonts w:eastAsia="Times New Roman" w:cs="Times New Roman"/>
          <w:i/>
          <w:iCs/>
          <w:color w:val="auto"/>
          <w:sz w:val="20"/>
          <w:szCs w:val="20"/>
          <w:lang w:eastAsia="es-ES"/>
        </w:rPr>
        <w:t xml:space="preserve"> </w:t>
      </w:r>
      <w:r w:rsidRPr="00B429D2">
        <w:rPr>
          <w:rFonts w:eastAsia="Times New Roman" w:cs="Arial"/>
          <w:i/>
          <w:iCs/>
          <w:color w:val="auto"/>
          <w:sz w:val="20"/>
          <w:szCs w:val="20"/>
          <w:lang w:eastAsia="es-ES"/>
        </w:rPr>
        <w:t>se proporciona enlace para la consulta de lo peticionado:</w:t>
      </w:r>
    </w:p>
    <w:p w14:paraId="0DD40BD4" w14:textId="77777777" w:rsidR="00B429D2" w:rsidRPr="00B429D2" w:rsidRDefault="00B429D2" w:rsidP="00B429D2">
      <w:pPr>
        <w:spacing w:after="0" w:line="360" w:lineRule="auto"/>
        <w:ind w:left="567" w:right="567"/>
        <w:rPr>
          <w:rFonts w:eastAsia="Times New Roman" w:cs="Tahoma"/>
          <w:bCs/>
          <w:i/>
          <w:iCs/>
          <w:color w:val="auto"/>
          <w:sz w:val="20"/>
          <w:szCs w:val="20"/>
          <w:lang w:eastAsia="es-ES"/>
        </w:rPr>
      </w:pPr>
    </w:p>
    <w:p w14:paraId="1AD68BF3" w14:textId="77777777" w:rsidR="00B429D2" w:rsidRPr="00B429D2" w:rsidRDefault="008A2DAF" w:rsidP="00B429D2">
      <w:pPr>
        <w:spacing w:after="0" w:line="360" w:lineRule="auto"/>
        <w:ind w:left="567" w:right="567"/>
        <w:rPr>
          <w:rFonts w:eastAsia="Times New Roman" w:cs="Tahoma"/>
          <w:bCs/>
          <w:i/>
          <w:iCs/>
          <w:color w:val="auto"/>
          <w:sz w:val="20"/>
          <w:szCs w:val="20"/>
          <w:lang w:eastAsia="es-ES"/>
        </w:rPr>
      </w:pPr>
      <w:hyperlink r:id="rId8" w:history="1">
        <w:r w:rsidR="00B429D2" w:rsidRPr="00B429D2">
          <w:rPr>
            <w:rFonts w:eastAsia="Times New Roman" w:cs="Tahoma"/>
            <w:bCs/>
            <w:i/>
            <w:iCs/>
            <w:color w:val="0563C1" w:themeColor="hyperlink"/>
            <w:sz w:val="20"/>
            <w:szCs w:val="20"/>
            <w:u w:val="single"/>
            <w:lang w:eastAsia="es-ES"/>
          </w:rPr>
          <w:t>https://www.ipomex.org.mx/ipo3/lgt/indice/ZINACANTEPEC/art_92_xxxv_a.web</w:t>
        </w:r>
      </w:hyperlink>
      <w:r w:rsidR="00B429D2" w:rsidRPr="00B429D2">
        <w:rPr>
          <w:rFonts w:eastAsia="Times New Roman" w:cs="Tahoma"/>
          <w:bCs/>
          <w:i/>
          <w:iCs/>
          <w:color w:val="auto"/>
          <w:sz w:val="20"/>
          <w:szCs w:val="20"/>
          <w:lang w:eastAsia="es-ES"/>
        </w:rPr>
        <w:t xml:space="preserve"> </w:t>
      </w:r>
    </w:p>
    <w:p w14:paraId="33C3AB24" w14:textId="77777777" w:rsidR="00B429D2" w:rsidRPr="00B429D2" w:rsidRDefault="00B429D2" w:rsidP="00B429D2">
      <w:pPr>
        <w:spacing w:after="0" w:line="360" w:lineRule="auto"/>
        <w:ind w:right="567"/>
        <w:rPr>
          <w:rFonts w:eastAsia="Times New Roman" w:cs="Tahoma"/>
          <w:bCs/>
          <w:i/>
          <w:iCs/>
          <w:color w:val="auto"/>
          <w:sz w:val="20"/>
          <w:szCs w:val="20"/>
          <w:lang w:eastAsia="es-ES"/>
        </w:rPr>
      </w:pPr>
    </w:p>
    <w:p w14:paraId="748950F4" w14:textId="77777777" w:rsidR="00B429D2" w:rsidRPr="00B429D2" w:rsidRDefault="00B429D2" w:rsidP="00B429D2">
      <w:pPr>
        <w:spacing w:after="0" w:line="360" w:lineRule="auto"/>
        <w:ind w:left="567" w:right="567"/>
        <w:jc w:val="center"/>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CONCLUSIÓN</w:t>
      </w:r>
    </w:p>
    <w:p w14:paraId="52F3886A" w14:textId="77777777" w:rsidR="00B429D2" w:rsidRPr="00B429D2" w:rsidRDefault="00B429D2" w:rsidP="00B429D2">
      <w:pPr>
        <w:spacing w:after="0" w:line="360" w:lineRule="auto"/>
        <w:ind w:left="567" w:right="567"/>
        <w:jc w:val="center"/>
        <w:rPr>
          <w:rFonts w:eastAsia="Times New Roman" w:cs="Tahoma"/>
          <w:bCs/>
          <w:i/>
          <w:iCs/>
          <w:color w:val="auto"/>
          <w:sz w:val="20"/>
          <w:szCs w:val="20"/>
          <w:lang w:eastAsia="es-ES"/>
        </w:rPr>
      </w:pPr>
    </w:p>
    <w:p w14:paraId="63C53A60" w14:textId="77777777" w:rsidR="00B429D2" w:rsidRPr="00B429D2" w:rsidRDefault="00B429D2" w:rsidP="00B429D2">
      <w:pPr>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PRIMERO: Se dan por concluidos el desahogo y la respuesta de la solicitud de información.</w:t>
      </w:r>
    </w:p>
    <w:p w14:paraId="205D55FC" w14:textId="77777777" w:rsidR="00B429D2" w:rsidRPr="00B429D2" w:rsidRDefault="00B429D2" w:rsidP="00B429D2">
      <w:pPr>
        <w:spacing w:after="0" w:line="360" w:lineRule="auto"/>
        <w:ind w:left="567" w:right="567"/>
        <w:rPr>
          <w:rFonts w:eastAsia="Times New Roman" w:cs="Tahoma"/>
          <w:bCs/>
          <w:i/>
          <w:iCs/>
          <w:color w:val="auto"/>
          <w:sz w:val="20"/>
          <w:szCs w:val="20"/>
          <w:lang w:eastAsia="es-ES"/>
        </w:rPr>
      </w:pPr>
      <w:r w:rsidRPr="00B429D2">
        <w:rPr>
          <w:rFonts w:eastAsia="Times New Roman" w:cs="Tahoma"/>
          <w:bCs/>
          <w:i/>
          <w:iCs/>
          <w:color w:val="auto"/>
          <w:sz w:val="20"/>
          <w:szCs w:val="20"/>
          <w:lang w:eastAsia="es-ES"/>
        </w:rPr>
        <w:t xml:space="preserve">…” (Sic) </w:t>
      </w:r>
    </w:p>
    <w:p w14:paraId="37B8679C" w14:textId="77777777" w:rsidR="00B429D2" w:rsidRPr="00B429D2" w:rsidRDefault="00B429D2" w:rsidP="00B429D2">
      <w:pPr>
        <w:spacing w:after="0" w:line="360" w:lineRule="auto"/>
        <w:ind w:right="-28"/>
        <w:rPr>
          <w:rFonts w:eastAsia="Times New Roman" w:cs="Tahoma"/>
          <w:bCs/>
          <w:color w:val="auto"/>
          <w:lang w:eastAsia="es-ES"/>
        </w:rPr>
      </w:pPr>
    </w:p>
    <w:p w14:paraId="386B94F4" w14:textId="77777777" w:rsidR="00B429D2" w:rsidRPr="00B429D2" w:rsidRDefault="00B429D2" w:rsidP="00B429D2">
      <w:pPr>
        <w:spacing w:after="0" w:line="360" w:lineRule="auto"/>
        <w:rPr>
          <w:rFonts w:cs="Tahoma"/>
        </w:rPr>
      </w:pPr>
      <w:r w:rsidRPr="00B429D2">
        <w:rPr>
          <w:rFonts w:cs="Tahoma"/>
          <w:b/>
          <w:bCs/>
        </w:rPr>
        <w:t xml:space="preserve">d) Vista del Informe Justificado: </w:t>
      </w:r>
      <w:r w:rsidRPr="00B429D2">
        <w:rPr>
          <w:rFonts w:cs="Tahoma"/>
        </w:rPr>
        <w:t xml:space="preserve">El veinticinco de enero de dos mil veintitrés, se dictó acuerdo, por medio del cual </w:t>
      </w:r>
      <w:r w:rsidRPr="00B429D2">
        <w:rPr>
          <w:rFonts w:cs="Tahoma"/>
          <w:b/>
        </w:rPr>
        <w:t>se puso a la vista del Recurrente el Informe Justificado y sus anexos</w:t>
      </w:r>
      <w:r w:rsidRPr="00B429D2">
        <w:rPr>
          <w:rFonts w:cs="Tahoma"/>
        </w:rPr>
        <w:t>, entregados por el Sujeto Obligado, a fin de que en un término no mayor a tres días hábiles manifestará lo que a derecho corresponda, acto que fue notificado</w:t>
      </w:r>
      <w:r w:rsidRPr="00B429D2">
        <w:rPr>
          <w:rFonts w:eastAsia="Palatino Linotype" w:cs="Palatino Linotype"/>
          <w:lang w:val="es-ES"/>
        </w:rPr>
        <w:t xml:space="preserve"> mediante el Sistema de Acceso a la Información Mexiquense (SAIMEX).</w:t>
      </w:r>
    </w:p>
    <w:p w14:paraId="123E20D9" w14:textId="77777777" w:rsidR="00B429D2" w:rsidRPr="00B429D2" w:rsidRDefault="00B429D2" w:rsidP="00B429D2">
      <w:pPr>
        <w:spacing w:after="0" w:line="360" w:lineRule="auto"/>
        <w:ind w:left="708" w:hanging="708"/>
        <w:rPr>
          <w:rFonts w:cs="Tahoma"/>
        </w:rPr>
      </w:pPr>
    </w:p>
    <w:p w14:paraId="747ECDE4" w14:textId="2254623D" w:rsidR="00B429D2" w:rsidRPr="00B429D2" w:rsidRDefault="00B429D2" w:rsidP="00B429D2">
      <w:pPr>
        <w:spacing w:after="0" w:line="360" w:lineRule="auto"/>
        <w:ind w:right="-28"/>
        <w:contextualSpacing/>
        <w:rPr>
          <w:rFonts w:eastAsia="Batang" w:cs="Tahoma"/>
          <w:bCs/>
          <w:color w:val="auto"/>
          <w:lang w:eastAsia="es-ES"/>
        </w:rPr>
      </w:pPr>
      <w:r w:rsidRPr="00B429D2">
        <w:rPr>
          <w:rFonts w:eastAsia="Times New Roman" w:cs="Tahoma"/>
          <w:b/>
          <w:bCs/>
          <w:color w:val="auto"/>
          <w:lang w:eastAsia="es-ES"/>
        </w:rPr>
        <w:t xml:space="preserve">e) </w:t>
      </w:r>
      <w:r w:rsidRPr="00B429D2">
        <w:rPr>
          <w:rFonts w:eastAsia="Times New Roman" w:cs="Tahoma"/>
          <w:b/>
          <w:color w:val="auto"/>
          <w:lang w:eastAsia="es-ES"/>
        </w:rPr>
        <w:t>Cierre de instrucción.</w:t>
      </w:r>
      <w:r w:rsidRPr="00B429D2">
        <w:rPr>
          <w:rFonts w:eastAsia="Times New Roman" w:cs="Tahoma"/>
          <w:color w:val="auto"/>
          <w:lang w:eastAsia="es-ES"/>
        </w:rPr>
        <w:t xml:space="preserve"> </w:t>
      </w:r>
      <w:r>
        <w:rPr>
          <w:rFonts w:eastAsia="Times New Roman" w:cs="Tahoma"/>
          <w:color w:val="auto"/>
          <w:lang w:eastAsia="es-ES"/>
        </w:rPr>
        <w:t>El t</w:t>
      </w:r>
      <w:r w:rsidRPr="00B429D2">
        <w:rPr>
          <w:rFonts w:eastAsia="Times New Roman" w:cs="Tahoma"/>
          <w:color w:val="auto"/>
          <w:lang w:eastAsia="es-ES"/>
        </w:rPr>
        <w:t xml:space="preserve">reinta y uno de enero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B429D2">
        <w:rPr>
          <w:rFonts w:eastAsia="Times New Roman" w:cs="Tahoma"/>
          <w:color w:val="auto"/>
          <w:lang w:val="es-ES" w:eastAsia="es-ES"/>
        </w:rPr>
        <w:t>Sistema de Acceso a la Información Mexiquense (SAIMEX)</w:t>
      </w:r>
      <w:r w:rsidRPr="00B429D2">
        <w:rPr>
          <w:rFonts w:eastAsia="Times New Roman" w:cs="Tahoma"/>
          <w:color w:val="auto"/>
          <w:lang w:eastAsia="es-ES"/>
        </w:rPr>
        <w:t>.</w:t>
      </w:r>
      <w:r w:rsidRPr="00B429D2">
        <w:rPr>
          <w:rFonts w:eastAsia="Batang" w:cs="Tahoma"/>
          <w:bCs/>
          <w:color w:val="auto"/>
          <w:lang w:eastAsia="es-ES"/>
        </w:rPr>
        <w:t xml:space="preserve"> </w:t>
      </w:r>
    </w:p>
    <w:p w14:paraId="6FADC0BA" w14:textId="774764AD" w:rsidR="00EC77D9" w:rsidRDefault="00EC77D9" w:rsidP="006E64F0">
      <w:pPr>
        <w:spacing w:after="0" w:line="360" w:lineRule="auto"/>
        <w:contextualSpacing/>
        <w:rPr>
          <w:rFonts w:eastAsia="Times New Roman" w:cs="Tahoma"/>
          <w:color w:val="auto"/>
          <w:lang w:eastAsia="es-ES"/>
        </w:rPr>
      </w:pPr>
    </w:p>
    <w:p w14:paraId="41DE7A6A" w14:textId="65CB0085" w:rsidR="007D5A4D" w:rsidRDefault="00B429D2" w:rsidP="006E64F0">
      <w:pPr>
        <w:spacing w:line="360" w:lineRule="auto"/>
        <w:contextualSpacing/>
        <w:rPr>
          <w:rFonts w:cs="Tahoma"/>
          <w:bCs/>
        </w:rPr>
      </w:pPr>
      <w:r>
        <w:rPr>
          <w:rFonts w:eastAsia="Batang" w:cs="Tahoma"/>
          <w:b/>
        </w:rPr>
        <w:t>f</w:t>
      </w:r>
      <w:r w:rsidR="007D5A4D" w:rsidRPr="00926AD1">
        <w:rPr>
          <w:rFonts w:eastAsia="Batang" w:cs="Tahoma"/>
          <w:b/>
        </w:rPr>
        <w:t>)</w:t>
      </w:r>
      <w:r w:rsidR="007D5A4D" w:rsidRPr="00926AD1">
        <w:rPr>
          <w:rFonts w:cs="Tahoma"/>
          <w:b/>
          <w:bCs/>
        </w:rPr>
        <w:t xml:space="preserve"> Resolución del Recurso de Revisión. </w:t>
      </w:r>
      <w:r w:rsidR="007D5A4D" w:rsidRPr="00926AD1">
        <w:rPr>
          <w:rFonts w:cs="Tahoma"/>
          <w:bCs/>
        </w:rPr>
        <w:t xml:space="preserve">El </w:t>
      </w:r>
      <w:r>
        <w:rPr>
          <w:rFonts w:cs="Tahoma"/>
          <w:bCs/>
        </w:rPr>
        <w:t>primero de febrero de dos mil veintitrés</w:t>
      </w:r>
      <w:r w:rsidR="007D5A4D" w:rsidRPr="00926AD1">
        <w:rPr>
          <w:rFonts w:cs="Tahoma"/>
          <w:bCs/>
        </w:rPr>
        <w:t xml:space="preserve">, el Pleno del Instituto de Transparencia, Accesos la Información Pública y Protección de Datos Personales del Estado de México y Municipios, durante la </w:t>
      </w:r>
      <w:r>
        <w:rPr>
          <w:rFonts w:cs="Tahoma"/>
          <w:bCs/>
        </w:rPr>
        <w:t>Cuarta</w:t>
      </w:r>
      <w:r w:rsidR="007D5A4D">
        <w:rPr>
          <w:rFonts w:cs="Tahoma"/>
          <w:bCs/>
        </w:rPr>
        <w:t xml:space="preserve"> Sesión</w:t>
      </w:r>
      <w:r w:rsidR="007D5A4D" w:rsidRPr="00926AD1">
        <w:rPr>
          <w:rFonts w:cs="Tahoma"/>
          <w:bCs/>
        </w:rPr>
        <w:t xml:space="preserve"> Ordinaria, aprobó la Resolución del Recurso de Revisión, en la cual se determinó lo siguiente:</w:t>
      </w:r>
    </w:p>
    <w:p w14:paraId="5B6A4ABC" w14:textId="17C1E298" w:rsidR="00FC32A4" w:rsidRDefault="00FC32A4" w:rsidP="006E64F0">
      <w:pPr>
        <w:spacing w:line="360" w:lineRule="auto"/>
        <w:contextualSpacing/>
        <w:rPr>
          <w:rFonts w:cs="Tahoma"/>
          <w:bCs/>
        </w:rPr>
      </w:pPr>
    </w:p>
    <w:p w14:paraId="5B78292E" w14:textId="77777777" w:rsidR="00B429D2" w:rsidRPr="00B429D2" w:rsidRDefault="00E73471" w:rsidP="00B429D2">
      <w:pPr>
        <w:spacing w:line="360" w:lineRule="auto"/>
        <w:ind w:left="567" w:right="567"/>
        <w:contextualSpacing/>
        <w:rPr>
          <w:bCs/>
          <w:i/>
          <w:iCs/>
          <w:sz w:val="20"/>
          <w:szCs w:val="20"/>
        </w:rPr>
      </w:pPr>
      <w:r>
        <w:rPr>
          <w:b/>
          <w:bCs/>
          <w:i/>
          <w:iCs/>
          <w:sz w:val="20"/>
          <w:szCs w:val="20"/>
        </w:rPr>
        <w:lastRenderedPageBreak/>
        <w:t>“</w:t>
      </w:r>
      <w:r w:rsidR="00B429D2" w:rsidRPr="00B429D2">
        <w:rPr>
          <w:b/>
          <w:bCs/>
          <w:i/>
          <w:iCs/>
          <w:sz w:val="20"/>
          <w:szCs w:val="20"/>
        </w:rPr>
        <w:t xml:space="preserve">PRIMERO. </w:t>
      </w:r>
      <w:r w:rsidR="00B429D2" w:rsidRPr="00B429D2">
        <w:rPr>
          <w:bCs/>
          <w:i/>
          <w:iCs/>
          <w:sz w:val="20"/>
          <w:szCs w:val="20"/>
        </w:rPr>
        <w:t>Resultan</w:t>
      </w:r>
      <w:r w:rsidR="00B429D2" w:rsidRPr="00B429D2">
        <w:rPr>
          <w:b/>
          <w:bCs/>
          <w:i/>
          <w:iCs/>
          <w:sz w:val="20"/>
          <w:szCs w:val="20"/>
        </w:rPr>
        <w:t xml:space="preserve"> FUNDADAS </w:t>
      </w:r>
      <w:r w:rsidR="00B429D2" w:rsidRPr="00B429D2">
        <w:rPr>
          <w:bCs/>
          <w:i/>
          <w:iCs/>
          <w:sz w:val="20"/>
          <w:szCs w:val="20"/>
        </w:rPr>
        <w:t>las razones o motivos de inconformidad hechos valer por la Particular en el Recurso de Revisión con número</w:t>
      </w:r>
      <w:r w:rsidR="00B429D2" w:rsidRPr="00B429D2">
        <w:rPr>
          <w:b/>
          <w:bCs/>
          <w:i/>
          <w:iCs/>
          <w:sz w:val="20"/>
          <w:szCs w:val="20"/>
        </w:rPr>
        <w:t xml:space="preserve"> 17151/INFOEM/IP/RR/2022</w:t>
      </w:r>
      <w:r w:rsidR="00B429D2" w:rsidRPr="00B429D2">
        <w:rPr>
          <w:bCs/>
          <w:i/>
          <w:iCs/>
          <w:sz w:val="20"/>
          <w:szCs w:val="20"/>
        </w:rPr>
        <w:t xml:space="preserve">, en términos del considerando </w:t>
      </w:r>
      <w:r w:rsidR="00B429D2" w:rsidRPr="00B429D2">
        <w:rPr>
          <w:b/>
          <w:bCs/>
          <w:i/>
          <w:iCs/>
          <w:sz w:val="20"/>
          <w:szCs w:val="20"/>
        </w:rPr>
        <w:t xml:space="preserve">QUINTO y SEXTO </w:t>
      </w:r>
      <w:r w:rsidR="00B429D2" w:rsidRPr="00B429D2">
        <w:rPr>
          <w:bCs/>
          <w:i/>
          <w:iCs/>
          <w:sz w:val="20"/>
          <w:szCs w:val="20"/>
        </w:rPr>
        <w:t>de la presente Resolución.</w:t>
      </w:r>
    </w:p>
    <w:p w14:paraId="2BD0A127" w14:textId="77777777" w:rsidR="00B429D2" w:rsidRPr="00B429D2" w:rsidRDefault="00B429D2" w:rsidP="00B429D2">
      <w:pPr>
        <w:spacing w:line="360" w:lineRule="auto"/>
        <w:ind w:left="567" w:right="567"/>
        <w:contextualSpacing/>
        <w:rPr>
          <w:b/>
          <w:bCs/>
          <w:i/>
          <w:iCs/>
          <w:sz w:val="20"/>
          <w:szCs w:val="20"/>
        </w:rPr>
      </w:pPr>
    </w:p>
    <w:p w14:paraId="7DC32E08" w14:textId="06EB398E" w:rsidR="00B429D2" w:rsidRPr="00B429D2" w:rsidRDefault="00B429D2" w:rsidP="00B429D2">
      <w:pPr>
        <w:spacing w:line="360" w:lineRule="auto"/>
        <w:ind w:left="567" w:right="567"/>
        <w:contextualSpacing/>
        <w:rPr>
          <w:bCs/>
          <w:i/>
          <w:iCs/>
          <w:sz w:val="20"/>
          <w:szCs w:val="20"/>
        </w:rPr>
      </w:pPr>
      <w:r w:rsidRPr="00B429D2">
        <w:rPr>
          <w:b/>
          <w:bCs/>
          <w:i/>
          <w:iCs/>
          <w:sz w:val="20"/>
          <w:szCs w:val="20"/>
          <w:lang w:val="es-ES"/>
        </w:rPr>
        <w:t>SEGUNDO.</w:t>
      </w:r>
      <w:r>
        <w:rPr>
          <w:bCs/>
          <w:i/>
          <w:iCs/>
          <w:sz w:val="20"/>
          <w:szCs w:val="20"/>
          <w:lang w:val="es-ES"/>
        </w:rPr>
        <w:t xml:space="preserve"> </w:t>
      </w:r>
      <w:r w:rsidRPr="00B429D2">
        <w:rPr>
          <w:bCs/>
          <w:i/>
          <w:iCs/>
          <w:sz w:val="20"/>
          <w:szCs w:val="20"/>
          <w:lang w:val="es-ES"/>
        </w:rPr>
        <w:t xml:space="preserve">Se </w:t>
      </w:r>
      <w:r w:rsidRPr="00B429D2">
        <w:rPr>
          <w:b/>
          <w:bCs/>
          <w:i/>
          <w:iCs/>
          <w:sz w:val="20"/>
          <w:szCs w:val="20"/>
          <w:lang w:val="es-ES"/>
        </w:rPr>
        <w:t xml:space="preserve">ORDENA </w:t>
      </w:r>
      <w:r w:rsidRPr="00B429D2">
        <w:rPr>
          <w:bCs/>
          <w:i/>
          <w:iCs/>
          <w:sz w:val="20"/>
          <w:szCs w:val="20"/>
          <w:lang w:val="es-ES"/>
        </w:rPr>
        <w:t xml:space="preserve">al Sujeto Obligado, </w:t>
      </w:r>
      <w:r w:rsidRPr="00B429D2">
        <w:rPr>
          <w:bCs/>
          <w:i/>
          <w:iCs/>
          <w:sz w:val="20"/>
          <w:szCs w:val="20"/>
        </w:rPr>
        <w:t xml:space="preserve">a efecto de que previa búsqueda exhaustiva y razonable, en las unidades administrativas competentes, entregue </w:t>
      </w:r>
      <w:r w:rsidRPr="00B429D2">
        <w:rPr>
          <w:bCs/>
          <w:i/>
          <w:iCs/>
          <w:sz w:val="20"/>
          <w:szCs w:val="20"/>
          <w:lang w:val="es-ES"/>
        </w:rPr>
        <w:t>a través del Sistema de Acceso a la Información Mexiquense (SAIMEX), en su caso, en versión pública,</w:t>
      </w:r>
      <w:r w:rsidRPr="00B429D2">
        <w:rPr>
          <w:bCs/>
          <w:i/>
          <w:iCs/>
          <w:sz w:val="20"/>
          <w:szCs w:val="20"/>
        </w:rPr>
        <w:t xml:space="preserve"> respecto a los procedimientos de contratación de servicios de asesoría, realizados del siete de noviembre de dos mil veintiuno al siete de noviembre de dos mil veintidós, los documentos donde conste lo siguiente:</w:t>
      </w:r>
    </w:p>
    <w:p w14:paraId="43C9D314" w14:textId="77777777" w:rsidR="00B429D2" w:rsidRPr="00B429D2" w:rsidRDefault="00B429D2" w:rsidP="00B429D2">
      <w:pPr>
        <w:spacing w:line="360" w:lineRule="auto"/>
        <w:ind w:left="567" w:right="567"/>
        <w:contextualSpacing/>
        <w:rPr>
          <w:bCs/>
          <w:i/>
          <w:iCs/>
          <w:sz w:val="20"/>
          <w:szCs w:val="20"/>
        </w:rPr>
      </w:pPr>
    </w:p>
    <w:p w14:paraId="30B38EF1" w14:textId="77777777" w:rsidR="00B429D2" w:rsidRPr="00B429D2" w:rsidRDefault="00B429D2" w:rsidP="00B429D2">
      <w:pPr>
        <w:numPr>
          <w:ilvl w:val="0"/>
          <w:numId w:val="11"/>
        </w:numPr>
        <w:spacing w:line="360" w:lineRule="auto"/>
        <w:ind w:left="993" w:right="567"/>
        <w:contextualSpacing/>
        <w:rPr>
          <w:bCs/>
          <w:i/>
          <w:iCs/>
          <w:sz w:val="20"/>
          <w:szCs w:val="20"/>
        </w:rPr>
      </w:pPr>
      <w:r w:rsidRPr="00B429D2">
        <w:rPr>
          <w:bCs/>
          <w:i/>
          <w:iCs/>
          <w:sz w:val="20"/>
          <w:szCs w:val="20"/>
        </w:rPr>
        <w:t>Solicitud de contratación por el área requirente, y</w:t>
      </w:r>
    </w:p>
    <w:p w14:paraId="737F83DF" w14:textId="77777777" w:rsidR="00B429D2" w:rsidRPr="00B429D2" w:rsidRDefault="00B429D2" w:rsidP="00B429D2">
      <w:pPr>
        <w:numPr>
          <w:ilvl w:val="0"/>
          <w:numId w:val="11"/>
        </w:numPr>
        <w:spacing w:line="360" w:lineRule="auto"/>
        <w:ind w:left="993" w:right="567"/>
        <w:contextualSpacing/>
        <w:rPr>
          <w:bCs/>
          <w:i/>
          <w:iCs/>
          <w:sz w:val="20"/>
          <w:szCs w:val="20"/>
        </w:rPr>
      </w:pPr>
      <w:r w:rsidRPr="00B429D2">
        <w:rPr>
          <w:bCs/>
          <w:i/>
          <w:iCs/>
          <w:sz w:val="20"/>
          <w:szCs w:val="20"/>
        </w:rPr>
        <w:t>Facturas de pago.</w:t>
      </w:r>
    </w:p>
    <w:p w14:paraId="7DF2F76C" w14:textId="77777777" w:rsidR="00B429D2" w:rsidRPr="00B429D2" w:rsidRDefault="00B429D2" w:rsidP="00B429D2">
      <w:pPr>
        <w:spacing w:line="360" w:lineRule="auto"/>
        <w:ind w:left="567" w:right="567"/>
        <w:contextualSpacing/>
        <w:rPr>
          <w:bCs/>
          <w:i/>
          <w:iCs/>
          <w:sz w:val="20"/>
          <w:szCs w:val="20"/>
          <w:lang w:val="es-ES"/>
        </w:rPr>
      </w:pPr>
    </w:p>
    <w:p w14:paraId="6D0ADC59" w14:textId="77777777" w:rsidR="00B429D2" w:rsidRPr="00B429D2" w:rsidRDefault="00B429D2" w:rsidP="00B429D2">
      <w:pPr>
        <w:spacing w:line="360" w:lineRule="auto"/>
        <w:ind w:left="567" w:right="567"/>
        <w:contextualSpacing/>
        <w:rPr>
          <w:bCs/>
          <w:i/>
          <w:iCs/>
          <w:sz w:val="20"/>
          <w:szCs w:val="20"/>
          <w:lang w:val="es-ES"/>
        </w:rPr>
      </w:pPr>
      <w:r w:rsidRPr="00B429D2">
        <w:rPr>
          <w:bCs/>
          <w:i/>
          <w:iCs/>
          <w:sz w:val="20"/>
          <w:szCs w:val="20"/>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4B434BF" w14:textId="77777777" w:rsidR="00B429D2" w:rsidRPr="00B429D2" w:rsidRDefault="00B429D2" w:rsidP="00B429D2">
      <w:pPr>
        <w:spacing w:line="360" w:lineRule="auto"/>
        <w:ind w:left="567" w:right="567"/>
        <w:contextualSpacing/>
        <w:rPr>
          <w:bCs/>
          <w:i/>
          <w:iCs/>
          <w:sz w:val="20"/>
          <w:szCs w:val="20"/>
        </w:rPr>
      </w:pPr>
    </w:p>
    <w:p w14:paraId="20586B51" w14:textId="77777777" w:rsidR="00B429D2" w:rsidRPr="00B429D2" w:rsidRDefault="00B429D2" w:rsidP="00B429D2">
      <w:pPr>
        <w:spacing w:line="360" w:lineRule="auto"/>
        <w:ind w:left="567" w:right="567"/>
        <w:contextualSpacing/>
        <w:rPr>
          <w:bCs/>
          <w:i/>
          <w:iCs/>
          <w:sz w:val="20"/>
          <w:szCs w:val="20"/>
        </w:rPr>
      </w:pPr>
      <w:r w:rsidRPr="00B429D2">
        <w:rPr>
          <w:bCs/>
          <w:i/>
          <w:iCs/>
          <w:sz w:val="20"/>
          <w:szCs w:val="20"/>
        </w:rPr>
        <w:t>Para el caso, de que no haya contratado los servicios de asesoría, en el periodo referido, deberá hacerlo del conocimiento del ahora Recurrente, de manera clara y precisa.</w:t>
      </w:r>
    </w:p>
    <w:p w14:paraId="7B19B36D" w14:textId="77777777" w:rsidR="00B429D2" w:rsidRPr="00B429D2" w:rsidRDefault="00B429D2" w:rsidP="00B429D2">
      <w:pPr>
        <w:spacing w:line="360" w:lineRule="auto"/>
        <w:ind w:left="567" w:right="567"/>
        <w:contextualSpacing/>
        <w:rPr>
          <w:b/>
          <w:bCs/>
          <w:i/>
          <w:iCs/>
          <w:sz w:val="20"/>
          <w:szCs w:val="20"/>
        </w:rPr>
      </w:pPr>
    </w:p>
    <w:p w14:paraId="240554DC" w14:textId="77777777" w:rsidR="00B429D2" w:rsidRPr="00B429D2" w:rsidRDefault="00B429D2" w:rsidP="00B429D2">
      <w:pPr>
        <w:spacing w:line="360" w:lineRule="auto"/>
        <w:ind w:left="567" w:right="567"/>
        <w:contextualSpacing/>
        <w:rPr>
          <w:b/>
          <w:bCs/>
          <w:i/>
          <w:iCs/>
          <w:sz w:val="20"/>
          <w:szCs w:val="20"/>
          <w:lang w:val="es-ES_tradnl"/>
        </w:rPr>
      </w:pPr>
      <w:r w:rsidRPr="00B429D2">
        <w:rPr>
          <w:b/>
          <w:bCs/>
          <w:i/>
          <w:iCs/>
          <w:sz w:val="20"/>
          <w:szCs w:val="20"/>
          <w:lang w:val="es-ES"/>
        </w:rPr>
        <w:t>TERCERO</w:t>
      </w:r>
      <w:r w:rsidRPr="00B429D2">
        <w:rPr>
          <w:b/>
          <w:bCs/>
          <w:i/>
          <w:iCs/>
          <w:sz w:val="20"/>
          <w:szCs w:val="20"/>
        </w:rPr>
        <w:t xml:space="preserve">. </w:t>
      </w:r>
      <w:r w:rsidRPr="00B429D2">
        <w:rPr>
          <w:bCs/>
          <w:i/>
          <w:iCs/>
          <w:sz w:val="20"/>
          <w:szCs w:val="20"/>
          <w:lang w:val="es-ES_tradnl"/>
        </w:rPr>
        <w:t>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w:t>
      </w:r>
      <w:r w:rsidRPr="00B429D2">
        <w:rPr>
          <w:b/>
          <w:bCs/>
          <w:i/>
          <w:iCs/>
          <w:sz w:val="20"/>
          <w:szCs w:val="20"/>
          <w:lang w:val="es-ES_tradnl"/>
        </w:rPr>
        <w:t xml:space="preserve">  </w:t>
      </w:r>
    </w:p>
    <w:p w14:paraId="63BB0AA1" w14:textId="4E458124" w:rsidR="00E73471" w:rsidRPr="00FC32A4" w:rsidRDefault="00E73471" w:rsidP="00B429D2">
      <w:pPr>
        <w:spacing w:line="360" w:lineRule="auto"/>
        <w:ind w:left="567" w:right="567"/>
        <w:contextualSpacing/>
        <w:rPr>
          <w:rFonts w:cs="Tahoma"/>
          <w:bCs/>
          <w:i/>
          <w:iCs/>
          <w:sz w:val="20"/>
          <w:szCs w:val="20"/>
        </w:rPr>
      </w:pPr>
      <w:r>
        <w:rPr>
          <w:b/>
          <w:bCs/>
          <w:i/>
          <w:iCs/>
          <w:sz w:val="20"/>
          <w:szCs w:val="20"/>
        </w:rPr>
        <w:t>…</w:t>
      </w:r>
      <w:r>
        <w:rPr>
          <w:rFonts w:cs="Tahoma"/>
          <w:bCs/>
          <w:i/>
          <w:iCs/>
          <w:sz w:val="20"/>
          <w:szCs w:val="20"/>
        </w:rPr>
        <w:t>”</w:t>
      </w:r>
    </w:p>
    <w:p w14:paraId="0783D8CC" w14:textId="77777777" w:rsidR="00FC32A4" w:rsidRDefault="00FC32A4" w:rsidP="006E64F0">
      <w:pPr>
        <w:spacing w:after="0" w:line="360" w:lineRule="auto"/>
        <w:contextualSpacing/>
        <w:rPr>
          <w:rFonts w:eastAsia="Times New Roman" w:cs="Tahoma"/>
          <w:color w:val="000000"/>
          <w:lang w:eastAsia="es-ES"/>
        </w:rPr>
      </w:pPr>
    </w:p>
    <w:p w14:paraId="4E1292C3" w14:textId="4EF49144" w:rsidR="00FC32A4" w:rsidRDefault="00B429D2" w:rsidP="006E64F0">
      <w:pPr>
        <w:spacing w:line="360" w:lineRule="auto"/>
        <w:contextualSpacing/>
        <w:rPr>
          <w:rFonts w:cs="Tahoma"/>
          <w:bCs/>
        </w:rPr>
      </w:pPr>
      <w:r>
        <w:rPr>
          <w:rFonts w:cs="Tahoma"/>
          <w:b/>
        </w:rPr>
        <w:t>g</w:t>
      </w:r>
      <w:r w:rsidR="00FC32A4" w:rsidRPr="00CB1A03">
        <w:rPr>
          <w:rFonts w:cs="Tahoma"/>
          <w:b/>
        </w:rPr>
        <w:t xml:space="preserve">) </w:t>
      </w:r>
      <w:r w:rsidR="00FC32A4" w:rsidRPr="00CB1A03">
        <w:rPr>
          <w:rFonts w:cs="Tahoma"/>
          <w:b/>
          <w:bCs/>
        </w:rPr>
        <w:t xml:space="preserve">Notificación de la Resolución del Recurso de Revisión. </w:t>
      </w:r>
      <w:r w:rsidR="00FC32A4" w:rsidRPr="00CB1A03">
        <w:rPr>
          <w:rFonts w:cs="Tahoma"/>
          <w:bCs/>
        </w:rPr>
        <w:t xml:space="preserve">El </w:t>
      </w:r>
      <w:r w:rsidR="00CA6980">
        <w:rPr>
          <w:rFonts w:cs="Tahoma"/>
          <w:bCs/>
        </w:rPr>
        <w:t>siet</w:t>
      </w:r>
      <w:r w:rsidR="00066A9E">
        <w:rPr>
          <w:rFonts w:cs="Tahoma"/>
          <w:bCs/>
        </w:rPr>
        <w:t>e</w:t>
      </w:r>
      <w:r>
        <w:rPr>
          <w:rFonts w:cs="Tahoma"/>
          <w:bCs/>
        </w:rPr>
        <w:t xml:space="preserve"> de febrero</w:t>
      </w:r>
      <w:r w:rsidR="00FC32A4">
        <w:rPr>
          <w:rFonts w:cs="Tahoma"/>
          <w:bCs/>
        </w:rPr>
        <w:t xml:space="preserve"> de dos mil veintidós</w:t>
      </w:r>
      <w:r w:rsidR="00FC32A4" w:rsidRPr="00CB1A03">
        <w:rPr>
          <w:rFonts w:cs="Tahoma"/>
          <w:bCs/>
        </w:rPr>
        <w:t xml:space="preserve">, se notificó por medio del Sistema de Acceso a la Información Mexiquense </w:t>
      </w:r>
      <w:r w:rsidR="00FC32A4" w:rsidRPr="00CB1A03">
        <w:rPr>
          <w:rFonts w:cs="Tahoma"/>
          <w:bCs/>
          <w:lang w:val="es-ES"/>
        </w:rPr>
        <w:t>(SAIMEX)</w:t>
      </w:r>
      <w:r w:rsidR="00FC32A4" w:rsidRPr="00CB1A03">
        <w:rPr>
          <w:rFonts w:cs="Tahoma"/>
          <w:bCs/>
        </w:rPr>
        <w:t>, a las partes, la resolución del Medio de Impugnación previamente referido.</w:t>
      </w:r>
    </w:p>
    <w:p w14:paraId="67BCA75A" w14:textId="77777777" w:rsidR="00FC32A4" w:rsidRPr="00FC32A4" w:rsidRDefault="00FC32A4" w:rsidP="006E64F0">
      <w:pPr>
        <w:spacing w:line="360" w:lineRule="auto"/>
        <w:contextualSpacing/>
        <w:rPr>
          <w:rFonts w:cs="Tahoma"/>
          <w:bCs/>
        </w:rPr>
      </w:pPr>
    </w:p>
    <w:p w14:paraId="4722054B" w14:textId="543A80AC" w:rsidR="00FC32A4" w:rsidRDefault="00FC32A4" w:rsidP="006E64F0">
      <w:pPr>
        <w:spacing w:line="360" w:lineRule="auto"/>
        <w:contextualSpacing/>
        <w:rPr>
          <w:rFonts w:cs="Tahoma"/>
          <w:b/>
          <w:bCs/>
        </w:rPr>
      </w:pPr>
      <w:r w:rsidRPr="009C73CD">
        <w:rPr>
          <w:rFonts w:cs="Tahoma"/>
          <w:b/>
        </w:rPr>
        <w:t>V</w:t>
      </w:r>
      <w:r>
        <w:rPr>
          <w:rFonts w:cs="Tahoma"/>
          <w:b/>
        </w:rPr>
        <w:t>II</w:t>
      </w:r>
      <w:r w:rsidRPr="009C73CD">
        <w:rPr>
          <w:rFonts w:cs="Tahoma"/>
          <w:b/>
        </w:rPr>
        <w:t xml:space="preserve">) Cumplimiento a la </w:t>
      </w:r>
      <w:r w:rsidRPr="009C73CD">
        <w:rPr>
          <w:rFonts w:cs="Tahoma"/>
          <w:b/>
          <w:bCs/>
        </w:rPr>
        <w:t xml:space="preserve">Resolución del Recurso de Revisión </w:t>
      </w:r>
      <w:r>
        <w:rPr>
          <w:rFonts w:cs="Tahoma"/>
          <w:b/>
          <w:bCs/>
        </w:rPr>
        <w:t>17086/INFOEM/IP/RR/2022</w:t>
      </w:r>
      <w:r w:rsidRPr="009C73CD">
        <w:rPr>
          <w:rFonts w:cs="Tahoma"/>
          <w:b/>
          <w:bCs/>
        </w:rPr>
        <w:t>.</w:t>
      </w:r>
    </w:p>
    <w:p w14:paraId="63672EA2" w14:textId="77777777" w:rsidR="00880A9E" w:rsidRPr="009C73CD" w:rsidRDefault="00880A9E" w:rsidP="006E64F0">
      <w:pPr>
        <w:spacing w:line="360" w:lineRule="auto"/>
        <w:contextualSpacing/>
        <w:rPr>
          <w:rFonts w:cs="Tahoma"/>
          <w:b/>
          <w:bCs/>
        </w:rPr>
      </w:pPr>
    </w:p>
    <w:p w14:paraId="7F31F8B7" w14:textId="7CFDA696" w:rsidR="00FC32A4" w:rsidRDefault="00FC32A4" w:rsidP="006E64F0">
      <w:pPr>
        <w:spacing w:line="360" w:lineRule="auto"/>
        <w:contextualSpacing/>
        <w:rPr>
          <w:rFonts w:eastAsia="Calibri" w:cs="Tahoma"/>
          <w:bCs/>
          <w:color w:val="000000"/>
        </w:rPr>
      </w:pPr>
      <w:r w:rsidRPr="002C620C">
        <w:rPr>
          <w:rFonts w:eastAsia="Calibri" w:cs="Tahoma"/>
          <w:color w:val="000000"/>
        </w:rPr>
        <w:t xml:space="preserve">De conformidad con el artículo 186, último párrafo de la Ley de Transparencia y Acceso a la Información Pública del Estado de México y Municipios, el Sujeto Obligado debió dar cumplimiento a la Resolución del Recurso de Revisión </w:t>
      </w:r>
      <w:r w:rsidR="00B429D2">
        <w:rPr>
          <w:rFonts w:eastAsia="Calibri" w:cs="Tahoma"/>
          <w:color w:val="000000"/>
        </w:rPr>
        <w:t>17151</w:t>
      </w:r>
      <w:r>
        <w:rPr>
          <w:rFonts w:eastAsia="Calibri" w:cs="Tahoma"/>
          <w:color w:val="000000"/>
        </w:rPr>
        <w:t>/INFOEM/IP/RR/2022</w:t>
      </w:r>
      <w:r w:rsidRPr="002C620C">
        <w:rPr>
          <w:rFonts w:eastAsia="Calibri" w:cs="Tahoma"/>
          <w:color w:val="000000"/>
        </w:rPr>
        <w:t xml:space="preserve">; sin embargo, de las constancias que obran en el expediente electrónico del </w:t>
      </w:r>
      <w:r w:rsidRPr="002C620C">
        <w:rPr>
          <w:rFonts w:eastAsia="Calibri" w:cs="Tahoma"/>
          <w:color w:val="000000"/>
          <w:lang w:val="es-ES"/>
        </w:rPr>
        <w:t xml:space="preserve">Sistema de Acceso a la Información Mexiquense (SAIMEX), se advierte que </w:t>
      </w:r>
      <w:r w:rsidRPr="002C620C">
        <w:rPr>
          <w:rFonts w:eastAsia="Calibri" w:cs="Tahoma"/>
          <w:bCs/>
          <w:color w:val="000000"/>
        </w:rPr>
        <w:t>omitió dicha acción</w:t>
      </w:r>
      <w:r w:rsidR="00E73471">
        <w:rPr>
          <w:rFonts w:eastAsia="Calibri" w:cs="Tahoma"/>
          <w:bCs/>
          <w:color w:val="000000"/>
        </w:rPr>
        <w:t>.</w:t>
      </w:r>
    </w:p>
    <w:p w14:paraId="16200E2F" w14:textId="66CCE807" w:rsidR="00FC32A4" w:rsidRDefault="00FC32A4" w:rsidP="006E64F0">
      <w:pPr>
        <w:spacing w:line="360" w:lineRule="auto"/>
        <w:contextualSpacing/>
        <w:rPr>
          <w:rFonts w:eastAsia="Calibri" w:cs="Tahoma"/>
          <w:bCs/>
          <w:color w:val="000000"/>
        </w:rPr>
      </w:pPr>
    </w:p>
    <w:p w14:paraId="03F3FF14" w14:textId="2D8B3F07" w:rsidR="00FC32A4" w:rsidRDefault="00FC32A4" w:rsidP="006E64F0">
      <w:pPr>
        <w:tabs>
          <w:tab w:val="center" w:pos="4560"/>
          <w:tab w:val="left" w:pos="8207"/>
        </w:tabs>
        <w:spacing w:line="360" w:lineRule="auto"/>
        <w:contextualSpacing/>
        <w:rPr>
          <w:rFonts w:cs="Tahoma"/>
          <w:b/>
          <w:bCs/>
        </w:rPr>
      </w:pPr>
      <w:r w:rsidRPr="007E18B6">
        <w:rPr>
          <w:rFonts w:cs="Tahoma"/>
          <w:b/>
        </w:rPr>
        <w:t>VI</w:t>
      </w:r>
      <w:r>
        <w:rPr>
          <w:rFonts w:cs="Tahoma"/>
          <w:b/>
        </w:rPr>
        <w:t>II</w:t>
      </w:r>
      <w:r w:rsidRPr="007E18B6">
        <w:rPr>
          <w:rFonts w:cs="Tahoma"/>
          <w:b/>
        </w:rPr>
        <w:t xml:space="preserve">) Interposición del Recurso de Revisión </w:t>
      </w:r>
      <w:r w:rsidR="00B429D2">
        <w:rPr>
          <w:b/>
          <w:bCs/>
          <w:color w:val="000000"/>
        </w:rPr>
        <w:t>17151/INFOEM/ICR-142/IP/RR/2022</w:t>
      </w:r>
      <w:r w:rsidRPr="007E18B6">
        <w:rPr>
          <w:rFonts w:cs="Tahoma"/>
          <w:b/>
          <w:bCs/>
        </w:rPr>
        <w:t>.</w:t>
      </w:r>
    </w:p>
    <w:p w14:paraId="0820362A" w14:textId="77777777" w:rsidR="00880A9E" w:rsidRPr="007E18B6" w:rsidRDefault="00880A9E" w:rsidP="006E64F0">
      <w:pPr>
        <w:tabs>
          <w:tab w:val="center" w:pos="4560"/>
          <w:tab w:val="left" w:pos="8207"/>
        </w:tabs>
        <w:spacing w:line="360" w:lineRule="auto"/>
        <w:contextualSpacing/>
        <w:rPr>
          <w:rFonts w:cs="Tahoma"/>
          <w:b/>
        </w:rPr>
      </w:pPr>
    </w:p>
    <w:p w14:paraId="428D4CC0" w14:textId="3DECD4F4" w:rsidR="00FC32A4" w:rsidRDefault="00FC32A4" w:rsidP="006E64F0">
      <w:pPr>
        <w:widowControl w:val="0"/>
        <w:autoSpaceDE w:val="0"/>
        <w:autoSpaceDN w:val="0"/>
        <w:adjustRightInd w:val="0"/>
        <w:spacing w:line="360" w:lineRule="auto"/>
        <w:contextualSpacing/>
        <w:rPr>
          <w:rFonts w:cs="Tahoma"/>
          <w:color w:val="0D0D0D" w:themeColor="text1" w:themeTint="F2"/>
        </w:rPr>
      </w:pPr>
      <w:r w:rsidRPr="007E18B6">
        <w:rPr>
          <w:rFonts w:cs="Tahoma"/>
          <w:color w:val="0D0D0D" w:themeColor="text1" w:themeTint="F2"/>
        </w:rPr>
        <w:t xml:space="preserve">Con fecha </w:t>
      </w:r>
      <w:r w:rsidR="00B429D2">
        <w:rPr>
          <w:rFonts w:cs="Tahoma"/>
          <w:color w:val="0D0D0D" w:themeColor="text1" w:themeTint="F2"/>
        </w:rPr>
        <w:t>veintisiete</w:t>
      </w:r>
      <w:r>
        <w:rPr>
          <w:rFonts w:cs="Tahoma"/>
          <w:color w:val="0D0D0D" w:themeColor="text1" w:themeTint="F2"/>
        </w:rPr>
        <w:t xml:space="preserve"> de febrero</w:t>
      </w:r>
      <w:r w:rsidRPr="007E18B6">
        <w:rPr>
          <w:rFonts w:cs="Tahoma"/>
          <w:color w:val="0D0D0D" w:themeColor="text1" w:themeTint="F2"/>
        </w:rPr>
        <w:t xml:space="preserve"> de dos mil veintidós, </w:t>
      </w:r>
      <w:r w:rsidRPr="006C5C2E">
        <w:rPr>
          <w:rFonts w:cs="Tahoma"/>
          <w:color w:val="0D0D0D" w:themeColor="text1" w:themeTint="F2"/>
        </w:rPr>
        <w:t>el Particular interpuso un Recurso de Revisión en este Instituto</w:t>
      </w:r>
      <w:r>
        <w:rPr>
          <w:rFonts w:cs="Tahoma"/>
          <w:color w:val="0D0D0D" w:themeColor="text1" w:themeTint="F2"/>
        </w:rPr>
        <w:t xml:space="preserve"> </w:t>
      </w:r>
      <w:r w:rsidRPr="006C5C2E">
        <w:rPr>
          <w:rFonts w:cs="Tahoma"/>
          <w:color w:val="0D0D0D" w:themeColor="text1" w:themeTint="F2"/>
        </w:rPr>
        <w:t xml:space="preserve">a través del Sistema de Acceso a la Información Mexiquense (SAIMEX), en contra de la falta de respuesta del Sujeto Obligado, en cumplimiento a la Resolución referida en el Antecedente </w:t>
      </w:r>
      <w:r>
        <w:rPr>
          <w:rFonts w:cs="Tahoma"/>
          <w:color w:val="0D0D0D" w:themeColor="text1" w:themeTint="F2"/>
        </w:rPr>
        <w:t>VI</w:t>
      </w:r>
      <w:r w:rsidRPr="006C5C2E">
        <w:rPr>
          <w:rFonts w:cs="Tahoma"/>
          <w:color w:val="0D0D0D" w:themeColor="text1" w:themeTint="F2"/>
        </w:rPr>
        <w:t>, inciso e</w:t>
      </w:r>
      <w:r>
        <w:rPr>
          <w:rFonts w:cs="Tahoma"/>
          <w:color w:val="0D0D0D" w:themeColor="text1" w:themeTint="F2"/>
        </w:rPr>
        <w:t>,</w:t>
      </w:r>
      <w:r w:rsidRPr="006C5C2E">
        <w:rPr>
          <w:rFonts w:cs="Tahoma"/>
          <w:color w:val="0D0D0D" w:themeColor="text1" w:themeTint="F2"/>
        </w:rPr>
        <w:t xml:space="preserve"> en donde se agravió de lo siguiente:</w:t>
      </w:r>
    </w:p>
    <w:p w14:paraId="41C63B37" w14:textId="77777777" w:rsidR="00FC32A4" w:rsidRDefault="00FC32A4" w:rsidP="006E64F0">
      <w:pPr>
        <w:widowControl w:val="0"/>
        <w:autoSpaceDE w:val="0"/>
        <w:autoSpaceDN w:val="0"/>
        <w:adjustRightInd w:val="0"/>
        <w:spacing w:line="360" w:lineRule="auto"/>
        <w:contextualSpacing/>
        <w:rPr>
          <w:rFonts w:cs="Tahoma"/>
          <w:color w:val="0D0D0D" w:themeColor="text1" w:themeTint="F2"/>
        </w:rPr>
      </w:pPr>
    </w:p>
    <w:p w14:paraId="6CDA822C" w14:textId="77777777" w:rsidR="00FC32A4" w:rsidRPr="00066A9E" w:rsidRDefault="00FC32A4" w:rsidP="006E64F0">
      <w:pPr>
        <w:tabs>
          <w:tab w:val="left" w:pos="4667"/>
        </w:tabs>
        <w:spacing w:line="360" w:lineRule="auto"/>
        <w:ind w:left="567" w:right="567"/>
        <w:contextualSpacing/>
        <w:rPr>
          <w:rFonts w:eastAsia="Calibri" w:cs="Tahoma"/>
          <w:b/>
          <w:bCs/>
          <w:i/>
          <w:color w:val="000000"/>
          <w:sz w:val="20"/>
        </w:rPr>
      </w:pPr>
      <w:r w:rsidRPr="00066A9E">
        <w:rPr>
          <w:rFonts w:eastAsia="Calibri" w:cs="Tahoma"/>
          <w:b/>
          <w:bCs/>
          <w:i/>
          <w:color w:val="000000"/>
          <w:sz w:val="20"/>
        </w:rPr>
        <w:t>“ACTO IMPUGNADO</w:t>
      </w:r>
    </w:p>
    <w:p w14:paraId="15C0BFFB" w14:textId="77777777" w:rsidR="00FC32A4" w:rsidRPr="00066A9E" w:rsidRDefault="00FC32A4" w:rsidP="006E64F0">
      <w:pPr>
        <w:widowControl w:val="0"/>
        <w:autoSpaceDE w:val="0"/>
        <w:autoSpaceDN w:val="0"/>
        <w:adjustRightInd w:val="0"/>
        <w:spacing w:line="360" w:lineRule="auto"/>
        <w:ind w:right="567" w:firstLine="567"/>
        <w:contextualSpacing/>
        <w:rPr>
          <w:rFonts w:eastAsia="Calibri" w:cs="Tahoma"/>
          <w:i/>
          <w:color w:val="000000"/>
          <w:sz w:val="20"/>
        </w:rPr>
      </w:pPr>
      <w:r w:rsidRPr="00066A9E">
        <w:rPr>
          <w:i/>
          <w:color w:val="000000"/>
          <w:sz w:val="20"/>
        </w:rPr>
        <w:t>NO ENTREGA INFORMACIÓN</w:t>
      </w:r>
      <w:r w:rsidRPr="00066A9E">
        <w:rPr>
          <w:rFonts w:eastAsia="Calibri" w:cs="Tahoma"/>
          <w:i/>
          <w:color w:val="000000"/>
          <w:sz w:val="20"/>
        </w:rPr>
        <w:t>” (Sic.)</w:t>
      </w:r>
    </w:p>
    <w:p w14:paraId="1E91CC8A" w14:textId="77777777" w:rsidR="00FC32A4" w:rsidRPr="00066A9E" w:rsidRDefault="00FC32A4" w:rsidP="006E64F0">
      <w:pPr>
        <w:widowControl w:val="0"/>
        <w:autoSpaceDE w:val="0"/>
        <w:autoSpaceDN w:val="0"/>
        <w:adjustRightInd w:val="0"/>
        <w:spacing w:line="360" w:lineRule="auto"/>
        <w:ind w:left="567" w:right="567" w:firstLine="567"/>
        <w:contextualSpacing/>
        <w:rPr>
          <w:rFonts w:eastAsia="Calibri" w:cs="Tahoma"/>
          <w:i/>
          <w:color w:val="000000"/>
          <w:sz w:val="20"/>
        </w:rPr>
      </w:pPr>
    </w:p>
    <w:p w14:paraId="5A608121" w14:textId="77777777" w:rsidR="00FC32A4" w:rsidRPr="00066A9E" w:rsidRDefault="00FC32A4" w:rsidP="006E64F0">
      <w:pPr>
        <w:autoSpaceDE w:val="0"/>
        <w:autoSpaceDN w:val="0"/>
        <w:adjustRightInd w:val="0"/>
        <w:spacing w:line="360" w:lineRule="auto"/>
        <w:ind w:left="567" w:right="567"/>
        <w:contextualSpacing/>
        <w:rPr>
          <w:rFonts w:eastAsia="Calibri" w:cs="Tahoma"/>
          <w:b/>
          <w:i/>
          <w:color w:val="000000"/>
          <w:sz w:val="20"/>
        </w:rPr>
      </w:pPr>
      <w:r w:rsidRPr="00066A9E">
        <w:rPr>
          <w:rFonts w:eastAsia="Calibri" w:cs="Tahoma"/>
          <w:b/>
          <w:i/>
          <w:color w:val="000000"/>
          <w:sz w:val="20"/>
        </w:rPr>
        <w:t>“RAZONES O MOTIVOS DE LA INCONFORMIDAD</w:t>
      </w:r>
    </w:p>
    <w:p w14:paraId="5DEE5545" w14:textId="7D99AD16" w:rsidR="00FC32A4" w:rsidRPr="00066A9E" w:rsidRDefault="00B429D2" w:rsidP="006E64F0">
      <w:pPr>
        <w:spacing w:line="360" w:lineRule="auto"/>
        <w:ind w:firstLine="567"/>
        <w:contextualSpacing/>
        <w:rPr>
          <w:rFonts w:eastAsia="Calibri" w:cs="Tahoma"/>
          <w:bCs/>
          <w:color w:val="000000"/>
          <w:sz w:val="20"/>
        </w:rPr>
      </w:pPr>
      <w:r w:rsidRPr="00066A9E">
        <w:rPr>
          <w:i/>
          <w:color w:val="000000"/>
          <w:sz w:val="20"/>
        </w:rPr>
        <w:t>NO ENTREGA INFORMACIÓN NUEVAMENTE!!!!</w:t>
      </w:r>
      <w:r w:rsidR="00FC32A4" w:rsidRPr="00066A9E">
        <w:rPr>
          <w:rFonts w:eastAsia="Calibri" w:cs="Tahoma"/>
          <w:i/>
          <w:color w:val="000000"/>
          <w:sz w:val="20"/>
        </w:rPr>
        <w:t>” (Sic.)</w:t>
      </w:r>
    </w:p>
    <w:p w14:paraId="2BEAF0D9" w14:textId="77777777" w:rsidR="00FC32A4" w:rsidRDefault="00FC32A4" w:rsidP="006E64F0">
      <w:pPr>
        <w:autoSpaceDE w:val="0"/>
        <w:autoSpaceDN w:val="0"/>
        <w:adjustRightInd w:val="0"/>
        <w:spacing w:line="360" w:lineRule="auto"/>
        <w:contextualSpacing/>
        <w:rPr>
          <w:rFonts w:cs="Tahoma"/>
          <w:b/>
        </w:rPr>
      </w:pPr>
    </w:p>
    <w:p w14:paraId="55BD3039" w14:textId="0BAB79C0" w:rsidR="00FC32A4" w:rsidRDefault="00FC32A4" w:rsidP="006E64F0">
      <w:pPr>
        <w:autoSpaceDE w:val="0"/>
        <w:autoSpaceDN w:val="0"/>
        <w:adjustRightInd w:val="0"/>
        <w:spacing w:line="360" w:lineRule="auto"/>
        <w:contextualSpacing/>
        <w:rPr>
          <w:rFonts w:eastAsia="Batang" w:cs="Tahoma"/>
          <w:b/>
          <w:bCs/>
        </w:rPr>
      </w:pPr>
      <w:r>
        <w:rPr>
          <w:rFonts w:cs="Tahoma"/>
          <w:b/>
        </w:rPr>
        <w:t>IX</w:t>
      </w:r>
      <w:r w:rsidRPr="003674D2">
        <w:rPr>
          <w:rFonts w:cs="Tahoma"/>
          <w:b/>
        </w:rPr>
        <w:t xml:space="preserve">. </w:t>
      </w:r>
      <w:r w:rsidRPr="003674D2">
        <w:rPr>
          <w:rFonts w:eastAsia="Batang" w:cs="Tahoma"/>
          <w:b/>
          <w:bCs/>
        </w:rPr>
        <w:t xml:space="preserve">Trámite del </w:t>
      </w:r>
      <w:r w:rsidRPr="003674D2">
        <w:rPr>
          <w:rFonts w:cs="Tahoma"/>
          <w:b/>
        </w:rPr>
        <w:t xml:space="preserve">Recurso de Revisión con número </w:t>
      </w:r>
      <w:r w:rsidR="00B429D2">
        <w:rPr>
          <w:b/>
          <w:bCs/>
          <w:color w:val="000000"/>
        </w:rPr>
        <w:t>17151/INFOEM/ICR-142/IP/RR/2022</w:t>
      </w:r>
      <w:r w:rsidRPr="003674D2">
        <w:rPr>
          <w:rFonts w:eastAsia="Batang" w:cs="Tahoma"/>
          <w:b/>
          <w:bCs/>
        </w:rPr>
        <w:t>.</w:t>
      </w:r>
    </w:p>
    <w:p w14:paraId="0CF0E31D" w14:textId="77777777" w:rsidR="006E64F0" w:rsidRPr="00FC32A4" w:rsidRDefault="006E64F0" w:rsidP="006E64F0">
      <w:pPr>
        <w:autoSpaceDE w:val="0"/>
        <w:autoSpaceDN w:val="0"/>
        <w:adjustRightInd w:val="0"/>
        <w:spacing w:line="360" w:lineRule="auto"/>
        <w:contextualSpacing/>
        <w:rPr>
          <w:rFonts w:eastAsia="Calibri" w:cs="Tahoma"/>
          <w:i/>
          <w:color w:val="000000"/>
        </w:rPr>
      </w:pPr>
    </w:p>
    <w:p w14:paraId="55EFDFB6" w14:textId="07F09FDF" w:rsidR="00FC32A4" w:rsidRPr="003674D2" w:rsidRDefault="00FC32A4" w:rsidP="006E64F0">
      <w:pPr>
        <w:spacing w:line="360" w:lineRule="auto"/>
        <w:contextualSpacing/>
        <w:rPr>
          <w:rFonts w:eastAsia="Batang" w:cs="Tahoma"/>
          <w:bCs/>
        </w:rPr>
      </w:pPr>
      <w:r w:rsidRPr="003674D2">
        <w:rPr>
          <w:rFonts w:eastAsia="Batang" w:cs="Tahoma"/>
          <w:b/>
          <w:bCs/>
        </w:rPr>
        <w:t xml:space="preserve">a) Turno del </w:t>
      </w:r>
      <w:r w:rsidRPr="003674D2">
        <w:rPr>
          <w:rFonts w:cs="Tahoma"/>
          <w:b/>
        </w:rPr>
        <w:t>Recurso de Revisión</w:t>
      </w:r>
      <w:r w:rsidRPr="003674D2">
        <w:rPr>
          <w:rFonts w:eastAsia="Batang" w:cs="Tahoma"/>
          <w:b/>
          <w:bCs/>
        </w:rPr>
        <w:t xml:space="preserve">. </w:t>
      </w:r>
      <w:r w:rsidRPr="003674D2">
        <w:rPr>
          <w:rFonts w:eastAsia="Batang" w:cs="Tahoma"/>
          <w:bCs/>
        </w:rPr>
        <w:t xml:space="preserve">El </w:t>
      </w:r>
      <w:r w:rsidR="00B429D2">
        <w:rPr>
          <w:rFonts w:cs="Tahoma"/>
        </w:rPr>
        <w:t>veintisiete</w:t>
      </w:r>
      <w:r>
        <w:rPr>
          <w:rFonts w:cs="Tahoma"/>
        </w:rPr>
        <w:t xml:space="preserve"> de febrero de dos mil veintitrés</w:t>
      </w:r>
      <w:r w:rsidRPr="003674D2">
        <w:rPr>
          <w:rFonts w:eastAsia="Batang" w:cs="Tahoma"/>
          <w:bCs/>
        </w:rPr>
        <w:t xml:space="preserve">, el </w:t>
      </w:r>
      <w:r w:rsidRPr="003674D2">
        <w:rPr>
          <w:rFonts w:cs="Tahoma"/>
          <w:lang w:val="es-ES"/>
        </w:rPr>
        <w:t>Sistema de Acceso a la Información Mexiquense (SAIMEX),</w:t>
      </w:r>
      <w:r w:rsidRPr="003674D2">
        <w:rPr>
          <w:rFonts w:eastAsia="Batang" w:cs="Tahoma"/>
          <w:bCs/>
        </w:rPr>
        <w:t xml:space="preserve"> asignó el número de expediente </w:t>
      </w:r>
      <w:r w:rsidR="00B429D2">
        <w:rPr>
          <w:b/>
          <w:bCs/>
          <w:color w:val="000000"/>
        </w:rPr>
        <w:t>17151/INFOEM/ICR-142/IP/RR/2022</w:t>
      </w:r>
      <w:r>
        <w:rPr>
          <w:b/>
          <w:bCs/>
          <w:color w:val="000000"/>
        </w:rPr>
        <w:t xml:space="preserve"> </w:t>
      </w:r>
      <w:r w:rsidRPr="003674D2">
        <w:rPr>
          <w:rFonts w:eastAsia="Batang" w:cs="Tahoma"/>
          <w:bCs/>
        </w:rPr>
        <w:t xml:space="preserve">al Medio de Impugnación que nos ocupa, con base en el sistema aprobado por el Pleno de este Organismo Garante y los turnó al </w:t>
      </w:r>
      <w:r w:rsidRPr="003674D2">
        <w:rPr>
          <w:rFonts w:eastAsia="Batang" w:cs="Tahoma"/>
          <w:b/>
          <w:bCs/>
        </w:rPr>
        <w:t xml:space="preserve">Comisionado </w:t>
      </w:r>
      <w:r w:rsidRPr="003674D2">
        <w:rPr>
          <w:rFonts w:eastAsia="Batang" w:cs="Tahoma"/>
          <w:b/>
          <w:bCs/>
        </w:rPr>
        <w:lastRenderedPageBreak/>
        <w:t>Ponente Luis Gustavo Parra Noriega</w:t>
      </w:r>
      <w:r w:rsidRPr="003674D2">
        <w:rPr>
          <w:rFonts w:eastAsia="Batang" w:cs="Tahoma"/>
          <w:bCs/>
        </w:rPr>
        <w:t>, para los efectos del artículo 185, fracción I de la Ley de Transparencia y Acceso a la Información Pública del Estado de México y Municipios.</w:t>
      </w:r>
    </w:p>
    <w:p w14:paraId="4B19E1B2" w14:textId="6802E458" w:rsidR="00FC32A4" w:rsidRDefault="00FC32A4" w:rsidP="006E64F0">
      <w:pPr>
        <w:spacing w:after="0" w:line="360" w:lineRule="auto"/>
        <w:contextualSpacing/>
        <w:rPr>
          <w:rFonts w:eastAsia="Times New Roman" w:cs="Tahoma"/>
          <w:color w:val="000000"/>
          <w:lang w:eastAsia="es-ES"/>
        </w:rPr>
      </w:pPr>
    </w:p>
    <w:p w14:paraId="3DD18EDB" w14:textId="560045F1" w:rsidR="00FC32A4" w:rsidRPr="003674D2" w:rsidRDefault="00FC32A4" w:rsidP="006E64F0">
      <w:pPr>
        <w:spacing w:line="360" w:lineRule="auto"/>
        <w:contextualSpacing/>
        <w:rPr>
          <w:rFonts w:cs="Tahoma"/>
          <w:b/>
        </w:rPr>
      </w:pPr>
      <w:r w:rsidRPr="003674D2">
        <w:rPr>
          <w:rFonts w:eastAsia="Batang" w:cs="Tahoma"/>
          <w:b/>
          <w:bCs/>
        </w:rPr>
        <w:t xml:space="preserve">b) Admisión del </w:t>
      </w:r>
      <w:r w:rsidRPr="003674D2">
        <w:rPr>
          <w:rFonts w:cs="Tahoma"/>
          <w:b/>
        </w:rPr>
        <w:t>Recurso de Revisión</w:t>
      </w:r>
      <w:r w:rsidRPr="003674D2">
        <w:rPr>
          <w:rFonts w:eastAsia="Batang" w:cs="Tahoma"/>
          <w:b/>
          <w:bCs/>
        </w:rPr>
        <w:t xml:space="preserve">. </w:t>
      </w:r>
      <w:r w:rsidRPr="003674D2">
        <w:rPr>
          <w:rFonts w:eastAsia="Batang" w:cs="Tahoma"/>
          <w:bCs/>
        </w:rPr>
        <w:t xml:space="preserve">El </w:t>
      </w:r>
      <w:r w:rsidR="00B429D2">
        <w:rPr>
          <w:rFonts w:eastAsia="Batang" w:cs="Tahoma"/>
          <w:bCs/>
        </w:rPr>
        <w:t>tres de marzo</w:t>
      </w:r>
      <w:r>
        <w:rPr>
          <w:rFonts w:eastAsia="Batang" w:cs="Tahoma"/>
          <w:bCs/>
        </w:rPr>
        <w:t xml:space="preserve"> de dos mil veintitrés</w:t>
      </w:r>
      <w:r w:rsidRPr="003674D2">
        <w:rPr>
          <w:rFonts w:eastAsia="Batang" w:cs="Tahoma"/>
          <w:bCs/>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r w:rsidRPr="003674D2">
        <w:rPr>
          <w:rFonts w:cs="Tahoma"/>
          <w:b/>
        </w:rPr>
        <w:t xml:space="preserve"> </w:t>
      </w:r>
    </w:p>
    <w:p w14:paraId="51FEFA34" w14:textId="4DFED62D" w:rsidR="00FC32A4" w:rsidRDefault="00FC32A4" w:rsidP="006E64F0">
      <w:pPr>
        <w:spacing w:after="0" w:line="360" w:lineRule="auto"/>
        <w:contextualSpacing/>
        <w:rPr>
          <w:rFonts w:eastAsia="Times New Roman" w:cs="Tahoma"/>
          <w:color w:val="000000"/>
          <w:lang w:eastAsia="es-ES"/>
        </w:rPr>
      </w:pPr>
    </w:p>
    <w:p w14:paraId="0C03A9E2" w14:textId="6A950D4A" w:rsidR="003D06B5" w:rsidRDefault="003D06B5" w:rsidP="006E64F0">
      <w:pPr>
        <w:spacing w:after="0" w:line="360" w:lineRule="auto"/>
        <w:contextualSpacing/>
        <w:rPr>
          <w:rFonts w:cs="Tahoma"/>
          <w:bCs/>
          <w:iCs/>
          <w:lang w:val="es-ES"/>
        </w:rPr>
      </w:pPr>
      <w:r w:rsidRPr="004A479E">
        <w:rPr>
          <w:rFonts w:eastAsia="Palatino Linotype" w:cs="Palatino Linotype"/>
          <w:b/>
          <w:bCs/>
          <w:lang w:val="es-ES"/>
        </w:rPr>
        <w:t xml:space="preserve">c) </w:t>
      </w:r>
      <w:r w:rsidR="00B429D2">
        <w:rPr>
          <w:rFonts w:cs="Tahoma"/>
          <w:b/>
          <w:bCs/>
          <w:iCs/>
          <w:lang w:val="es-ES"/>
        </w:rPr>
        <w:t>Informe Justificado o manifestaciones.</w:t>
      </w:r>
      <w:r w:rsidRPr="004A479E">
        <w:rPr>
          <w:rFonts w:cs="Tahoma"/>
          <w:bCs/>
          <w:iCs/>
          <w:lang w:val="es-ES"/>
        </w:rPr>
        <w:t xml:space="preserve"> </w:t>
      </w:r>
      <w:r w:rsidR="00B429D2">
        <w:rPr>
          <w:rFonts w:cs="Tahoma"/>
          <w:bCs/>
          <w:iCs/>
          <w:lang w:val="es-ES"/>
        </w:rPr>
        <w:t>Las partes fueron omisas en emitir manifestaciones o alegatos.</w:t>
      </w:r>
    </w:p>
    <w:p w14:paraId="1E551C26" w14:textId="77777777" w:rsidR="003D06B5" w:rsidRDefault="003D06B5" w:rsidP="006E64F0">
      <w:pPr>
        <w:spacing w:after="0" w:line="360" w:lineRule="auto"/>
        <w:contextualSpacing/>
        <w:rPr>
          <w:rFonts w:cs="Tahoma"/>
          <w:bCs/>
          <w:iCs/>
          <w:lang w:val="es-ES"/>
        </w:rPr>
      </w:pPr>
    </w:p>
    <w:p w14:paraId="75D064DB" w14:textId="3747F2F5" w:rsidR="005A6F65" w:rsidRPr="004A479E" w:rsidRDefault="00B429D2" w:rsidP="006E64F0">
      <w:pPr>
        <w:spacing w:after="0" w:line="360" w:lineRule="auto"/>
        <w:contextualSpacing/>
        <w:rPr>
          <w:rFonts w:eastAsia="Batang" w:cs="Tahoma"/>
          <w:b/>
          <w:color w:val="auto"/>
          <w:lang w:eastAsia="es-ES"/>
        </w:rPr>
      </w:pPr>
      <w:r>
        <w:rPr>
          <w:rFonts w:eastAsia="Times New Roman" w:cs="Tahoma"/>
          <w:b/>
          <w:color w:val="auto"/>
          <w:lang w:eastAsia="es-ES"/>
        </w:rPr>
        <w:t>d</w:t>
      </w:r>
      <w:r w:rsidR="005A6F65">
        <w:rPr>
          <w:rFonts w:eastAsia="Times New Roman" w:cs="Tahoma"/>
          <w:b/>
          <w:color w:val="auto"/>
          <w:lang w:eastAsia="es-ES"/>
        </w:rPr>
        <w:t xml:space="preserve">) </w:t>
      </w:r>
      <w:r w:rsidR="005A6F65" w:rsidRPr="004A479E">
        <w:rPr>
          <w:rFonts w:eastAsia="Times New Roman" w:cs="Tahoma"/>
          <w:b/>
          <w:color w:val="auto"/>
          <w:lang w:eastAsia="es-ES"/>
        </w:rPr>
        <w:t>Cierre de instrucción.</w:t>
      </w:r>
      <w:r w:rsidR="005A6F65" w:rsidRPr="004A479E">
        <w:rPr>
          <w:rFonts w:eastAsia="Times New Roman" w:cs="Tahoma"/>
          <w:color w:val="auto"/>
          <w:lang w:eastAsia="es-ES"/>
        </w:rPr>
        <w:t xml:space="preserve"> El </w:t>
      </w:r>
      <w:r>
        <w:rPr>
          <w:rFonts w:eastAsia="Times New Roman" w:cs="Tahoma"/>
          <w:color w:val="auto"/>
          <w:lang w:eastAsia="es-ES"/>
        </w:rPr>
        <w:t>veintitrés de marzo</w:t>
      </w:r>
      <w:r w:rsidR="005A6F65">
        <w:rPr>
          <w:rFonts w:eastAsia="Times New Roman" w:cs="Tahoma"/>
          <w:color w:val="auto"/>
          <w:lang w:eastAsia="es-ES"/>
        </w:rPr>
        <w:t xml:space="preserve"> </w:t>
      </w:r>
      <w:r w:rsidR="005A6F65" w:rsidRPr="004A479E">
        <w:rPr>
          <w:rFonts w:eastAsia="Times New Roman" w:cs="Tahoma"/>
          <w:color w:val="auto"/>
          <w:lang w:eastAsia="es-ES"/>
        </w:rPr>
        <w:t>de dos mil veinti</w:t>
      </w:r>
      <w:r w:rsidR="005A6F65">
        <w:rPr>
          <w:rFonts w:eastAsia="Times New Roman" w:cs="Tahoma"/>
          <w:color w:val="auto"/>
          <w:lang w:eastAsia="es-ES"/>
        </w:rPr>
        <w:t>tré</w:t>
      </w:r>
      <w:r w:rsidR="005A6F65" w:rsidRPr="004A479E">
        <w:rPr>
          <w:rFonts w:eastAsia="Times New Roman" w:cs="Tahoma"/>
          <w:color w:val="auto"/>
          <w:lang w:eastAsia="es-ES"/>
        </w:rPr>
        <w:t xml:space="preserve">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5A6F65" w:rsidRPr="004A479E">
        <w:rPr>
          <w:rFonts w:eastAsia="Times New Roman" w:cs="Tahoma"/>
          <w:color w:val="auto"/>
          <w:lang w:val="es-ES" w:eastAsia="es-ES"/>
        </w:rPr>
        <w:t>Sistema de Acceso a la Información Mexiquense (SAIMEX)</w:t>
      </w:r>
      <w:r w:rsidR="005A6F65" w:rsidRPr="004A479E">
        <w:rPr>
          <w:rFonts w:eastAsia="Times New Roman" w:cs="Tahoma"/>
          <w:color w:val="auto"/>
          <w:lang w:eastAsia="es-ES"/>
        </w:rPr>
        <w:t>.</w:t>
      </w:r>
    </w:p>
    <w:p w14:paraId="106269F7" w14:textId="77777777" w:rsidR="00927351" w:rsidRPr="00927351" w:rsidRDefault="00927351" w:rsidP="006E64F0">
      <w:pPr>
        <w:spacing w:after="0" w:line="360" w:lineRule="auto"/>
        <w:contextualSpacing/>
        <w:rPr>
          <w:rFonts w:eastAsia="Times New Roman" w:cs="Tahoma"/>
          <w:b/>
          <w:bCs/>
          <w:color w:val="000000"/>
          <w:lang w:eastAsia="es-ES"/>
        </w:rPr>
      </w:pPr>
    </w:p>
    <w:p w14:paraId="77C7A5C4" w14:textId="6468E95B" w:rsidR="00EC77D9" w:rsidRPr="002D0AC7" w:rsidRDefault="00EC77D9" w:rsidP="006E64F0">
      <w:pPr>
        <w:spacing w:after="0" w:line="360" w:lineRule="auto"/>
        <w:contextualSpacing/>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6E64F0">
      <w:pPr>
        <w:spacing w:after="0" w:line="360" w:lineRule="auto"/>
        <w:contextualSpacing/>
        <w:rPr>
          <w:rFonts w:eastAsia="Times New Roman" w:cs="Tahoma"/>
          <w:bCs/>
          <w:iCs/>
          <w:color w:val="auto"/>
          <w:lang w:val="es-ES" w:eastAsia="es-ES"/>
        </w:rPr>
      </w:pPr>
    </w:p>
    <w:p w14:paraId="4B442488" w14:textId="77777777" w:rsidR="00EC77D9" w:rsidRPr="002D0AC7" w:rsidRDefault="00EC77D9" w:rsidP="006E64F0">
      <w:pPr>
        <w:spacing w:after="0" w:line="360" w:lineRule="auto"/>
        <w:contextualSpacing/>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45766D5C" w14:textId="77777777" w:rsidR="00066A9E" w:rsidRDefault="00066A9E" w:rsidP="006E64F0">
      <w:pPr>
        <w:autoSpaceDE w:val="0"/>
        <w:autoSpaceDN w:val="0"/>
        <w:adjustRightInd w:val="0"/>
        <w:spacing w:after="0" w:line="360" w:lineRule="auto"/>
        <w:contextualSpacing/>
        <w:rPr>
          <w:rFonts w:eastAsia="Calibri" w:cs="Tahoma"/>
          <w:b/>
          <w:color w:val="000000"/>
          <w:lang w:val="es-ES" w:eastAsia="es-MX"/>
        </w:rPr>
      </w:pPr>
    </w:p>
    <w:p w14:paraId="2B2C70F6" w14:textId="77777777" w:rsidR="00EC77D9" w:rsidRPr="002D0AC7" w:rsidRDefault="00EC77D9" w:rsidP="006E64F0">
      <w:pPr>
        <w:autoSpaceDE w:val="0"/>
        <w:autoSpaceDN w:val="0"/>
        <w:adjustRightInd w:val="0"/>
        <w:spacing w:after="0" w:line="360" w:lineRule="auto"/>
        <w:contextualSpacing/>
        <w:rPr>
          <w:rFonts w:eastAsia="Times New Roman" w:cs="Tahoma"/>
          <w:b/>
          <w:color w:val="auto"/>
          <w:lang w:val="es-ES" w:eastAsia="es-ES"/>
        </w:rPr>
      </w:pPr>
      <w:r w:rsidRPr="002D0AC7">
        <w:rPr>
          <w:rFonts w:eastAsia="Calibri" w:cs="Tahoma"/>
          <w:b/>
          <w:color w:val="000000"/>
          <w:lang w:val="es-ES" w:eastAsia="es-MX"/>
        </w:rPr>
        <w:lastRenderedPageBreak/>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6E64F0">
      <w:pPr>
        <w:autoSpaceDE w:val="0"/>
        <w:autoSpaceDN w:val="0"/>
        <w:adjustRightInd w:val="0"/>
        <w:spacing w:after="0" w:line="360" w:lineRule="auto"/>
        <w:contextualSpacing/>
        <w:rPr>
          <w:rFonts w:eastAsia="Times New Roman" w:cs="Tahoma"/>
          <w:b/>
          <w:color w:val="auto"/>
          <w:lang w:val="es-ES" w:eastAsia="es-ES"/>
        </w:rPr>
      </w:pPr>
    </w:p>
    <w:p w14:paraId="1F83A937" w14:textId="77777777" w:rsidR="00EC77D9" w:rsidRPr="002D0AC7" w:rsidRDefault="00EC77D9" w:rsidP="006E64F0">
      <w:pPr>
        <w:spacing w:after="0" w:line="360" w:lineRule="auto"/>
        <w:contextualSpacing/>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6E64F0">
      <w:pPr>
        <w:spacing w:after="0" w:line="360" w:lineRule="auto"/>
        <w:contextualSpacing/>
      </w:pPr>
    </w:p>
    <w:p w14:paraId="1A678CDB" w14:textId="6A36CEB4" w:rsidR="00EC77D9" w:rsidRDefault="00EC77D9" w:rsidP="006E64F0">
      <w:pPr>
        <w:autoSpaceDE w:val="0"/>
        <w:autoSpaceDN w:val="0"/>
        <w:adjustRightInd w:val="0"/>
        <w:spacing w:after="0" w:line="360" w:lineRule="auto"/>
        <w:contextualSpacing/>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6E64F0">
      <w:pPr>
        <w:autoSpaceDE w:val="0"/>
        <w:autoSpaceDN w:val="0"/>
        <w:adjustRightInd w:val="0"/>
        <w:spacing w:after="0" w:line="360" w:lineRule="auto"/>
        <w:contextualSpacing/>
        <w:rPr>
          <w:rFonts w:eastAsia="Times New Roman" w:cs="Tahoma"/>
          <w:color w:val="auto"/>
          <w:lang w:val="es-ES" w:eastAsia="es-ES"/>
        </w:rPr>
      </w:pPr>
    </w:p>
    <w:p w14:paraId="5E0147CF" w14:textId="77777777" w:rsidR="00EC77D9" w:rsidRPr="002D0AC7" w:rsidRDefault="00EC77D9" w:rsidP="006E64F0">
      <w:pPr>
        <w:autoSpaceDE w:val="0"/>
        <w:autoSpaceDN w:val="0"/>
        <w:adjustRightInd w:val="0"/>
        <w:spacing w:after="0" w:line="360" w:lineRule="auto"/>
        <w:contextualSpacing/>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6E64F0">
      <w:pPr>
        <w:autoSpaceDE w:val="0"/>
        <w:autoSpaceDN w:val="0"/>
        <w:adjustRightInd w:val="0"/>
        <w:spacing w:after="0" w:line="360" w:lineRule="auto"/>
        <w:contextualSpacing/>
        <w:rPr>
          <w:rFonts w:eastAsia="Times New Roman" w:cs="Tahoma"/>
          <w:color w:val="auto"/>
          <w:lang w:val="es-ES" w:eastAsia="es-ES"/>
        </w:rPr>
      </w:pPr>
    </w:p>
    <w:p w14:paraId="3B9478FB" w14:textId="77777777" w:rsidR="00EC77D9" w:rsidRPr="002D0AC7" w:rsidRDefault="00EC77D9" w:rsidP="006E64F0">
      <w:pPr>
        <w:spacing w:after="0" w:line="360" w:lineRule="auto"/>
        <w:contextualSpacing/>
        <w:rPr>
          <w:b/>
          <w:lang w:val="es-ES"/>
        </w:rPr>
      </w:pPr>
      <w:r w:rsidRPr="002D0AC7">
        <w:rPr>
          <w:b/>
          <w:lang w:val="es-ES"/>
        </w:rPr>
        <w:t>Causales de improcedencia</w:t>
      </w:r>
    </w:p>
    <w:p w14:paraId="49F1FD7D" w14:textId="77777777" w:rsidR="00EC77D9" w:rsidRPr="002D0AC7" w:rsidRDefault="00EC77D9" w:rsidP="006E64F0">
      <w:pPr>
        <w:spacing w:after="0" w:line="360" w:lineRule="auto"/>
        <w:contextualSpacing/>
      </w:pPr>
    </w:p>
    <w:p w14:paraId="6396891D" w14:textId="77777777" w:rsidR="00EC77D9" w:rsidRPr="002D0AC7" w:rsidRDefault="00EC77D9" w:rsidP="006E64F0">
      <w:pPr>
        <w:spacing w:after="0" w:line="360" w:lineRule="auto"/>
        <w:contextualSpacing/>
        <w:rPr>
          <w:rFonts w:eastAsia="Times New Roman" w:cs="Tahoma"/>
          <w:color w:val="auto"/>
          <w:lang w:eastAsia="es-ES"/>
        </w:rPr>
      </w:pPr>
      <w:r w:rsidRPr="002D0AC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2D0AC7">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6E64F0">
      <w:pPr>
        <w:spacing w:after="0" w:line="360" w:lineRule="auto"/>
        <w:contextualSpacing/>
        <w:rPr>
          <w:rFonts w:eastAsia="Times New Roman" w:cs="Tahoma"/>
          <w:color w:val="auto"/>
          <w:lang w:eastAsia="es-ES"/>
        </w:rPr>
      </w:pPr>
    </w:p>
    <w:p w14:paraId="21E7B273" w14:textId="77777777" w:rsidR="005A6F65" w:rsidRDefault="005A6F65" w:rsidP="006E64F0">
      <w:pPr>
        <w:autoSpaceDE w:val="0"/>
        <w:autoSpaceDN w:val="0"/>
        <w:adjustRightInd w:val="0"/>
        <w:spacing w:line="360" w:lineRule="auto"/>
        <w:contextualSpacing/>
        <w:rPr>
          <w:rFonts w:eastAsia="Calibri" w:cs="Tahoma"/>
          <w:color w:val="000000"/>
          <w:lang w:val="es-ES" w:eastAsia="es-MX"/>
        </w:rPr>
      </w:pPr>
      <w:r>
        <w:rPr>
          <w:rFonts w:cs="Tahoma"/>
          <w:szCs w:val="24"/>
        </w:rPr>
        <w:t>En el presente caso, </w:t>
      </w:r>
      <w:r w:rsidRPr="006C5C2E">
        <w:rPr>
          <w:rFonts w:cs="Tahoma"/>
          <w:szCs w:val="24"/>
        </w:rPr>
        <w:t>no se actualiza ninguna de las causales de improcedencia</w:t>
      </w:r>
      <w:r>
        <w:rPr>
          <w:rFonts w:cs="Tahoma"/>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cs="Tahoma"/>
          <w:lang w:val="es-ES"/>
        </w:rPr>
        <w:t xml:space="preserve">además de que </w:t>
      </w:r>
      <w:r>
        <w:rPr>
          <w:rFonts w:eastAsia="Calibri" w:cs="Tahoma"/>
          <w:color w:val="000000"/>
          <w:lang w:val="es-ES" w:eastAsia="es-MX"/>
        </w:rPr>
        <w:t>el Medio de Impugnación fue presentado en tiempo.</w:t>
      </w:r>
    </w:p>
    <w:p w14:paraId="44D8CF7D" w14:textId="77777777" w:rsidR="005A6F65" w:rsidRDefault="005A6F65" w:rsidP="006E64F0">
      <w:pPr>
        <w:widowControl w:val="0"/>
        <w:spacing w:line="360" w:lineRule="auto"/>
        <w:contextualSpacing/>
        <w:rPr>
          <w:rFonts w:cs="Tahoma"/>
        </w:rPr>
      </w:pPr>
    </w:p>
    <w:p w14:paraId="19DED468" w14:textId="0F68DC51" w:rsidR="005A6F65" w:rsidRDefault="005A6F65" w:rsidP="006E64F0">
      <w:pPr>
        <w:widowControl w:val="0"/>
        <w:spacing w:line="360" w:lineRule="auto"/>
        <w:contextualSpacing/>
        <w:rPr>
          <w:rFonts w:cs="Tahoma"/>
        </w:rPr>
      </w:pPr>
      <w:r>
        <w:rPr>
          <w:rFonts w:cs="Tahoma"/>
        </w:rPr>
        <w:t xml:space="preserve">Asimismo, se actualiza la causal de procedencia del Recurso de Revisión señalada en el artículo 179, fracción VII, de la Ley en cita, </w:t>
      </w:r>
      <w:r>
        <w:rPr>
          <w:rFonts w:eastAsia="Calibri" w:cs="Tahoma"/>
          <w:color w:val="000000"/>
          <w:lang w:eastAsia="es-MX"/>
        </w:rPr>
        <w:t xml:space="preserve">pues la Recurrente se inconformó con </w:t>
      </w:r>
      <w:r>
        <w:rPr>
          <w:rFonts w:cs="Tahoma"/>
        </w:rPr>
        <w:t>la falta de respuesta a su solicitud de acceso a la información pública.</w:t>
      </w:r>
    </w:p>
    <w:p w14:paraId="087F0DD7" w14:textId="19E3E9DB" w:rsidR="008C7A9D" w:rsidRDefault="008C7A9D" w:rsidP="006E64F0">
      <w:pPr>
        <w:spacing w:after="0" w:line="360" w:lineRule="auto"/>
        <w:contextualSpacing/>
        <w:rPr>
          <w:rFonts w:eastAsia="Times New Roman" w:cs="Tahoma"/>
          <w:bCs/>
          <w:color w:val="auto"/>
          <w:lang w:val="es-ES" w:eastAsia="es-ES"/>
        </w:rPr>
      </w:pPr>
    </w:p>
    <w:p w14:paraId="299D14D5" w14:textId="77777777" w:rsidR="005A6F65" w:rsidRDefault="005A6F65" w:rsidP="006E64F0">
      <w:pPr>
        <w:spacing w:line="360" w:lineRule="auto"/>
        <w:contextualSpacing/>
        <w:rPr>
          <w:rFonts w:cs="Tahoma"/>
          <w:bCs/>
          <w:color w:val="000000"/>
        </w:rPr>
      </w:pPr>
      <w:r w:rsidRPr="006A6B3D">
        <w:rPr>
          <w:rFonts w:cs="Tahoma"/>
          <w:bCs/>
          <w:color w:val="000000"/>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0A34F79D" w14:textId="77777777" w:rsidR="005A6F65" w:rsidRDefault="005A6F65" w:rsidP="006E64F0">
      <w:pPr>
        <w:spacing w:line="360" w:lineRule="auto"/>
        <w:contextualSpacing/>
        <w:rPr>
          <w:rFonts w:cs="Tahoma"/>
          <w:bCs/>
          <w:color w:val="000000"/>
        </w:rPr>
      </w:pPr>
    </w:p>
    <w:p w14:paraId="2D0BF969" w14:textId="69DEDE92" w:rsidR="005A6F65" w:rsidRDefault="005A6F65" w:rsidP="006E64F0">
      <w:pPr>
        <w:spacing w:line="360" w:lineRule="auto"/>
        <w:contextualSpacing/>
        <w:rPr>
          <w:rFonts w:cs="Tahoma"/>
          <w:bCs/>
          <w:color w:val="000000"/>
        </w:rPr>
      </w:pPr>
      <w:r w:rsidRPr="006A6B3D">
        <w:rPr>
          <w:rFonts w:cs="Tahoma"/>
          <w:bCs/>
          <w:color w:val="000000"/>
        </w:rPr>
        <w:t xml:space="preserve">En ese orden de ideas, cabe referir que en el expediente con número de folio </w:t>
      </w:r>
      <w:r w:rsidR="00B429D2">
        <w:rPr>
          <w:rFonts w:eastAsia="Calibri" w:cs="Tahoma"/>
        </w:rPr>
        <w:t>17151</w:t>
      </w:r>
      <w:r>
        <w:rPr>
          <w:rFonts w:eastAsia="Calibri" w:cs="Tahoma"/>
        </w:rPr>
        <w:t>/INFOEM/IP/RR/2022</w:t>
      </w:r>
      <w:r w:rsidRPr="006A6B3D">
        <w:rPr>
          <w:rFonts w:cs="Tahoma"/>
          <w:bCs/>
          <w:color w:val="000000"/>
        </w:rPr>
        <w:t xml:space="preserve">, se dictó Resolución, en la cual se determinó como causal de procedencia, la fracción VII, del artículo 179 de la Ley de Transparencia y Acceso a la Información Pública del Estado de México y Municipios, es decir, de la falta de respuesta; </w:t>
      </w:r>
      <w:r w:rsidRPr="006A6B3D">
        <w:rPr>
          <w:rFonts w:cs="Tahoma"/>
          <w:bCs/>
          <w:color w:val="000000"/>
        </w:rPr>
        <w:lastRenderedPageBreak/>
        <w:t xml:space="preserve">además, se concluyó </w:t>
      </w:r>
      <w:r w:rsidRPr="006A6B3D">
        <w:rPr>
          <w:rFonts w:cs="Tahoma"/>
          <w:b/>
          <w:color w:val="000000"/>
        </w:rPr>
        <w:t xml:space="preserve">ORDENAR </w:t>
      </w:r>
      <w:r w:rsidRPr="006A6B3D">
        <w:rPr>
          <w:rFonts w:cs="Tahoma"/>
          <w:bCs/>
          <w:color w:val="000000"/>
        </w:rPr>
        <w:t xml:space="preserve">al </w:t>
      </w:r>
      <w:r>
        <w:rPr>
          <w:rFonts w:cs="Tahoma"/>
          <w:bCs/>
          <w:color w:val="000000"/>
        </w:rPr>
        <w:t>Ayuntamiento de Zinacantepec</w:t>
      </w:r>
      <w:r w:rsidRPr="006A6B3D">
        <w:rPr>
          <w:rFonts w:cs="Tahoma"/>
          <w:bCs/>
          <w:color w:val="000000"/>
        </w:rPr>
        <w:t xml:space="preserve">, </w:t>
      </w:r>
      <w:r w:rsidRPr="006C5C2E">
        <w:rPr>
          <w:rFonts w:cs="Tahoma"/>
          <w:bCs/>
          <w:color w:val="000000"/>
        </w:rPr>
        <w:t>a través del Sistema de Acceso a la In</w:t>
      </w:r>
      <w:r w:rsidR="00066A9E">
        <w:rPr>
          <w:rFonts w:cs="Tahoma"/>
          <w:bCs/>
          <w:color w:val="000000"/>
        </w:rPr>
        <w:t>formación Mexiquense (SAIMEX), a entregar la información solicitada.</w:t>
      </w:r>
    </w:p>
    <w:p w14:paraId="3F6BED89" w14:textId="77777777" w:rsidR="005A6F65" w:rsidRDefault="005A6F65" w:rsidP="006E64F0">
      <w:pPr>
        <w:spacing w:line="360" w:lineRule="auto"/>
        <w:contextualSpacing/>
        <w:rPr>
          <w:rFonts w:cs="Tahoma"/>
          <w:bCs/>
          <w:color w:val="000000"/>
        </w:rPr>
      </w:pPr>
    </w:p>
    <w:p w14:paraId="2A848A0C" w14:textId="3B5D5802" w:rsidR="005A6F65" w:rsidRDefault="005A6F65" w:rsidP="006E64F0">
      <w:pPr>
        <w:spacing w:line="360" w:lineRule="auto"/>
        <w:contextualSpacing/>
        <w:rPr>
          <w:rFonts w:cs="Tahoma"/>
          <w:bCs/>
          <w:color w:val="000000"/>
        </w:rPr>
      </w:pPr>
      <w:r w:rsidRPr="006C5C2E">
        <w:rPr>
          <w:rFonts w:cs="Tahoma"/>
          <w:lang w:val="es-ES"/>
        </w:rPr>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sidR="00B429D2">
        <w:rPr>
          <w:rFonts w:eastAsia="Calibri" w:cs="Tahoma"/>
        </w:rPr>
        <w:t>17151</w:t>
      </w:r>
      <w:r w:rsidR="00E1570C">
        <w:rPr>
          <w:rFonts w:eastAsia="Calibri" w:cs="Tahoma"/>
        </w:rPr>
        <w:t>/INFOEM/IP/RR/2022</w:t>
      </w:r>
      <w:r w:rsidRPr="006C5C2E">
        <w:rPr>
          <w:rFonts w:cs="Tahoma"/>
          <w:bCs/>
          <w:color w:val="000000"/>
        </w:rPr>
        <w:t xml:space="preserve">, se fijó en la falta de respuesta al requerimiento informativo. </w:t>
      </w:r>
    </w:p>
    <w:p w14:paraId="31790C35" w14:textId="77777777" w:rsidR="00E1570C" w:rsidRDefault="00E1570C" w:rsidP="006E64F0">
      <w:pPr>
        <w:spacing w:line="360" w:lineRule="auto"/>
        <w:contextualSpacing/>
        <w:rPr>
          <w:rFonts w:cs="Tahoma"/>
          <w:bCs/>
          <w:color w:val="000000"/>
        </w:rPr>
      </w:pPr>
    </w:p>
    <w:p w14:paraId="39B0A9B4" w14:textId="77777777" w:rsidR="005A6F65" w:rsidRPr="006C5C2E" w:rsidRDefault="005A6F65" w:rsidP="006E64F0">
      <w:pPr>
        <w:spacing w:line="360" w:lineRule="auto"/>
        <w:contextualSpacing/>
        <w:rPr>
          <w:rFonts w:cs="Tahoma"/>
          <w:lang w:val="es-ES"/>
        </w:rPr>
      </w:pPr>
      <w:r w:rsidRPr="006C5C2E">
        <w:rPr>
          <w:rFonts w:cs="Tahoma"/>
          <w:bCs/>
          <w:color w:val="000000"/>
        </w:rPr>
        <w:t>Así, ante la falta de contestación de dicha determinación, procede el presente Medio de Impugnación</w:t>
      </w:r>
      <w:r>
        <w:rPr>
          <w:rFonts w:cs="Tahoma"/>
          <w:bCs/>
          <w:color w:val="000000"/>
        </w:rPr>
        <w:t xml:space="preserve">; aunado que, </w:t>
      </w:r>
      <w:r w:rsidRPr="006C5C2E">
        <w:rPr>
          <w:rFonts w:cs="Tahoma"/>
          <w:lang w:val="es-ES"/>
        </w:rPr>
        <w:t>en el caso concreto, resulta aplicable el supuesto previsto en la fracción VII, de dicho artículo, dado que el Particular, se inconformó con la reiterada falta de respuesta por parte del Ente Recurrido.</w:t>
      </w:r>
    </w:p>
    <w:p w14:paraId="578F2576" w14:textId="77777777" w:rsidR="005A6F65" w:rsidRPr="002D0AC7" w:rsidRDefault="005A6F65" w:rsidP="006E64F0">
      <w:pPr>
        <w:spacing w:after="0" w:line="360" w:lineRule="auto"/>
        <w:contextualSpacing/>
        <w:rPr>
          <w:rFonts w:eastAsia="Times New Roman" w:cs="Tahoma"/>
          <w:bCs/>
          <w:color w:val="auto"/>
          <w:lang w:val="es-ES" w:eastAsia="es-ES"/>
        </w:rPr>
      </w:pPr>
    </w:p>
    <w:p w14:paraId="7B14536E" w14:textId="0D9B7EFF" w:rsidR="00EC77D9" w:rsidRDefault="00EC77D9" w:rsidP="006E64F0">
      <w:pPr>
        <w:spacing w:after="0" w:line="360" w:lineRule="auto"/>
        <w:contextualSpacing/>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6E64F0">
      <w:pPr>
        <w:spacing w:after="0" w:line="360" w:lineRule="auto"/>
        <w:contextualSpacing/>
        <w:rPr>
          <w:rFonts w:eastAsia="Times New Roman" w:cs="Tahoma"/>
          <w:bCs/>
          <w:color w:val="0D0D0D" w:themeColor="text1" w:themeTint="F2"/>
          <w:lang w:eastAsia="es-ES"/>
        </w:rPr>
      </w:pPr>
    </w:p>
    <w:p w14:paraId="63CB641D" w14:textId="77777777" w:rsidR="006607EA" w:rsidRDefault="00EC77D9" w:rsidP="006E64F0">
      <w:pPr>
        <w:spacing w:after="0" w:line="360" w:lineRule="auto"/>
        <w:contextualSpacing/>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6E64F0">
      <w:pPr>
        <w:spacing w:after="0" w:line="360" w:lineRule="auto"/>
        <w:contextualSpacing/>
        <w:rPr>
          <w:rFonts w:eastAsia="Times New Roman" w:cs="Tahoma"/>
          <w:bCs/>
          <w:color w:val="0D0D0D" w:themeColor="text1" w:themeTint="F2"/>
          <w:lang w:eastAsia="es-ES"/>
        </w:rPr>
      </w:pPr>
    </w:p>
    <w:p w14:paraId="0D0171D0" w14:textId="0CCC88C6" w:rsidR="00EC77D9" w:rsidRPr="002D0AC7" w:rsidRDefault="00EC77D9" w:rsidP="006E64F0">
      <w:pPr>
        <w:spacing w:after="0" w:line="360" w:lineRule="auto"/>
        <w:contextualSpacing/>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w:t>
      </w:r>
      <w:r w:rsidRPr="002D0AC7">
        <w:rPr>
          <w:rFonts w:eastAsia="Times New Roman" w:cs="Tahoma"/>
          <w:color w:val="auto"/>
          <w:lang w:eastAsia="es-ES"/>
        </w:rPr>
        <w:lastRenderedPageBreak/>
        <w:t>recurso, haya fallecido, sobreviniera alguna causal de improcedencia, que el Sujeto Obligado hubiese modificado o revocado el acto impugnado o bien, haya quedado sin materia.</w:t>
      </w:r>
    </w:p>
    <w:p w14:paraId="0B77DFE7" w14:textId="77777777" w:rsidR="00EC77D9" w:rsidRPr="002D0AC7" w:rsidRDefault="00EC77D9" w:rsidP="006E64F0">
      <w:pPr>
        <w:spacing w:after="0" w:line="360" w:lineRule="auto"/>
        <w:contextualSpacing/>
        <w:rPr>
          <w:rFonts w:eastAsia="Times New Roman" w:cs="Tahoma"/>
          <w:color w:val="auto"/>
          <w:lang w:eastAsia="es-ES"/>
        </w:rPr>
      </w:pPr>
    </w:p>
    <w:p w14:paraId="10D56242" w14:textId="28D9C3BF" w:rsidR="00EC77D9" w:rsidRDefault="00EC77D9" w:rsidP="006E64F0">
      <w:pPr>
        <w:spacing w:after="0" w:line="360" w:lineRule="auto"/>
        <w:contextualSpacing/>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6E64F0">
      <w:pPr>
        <w:spacing w:after="0" w:line="360" w:lineRule="auto"/>
        <w:contextualSpacing/>
        <w:rPr>
          <w:rFonts w:eastAsia="Times New Roman" w:cs="Tahoma"/>
          <w:bCs/>
          <w:color w:val="0D0D0D" w:themeColor="text1" w:themeTint="F2"/>
          <w:lang w:eastAsia="es-ES"/>
        </w:rPr>
      </w:pPr>
    </w:p>
    <w:p w14:paraId="2AEBE5D0" w14:textId="456248EC" w:rsidR="00A2050F" w:rsidRDefault="00EC77D9" w:rsidP="006E64F0">
      <w:pPr>
        <w:spacing w:after="0" w:line="360" w:lineRule="auto"/>
        <w:contextualSpacing/>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6E64F0">
      <w:pPr>
        <w:spacing w:after="0" w:line="360" w:lineRule="auto"/>
        <w:contextualSpacing/>
        <w:rPr>
          <w:rFonts w:eastAsia="Times New Roman" w:cs="Tahoma"/>
          <w:b/>
          <w:bCs/>
          <w:iCs/>
          <w:color w:val="auto"/>
          <w:lang w:val="es-ES" w:eastAsia="es-ES"/>
        </w:rPr>
      </w:pPr>
    </w:p>
    <w:p w14:paraId="7A5FFBBE" w14:textId="77777777" w:rsidR="00066A9E" w:rsidRPr="00066A9E" w:rsidRDefault="00066A9E" w:rsidP="00066A9E">
      <w:pPr>
        <w:tabs>
          <w:tab w:val="left" w:pos="4962"/>
        </w:tabs>
        <w:spacing w:after="0" w:line="360" w:lineRule="auto"/>
        <w:ind w:right="-28"/>
        <w:rPr>
          <w:rFonts w:eastAsia="Calibri" w:cs="Tahoma"/>
          <w:iCs/>
          <w:color w:val="auto"/>
          <w:sz w:val="20"/>
          <w:lang w:val="es-ES" w:eastAsia="es-ES_tradnl"/>
        </w:rPr>
      </w:pPr>
      <w:r w:rsidRPr="00066A9E">
        <w:rPr>
          <w:rFonts w:eastAsia="Calibri" w:cs="Tahoma"/>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Pr="00066A9E">
        <w:rPr>
          <w:rFonts w:eastAsia="Calibri" w:cs="Tahoma"/>
          <w:bCs/>
          <w:color w:val="auto"/>
        </w:rPr>
        <w:t xml:space="preserve">el Particular </w:t>
      </w:r>
      <w:r w:rsidRPr="00066A9E">
        <w:rPr>
          <w:rFonts w:eastAsia="Calibri" w:cs="Tahoma"/>
          <w:iCs/>
          <w:color w:val="auto"/>
          <w:lang w:val="es-ES" w:eastAsia="es-ES_tradnl"/>
        </w:rPr>
        <w:t>solicitó todas las requisiciones por concepto de asesorías, así como, las facturas de pago.</w:t>
      </w:r>
    </w:p>
    <w:p w14:paraId="4F49AA2C" w14:textId="77777777" w:rsidR="00066A9E" w:rsidRPr="00066A9E" w:rsidRDefault="00066A9E" w:rsidP="00066A9E">
      <w:pPr>
        <w:tabs>
          <w:tab w:val="left" w:pos="4962"/>
        </w:tabs>
        <w:spacing w:after="0" w:line="360" w:lineRule="auto"/>
        <w:ind w:right="-28"/>
        <w:rPr>
          <w:rFonts w:eastAsia="Calibri" w:cs="Tahoma"/>
          <w:iCs/>
          <w:color w:val="auto"/>
          <w:lang w:val="es-ES" w:eastAsia="es-ES_tradnl"/>
        </w:rPr>
      </w:pPr>
    </w:p>
    <w:p w14:paraId="58124774" w14:textId="77777777" w:rsidR="00066A9E" w:rsidRPr="00066A9E" w:rsidRDefault="00066A9E" w:rsidP="00066A9E">
      <w:pPr>
        <w:autoSpaceDE w:val="0"/>
        <w:autoSpaceDN w:val="0"/>
        <w:adjustRightInd w:val="0"/>
        <w:spacing w:after="0" w:line="360" w:lineRule="auto"/>
        <w:rPr>
          <w:rFonts w:eastAsia="Times New Roman" w:cs="Tahoma"/>
          <w:iCs/>
          <w:color w:val="auto"/>
          <w:lang w:val="es-ES" w:eastAsia="es-ES"/>
        </w:rPr>
      </w:pPr>
      <w:r w:rsidRPr="00066A9E">
        <w:rPr>
          <w:rFonts w:eastAsia="Calibri" w:cs="Tahoma"/>
          <w:iCs/>
          <w:color w:val="000000"/>
          <w:lang w:val="es-E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066A9E">
        <w:rPr>
          <w:rFonts w:eastAsia="Times New Roman" w:cs="Tahoma"/>
          <w:iCs/>
          <w:color w:val="auto"/>
          <w:lang w:val="es-ES" w:eastAsia="es-ES"/>
        </w:rPr>
        <w:t xml:space="preserve">Así las cosas, una vez admitido y notificado el Recurso de Revisión a las partes, el Sujeto Obligado precisó que la información se localizaba en el Portal de Información Pública de Oficio Mexiquense, en la liga </w:t>
      </w:r>
      <w:r w:rsidRPr="00066A9E">
        <w:rPr>
          <w:rFonts w:eastAsia="Times New Roman" w:cs="Tahoma"/>
          <w:bCs/>
          <w:color w:val="auto"/>
          <w:lang w:eastAsia="es-ES"/>
        </w:rPr>
        <w:t>https://www.ipomex.org.mx/ipo3/lgt/indice/ZINACANTEPEC/art_92_xxxv_a.web.</w:t>
      </w:r>
    </w:p>
    <w:p w14:paraId="2DD29B39" w14:textId="0399A26E" w:rsidR="00E1570C" w:rsidRDefault="00E1570C" w:rsidP="006E64F0">
      <w:pPr>
        <w:pStyle w:val="NormalWeb"/>
        <w:spacing w:after="0" w:line="360" w:lineRule="auto"/>
        <w:ind w:right="-28"/>
        <w:contextualSpacing/>
        <w:rPr>
          <w:rFonts w:ascii="Palatino Linotype" w:hAnsi="Palatino Linotype" w:cs="Tahoma"/>
          <w:bCs/>
          <w:iCs/>
          <w:sz w:val="22"/>
          <w:szCs w:val="22"/>
          <w:lang w:val="es-ES" w:eastAsia="es-ES"/>
        </w:rPr>
      </w:pPr>
    </w:p>
    <w:p w14:paraId="016408BE" w14:textId="691FC9A9" w:rsidR="00066A9E" w:rsidRPr="00066A9E" w:rsidRDefault="00E1570C" w:rsidP="00066A9E">
      <w:pPr>
        <w:tabs>
          <w:tab w:val="left" w:pos="4962"/>
        </w:tabs>
        <w:spacing w:line="360" w:lineRule="auto"/>
        <w:contextualSpacing/>
        <w:rPr>
          <w:rFonts w:cs="Tahoma"/>
          <w:bCs/>
          <w:color w:val="000000"/>
        </w:rPr>
      </w:pPr>
      <w:r w:rsidRPr="00D72D12">
        <w:rPr>
          <w:rFonts w:eastAsia="Calibri" w:cs="Tahoma"/>
          <w:iCs/>
          <w:lang w:val="es-ES"/>
        </w:rPr>
        <w:t xml:space="preserve">Mediante la Resolución del Recurso de Revisión </w:t>
      </w:r>
      <w:r w:rsidR="00B429D2">
        <w:rPr>
          <w:rFonts w:cs="Tahoma"/>
          <w:bCs/>
          <w:color w:val="000000"/>
        </w:rPr>
        <w:t>17151</w:t>
      </w:r>
      <w:r>
        <w:rPr>
          <w:rFonts w:cs="Tahoma"/>
          <w:bCs/>
          <w:color w:val="000000"/>
        </w:rPr>
        <w:t>/INFOEM/IP/RR/2022</w:t>
      </w:r>
      <w:r w:rsidRPr="00D72D12">
        <w:rPr>
          <w:rFonts w:cs="Tahoma"/>
          <w:bCs/>
          <w:color w:val="000000"/>
        </w:rPr>
        <w:t xml:space="preserve">, el Pleno de este Instituto, determinó como </w:t>
      </w:r>
      <w:r w:rsidRPr="00D72D12">
        <w:rPr>
          <w:rFonts w:cs="Tahoma"/>
          <w:b/>
          <w:color w:val="000000"/>
        </w:rPr>
        <w:t xml:space="preserve">FUNDADO </w:t>
      </w:r>
      <w:r w:rsidRPr="00D72D12">
        <w:rPr>
          <w:rFonts w:cs="Tahoma"/>
          <w:bCs/>
          <w:color w:val="000000"/>
        </w:rPr>
        <w:t xml:space="preserve">el agravio del Particular y </w:t>
      </w:r>
      <w:r>
        <w:rPr>
          <w:rFonts w:cs="Tahoma"/>
          <w:bCs/>
          <w:color w:val="000000"/>
        </w:rPr>
        <w:t xml:space="preserve">se </w:t>
      </w:r>
      <w:r w:rsidRPr="006C5C2E">
        <w:rPr>
          <w:rFonts w:cs="Tahoma"/>
          <w:bCs/>
          <w:color w:val="000000"/>
        </w:rPr>
        <w:t xml:space="preserve">determinó procedente </w:t>
      </w:r>
      <w:r w:rsidRPr="006C5C2E">
        <w:rPr>
          <w:rFonts w:cs="Tahoma"/>
          <w:b/>
          <w:bCs/>
          <w:color w:val="000000"/>
        </w:rPr>
        <w:t xml:space="preserve">ORDENAR </w:t>
      </w:r>
      <w:r w:rsidRPr="00D72D12">
        <w:rPr>
          <w:rFonts w:cs="Tahoma"/>
          <w:bCs/>
          <w:color w:val="000000"/>
        </w:rPr>
        <w:t xml:space="preserve">al </w:t>
      </w:r>
      <w:r>
        <w:rPr>
          <w:rFonts w:cs="Tahoma"/>
          <w:bCs/>
          <w:color w:val="000000"/>
        </w:rPr>
        <w:t>Ayuntamiento de Zinacantepec</w:t>
      </w:r>
      <w:r w:rsidRPr="00D72D12">
        <w:rPr>
          <w:rFonts w:cs="Tahoma"/>
          <w:bCs/>
          <w:color w:val="000000"/>
        </w:rPr>
        <w:t xml:space="preserve">, a efecto </w:t>
      </w:r>
      <w:r w:rsidR="00066A9E">
        <w:rPr>
          <w:rFonts w:cs="Tahoma"/>
          <w:bCs/>
          <w:color w:val="000000"/>
        </w:rPr>
        <w:t xml:space="preserve">de que entregara, </w:t>
      </w:r>
      <w:r w:rsidR="00066A9E" w:rsidRPr="00066A9E">
        <w:rPr>
          <w:rFonts w:cs="Tahoma"/>
          <w:bCs/>
          <w:color w:val="000000"/>
        </w:rPr>
        <w:t>respecto a los procedimientos de contratación de servicios de asesoría, realizados del siete de noviembre de dos mil veintiuno al siete de noviembre de dos mil veintidós</w:t>
      </w:r>
      <w:r w:rsidR="00066A9E">
        <w:rPr>
          <w:rFonts w:cs="Tahoma"/>
          <w:bCs/>
          <w:color w:val="000000"/>
        </w:rPr>
        <w:t>, la s</w:t>
      </w:r>
      <w:r w:rsidR="00066A9E" w:rsidRPr="00066A9E">
        <w:rPr>
          <w:rFonts w:cs="Tahoma"/>
          <w:bCs/>
          <w:color w:val="000000"/>
        </w:rPr>
        <w:t>olicitud de cont</w:t>
      </w:r>
      <w:r w:rsidR="00066A9E">
        <w:rPr>
          <w:rFonts w:cs="Tahoma"/>
          <w:bCs/>
          <w:color w:val="000000"/>
        </w:rPr>
        <w:t>ratación por el área requirente y las facturas de pago.</w:t>
      </w:r>
    </w:p>
    <w:p w14:paraId="42026A80" w14:textId="77777777" w:rsidR="00066A9E" w:rsidRDefault="00066A9E" w:rsidP="00066A9E">
      <w:pPr>
        <w:tabs>
          <w:tab w:val="left" w:pos="4962"/>
        </w:tabs>
        <w:spacing w:line="360" w:lineRule="auto"/>
        <w:contextualSpacing/>
        <w:rPr>
          <w:rFonts w:cs="Tahoma"/>
          <w:bCs/>
          <w:color w:val="000000"/>
        </w:rPr>
      </w:pPr>
    </w:p>
    <w:p w14:paraId="2EFADBBD" w14:textId="50706487" w:rsidR="00E1570C" w:rsidRPr="006C5C2E" w:rsidRDefault="00E1570C" w:rsidP="006E64F0">
      <w:pPr>
        <w:spacing w:line="360" w:lineRule="auto"/>
        <w:contextualSpacing/>
        <w:rPr>
          <w:rFonts w:cs="Tahoma"/>
          <w:bCs/>
          <w:color w:val="000000"/>
        </w:rPr>
      </w:pPr>
      <w:r w:rsidRPr="006C5C2E">
        <w:rPr>
          <w:rFonts w:cs="Tahoma"/>
          <w:bCs/>
          <w:color w:val="000000"/>
        </w:rPr>
        <w:lastRenderedPageBreak/>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w:t>
      </w:r>
      <w:r>
        <w:rPr>
          <w:rFonts w:cs="Tahoma"/>
          <w:bCs/>
          <w:color w:val="000000"/>
        </w:rPr>
        <w:t xml:space="preserve"> el Sujeto Obligado proporcionó el gafete del Titular de la Unidad de Transparencia de Zinacantepec</w:t>
      </w:r>
      <w:r w:rsidRPr="006C5C2E">
        <w:rPr>
          <w:rFonts w:cs="Tahoma"/>
          <w:bCs/>
          <w:color w:val="000000"/>
        </w:rPr>
        <w:t>.</w:t>
      </w:r>
    </w:p>
    <w:p w14:paraId="31C1B3D7" w14:textId="77777777" w:rsidR="00EC77D9" w:rsidRPr="002D0AC7" w:rsidRDefault="00EC77D9" w:rsidP="006E64F0">
      <w:pPr>
        <w:tabs>
          <w:tab w:val="left" w:pos="4962"/>
        </w:tabs>
        <w:spacing w:after="0" w:line="360" w:lineRule="auto"/>
        <w:contextualSpacing/>
        <w:rPr>
          <w:rFonts w:eastAsia="Calibri" w:cs="Tahoma"/>
          <w:iCs/>
          <w:lang w:val="es-ES"/>
        </w:rPr>
      </w:pPr>
    </w:p>
    <w:p w14:paraId="6F1CFCEB" w14:textId="335A1954" w:rsidR="00EC77D9" w:rsidRPr="002D0AC7" w:rsidRDefault="00EC77D9" w:rsidP="006E64F0">
      <w:pPr>
        <w:tabs>
          <w:tab w:val="left" w:pos="4962"/>
        </w:tabs>
        <w:spacing w:after="0" w:line="360" w:lineRule="auto"/>
        <w:contextualSpacing/>
        <w:rPr>
          <w:rFonts w:eastAsia="Calibri" w:cs="Tahoma"/>
          <w:bCs/>
        </w:rPr>
      </w:pPr>
      <w:r w:rsidRPr="002D0AC7">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00E1570C">
        <w:rPr>
          <w:rFonts w:eastAsia="Calibri" w:cs="Tahoma"/>
          <w:iCs/>
          <w:lang w:val="es-ES" w:eastAsia="es-ES_tradnl"/>
        </w:rPr>
        <w:t xml:space="preserve">, </w:t>
      </w:r>
      <w:r w:rsidRPr="002D0AC7">
        <w:rPr>
          <w:rFonts w:eastAsia="Calibri" w:cs="Tahoma"/>
          <w:iCs/>
          <w:lang w:eastAsia="es-ES_tradnl"/>
        </w:rPr>
        <w:t xml:space="preserve">el escrito </w:t>
      </w:r>
      <w:proofErr w:type="spellStart"/>
      <w:r w:rsidRPr="002D0AC7">
        <w:rPr>
          <w:rFonts w:eastAsia="Calibri" w:cs="Tahoma"/>
          <w:iCs/>
          <w:lang w:eastAsia="es-ES_tradnl"/>
        </w:rPr>
        <w:t>recursal</w:t>
      </w:r>
      <w:proofErr w:type="spellEnd"/>
      <w:r w:rsidR="00066A9E">
        <w:rPr>
          <w:rFonts w:eastAsia="Calibri" w:cs="Tahoma"/>
          <w:iCs/>
          <w:lang w:eastAsia="es-ES_tradnl"/>
        </w:rPr>
        <w:t>;</w:t>
      </w:r>
      <w:r w:rsidR="00E1570C">
        <w:rPr>
          <w:rFonts w:eastAsia="Calibri" w:cs="Tahoma"/>
          <w:iCs/>
          <w:lang w:eastAsia="es-ES_tradnl"/>
        </w:rPr>
        <w:t xml:space="preserve"> el Informe Justificado</w:t>
      </w:r>
      <w:r w:rsidR="00066A9E">
        <w:rPr>
          <w:rFonts w:eastAsia="Calibri" w:cs="Tahoma"/>
          <w:iCs/>
          <w:lang w:eastAsia="es-ES_tradnl"/>
        </w:rPr>
        <w:t>; la resolución del Recurso de Revisión y el Segundo Medio de Impugnación</w:t>
      </w:r>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6E64F0">
      <w:pPr>
        <w:spacing w:after="0" w:line="360" w:lineRule="auto"/>
        <w:contextualSpacing/>
        <w:rPr>
          <w:rFonts w:eastAsia="Calibri" w:cs="Tahoma"/>
          <w:color w:val="auto"/>
          <w:lang w:eastAsia="es-ES_tradnl"/>
        </w:rPr>
      </w:pPr>
    </w:p>
    <w:p w14:paraId="4AC719C6" w14:textId="77777777" w:rsidR="00EC77D9" w:rsidRPr="002D0AC7" w:rsidRDefault="00EC77D9" w:rsidP="006E64F0">
      <w:pPr>
        <w:spacing w:after="0" w:line="360" w:lineRule="auto"/>
        <w:contextualSpacing/>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6E64F0">
      <w:pPr>
        <w:autoSpaceDE w:val="0"/>
        <w:autoSpaceDN w:val="0"/>
        <w:adjustRightInd w:val="0"/>
        <w:spacing w:after="0" w:line="360" w:lineRule="auto"/>
        <w:contextualSpacing/>
        <w:rPr>
          <w:rFonts w:eastAsia="Times New Roman" w:cs="Tahoma"/>
          <w:bCs/>
          <w:iCs/>
          <w:color w:val="auto"/>
          <w:lang w:val="es-ES" w:eastAsia="es-ES"/>
        </w:rPr>
      </w:pPr>
    </w:p>
    <w:p w14:paraId="24646644" w14:textId="77777777" w:rsidR="00EC77D9" w:rsidRPr="002D0AC7"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6E64F0">
      <w:pPr>
        <w:spacing w:after="0" w:line="360" w:lineRule="auto"/>
        <w:contextualSpacing/>
        <w:rPr>
          <w:rFonts w:eastAsia="Times New Roman" w:cs="Tahoma"/>
          <w:bCs/>
          <w:iCs/>
          <w:color w:val="auto"/>
          <w:lang w:eastAsia="es-ES"/>
        </w:rPr>
      </w:pPr>
    </w:p>
    <w:p w14:paraId="27585E1D" w14:textId="6CD8436B" w:rsidR="00EC77D9" w:rsidRPr="002D0AC7"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6E64F0">
      <w:pPr>
        <w:spacing w:after="0" w:line="360" w:lineRule="auto"/>
        <w:contextualSpacing/>
        <w:rPr>
          <w:rFonts w:eastAsia="Times New Roman" w:cs="Tahoma"/>
          <w:bCs/>
          <w:iCs/>
          <w:color w:val="auto"/>
          <w:lang w:eastAsia="es-ES"/>
        </w:rPr>
      </w:pPr>
    </w:p>
    <w:p w14:paraId="3ECDEC3B" w14:textId="77777777" w:rsidR="00EC77D9" w:rsidRPr="002D0AC7"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6E64F0">
      <w:pPr>
        <w:spacing w:after="0" w:line="360" w:lineRule="auto"/>
        <w:contextualSpacing/>
        <w:rPr>
          <w:rFonts w:eastAsia="Times New Roman" w:cs="Tahoma"/>
          <w:bCs/>
          <w:iCs/>
          <w:color w:val="auto"/>
          <w:lang w:eastAsia="es-ES"/>
        </w:rPr>
      </w:pPr>
    </w:p>
    <w:p w14:paraId="16EC33CD" w14:textId="77777777" w:rsidR="00EC77D9" w:rsidRPr="002D0AC7"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6E64F0">
      <w:pPr>
        <w:spacing w:after="0" w:line="360" w:lineRule="auto"/>
        <w:contextualSpacing/>
        <w:rPr>
          <w:rFonts w:eastAsia="Times New Roman" w:cs="Tahoma"/>
          <w:bCs/>
          <w:iCs/>
          <w:color w:val="auto"/>
          <w:lang w:eastAsia="es-ES"/>
        </w:rPr>
      </w:pPr>
    </w:p>
    <w:p w14:paraId="5AAC1DAC" w14:textId="77777777" w:rsidR="00EC77D9" w:rsidRPr="002D0AC7"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6E64F0">
      <w:pPr>
        <w:spacing w:after="0" w:line="360" w:lineRule="auto"/>
        <w:contextualSpacing/>
        <w:rPr>
          <w:rFonts w:eastAsia="Times New Roman" w:cs="Tahoma"/>
          <w:bCs/>
          <w:iCs/>
          <w:color w:val="auto"/>
          <w:lang w:eastAsia="es-ES"/>
        </w:rPr>
      </w:pPr>
    </w:p>
    <w:p w14:paraId="1A199F11" w14:textId="77777777" w:rsidR="00EC77D9" w:rsidRPr="002D0AC7" w:rsidRDefault="00EC77D9" w:rsidP="006E64F0">
      <w:pPr>
        <w:widowControl w:val="0"/>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6E64F0">
      <w:pPr>
        <w:spacing w:after="0" w:line="360" w:lineRule="auto"/>
        <w:contextualSpacing/>
        <w:rPr>
          <w:rFonts w:eastAsia="Times New Roman" w:cs="Tahoma"/>
          <w:bCs/>
          <w:iCs/>
          <w:color w:val="auto"/>
          <w:lang w:eastAsia="es-ES"/>
        </w:rPr>
      </w:pPr>
    </w:p>
    <w:p w14:paraId="6B93EA99" w14:textId="2691E2CA" w:rsidR="00EC77D9" w:rsidRDefault="00EC77D9" w:rsidP="006E64F0">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Default="007F20F1" w:rsidP="006E64F0">
      <w:pPr>
        <w:spacing w:after="0" w:line="360" w:lineRule="auto"/>
        <w:contextualSpacing/>
        <w:rPr>
          <w:rFonts w:eastAsia="Times New Roman" w:cs="Tahoma"/>
          <w:bCs/>
          <w:iCs/>
          <w:color w:val="auto"/>
          <w:lang w:eastAsia="es-ES"/>
        </w:rPr>
      </w:pPr>
    </w:p>
    <w:p w14:paraId="44943211" w14:textId="77777777" w:rsidR="00066A9E" w:rsidRPr="00066A9E" w:rsidRDefault="00066A9E" w:rsidP="00066A9E">
      <w:pPr>
        <w:spacing w:after="0" w:line="360" w:lineRule="auto"/>
        <w:rPr>
          <w:rFonts w:eastAsia="Times New Roman" w:cs="Tahoma"/>
          <w:color w:val="auto"/>
          <w:lang w:eastAsia="es-ES"/>
        </w:rPr>
      </w:pPr>
      <w:r w:rsidRPr="00066A9E">
        <w:rPr>
          <w:rFonts w:eastAsia="Times New Roman" w:cs="Tahoma"/>
          <w:color w:val="auto"/>
          <w:lang w:eastAsia="es-ES"/>
        </w:rPr>
        <w:t>El artículo 92, fracción</w:t>
      </w:r>
      <w:r w:rsidRPr="00066A9E">
        <w:rPr>
          <w:rFonts w:eastAsia="Times New Roman" w:cs="Tahoma"/>
          <w:color w:val="auto"/>
          <w:lang w:val="x-none" w:eastAsia="es-ES"/>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417E2BF2" w14:textId="77777777" w:rsidR="00066A9E" w:rsidRPr="002D0AC7" w:rsidRDefault="00066A9E" w:rsidP="006E64F0">
      <w:pPr>
        <w:spacing w:after="0" w:line="360" w:lineRule="auto"/>
        <w:contextualSpacing/>
        <w:rPr>
          <w:rFonts w:eastAsia="Times New Roman" w:cs="Tahoma"/>
          <w:bCs/>
          <w:iCs/>
          <w:color w:val="auto"/>
          <w:lang w:eastAsia="es-ES"/>
        </w:rPr>
      </w:pPr>
    </w:p>
    <w:p w14:paraId="5F7D7557" w14:textId="3A701FEB" w:rsidR="00EC77D9" w:rsidRDefault="00EC77D9" w:rsidP="006E64F0">
      <w:pPr>
        <w:spacing w:after="0" w:line="360" w:lineRule="auto"/>
        <w:contextualSpacing/>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6E64F0">
      <w:pPr>
        <w:spacing w:after="0" w:line="360" w:lineRule="auto"/>
        <w:contextualSpacing/>
        <w:rPr>
          <w:rFonts w:eastAsia="Times New Roman" w:cs="Tahoma"/>
          <w:b/>
          <w:bCs/>
          <w:iCs/>
          <w:color w:val="auto"/>
          <w:lang w:val="es-ES" w:eastAsia="es-ES"/>
        </w:rPr>
      </w:pPr>
    </w:p>
    <w:p w14:paraId="589BBCC4" w14:textId="0D0389BA" w:rsidR="00E1570C" w:rsidRDefault="00E1570C" w:rsidP="006E64F0">
      <w:pPr>
        <w:spacing w:line="360" w:lineRule="auto"/>
        <w:contextualSpacing/>
        <w:rPr>
          <w:bCs/>
          <w:lang w:val="es-ES_tradnl"/>
        </w:rPr>
      </w:pPr>
      <w:r w:rsidRPr="00AE7B88">
        <w:rPr>
          <w:rFonts w:cs="Tahoma"/>
          <w:bCs/>
          <w:iCs/>
        </w:rPr>
        <w:t xml:space="preserve">Expuestas las posturas de las partes, se procede al análisis del agravio hecho valer por el ahora Recurrente, concerniente a la falta de respuesta del </w:t>
      </w:r>
      <w:r>
        <w:rPr>
          <w:rFonts w:eastAsia="Calibri" w:cs="Tahoma"/>
          <w:bCs/>
          <w:color w:val="000000"/>
        </w:rPr>
        <w:t>Ayuntamiento de Zinacantepec</w:t>
      </w:r>
      <w:r w:rsidRPr="00AE7B88">
        <w:rPr>
          <w:rFonts w:cs="Tahoma"/>
          <w:bCs/>
          <w:iCs/>
        </w:rPr>
        <w:t xml:space="preserve">, en cumplimiento a la Resolución del Recurso de Revisión </w:t>
      </w:r>
      <w:r w:rsidR="00B429D2">
        <w:rPr>
          <w:rFonts w:cs="Tahoma"/>
          <w:bCs/>
          <w:color w:val="000000"/>
        </w:rPr>
        <w:t>17151</w:t>
      </w:r>
      <w:r>
        <w:rPr>
          <w:rFonts w:cs="Tahoma"/>
          <w:bCs/>
          <w:color w:val="000000"/>
        </w:rPr>
        <w:t>/INFOEM/IP/RR/2022</w:t>
      </w:r>
      <w:r w:rsidRPr="00AE7B88">
        <w:rPr>
          <w:bCs/>
          <w:lang w:val="es-ES_tradnl"/>
        </w:rPr>
        <w:t xml:space="preserve">, la cual fue notificada a las partes, el </w:t>
      </w:r>
      <w:r w:rsidR="00CA6980">
        <w:rPr>
          <w:bCs/>
          <w:lang w:val="es-ES_tradnl"/>
        </w:rPr>
        <w:t>siete</w:t>
      </w:r>
      <w:r w:rsidR="00066A9E">
        <w:rPr>
          <w:bCs/>
          <w:lang w:val="es-ES_tradnl"/>
        </w:rPr>
        <w:t xml:space="preserve"> de febrero de dos mil veintitrés</w:t>
      </w:r>
      <w:r w:rsidRPr="00AE7B88">
        <w:rPr>
          <w:bCs/>
          <w:lang w:val="es-ES_tradnl"/>
        </w:rPr>
        <w:t>, en donde se le dio al Sujeto Obligado, diez días hábiles posteriores a la notificación, para dar cumplimiento a dicha determinación.</w:t>
      </w:r>
    </w:p>
    <w:p w14:paraId="73FA3440" w14:textId="60B36BCA" w:rsidR="00E1570C" w:rsidRDefault="00E1570C" w:rsidP="006E64F0">
      <w:pPr>
        <w:spacing w:line="360" w:lineRule="auto"/>
        <w:contextualSpacing/>
        <w:rPr>
          <w:bCs/>
          <w:lang w:val="es-ES_tradnl"/>
        </w:rPr>
      </w:pPr>
    </w:p>
    <w:p w14:paraId="64178353" w14:textId="4D417A26" w:rsidR="000E66DB" w:rsidRDefault="00E1570C" w:rsidP="006E64F0">
      <w:pPr>
        <w:spacing w:line="360" w:lineRule="auto"/>
        <w:contextualSpacing/>
        <w:rPr>
          <w:rFonts w:eastAsia="Batang" w:cs="Tahoma"/>
          <w:lang w:val="es-ES"/>
        </w:rPr>
      </w:pPr>
      <w:r w:rsidRPr="00AE7B88">
        <w:rPr>
          <w:rFonts w:eastAsia="Calibri" w:cs="Tahoma"/>
          <w:bCs/>
          <w:color w:val="000000"/>
        </w:rPr>
        <w:t xml:space="preserve">En ese orden de ideas, el plazo con el que contaba el Sujeto Obligado para emitir contestación a la solicitud y cumplimiento a la Resolución referida, </w:t>
      </w:r>
      <w:r w:rsidRPr="00AE7B88">
        <w:rPr>
          <w:rFonts w:eastAsia="Calibri" w:cs="Tahoma"/>
          <w:color w:val="000000"/>
        </w:rPr>
        <w:t xml:space="preserve">comenzó a correr el </w:t>
      </w:r>
      <w:r w:rsidR="00CA6980">
        <w:rPr>
          <w:rFonts w:eastAsia="Calibri" w:cs="Tahoma"/>
          <w:color w:val="000000"/>
        </w:rPr>
        <w:t>ocho</w:t>
      </w:r>
      <w:r w:rsidRPr="00AE7B88">
        <w:rPr>
          <w:rFonts w:eastAsia="Calibri" w:cs="Tahoma"/>
          <w:color w:val="000000"/>
        </w:rPr>
        <w:t xml:space="preserve"> y feneció el </w:t>
      </w:r>
      <w:r w:rsidR="00CA6980">
        <w:rPr>
          <w:rFonts w:eastAsia="Calibri" w:cs="Tahoma"/>
          <w:color w:val="000000"/>
        </w:rPr>
        <w:t>veintiuno, ambos de febrero de</w:t>
      </w:r>
      <w:r>
        <w:rPr>
          <w:rFonts w:eastAsia="Calibri" w:cs="Tahoma"/>
          <w:color w:val="000000"/>
        </w:rPr>
        <w:t xml:space="preserve"> dos mil veintitrés</w:t>
      </w:r>
      <w:r w:rsidRPr="00AE7B88">
        <w:rPr>
          <w:rFonts w:eastAsia="Calibri" w:cs="Tahoma"/>
          <w:color w:val="000000"/>
        </w:rPr>
        <w:t xml:space="preserve">, lo anterior, sin contar los días, </w:t>
      </w:r>
      <w:r w:rsidR="00CA6980">
        <w:rPr>
          <w:rFonts w:eastAsia="Calibri" w:cs="Tahoma"/>
          <w:color w:val="000000"/>
        </w:rPr>
        <w:t>once, doce, dieciocho y diecinueve de dicho mes y año</w:t>
      </w:r>
      <w:r w:rsidRPr="00AE7B88">
        <w:rPr>
          <w:rFonts w:eastAsia="Calibri" w:cs="Tahoma"/>
          <w:color w:val="000000"/>
        </w:rPr>
        <w:t xml:space="preserve">, al ser inhábiles, </w:t>
      </w:r>
      <w:r w:rsidRPr="00AE7B88">
        <w:rPr>
          <w:rFonts w:eastAsia="Batang" w:cs="Tahoma"/>
          <w:bCs/>
        </w:rPr>
        <w:t xml:space="preserve">de conformidad con el artículo 3°, fracción X, de la Ley de Transparencia y Acceso a la Información Pública del Estado de México y Municipios y el </w:t>
      </w:r>
      <w:r w:rsidRPr="00AE7B88">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CA6980">
        <w:rPr>
          <w:rFonts w:eastAsia="Batang" w:cs="Tahoma"/>
          <w:lang w:val="es-ES"/>
        </w:rPr>
        <w:t>veintitrés</w:t>
      </w:r>
      <w:r w:rsidRPr="00AE7B88">
        <w:rPr>
          <w:rFonts w:eastAsia="Batang" w:cs="Tahoma"/>
          <w:lang w:val="es-ES"/>
        </w:rPr>
        <w:t xml:space="preserve"> y enero dos mil </w:t>
      </w:r>
      <w:r w:rsidR="00CA6980">
        <w:rPr>
          <w:rFonts w:eastAsia="Batang" w:cs="Tahoma"/>
          <w:lang w:val="es-ES"/>
        </w:rPr>
        <w:t>veinticuatro</w:t>
      </w:r>
      <w:r w:rsidR="002D5863">
        <w:rPr>
          <w:rFonts w:eastAsia="Batang" w:cs="Tahoma"/>
          <w:lang w:val="es-ES"/>
        </w:rPr>
        <w:t>.</w:t>
      </w:r>
    </w:p>
    <w:p w14:paraId="1AE6B779" w14:textId="77777777" w:rsidR="00CA6980" w:rsidRPr="000E66DB" w:rsidRDefault="00CA6980" w:rsidP="006E64F0">
      <w:pPr>
        <w:spacing w:line="360" w:lineRule="auto"/>
        <w:contextualSpacing/>
        <w:rPr>
          <w:rFonts w:eastAsia="Calibri" w:cs="Tahoma"/>
          <w:color w:val="000000"/>
        </w:rPr>
      </w:pPr>
    </w:p>
    <w:p w14:paraId="3D28C3FF" w14:textId="5BF4C0E3" w:rsidR="00047686" w:rsidRDefault="000E66DB" w:rsidP="006E64F0">
      <w:pPr>
        <w:spacing w:line="360" w:lineRule="auto"/>
        <w:contextualSpacing/>
        <w:rPr>
          <w:rFonts w:cs="Tahoma"/>
          <w:lang w:val="es-ES"/>
        </w:rPr>
      </w:pPr>
      <w:r w:rsidRPr="00AE7B88">
        <w:rPr>
          <w:rFonts w:cs="Tahoma"/>
          <w:lang w:val="es-ES"/>
        </w:rPr>
        <w:t>Así, este Instituto verificó que, en efecto, no se registró respuesta a la solicitud y cumplimiento a la Resolución, en el Sistema de Acceso a la Información Mexiquense (SAIMEX), tal como se observa a continuación:</w:t>
      </w:r>
    </w:p>
    <w:p w14:paraId="591A2B1C" w14:textId="77777777" w:rsidR="00880A9E" w:rsidRDefault="00880A9E" w:rsidP="006E64F0">
      <w:pPr>
        <w:spacing w:line="360" w:lineRule="auto"/>
        <w:contextualSpacing/>
        <w:rPr>
          <w:rFonts w:cs="Tahoma"/>
          <w:lang w:val="es-ES"/>
        </w:rPr>
      </w:pPr>
    </w:p>
    <w:p w14:paraId="63F7E270" w14:textId="0E168206" w:rsidR="00CA6980" w:rsidRDefault="00CA6980" w:rsidP="00CA6980">
      <w:pPr>
        <w:spacing w:line="360" w:lineRule="auto"/>
        <w:contextualSpacing/>
        <w:jc w:val="center"/>
        <w:rPr>
          <w:rFonts w:cs="Tahoma"/>
          <w:lang w:val="es-ES"/>
        </w:rPr>
      </w:pPr>
      <w:r w:rsidRPr="00CA6980">
        <w:rPr>
          <w:rFonts w:cs="Tahoma"/>
          <w:noProof/>
          <w:lang w:eastAsia="es-MX"/>
        </w:rPr>
        <w:drawing>
          <wp:inline distT="0" distB="0" distL="0" distR="0" wp14:anchorId="1086D442" wp14:editId="6B918525">
            <wp:extent cx="2952750" cy="1466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73310"/>
                    <a:stretch/>
                  </pic:blipFill>
                  <pic:spPr bwMode="auto">
                    <a:xfrm>
                      <a:off x="0" y="0"/>
                      <a:ext cx="2953162" cy="1467055"/>
                    </a:xfrm>
                    <a:prstGeom prst="rect">
                      <a:avLst/>
                    </a:prstGeom>
                    <a:ln>
                      <a:noFill/>
                    </a:ln>
                    <a:extLst>
                      <a:ext uri="{53640926-AAD7-44D8-BBD7-CCE9431645EC}">
                        <a14:shadowObscured xmlns:a14="http://schemas.microsoft.com/office/drawing/2010/main"/>
                      </a:ext>
                    </a:extLst>
                  </pic:spPr>
                </pic:pic>
              </a:graphicData>
            </a:graphic>
          </wp:inline>
        </w:drawing>
      </w:r>
    </w:p>
    <w:p w14:paraId="03E714C3" w14:textId="6B323E1A" w:rsidR="00CA6980" w:rsidRPr="000E66DB" w:rsidRDefault="00CA6980" w:rsidP="00CA6980">
      <w:pPr>
        <w:spacing w:line="360" w:lineRule="auto"/>
        <w:contextualSpacing/>
        <w:jc w:val="center"/>
        <w:rPr>
          <w:rFonts w:cs="Tahoma"/>
          <w:lang w:val="es-ES"/>
        </w:rPr>
      </w:pPr>
      <w:r w:rsidRPr="00CA6980">
        <w:rPr>
          <w:rFonts w:cs="Tahoma"/>
          <w:noProof/>
          <w:lang w:eastAsia="es-MX"/>
        </w:rPr>
        <w:lastRenderedPageBreak/>
        <w:drawing>
          <wp:inline distT="0" distB="0" distL="0" distR="0" wp14:anchorId="01855C11" wp14:editId="17092799">
            <wp:extent cx="2952750" cy="4038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6516"/>
                    <a:stretch/>
                  </pic:blipFill>
                  <pic:spPr bwMode="auto">
                    <a:xfrm>
                      <a:off x="0" y="0"/>
                      <a:ext cx="2953162" cy="4039164"/>
                    </a:xfrm>
                    <a:prstGeom prst="rect">
                      <a:avLst/>
                    </a:prstGeom>
                    <a:ln>
                      <a:noFill/>
                    </a:ln>
                    <a:extLst>
                      <a:ext uri="{53640926-AAD7-44D8-BBD7-CCE9431645EC}">
                        <a14:shadowObscured xmlns:a14="http://schemas.microsoft.com/office/drawing/2010/main"/>
                      </a:ext>
                    </a:extLst>
                  </pic:spPr>
                </pic:pic>
              </a:graphicData>
            </a:graphic>
          </wp:inline>
        </w:drawing>
      </w:r>
    </w:p>
    <w:p w14:paraId="6D438A9D" w14:textId="77777777" w:rsidR="00BD5986" w:rsidRPr="000F5705" w:rsidRDefault="00BD5986" w:rsidP="006E64F0">
      <w:pPr>
        <w:spacing w:after="0" w:line="360" w:lineRule="auto"/>
        <w:contextualSpacing/>
        <w:jc w:val="center"/>
        <w:rPr>
          <w:rFonts w:eastAsia="Calibri" w:cs="Tahoma"/>
          <w:bCs/>
        </w:rPr>
      </w:pPr>
    </w:p>
    <w:p w14:paraId="4FD9C6E9" w14:textId="1F6CF76F" w:rsidR="00CA6980" w:rsidRDefault="000F5705" w:rsidP="006E64F0">
      <w:pPr>
        <w:spacing w:after="0" w:line="360" w:lineRule="auto"/>
        <w:contextualSpacing/>
        <w:rPr>
          <w:rFonts w:eastAsia="Calibri" w:cs="Tahoma"/>
          <w:bCs/>
        </w:rPr>
      </w:pPr>
      <w:r w:rsidRPr="000F5705">
        <w:rPr>
          <w:rFonts w:eastAsia="Calibri" w:cs="Tahoma"/>
          <w:bCs/>
        </w:rPr>
        <w:t xml:space="preserve">Así, se colige que, tal como lo precisó el Particular, </w:t>
      </w:r>
      <w:r w:rsidRPr="0097492D">
        <w:rPr>
          <w:rFonts w:eastAsia="Calibri" w:cs="Tahoma"/>
        </w:rPr>
        <w:t xml:space="preserve">el </w:t>
      </w:r>
      <w:r w:rsidR="000C006D">
        <w:rPr>
          <w:color w:val="000000"/>
        </w:rPr>
        <w:t>Ayuntamiento de Zinacantepec</w:t>
      </w:r>
      <w:r w:rsidRPr="0097492D">
        <w:rPr>
          <w:rFonts w:eastAsia="Calibri" w:cs="Tahoma"/>
        </w:rPr>
        <w:t xml:space="preserve">, no </w:t>
      </w:r>
      <w:r w:rsidR="00CA6980">
        <w:rPr>
          <w:rFonts w:eastAsia="Calibri" w:cs="Tahoma"/>
        </w:rPr>
        <w:t>proporcionó información alguna</w:t>
      </w:r>
      <w:r w:rsidRPr="0097492D">
        <w:rPr>
          <w:rFonts w:eastAsia="Calibri" w:cs="Tahoma"/>
        </w:rPr>
        <w:t>,</w:t>
      </w:r>
      <w:r w:rsidR="000E66DB">
        <w:rPr>
          <w:rFonts w:eastAsia="Calibri" w:cs="Tahoma"/>
        </w:rPr>
        <w:t xml:space="preserve"> </w:t>
      </w:r>
      <w:r w:rsidR="000E66DB" w:rsidRPr="00AE7B88">
        <w:rPr>
          <w:rFonts w:eastAsia="Calibri" w:cs="Tahoma"/>
          <w:bCs/>
          <w:color w:val="000000"/>
        </w:rPr>
        <w:t xml:space="preserve">ni cumplimiento a la Resolución del Recurso de Revisión </w:t>
      </w:r>
      <w:r w:rsidR="00B429D2">
        <w:rPr>
          <w:rFonts w:cs="Tahoma"/>
          <w:bCs/>
          <w:color w:val="000000"/>
        </w:rPr>
        <w:t>17151</w:t>
      </w:r>
      <w:r w:rsidR="000E66DB">
        <w:rPr>
          <w:rFonts w:cs="Tahoma"/>
          <w:bCs/>
          <w:color w:val="000000"/>
        </w:rPr>
        <w:t>/INFOEM/IP/RR/2022</w:t>
      </w:r>
      <w:r w:rsidR="00A419C8">
        <w:rPr>
          <w:rFonts w:cs="Tahoma"/>
          <w:bCs/>
          <w:color w:val="000000"/>
        </w:rPr>
        <w:t>,</w:t>
      </w:r>
      <w:r w:rsidRPr="0097492D">
        <w:rPr>
          <w:rFonts w:eastAsia="Calibri" w:cs="Tahoma"/>
        </w:rPr>
        <w:t xml:space="preserve"> dentro del</w:t>
      </w:r>
      <w:r w:rsidR="000E66DB">
        <w:rPr>
          <w:rFonts w:eastAsia="Calibri" w:cs="Tahoma"/>
        </w:rPr>
        <w:t xml:space="preserve"> </w:t>
      </w:r>
      <w:r w:rsidRPr="0097492D">
        <w:rPr>
          <w:rFonts w:eastAsia="Calibri" w:cs="Tahoma"/>
        </w:rPr>
        <w:t xml:space="preserve">plazo </w:t>
      </w:r>
      <w:r w:rsidR="000E66DB">
        <w:rPr>
          <w:rFonts w:eastAsia="Calibri" w:cs="Tahoma"/>
        </w:rPr>
        <w:t>determinado</w:t>
      </w:r>
      <w:r w:rsidRPr="0097492D">
        <w:rPr>
          <w:rFonts w:eastAsia="Calibri" w:cs="Tahoma"/>
        </w:rPr>
        <w:t xml:space="preserve">, pues tenía hasta el </w:t>
      </w:r>
      <w:r w:rsidR="00CA6980">
        <w:rPr>
          <w:rFonts w:eastAsia="Calibri" w:cs="Tahoma"/>
        </w:rPr>
        <w:t>veintiuno de febrero</w:t>
      </w:r>
      <w:r w:rsidR="000E66DB">
        <w:rPr>
          <w:rFonts w:eastAsia="Calibri" w:cs="Tahoma"/>
        </w:rPr>
        <w:t xml:space="preserve"> </w:t>
      </w:r>
      <w:r w:rsidRPr="0097492D">
        <w:rPr>
          <w:rFonts w:eastAsia="Calibri" w:cs="Tahoma"/>
        </w:rPr>
        <w:t>de dos mil veinti</w:t>
      </w:r>
      <w:r w:rsidR="000E66DB">
        <w:rPr>
          <w:rFonts w:eastAsia="Calibri" w:cs="Tahoma"/>
        </w:rPr>
        <w:t>trés</w:t>
      </w:r>
      <w:r w:rsidRPr="0097492D">
        <w:rPr>
          <w:rFonts w:eastAsia="Calibri" w:cs="Tahoma"/>
        </w:rPr>
        <w:t>, para realizar dicha situación por lo que</w:t>
      </w:r>
      <w:r w:rsidR="000E66DB">
        <w:rPr>
          <w:rFonts w:eastAsia="Calibri" w:cs="Tahoma"/>
        </w:rPr>
        <w:t xml:space="preserve"> es</w:t>
      </w:r>
      <w:r w:rsidRPr="0097492D">
        <w:rPr>
          <w:rFonts w:eastAsia="Calibri" w:cs="Tahoma"/>
        </w:rPr>
        <w:t xml:space="preserve"> evidente que el agravio </w:t>
      </w:r>
      <w:r w:rsidR="000E66DB">
        <w:rPr>
          <w:rFonts w:eastAsia="Calibri" w:cs="Tahoma"/>
        </w:rPr>
        <w:t>es</w:t>
      </w:r>
      <w:r w:rsidRPr="0097492D">
        <w:rPr>
          <w:rFonts w:eastAsia="Calibri" w:cs="Tahoma"/>
        </w:rPr>
        <w:t xml:space="preserve"> </w:t>
      </w:r>
      <w:r w:rsidRPr="0097492D">
        <w:rPr>
          <w:rFonts w:eastAsia="Calibri" w:cs="Tahoma"/>
          <w:b/>
          <w:bCs/>
        </w:rPr>
        <w:t>FUNDADO.</w:t>
      </w:r>
      <w:r w:rsidR="009174F4">
        <w:rPr>
          <w:rFonts w:eastAsia="Calibri" w:cs="Tahoma"/>
          <w:b/>
          <w:bCs/>
        </w:rPr>
        <w:t xml:space="preserve"> </w:t>
      </w:r>
      <w:r w:rsidR="00CA6980" w:rsidRPr="00A63D01">
        <w:rPr>
          <w:rFonts w:eastAsia="Calibri" w:cs="Tahoma"/>
          <w:bCs/>
        </w:rPr>
        <w:t xml:space="preserve">Con base en lo expuesto, es procedente </w:t>
      </w:r>
      <w:r w:rsidR="00CA6980" w:rsidRPr="00A63D01">
        <w:rPr>
          <w:rFonts w:eastAsia="Calibri" w:cs="Tahoma"/>
          <w:b/>
          <w:bCs/>
        </w:rPr>
        <w:t>ORDENAR</w:t>
      </w:r>
      <w:r w:rsidR="00CA6980" w:rsidRPr="00A63D01">
        <w:rPr>
          <w:rFonts w:eastAsia="Calibri" w:cs="Tahoma"/>
          <w:bCs/>
        </w:rPr>
        <w:t xml:space="preserve"> al Sujeto Obligado</w:t>
      </w:r>
      <w:r w:rsidR="00CA6980">
        <w:rPr>
          <w:rFonts w:eastAsia="Calibri" w:cs="Tahoma"/>
          <w:bCs/>
        </w:rPr>
        <w:t xml:space="preserve"> a entregar la información requerida</w:t>
      </w:r>
      <w:r w:rsidR="00CA6980" w:rsidRPr="00A63D01">
        <w:rPr>
          <w:rFonts w:eastAsia="Calibri" w:cs="Tahoma"/>
          <w:bCs/>
        </w:rPr>
        <w:t xml:space="preserve">; no obstante, para tal circunstancia es necesario </w:t>
      </w:r>
      <w:r w:rsidR="009174F4">
        <w:rPr>
          <w:rFonts w:eastAsia="Calibri" w:cs="Tahoma"/>
          <w:bCs/>
        </w:rPr>
        <w:t>analizar la naturaleza de la documentación peticionada.</w:t>
      </w:r>
    </w:p>
    <w:p w14:paraId="4AAC6697" w14:textId="77777777" w:rsidR="009174F4" w:rsidRDefault="009174F4" w:rsidP="006E64F0">
      <w:pPr>
        <w:spacing w:after="0" w:line="360" w:lineRule="auto"/>
        <w:contextualSpacing/>
        <w:rPr>
          <w:rFonts w:eastAsia="Calibri" w:cs="Tahoma"/>
          <w:bCs/>
        </w:rPr>
      </w:pPr>
    </w:p>
    <w:p w14:paraId="303D4553" w14:textId="2DD86D25" w:rsidR="009174F4" w:rsidRPr="009174F4" w:rsidRDefault="002C09CF" w:rsidP="009174F4">
      <w:pPr>
        <w:spacing w:after="0" w:line="360" w:lineRule="auto"/>
        <w:rPr>
          <w:rFonts w:eastAsia="Times New Roman" w:cs="Tahoma"/>
          <w:color w:val="0D0D0D" w:themeColor="text1" w:themeTint="F2"/>
          <w:lang w:val="es-ES" w:eastAsia="es-ES"/>
        </w:rPr>
      </w:pPr>
      <w:r>
        <w:rPr>
          <w:rFonts w:eastAsia="Times New Roman" w:cs="Tahoma"/>
          <w:color w:val="0D0D0D" w:themeColor="text1" w:themeTint="F2"/>
          <w:lang w:val="es-ES" w:eastAsia="es-ES"/>
        </w:rPr>
        <w:t>S</w:t>
      </w:r>
      <w:r w:rsidR="009174F4" w:rsidRPr="009174F4">
        <w:rPr>
          <w:rFonts w:eastAsia="Times New Roman" w:cs="Tahoma"/>
          <w:color w:val="0D0D0D" w:themeColor="text1" w:themeTint="F2"/>
          <w:lang w:val="es-ES" w:eastAsia="es-ES"/>
        </w:rPr>
        <w:t>obre</w:t>
      </w:r>
      <w:r w:rsidR="009174F4" w:rsidRPr="009174F4">
        <w:t xml:space="preserve"> el tema, López Olvera, Miguel Alejandro </w:t>
      </w:r>
      <w:proofErr w:type="spellStart"/>
      <w:r w:rsidR="009174F4" w:rsidRPr="009174F4">
        <w:t>Cancino</w:t>
      </w:r>
      <w:proofErr w:type="spellEnd"/>
      <w:r w:rsidR="009174F4" w:rsidRPr="009174F4">
        <w:t xml:space="preserve"> Gómez, Rodolfo. (2020). “La Contratación Pública y el Sistema Nacional Anticorrupción”. (p. 4) la </w:t>
      </w:r>
      <w:r w:rsidR="009174F4" w:rsidRPr="009174F4">
        <w:rPr>
          <w:b/>
        </w:rPr>
        <w:t>contratación pública</w:t>
      </w:r>
      <w:r w:rsidR="009174F4" w:rsidRPr="009174F4">
        <w:t xml:space="preserve">, es el procedimiento de carácter administrativo, por medio del cual, un ente público selecciona y posteriormente, celebra un acuerdo de voluntades, con una persona física o </w:t>
      </w:r>
      <w:r w:rsidR="009174F4" w:rsidRPr="009174F4">
        <w:lastRenderedPageBreak/>
        <w:t>jurídica colectiva, para que ésta, preste algún servicio público o lleve a cabo la ejecución de una obra pública, con recursos públicos del Estado y en beneficio de la colectividad.</w:t>
      </w:r>
    </w:p>
    <w:p w14:paraId="39993D8C" w14:textId="77777777" w:rsidR="009174F4" w:rsidRPr="009174F4" w:rsidRDefault="009174F4" w:rsidP="009174F4">
      <w:pPr>
        <w:spacing w:after="0" w:line="360" w:lineRule="auto"/>
      </w:pPr>
    </w:p>
    <w:p w14:paraId="46DAE6C5" w14:textId="77777777" w:rsidR="009174F4" w:rsidRPr="009174F4" w:rsidRDefault="009174F4" w:rsidP="009174F4">
      <w:pPr>
        <w:spacing w:after="0" w:line="360" w:lineRule="auto"/>
      </w:pPr>
      <w:r w:rsidRPr="009174F4">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56D3F546" w14:textId="77777777" w:rsidR="009174F4" w:rsidRPr="009174F4" w:rsidRDefault="009174F4" w:rsidP="009174F4">
      <w:pPr>
        <w:spacing w:after="0" w:line="360" w:lineRule="auto"/>
      </w:pPr>
    </w:p>
    <w:p w14:paraId="1C7552E0" w14:textId="77777777" w:rsidR="009174F4" w:rsidRPr="009174F4" w:rsidRDefault="009174F4" w:rsidP="009174F4">
      <w:pPr>
        <w:spacing w:after="0" w:line="360" w:lineRule="auto"/>
      </w:pPr>
      <w:r w:rsidRPr="009174F4">
        <w:rPr>
          <w:rFonts w:eastAsia="Calibri" w:cs="Tahoma"/>
        </w:rPr>
        <w:t xml:space="preserve">En ese contexto, conforme a los artículos 26 y 27 de dicho ordenamiento jurídico, las adquisiciones, arrendamientos y servicios, se adjudicarán a través de procedimientos de </w:t>
      </w:r>
      <w:r w:rsidRPr="009174F4">
        <w:rPr>
          <w:rFonts w:eastAsia="Calibri" w:cs="Tahoma"/>
          <w:b/>
          <w:bCs/>
        </w:rPr>
        <w:t xml:space="preserve">licitación pública, invitación restringida y adjudicación directa. </w:t>
      </w:r>
      <w:r w:rsidRPr="009174F4">
        <w:t>Además, los artículos 14, 15 y 16 de la Ley de la de Contratación Pública del Estado de México y Municipios, establecen que las unidades administrativas deben generar las solicitudes de adquisición de bienes o contratación de servicios, los cuales deben de incluir diversos documentos, entre los cuales se encuentra aquel que avale la suficiencia presupuestal.</w:t>
      </w:r>
    </w:p>
    <w:p w14:paraId="5BF92A0C" w14:textId="77777777" w:rsidR="009174F4" w:rsidRPr="009174F4" w:rsidRDefault="009174F4" w:rsidP="009174F4">
      <w:pPr>
        <w:spacing w:after="0" w:line="360" w:lineRule="auto"/>
      </w:pPr>
    </w:p>
    <w:p w14:paraId="00CF03ED" w14:textId="77777777"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color w:val="0D0D0D" w:themeColor="text1" w:themeTint="F2"/>
          <w:lang w:eastAsia="es-ES"/>
        </w:rPr>
        <w:t xml:space="preserve">En ese contexto, al tratarse de contratación de servicios por parte de un Ente Público, conviene traer al estudio lo previsto en </w:t>
      </w:r>
      <w:r w:rsidRPr="009174F4">
        <w:rPr>
          <w:rFonts w:eastAsia="Times New Roman" w:cs="Tahoma"/>
          <w:iCs/>
          <w:color w:val="0D0D0D" w:themeColor="text1" w:themeTint="F2"/>
          <w:lang w:val="es-ES" w:eastAsia="es-ES"/>
        </w:rPr>
        <w:t xml:space="preserve">el artículo 4°, fracción XVIII, de la Ley General de Contabilidad Gubernamental, establece que la información financiera consiste en información presupuestaria y contable que se expresa en unidades monetarias las </w:t>
      </w:r>
      <w:r w:rsidRPr="009174F4">
        <w:rPr>
          <w:rFonts w:eastAsia="Times New Roman" w:cs="Tahoma"/>
          <w:b/>
          <w:bCs/>
          <w:iCs/>
          <w:color w:val="0D0D0D" w:themeColor="text1" w:themeTint="F2"/>
          <w:lang w:val="es-ES" w:eastAsia="es-ES"/>
        </w:rPr>
        <w:t>transacciones que realiza un ente público y los eventos económicos identificables y cuantificable</w:t>
      </w:r>
      <w:r w:rsidRPr="009174F4">
        <w:rPr>
          <w:rFonts w:eastAsia="Times New Roman" w:cs="Tahoma"/>
          <w:iCs/>
          <w:color w:val="0D0D0D" w:themeColor="text1" w:themeTint="F2"/>
          <w:lang w:val="es-ES" w:eastAsia="es-ES"/>
        </w:rPr>
        <w:t xml:space="preserve"> la cual puede representarse por reportes, informes, estados y notas que expresan su situación financiera, los resultados de su operación y los cambios en su patrimonio. </w:t>
      </w:r>
    </w:p>
    <w:p w14:paraId="20D64E5A" w14:textId="77777777" w:rsidR="009174F4" w:rsidRDefault="009174F4" w:rsidP="009174F4">
      <w:pPr>
        <w:spacing w:after="0" w:line="360" w:lineRule="auto"/>
        <w:rPr>
          <w:rFonts w:eastAsia="Times New Roman" w:cs="Tahoma"/>
          <w:iCs/>
          <w:color w:val="0D0D0D" w:themeColor="text1" w:themeTint="F2"/>
          <w:lang w:val="es-ES" w:eastAsia="es-ES"/>
        </w:rPr>
      </w:pPr>
    </w:p>
    <w:p w14:paraId="78FF4357" w14:textId="77777777" w:rsidR="004F01AC" w:rsidRDefault="004F01AC" w:rsidP="009174F4">
      <w:pPr>
        <w:spacing w:after="0" w:line="360" w:lineRule="auto"/>
        <w:rPr>
          <w:rFonts w:eastAsia="Times New Roman" w:cs="Tahoma"/>
          <w:iCs/>
          <w:color w:val="0D0D0D" w:themeColor="text1" w:themeTint="F2"/>
          <w:lang w:val="es-ES" w:eastAsia="es-ES"/>
        </w:rPr>
      </w:pPr>
    </w:p>
    <w:p w14:paraId="73C75664" w14:textId="77777777" w:rsidR="004F01AC" w:rsidRPr="009174F4" w:rsidRDefault="004F01AC" w:rsidP="009174F4">
      <w:pPr>
        <w:spacing w:after="0" w:line="360" w:lineRule="auto"/>
        <w:rPr>
          <w:rFonts w:eastAsia="Times New Roman" w:cs="Tahoma"/>
          <w:iCs/>
          <w:color w:val="0D0D0D" w:themeColor="text1" w:themeTint="F2"/>
          <w:lang w:val="es-ES" w:eastAsia="es-ES"/>
        </w:rPr>
      </w:pPr>
    </w:p>
    <w:p w14:paraId="58888F76" w14:textId="52E2DEA1" w:rsidR="009174F4" w:rsidRPr="009174F4" w:rsidRDefault="009174F4" w:rsidP="009174F4">
      <w:pPr>
        <w:spacing w:after="0" w:line="360" w:lineRule="auto"/>
        <w:rPr>
          <w:rFonts w:eastAsia="Times New Roman" w:cs="Tahoma"/>
          <w:iCs/>
          <w:color w:val="0D0D0D" w:themeColor="text1" w:themeTint="F2"/>
          <w:lang w:val="es-ES" w:eastAsia="es-ES"/>
        </w:rPr>
      </w:pPr>
      <w:r w:rsidRPr="009174F4">
        <w:rPr>
          <w:rFonts w:eastAsia="Times New Roman" w:cs="Tahoma"/>
          <w:iCs/>
          <w:color w:val="0D0D0D" w:themeColor="text1" w:themeTint="F2"/>
          <w:lang w:val="es-ES" w:eastAsia="es-ES"/>
        </w:rPr>
        <w:t xml:space="preserve">En esa misma tesitura, los artículos 16, 18, 19, fracción V, y 34 de la Ley General en comento, </w:t>
      </w:r>
      <w:r w:rsidR="002C09CF" w:rsidRPr="009174F4">
        <w:rPr>
          <w:rFonts w:eastAsia="Times New Roman" w:cs="Tahoma"/>
          <w:iCs/>
          <w:color w:val="0D0D0D" w:themeColor="text1" w:themeTint="F2"/>
          <w:lang w:val="es-ES" w:eastAsia="es-ES"/>
        </w:rPr>
        <w:t>estable</w:t>
      </w:r>
      <w:r w:rsidR="002C09CF">
        <w:rPr>
          <w:rFonts w:eastAsia="Times New Roman" w:cs="Tahoma"/>
          <w:iCs/>
          <w:color w:val="0D0D0D" w:themeColor="text1" w:themeTint="F2"/>
          <w:lang w:val="es-ES" w:eastAsia="es-ES"/>
        </w:rPr>
        <w:t>cen</w:t>
      </w:r>
      <w:r w:rsidRPr="009174F4">
        <w:rPr>
          <w:rFonts w:eastAsia="Times New Roman" w:cs="Tahoma"/>
          <w:iCs/>
          <w:color w:val="0D0D0D" w:themeColor="text1" w:themeTint="F2"/>
          <w:lang w:val="es-ES" w:eastAsia="es-ES"/>
        </w:rPr>
        <w:t xml:space="preserve"> que los entes públicos deben contar con un sistema de contabilidad gubernamental en el cual se registrarán </w:t>
      </w:r>
      <w:r w:rsidRPr="009174F4">
        <w:rPr>
          <w:rFonts w:eastAsia="Times New Roman" w:cs="Tahoma"/>
          <w:iCs/>
          <w:color w:val="0D0D0D" w:themeColor="text1" w:themeTint="F2"/>
          <w:lang w:eastAsia="es-ES"/>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09F49320" w14:textId="77777777" w:rsidR="009174F4" w:rsidRPr="009174F4" w:rsidRDefault="009174F4" w:rsidP="009174F4">
      <w:pPr>
        <w:spacing w:after="0" w:line="360" w:lineRule="auto"/>
        <w:rPr>
          <w:rFonts w:eastAsia="Times New Roman" w:cs="Tahoma"/>
          <w:iCs/>
          <w:color w:val="0D0D0D" w:themeColor="text1" w:themeTint="F2"/>
          <w:lang w:val="es-ES" w:eastAsia="es-ES"/>
        </w:rPr>
      </w:pPr>
    </w:p>
    <w:p w14:paraId="06BCE7FA" w14:textId="77777777" w:rsidR="009174F4" w:rsidRPr="009174F4" w:rsidRDefault="009174F4" w:rsidP="009174F4">
      <w:pPr>
        <w:spacing w:after="0" w:line="360" w:lineRule="auto"/>
        <w:rPr>
          <w:rFonts w:eastAsia="Times New Roman" w:cs="Tahoma"/>
          <w:color w:val="0D0D0D" w:themeColor="text1" w:themeTint="F2"/>
          <w:lang w:val="es-ES" w:eastAsia="es-ES"/>
        </w:rPr>
      </w:pPr>
      <w:r w:rsidRPr="009174F4">
        <w:rPr>
          <w:rFonts w:eastAsia="Times New Roman" w:cs="Tahoma"/>
          <w:iCs/>
          <w:color w:val="0D0D0D" w:themeColor="text1" w:themeTint="F2"/>
          <w:lang w:val="es-ES" w:eastAsia="es-ES"/>
        </w:rPr>
        <w:t xml:space="preserve">A manera de ejemplo, se trae el estudio la </w:t>
      </w:r>
      <w:r w:rsidRPr="009174F4">
        <w:rPr>
          <w:rFonts w:eastAsia="Times New Roman" w:cs="Tahoma"/>
          <w:iCs/>
          <w:color w:val="0D0D0D" w:themeColor="text1" w:themeTint="F2"/>
          <w:lang w:eastAsia="es-ES"/>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181C21E3" w14:textId="77777777" w:rsidR="009174F4" w:rsidRPr="009174F4" w:rsidRDefault="009174F4" w:rsidP="009174F4">
      <w:pPr>
        <w:spacing w:after="0" w:line="360" w:lineRule="auto"/>
        <w:rPr>
          <w:rFonts w:eastAsia="Times New Roman" w:cs="Tahoma"/>
          <w:color w:val="0D0D0D" w:themeColor="text1" w:themeTint="F2"/>
          <w:lang w:val="es-ES" w:eastAsia="es-ES"/>
        </w:rPr>
      </w:pPr>
    </w:p>
    <w:p w14:paraId="0A4CC08F" w14:textId="77777777" w:rsidR="009174F4" w:rsidRPr="009174F4" w:rsidRDefault="009174F4" w:rsidP="009174F4">
      <w:pPr>
        <w:spacing w:after="0" w:line="360" w:lineRule="auto"/>
        <w:rPr>
          <w:rFonts w:eastAsia="Times New Roman" w:cs="Tahoma"/>
          <w:color w:val="0D0D0D" w:themeColor="text1" w:themeTint="F2"/>
          <w:lang w:val="es-ES" w:eastAsia="es-ES"/>
        </w:rPr>
      </w:pPr>
      <w:r w:rsidRPr="009174F4">
        <w:rPr>
          <w:rFonts w:eastAsia="Times New Roman" w:cs="Tahoma"/>
          <w:color w:val="0D0D0D" w:themeColor="text1" w:themeTint="F2"/>
          <w:lang w:val="es-ES" w:eastAsia="es-ES"/>
        </w:rPr>
        <w:t xml:space="preserve">De este modo, de acuerdo a la naturaleza de información solicitada, </w:t>
      </w:r>
      <w:r w:rsidRPr="009174F4">
        <w:rPr>
          <w:rFonts w:eastAsia="Times New Roman" w:cs="Tahoma"/>
          <w:color w:val="0D0D0D" w:themeColor="text1" w:themeTint="F2"/>
          <w:lang w:eastAsia="es-E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9174F4">
        <w:rPr>
          <w:rFonts w:eastAsia="Times New Roman" w:cs="Tahoma"/>
          <w:b/>
          <w:bCs/>
          <w:color w:val="0D0D0D" w:themeColor="text1" w:themeTint="F2"/>
          <w:lang w:eastAsia="es-ES"/>
        </w:rPr>
        <w:t>transacción comercial</w:t>
      </w:r>
      <w:r w:rsidRPr="009174F4">
        <w:rPr>
          <w:rFonts w:eastAsia="Times New Roman" w:cs="Tahoma"/>
          <w:color w:val="0D0D0D" w:themeColor="text1" w:themeTint="F2"/>
          <w:lang w:eastAsia="es-ES"/>
        </w:rPr>
        <w:t>, entre un comprador y un vendedor, mediante el cual, el primero queda obligado a realizar un pago, mientras que el segundo, a entregar o brindar un producto o servicio.</w:t>
      </w:r>
    </w:p>
    <w:p w14:paraId="3D83DF2D" w14:textId="77777777" w:rsidR="009174F4" w:rsidRPr="009174F4" w:rsidRDefault="009174F4" w:rsidP="009174F4">
      <w:pPr>
        <w:spacing w:after="0" w:line="360" w:lineRule="auto"/>
        <w:rPr>
          <w:rFonts w:eastAsia="Times New Roman" w:cs="Tahoma"/>
          <w:color w:val="0D0D0D" w:themeColor="text1" w:themeTint="F2"/>
          <w:lang w:eastAsia="es-ES"/>
        </w:rPr>
      </w:pPr>
    </w:p>
    <w:p w14:paraId="0715A827" w14:textId="77777777" w:rsidR="009174F4" w:rsidRPr="009174F4" w:rsidRDefault="009174F4" w:rsidP="009174F4">
      <w:pPr>
        <w:spacing w:after="0" w:line="360" w:lineRule="auto"/>
        <w:rPr>
          <w:rFonts w:eastAsia="Times New Roman" w:cs="Tahoma"/>
          <w:bCs/>
          <w:color w:val="0D0D0D" w:themeColor="text1" w:themeTint="F2"/>
          <w:lang w:eastAsia="es-ES"/>
        </w:rPr>
      </w:pPr>
      <w:r w:rsidRPr="009174F4">
        <w:rPr>
          <w:rFonts w:eastAsia="Times New Roman" w:cs="Tahoma"/>
          <w:bCs/>
          <w:color w:val="0D0D0D" w:themeColor="text1" w:themeTint="F2"/>
          <w:lang w:eastAsia="es-ES"/>
        </w:rPr>
        <w:t xml:space="preserve">En ese orden de ideas, los Lineamientos para la Integración y Entrega del Informe Trimestral Municipal, dos mil veintidós, entre los formatos que maneja en el </w:t>
      </w:r>
      <w:r w:rsidRPr="009174F4">
        <w:rPr>
          <w:rFonts w:eastAsia="Times New Roman" w:cs="Tahoma"/>
          <w:b/>
          <w:bCs/>
          <w:color w:val="0D0D0D" w:themeColor="text1" w:themeTint="F2"/>
          <w:lang w:eastAsia="es-ES"/>
        </w:rPr>
        <w:t>Módulo 1</w:t>
      </w:r>
      <w:r w:rsidRPr="009174F4">
        <w:rPr>
          <w:rFonts w:eastAsia="Times New Roman" w:cs="Tahoma"/>
          <w:bCs/>
          <w:color w:val="0D0D0D" w:themeColor="text1" w:themeTint="F2"/>
          <w:lang w:eastAsia="es-ES"/>
        </w:rPr>
        <w:t xml:space="preserve">, se advierte que </w:t>
      </w:r>
      <w:r w:rsidRPr="009174F4">
        <w:rPr>
          <w:rFonts w:eastAsia="Times New Roman" w:cs="Tahoma"/>
          <w:bCs/>
          <w:color w:val="0D0D0D" w:themeColor="text1" w:themeTint="F2"/>
          <w:lang w:eastAsia="es-ES"/>
        </w:rPr>
        <w:lastRenderedPageBreak/>
        <w:t>se encuentran Póliza de Egresos y Póliza Cheque, con los documentos comprobatorios, mismos que serán entregados al Órgano Superior de Fiscalización del Estado de México.</w:t>
      </w:r>
    </w:p>
    <w:p w14:paraId="64E09BBC" w14:textId="77777777" w:rsidR="009174F4" w:rsidRPr="009174F4" w:rsidRDefault="009174F4" w:rsidP="009174F4">
      <w:pPr>
        <w:spacing w:after="0" w:line="360" w:lineRule="auto"/>
        <w:rPr>
          <w:rFonts w:eastAsia="Times New Roman" w:cs="Tahoma"/>
          <w:b/>
          <w:bCs/>
          <w:color w:val="0D0D0D" w:themeColor="text1" w:themeTint="F2"/>
          <w:lang w:eastAsia="es-ES"/>
        </w:rPr>
      </w:pPr>
    </w:p>
    <w:p w14:paraId="17C364A6" w14:textId="6483A2B9" w:rsidR="009174F4" w:rsidRPr="009174F4" w:rsidRDefault="009174F4" w:rsidP="009174F4">
      <w:pPr>
        <w:spacing w:after="0" w:line="360" w:lineRule="auto"/>
        <w:rPr>
          <w:rFonts w:eastAsia="Times New Roman" w:cs="Tahoma"/>
          <w:bCs/>
          <w:color w:val="0D0D0D" w:themeColor="text1" w:themeTint="F2"/>
          <w:lang w:eastAsia="es-ES"/>
        </w:rPr>
      </w:pPr>
      <w:r w:rsidRPr="009174F4">
        <w:rPr>
          <w:rFonts w:eastAsia="Times New Roman" w:cs="Tahoma"/>
          <w:bCs/>
          <w:color w:val="0D0D0D" w:themeColor="text1" w:themeTint="F2"/>
          <w:lang w:eastAsia="es-ES"/>
        </w:rPr>
        <w:t xml:space="preserve">Además, 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3DF8F69E" w14:textId="77777777" w:rsidR="009174F4" w:rsidRPr="009174F4" w:rsidRDefault="009174F4" w:rsidP="009174F4">
      <w:pPr>
        <w:spacing w:after="0" w:line="360" w:lineRule="auto"/>
        <w:rPr>
          <w:rFonts w:eastAsia="Times New Roman" w:cs="Tahoma"/>
          <w:color w:val="0D0D0D" w:themeColor="text1" w:themeTint="F2"/>
          <w:lang w:eastAsia="es-ES"/>
        </w:rPr>
      </w:pPr>
    </w:p>
    <w:p w14:paraId="620F1741" w14:textId="77777777"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color w:val="0D0D0D" w:themeColor="text1" w:themeTint="F2"/>
          <w:lang w:eastAsia="es-ES"/>
        </w:rPr>
        <w:t>Conforme a lo anterior, se logra vislumbrar que el Recurrente requiere tener acceso a todas las solicitudes de contratación de servicios de Asesoría, realizados por las unidades administrativas que conforman al Sujeto Obligado, así como, las facturas derivadas de dichas requisiciones, del siete de noviembre de dos mil veintiuno al siete de diciembre de dos mil veintidós.</w:t>
      </w:r>
    </w:p>
    <w:p w14:paraId="77FC0AA7" w14:textId="77777777" w:rsidR="009174F4" w:rsidRPr="009174F4" w:rsidRDefault="009174F4" w:rsidP="009174F4">
      <w:pPr>
        <w:spacing w:after="0" w:line="360" w:lineRule="auto"/>
        <w:rPr>
          <w:rFonts w:eastAsia="Times New Roman" w:cs="Tahoma"/>
          <w:color w:val="0D0D0D" w:themeColor="text1" w:themeTint="F2"/>
          <w:lang w:eastAsia="es-ES"/>
        </w:rPr>
      </w:pPr>
    </w:p>
    <w:p w14:paraId="1B31940B" w14:textId="77777777"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color w:val="0D0D0D" w:themeColor="text1" w:themeTint="F2"/>
          <w:lang w:eastAsia="es-ES"/>
        </w:rPr>
        <w:t>Lo anterior, en razón de que el Particular no señaló un periodo específico para la entrega de la información, por lo que resulta aplicable el Criterio de Interpretación, de la Segunda Época, con clave de control SO/003/2019, emitido por el Instituto Nacional de Transparencia, Acceso a la Información Pública y Protección de Datos Personales del Estado de México y Municipios, que precisa:</w:t>
      </w:r>
    </w:p>
    <w:p w14:paraId="580928B6" w14:textId="77777777" w:rsidR="009174F4" w:rsidRPr="009174F4" w:rsidRDefault="009174F4" w:rsidP="009174F4">
      <w:pPr>
        <w:spacing w:after="0" w:line="360" w:lineRule="auto"/>
        <w:rPr>
          <w:rFonts w:eastAsia="Times New Roman" w:cs="Tahoma"/>
          <w:color w:val="0D0D0D" w:themeColor="text1" w:themeTint="F2"/>
          <w:lang w:eastAsia="es-ES"/>
        </w:rPr>
      </w:pPr>
    </w:p>
    <w:p w14:paraId="726BA93A" w14:textId="77777777" w:rsidR="009174F4" w:rsidRPr="009174F4" w:rsidRDefault="009174F4" w:rsidP="009174F4">
      <w:pPr>
        <w:spacing w:after="0" w:line="360" w:lineRule="auto"/>
        <w:ind w:left="567" w:right="567"/>
        <w:rPr>
          <w:rFonts w:eastAsia="Times New Roman" w:cs="Tahoma"/>
          <w:i/>
          <w:iCs/>
          <w:color w:val="0D0D0D" w:themeColor="text1" w:themeTint="F2"/>
          <w:sz w:val="20"/>
          <w:szCs w:val="20"/>
          <w:lang w:eastAsia="es-ES"/>
        </w:rPr>
      </w:pPr>
      <w:r w:rsidRPr="009174F4">
        <w:rPr>
          <w:rFonts w:eastAsia="Times New Roman" w:cs="Tahoma"/>
          <w:b/>
          <w:i/>
          <w:iCs/>
          <w:color w:val="0D0D0D" w:themeColor="text1" w:themeTint="F2"/>
          <w:sz w:val="20"/>
          <w:szCs w:val="20"/>
          <w:lang w:eastAsia="es-ES"/>
        </w:rPr>
        <w:t xml:space="preserve">“Periodo de búsqueda de la información. </w:t>
      </w:r>
      <w:r w:rsidRPr="009174F4">
        <w:rPr>
          <w:rFonts w:eastAsia="Times New Roman" w:cs="Tahoma"/>
          <w:i/>
          <w:iCs/>
          <w:color w:val="0D0D0D" w:themeColor="text1" w:themeTint="F2"/>
          <w:sz w:val="20"/>
          <w:szCs w:val="20"/>
          <w:lang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E272275" w14:textId="77777777" w:rsidR="009174F4" w:rsidRDefault="009174F4" w:rsidP="006E64F0">
      <w:pPr>
        <w:spacing w:after="0" w:line="360" w:lineRule="auto"/>
        <w:contextualSpacing/>
        <w:rPr>
          <w:rFonts w:eastAsia="Calibri" w:cs="Tahoma"/>
          <w:b/>
          <w:bCs/>
        </w:rPr>
      </w:pPr>
    </w:p>
    <w:p w14:paraId="778E67A1" w14:textId="0BFB8E68" w:rsidR="009174F4" w:rsidRPr="009174F4" w:rsidRDefault="009174F4" w:rsidP="009174F4">
      <w:pPr>
        <w:spacing w:after="0" w:line="360" w:lineRule="auto"/>
        <w:rPr>
          <w:rFonts w:eastAsia="Times New Roman" w:cs="Tahoma"/>
          <w:color w:val="0D0D0D" w:themeColor="text1" w:themeTint="F2"/>
          <w:lang w:val="es-ES" w:eastAsia="es-ES"/>
        </w:rPr>
      </w:pPr>
      <w:r>
        <w:rPr>
          <w:rFonts w:eastAsia="Times New Roman" w:cs="Tahoma"/>
          <w:color w:val="0D0D0D" w:themeColor="text1" w:themeTint="F2"/>
          <w:lang w:val="es-ES" w:eastAsia="es-ES"/>
        </w:rPr>
        <w:t xml:space="preserve">Conforme a lo anterior, </w:t>
      </w:r>
      <w:r w:rsidRPr="009174F4">
        <w:rPr>
          <w:rFonts w:eastAsia="Times New Roman" w:cs="Tahoma"/>
          <w:color w:val="0D0D0D" w:themeColor="text1" w:themeTint="F2"/>
          <w:lang w:val="es-ES" w:eastAsia="es-ES"/>
        </w:rPr>
        <w:t xml:space="preserve">se considera que el Sujeto Obligado, deberá realizar una búsqueda exhaustiva y razonable, en términos del artículo 162 de la Ley de Transparencia y Acceso a </w:t>
      </w:r>
      <w:r w:rsidRPr="009174F4">
        <w:rPr>
          <w:rFonts w:eastAsia="Times New Roman" w:cs="Tahoma"/>
          <w:color w:val="0D0D0D" w:themeColor="text1" w:themeTint="F2"/>
          <w:lang w:val="es-ES" w:eastAsia="es-ES"/>
        </w:rPr>
        <w:lastRenderedPageBreak/>
        <w:t>la Información Pública del Estado de México y Municipios, en los archivos de la Dirección de Administración, encargada de llevar a cabo las adquisiciones de bienes y la contratación de servicios que requieran las distintas áreas; así como, programar, organizar, integrar, dirigir, controlar y ejecutar las licitaciones públicas, invitaciones restringidas y las adjudicaciones directas que se requieren para la adquisición de bienes, de conformidad con los artículos 52 y 53 del Reglamento Orgánico Municipal; lo anterior, con el fin de proporcionar las solicitudes de contratación de servicios y las facturas de pago.</w:t>
      </w:r>
    </w:p>
    <w:p w14:paraId="2D2A8194" w14:textId="77777777" w:rsidR="009174F4" w:rsidRPr="009174F4" w:rsidRDefault="009174F4" w:rsidP="009174F4">
      <w:pPr>
        <w:spacing w:after="0" w:line="360" w:lineRule="auto"/>
        <w:rPr>
          <w:rFonts w:eastAsia="Times New Roman" w:cs="Tahoma"/>
          <w:color w:val="0D0D0D" w:themeColor="text1" w:themeTint="F2"/>
          <w:lang w:eastAsia="es-ES"/>
        </w:rPr>
      </w:pPr>
    </w:p>
    <w:p w14:paraId="52B9C86E" w14:textId="3C6221AF"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color w:val="0D0D0D" w:themeColor="text1" w:themeTint="F2"/>
          <w:lang w:eastAsia="es-ES"/>
        </w:rPr>
        <w:t>Dicha situación, toma relevancia con el Estado Analítico del Ejercicio del Presupuesto de Egresos del primero de enero al treinta de junio de dos mil veintidós, de cuyo análisis en el apartado de Servicios Generales, la erogación por concepto de “Servicios Profesionales, Científicos, Técnicos y otros servicios”</w:t>
      </w:r>
      <w:r w:rsidR="002C09CF">
        <w:rPr>
          <w:rFonts w:eastAsia="Times New Roman" w:cs="Tahoma"/>
          <w:color w:val="0D0D0D" w:themeColor="text1" w:themeTint="F2"/>
          <w:lang w:eastAsia="es-ES"/>
        </w:rPr>
        <w:t xml:space="preserve"> (que conforme al Manual de Planeación, Programación y Presupuesto de Egresos Municipal para los ejercicios fiscales dos mil veintiuno y dos mil veintidós</w:t>
      </w:r>
      <w:r w:rsidR="004F01AC">
        <w:rPr>
          <w:rFonts w:eastAsia="Times New Roman" w:cs="Tahoma"/>
          <w:color w:val="0D0D0D" w:themeColor="text1" w:themeTint="F2"/>
          <w:lang w:eastAsia="es-ES"/>
        </w:rPr>
        <w:t>, dicho capítulo corresponde a las asignaciones</w:t>
      </w:r>
      <w:r w:rsidR="004F01AC" w:rsidRPr="004F01AC">
        <w:t xml:space="preserve"> </w:t>
      </w:r>
      <w:r w:rsidR="004F01AC">
        <w:t>destinadas a cubrir erogaciones por contratación de personas físicas y morales para la prestación de servicios profesionales independientes tales como informáticos, de asesoría, consultoría, capacitación, estudios e investigaciones, protección y seguridad</w:t>
      </w:r>
      <w:r w:rsidR="002C09CF">
        <w:rPr>
          <w:rFonts w:eastAsia="Times New Roman" w:cs="Tahoma"/>
          <w:color w:val="0D0D0D" w:themeColor="text1" w:themeTint="F2"/>
          <w:lang w:eastAsia="es-ES"/>
        </w:rPr>
        <w:t>)</w:t>
      </w:r>
      <w:r w:rsidRPr="009174F4">
        <w:rPr>
          <w:rFonts w:eastAsia="Times New Roman" w:cs="Tahoma"/>
          <w:color w:val="0D0D0D" w:themeColor="text1" w:themeTint="F2"/>
          <w:lang w:eastAsia="es-ES"/>
        </w:rPr>
        <w:t>, tal como se muestra a continuación:</w:t>
      </w:r>
    </w:p>
    <w:p w14:paraId="3C4B109C" w14:textId="77777777" w:rsidR="009174F4" w:rsidRPr="009174F4" w:rsidRDefault="009174F4" w:rsidP="009174F4">
      <w:pPr>
        <w:spacing w:after="0" w:line="360" w:lineRule="auto"/>
        <w:rPr>
          <w:rFonts w:eastAsia="Times New Roman" w:cs="Tahoma"/>
          <w:color w:val="0D0D0D" w:themeColor="text1" w:themeTint="F2"/>
          <w:lang w:eastAsia="es-ES"/>
        </w:rPr>
      </w:pPr>
    </w:p>
    <w:p w14:paraId="26C8F2B0" w14:textId="77777777"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noProof/>
          <w:color w:val="0D0D0D" w:themeColor="text1" w:themeTint="F2"/>
          <w:lang w:eastAsia="es-MX"/>
        </w:rPr>
        <w:drawing>
          <wp:inline distT="0" distB="0" distL="0" distR="0" wp14:anchorId="544584D1" wp14:editId="0A05350C">
            <wp:extent cx="5742940" cy="666115"/>
            <wp:effectExtent l="0" t="0" r="0" b="635"/>
            <wp:docPr id="6" name="Imagen 6" descr="Interfaz de usuario gráfica, Texto,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t="15675"/>
                    <a:stretch/>
                  </pic:blipFill>
                  <pic:spPr bwMode="auto">
                    <a:xfrm>
                      <a:off x="0" y="0"/>
                      <a:ext cx="5742940" cy="666115"/>
                    </a:xfrm>
                    <a:prstGeom prst="rect">
                      <a:avLst/>
                    </a:prstGeom>
                    <a:ln>
                      <a:noFill/>
                    </a:ln>
                    <a:extLst>
                      <a:ext uri="{53640926-AAD7-44D8-BBD7-CCE9431645EC}">
                        <a14:shadowObscured xmlns:a14="http://schemas.microsoft.com/office/drawing/2010/main"/>
                      </a:ext>
                    </a:extLst>
                  </pic:spPr>
                </pic:pic>
              </a:graphicData>
            </a:graphic>
          </wp:inline>
        </w:drawing>
      </w:r>
    </w:p>
    <w:p w14:paraId="0612FE64" w14:textId="77777777" w:rsidR="009174F4" w:rsidRPr="009174F4" w:rsidRDefault="009174F4" w:rsidP="009174F4">
      <w:pPr>
        <w:spacing w:after="0" w:line="360" w:lineRule="auto"/>
        <w:rPr>
          <w:rFonts w:eastAsia="Times New Roman" w:cs="Tahoma"/>
          <w:color w:val="0D0D0D" w:themeColor="text1" w:themeTint="F2"/>
          <w:lang w:eastAsia="es-ES"/>
        </w:rPr>
      </w:pPr>
      <w:r w:rsidRPr="009174F4">
        <w:rPr>
          <w:rFonts w:eastAsia="Times New Roman" w:cs="Tahoma"/>
          <w:noProof/>
          <w:color w:val="0D0D0D" w:themeColor="text1" w:themeTint="F2"/>
          <w:lang w:eastAsia="es-MX"/>
        </w:rPr>
        <mc:AlternateContent>
          <mc:Choice Requires="wps">
            <w:drawing>
              <wp:anchor distT="0" distB="0" distL="114300" distR="114300" simplePos="0" relativeHeight="251659264" behindDoc="0" locked="0" layoutInCell="1" allowOverlap="1" wp14:anchorId="04D0CF26" wp14:editId="59A7AAB6">
                <wp:simplePos x="0" y="0"/>
                <wp:positionH relativeFrom="column">
                  <wp:posOffset>130307</wp:posOffset>
                </wp:positionH>
                <wp:positionV relativeFrom="paragraph">
                  <wp:posOffset>355049</wp:posOffset>
                </wp:positionV>
                <wp:extent cx="5613544" cy="163902"/>
                <wp:effectExtent l="0" t="0" r="25400" b="26670"/>
                <wp:wrapNone/>
                <wp:docPr id="8" name="Rectángulo 8"/>
                <wp:cNvGraphicFramePr/>
                <a:graphic xmlns:a="http://schemas.openxmlformats.org/drawingml/2006/main">
                  <a:graphicData uri="http://schemas.microsoft.com/office/word/2010/wordprocessingShape">
                    <wps:wsp>
                      <wps:cNvSpPr/>
                      <wps:spPr>
                        <a:xfrm>
                          <a:off x="0" y="0"/>
                          <a:ext cx="5613544" cy="163902"/>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1CAB6" id="Rectángulo 8" o:spid="_x0000_s1026" style="position:absolute;margin-left:10.25pt;margin-top:27.95pt;width:442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" filled="f" strokecolor="red" strokeweight="1.5pt"/>
            </w:pict>
          </mc:Fallback>
        </mc:AlternateContent>
      </w:r>
      <w:r w:rsidRPr="009174F4">
        <w:rPr>
          <w:rFonts w:eastAsia="Times New Roman" w:cs="Tahoma"/>
          <w:noProof/>
          <w:color w:val="0D0D0D" w:themeColor="text1" w:themeTint="F2"/>
          <w:lang w:eastAsia="es-MX"/>
        </w:rPr>
        <w:drawing>
          <wp:inline distT="0" distB="0" distL="0" distR="0" wp14:anchorId="104CF404" wp14:editId="733A0681">
            <wp:extent cx="5742940" cy="848995"/>
            <wp:effectExtent l="0" t="0" r="0" b="8255"/>
            <wp:docPr id="7" name="Imagen 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agram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742940" cy="848995"/>
                    </a:xfrm>
                    <a:prstGeom prst="rect">
                      <a:avLst/>
                    </a:prstGeom>
                  </pic:spPr>
                </pic:pic>
              </a:graphicData>
            </a:graphic>
          </wp:inline>
        </w:drawing>
      </w:r>
    </w:p>
    <w:p w14:paraId="21B5FB80" w14:textId="77777777" w:rsidR="009174F4" w:rsidRDefault="009174F4" w:rsidP="009174F4">
      <w:pPr>
        <w:spacing w:after="0" w:line="360" w:lineRule="auto"/>
        <w:rPr>
          <w:rFonts w:eastAsia="Times New Roman" w:cs="Tahoma"/>
          <w:color w:val="0D0D0D" w:themeColor="text1" w:themeTint="F2"/>
          <w:lang w:eastAsia="es-ES"/>
        </w:rPr>
      </w:pPr>
    </w:p>
    <w:p w14:paraId="414A28D9" w14:textId="77777777" w:rsidR="004F01AC" w:rsidRDefault="004F01AC" w:rsidP="009174F4">
      <w:pPr>
        <w:spacing w:after="0" w:line="360" w:lineRule="auto"/>
        <w:rPr>
          <w:rFonts w:eastAsia="Times New Roman" w:cs="Tahoma"/>
          <w:color w:val="0D0D0D" w:themeColor="text1" w:themeTint="F2"/>
          <w:lang w:eastAsia="es-ES"/>
        </w:rPr>
      </w:pPr>
    </w:p>
    <w:p w14:paraId="550DE3AC" w14:textId="77777777" w:rsidR="004F01AC" w:rsidRDefault="004F01AC" w:rsidP="009174F4">
      <w:pPr>
        <w:spacing w:after="0" w:line="360" w:lineRule="auto"/>
        <w:rPr>
          <w:rFonts w:eastAsia="Times New Roman" w:cs="Tahoma"/>
          <w:color w:val="0D0D0D" w:themeColor="text1" w:themeTint="F2"/>
          <w:lang w:eastAsia="es-ES"/>
        </w:rPr>
      </w:pPr>
    </w:p>
    <w:p w14:paraId="5D7E27AD" w14:textId="77777777" w:rsidR="009174F4" w:rsidRPr="009174F4" w:rsidRDefault="009174F4" w:rsidP="009174F4">
      <w:pPr>
        <w:spacing w:after="0" w:line="360" w:lineRule="auto"/>
        <w:rPr>
          <w:rFonts w:eastAsia="Times New Roman" w:cs="Tahoma"/>
          <w:color w:val="auto"/>
          <w:szCs w:val="24"/>
          <w:lang w:val="es-ES" w:eastAsia="es-ES"/>
        </w:rPr>
      </w:pPr>
      <w:r w:rsidRPr="009174F4">
        <w:rPr>
          <w:rFonts w:eastAsia="Times New Roman" w:cs="Tahoma"/>
          <w:color w:val="0D0D0D" w:themeColor="text1" w:themeTint="F2"/>
          <w:lang w:eastAsia="es-ES"/>
        </w:rPr>
        <w:t>Por lo que, en el presente caso, el Sujeto Obligado deberá entregar las solicitudes de contratación de servicios y las facturas de pago; d</w:t>
      </w:r>
      <w:r w:rsidRPr="009174F4">
        <w:rPr>
          <w:rFonts w:eastAsia="Times New Roman" w:cs="Tahoma"/>
          <w:iCs/>
          <w:color w:val="auto"/>
          <w:lang w:eastAsia="es-ES"/>
        </w:rPr>
        <w:t>icha</w:t>
      </w:r>
      <w:r w:rsidRPr="009174F4">
        <w:rPr>
          <w:rFonts w:eastAsia="Times New Roman" w:cs="Tahoma"/>
          <w:color w:val="auto"/>
          <w:szCs w:val="24"/>
          <w:lang w:val="es-ES" w:eastAsia="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BC5114E" w14:textId="77777777" w:rsidR="009174F4" w:rsidRPr="009174F4" w:rsidRDefault="009174F4" w:rsidP="009174F4">
      <w:pPr>
        <w:spacing w:after="0" w:line="360" w:lineRule="auto"/>
        <w:rPr>
          <w:rFonts w:eastAsia="Times New Roman" w:cs="Tahoma"/>
          <w:color w:val="auto"/>
          <w:szCs w:val="24"/>
          <w:lang w:val="es-ES" w:eastAsia="es-ES"/>
        </w:rPr>
      </w:pPr>
    </w:p>
    <w:p w14:paraId="6235C808" w14:textId="77777777" w:rsidR="009174F4" w:rsidRPr="009174F4" w:rsidRDefault="009174F4" w:rsidP="009174F4">
      <w:pPr>
        <w:spacing w:after="0" w:line="360" w:lineRule="auto"/>
        <w:rPr>
          <w:rFonts w:eastAsia="Times New Roman" w:cs="Tahoma"/>
          <w:i/>
          <w:iCs/>
          <w:color w:val="auto"/>
          <w:sz w:val="20"/>
          <w:szCs w:val="20"/>
          <w:lang w:val="es-ES" w:eastAsia="es-ES"/>
        </w:rPr>
      </w:pPr>
      <w:r w:rsidRPr="009174F4">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9174F4">
        <w:rPr>
          <w:rFonts w:eastAsia="Times New Roman" w:cs="Tahoma"/>
          <w:i/>
          <w:iCs/>
          <w:color w:val="auto"/>
          <w:szCs w:val="24"/>
          <w:lang w:val="es-ES" w:eastAsia="es-ES"/>
        </w:rPr>
        <w:t>ad hoc</w:t>
      </w:r>
      <w:r w:rsidRPr="009174F4">
        <w:rPr>
          <w:rFonts w:eastAsia="Times New Roman" w:cs="Tahoma"/>
          <w:color w:val="auto"/>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4447CDEC" w14:textId="77777777" w:rsidR="009174F4" w:rsidRPr="009174F4" w:rsidRDefault="009174F4" w:rsidP="009174F4">
      <w:pPr>
        <w:spacing w:after="0" w:line="360" w:lineRule="auto"/>
        <w:rPr>
          <w:rFonts w:eastAsia="Calibri" w:cs="Times New Roman"/>
        </w:rPr>
      </w:pPr>
    </w:p>
    <w:p w14:paraId="11B3A99C" w14:textId="77777777" w:rsidR="009174F4" w:rsidRPr="009174F4" w:rsidRDefault="009174F4" w:rsidP="009174F4">
      <w:pPr>
        <w:spacing w:after="0" w:line="360" w:lineRule="auto"/>
        <w:rPr>
          <w:rFonts w:eastAsia="Times New Roman" w:cs="Tahoma"/>
          <w:color w:val="0D0D0D" w:themeColor="text1" w:themeTint="F2"/>
          <w:lang w:val="es-ES" w:eastAsia="es-ES"/>
        </w:rPr>
      </w:pPr>
      <w:r w:rsidRPr="009174F4">
        <w:rPr>
          <w:rFonts w:eastAsia="Times New Roman" w:cs="Tahoma"/>
          <w:color w:val="0D0D0D" w:themeColor="text1" w:themeTint="F2"/>
          <w:lang w:val="es-ES" w:eastAsia="es-ES"/>
        </w:rPr>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los documentos que den cuenta de la información solicitada respecto a los procedimientos de contratación de servicios de asesoría.</w:t>
      </w:r>
    </w:p>
    <w:p w14:paraId="347E751A" w14:textId="77777777" w:rsidR="009174F4" w:rsidRDefault="009174F4" w:rsidP="009174F4">
      <w:pPr>
        <w:spacing w:after="0" w:line="360" w:lineRule="auto"/>
        <w:rPr>
          <w:rFonts w:eastAsia="Calibri" w:cs="Times New Roman"/>
        </w:rPr>
      </w:pPr>
    </w:p>
    <w:p w14:paraId="725F3F75" w14:textId="137E1E5C" w:rsidR="009174F4" w:rsidRPr="009174F4" w:rsidRDefault="004F01AC" w:rsidP="004F01AC">
      <w:pPr>
        <w:spacing w:after="0" w:line="360" w:lineRule="auto"/>
        <w:rPr>
          <w:rFonts w:eastAsia="Calibri" w:cs="Times New Roman"/>
          <w:lang w:val="es-ES"/>
        </w:rPr>
      </w:pPr>
      <w:r>
        <w:rPr>
          <w:rFonts w:eastAsia="Calibri" w:cs="Times New Roman"/>
        </w:rPr>
        <w:t xml:space="preserve">Ahora bien, este Instituto realizó una búsqueda en el Portal de Información Pública de Oficio Mexiquense, en específico en las fracciones XI </w:t>
      </w:r>
      <w:proofErr w:type="spellStart"/>
      <w:r>
        <w:rPr>
          <w:rFonts w:eastAsia="Calibri" w:cs="Times New Roman"/>
        </w:rPr>
        <w:t>yXXIX</w:t>
      </w:r>
      <w:proofErr w:type="spellEnd"/>
      <w:r>
        <w:rPr>
          <w:rFonts w:eastAsia="Calibri" w:cs="Times New Roman"/>
        </w:rPr>
        <w:t xml:space="preserve"> A y B, y no se localizó indició de que el Sujeto Obligado haya contratado algún servicio de asesoría; por lo que, </w:t>
      </w:r>
      <w:r>
        <w:rPr>
          <w:rFonts w:eastAsia="Calibri" w:cs="Times New Roman"/>
          <w:lang w:val="es-ES"/>
        </w:rPr>
        <w:t xml:space="preserve">en el </w:t>
      </w:r>
      <w:r w:rsidR="009174F4" w:rsidRPr="009174F4">
        <w:rPr>
          <w:rFonts w:eastAsia="Calibri" w:cs="Times New Roman"/>
          <w:lang w:val="es-ES"/>
        </w:rPr>
        <w:t>caso de que no haya contratado, en el periodo solicitado,</w:t>
      </w:r>
      <w:r w:rsidR="009174F4" w:rsidRPr="009174F4">
        <w:rPr>
          <w:rFonts w:eastAsia="Calibri" w:cs="Times New Roman"/>
        </w:rPr>
        <w:t xml:space="preserve"> deberá hacer del conocimiento del hoy Recurrente </w:t>
      </w:r>
      <w:r w:rsidR="009174F4" w:rsidRPr="009174F4">
        <w:rPr>
          <w:rFonts w:eastAsia="Calibri" w:cs="Times New Roman"/>
        </w:rPr>
        <w:lastRenderedPageBreak/>
        <w:t>en términos del párrafo segundo del artículo 19 de la Ley de Transparencia y Acceso a la Información Pública del Estado de México y Municipios.</w:t>
      </w:r>
    </w:p>
    <w:p w14:paraId="4B12639D" w14:textId="77777777" w:rsidR="009174F4" w:rsidRPr="009174F4" w:rsidRDefault="009174F4" w:rsidP="009174F4">
      <w:pPr>
        <w:spacing w:after="0" w:line="360" w:lineRule="auto"/>
        <w:rPr>
          <w:rFonts w:eastAsia="Calibri" w:cs="Times New Roman"/>
        </w:rPr>
      </w:pPr>
    </w:p>
    <w:p w14:paraId="1B845E78" w14:textId="77777777" w:rsidR="009174F4" w:rsidRPr="009174F4" w:rsidRDefault="009174F4" w:rsidP="009174F4">
      <w:pPr>
        <w:widowControl w:val="0"/>
        <w:spacing w:after="0" w:line="360" w:lineRule="auto"/>
        <w:rPr>
          <w:rFonts w:eastAsia="Times New Roman" w:cs="Tahoma"/>
          <w:lang w:eastAsia="es-ES"/>
        </w:rPr>
      </w:pPr>
      <w:r w:rsidRPr="009174F4">
        <w:rPr>
          <w:rFonts w:eastAsia="Calibri" w:cs="Times New Roman"/>
        </w:rPr>
        <w:t>Finalmente, para el caso de que los documentos que den cuenta de lo solicitado,</w:t>
      </w:r>
      <w:r w:rsidRPr="009174F4">
        <w:rPr>
          <w:rFonts w:eastAsia="Calibri" w:cs="Tahoma"/>
        </w:rPr>
        <w:t xml:space="preserve"> contengan datos o partes clasificadas, este deberá </w:t>
      </w:r>
      <w:r w:rsidRPr="009174F4">
        <w:rPr>
          <w:rFonts w:eastAsia="Calibri" w:cs="Tahoma"/>
          <w:bCs/>
        </w:rPr>
        <w:t>entregarlos, en versión pública, en donde se eliminen estos; sobre dicha situación</w:t>
      </w:r>
      <w:r w:rsidRPr="009174F4">
        <w:rPr>
          <w:rFonts w:eastAsia="Calibri" w:cs="Tahoma"/>
          <w:bCs/>
          <w:lang w:val="es-ES_tradnl"/>
        </w:rPr>
        <w:t>, el</w:t>
      </w:r>
      <w:r w:rsidRPr="009174F4">
        <w:rPr>
          <w:rFonts w:eastAsia="Times New Roman" w:cs="Tahoma"/>
          <w:lang w:eastAsia="es-ES"/>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028F2AB" w14:textId="77777777" w:rsidR="009174F4" w:rsidRPr="009174F4" w:rsidRDefault="009174F4" w:rsidP="009174F4">
      <w:pPr>
        <w:spacing w:after="0" w:line="360" w:lineRule="auto"/>
        <w:rPr>
          <w:rFonts w:eastAsia="Times New Roman" w:cs="Tahoma"/>
          <w:lang w:eastAsia="es-ES"/>
        </w:rPr>
      </w:pPr>
    </w:p>
    <w:p w14:paraId="7DF25220" w14:textId="77777777" w:rsidR="009174F4" w:rsidRPr="009174F4" w:rsidRDefault="009174F4" w:rsidP="009174F4">
      <w:pPr>
        <w:spacing w:after="0" w:line="360" w:lineRule="auto"/>
        <w:rPr>
          <w:rFonts w:eastAsia="Calibri" w:cs="Times New Roman"/>
        </w:rPr>
      </w:pPr>
      <w:r w:rsidRPr="009174F4">
        <w:rPr>
          <w:rFonts w:eastAsia="Times New Roman" w:cs="Tahoma"/>
          <w:lang w:eastAsia="es-ES"/>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70B0ACB6" w14:textId="77777777" w:rsidR="00CA6980" w:rsidRDefault="00CA6980" w:rsidP="006E64F0">
      <w:pPr>
        <w:spacing w:after="0" w:line="360" w:lineRule="auto"/>
        <w:contextualSpacing/>
        <w:rPr>
          <w:rFonts w:eastAsia="Calibri" w:cs="Tahoma"/>
          <w:b/>
          <w:bCs/>
        </w:rPr>
      </w:pPr>
    </w:p>
    <w:p w14:paraId="2D636013" w14:textId="77777777" w:rsidR="00EC77D9" w:rsidRPr="002D0AC7" w:rsidRDefault="00EC77D9" w:rsidP="006E64F0">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6E64F0">
      <w:pPr>
        <w:spacing w:after="0" w:line="360" w:lineRule="auto"/>
        <w:contextualSpacing/>
        <w:rPr>
          <w:rFonts w:eastAsia="Times New Roman" w:cs="Tahoma"/>
          <w:color w:val="auto"/>
          <w:lang w:eastAsia="es-ES"/>
        </w:rPr>
      </w:pPr>
    </w:p>
    <w:p w14:paraId="4639BC79" w14:textId="77777777" w:rsidR="004F01AC" w:rsidRPr="004F01AC" w:rsidRDefault="004F01AC" w:rsidP="004F01AC">
      <w:pPr>
        <w:spacing w:after="0" w:line="360" w:lineRule="auto"/>
        <w:contextualSpacing/>
        <w:rPr>
          <w:rFonts w:eastAsia="Times New Roman" w:cs="Tahoma"/>
          <w:color w:val="auto"/>
          <w:lang w:eastAsia="es-ES"/>
        </w:rPr>
      </w:pPr>
      <w:r w:rsidRPr="004F01A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4F01AC">
        <w:rPr>
          <w:rFonts w:eastAsia="Times New Roman" w:cs="Tahoma"/>
          <w:b/>
          <w:bCs/>
          <w:color w:val="auto"/>
          <w:lang w:eastAsia="es-ES"/>
        </w:rPr>
        <w:t>ORDENAR</w:t>
      </w:r>
      <w:r w:rsidRPr="004F01AC">
        <w:rPr>
          <w:rFonts w:eastAsia="Times New Roman" w:cs="Tahoma"/>
          <w:color w:val="auto"/>
          <w:lang w:eastAsia="es-ES"/>
        </w:rPr>
        <w:t xml:space="preserve"> al Sujeto Obligado, a efectos de previa búsqueda exhaustiva y razonable en los archivos de la Dirección de Administración, entregue, respecto a los procedimientos de contratación de servicios de asesoría, realizados del siete de noviembre de dos mil veintiuno </w:t>
      </w:r>
      <w:r w:rsidRPr="004F01AC">
        <w:rPr>
          <w:rFonts w:eastAsia="Times New Roman" w:cs="Tahoma"/>
          <w:color w:val="auto"/>
          <w:lang w:eastAsia="es-ES"/>
        </w:rPr>
        <w:lastRenderedPageBreak/>
        <w:t>al siete de noviembre de dos mil veintidós, en su caso, en versión pública, los documentos donde conste lo siguiente:</w:t>
      </w:r>
    </w:p>
    <w:p w14:paraId="142E6189" w14:textId="77777777" w:rsidR="004F01AC" w:rsidRPr="004F01AC" w:rsidRDefault="004F01AC" w:rsidP="004F01AC">
      <w:pPr>
        <w:spacing w:after="0" w:line="360" w:lineRule="auto"/>
        <w:contextualSpacing/>
        <w:rPr>
          <w:rFonts w:eastAsia="Times New Roman" w:cs="Tahoma"/>
          <w:color w:val="auto"/>
          <w:lang w:eastAsia="es-ES"/>
        </w:rPr>
      </w:pPr>
    </w:p>
    <w:p w14:paraId="52608DE6" w14:textId="77777777" w:rsidR="004F01AC" w:rsidRPr="004F01AC" w:rsidRDefault="004F01AC" w:rsidP="004F01AC">
      <w:pPr>
        <w:numPr>
          <w:ilvl w:val="0"/>
          <w:numId w:val="11"/>
        </w:numPr>
        <w:spacing w:after="0" w:line="360" w:lineRule="auto"/>
        <w:contextualSpacing/>
        <w:jc w:val="left"/>
        <w:rPr>
          <w:rFonts w:eastAsia="Times New Roman" w:cs="Tahoma"/>
          <w:color w:val="0D0D0D" w:themeColor="text1" w:themeTint="F2"/>
          <w:lang w:eastAsia="es-ES"/>
        </w:rPr>
      </w:pPr>
      <w:r w:rsidRPr="004F01AC">
        <w:rPr>
          <w:rFonts w:eastAsia="Times New Roman" w:cs="Tahoma"/>
          <w:color w:val="0D0D0D" w:themeColor="text1" w:themeTint="F2"/>
          <w:lang w:eastAsia="es-ES"/>
        </w:rPr>
        <w:t>Solicitud de contratación por el área requirente, y</w:t>
      </w:r>
    </w:p>
    <w:p w14:paraId="5D30952F" w14:textId="77777777" w:rsidR="004F01AC" w:rsidRPr="004F01AC" w:rsidRDefault="004F01AC" w:rsidP="004F01AC">
      <w:pPr>
        <w:spacing w:after="0" w:line="360" w:lineRule="auto"/>
        <w:ind w:left="720"/>
        <w:contextualSpacing/>
        <w:rPr>
          <w:rFonts w:eastAsia="Times New Roman" w:cs="Tahoma"/>
          <w:color w:val="0D0D0D" w:themeColor="text1" w:themeTint="F2"/>
          <w:lang w:eastAsia="es-ES"/>
        </w:rPr>
      </w:pPr>
    </w:p>
    <w:p w14:paraId="2BD803BE" w14:textId="77777777" w:rsidR="004F01AC" w:rsidRPr="004F01AC" w:rsidRDefault="004F01AC" w:rsidP="004F01AC">
      <w:pPr>
        <w:numPr>
          <w:ilvl w:val="0"/>
          <w:numId w:val="11"/>
        </w:numPr>
        <w:spacing w:after="0" w:line="360" w:lineRule="auto"/>
        <w:contextualSpacing/>
        <w:jc w:val="left"/>
        <w:rPr>
          <w:rFonts w:eastAsia="Times New Roman" w:cs="Tahoma"/>
          <w:color w:val="0D0D0D" w:themeColor="text1" w:themeTint="F2"/>
          <w:lang w:eastAsia="es-ES"/>
        </w:rPr>
      </w:pPr>
      <w:r w:rsidRPr="004F01AC">
        <w:rPr>
          <w:rFonts w:eastAsia="Times New Roman" w:cs="Tahoma"/>
          <w:color w:val="0D0D0D" w:themeColor="text1" w:themeTint="F2"/>
          <w:lang w:eastAsia="es-ES"/>
        </w:rPr>
        <w:t>Facturas de pago.</w:t>
      </w:r>
    </w:p>
    <w:p w14:paraId="1914576F" w14:textId="77777777" w:rsidR="004F01AC" w:rsidRPr="004F01AC" w:rsidRDefault="004F01AC" w:rsidP="004F01AC">
      <w:pPr>
        <w:spacing w:after="0" w:line="360" w:lineRule="auto"/>
        <w:contextualSpacing/>
        <w:rPr>
          <w:rFonts w:eastAsia="Times New Roman" w:cs="Tahoma"/>
          <w:color w:val="0D0D0D" w:themeColor="text1" w:themeTint="F2"/>
          <w:lang w:eastAsia="es-ES"/>
        </w:rPr>
      </w:pPr>
    </w:p>
    <w:p w14:paraId="3C6AF4C6" w14:textId="77777777" w:rsidR="004F01AC" w:rsidRPr="004F01AC" w:rsidRDefault="004F01AC" w:rsidP="004F01AC">
      <w:pPr>
        <w:spacing w:after="0" w:line="360" w:lineRule="auto"/>
        <w:rPr>
          <w:rFonts w:eastAsia="Times New Roman" w:cs="Tahoma"/>
          <w:color w:val="auto"/>
          <w:lang w:eastAsia="es-ES"/>
        </w:rPr>
      </w:pPr>
      <w:r w:rsidRPr="004F01AC">
        <w:rPr>
          <w:rFonts w:eastAsia="Times New Roman" w:cs="Tahoma"/>
          <w:color w:val="auto"/>
          <w:lang w:eastAsia="es-ES"/>
        </w:rPr>
        <w:t>Además, de ser necesario, deberá proporcionar el Acuerdo de Clasificación donde el Comité de Transparencia, confirme la eliminación de los datos o información clasificada. Para el caso, de que no haya contratado los servicios de asesoría, en el periodo referido, deberá hacerlo del conocimiento del ahora Recurrente, de manera clara y precisa.</w:t>
      </w:r>
    </w:p>
    <w:p w14:paraId="607FB65A" w14:textId="77777777" w:rsidR="00EC77D9" w:rsidRPr="002D0AC7" w:rsidRDefault="00EC77D9" w:rsidP="006E64F0">
      <w:pPr>
        <w:spacing w:after="0" w:line="360" w:lineRule="auto"/>
        <w:contextualSpacing/>
        <w:rPr>
          <w:rFonts w:eastAsia="Times New Roman" w:cs="Tahoma"/>
          <w:b/>
          <w:bCs/>
          <w:iCs/>
          <w:color w:val="auto"/>
          <w:lang w:eastAsia="es-ES"/>
        </w:rPr>
      </w:pPr>
    </w:p>
    <w:p w14:paraId="1E8385FF" w14:textId="77777777" w:rsidR="00EC77D9" w:rsidRPr="002D0AC7" w:rsidRDefault="00EC77D9" w:rsidP="006E64F0">
      <w:pPr>
        <w:autoSpaceDE w:val="0"/>
        <w:autoSpaceDN w:val="0"/>
        <w:adjustRightInd w:val="0"/>
        <w:spacing w:after="0" w:line="360" w:lineRule="auto"/>
        <w:contextualSpacing/>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37DE1394" w14:textId="77777777" w:rsidR="006E64F0" w:rsidRDefault="006E64F0" w:rsidP="006E64F0">
      <w:pPr>
        <w:spacing w:line="360" w:lineRule="auto"/>
        <w:contextualSpacing/>
      </w:pPr>
    </w:p>
    <w:p w14:paraId="3CE3F712" w14:textId="2205ACE3" w:rsidR="00EC77D9" w:rsidRDefault="006E64F0" w:rsidP="004F01AC">
      <w:pPr>
        <w:spacing w:line="360" w:lineRule="auto"/>
        <w:contextualSpacing/>
        <w:rPr>
          <w:rFonts w:eastAsia="Calibri" w:cs="Tahoma"/>
          <w:bCs/>
          <w:iCs/>
        </w:rPr>
      </w:pPr>
      <w:r w:rsidRPr="00210B83">
        <w:t>Se le hace del conocimiento al ahora Recurrente que, en el presente asunto, se le da</w:t>
      </w:r>
      <w:r>
        <w:t xml:space="preserve"> </w:t>
      </w:r>
      <w:r w:rsidRPr="00210B83">
        <w:t xml:space="preserve">la razón, </w:t>
      </w:r>
      <w:r>
        <w:t xml:space="preserve">pues </w:t>
      </w:r>
      <w:r w:rsidR="00272CCE">
        <w:t>el Sujeto Obligado no cumplió la resolución en tiempo</w:t>
      </w:r>
      <w:r w:rsidR="004F01AC">
        <w:t>; por lo que, deberá proporcionarle la información solicitada, en el caso de que exista</w:t>
      </w:r>
      <w:r w:rsidR="00272CCE">
        <w:t xml:space="preserve">. </w:t>
      </w:r>
    </w:p>
    <w:p w14:paraId="4EC64686" w14:textId="77777777" w:rsidR="004F01AC" w:rsidRDefault="004F01AC" w:rsidP="004F01AC">
      <w:pPr>
        <w:spacing w:line="360" w:lineRule="auto"/>
        <w:contextualSpacing/>
        <w:rPr>
          <w:rFonts w:eastAsia="Calibri" w:cs="Tahoma"/>
          <w:bCs/>
          <w:iCs/>
        </w:rPr>
      </w:pPr>
    </w:p>
    <w:p w14:paraId="580C4925" w14:textId="5D66DF7F" w:rsidR="004F01AC" w:rsidRPr="004F01AC" w:rsidRDefault="004F01AC" w:rsidP="004F01AC">
      <w:pPr>
        <w:spacing w:after="0" w:line="360" w:lineRule="auto"/>
        <w:rPr>
          <w:rFonts w:eastAsia="Calibri" w:cs="Tahoma"/>
          <w:bCs/>
          <w:iCs/>
          <w:color w:val="auto"/>
        </w:rPr>
      </w:pPr>
      <w:r w:rsidRPr="004F01AC">
        <w:rPr>
          <w:rFonts w:eastAsia="Calibri" w:cs="Tahoma"/>
          <w:bCs/>
          <w:iCs/>
          <w:color w:val="auto"/>
        </w:rPr>
        <w:t xml:space="preserve">Finalmente, </w:t>
      </w:r>
      <w:r>
        <w:rPr>
          <w:rFonts w:eastAsia="Calibri" w:cs="Tahoma"/>
          <w:bCs/>
          <w:iCs/>
          <w:color w:val="auto"/>
        </w:rPr>
        <w:t xml:space="preserve">se le informa que </w:t>
      </w:r>
      <w:r w:rsidRPr="004F01AC">
        <w:rPr>
          <w:rFonts w:eastAsia="Calibri" w:cs="Tahoma"/>
          <w:bCs/>
          <w:iCs/>
          <w:color w:val="auto"/>
        </w:rPr>
        <w:t>la labor de este Instituto</w:t>
      </w:r>
      <w:r>
        <w:rPr>
          <w:rFonts w:eastAsia="Calibri" w:cs="Tahoma"/>
          <w:bCs/>
          <w:iCs/>
          <w:color w:val="auto"/>
        </w:rPr>
        <w:t xml:space="preserve"> de Transparencia, Acceso a la Información Pública y Protección de Datos Personales del Estado de México y Municipios</w:t>
      </w:r>
      <w:r w:rsidRPr="004F01AC">
        <w:rPr>
          <w:rFonts w:eastAsia="Calibri" w:cs="Tahoma"/>
          <w:bCs/>
          <w:iCs/>
          <w:color w:val="auto"/>
        </w:rPr>
        <w:t>, es apoyar a la población a acceder a la información pública y garantizar la protección de sus datos personales.</w:t>
      </w:r>
    </w:p>
    <w:p w14:paraId="278C5627" w14:textId="77777777" w:rsidR="004F01AC" w:rsidRDefault="004F01AC" w:rsidP="004F01AC">
      <w:pPr>
        <w:spacing w:line="360" w:lineRule="auto"/>
        <w:contextualSpacing/>
        <w:rPr>
          <w:rFonts w:eastAsia="Times New Roman" w:cs="Tahoma"/>
          <w:bCs/>
          <w:color w:val="auto"/>
          <w:lang w:eastAsia="es-ES"/>
        </w:rPr>
      </w:pPr>
    </w:p>
    <w:p w14:paraId="108A3254" w14:textId="77777777" w:rsidR="00EC77D9" w:rsidRPr="002D0AC7" w:rsidRDefault="00EC77D9" w:rsidP="006E64F0">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Por lo expuesto y fundado, este Pleno:</w:t>
      </w:r>
    </w:p>
    <w:p w14:paraId="5B5F7716" w14:textId="25784345" w:rsidR="00683E00" w:rsidRDefault="00683E00" w:rsidP="006E64F0">
      <w:pPr>
        <w:spacing w:after="0" w:line="360" w:lineRule="auto"/>
        <w:contextualSpacing/>
        <w:jc w:val="center"/>
        <w:rPr>
          <w:rFonts w:eastAsia="Times New Roman" w:cs="Tahoma"/>
          <w:b/>
          <w:bCs/>
          <w:color w:val="auto"/>
          <w:lang w:eastAsia="es-ES"/>
        </w:rPr>
      </w:pPr>
    </w:p>
    <w:p w14:paraId="042DF9C3" w14:textId="0343CEC1" w:rsidR="00EC77D9" w:rsidRPr="002D0AC7" w:rsidRDefault="00EC77D9" w:rsidP="006E64F0">
      <w:pPr>
        <w:spacing w:after="0" w:line="360" w:lineRule="auto"/>
        <w:contextualSpacing/>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Default="00EC77D9" w:rsidP="006E64F0">
      <w:pPr>
        <w:spacing w:after="0" w:line="360" w:lineRule="auto"/>
        <w:ind w:right="113"/>
        <w:contextualSpacing/>
        <w:rPr>
          <w:rFonts w:eastAsia="Times New Roman" w:cs="Arial"/>
          <w:b/>
          <w:color w:val="auto"/>
          <w:lang w:eastAsia="es-ES"/>
        </w:rPr>
      </w:pPr>
    </w:p>
    <w:p w14:paraId="10E42B55" w14:textId="77777777" w:rsidR="004F01AC" w:rsidRPr="002D0AC7" w:rsidRDefault="004F01AC" w:rsidP="006E64F0">
      <w:pPr>
        <w:spacing w:after="0" w:line="360" w:lineRule="auto"/>
        <w:ind w:right="113"/>
        <w:contextualSpacing/>
        <w:rPr>
          <w:rFonts w:eastAsia="Times New Roman" w:cs="Arial"/>
          <w:b/>
          <w:color w:val="auto"/>
          <w:lang w:eastAsia="es-ES"/>
        </w:rPr>
      </w:pPr>
    </w:p>
    <w:p w14:paraId="1C171D6E" w14:textId="58D357F7" w:rsidR="006E64F0" w:rsidRDefault="006E64F0" w:rsidP="006E64F0">
      <w:pPr>
        <w:tabs>
          <w:tab w:val="right" w:pos="8838"/>
        </w:tabs>
        <w:spacing w:line="360" w:lineRule="auto"/>
        <w:contextualSpacing/>
        <w:rPr>
          <w:rFonts w:eastAsia="Calibri" w:cs="Tahoma"/>
          <w:bCs/>
          <w:color w:val="0D0D0D" w:themeColor="text1" w:themeTint="F2"/>
        </w:rPr>
      </w:pPr>
      <w:r w:rsidRPr="00D94C5F">
        <w:rPr>
          <w:rFonts w:eastAsia="Calibri" w:cs="Tahoma"/>
          <w:b/>
          <w:bCs/>
          <w:iCs/>
          <w:color w:val="0D0D0D" w:themeColor="text1" w:themeTint="F2"/>
        </w:rPr>
        <w:t xml:space="preserve">PRIMERO. </w:t>
      </w:r>
      <w:r w:rsidRPr="00D94C5F">
        <w:rPr>
          <w:rFonts w:eastAsia="Calibri" w:cs="Tahoma"/>
          <w:bCs/>
          <w:iCs/>
          <w:color w:val="0D0D0D" w:themeColor="text1" w:themeTint="F2"/>
        </w:rPr>
        <w:t xml:space="preserve">Resultan </w:t>
      </w:r>
      <w:r w:rsidRPr="00D94C5F">
        <w:rPr>
          <w:rFonts w:eastAsia="Calibri" w:cs="Tahoma"/>
          <w:b/>
          <w:bCs/>
          <w:iCs/>
          <w:color w:val="0D0D0D" w:themeColor="text1" w:themeTint="F2"/>
        </w:rPr>
        <w:t xml:space="preserve">FUNDADAS </w:t>
      </w:r>
      <w:r w:rsidRPr="00D94C5F">
        <w:rPr>
          <w:rFonts w:eastAsia="Calibri" w:cs="Tahoma"/>
          <w:bCs/>
          <w:color w:val="0D0D0D" w:themeColor="text1" w:themeTint="F2"/>
        </w:rPr>
        <w:t xml:space="preserve">las razones o motivos de inconformidad hechos valer por </w:t>
      </w:r>
      <w:r>
        <w:rPr>
          <w:rFonts w:eastAsia="Calibri" w:cs="Tahoma"/>
          <w:bCs/>
          <w:color w:val="0D0D0D" w:themeColor="text1" w:themeTint="F2"/>
        </w:rPr>
        <w:t>el</w:t>
      </w:r>
      <w:r w:rsidRPr="00D94C5F">
        <w:rPr>
          <w:rFonts w:eastAsia="Calibri" w:cs="Tahoma"/>
          <w:bCs/>
          <w:color w:val="0D0D0D" w:themeColor="text1" w:themeTint="F2"/>
        </w:rPr>
        <w:t xml:space="preserve"> Particular en </w:t>
      </w:r>
      <w:r>
        <w:rPr>
          <w:rFonts w:eastAsia="Calibri" w:cs="Tahoma"/>
          <w:bCs/>
          <w:color w:val="0D0D0D" w:themeColor="text1" w:themeTint="F2"/>
        </w:rPr>
        <w:t>el Recurso</w:t>
      </w:r>
      <w:r w:rsidRPr="00D94C5F">
        <w:rPr>
          <w:rFonts w:eastAsia="Calibri" w:cs="Tahoma"/>
          <w:bCs/>
          <w:color w:val="0D0D0D" w:themeColor="text1" w:themeTint="F2"/>
        </w:rPr>
        <w:t xml:space="preserve"> de Revisión con número </w:t>
      </w:r>
      <w:r w:rsidR="00B429D2">
        <w:rPr>
          <w:b/>
          <w:bCs/>
          <w:color w:val="000000"/>
        </w:rPr>
        <w:t>17151/INFOEM/ICR-142/IP/RR/2022</w:t>
      </w:r>
      <w:r w:rsidRPr="000765DC">
        <w:rPr>
          <w:rFonts w:cs="Tahoma"/>
          <w:b/>
          <w:bCs/>
          <w:color w:val="0D0D0D" w:themeColor="text1" w:themeTint="F2"/>
        </w:rPr>
        <w:t>,</w:t>
      </w:r>
      <w:r w:rsidRPr="00D94C5F">
        <w:rPr>
          <w:rFonts w:cs="Tahoma"/>
          <w:b/>
          <w:color w:val="0D0D0D" w:themeColor="text1" w:themeTint="F2"/>
        </w:rPr>
        <w:t xml:space="preserve"> </w:t>
      </w:r>
      <w:r w:rsidRPr="00D94C5F">
        <w:rPr>
          <w:rFonts w:eastAsia="Calibri" w:cs="Tahoma"/>
          <w:bCs/>
          <w:color w:val="0D0D0D" w:themeColor="text1" w:themeTint="F2"/>
        </w:rPr>
        <w:t>en términos de</w:t>
      </w:r>
      <w:r>
        <w:rPr>
          <w:rFonts w:eastAsia="Calibri" w:cs="Tahoma"/>
          <w:bCs/>
          <w:color w:val="0D0D0D" w:themeColor="text1" w:themeTint="F2"/>
        </w:rPr>
        <w:t xml:space="preserve"> los</w:t>
      </w:r>
      <w:r w:rsidRPr="00D94C5F">
        <w:rPr>
          <w:rFonts w:eastAsia="Calibri" w:cs="Tahoma"/>
          <w:bCs/>
          <w:color w:val="0D0D0D" w:themeColor="text1" w:themeTint="F2"/>
        </w:rPr>
        <w:t xml:space="preserve"> considerando</w:t>
      </w:r>
      <w:r>
        <w:rPr>
          <w:rFonts w:eastAsia="Calibri" w:cs="Tahoma"/>
          <w:bCs/>
          <w:color w:val="0D0D0D" w:themeColor="text1" w:themeTint="F2"/>
        </w:rPr>
        <w:t>s</w:t>
      </w:r>
      <w:r w:rsidRPr="00D94C5F">
        <w:rPr>
          <w:rFonts w:eastAsia="Calibri" w:cs="Tahoma"/>
          <w:bCs/>
          <w:color w:val="0D0D0D" w:themeColor="text1" w:themeTint="F2"/>
        </w:rPr>
        <w:t xml:space="preserve"> </w:t>
      </w:r>
      <w:r w:rsidRPr="000765DC">
        <w:rPr>
          <w:rFonts w:eastAsia="Calibri" w:cs="Tahoma"/>
          <w:bCs/>
          <w:color w:val="0D0D0D" w:themeColor="text1" w:themeTint="F2"/>
        </w:rPr>
        <w:t xml:space="preserve">QUINTO </w:t>
      </w:r>
      <w:r w:rsidRPr="000765DC">
        <w:rPr>
          <w:rFonts w:eastAsia="Calibri" w:cs="Tahoma"/>
          <w:color w:val="0D0D0D" w:themeColor="text1" w:themeTint="F2"/>
        </w:rPr>
        <w:t>y</w:t>
      </w:r>
      <w:r w:rsidRPr="000765DC">
        <w:rPr>
          <w:rFonts w:eastAsia="Calibri" w:cs="Tahoma"/>
          <w:bCs/>
          <w:color w:val="0D0D0D" w:themeColor="text1" w:themeTint="F2"/>
        </w:rPr>
        <w:t xml:space="preserve"> SEXTO</w:t>
      </w:r>
      <w:r w:rsidRPr="00D94C5F">
        <w:rPr>
          <w:rFonts w:eastAsia="Calibri" w:cs="Tahoma"/>
          <w:b/>
          <w:bCs/>
          <w:color w:val="0D0D0D" w:themeColor="text1" w:themeTint="F2"/>
        </w:rPr>
        <w:t xml:space="preserve"> </w:t>
      </w:r>
      <w:r w:rsidRPr="00D94C5F">
        <w:rPr>
          <w:rFonts w:eastAsia="Calibri" w:cs="Tahoma"/>
          <w:bCs/>
          <w:color w:val="0D0D0D" w:themeColor="text1" w:themeTint="F2"/>
        </w:rPr>
        <w:t>de la presente Resolución.</w:t>
      </w:r>
    </w:p>
    <w:p w14:paraId="5819FDEA" w14:textId="77777777" w:rsidR="006E64F0" w:rsidRPr="008F62DB" w:rsidRDefault="006E64F0" w:rsidP="006E64F0">
      <w:pPr>
        <w:tabs>
          <w:tab w:val="right" w:pos="8838"/>
        </w:tabs>
        <w:spacing w:line="360" w:lineRule="auto"/>
        <w:contextualSpacing/>
        <w:rPr>
          <w:rFonts w:eastAsia="Calibri" w:cs="Tahoma"/>
        </w:rPr>
      </w:pPr>
    </w:p>
    <w:p w14:paraId="4FC3C0E0" w14:textId="77777777" w:rsidR="004F01AC" w:rsidRPr="004F01AC" w:rsidRDefault="006E64F0" w:rsidP="004F01AC">
      <w:pPr>
        <w:spacing w:line="360" w:lineRule="auto"/>
        <w:contextualSpacing/>
        <w:rPr>
          <w:rFonts w:eastAsia="Times New Roman" w:cs="Tahoma"/>
          <w:color w:val="auto"/>
          <w:lang w:eastAsia="es-ES"/>
        </w:rPr>
      </w:pPr>
      <w:r w:rsidRPr="00CE7FE6">
        <w:rPr>
          <w:rFonts w:eastAsia="Calibri" w:cs="Tahoma"/>
          <w:b/>
          <w:bCs/>
          <w:iCs/>
          <w:color w:val="000000"/>
        </w:rPr>
        <w:t xml:space="preserve">SEGUNDO. </w:t>
      </w:r>
      <w:r w:rsidR="004F01AC" w:rsidRPr="004F01AC">
        <w:rPr>
          <w:rFonts w:eastAsia="Times New Roman" w:cs="Tahoma"/>
          <w:color w:val="auto"/>
          <w:lang w:val="es-ES" w:eastAsia="es-ES"/>
        </w:rPr>
        <w:t xml:space="preserve">Se </w:t>
      </w:r>
      <w:r w:rsidR="004F01AC" w:rsidRPr="004F01AC">
        <w:rPr>
          <w:rFonts w:eastAsia="Times New Roman" w:cs="Tahoma"/>
          <w:b/>
          <w:color w:val="auto"/>
          <w:lang w:val="es-ES" w:eastAsia="es-ES"/>
        </w:rPr>
        <w:t>ORDENA</w:t>
      </w:r>
      <w:r w:rsidR="004F01AC" w:rsidRPr="004F01AC">
        <w:rPr>
          <w:rFonts w:eastAsia="Times New Roman" w:cs="Tahoma"/>
          <w:color w:val="auto"/>
          <w:lang w:val="es-ES" w:eastAsia="es-ES"/>
        </w:rPr>
        <w:t xml:space="preserve"> al Sujeto Obligado, </w:t>
      </w:r>
      <w:r w:rsidR="004F01AC" w:rsidRPr="004F01AC">
        <w:rPr>
          <w:rFonts w:eastAsia="Times New Roman" w:cs="Tahoma"/>
          <w:bCs/>
          <w:color w:val="auto"/>
          <w:lang w:eastAsia="es-ES"/>
        </w:rPr>
        <w:t xml:space="preserve">a efecto de que previa búsqueda exhaustiva y razonable, en las unidades administrativas competentes, entregue </w:t>
      </w:r>
      <w:r w:rsidR="004F01AC" w:rsidRPr="004F01AC">
        <w:rPr>
          <w:rFonts w:eastAsia="Times New Roman" w:cs="Tahoma"/>
          <w:color w:val="auto"/>
          <w:lang w:val="es-ES" w:eastAsia="es-ES"/>
        </w:rPr>
        <w:t>a través del Sistema de Acceso a la Información Mexiquense (SAIMEX), en su caso, en versión pública,</w:t>
      </w:r>
      <w:r w:rsidR="004F01AC" w:rsidRPr="004F01AC">
        <w:rPr>
          <w:rFonts w:eastAsia="Times New Roman" w:cs="Tahoma"/>
          <w:color w:val="auto"/>
          <w:lang w:eastAsia="es-ES"/>
        </w:rPr>
        <w:t xml:space="preserve"> respecto a los procedimientos de contratación de servicios de asesoría, realizados del siete de noviembre de dos mil veintiuno al siete de noviembre de dos mil veintidós, los documentos donde conste lo siguiente:</w:t>
      </w:r>
    </w:p>
    <w:p w14:paraId="23CB26CC" w14:textId="77777777" w:rsidR="004F01AC" w:rsidRPr="004F01AC" w:rsidRDefault="004F01AC" w:rsidP="004F01AC">
      <w:pPr>
        <w:spacing w:after="0" w:line="360" w:lineRule="auto"/>
        <w:contextualSpacing/>
        <w:rPr>
          <w:rFonts w:eastAsia="Times New Roman" w:cs="Tahoma"/>
          <w:color w:val="auto"/>
          <w:lang w:eastAsia="es-ES"/>
        </w:rPr>
      </w:pPr>
    </w:p>
    <w:p w14:paraId="439C1648" w14:textId="77777777" w:rsidR="004F01AC" w:rsidRDefault="004F01AC" w:rsidP="004F01AC">
      <w:pPr>
        <w:numPr>
          <w:ilvl w:val="0"/>
          <w:numId w:val="11"/>
        </w:numPr>
        <w:spacing w:after="0" w:line="360" w:lineRule="auto"/>
        <w:contextualSpacing/>
        <w:jc w:val="left"/>
        <w:rPr>
          <w:rFonts w:eastAsia="Times New Roman" w:cs="Tahoma"/>
          <w:color w:val="0D0D0D" w:themeColor="text1" w:themeTint="F2"/>
          <w:lang w:eastAsia="es-ES"/>
        </w:rPr>
      </w:pPr>
      <w:r w:rsidRPr="004F01AC">
        <w:rPr>
          <w:rFonts w:eastAsia="Times New Roman" w:cs="Tahoma"/>
          <w:color w:val="0D0D0D" w:themeColor="text1" w:themeTint="F2"/>
          <w:lang w:eastAsia="es-ES"/>
        </w:rPr>
        <w:t>Solicitud de contratación por el área requirente, y</w:t>
      </w:r>
    </w:p>
    <w:p w14:paraId="19D3D775" w14:textId="77777777" w:rsidR="004F01AC" w:rsidRPr="004F01AC" w:rsidRDefault="004F01AC" w:rsidP="004F01AC">
      <w:pPr>
        <w:spacing w:after="0" w:line="360" w:lineRule="auto"/>
        <w:ind w:left="720"/>
        <w:contextualSpacing/>
        <w:jc w:val="left"/>
        <w:rPr>
          <w:rFonts w:eastAsia="Times New Roman" w:cs="Tahoma"/>
          <w:color w:val="0D0D0D" w:themeColor="text1" w:themeTint="F2"/>
          <w:lang w:eastAsia="es-ES"/>
        </w:rPr>
      </w:pPr>
    </w:p>
    <w:p w14:paraId="560FAE82" w14:textId="77777777" w:rsidR="004F01AC" w:rsidRPr="004F01AC" w:rsidRDefault="004F01AC" w:rsidP="004F01AC">
      <w:pPr>
        <w:numPr>
          <w:ilvl w:val="0"/>
          <w:numId w:val="11"/>
        </w:numPr>
        <w:spacing w:after="0" w:line="360" w:lineRule="auto"/>
        <w:contextualSpacing/>
        <w:jc w:val="left"/>
        <w:rPr>
          <w:rFonts w:eastAsia="Times New Roman" w:cs="Tahoma"/>
          <w:color w:val="0D0D0D" w:themeColor="text1" w:themeTint="F2"/>
          <w:lang w:eastAsia="es-ES"/>
        </w:rPr>
      </w:pPr>
      <w:r w:rsidRPr="004F01AC">
        <w:rPr>
          <w:rFonts w:eastAsia="Times New Roman" w:cs="Tahoma"/>
          <w:color w:val="0D0D0D" w:themeColor="text1" w:themeTint="F2"/>
          <w:lang w:eastAsia="es-ES"/>
        </w:rPr>
        <w:t>Facturas de pago.</w:t>
      </w:r>
    </w:p>
    <w:p w14:paraId="32A68FB6" w14:textId="77777777" w:rsidR="004F01AC" w:rsidRPr="004F01AC" w:rsidRDefault="004F01AC" w:rsidP="004F01AC">
      <w:pPr>
        <w:spacing w:after="0" w:line="360" w:lineRule="auto"/>
        <w:rPr>
          <w:rFonts w:eastAsia="Times New Roman" w:cs="Tahoma"/>
          <w:color w:val="auto"/>
          <w:lang w:val="es-ES" w:eastAsia="es-ES"/>
        </w:rPr>
      </w:pPr>
    </w:p>
    <w:p w14:paraId="3AE414D4" w14:textId="77777777" w:rsidR="004F01AC" w:rsidRPr="004F01AC" w:rsidRDefault="004F01AC" w:rsidP="004F01AC">
      <w:pPr>
        <w:tabs>
          <w:tab w:val="left" w:pos="4962"/>
        </w:tabs>
        <w:spacing w:after="0" w:line="360" w:lineRule="auto"/>
        <w:contextualSpacing/>
        <w:rPr>
          <w:rFonts w:eastAsia="Calibri" w:cs="Tahoma"/>
          <w:bCs/>
          <w:iCs/>
          <w:color w:val="auto"/>
          <w:lang w:val="es-ES"/>
        </w:rPr>
      </w:pPr>
      <w:r w:rsidRPr="004F01AC">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AFFEF71" w14:textId="77777777" w:rsidR="004F01AC" w:rsidRPr="004F01AC" w:rsidRDefault="004F01AC" w:rsidP="004F01AC">
      <w:pPr>
        <w:spacing w:after="0" w:line="360" w:lineRule="auto"/>
        <w:contextualSpacing/>
        <w:rPr>
          <w:rFonts w:eastAsia="Calibri" w:cs="Tahoma"/>
          <w:iCs/>
          <w:color w:val="000000"/>
        </w:rPr>
      </w:pPr>
    </w:p>
    <w:p w14:paraId="2791A781" w14:textId="77777777" w:rsidR="004F01AC" w:rsidRPr="004F01AC" w:rsidRDefault="004F01AC" w:rsidP="004F01AC">
      <w:pPr>
        <w:spacing w:after="0" w:line="360" w:lineRule="auto"/>
        <w:contextualSpacing/>
        <w:rPr>
          <w:rFonts w:eastAsia="Calibri" w:cs="Tahoma"/>
          <w:iCs/>
          <w:color w:val="000000"/>
        </w:rPr>
      </w:pPr>
      <w:r w:rsidRPr="004F01AC">
        <w:rPr>
          <w:rFonts w:eastAsia="Times New Roman" w:cs="Tahoma"/>
          <w:color w:val="auto"/>
          <w:lang w:eastAsia="es-ES"/>
        </w:rPr>
        <w:t>Para el caso, de que no haya contratado los servicios de asesoría, en el periodo referido, deberá hacerlo del conocimiento del ahora Recurrente, de manera clara y precisa.</w:t>
      </w:r>
    </w:p>
    <w:p w14:paraId="6897C318" w14:textId="3097EF4A" w:rsidR="006E64F0" w:rsidRDefault="006E64F0" w:rsidP="004F01AC">
      <w:pPr>
        <w:spacing w:line="360" w:lineRule="auto"/>
        <w:contextualSpacing/>
        <w:rPr>
          <w:rFonts w:eastAsia="Calibri" w:cs="Tahoma"/>
          <w:iCs/>
          <w:color w:val="000000"/>
        </w:rPr>
      </w:pPr>
    </w:p>
    <w:p w14:paraId="212464C2" w14:textId="77777777" w:rsidR="006E64F0" w:rsidRDefault="006E64F0" w:rsidP="006E64F0">
      <w:pPr>
        <w:spacing w:line="360" w:lineRule="auto"/>
        <w:contextualSpacing/>
        <w:rPr>
          <w:rFonts w:cs="Tahoma"/>
          <w:color w:val="0D0D0D" w:themeColor="text1" w:themeTint="F2"/>
        </w:rPr>
      </w:pPr>
      <w:r w:rsidRPr="00D94C5F">
        <w:rPr>
          <w:rFonts w:eastAsia="Calibri" w:cs="Tahoma"/>
          <w:b/>
          <w:bCs/>
          <w:iCs/>
          <w:color w:val="0D0D0D" w:themeColor="text1" w:themeTint="F2"/>
          <w:lang w:val="es-ES"/>
        </w:rPr>
        <w:t>TERCERO</w:t>
      </w:r>
      <w:r w:rsidRPr="00D94C5F">
        <w:rPr>
          <w:rFonts w:eastAsia="Calibri" w:cs="Tahoma"/>
          <w:b/>
          <w:bCs/>
          <w:color w:val="0D0D0D" w:themeColor="text1" w:themeTint="F2"/>
        </w:rPr>
        <w:t xml:space="preserve">. </w:t>
      </w:r>
      <w:r w:rsidRPr="00D94C5F">
        <w:rPr>
          <w:rFonts w:cs="Tahoma"/>
          <w:b/>
          <w:color w:val="0D0D0D" w:themeColor="text1" w:themeTint="F2"/>
        </w:rPr>
        <w:t xml:space="preserve">NOTIFÍQUESE </w:t>
      </w:r>
      <w:r w:rsidRPr="00D94C5F">
        <w:rPr>
          <w:rFonts w:cs="Tahoma"/>
          <w:color w:val="0D0D0D" w:themeColor="text1" w:themeTint="F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D94C5F">
        <w:rPr>
          <w:rFonts w:cs="Tahoma"/>
          <w:color w:val="0D0D0D" w:themeColor="text1" w:themeTint="F2"/>
        </w:rPr>
        <w:lastRenderedPageBreak/>
        <w:t xml:space="preserve">Municipios; dé cumplimiento a lo ordenado dentro del plazo de </w:t>
      </w:r>
      <w:r>
        <w:rPr>
          <w:rFonts w:cs="Tahoma"/>
          <w:color w:val="0D0D0D" w:themeColor="text1" w:themeTint="F2"/>
        </w:rPr>
        <w:t>diez</w:t>
      </w:r>
      <w:r w:rsidRPr="00D94C5F">
        <w:rPr>
          <w:rFonts w:cs="Tahoma"/>
          <w:color w:val="0D0D0D" w:themeColor="text1" w:themeTint="F2"/>
        </w:rPr>
        <w:t xml:space="preserve"> días hábiles, e informe a este Instituto en un plazo de tres días hábiles siguientes sobre el cumplimiento dado a la presente.</w:t>
      </w:r>
    </w:p>
    <w:p w14:paraId="0C3A35AE" w14:textId="77777777" w:rsidR="006E64F0" w:rsidRDefault="006E64F0" w:rsidP="006E64F0">
      <w:pPr>
        <w:spacing w:line="360" w:lineRule="auto"/>
        <w:contextualSpacing/>
        <w:rPr>
          <w:rFonts w:cs="Tahoma"/>
          <w:color w:val="0D0D0D" w:themeColor="text1" w:themeTint="F2"/>
        </w:rPr>
      </w:pPr>
    </w:p>
    <w:p w14:paraId="302A0777" w14:textId="77777777" w:rsidR="006E64F0" w:rsidRPr="00A67BA0" w:rsidRDefault="006E64F0" w:rsidP="006E64F0">
      <w:pPr>
        <w:widowControl w:val="0"/>
        <w:spacing w:line="360" w:lineRule="auto"/>
        <w:contextualSpacing/>
        <w:rPr>
          <w:rFonts w:cs="Tahoma"/>
          <w:color w:val="0D0D0D" w:themeColor="text1" w:themeTint="F2"/>
        </w:rPr>
      </w:pPr>
      <w:r>
        <w:rPr>
          <w:rFonts w:eastAsia="Calibri" w:cs="Tahoma"/>
          <w:b/>
          <w:bCs/>
          <w:iCs/>
          <w:color w:val="0D0D0D" w:themeColor="text1" w:themeTint="F2"/>
          <w:lang w:val="es-ES"/>
        </w:rPr>
        <w:t>CUARTO</w:t>
      </w:r>
      <w:r w:rsidRPr="00D94C5F">
        <w:rPr>
          <w:rFonts w:eastAsia="Calibri" w:cs="Tahoma"/>
          <w:bCs/>
          <w:iCs/>
          <w:color w:val="0D0D0D" w:themeColor="text1" w:themeTint="F2"/>
          <w:lang w:val="es-ES"/>
        </w:rPr>
        <w:t>.</w:t>
      </w:r>
      <w:r w:rsidRPr="00D94C5F">
        <w:rPr>
          <w:rFonts w:cs="Tahoma"/>
          <w:b/>
          <w:color w:val="0D0D0D" w:themeColor="text1" w:themeTint="F2"/>
        </w:rPr>
        <w:t>NOTIFÍQUESE</w:t>
      </w:r>
      <w:r w:rsidRPr="00D94C5F">
        <w:rPr>
          <w:rFonts w:cs="Tahoma"/>
          <w:color w:val="0D0D0D" w:themeColor="text1" w:themeTint="F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76D1CFF" w14:textId="77777777" w:rsidR="006E64F0" w:rsidRDefault="006E64F0" w:rsidP="006E64F0">
      <w:pPr>
        <w:spacing w:line="360" w:lineRule="auto"/>
        <w:ind w:right="-93"/>
        <w:contextualSpacing/>
        <w:rPr>
          <w:rFonts w:eastAsia="Calibri" w:cs="Tahoma"/>
          <w:bCs/>
          <w:color w:val="0D0D0D" w:themeColor="text1" w:themeTint="F2"/>
        </w:rPr>
      </w:pPr>
    </w:p>
    <w:p w14:paraId="0FFE4865" w14:textId="77777777" w:rsidR="006E64F0" w:rsidRPr="00CC4FF1" w:rsidRDefault="006E64F0" w:rsidP="006E64F0">
      <w:pPr>
        <w:spacing w:line="360" w:lineRule="auto"/>
        <w:contextualSpacing/>
      </w:pPr>
      <w:r w:rsidRPr="00CC4FF1">
        <w:rPr>
          <w:b/>
          <w:bCs/>
        </w:rPr>
        <w:t>QUINTO.</w:t>
      </w:r>
      <w:r w:rsidRPr="00CC4FF1">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92BF16E" w14:textId="77777777" w:rsidR="006E64F0" w:rsidRDefault="006E64F0" w:rsidP="006E64F0">
      <w:pPr>
        <w:spacing w:line="360" w:lineRule="auto"/>
        <w:ind w:right="-93"/>
        <w:contextualSpacing/>
        <w:rPr>
          <w:rFonts w:eastAsia="Calibri" w:cs="Tahoma"/>
          <w:bCs/>
          <w:color w:val="0D0D0D" w:themeColor="text1" w:themeTint="F2"/>
        </w:rPr>
      </w:pPr>
    </w:p>
    <w:p w14:paraId="15D9DF48" w14:textId="1DFE0D76" w:rsidR="006E64F0" w:rsidRDefault="006E64F0" w:rsidP="006E64F0">
      <w:pPr>
        <w:spacing w:line="360" w:lineRule="auto"/>
        <w:contextualSpacing/>
        <w:rPr>
          <w:rFonts w:eastAsia="Calibri" w:cs="Tahoma"/>
          <w:lang w:val="es-ES" w:eastAsia="es-ES_tradnl"/>
        </w:rPr>
      </w:pPr>
      <w:r>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80A9E">
        <w:rPr>
          <w:rFonts w:eastAsia="Calibri" w:cs="Tahoma"/>
          <w:lang w:val="es-ES" w:eastAsia="es-ES_tradnl"/>
        </w:rPr>
        <w:t xml:space="preserve">DÉCIMA SEGUNDA </w:t>
      </w:r>
      <w:r>
        <w:rPr>
          <w:rFonts w:eastAsia="Calibri" w:cs="Tahoma"/>
          <w:lang w:val="es-ES" w:eastAsia="es-ES_tradnl"/>
        </w:rPr>
        <w:t xml:space="preserve">SESIÓN ORDINARIA, CELEBRADA EL </w:t>
      </w:r>
      <w:r w:rsidR="00880A9E">
        <w:rPr>
          <w:rFonts w:eastAsia="Calibri" w:cs="Tahoma"/>
          <w:lang w:val="es-ES" w:eastAsia="es-ES_tradnl"/>
        </w:rPr>
        <w:t xml:space="preserve">VEINTINUEVE </w:t>
      </w:r>
      <w:r>
        <w:rPr>
          <w:rFonts w:eastAsia="Calibri" w:cs="Tahoma"/>
          <w:lang w:val="es-ES" w:eastAsia="es-ES_tradnl"/>
        </w:rPr>
        <w:t>DE MARZO DE DOS MIL VEINTITRÉS, ANTE EL SECRETARIO TÉCNICO DEL PLENO, ALEXIS TAPIA RAMÍREZ.</w:t>
      </w:r>
    </w:p>
    <w:p w14:paraId="1574EE06" w14:textId="2AEEDBD8" w:rsidR="008A2DAF" w:rsidRDefault="008A2DAF">
      <w:pPr>
        <w:jc w:val="left"/>
      </w:pPr>
      <w:r>
        <w:br w:type="page"/>
      </w:r>
    </w:p>
    <w:p w14:paraId="2874A538" w14:textId="77777777" w:rsidR="00880A9E" w:rsidRDefault="00880A9E" w:rsidP="006E64F0">
      <w:pPr>
        <w:spacing w:after="0" w:line="360" w:lineRule="auto"/>
        <w:contextualSpacing/>
      </w:pPr>
    </w:p>
    <w:sectPr w:rsidR="00880A9E" w:rsidSect="001963CE">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F84D" w14:textId="77777777" w:rsidR="00F57A05" w:rsidRDefault="00F57A05" w:rsidP="00EC77D9">
      <w:pPr>
        <w:spacing w:after="0" w:line="240" w:lineRule="auto"/>
      </w:pPr>
      <w:r>
        <w:separator/>
      </w:r>
    </w:p>
  </w:endnote>
  <w:endnote w:type="continuationSeparator" w:id="0">
    <w:p w14:paraId="21B66E0C" w14:textId="77777777" w:rsidR="00F57A05" w:rsidRDefault="00F57A05"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19C8">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19C8">
              <w:rPr>
                <w:b/>
                <w:bCs/>
                <w:noProof/>
              </w:rPr>
              <w:t>26</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19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19C8">
              <w:rPr>
                <w:b/>
                <w:bCs/>
                <w:noProof/>
              </w:rPr>
              <w:t>26</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CC17" w14:textId="77777777" w:rsidR="00F57A05" w:rsidRDefault="00F57A05" w:rsidP="00EC77D9">
      <w:pPr>
        <w:spacing w:after="0" w:line="240" w:lineRule="auto"/>
      </w:pPr>
      <w:r>
        <w:separator/>
      </w:r>
    </w:p>
  </w:footnote>
  <w:footnote w:type="continuationSeparator" w:id="0">
    <w:p w14:paraId="3D182CA4" w14:textId="77777777" w:rsidR="00F57A05" w:rsidRDefault="00F57A05"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8A2DAF">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8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8"/>
    </w:tblGrid>
    <w:tr w:rsidR="001963CE" w:rsidRPr="00E152D8" w14:paraId="62A5EE36" w14:textId="77777777" w:rsidTr="004F01AC">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828" w:type="dxa"/>
        </w:tcPr>
        <w:p w14:paraId="1A41A00E" w14:textId="2999F451" w:rsidR="001963CE" w:rsidRPr="00051642" w:rsidRDefault="00B429D2" w:rsidP="00880A9E">
          <w:pPr>
            <w:tabs>
              <w:tab w:val="right" w:pos="8838"/>
            </w:tabs>
            <w:ind w:left="-57" w:right="-32"/>
            <w:rPr>
              <w:rFonts w:eastAsia="Calibri" w:cs="Tahoma"/>
            </w:rPr>
          </w:pPr>
          <w:r>
            <w:rPr>
              <w:color w:val="000000"/>
            </w:rPr>
            <w:t>17151/INFOEM/ICR-142/IP/RR/2022</w:t>
          </w:r>
        </w:p>
      </w:tc>
    </w:tr>
    <w:tr w:rsidR="009E6F8A" w:rsidRPr="00E152D8" w14:paraId="25EB3B4F" w14:textId="77777777" w:rsidTr="004F01AC">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8" w:type="dxa"/>
        </w:tcPr>
        <w:p w14:paraId="16B12BD5" w14:textId="23186AE0" w:rsidR="009E6F8A" w:rsidRPr="00051642" w:rsidRDefault="000C006D" w:rsidP="00880A9E">
          <w:pPr>
            <w:tabs>
              <w:tab w:val="right" w:pos="8838"/>
            </w:tabs>
            <w:ind w:left="-57" w:right="-32"/>
            <w:rPr>
              <w:rFonts w:eastAsia="Calibri" w:cs="Tahoma"/>
              <w:lang w:val="es-MX"/>
            </w:rPr>
          </w:pPr>
          <w:r>
            <w:rPr>
              <w:color w:val="000000"/>
            </w:rPr>
            <w:t>Ayuntamiento de Zinacantepec</w:t>
          </w:r>
        </w:p>
      </w:tc>
    </w:tr>
    <w:tr w:rsidR="009E6F8A" w:rsidRPr="00E152D8" w14:paraId="2B76E1FC" w14:textId="77777777" w:rsidTr="004F01AC">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828" w:type="dxa"/>
        </w:tcPr>
        <w:p w14:paraId="103DBC8B" w14:textId="77777777" w:rsidR="009E6F8A" w:rsidRPr="00E152D8" w:rsidRDefault="009E6F8A" w:rsidP="00880A9E">
          <w:pPr>
            <w:tabs>
              <w:tab w:val="right" w:pos="8838"/>
            </w:tabs>
            <w:ind w:left="-57" w:right="-32"/>
            <w:rPr>
              <w:rFonts w:eastAsia="Calibri" w:cs="Tahoma"/>
              <w:b/>
              <w:lang w:val="es-MX"/>
            </w:rPr>
          </w:pPr>
          <w:r w:rsidRPr="00E152D8">
            <w:rPr>
              <w:rFonts w:eastAsia="Calibri" w:cs="Tahoma"/>
              <w:lang w:val="es-MX"/>
            </w:rPr>
            <w:t>Luis Gustavo Parra Noriega</w:t>
          </w:r>
        </w:p>
      </w:tc>
    </w:tr>
  </w:tbl>
  <w:p w14:paraId="0AC850F3" w14:textId="77777777" w:rsidR="001963CE" w:rsidRDefault="008A2DAF"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tblGrid>
    <w:tr w:rsidR="001963CE" w:rsidRPr="00E152D8" w14:paraId="03E85E0E" w14:textId="77777777" w:rsidTr="00B429D2">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827" w:type="dxa"/>
        </w:tcPr>
        <w:p w14:paraId="1E6AD7E0" w14:textId="0431283F" w:rsidR="001963CE" w:rsidRPr="00880A9E" w:rsidRDefault="00B429D2" w:rsidP="001963CE">
          <w:pPr>
            <w:tabs>
              <w:tab w:val="right" w:pos="8838"/>
            </w:tabs>
            <w:ind w:left="-111" w:right="-32"/>
            <w:rPr>
              <w:rFonts w:eastAsia="Calibri" w:cs="Tahoma"/>
            </w:rPr>
          </w:pPr>
          <w:r>
            <w:rPr>
              <w:color w:val="000000"/>
            </w:rPr>
            <w:t>17151/INFOEM/ICR-142/IP/RR/2022</w:t>
          </w:r>
        </w:p>
      </w:tc>
    </w:tr>
    <w:tr w:rsidR="001963CE" w:rsidRPr="00E152D8" w14:paraId="5E1FE5FD" w14:textId="77777777" w:rsidTr="00B429D2">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7" w:type="dxa"/>
        </w:tcPr>
        <w:p w14:paraId="6517D3A9" w14:textId="690ED485"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B429D2">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7" w:type="dxa"/>
        </w:tcPr>
        <w:p w14:paraId="58768412" w14:textId="18D96B6D" w:rsidR="001963CE" w:rsidRPr="00463532" w:rsidRDefault="000C006D" w:rsidP="001963CE">
          <w:pPr>
            <w:tabs>
              <w:tab w:val="right" w:pos="8838"/>
            </w:tabs>
            <w:ind w:left="-111" w:right="-32"/>
            <w:rPr>
              <w:rFonts w:eastAsia="Calibri" w:cs="Tahoma"/>
              <w:lang w:val="es-MX"/>
            </w:rPr>
          </w:pPr>
          <w:r>
            <w:rPr>
              <w:color w:val="000000"/>
            </w:rPr>
            <w:t>Ayuntamiento de Zinacantepec</w:t>
          </w:r>
        </w:p>
      </w:tc>
    </w:tr>
    <w:tr w:rsidR="001963CE" w:rsidRPr="00E152D8" w14:paraId="3EC166B6" w14:textId="77777777" w:rsidTr="00B429D2">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827"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8A2DAF"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5A18"/>
    <w:multiLevelType w:val="hybridMultilevel"/>
    <w:tmpl w:val="2CBEECDC"/>
    <w:lvl w:ilvl="0" w:tplc="0DB09930">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957890"/>
    <w:multiLevelType w:val="hybridMultilevel"/>
    <w:tmpl w:val="DBA4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9F0258"/>
    <w:multiLevelType w:val="hybridMultilevel"/>
    <w:tmpl w:val="1284A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9118657">
    <w:abstractNumId w:val="4"/>
  </w:num>
  <w:num w:numId="2" w16cid:durableId="580917736">
    <w:abstractNumId w:val="9"/>
  </w:num>
  <w:num w:numId="3" w16cid:durableId="729381508">
    <w:abstractNumId w:val="6"/>
  </w:num>
  <w:num w:numId="4" w16cid:durableId="1646592542">
    <w:abstractNumId w:val="5"/>
  </w:num>
  <w:num w:numId="5" w16cid:durableId="572933518">
    <w:abstractNumId w:val="10"/>
  </w:num>
  <w:num w:numId="6" w16cid:durableId="381100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366656">
    <w:abstractNumId w:val="0"/>
  </w:num>
  <w:num w:numId="8" w16cid:durableId="1569072698">
    <w:abstractNumId w:val="1"/>
  </w:num>
  <w:num w:numId="9" w16cid:durableId="1295868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918718">
    <w:abstractNumId w:val="3"/>
  </w:num>
  <w:num w:numId="11" w16cid:durableId="24989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44E2"/>
    <w:rsid w:val="00020AB8"/>
    <w:rsid w:val="00047686"/>
    <w:rsid w:val="00066A9E"/>
    <w:rsid w:val="000728A7"/>
    <w:rsid w:val="00077B14"/>
    <w:rsid w:val="00081C90"/>
    <w:rsid w:val="000823E5"/>
    <w:rsid w:val="00090CD7"/>
    <w:rsid w:val="000A7942"/>
    <w:rsid w:val="000C006D"/>
    <w:rsid w:val="000D30AB"/>
    <w:rsid w:val="000E66DB"/>
    <w:rsid w:val="000F5705"/>
    <w:rsid w:val="00107737"/>
    <w:rsid w:val="00122140"/>
    <w:rsid w:val="0013258E"/>
    <w:rsid w:val="00141861"/>
    <w:rsid w:val="001448D9"/>
    <w:rsid w:val="00172038"/>
    <w:rsid w:val="001756F2"/>
    <w:rsid w:val="00182C11"/>
    <w:rsid w:val="001928BD"/>
    <w:rsid w:val="001952CF"/>
    <w:rsid w:val="001963CE"/>
    <w:rsid w:val="00196794"/>
    <w:rsid w:val="001B0790"/>
    <w:rsid w:val="001E7AFC"/>
    <w:rsid w:val="001F55A5"/>
    <w:rsid w:val="00206B4A"/>
    <w:rsid w:val="00265B53"/>
    <w:rsid w:val="00272CCE"/>
    <w:rsid w:val="002762F3"/>
    <w:rsid w:val="002A5660"/>
    <w:rsid w:val="002C09CF"/>
    <w:rsid w:val="002D2283"/>
    <w:rsid w:val="002D5863"/>
    <w:rsid w:val="003044BA"/>
    <w:rsid w:val="00311C91"/>
    <w:rsid w:val="00341982"/>
    <w:rsid w:val="00356A74"/>
    <w:rsid w:val="003573E6"/>
    <w:rsid w:val="00365A89"/>
    <w:rsid w:val="003D0090"/>
    <w:rsid w:val="003D06B5"/>
    <w:rsid w:val="003E3B2A"/>
    <w:rsid w:val="004061A3"/>
    <w:rsid w:val="004265F9"/>
    <w:rsid w:val="00430E8A"/>
    <w:rsid w:val="00451C54"/>
    <w:rsid w:val="00454CCA"/>
    <w:rsid w:val="00463532"/>
    <w:rsid w:val="00465182"/>
    <w:rsid w:val="00494A1F"/>
    <w:rsid w:val="00494ADB"/>
    <w:rsid w:val="004B54D0"/>
    <w:rsid w:val="004D7869"/>
    <w:rsid w:val="004E44D2"/>
    <w:rsid w:val="004F01AC"/>
    <w:rsid w:val="004F1F79"/>
    <w:rsid w:val="0054037C"/>
    <w:rsid w:val="00541CD3"/>
    <w:rsid w:val="005439B3"/>
    <w:rsid w:val="00563865"/>
    <w:rsid w:val="0058579C"/>
    <w:rsid w:val="005A6F65"/>
    <w:rsid w:val="005B78CE"/>
    <w:rsid w:val="005D1AB8"/>
    <w:rsid w:val="005F71FE"/>
    <w:rsid w:val="005F7AB9"/>
    <w:rsid w:val="006237A9"/>
    <w:rsid w:val="00636809"/>
    <w:rsid w:val="0065265A"/>
    <w:rsid w:val="00657F1C"/>
    <w:rsid w:val="006607EA"/>
    <w:rsid w:val="006724BD"/>
    <w:rsid w:val="00676A3B"/>
    <w:rsid w:val="00683E00"/>
    <w:rsid w:val="00686C69"/>
    <w:rsid w:val="00687A5B"/>
    <w:rsid w:val="00695D3F"/>
    <w:rsid w:val="006A271A"/>
    <w:rsid w:val="006C291D"/>
    <w:rsid w:val="006C35BB"/>
    <w:rsid w:val="006C5476"/>
    <w:rsid w:val="006E4CE6"/>
    <w:rsid w:val="006E64F0"/>
    <w:rsid w:val="006F011A"/>
    <w:rsid w:val="007202EE"/>
    <w:rsid w:val="00735203"/>
    <w:rsid w:val="007505E8"/>
    <w:rsid w:val="00782DF8"/>
    <w:rsid w:val="007D1ADE"/>
    <w:rsid w:val="007D5A4D"/>
    <w:rsid w:val="007D64DF"/>
    <w:rsid w:val="007D71D0"/>
    <w:rsid w:val="007F20F1"/>
    <w:rsid w:val="007F316A"/>
    <w:rsid w:val="00817C75"/>
    <w:rsid w:val="00823825"/>
    <w:rsid w:val="00840587"/>
    <w:rsid w:val="00842C30"/>
    <w:rsid w:val="00844441"/>
    <w:rsid w:val="00850E31"/>
    <w:rsid w:val="00860287"/>
    <w:rsid w:val="00880A9E"/>
    <w:rsid w:val="00886CD4"/>
    <w:rsid w:val="00894760"/>
    <w:rsid w:val="008A2DAF"/>
    <w:rsid w:val="008A3936"/>
    <w:rsid w:val="008C1A3E"/>
    <w:rsid w:val="008C7A9D"/>
    <w:rsid w:val="008D6B39"/>
    <w:rsid w:val="00911580"/>
    <w:rsid w:val="009174F4"/>
    <w:rsid w:val="00926D46"/>
    <w:rsid w:val="00927351"/>
    <w:rsid w:val="0093261A"/>
    <w:rsid w:val="0093576C"/>
    <w:rsid w:val="0097492D"/>
    <w:rsid w:val="00975E93"/>
    <w:rsid w:val="009E6F8A"/>
    <w:rsid w:val="00A2050F"/>
    <w:rsid w:val="00A3160A"/>
    <w:rsid w:val="00A419C8"/>
    <w:rsid w:val="00A64BAC"/>
    <w:rsid w:val="00A9167D"/>
    <w:rsid w:val="00AA0825"/>
    <w:rsid w:val="00AA4DA6"/>
    <w:rsid w:val="00AB2B19"/>
    <w:rsid w:val="00AE68A4"/>
    <w:rsid w:val="00AF590D"/>
    <w:rsid w:val="00B0253B"/>
    <w:rsid w:val="00B0598B"/>
    <w:rsid w:val="00B21155"/>
    <w:rsid w:val="00B24607"/>
    <w:rsid w:val="00B429D2"/>
    <w:rsid w:val="00B55C5D"/>
    <w:rsid w:val="00B617E5"/>
    <w:rsid w:val="00B61BF0"/>
    <w:rsid w:val="00BB2153"/>
    <w:rsid w:val="00BB3910"/>
    <w:rsid w:val="00BB7194"/>
    <w:rsid w:val="00BD5986"/>
    <w:rsid w:val="00BF1D96"/>
    <w:rsid w:val="00C0402C"/>
    <w:rsid w:val="00C47955"/>
    <w:rsid w:val="00C50842"/>
    <w:rsid w:val="00C555B3"/>
    <w:rsid w:val="00C60547"/>
    <w:rsid w:val="00C71C92"/>
    <w:rsid w:val="00C867B6"/>
    <w:rsid w:val="00C92269"/>
    <w:rsid w:val="00CA6980"/>
    <w:rsid w:val="00CB14D9"/>
    <w:rsid w:val="00CB3A3A"/>
    <w:rsid w:val="00CB7980"/>
    <w:rsid w:val="00CE0477"/>
    <w:rsid w:val="00CF5BEA"/>
    <w:rsid w:val="00D00E7E"/>
    <w:rsid w:val="00D01379"/>
    <w:rsid w:val="00D26876"/>
    <w:rsid w:val="00D47421"/>
    <w:rsid w:val="00D84796"/>
    <w:rsid w:val="00DA4C87"/>
    <w:rsid w:val="00DC3802"/>
    <w:rsid w:val="00DC6ABD"/>
    <w:rsid w:val="00DD6E79"/>
    <w:rsid w:val="00DE492D"/>
    <w:rsid w:val="00E003E9"/>
    <w:rsid w:val="00E075E2"/>
    <w:rsid w:val="00E1570C"/>
    <w:rsid w:val="00E36E12"/>
    <w:rsid w:val="00E40057"/>
    <w:rsid w:val="00E43F23"/>
    <w:rsid w:val="00E511FA"/>
    <w:rsid w:val="00E73471"/>
    <w:rsid w:val="00E84FAD"/>
    <w:rsid w:val="00EA0E69"/>
    <w:rsid w:val="00EB6538"/>
    <w:rsid w:val="00EC77D9"/>
    <w:rsid w:val="00F10CB5"/>
    <w:rsid w:val="00F27576"/>
    <w:rsid w:val="00F57A05"/>
    <w:rsid w:val="00F67477"/>
    <w:rsid w:val="00F84FF3"/>
    <w:rsid w:val="00F86FEF"/>
    <w:rsid w:val="00FA29C4"/>
    <w:rsid w:val="00FA65FF"/>
    <w:rsid w:val="00FA7798"/>
    <w:rsid w:val="00FB7385"/>
    <w:rsid w:val="00FC32A4"/>
    <w:rsid w:val="00FD11C2"/>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D922-EC09-4E60-A2DA-37614D34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6220</Words>
  <Characters>34216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2023-03-23T19:07:00Z</dcterms:created>
  <dcterms:modified xsi:type="dcterms:W3CDTF">2023-03-30T17:17:00Z</dcterms:modified>
</cp:coreProperties>
</file>