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2EFEF" w14:textId="758F2950" w:rsidR="00482B41" w:rsidRPr="00A93267" w:rsidRDefault="00482B41" w:rsidP="008976D2">
      <w:pPr>
        <w:spacing w:after="0" w:line="360" w:lineRule="auto"/>
        <w:contextualSpacing/>
        <w:rPr>
          <w:rFonts w:cs="Tahoma"/>
        </w:rPr>
      </w:pPr>
      <w:r w:rsidRPr="00A93267">
        <w:rPr>
          <w:rFonts w:cs="Tahoma"/>
        </w:rPr>
        <w:t>Resolución del Pleno del Instituto de Transparencia, Acceso a la Información Pública y Protección de Datos Personales del Estado de México y Municipios, con domicilio en Metepec, Estado de México, de fecha veintidós de febrero de dos mil veintitrés.</w:t>
      </w:r>
    </w:p>
    <w:p w14:paraId="447B56C7" w14:textId="77777777" w:rsidR="00482B41" w:rsidRPr="00A93267" w:rsidRDefault="00482B41" w:rsidP="008976D2">
      <w:pPr>
        <w:spacing w:after="0" w:line="360" w:lineRule="auto"/>
        <w:contextualSpacing/>
        <w:rPr>
          <w:rFonts w:cs="Tahoma"/>
          <w:bCs/>
        </w:rPr>
      </w:pPr>
    </w:p>
    <w:p w14:paraId="4ABCD78D" w14:textId="77426F4A" w:rsidR="00482B41" w:rsidRPr="00A93267" w:rsidRDefault="00482B41" w:rsidP="008976D2">
      <w:pPr>
        <w:spacing w:after="0" w:line="360" w:lineRule="auto"/>
        <w:contextualSpacing/>
        <w:rPr>
          <w:rFonts w:cs="Tahoma"/>
          <w:bCs/>
        </w:rPr>
      </w:pPr>
      <w:r w:rsidRPr="00A93267">
        <w:rPr>
          <w:rFonts w:cs="Tahoma"/>
          <w:b/>
          <w:bCs/>
        </w:rPr>
        <w:t xml:space="preserve">VISTO </w:t>
      </w:r>
      <w:r w:rsidRPr="00A93267">
        <w:rPr>
          <w:rFonts w:cs="Tahoma"/>
          <w:bCs/>
        </w:rPr>
        <w:t xml:space="preserve">el expediente conformado con motivo del Recurso de Revisión </w:t>
      </w:r>
      <w:r w:rsidRPr="00A93267">
        <w:rPr>
          <w:b/>
        </w:rPr>
        <w:t>16391/INFOEM/IP/RR/2022</w:t>
      </w:r>
      <w:r w:rsidRPr="00A93267">
        <w:rPr>
          <w:rFonts w:cs="Tahoma"/>
        </w:rPr>
        <w:t>, interpuesto el</w:t>
      </w:r>
      <w:r w:rsidRPr="00A93267">
        <w:t xml:space="preserve"> </w:t>
      </w:r>
      <w:r w:rsidRPr="00A93267">
        <w:rPr>
          <w:rFonts w:cs="Tahoma"/>
        </w:rPr>
        <w:t xml:space="preserve">Recurrente o Particular, en contra de la respuesta del Sujeto Obligado, Secretaría de Movilidad, a la solicitud de información con número </w:t>
      </w:r>
      <w:r w:rsidRPr="00A93267">
        <w:t>00522/SMOV/IP/2022</w:t>
      </w:r>
      <w:r w:rsidRPr="00A93267">
        <w:rPr>
          <w:rFonts w:cs="Tahoma"/>
        </w:rPr>
        <w:t>, se emite la presente Resolución, con base en los Antecedentes y Considerandos que</w:t>
      </w:r>
      <w:r w:rsidRPr="00A93267">
        <w:rPr>
          <w:rFonts w:cs="Tahoma"/>
          <w:bCs/>
        </w:rPr>
        <w:t xml:space="preserve"> se exponen a continuación:</w:t>
      </w:r>
    </w:p>
    <w:p w14:paraId="49A60C19" w14:textId="77777777" w:rsidR="00482B41" w:rsidRPr="00A93267" w:rsidRDefault="00482B41" w:rsidP="008976D2">
      <w:pPr>
        <w:spacing w:after="0" w:line="360" w:lineRule="auto"/>
        <w:contextualSpacing/>
        <w:rPr>
          <w:rFonts w:cs="Tahoma"/>
        </w:rPr>
      </w:pPr>
    </w:p>
    <w:p w14:paraId="022AE6B0" w14:textId="77777777" w:rsidR="00482B41" w:rsidRPr="00A93267" w:rsidRDefault="00482B41" w:rsidP="008976D2">
      <w:pPr>
        <w:tabs>
          <w:tab w:val="center" w:pos="4522"/>
          <w:tab w:val="left" w:pos="7245"/>
        </w:tabs>
        <w:spacing w:after="0" w:line="360" w:lineRule="auto"/>
        <w:contextualSpacing/>
        <w:jc w:val="center"/>
        <w:rPr>
          <w:rFonts w:cs="Tahoma"/>
          <w:b/>
        </w:rPr>
      </w:pPr>
      <w:r w:rsidRPr="00A93267">
        <w:rPr>
          <w:rFonts w:cs="Tahoma"/>
          <w:b/>
        </w:rPr>
        <w:t>A N T E C E D E N T E S:</w:t>
      </w:r>
    </w:p>
    <w:p w14:paraId="42E0ABFA" w14:textId="77777777" w:rsidR="00482B41" w:rsidRPr="00A93267" w:rsidRDefault="00482B41" w:rsidP="008976D2">
      <w:pPr>
        <w:spacing w:after="0" w:line="360" w:lineRule="auto"/>
        <w:contextualSpacing/>
      </w:pPr>
    </w:p>
    <w:p w14:paraId="40327EF3" w14:textId="77777777" w:rsidR="00482B41" w:rsidRPr="00A93267" w:rsidRDefault="00482B41" w:rsidP="008976D2">
      <w:pPr>
        <w:pStyle w:val="Prrafodelista"/>
        <w:tabs>
          <w:tab w:val="left" w:pos="567"/>
        </w:tabs>
        <w:spacing w:line="360" w:lineRule="auto"/>
        <w:ind w:left="0"/>
        <w:jc w:val="both"/>
        <w:rPr>
          <w:rFonts w:ascii="Palatino Linotype" w:hAnsi="Palatino Linotype" w:cs="Tahoma"/>
          <w:b/>
          <w:color w:val="000000" w:themeColor="text1"/>
          <w:szCs w:val="22"/>
        </w:rPr>
      </w:pPr>
      <w:r w:rsidRPr="00A93267">
        <w:rPr>
          <w:rFonts w:ascii="Palatino Linotype" w:hAnsi="Palatino Linotype" w:cs="Tahoma"/>
          <w:b/>
          <w:color w:val="000000" w:themeColor="text1"/>
          <w:szCs w:val="22"/>
        </w:rPr>
        <w:t xml:space="preserve">I. Presentación de la solicitud de información. </w:t>
      </w:r>
    </w:p>
    <w:p w14:paraId="6C3CF4AF" w14:textId="77777777" w:rsidR="00482B41" w:rsidRPr="00A93267" w:rsidRDefault="00482B41" w:rsidP="008976D2">
      <w:pPr>
        <w:pStyle w:val="Prrafodelista"/>
        <w:tabs>
          <w:tab w:val="left" w:pos="567"/>
        </w:tabs>
        <w:spacing w:line="360" w:lineRule="auto"/>
        <w:ind w:left="0"/>
        <w:jc w:val="both"/>
        <w:rPr>
          <w:rFonts w:ascii="Palatino Linotype" w:hAnsi="Palatino Linotype" w:cs="Tahoma"/>
          <w:b/>
          <w:color w:val="000000" w:themeColor="text1"/>
          <w:szCs w:val="22"/>
        </w:rPr>
      </w:pPr>
    </w:p>
    <w:p w14:paraId="7983D78E" w14:textId="222C7065" w:rsidR="00482B41" w:rsidRPr="00A93267" w:rsidRDefault="00482B41" w:rsidP="008976D2">
      <w:pPr>
        <w:tabs>
          <w:tab w:val="left" w:pos="567"/>
        </w:tabs>
        <w:spacing w:after="0" w:line="360" w:lineRule="auto"/>
        <w:ind w:right="-28"/>
        <w:contextualSpacing/>
        <w:rPr>
          <w:rFonts w:cs="Tahoma"/>
        </w:rPr>
      </w:pPr>
      <w:r w:rsidRPr="00A93267">
        <w:rPr>
          <w:rFonts w:cs="Tahoma"/>
        </w:rPr>
        <w:t>Con fecha diez de octubre de dos mil veintidós, el Particular presentó una solicitud de acceso a la información pública, a través del Sistema de Acceso a la Información Mexiquense (SAIMEX), ante la Secretaría de Movilidad, en los siguientes términos:</w:t>
      </w:r>
    </w:p>
    <w:p w14:paraId="51F157B3" w14:textId="77777777" w:rsidR="00482B41" w:rsidRPr="00A93267" w:rsidRDefault="00482B41" w:rsidP="008976D2">
      <w:pPr>
        <w:pStyle w:val="Prrafodelista"/>
        <w:tabs>
          <w:tab w:val="left" w:pos="567"/>
        </w:tabs>
        <w:spacing w:line="360" w:lineRule="auto"/>
        <w:ind w:left="567" w:right="567"/>
        <w:jc w:val="both"/>
        <w:rPr>
          <w:rFonts w:ascii="Palatino Linotype" w:hAnsi="Palatino Linotype" w:cs="Tahoma"/>
          <w:color w:val="000000" w:themeColor="text1"/>
          <w:szCs w:val="22"/>
        </w:rPr>
      </w:pPr>
    </w:p>
    <w:p w14:paraId="32BE4445" w14:textId="77777777" w:rsidR="00482B41" w:rsidRPr="00A93267" w:rsidRDefault="00482B41" w:rsidP="008976D2">
      <w:pPr>
        <w:tabs>
          <w:tab w:val="left" w:pos="4667"/>
        </w:tabs>
        <w:spacing w:after="0" w:line="360" w:lineRule="auto"/>
        <w:ind w:left="567" w:right="567"/>
        <w:contextualSpacing/>
        <w:rPr>
          <w:rFonts w:cs="Tahoma"/>
          <w:b/>
          <w:bCs/>
          <w:i/>
          <w:sz w:val="20"/>
          <w:szCs w:val="20"/>
        </w:rPr>
      </w:pPr>
      <w:r w:rsidRPr="00A93267">
        <w:rPr>
          <w:rFonts w:cs="Tahoma"/>
          <w:b/>
          <w:bCs/>
          <w:i/>
          <w:sz w:val="20"/>
          <w:szCs w:val="20"/>
        </w:rPr>
        <w:t>“DESCRIPCIÓN CLARA Y PRECISA DE LA INFORMACIÓN SOLICITADA</w:t>
      </w:r>
    </w:p>
    <w:p w14:paraId="484DE787" w14:textId="7DC95E7C" w:rsidR="00482B41" w:rsidRPr="00A93267" w:rsidRDefault="00482B41" w:rsidP="008976D2">
      <w:pPr>
        <w:spacing w:after="0" w:line="360" w:lineRule="auto"/>
        <w:ind w:left="567" w:right="567"/>
        <w:contextualSpacing/>
        <w:rPr>
          <w:rFonts w:eastAsia="Times New Roman" w:cs="Times New Roman"/>
          <w:i/>
          <w:color w:val="auto"/>
          <w:sz w:val="20"/>
          <w:szCs w:val="20"/>
          <w:lang w:eastAsia="es-MX"/>
        </w:rPr>
      </w:pPr>
      <w:r w:rsidRPr="00A93267">
        <w:rPr>
          <w:rFonts w:eastAsia="Times New Roman" w:cs="Times New Roman"/>
          <w:i/>
          <w:color w:val="auto"/>
          <w:sz w:val="20"/>
          <w:szCs w:val="20"/>
          <w:lang w:eastAsia="es-MX"/>
        </w:rPr>
        <w:t xml:space="preserve">Se solicita la plantilla de personal con cargo, </w:t>
      </w:r>
      <w:proofErr w:type="spellStart"/>
      <w:proofErr w:type="gramStart"/>
      <w:r w:rsidRPr="00A93267">
        <w:rPr>
          <w:rFonts w:eastAsia="Times New Roman" w:cs="Times New Roman"/>
          <w:i/>
          <w:color w:val="auto"/>
          <w:sz w:val="20"/>
          <w:szCs w:val="20"/>
          <w:lang w:eastAsia="es-MX"/>
        </w:rPr>
        <w:t>area</w:t>
      </w:r>
      <w:proofErr w:type="spellEnd"/>
      <w:r w:rsidRPr="00A93267">
        <w:rPr>
          <w:rFonts w:eastAsia="Times New Roman" w:cs="Times New Roman"/>
          <w:i/>
          <w:color w:val="auto"/>
          <w:sz w:val="20"/>
          <w:szCs w:val="20"/>
          <w:lang w:eastAsia="es-MX"/>
        </w:rPr>
        <w:t xml:space="preserve"> ,</w:t>
      </w:r>
      <w:proofErr w:type="gramEnd"/>
      <w:r w:rsidRPr="00A93267">
        <w:rPr>
          <w:rFonts w:eastAsia="Times New Roman" w:cs="Times New Roman"/>
          <w:i/>
          <w:color w:val="auto"/>
          <w:sz w:val="20"/>
          <w:szCs w:val="20"/>
          <w:lang w:eastAsia="es-MX"/>
        </w:rPr>
        <w:t xml:space="preserve"> sueldo y profesión de los servidores público, nivel y rango de todos.</w:t>
      </w:r>
      <w:r w:rsidRPr="00A93267">
        <w:rPr>
          <w:rFonts w:cs="Tahoma"/>
          <w:bCs/>
          <w:i/>
          <w:sz w:val="20"/>
          <w:szCs w:val="20"/>
        </w:rPr>
        <w:t xml:space="preserve">” </w:t>
      </w:r>
      <w:r w:rsidRPr="00A93267">
        <w:rPr>
          <w:rFonts w:eastAsia="Times New Roman" w:cs="Arial"/>
          <w:bCs/>
          <w:i/>
          <w:sz w:val="20"/>
          <w:szCs w:val="20"/>
          <w:lang w:eastAsia="es-ES"/>
        </w:rPr>
        <w:t>(Sic)</w:t>
      </w:r>
    </w:p>
    <w:p w14:paraId="3AE31625" w14:textId="77777777" w:rsidR="00482B41" w:rsidRPr="00A93267" w:rsidRDefault="00482B41" w:rsidP="008976D2">
      <w:pPr>
        <w:tabs>
          <w:tab w:val="left" w:pos="4667"/>
        </w:tabs>
        <w:spacing w:after="0" w:line="360" w:lineRule="auto"/>
        <w:ind w:left="567" w:right="567"/>
        <w:contextualSpacing/>
        <w:rPr>
          <w:rFonts w:eastAsia="Times New Roman" w:cs="Tahoma"/>
          <w:b/>
          <w:bCs/>
          <w:i/>
          <w:sz w:val="20"/>
          <w:szCs w:val="20"/>
          <w:lang w:eastAsia="es-ES"/>
        </w:rPr>
      </w:pPr>
    </w:p>
    <w:p w14:paraId="6FB8056D" w14:textId="3789C1F8" w:rsidR="00482B41" w:rsidRPr="00A93267" w:rsidRDefault="00482B41" w:rsidP="008976D2">
      <w:pPr>
        <w:tabs>
          <w:tab w:val="left" w:pos="4667"/>
        </w:tabs>
        <w:spacing w:after="0" w:line="360" w:lineRule="auto"/>
        <w:ind w:left="567" w:right="567"/>
        <w:contextualSpacing/>
        <w:rPr>
          <w:rFonts w:eastAsia="Times New Roman" w:cs="Tahoma"/>
          <w:b/>
          <w:bCs/>
          <w:i/>
          <w:sz w:val="20"/>
          <w:szCs w:val="20"/>
          <w:lang w:eastAsia="es-ES"/>
        </w:rPr>
      </w:pPr>
      <w:r w:rsidRPr="00A93267">
        <w:rPr>
          <w:rFonts w:eastAsia="Times New Roman" w:cs="Tahoma"/>
          <w:b/>
          <w:bCs/>
          <w:i/>
          <w:sz w:val="20"/>
          <w:szCs w:val="20"/>
          <w:lang w:eastAsia="es-ES"/>
        </w:rPr>
        <w:t>“MODALIDAD DE ENTREGA</w:t>
      </w:r>
    </w:p>
    <w:p w14:paraId="01B50935" w14:textId="77777777" w:rsidR="00482B41" w:rsidRPr="00A93267" w:rsidRDefault="00482B41" w:rsidP="008976D2">
      <w:pPr>
        <w:spacing w:after="0" w:line="360" w:lineRule="auto"/>
        <w:ind w:left="567" w:right="567"/>
        <w:contextualSpacing/>
        <w:rPr>
          <w:rFonts w:eastAsia="Times New Roman" w:cs="Arial"/>
          <w:bCs/>
          <w:i/>
          <w:sz w:val="20"/>
          <w:szCs w:val="20"/>
          <w:lang w:eastAsia="es-ES"/>
        </w:rPr>
      </w:pPr>
      <w:r w:rsidRPr="00A93267">
        <w:rPr>
          <w:rFonts w:eastAsia="Times New Roman" w:cs="Arial"/>
          <w:bCs/>
          <w:i/>
          <w:sz w:val="20"/>
          <w:szCs w:val="20"/>
          <w:lang w:eastAsia="es-ES"/>
        </w:rPr>
        <w:t>A través del SAIMEX” (Sic)</w:t>
      </w:r>
    </w:p>
    <w:p w14:paraId="192EEB3B" w14:textId="77777777" w:rsidR="00482B41" w:rsidRPr="00A93267" w:rsidRDefault="00482B41" w:rsidP="008976D2">
      <w:pPr>
        <w:tabs>
          <w:tab w:val="left" w:pos="4667"/>
        </w:tabs>
        <w:spacing w:after="0" w:line="360" w:lineRule="auto"/>
        <w:ind w:right="567"/>
        <w:contextualSpacing/>
        <w:rPr>
          <w:rFonts w:eastAsia="Times New Roman" w:cs="Tahoma"/>
          <w:b/>
          <w:bCs/>
          <w:color w:val="auto"/>
          <w:szCs w:val="20"/>
          <w:lang w:eastAsia="es-ES"/>
        </w:rPr>
      </w:pPr>
    </w:p>
    <w:p w14:paraId="3802FA06" w14:textId="77777777" w:rsidR="00482B41" w:rsidRPr="00A93267" w:rsidRDefault="00482B41" w:rsidP="008976D2">
      <w:pPr>
        <w:pStyle w:val="paragraph"/>
        <w:spacing w:before="0" w:beforeAutospacing="0" w:after="0" w:afterAutospacing="0" w:line="360" w:lineRule="auto"/>
        <w:contextualSpacing/>
        <w:jc w:val="both"/>
        <w:textAlignment w:val="baseline"/>
        <w:rPr>
          <w:rFonts w:ascii="Palatino Linotype" w:hAnsi="Palatino Linotype" w:cs="Tahoma"/>
          <w:szCs w:val="20"/>
          <w:lang w:val="es-MX" w:eastAsia="es-ES"/>
        </w:rPr>
      </w:pPr>
      <w:r w:rsidRPr="00A93267">
        <w:rPr>
          <w:rFonts w:ascii="Palatino Linotype" w:hAnsi="Palatino Linotype" w:cs="Tahoma"/>
          <w:b/>
          <w:bCs/>
          <w:szCs w:val="20"/>
          <w:lang w:val="es-MX" w:eastAsia="es-ES"/>
        </w:rPr>
        <w:t>II</w:t>
      </w:r>
      <w:r w:rsidRPr="00A93267">
        <w:rPr>
          <w:rFonts w:ascii="Palatino Linotype" w:hAnsi="Palatino Linotype" w:cs="Tahoma"/>
          <w:b/>
          <w:lang w:val="es-MX"/>
        </w:rPr>
        <w:t>.</w:t>
      </w:r>
      <w:r w:rsidRPr="00A93267">
        <w:rPr>
          <w:rFonts w:ascii="Palatino Linotype" w:hAnsi="Palatino Linotype" w:cs="Tahoma"/>
          <w:b/>
          <w:lang w:val="es-MX" w:eastAsia="es-ES"/>
        </w:rPr>
        <w:t xml:space="preserve"> Respuesta</w:t>
      </w:r>
      <w:r w:rsidRPr="00A93267">
        <w:rPr>
          <w:rFonts w:ascii="Palatino Linotype" w:hAnsi="Palatino Linotype" w:cs="Tahoma"/>
          <w:b/>
          <w:bCs/>
          <w:lang w:val="es-MX" w:eastAsia="es-ES"/>
        </w:rPr>
        <w:t xml:space="preserve"> del Sujeto Obligado.</w:t>
      </w:r>
    </w:p>
    <w:p w14:paraId="653E7C83" w14:textId="77777777" w:rsidR="00482B41" w:rsidRPr="00A93267" w:rsidRDefault="00482B41" w:rsidP="008976D2">
      <w:pPr>
        <w:autoSpaceDE w:val="0"/>
        <w:autoSpaceDN w:val="0"/>
        <w:adjustRightInd w:val="0"/>
        <w:spacing w:after="0" w:line="360" w:lineRule="auto"/>
        <w:contextualSpacing/>
        <w:rPr>
          <w:rFonts w:eastAsia="Times New Roman" w:cs="Tahoma"/>
          <w:bCs/>
          <w:color w:val="auto"/>
          <w:szCs w:val="24"/>
          <w:lang w:eastAsia="es-ES"/>
        </w:rPr>
      </w:pPr>
    </w:p>
    <w:p w14:paraId="293BA09B" w14:textId="43ED2EA4" w:rsidR="00482B41" w:rsidRPr="00A93267" w:rsidRDefault="00482B41" w:rsidP="008976D2">
      <w:pPr>
        <w:autoSpaceDE w:val="0"/>
        <w:autoSpaceDN w:val="0"/>
        <w:adjustRightInd w:val="0"/>
        <w:spacing w:after="0" w:line="360" w:lineRule="auto"/>
        <w:contextualSpacing/>
        <w:rPr>
          <w:rFonts w:eastAsia="Times New Roman" w:cs="Tahoma"/>
          <w:color w:val="auto"/>
          <w:szCs w:val="24"/>
          <w:lang w:eastAsia="es-ES"/>
        </w:rPr>
      </w:pPr>
      <w:r w:rsidRPr="00A93267">
        <w:rPr>
          <w:rFonts w:eastAsia="Times New Roman" w:cs="Tahoma"/>
          <w:bCs/>
          <w:color w:val="auto"/>
          <w:szCs w:val="24"/>
          <w:lang w:eastAsia="es-ES"/>
        </w:rPr>
        <w:lastRenderedPageBreak/>
        <w:t>El veinti</w:t>
      </w:r>
      <w:r w:rsidR="00D5315E" w:rsidRPr="00A93267">
        <w:rPr>
          <w:rFonts w:eastAsia="Times New Roman" w:cs="Tahoma"/>
          <w:bCs/>
          <w:color w:val="auto"/>
          <w:szCs w:val="24"/>
          <w:lang w:eastAsia="es-ES"/>
        </w:rPr>
        <w:t>cuatro</w:t>
      </w:r>
      <w:r w:rsidRPr="00A93267">
        <w:rPr>
          <w:rFonts w:eastAsia="Times New Roman" w:cs="Tahoma"/>
          <w:bCs/>
          <w:color w:val="auto"/>
          <w:szCs w:val="24"/>
          <w:lang w:eastAsia="es-ES"/>
        </w:rPr>
        <w:t xml:space="preserve"> de octubre de dos mil veintidós, el</w:t>
      </w:r>
      <w:r w:rsidRPr="00A93267">
        <w:rPr>
          <w:rFonts w:eastAsia="Times New Roman" w:cs="Tahoma"/>
          <w:b/>
          <w:color w:val="auto"/>
          <w:szCs w:val="24"/>
          <w:lang w:eastAsia="es-ES"/>
        </w:rPr>
        <w:t xml:space="preserve"> </w:t>
      </w:r>
      <w:r w:rsidRPr="00A93267">
        <w:rPr>
          <w:rFonts w:eastAsia="Times New Roman" w:cs="Tahoma"/>
          <w:color w:val="auto"/>
          <w:szCs w:val="24"/>
          <w:lang w:eastAsia="es-ES"/>
        </w:rPr>
        <w:t xml:space="preserve">Sujeto Obligado dio respuesta a la solicitud de acceso a la información, a través del oficio número </w:t>
      </w:r>
      <w:r w:rsidR="00D5315E" w:rsidRPr="00A93267">
        <w:rPr>
          <w:rFonts w:eastAsia="Times New Roman" w:cs="Tahoma"/>
          <w:color w:val="auto"/>
          <w:szCs w:val="24"/>
          <w:lang w:eastAsia="es-ES"/>
        </w:rPr>
        <w:t>22000011000100S/3602/2022</w:t>
      </w:r>
      <w:r w:rsidRPr="00A93267">
        <w:rPr>
          <w:rFonts w:eastAsia="Times New Roman" w:cs="Tahoma"/>
          <w:color w:val="auto"/>
          <w:szCs w:val="24"/>
          <w:lang w:eastAsia="es-ES"/>
        </w:rPr>
        <w:t xml:space="preserve">, del </w:t>
      </w:r>
      <w:r w:rsidR="00D5315E" w:rsidRPr="00A93267">
        <w:rPr>
          <w:rFonts w:eastAsia="Times New Roman" w:cs="Tahoma"/>
          <w:color w:val="auto"/>
          <w:szCs w:val="24"/>
          <w:lang w:eastAsia="es-ES"/>
        </w:rPr>
        <w:t xml:space="preserve">veintiuno </w:t>
      </w:r>
      <w:r w:rsidRPr="00A93267">
        <w:rPr>
          <w:rFonts w:eastAsia="Times New Roman" w:cs="Tahoma"/>
          <w:color w:val="auto"/>
          <w:szCs w:val="24"/>
          <w:lang w:eastAsia="es-ES"/>
        </w:rPr>
        <w:t xml:space="preserve">de octubre de dos mil veintidós, suscrito por la </w:t>
      </w:r>
      <w:r w:rsidR="00D5315E" w:rsidRPr="00A93267">
        <w:rPr>
          <w:rFonts w:eastAsia="Times New Roman" w:cs="Tahoma"/>
          <w:color w:val="auto"/>
          <w:szCs w:val="24"/>
          <w:lang w:eastAsia="es-ES"/>
        </w:rPr>
        <w:t>Subdirectora de Administración del Capital Humano,</w:t>
      </w:r>
      <w:r w:rsidRPr="00A93267">
        <w:rPr>
          <w:rFonts w:eastAsia="Times New Roman" w:cs="Tahoma"/>
          <w:color w:val="auto"/>
          <w:szCs w:val="24"/>
          <w:lang w:eastAsia="es-ES"/>
        </w:rPr>
        <w:t xml:space="preserve"> y dirigido al Jefe de</w:t>
      </w:r>
      <w:r w:rsidR="00D5315E" w:rsidRPr="00A93267">
        <w:rPr>
          <w:rFonts w:eastAsia="Times New Roman" w:cs="Tahoma"/>
          <w:color w:val="auto"/>
          <w:szCs w:val="24"/>
          <w:lang w:eastAsia="es-ES"/>
        </w:rPr>
        <w:t xml:space="preserve"> Departamento de Adquisiciones, Control y Suministro de Bienes y Servidor Público Habilitado en Materia de Transparencia, Acceso a la Información Pública y Protección de Datos Personales</w:t>
      </w:r>
      <w:r w:rsidRPr="00A93267">
        <w:rPr>
          <w:rFonts w:eastAsia="Times New Roman" w:cs="Tahoma"/>
          <w:color w:val="auto"/>
          <w:szCs w:val="24"/>
          <w:lang w:eastAsia="es-ES"/>
        </w:rPr>
        <w:t xml:space="preserve">, a través del cual señaló esencialmente lo siguiente: </w:t>
      </w:r>
    </w:p>
    <w:p w14:paraId="6F8D2D2D" w14:textId="77777777" w:rsidR="00482B41" w:rsidRPr="00A93267" w:rsidRDefault="00482B41" w:rsidP="008976D2">
      <w:pPr>
        <w:autoSpaceDE w:val="0"/>
        <w:autoSpaceDN w:val="0"/>
        <w:adjustRightInd w:val="0"/>
        <w:spacing w:after="0" w:line="360" w:lineRule="auto"/>
        <w:contextualSpacing/>
        <w:rPr>
          <w:rFonts w:eastAsia="Times New Roman" w:cs="Tahoma"/>
          <w:color w:val="auto"/>
          <w:szCs w:val="24"/>
          <w:lang w:eastAsia="es-ES"/>
        </w:rPr>
      </w:pPr>
    </w:p>
    <w:p w14:paraId="160B1382" w14:textId="77777777" w:rsidR="00482B41" w:rsidRPr="00A93267" w:rsidRDefault="00482B41" w:rsidP="008976D2">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A93267">
        <w:rPr>
          <w:rFonts w:eastAsia="Times New Roman" w:cs="Tahoma"/>
          <w:i/>
          <w:iCs/>
          <w:color w:val="auto"/>
          <w:sz w:val="20"/>
          <w:szCs w:val="20"/>
          <w:lang w:eastAsia="es-ES"/>
        </w:rPr>
        <w:t>“…</w:t>
      </w:r>
    </w:p>
    <w:p w14:paraId="5BBAB849" w14:textId="33AD4AB3" w:rsidR="00D5315E" w:rsidRPr="00A93267" w:rsidRDefault="00D5315E" w:rsidP="008976D2">
      <w:pPr>
        <w:autoSpaceDE w:val="0"/>
        <w:autoSpaceDN w:val="0"/>
        <w:adjustRightInd w:val="0"/>
        <w:spacing w:after="0" w:line="360" w:lineRule="auto"/>
        <w:ind w:left="567" w:right="567"/>
        <w:contextualSpacing/>
        <w:rPr>
          <w:i/>
          <w:iCs/>
          <w:color w:val="000000"/>
          <w:sz w:val="20"/>
          <w:szCs w:val="20"/>
        </w:rPr>
      </w:pPr>
      <w:r w:rsidRPr="00A93267">
        <w:rPr>
          <w:i/>
          <w:iCs/>
          <w:color w:val="000000"/>
          <w:sz w:val="20"/>
          <w:szCs w:val="20"/>
        </w:rPr>
        <w:t>Respecto a la Plantilla de todo el personal con Nivel, Cargo, Área, Sueldo y Profesión de los</w:t>
      </w:r>
      <w:r w:rsidR="001400CE" w:rsidRPr="00A93267">
        <w:rPr>
          <w:i/>
          <w:iCs/>
          <w:color w:val="000000"/>
          <w:sz w:val="20"/>
          <w:szCs w:val="20"/>
        </w:rPr>
        <w:t xml:space="preserve"> </w:t>
      </w:r>
      <w:r w:rsidRPr="00A93267">
        <w:rPr>
          <w:i/>
          <w:iCs/>
          <w:color w:val="000000"/>
          <w:sz w:val="20"/>
          <w:szCs w:val="20"/>
        </w:rPr>
        <w:t>Servidores Públicos se adjunta el link en el cual puede consultar la información solicitada.</w:t>
      </w:r>
    </w:p>
    <w:p w14:paraId="253C9D91" w14:textId="77777777" w:rsidR="00D5315E" w:rsidRPr="00A93267" w:rsidRDefault="00D5315E" w:rsidP="008976D2">
      <w:pPr>
        <w:autoSpaceDE w:val="0"/>
        <w:autoSpaceDN w:val="0"/>
        <w:adjustRightInd w:val="0"/>
        <w:spacing w:after="0" w:line="360" w:lineRule="auto"/>
        <w:ind w:left="567" w:right="567"/>
        <w:contextualSpacing/>
        <w:rPr>
          <w:i/>
          <w:iCs/>
          <w:color w:val="000000"/>
          <w:sz w:val="20"/>
          <w:szCs w:val="20"/>
        </w:rPr>
      </w:pPr>
    </w:p>
    <w:p w14:paraId="33577A1B" w14:textId="178CA3F7" w:rsidR="00D5315E" w:rsidRPr="00A93267" w:rsidRDefault="00D5315E" w:rsidP="008976D2">
      <w:pPr>
        <w:autoSpaceDE w:val="0"/>
        <w:autoSpaceDN w:val="0"/>
        <w:adjustRightInd w:val="0"/>
        <w:spacing w:after="0" w:line="360" w:lineRule="auto"/>
        <w:ind w:left="567" w:right="567"/>
        <w:contextualSpacing/>
        <w:rPr>
          <w:i/>
          <w:iCs/>
          <w:sz w:val="20"/>
          <w:szCs w:val="20"/>
        </w:rPr>
      </w:pPr>
      <w:r w:rsidRPr="00A93267">
        <w:rPr>
          <w:i/>
          <w:iCs/>
          <w:sz w:val="20"/>
          <w:szCs w:val="20"/>
        </w:rPr>
        <w:t>Liga Sistema Acceso a la Información Pública de Oficio Mexiquense (IPOMEX)</w:t>
      </w:r>
    </w:p>
    <w:p w14:paraId="3DF43A6C" w14:textId="65E89F01" w:rsidR="00D5315E" w:rsidRPr="00A93267" w:rsidRDefault="00A93267" w:rsidP="008976D2">
      <w:pPr>
        <w:autoSpaceDE w:val="0"/>
        <w:autoSpaceDN w:val="0"/>
        <w:adjustRightInd w:val="0"/>
        <w:spacing w:after="0" w:line="360" w:lineRule="auto"/>
        <w:ind w:left="567" w:right="567"/>
        <w:contextualSpacing/>
        <w:rPr>
          <w:i/>
          <w:iCs/>
          <w:sz w:val="20"/>
          <w:szCs w:val="20"/>
        </w:rPr>
      </w:pPr>
      <w:hyperlink r:id="rId8" w:history="1">
        <w:r w:rsidR="00326646" w:rsidRPr="00A93267">
          <w:rPr>
            <w:rStyle w:val="Hipervnculo"/>
            <w:i/>
            <w:iCs/>
            <w:color w:val="000000" w:themeColor="text1"/>
            <w:sz w:val="20"/>
            <w:szCs w:val="20"/>
            <w:u w:val="none"/>
          </w:rPr>
          <w:t>https://ipomex.org.mx/ipo3/lgt/indice/SMOV/art_92_viii.web</w:t>
        </w:r>
      </w:hyperlink>
      <w:r w:rsidR="00326646" w:rsidRPr="00A93267">
        <w:rPr>
          <w:i/>
          <w:iCs/>
          <w:sz w:val="20"/>
          <w:szCs w:val="20"/>
        </w:rPr>
        <w:t xml:space="preserve"> </w:t>
      </w:r>
    </w:p>
    <w:p w14:paraId="5D720831" w14:textId="77777777" w:rsidR="00D5315E" w:rsidRPr="00A93267" w:rsidRDefault="00D5315E" w:rsidP="008976D2">
      <w:pPr>
        <w:autoSpaceDE w:val="0"/>
        <w:autoSpaceDN w:val="0"/>
        <w:adjustRightInd w:val="0"/>
        <w:spacing w:after="0" w:line="360" w:lineRule="auto"/>
        <w:ind w:left="567" w:right="567"/>
        <w:contextualSpacing/>
        <w:rPr>
          <w:i/>
          <w:iCs/>
          <w:sz w:val="20"/>
          <w:szCs w:val="20"/>
        </w:rPr>
      </w:pPr>
    </w:p>
    <w:p w14:paraId="00EFED2C" w14:textId="6AC1C359" w:rsidR="00D5315E" w:rsidRPr="00A93267" w:rsidRDefault="00D5315E" w:rsidP="008976D2">
      <w:pPr>
        <w:autoSpaceDE w:val="0"/>
        <w:autoSpaceDN w:val="0"/>
        <w:adjustRightInd w:val="0"/>
        <w:spacing w:after="0" w:line="360" w:lineRule="auto"/>
        <w:ind w:left="567" w:right="567"/>
        <w:contextualSpacing/>
        <w:rPr>
          <w:i/>
          <w:iCs/>
          <w:sz w:val="20"/>
          <w:szCs w:val="20"/>
        </w:rPr>
      </w:pPr>
      <w:r w:rsidRPr="00A93267">
        <w:rPr>
          <w:i/>
          <w:iCs/>
          <w:sz w:val="20"/>
          <w:szCs w:val="20"/>
        </w:rPr>
        <w:t>Respecto a la profesión de los servidores y con el fin de coadyuvar se anexa el enlace</w:t>
      </w:r>
      <w:r w:rsidR="001400CE" w:rsidRPr="00A93267">
        <w:rPr>
          <w:i/>
          <w:iCs/>
          <w:sz w:val="20"/>
          <w:szCs w:val="20"/>
        </w:rPr>
        <w:t xml:space="preserve"> </w:t>
      </w:r>
      <w:r w:rsidRPr="00A93267">
        <w:rPr>
          <w:i/>
          <w:iCs/>
          <w:sz w:val="20"/>
          <w:szCs w:val="20"/>
        </w:rPr>
        <w:t>en el cual puede consultar la profesión de los Servidores Públicos pertenecientes a</w:t>
      </w:r>
      <w:r w:rsidR="001400CE" w:rsidRPr="00A93267">
        <w:rPr>
          <w:i/>
          <w:iCs/>
          <w:sz w:val="20"/>
          <w:szCs w:val="20"/>
        </w:rPr>
        <w:t xml:space="preserve"> </w:t>
      </w:r>
      <w:r w:rsidRPr="00A93267">
        <w:rPr>
          <w:i/>
          <w:iCs/>
          <w:sz w:val="20"/>
          <w:szCs w:val="20"/>
        </w:rPr>
        <w:t>Mandos Medios y</w:t>
      </w:r>
      <w:r w:rsidR="001400CE" w:rsidRPr="00A93267">
        <w:rPr>
          <w:i/>
          <w:iCs/>
          <w:sz w:val="20"/>
          <w:szCs w:val="20"/>
        </w:rPr>
        <w:t xml:space="preserve"> </w:t>
      </w:r>
      <w:r w:rsidRPr="00A93267">
        <w:rPr>
          <w:i/>
          <w:iCs/>
          <w:sz w:val="20"/>
          <w:szCs w:val="20"/>
        </w:rPr>
        <w:t>Superiores.</w:t>
      </w:r>
    </w:p>
    <w:p w14:paraId="0F6A66F0" w14:textId="21E5A78E" w:rsidR="00D5315E" w:rsidRPr="00A93267" w:rsidRDefault="00A93267" w:rsidP="008976D2">
      <w:pPr>
        <w:autoSpaceDE w:val="0"/>
        <w:autoSpaceDN w:val="0"/>
        <w:adjustRightInd w:val="0"/>
        <w:spacing w:after="0" w:line="360" w:lineRule="auto"/>
        <w:ind w:left="567" w:right="567"/>
        <w:contextualSpacing/>
        <w:rPr>
          <w:i/>
          <w:iCs/>
          <w:sz w:val="20"/>
          <w:szCs w:val="20"/>
        </w:rPr>
      </w:pPr>
      <w:hyperlink r:id="rId9" w:history="1">
        <w:r w:rsidR="00E80985" w:rsidRPr="00A93267">
          <w:rPr>
            <w:rStyle w:val="Hipervnculo"/>
            <w:i/>
            <w:iCs/>
            <w:color w:val="000000" w:themeColor="text1"/>
            <w:sz w:val="20"/>
            <w:szCs w:val="20"/>
            <w:u w:val="none"/>
          </w:rPr>
          <w:t>https://ipomex.org.mx/ipo3/lgt/indice/SMOV/art_92_xxi.web</w:t>
        </w:r>
      </w:hyperlink>
      <w:r w:rsidR="00E80985" w:rsidRPr="00A93267">
        <w:rPr>
          <w:i/>
          <w:iCs/>
          <w:sz w:val="20"/>
          <w:szCs w:val="20"/>
        </w:rPr>
        <w:t xml:space="preserve">  </w:t>
      </w:r>
    </w:p>
    <w:p w14:paraId="7FFBB045" w14:textId="77777777" w:rsidR="00D5315E" w:rsidRPr="00A93267" w:rsidRDefault="00D5315E" w:rsidP="008976D2">
      <w:pPr>
        <w:autoSpaceDE w:val="0"/>
        <w:autoSpaceDN w:val="0"/>
        <w:adjustRightInd w:val="0"/>
        <w:spacing w:after="0" w:line="360" w:lineRule="auto"/>
        <w:ind w:left="567" w:right="567"/>
        <w:contextualSpacing/>
        <w:rPr>
          <w:i/>
          <w:iCs/>
          <w:color w:val="000000"/>
          <w:sz w:val="20"/>
          <w:szCs w:val="20"/>
        </w:rPr>
      </w:pPr>
    </w:p>
    <w:p w14:paraId="034821F7" w14:textId="0ADDE4FC" w:rsidR="00D5315E" w:rsidRPr="00A93267" w:rsidRDefault="00D5315E" w:rsidP="008976D2">
      <w:pPr>
        <w:autoSpaceDE w:val="0"/>
        <w:autoSpaceDN w:val="0"/>
        <w:adjustRightInd w:val="0"/>
        <w:spacing w:after="0" w:line="360" w:lineRule="auto"/>
        <w:ind w:left="567" w:right="567"/>
        <w:contextualSpacing/>
        <w:rPr>
          <w:i/>
          <w:iCs/>
          <w:color w:val="000000"/>
          <w:sz w:val="20"/>
          <w:szCs w:val="20"/>
        </w:rPr>
      </w:pPr>
      <w:r w:rsidRPr="00A93267">
        <w:rPr>
          <w:i/>
          <w:iCs/>
          <w:color w:val="000000"/>
          <w:sz w:val="20"/>
          <w:szCs w:val="20"/>
        </w:rPr>
        <w:t>Esta Unidad Administrativa le hace de conocimiento respecto a los servidores públicos operativos,</w:t>
      </w:r>
      <w:r w:rsidR="001400CE" w:rsidRPr="00A93267">
        <w:rPr>
          <w:i/>
          <w:iCs/>
          <w:color w:val="000000"/>
          <w:sz w:val="20"/>
          <w:szCs w:val="20"/>
        </w:rPr>
        <w:t xml:space="preserve"> </w:t>
      </w:r>
      <w:r w:rsidRPr="00A93267">
        <w:rPr>
          <w:i/>
          <w:iCs/>
          <w:color w:val="000000"/>
          <w:sz w:val="20"/>
          <w:szCs w:val="20"/>
        </w:rPr>
        <w:t>no se cuenta con una base de datos en donde especifique esa información no obstante se</w:t>
      </w:r>
      <w:r w:rsidR="001400CE" w:rsidRPr="00A93267">
        <w:rPr>
          <w:i/>
          <w:iCs/>
          <w:color w:val="000000"/>
          <w:sz w:val="20"/>
          <w:szCs w:val="20"/>
        </w:rPr>
        <w:t xml:space="preserve"> </w:t>
      </w:r>
      <w:r w:rsidRPr="00A93267">
        <w:rPr>
          <w:i/>
          <w:iCs/>
          <w:color w:val="000000"/>
          <w:sz w:val="20"/>
          <w:szCs w:val="20"/>
        </w:rPr>
        <w:t>pueden proporcionar copia de su comprobante de estudios que obra en nuestros archivos, con el</w:t>
      </w:r>
      <w:r w:rsidR="001400CE" w:rsidRPr="00A93267">
        <w:rPr>
          <w:i/>
          <w:iCs/>
          <w:color w:val="000000"/>
          <w:sz w:val="20"/>
          <w:szCs w:val="20"/>
        </w:rPr>
        <w:t xml:space="preserve"> </w:t>
      </w:r>
      <w:r w:rsidRPr="00A93267">
        <w:rPr>
          <w:i/>
          <w:iCs/>
          <w:color w:val="000000"/>
          <w:sz w:val="20"/>
          <w:szCs w:val="20"/>
        </w:rPr>
        <w:t>fin de coadyuvar y de conformidad con el Capitulo II "De las cuotas" Artículo 174 de la Ley de</w:t>
      </w:r>
      <w:r w:rsidR="001400CE" w:rsidRPr="00A93267">
        <w:rPr>
          <w:i/>
          <w:iCs/>
          <w:color w:val="000000"/>
          <w:sz w:val="20"/>
          <w:szCs w:val="20"/>
        </w:rPr>
        <w:t xml:space="preserve"> </w:t>
      </w:r>
      <w:r w:rsidRPr="00A93267">
        <w:rPr>
          <w:i/>
          <w:iCs/>
          <w:color w:val="000000"/>
          <w:sz w:val="20"/>
          <w:szCs w:val="20"/>
        </w:rPr>
        <w:t>Transparencia y Acceso a la Información Pública del Estado de México y Municipios, el Capitulo</w:t>
      </w:r>
      <w:r w:rsidR="001400CE" w:rsidRPr="00A93267">
        <w:rPr>
          <w:i/>
          <w:iCs/>
          <w:color w:val="000000"/>
          <w:sz w:val="20"/>
          <w:szCs w:val="20"/>
        </w:rPr>
        <w:t xml:space="preserve"> </w:t>
      </w:r>
      <w:r w:rsidRPr="00A93267">
        <w:rPr>
          <w:i/>
          <w:iCs/>
          <w:color w:val="000000"/>
          <w:sz w:val="20"/>
          <w:szCs w:val="20"/>
        </w:rPr>
        <w:t xml:space="preserve">II "De las cuotas" de Acceso Artículo 141" Fracción </w:t>
      </w:r>
      <w:r w:rsidR="00F94F06" w:rsidRPr="00A93267">
        <w:rPr>
          <w:i/>
          <w:iCs/>
          <w:color w:val="000000"/>
          <w:sz w:val="20"/>
          <w:szCs w:val="20"/>
        </w:rPr>
        <w:t>I</w:t>
      </w:r>
      <w:r w:rsidRPr="00A93267">
        <w:rPr>
          <w:i/>
          <w:iCs/>
          <w:color w:val="000000"/>
          <w:sz w:val="20"/>
          <w:szCs w:val="20"/>
        </w:rPr>
        <w:t xml:space="preserve">, </w:t>
      </w:r>
      <w:proofErr w:type="spellStart"/>
      <w:r w:rsidRPr="00A93267">
        <w:rPr>
          <w:i/>
          <w:iCs/>
          <w:color w:val="000000"/>
          <w:sz w:val="20"/>
          <w:szCs w:val="20"/>
        </w:rPr>
        <w:t>Il</w:t>
      </w:r>
      <w:proofErr w:type="spellEnd"/>
      <w:r w:rsidRPr="00A93267">
        <w:rPr>
          <w:i/>
          <w:iCs/>
          <w:color w:val="000000"/>
          <w:sz w:val="20"/>
          <w:szCs w:val="20"/>
        </w:rPr>
        <w:t xml:space="preserve"> y III de la Ley General de Transparencia</w:t>
      </w:r>
      <w:r w:rsidR="001400CE" w:rsidRPr="00A93267">
        <w:rPr>
          <w:i/>
          <w:iCs/>
          <w:color w:val="000000"/>
          <w:sz w:val="20"/>
          <w:szCs w:val="20"/>
        </w:rPr>
        <w:t xml:space="preserve"> </w:t>
      </w:r>
      <w:r w:rsidRPr="00A93267">
        <w:rPr>
          <w:i/>
          <w:iCs/>
          <w:color w:val="000000"/>
          <w:sz w:val="20"/>
          <w:szCs w:val="20"/>
        </w:rPr>
        <w:t>y Acceso a la Información Pública se comunica que la entrega de la documentación antes</w:t>
      </w:r>
      <w:r w:rsidR="001400CE" w:rsidRPr="00A93267">
        <w:rPr>
          <w:i/>
          <w:iCs/>
          <w:color w:val="000000"/>
          <w:sz w:val="20"/>
          <w:szCs w:val="20"/>
        </w:rPr>
        <w:t xml:space="preserve"> </w:t>
      </w:r>
      <w:r w:rsidRPr="00A93267">
        <w:rPr>
          <w:i/>
          <w:iCs/>
          <w:color w:val="000000"/>
          <w:sz w:val="20"/>
          <w:szCs w:val="20"/>
        </w:rPr>
        <w:t>solicitada en copias simples deberá ser previo cumplimiento de pagos de derechos que por</w:t>
      </w:r>
      <w:r w:rsidR="001400CE" w:rsidRPr="00A93267">
        <w:rPr>
          <w:i/>
          <w:iCs/>
          <w:color w:val="000000"/>
          <w:sz w:val="20"/>
          <w:szCs w:val="20"/>
        </w:rPr>
        <w:t xml:space="preserve"> c</w:t>
      </w:r>
      <w:r w:rsidRPr="00A93267">
        <w:rPr>
          <w:i/>
          <w:iCs/>
          <w:color w:val="000000"/>
          <w:sz w:val="20"/>
          <w:szCs w:val="20"/>
        </w:rPr>
        <w:t>oncepto de las mismas se genere, en observancia con el Capitulo Segundo "De los Derechos"</w:t>
      </w:r>
      <w:r w:rsidR="001400CE" w:rsidRPr="00A93267">
        <w:rPr>
          <w:i/>
          <w:iCs/>
          <w:color w:val="000000"/>
          <w:sz w:val="20"/>
          <w:szCs w:val="20"/>
        </w:rPr>
        <w:t xml:space="preserve"> art</w:t>
      </w:r>
      <w:r w:rsidRPr="00A93267">
        <w:rPr>
          <w:i/>
          <w:iCs/>
          <w:color w:val="000000"/>
          <w:sz w:val="20"/>
          <w:szCs w:val="20"/>
        </w:rPr>
        <w:t>ículo 73 Fracción II del Código Financiero del Estado de México y Municipios, el cual establece</w:t>
      </w:r>
      <w:r w:rsidR="001400CE" w:rsidRPr="00A93267">
        <w:rPr>
          <w:i/>
          <w:iCs/>
          <w:color w:val="000000"/>
          <w:sz w:val="20"/>
          <w:szCs w:val="20"/>
        </w:rPr>
        <w:t xml:space="preserve"> qu</w:t>
      </w:r>
      <w:r w:rsidRPr="00A93267">
        <w:rPr>
          <w:i/>
          <w:iCs/>
          <w:color w:val="000000"/>
          <w:sz w:val="20"/>
          <w:szCs w:val="20"/>
        </w:rPr>
        <w:t>e por la primera hoja tendrá un costo de $24.00 pesos (veinticuatro pesos 00/100 M.N.) y por</w:t>
      </w:r>
      <w:r w:rsidRPr="00A93267">
        <w:rPr>
          <w:rFonts w:eastAsia="Times New Roman" w:cs="Tahoma"/>
          <w:i/>
          <w:iCs/>
          <w:color w:val="000000"/>
          <w:sz w:val="20"/>
          <w:szCs w:val="20"/>
          <w:lang w:eastAsia="es-ES"/>
        </w:rPr>
        <w:t xml:space="preserve"> cada hoja subsecuent</w:t>
      </w:r>
      <w:r w:rsidR="001400CE" w:rsidRPr="00A93267">
        <w:rPr>
          <w:rFonts w:eastAsia="Times New Roman" w:cs="Tahoma"/>
          <w:i/>
          <w:iCs/>
          <w:color w:val="000000"/>
          <w:sz w:val="20"/>
          <w:szCs w:val="20"/>
          <w:lang w:eastAsia="es-ES"/>
        </w:rPr>
        <w:t xml:space="preserve">e </w:t>
      </w:r>
      <w:r w:rsidRPr="00A93267">
        <w:rPr>
          <w:rFonts w:eastAsia="Times New Roman" w:cs="Tahoma"/>
          <w:i/>
          <w:iCs/>
          <w:color w:val="000000"/>
          <w:sz w:val="20"/>
          <w:szCs w:val="20"/>
          <w:lang w:eastAsia="es-ES"/>
        </w:rPr>
        <w:t xml:space="preserve">el </w:t>
      </w:r>
      <w:r w:rsidRPr="00A93267">
        <w:rPr>
          <w:rFonts w:eastAsia="Times New Roman" w:cs="Tahoma"/>
          <w:i/>
          <w:iCs/>
          <w:color w:val="000000"/>
          <w:sz w:val="20"/>
          <w:szCs w:val="20"/>
          <w:lang w:eastAsia="es-ES"/>
        </w:rPr>
        <w:lastRenderedPageBreak/>
        <w:t>costo de $2.00 pesos (dos pesos 00/100 M.N.), por lo que se tendría</w:t>
      </w:r>
      <w:r w:rsidR="001400CE" w:rsidRPr="00A93267">
        <w:rPr>
          <w:i/>
          <w:iCs/>
          <w:color w:val="000000"/>
          <w:sz w:val="20"/>
          <w:szCs w:val="20"/>
        </w:rPr>
        <w:t xml:space="preserve"> </w:t>
      </w:r>
      <w:r w:rsidRPr="00A93267">
        <w:rPr>
          <w:rFonts w:eastAsia="Times New Roman" w:cs="Tahoma"/>
          <w:i/>
          <w:iCs/>
          <w:color w:val="000000"/>
          <w:sz w:val="20"/>
          <w:szCs w:val="20"/>
          <w:lang w:eastAsia="es-ES"/>
        </w:rPr>
        <w:t>que cubrir la cantidad aproximada de $1228.00 (un mil doscientos veintiocho pesos 00/100 M.N.,</w:t>
      </w:r>
      <w:r w:rsidR="001400CE" w:rsidRPr="00A93267">
        <w:rPr>
          <w:i/>
          <w:iCs/>
          <w:color w:val="000000"/>
          <w:sz w:val="20"/>
          <w:szCs w:val="20"/>
        </w:rPr>
        <w:t xml:space="preserve"> </w:t>
      </w:r>
      <w:r w:rsidRPr="00A93267">
        <w:rPr>
          <w:rFonts w:eastAsia="Times New Roman" w:cs="Tahoma"/>
          <w:i/>
          <w:iCs/>
          <w:color w:val="000000"/>
          <w:sz w:val="20"/>
          <w:szCs w:val="20"/>
          <w:lang w:eastAsia="es-ES"/>
        </w:rPr>
        <w:t>total que corresponde a 613 fojas salvo error aritmético. No omito mencionar que el Formato</w:t>
      </w:r>
      <w:r w:rsidR="001400CE" w:rsidRPr="00A93267">
        <w:rPr>
          <w:i/>
          <w:iCs/>
          <w:color w:val="000000"/>
          <w:sz w:val="20"/>
          <w:szCs w:val="20"/>
        </w:rPr>
        <w:t xml:space="preserve"> </w:t>
      </w:r>
      <w:r w:rsidRPr="00A93267">
        <w:rPr>
          <w:rFonts w:eastAsia="Times New Roman" w:cs="Tahoma"/>
          <w:i/>
          <w:iCs/>
          <w:color w:val="000000"/>
          <w:sz w:val="20"/>
          <w:szCs w:val="20"/>
          <w:lang w:eastAsia="es-ES"/>
        </w:rPr>
        <w:t>Universal de Pago que expide la Secretaría de Finanzas por concepto de escaneo y digitalizació</w:t>
      </w:r>
      <w:r w:rsidR="001400CE" w:rsidRPr="00A93267">
        <w:rPr>
          <w:rFonts w:eastAsia="Times New Roman" w:cs="Tahoma"/>
          <w:i/>
          <w:iCs/>
          <w:color w:val="000000"/>
          <w:sz w:val="20"/>
          <w:szCs w:val="20"/>
          <w:lang w:eastAsia="es-ES"/>
        </w:rPr>
        <w:t xml:space="preserve">n </w:t>
      </w:r>
      <w:r w:rsidRPr="00A93267">
        <w:rPr>
          <w:rFonts w:eastAsia="Times New Roman" w:cs="Tahoma"/>
          <w:i/>
          <w:iCs/>
          <w:color w:val="000000"/>
          <w:sz w:val="20"/>
          <w:szCs w:val="20"/>
          <w:lang w:eastAsia="es-ES"/>
        </w:rPr>
        <w:t>de cada hoja relativa a los</w:t>
      </w:r>
      <w:r w:rsidR="001400CE" w:rsidRPr="00A93267">
        <w:rPr>
          <w:rFonts w:eastAsia="Times New Roman" w:cs="Tahoma"/>
          <w:i/>
          <w:iCs/>
          <w:color w:val="000000"/>
          <w:sz w:val="20"/>
          <w:szCs w:val="20"/>
          <w:lang w:eastAsia="es-ES"/>
        </w:rPr>
        <w:t xml:space="preserve"> </w:t>
      </w:r>
      <w:r w:rsidRPr="00A93267">
        <w:rPr>
          <w:rFonts w:eastAsia="Times New Roman" w:cs="Tahoma"/>
          <w:i/>
          <w:iCs/>
          <w:color w:val="000000"/>
          <w:sz w:val="20"/>
          <w:szCs w:val="20"/>
          <w:lang w:eastAsia="es-ES"/>
        </w:rPr>
        <w:t>documentos que sean entregados por vía electrónica, en medio</w:t>
      </w:r>
      <w:r w:rsidR="001400CE" w:rsidRPr="00A93267">
        <w:rPr>
          <w:i/>
          <w:iCs/>
          <w:color w:val="000000"/>
          <w:sz w:val="20"/>
          <w:szCs w:val="20"/>
        </w:rPr>
        <w:t xml:space="preserve"> </w:t>
      </w:r>
      <w:r w:rsidRPr="00A93267">
        <w:rPr>
          <w:rFonts w:eastAsia="Times New Roman" w:cs="Tahoma"/>
          <w:i/>
          <w:iCs/>
          <w:color w:val="000000"/>
          <w:sz w:val="20"/>
          <w:szCs w:val="20"/>
          <w:lang w:eastAsia="es-ES"/>
        </w:rPr>
        <w:t>magnético o disco compacto se puede obtener en la página de servicios al Contribuyente, en el</w:t>
      </w:r>
      <w:r w:rsidR="001400CE" w:rsidRPr="00A93267">
        <w:rPr>
          <w:i/>
          <w:iCs/>
          <w:color w:val="000000"/>
          <w:sz w:val="20"/>
          <w:szCs w:val="20"/>
        </w:rPr>
        <w:t xml:space="preserve"> </w:t>
      </w:r>
      <w:r w:rsidRPr="00A93267">
        <w:rPr>
          <w:rFonts w:eastAsia="Times New Roman" w:cs="Tahoma"/>
          <w:i/>
          <w:iCs/>
          <w:color w:val="000000"/>
          <w:sz w:val="20"/>
          <w:szCs w:val="20"/>
          <w:lang w:eastAsia="es-ES"/>
        </w:rPr>
        <w:t>siguiente link:</w:t>
      </w:r>
      <w:r w:rsidR="001400CE" w:rsidRPr="00A93267">
        <w:rPr>
          <w:rFonts w:eastAsia="Times New Roman" w:cs="Tahoma"/>
          <w:i/>
          <w:iCs/>
          <w:color w:val="000000"/>
          <w:sz w:val="20"/>
          <w:szCs w:val="20"/>
          <w:lang w:eastAsia="es-ES"/>
        </w:rPr>
        <w:t xml:space="preserve"> </w:t>
      </w:r>
      <w:r w:rsidRPr="00A93267">
        <w:rPr>
          <w:rFonts w:eastAsia="Times New Roman" w:cs="Tahoma"/>
          <w:i/>
          <w:iCs/>
          <w:color w:val="000000"/>
          <w:sz w:val="20"/>
          <w:szCs w:val="20"/>
          <w:lang w:eastAsia="es-ES"/>
        </w:rPr>
        <w:t>https://sfpya.edomexico.gob.mXrecaudacion/, una vez realizado el pago de</w:t>
      </w:r>
      <w:r w:rsidR="001400CE" w:rsidRPr="00A93267">
        <w:rPr>
          <w:i/>
          <w:iCs/>
          <w:color w:val="000000"/>
          <w:sz w:val="20"/>
          <w:szCs w:val="20"/>
        </w:rPr>
        <w:t xml:space="preserve"> </w:t>
      </w:r>
      <w:r w:rsidRPr="00A93267">
        <w:rPr>
          <w:rFonts w:eastAsia="Times New Roman" w:cs="Tahoma"/>
          <w:i/>
          <w:iCs/>
          <w:color w:val="000000"/>
          <w:sz w:val="20"/>
          <w:szCs w:val="20"/>
          <w:lang w:eastAsia="es-ES"/>
        </w:rPr>
        <w:t>derechos</w:t>
      </w:r>
      <w:r w:rsidR="006C469C" w:rsidRPr="00A93267">
        <w:rPr>
          <w:rFonts w:eastAsia="Times New Roman" w:cs="Tahoma"/>
          <w:i/>
          <w:iCs/>
          <w:color w:val="000000"/>
          <w:sz w:val="20"/>
          <w:szCs w:val="20"/>
          <w:lang w:eastAsia="es-ES"/>
        </w:rPr>
        <w:t xml:space="preserve"> </w:t>
      </w:r>
      <w:r w:rsidRPr="00A93267">
        <w:rPr>
          <w:rFonts w:eastAsia="Times New Roman" w:cs="Tahoma"/>
          <w:i/>
          <w:iCs/>
          <w:color w:val="000000"/>
          <w:sz w:val="20"/>
          <w:szCs w:val="20"/>
          <w:lang w:eastAsia="es-ES"/>
        </w:rPr>
        <w:t>correspondientes ante las instituciones autorizadas, el peticionario deberá concluir el</w:t>
      </w:r>
      <w:r w:rsidR="006C469C" w:rsidRPr="00A93267">
        <w:rPr>
          <w:i/>
          <w:iCs/>
          <w:color w:val="000000"/>
          <w:sz w:val="20"/>
          <w:szCs w:val="20"/>
        </w:rPr>
        <w:t xml:space="preserve"> </w:t>
      </w:r>
      <w:r w:rsidRPr="00A93267">
        <w:rPr>
          <w:rFonts w:eastAsia="Times New Roman" w:cs="Tahoma"/>
          <w:i/>
          <w:iCs/>
          <w:color w:val="000000"/>
          <w:sz w:val="20"/>
          <w:szCs w:val="20"/>
          <w:lang w:eastAsia="es-ES"/>
        </w:rPr>
        <w:t>trámite ante la Coordinación Administrativa y de Gestión Documental en las oficinas ubicadas en</w:t>
      </w:r>
      <w:r w:rsidR="006C469C" w:rsidRPr="00A93267">
        <w:rPr>
          <w:i/>
          <w:iCs/>
          <w:color w:val="000000"/>
          <w:sz w:val="20"/>
          <w:szCs w:val="20"/>
        </w:rPr>
        <w:t xml:space="preserve"> </w:t>
      </w:r>
      <w:r w:rsidRPr="00A93267">
        <w:rPr>
          <w:rFonts w:eastAsia="Times New Roman" w:cs="Tahoma"/>
          <w:i/>
          <w:iCs/>
          <w:color w:val="000000"/>
          <w:sz w:val="20"/>
          <w:szCs w:val="20"/>
          <w:lang w:eastAsia="es-ES"/>
        </w:rPr>
        <w:t xml:space="preserve">la Calle Hermenegildo Galeana Sur No. 205, Colonia </w:t>
      </w:r>
      <w:proofErr w:type="spellStart"/>
      <w:r w:rsidRPr="00A93267">
        <w:rPr>
          <w:rFonts w:eastAsia="Times New Roman" w:cs="Tahoma"/>
          <w:i/>
          <w:iCs/>
          <w:color w:val="000000"/>
          <w:sz w:val="20"/>
          <w:szCs w:val="20"/>
          <w:lang w:eastAsia="es-ES"/>
        </w:rPr>
        <w:t>Centro,C.P</w:t>
      </w:r>
      <w:proofErr w:type="spellEnd"/>
      <w:r w:rsidRPr="00A93267">
        <w:rPr>
          <w:rFonts w:eastAsia="Times New Roman" w:cs="Tahoma"/>
          <w:i/>
          <w:iCs/>
          <w:color w:val="000000"/>
          <w:sz w:val="20"/>
          <w:szCs w:val="20"/>
          <w:lang w:eastAsia="es-ES"/>
        </w:rPr>
        <w:t>. 50000, municipio de Toluca,</w:t>
      </w:r>
      <w:r w:rsidR="006C469C" w:rsidRPr="00A93267">
        <w:rPr>
          <w:i/>
          <w:iCs/>
          <w:color w:val="000000"/>
          <w:sz w:val="20"/>
          <w:szCs w:val="20"/>
        </w:rPr>
        <w:t xml:space="preserve"> </w:t>
      </w:r>
      <w:r w:rsidRPr="00A93267">
        <w:rPr>
          <w:rFonts w:eastAsia="Times New Roman" w:cs="Tahoma"/>
          <w:i/>
          <w:iCs/>
          <w:color w:val="000000"/>
          <w:sz w:val="20"/>
          <w:szCs w:val="20"/>
          <w:lang w:eastAsia="es-ES"/>
        </w:rPr>
        <w:t>Estado de México: exhibiendo los comprobantes de pago antes descritos, así como identificación</w:t>
      </w:r>
      <w:r w:rsidR="006C469C" w:rsidRPr="00A93267">
        <w:rPr>
          <w:i/>
          <w:iCs/>
          <w:color w:val="000000"/>
          <w:sz w:val="20"/>
          <w:szCs w:val="20"/>
        </w:rPr>
        <w:t xml:space="preserve"> </w:t>
      </w:r>
      <w:r w:rsidRPr="00A93267">
        <w:rPr>
          <w:rFonts w:eastAsia="Times New Roman" w:cs="Tahoma"/>
          <w:i/>
          <w:iCs/>
          <w:color w:val="000000"/>
          <w:sz w:val="20"/>
          <w:szCs w:val="20"/>
          <w:lang w:eastAsia="es-ES"/>
        </w:rPr>
        <w:t>oficial vigente para acreditar su personalidad; lo anterior, a más tardar en un plazo no mayor a 30</w:t>
      </w:r>
      <w:r w:rsidR="006C469C" w:rsidRPr="00A93267">
        <w:rPr>
          <w:i/>
          <w:iCs/>
          <w:color w:val="000000"/>
          <w:sz w:val="20"/>
          <w:szCs w:val="20"/>
        </w:rPr>
        <w:t xml:space="preserve"> </w:t>
      </w:r>
      <w:r w:rsidRPr="00A93267">
        <w:rPr>
          <w:rFonts w:eastAsia="Times New Roman" w:cs="Tahoma"/>
          <w:i/>
          <w:iCs/>
          <w:color w:val="000000"/>
          <w:sz w:val="20"/>
          <w:szCs w:val="20"/>
          <w:lang w:eastAsia="es-ES"/>
        </w:rPr>
        <w:t>días, mismos que serán contabilizados a partir de la fecha de emisión del Formato Universal de</w:t>
      </w:r>
      <w:r w:rsidR="006C469C" w:rsidRPr="00A93267">
        <w:rPr>
          <w:i/>
          <w:iCs/>
          <w:color w:val="000000"/>
          <w:sz w:val="20"/>
          <w:szCs w:val="20"/>
        </w:rPr>
        <w:t xml:space="preserve"> </w:t>
      </w:r>
      <w:r w:rsidRPr="00A93267">
        <w:rPr>
          <w:rFonts w:eastAsia="Times New Roman" w:cs="Tahoma"/>
          <w:i/>
          <w:iCs/>
          <w:color w:val="000000"/>
          <w:sz w:val="20"/>
          <w:szCs w:val="20"/>
          <w:lang w:eastAsia="es-ES"/>
        </w:rPr>
        <w:t>Pago, en concordancia con lo dispuesto en el último párrafo del Artículo 70 del citado Código</w:t>
      </w:r>
      <w:r w:rsidR="006C469C" w:rsidRPr="00A93267">
        <w:rPr>
          <w:i/>
          <w:iCs/>
          <w:color w:val="000000"/>
          <w:sz w:val="20"/>
          <w:szCs w:val="20"/>
        </w:rPr>
        <w:t xml:space="preserve"> </w:t>
      </w:r>
      <w:r w:rsidRPr="00A93267">
        <w:rPr>
          <w:rFonts w:eastAsia="Times New Roman" w:cs="Tahoma"/>
          <w:i/>
          <w:iCs/>
          <w:color w:val="000000"/>
          <w:sz w:val="20"/>
          <w:szCs w:val="20"/>
          <w:lang w:eastAsia="es-ES"/>
        </w:rPr>
        <w:t>Financiero. Cabe señalar que dichos documentos serán entregados una vez que se proporcione</w:t>
      </w:r>
      <w:r w:rsidR="006C469C" w:rsidRPr="00A93267">
        <w:rPr>
          <w:i/>
          <w:iCs/>
          <w:color w:val="000000"/>
          <w:sz w:val="20"/>
          <w:szCs w:val="20"/>
        </w:rPr>
        <w:t xml:space="preserve"> </w:t>
      </w:r>
      <w:r w:rsidRPr="00A93267">
        <w:rPr>
          <w:rFonts w:eastAsia="Times New Roman" w:cs="Tahoma"/>
          <w:i/>
          <w:iCs/>
          <w:color w:val="000000"/>
          <w:sz w:val="20"/>
          <w:szCs w:val="20"/>
          <w:lang w:eastAsia="es-ES"/>
        </w:rPr>
        <w:t>el pago correspondiente. Lo anterior derivado que se entregará al Comité de Transparencia para</w:t>
      </w:r>
      <w:r w:rsidR="006C469C" w:rsidRPr="00A93267">
        <w:rPr>
          <w:i/>
          <w:iCs/>
          <w:color w:val="000000"/>
          <w:sz w:val="20"/>
          <w:szCs w:val="20"/>
        </w:rPr>
        <w:t xml:space="preserve"> </w:t>
      </w:r>
      <w:r w:rsidRPr="00A93267">
        <w:rPr>
          <w:rFonts w:eastAsia="Times New Roman" w:cs="Tahoma"/>
          <w:i/>
          <w:iCs/>
          <w:color w:val="000000"/>
          <w:sz w:val="20"/>
          <w:szCs w:val="20"/>
          <w:lang w:eastAsia="es-ES"/>
        </w:rPr>
        <w:t>que lo autorice y elabore la respectiva versión pública.</w:t>
      </w:r>
    </w:p>
    <w:p w14:paraId="1449D0D1" w14:textId="702A7D29" w:rsidR="00482B41" w:rsidRPr="00A93267" w:rsidRDefault="00482B41" w:rsidP="008976D2">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A93267">
        <w:rPr>
          <w:rFonts w:eastAsia="Times New Roman" w:cs="Tahoma"/>
          <w:i/>
          <w:iCs/>
          <w:color w:val="auto"/>
          <w:sz w:val="20"/>
          <w:szCs w:val="20"/>
          <w:lang w:eastAsia="es-ES"/>
        </w:rPr>
        <w:t>…”</w:t>
      </w:r>
    </w:p>
    <w:p w14:paraId="29109332" w14:textId="77777777" w:rsidR="006C469C" w:rsidRPr="00A93267" w:rsidRDefault="006C469C" w:rsidP="008976D2">
      <w:pPr>
        <w:autoSpaceDE w:val="0"/>
        <w:autoSpaceDN w:val="0"/>
        <w:adjustRightInd w:val="0"/>
        <w:spacing w:after="0" w:line="360" w:lineRule="auto"/>
        <w:ind w:left="567" w:right="567"/>
        <w:contextualSpacing/>
        <w:rPr>
          <w:rFonts w:eastAsia="Times New Roman" w:cs="Tahoma"/>
          <w:i/>
          <w:iCs/>
          <w:color w:val="auto"/>
          <w:sz w:val="20"/>
          <w:szCs w:val="20"/>
          <w:lang w:eastAsia="es-ES"/>
        </w:rPr>
      </w:pPr>
    </w:p>
    <w:p w14:paraId="6EDC939A" w14:textId="0BE73803" w:rsidR="00482B41" w:rsidRPr="00A93267" w:rsidRDefault="00482B41" w:rsidP="008976D2">
      <w:pPr>
        <w:autoSpaceDE w:val="0"/>
        <w:autoSpaceDN w:val="0"/>
        <w:adjustRightInd w:val="0"/>
        <w:spacing w:after="0" w:line="360" w:lineRule="auto"/>
        <w:contextualSpacing/>
        <w:rPr>
          <w:rFonts w:cs="Tahoma"/>
          <w:b/>
        </w:rPr>
      </w:pPr>
      <w:r w:rsidRPr="00A93267">
        <w:rPr>
          <w:rFonts w:cs="Tahoma"/>
          <w:b/>
        </w:rPr>
        <w:t xml:space="preserve">III. Interposición del Recurso de Revisión. </w:t>
      </w:r>
    </w:p>
    <w:p w14:paraId="405C93D8" w14:textId="77777777" w:rsidR="006C469C" w:rsidRPr="00A93267" w:rsidRDefault="006C469C" w:rsidP="008976D2">
      <w:pPr>
        <w:autoSpaceDE w:val="0"/>
        <w:autoSpaceDN w:val="0"/>
        <w:adjustRightInd w:val="0"/>
        <w:spacing w:after="0" w:line="360" w:lineRule="auto"/>
        <w:contextualSpacing/>
        <w:rPr>
          <w:rFonts w:cs="Tahoma"/>
          <w:b/>
        </w:rPr>
      </w:pPr>
    </w:p>
    <w:p w14:paraId="1F176532" w14:textId="1F7EF061" w:rsidR="00482B41" w:rsidRPr="00A93267" w:rsidRDefault="00482B41" w:rsidP="008976D2">
      <w:pPr>
        <w:tabs>
          <w:tab w:val="left" w:pos="567"/>
        </w:tabs>
        <w:spacing w:after="0" w:line="360" w:lineRule="auto"/>
        <w:contextualSpacing/>
        <w:rPr>
          <w:rFonts w:eastAsia="Times New Roman" w:cs="Tahoma"/>
          <w:bCs/>
          <w:color w:val="auto"/>
          <w:lang w:eastAsia="es-ES"/>
        </w:rPr>
      </w:pPr>
      <w:r w:rsidRPr="00A93267">
        <w:rPr>
          <w:rFonts w:eastAsia="Calibri" w:cs="Times New Roman"/>
          <w:bCs/>
        </w:rPr>
        <w:t xml:space="preserve">Con fecha </w:t>
      </w:r>
      <w:r w:rsidR="006C469C" w:rsidRPr="00A93267">
        <w:rPr>
          <w:rFonts w:eastAsia="Calibri" w:cs="Times New Roman"/>
          <w:bCs/>
        </w:rPr>
        <w:t>diez de noviembre</w:t>
      </w:r>
      <w:r w:rsidRPr="00A93267">
        <w:rPr>
          <w:rFonts w:eastAsia="Calibri" w:cs="Times New Roman"/>
          <w:bCs/>
        </w:rPr>
        <w:t xml:space="preserve"> de dos mil veintidós, se recibió en este Instituto, a través del Sistema de Acceso a la Información Mexiquense (SAIMEX), Recurso de Revisión interpuesto por la parte Recurrente, en contra de la respuesta por el Sujeto Obligado,</w:t>
      </w:r>
      <w:r w:rsidRPr="00A93267">
        <w:rPr>
          <w:rFonts w:eastAsia="Times New Roman" w:cs="Tahoma"/>
          <w:b/>
          <w:color w:val="auto"/>
          <w:lang w:eastAsia="es-ES"/>
        </w:rPr>
        <w:t xml:space="preserve"> </w:t>
      </w:r>
      <w:r w:rsidRPr="00A93267">
        <w:rPr>
          <w:rFonts w:eastAsia="Times New Roman" w:cs="Tahoma"/>
          <w:bCs/>
          <w:color w:val="auto"/>
          <w:lang w:eastAsia="es-ES"/>
        </w:rPr>
        <w:t>en los siguientes términos:</w:t>
      </w:r>
    </w:p>
    <w:p w14:paraId="5F91F884" w14:textId="77777777" w:rsidR="00482B41" w:rsidRPr="00A93267" w:rsidRDefault="00482B41" w:rsidP="008976D2">
      <w:pPr>
        <w:tabs>
          <w:tab w:val="left" w:pos="567"/>
        </w:tabs>
        <w:spacing w:after="0" w:line="360" w:lineRule="auto"/>
        <w:contextualSpacing/>
        <w:rPr>
          <w:rFonts w:eastAsia="Times New Roman" w:cs="Tahoma"/>
          <w:bCs/>
          <w:color w:val="auto"/>
          <w:lang w:eastAsia="es-ES"/>
        </w:rPr>
      </w:pPr>
    </w:p>
    <w:p w14:paraId="7DF7D97C" w14:textId="77777777" w:rsidR="00482B41" w:rsidRPr="00A93267" w:rsidRDefault="00482B41" w:rsidP="008976D2">
      <w:pPr>
        <w:tabs>
          <w:tab w:val="left" w:pos="4667"/>
        </w:tabs>
        <w:spacing w:after="0" w:line="360" w:lineRule="auto"/>
        <w:ind w:left="567" w:right="567"/>
        <w:contextualSpacing/>
        <w:rPr>
          <w:rFonts w:cs="Tahoma"/>
          <w:bCs/>
          <w:i/>
          <w:sz w:val="20"/>
          <w:szCs w:val="20"/>
        </w:rPr>
      </w:pPr>
      <w:r w:rsidRPr="00A93267">
        <w:rPr>
          <w:rFonts w:cs="Tahoma"/>
          <w:b/>
          <w:bCs/>
          <w:i/>
          <w:sz w:val="20"/>
          <w:szCs w:val="20"/>
        </w:rPr>
        <w:t>“ACTO IMPUGNADO</w:t>
      </w:r>
    </w:p>
    <w:p w14:paraId="285F5BB7" w14:textId="1D7DCFA0" w:rsidR="00482B41" w:rsidRPr="00A93267" w:rsidRDefault="006C469C" w:rsidP="008976D2">
      <w:pPr>
        <w:spacing w:after="0" w:line="360" w:lineRule="auto"/>
        <w:ind w:left="567" w:right="567"/>
        <w:contextualSpacing/>
        <w:rPr>
          <w:rFonts w:eastAsia="Times New Roman" w:cs="Times New Roman"/>
          <w:i/>
          <w:color w:val="auto"/>
          <w:sz w:val="20"/>
          <w:szCs w:val="20"/>
          <w:lang w:eastAsia="es-MX"/>
        </w:rPr>
      </w:pPr>
      <w:r w:rsidRPr="00A93267">
        <w:rPr>
          <w:rFonts w:eastAsia="Times New Roman" w:cs="Times New Roman"/>
          <w:i/>
          <w:color w:val="auto"/>
          <w:sz w:val="20"/>
          <w:szCs w:val="20"/>
          <w:lang w:eastAsia="es-MX"/>
        </w:rPr>
        <w:t xml:space="preserve">No entrega la información completa y el link que entrega no abre, pero se </w:t>
      </w:r>
      <w:proofErr w:type="spellStart"/>
      <w:r w:rsidRPr="00A93267">
        <w:rPr>
          <w:rFonts w:eastAsia="Times New Roman" w:cs="Times New Roman"/>
          <w:i/>
          <w:color w:val="auto"/>
          <w:sz w:val="20"/>
          <w:szCs w:val="20"/>
          <w:lang w:eastAsia="es-MX"/>
        </w:rPr>
        <w:t>solicito</w:t>
      </w:r>
      <w:proofErr w:type="spellEnd"/>
      <w:r w:rsidRPr="00A93267">
        <w:rPr>
          <w:rFonts w:eastAsia="Times New Roman" w:cs="Times New Roman"/>
          <w:i/>
          <w:color w:val="auto"/>
          <w:sz w:val="20"/>
          <w:szCs w:val="20"/>
          <w:lang w:eastAsia="es-MX"/>
        </w:rPr>
        <w:t xml:space="preserve"> toda no un link</w:t>
      </w:r>
      <w:r w:rsidR="00482B41" w:rsidRPr="00A93267">
        <w:rPr>
          <w:i/>
          <w:color w:val="000000"/>
          <w:sz w:val="20"/>
          <w:szCs w:val="20"/>
        </w:rPr>
        <w:t>.</w:t>
      </w:r>
      <w:r w:rsidR="00482B41" w:rsidRPr="00A93267">
        <w:rPr>
          <w:i/>
          <w:sz w:val="20"/>
          <w:szCs w:val="20"/>
        </w:rPr>
        <w:t>”</w:t>
      </w:r>
      <w:r w:rsidR="00482B41" w:rsidRPr="00A93267">
        <w:rPr>
          <w:rFonts w:cs="Tahoma"/>
          <w:i/>
          <w:sz w:val="20"/>
          <w:szCs w:val="20"/>
        </w:rPr>
        <w:t xml:space="preserve"> (Sic.)</w:t>
      </w:r>
    </w:p>
    <w:p w14:paraId="6D4E4415" w14:textId="3AA0AD9F" w:rsidR="00482B41" w:rsidRPr="00A93267" w:rsidRDefault="00482B41" w:rsidP="008976D2">
      <w:pPr>
        <w:autoSpaceDE w:val="0"/>
        <w:autoSpaceDN w:val="0"/>
        <w:adjustRightInd w:val="0"/>
        <w:spacing w:after="0" w:line="360" w:lineRule="auto"/>
        <w:ind w:left="567" w:right="567"/>
        <w:contextualSpacing/>
        <w:rPr>
          <w:rFonts w:cs="Tahoma"/>
          <w:i/>
          <w:sz w:val="20"/>
          <w:szCs w:val="20"/>
        </w:rPr>
      </w:pPr>
    </w:p>
    <w:p w14:paraId="6E96DA34" w14:textId="77777777" w:rsidR="00482B41" w:rsidRPr="00A93267" w:rsidRDefault="00482B41" w:rsidP="008976D2">
      <w:pPr>
        <w:autoSpaceDE w:val="0"/>
        <w:autoSpaceDN w:val="0"/>
        <w:adjustRightInd w:val="0"/>
        <w:spacing w:after="0" w:line="360" w:lineRule="auto"/>
        <w:ind w:left="567" w:right="567"/>
        <w:contextualSpacing/>
        <w:rPr>
          <w:rFonts w:cs="Tahoma"/>
          <w:b/>
          <w:i/>
          <w:sz w:val="20"/>
          <w:szCs w:val="20"/>
        </w:rPr>
      </w:pPr>
      <w:r w:rsidRPr="00A93267">
        <w:rPr>
          <w:rFonts w:cs="Tahoma"/>
          <w:b/>
          <w:i/>
          <w:sz w:val="20"/>
          <w:szCs w:val="20"/>
        </w:rPr>
        <w:lastRenderedPageBreak/>
        <w:t>“RAZONES O MOTIVOS DE LA INCONFORMIDAD</w:t>
      </w:r>
    </w:p>
    <w:p w14:paraId="2C3DF168" w14:textId="36C56C9D" w:rsidR="00482B41" w:rsidRPr="00A93267" w:rsidRDefault="006C469C" w:rsidP="008976D2">
      <w:pPr>
        <w:spacing w:after="0" w:line="360" w:lineRule="auto"/>
        <w:ind w:left="567" w:right="567"/>
        <w:contextualSpacing/>
        <w:rPr>
          <w:rFonts w:eastAsia="Times New Roman" w:cs="Times New Roman"/>
          <w:i/>
          <w:color w:val="auto"/>
          <w:sz w:val="20"/>
          <w:szCs w:val="20"/>
          <w:lang w:eastAsia="es-MX"/>
        </w:rPr>
      </w:pPr>
      <w:r w:rsidRPr="00A93267">
        <w:rPr>
          <w:rFonts w:eastAsia="Times New Roman" w:cs="Times New Roman"/>
          <w:i/>
          <w:color w:val="auto"/>
          <w:sz w:val="20"/>
          <w:szCs w:val="20"/>
          <w:lang w:eastAsia="es-MX"/>
        </w:rPr>
        <w:t xml:space="preserve">No entrega la información completa y el link que entrega no abre, pero se </w:t>
      </w:r>
      <w:proofErr w:type="spellStart"/>
      <w:r w:rsidRPr="00A93267">
        <w:rPr>
          <w:rFonts w:eastAsia="Times New Roman" w:cs="Times New Roman"/>
          <w:i/>
          <w:color w:val="auto"/>
          <w:sz w:val="20"/>
          <w:szCs w:val="20"/>
          <w:lang w:eastAsia="es-MX"/>
        </w:rPr>
        <w:t>solicito</w:t>
      </w:r>
      <w:proofErr w:type="spellEnd"/>
      <w:r w:rsidRPr="00A93267">
        <w:rPr>
          <w:rFonts w:eastAsia="Times New Roman" w:cs="Times New Roman"/>
          <w:i/>
          <w:color w:val="auto"/>
          <w:sz w:val="20"/>
          <w:szCs w:val="20"/>
          <w:lang w:eastAsia="es-MX"/>
        </w:rPr>
        <w:t xml:space="preserve"> toda no un </w:t>
      </w:r>
      <w:proofErr w:type="gramStart"/>
      <w:r w:rsidRPr="00A93267">
        <w:rPr>
          <w:rFonts w:eastAsia="Times New Roman" w:cs="Times New Roman"/>
          <w:i/>
          <w:color w:val="auto"/>
          <w:sz w:val="20"/>
          <w:szCs w:val="20"/>
          <w:lang w:eastAsia="es-MX"/>
        </w:rPr>
        <w:t>link ,</w:t>
      </w:r>
      <w:proofErr w:type="gramEnd"/>
      <w:r w:rsidRPr="00A93267">
        <w:rPr>
          <w:rFonts w:eastAsia="Times New Roman" w:cs="Times New Roman"/>
          <w:i/>
          <w:color w:val="auto"/>
          <w:sz w:val="20"/>
          <w:szCs w:val="20"/>
          <w:lang w:eastAsia="es-MX"/>
        </w:rPr>
        <w:t xml:space="preserve"> se turne a la contraloría interna por que se nota que con dolo no entrega la información</w:t>
      </w:r>
      <w:r w:rsidR="00482B41" w:rsidRPr="00A93267">
        <w:rPr>
          <w:i/>
          <w:color w:val="000000"/>
          <w:sz w:val="20"/>
          <w:szCs w:val="20"/>
        </w:rPr>
        <w:t>.</w:t>
      </w:r>
      <w:r w:rsidR="00482B41" w:rsidRPr="00A93267">
        <w:rPr>
          <w:rFonts w:cs="Tahoma"/>
          <w:i/>
          <w:sz w:val="20"/>
          <w:szCs w:val="20"/>
        </w:rPr>
        <w:t>” (Sic.)</w:t>
      </w:r>
    </w:p>
    <w:p w14:paraId="5F62E7A4" w14:textId="77777777" w:rsidR="00482B41" w:rsidRPr="00A93267" w:rsidRDefault="00482B41" w:rsidP="008976D2">
      <w:pPr>
        <w:spacing w:after="0" w:line="360" w:lineRule="auto"/>
        <w:contextualSpacing/>
        <w:rPr>
          <w:rFonts w:cs="Tahoma"/>
          <w:bCs/>
        </w:rPr>
      </w:pPr>
    </w:p>
    <w:p w14:paraId="705D55A4" w14:textId="77777777" w:rsidR="00482B41" w:rsidRPr="00A93267" w:rsidRDefault="00482B41" w:rsidP="008976D2">
      <w:pPr>
        <w:spacing w:after="0" w:line="360" w:lineRule="auto"/>
        <w:contextualSpacing/>
        <w:rPr>
          <w:rFonts w:eastAsia="Batang" w:cs="Tahoma"/>
          <w:b/>
          <w:bCs/>
        </w:rPr>
      </w:pPr>
      <w:r w:rsidRPr="00A93267">
        <w:rPr>
          <w:rFonts w:cs="Tahoma"/>
          <w:b/>
        </w:rPr>
        <w:t xml:space="preserve">IV. </w:t>
      </w:r>
      <w:r w:rsidRPr="00A93267">
        <w:rPr>
          <w:rFonts w:eastAsia="Batang" w:cs="Tahoma"/>
          <w:b/>
          <w:bCs/>
        </w:rPr>
        <w:t xml:space="preserve">Trámite del </w:t>
      </w:r>
      <w:r w:rsidRPr="00A93267">
        <w:rPr>
          <w:rFonts w:cs="Tahoma"/>
          <w:b/>
        </w:rPr>
        <w:t xml:space="preserve">Recurso de Revisión </w:t>
      </w:r>
      <w:r w:rsidRPr="00A93267">
        <w:rPr>
          <w:rFonts w:eastAsia="Batang" w:cs="Tahoma"/>
          <w:b/>
          <w:bCs/>
        </w:rPr>
        <w:t>ante este Instituto.</w:t>
      </w:r>
    </w:p>
    <w:p w14:paraId="47AB7754" w14:textId="77777777" w:rsidR="00482B41" w:rsidRPr="00A93267" w:rsidRDefault="00482B41" w:rsidP="008976D2">
      <w:pPr>
        <w:spacing w:after="0" w:line="360" w:lineRule="auto"/>
        <w:contextualSpacing/>
        <w:rPr>
          <w:rFonts w:eastAsia="Batang" w:cs="Tahoma"/>
          <w:b/>
          <w:bCs/>
        </w:rPr>
      </w:pPr>
    </w:p>
    <w:p w14:paraId="180DAA02" w14:textId="6CCA76B6" w:rsidR="00482B41" w:rsidRPr="00A93267" w:rsidRDefault="00482B41" w:rsidP="008976D2">
      <w:pPr>
        <w:spacing w:after="0" w:line="360" w:lineRule="auto"/>
        <w:contextualSpacing/>
        <w:rPr>
          <w:rFonts w:eastAsia="Batang" w:cs="Tahoma"/>
          <w:bCs/>
        </w:rPr>
      </w:pPr>
      <w:r w:rsidRPr="00A93267">
        <w:rPr>
          <w:rFonts w:eastAsia="Batang" w:cs="Tahoma"/>
          <w:b/>
          <w:bCs/>
        </w:rPr>
        <w:t xml:space="preserve">a) Turno del Medio de Impugnación. </w:t>
      </w:r>
      <w:r w:rsidRPr="00A93267">
        <w:rPr>
          <w:rFonts w:eastAsia="Batang" w:cs="Tahoma"/>
          <w:bCs/>
        </w:rPr>
        <w:t xml:space="preserve">El </w:t>
      </w:r>
      <w:r w:rsidR="006C469C" w:rsidRPr="00A93267">
        <w:rPr>
          <w:rFonts w:eastAsia="Batang" w:cs="Tahoma"/>
          <w:bCs/>
        </w:rPr>
        <w:t>diez de noviembre</w:t>
      </w:r>
      <w:r w:rsidRPr="00A93267">
        <w:rPr>
          <w:rFonts w:eastAsia="Batang" w:cs="Tahoma"/>
          <w:bCs/>
        </w:rPr>
        <w:t xml:space="preserve"> de dos mil veintidós, el </w:t>
      </w:r>
      <w:r w:rsidRPr="00A93267">
        <w:rPr>
          <w:rFonts w:cs="Tahoma"/>
        </w:rPr>
        <w:t>Sistema de Acceso a la Información Mexiquense (SAIMEX),</w:t>
      </w:r>
      <w:r w:rsidRPr="00A93267">
        <w:rPr>
          <w:rFonts w:eastAsia="Batang" w:cs="Tahoma"/>
          <w:bCs/>
        </w:rPr>
        <w:t xml:space="preserve"> asignó el número de expediente </w:t>
      </w:r>
      <w:r w:rsidRPr="00A93267">
        <w:rPr>
          <w:b/>
          <w:bCs/>
        </w:rPr>
        <w:t>16</w:t>
      </w:r>
      <w:r w:rsidR="006C469C" w:rsidRPr="00A93267">
        <w:rPr>
          <w:b/>
          <w:bCs/>
        </w:rPr>
        <w:t>391</w:t>
      </w:r>
      <w:r w:rsidRPr="00A93267">
        <w:rPr>
          <w:b/>
          <w:bCs/>
        </w:rPr>
        <w:t>/INFOEM/IP/RR/2022</w:t>
      </w:r>
      <w:r w:rsidRPr="00A93267">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F3FD60F" w14:textId="77777777" w:rsidR="00482B41" w:rsidRPr="00A93267" w:rsidRDefault="00482B41" w:rsidP="008976D2">
      <w:pPr>
        <w:spacing w:after="0" w:line="360" w:lineRule="auto"/>
        <w:contextualSpacing/>
        <w:rPr>
          <w:rFonts w:eastAsia="Batang" w:cs="Tahoma"/>
          <w:bCs/>
        </w:rPr>
      </w:pPr>
    </w:p>
    <w:p w14:paraId="2F03D44B" w14:textId="5D6DEBB5" w:rsidR="00482B41" w:rsidRPr="00A93267" w:rsidRDefault="00482B41" w:rsidP="008976D2">
      <w:pPr>
        <w:spacing w:after="0" w:line="360" w:lineRule="auto"/>
        <w:contextualSpacing/>
        <w:rPr>
          <w:rFonts w:eastAsia="Times New Roman" w:cs="Tahoma"/>
          <w:b/>
        </w:rPr>
      </w:pPr>
      <w:r w:rsidRPr="00A93267">
        <w:rPr>
          <w:rFonts w:eastAsia="Batang" w:cs="Tahoma"/>
          <w:b/>
          <w:bCs/>
        </w:rPr>
        <w:t xml:space="preserve">b) Admisión del </w:t>
      </w:r>
      <w:r w:rsidRPr="00A93267">
        <w:rPr>
          <w:rFonts w:cs="Tahoma"/>
          <w:b/>
        </w:rPr>
        <w:t>Recurso de Revisión</w:t>
      </w:r>
      <w:r w:rsidRPr="00A93267">
        <w:rPr>
          <w:rFonts w:eastAsia="Batang" w:cs="Tahoma"/>
          <w:b/>
          <w:bCs/>
        </w:rPr>
        <w:t xml:space="preserve">. </w:t>
      </w:r>
      <w:r w:rsidRPr="00A93267">
        <w:rPr>
          <w:rFonts w:eastAsia="Batang" w:cs="Tahoma"/>
          <w:bCs/>
        </w:rPr>
        <w:t xml:space="preserve">El </w:t>
      </w:r>
      <w:r w:rsidR="006C469C" w:rsidRPr="00A93267">
        <w:rPr>
          <w:rFonts w:eastAsia="Batang" w:cs="Tahoma"/>
          <w:bCs/>
        </w:rPr>
        <w:t>catorce de noviembre</w:t>
      </w:r>
      <w:r w:rsidRPr="00A93267">
        <w:rPr>
          <w:rFonts w:eastAsia="Batang" w:cs="Tahoma"/>
          <w:bCs/>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nueve de dicho mes y año, a través del Sistema de Acceso a la Información Mexiquense (SAIMEX), en el que se les otorgó un plazo de siete días hábiles posteriores a la misma, para que manifestaran lo que a su derecho conviniera y formularan alegatos. </w:t>
      </w:r>
    </w:p>
    <w:p w14:paraId="0AFF26D0" w14:textId="77777777" w:rsidR="006C469C" w:rsidRPr="00A93267" w:rsidRDefault="006C469C" w:rsidP="008976D2">
      <w:pPr>
        <w:spacing w:after="0" w:line="360" w:lineRule="auto"/>
        <w:contextualSpacing/>
        <w:rPr>
          <w:rFonts w:cs="Tahoma"/>
          <w:bCs/>
        </w:rPr>
      </w:pPr>
    </w:p>
    <w:p w14:paraId="00726143" w14:textId="4FA16E8C" w:rsidR="006C469C" w:rsidRPr="00A93267" w:rsidRDefault="006C469C" w:rsidP="008976D2">
      <w:pPr>
        <w:spacing w:after="0" w:line="360" w:lineRule="auto"/>
        <w:contextualSpacing/>
        <w:rPr>
          <w:rFonts w:cs="Tahoma"/>
          <w:bCs/>
        </w:rPr>
      </w:pPr>
      <w:r w:rsidRPr="00A93267">
        <w:rPr>
          <w:rFonts w:cs="Tahoma"/>
          <w:b/>
        </w:rPr>
        <w:t xml:space="preserve">c) </w:t>
      </w:r>
      <w:r w:rsidRPr="00A93267">
        <w:rPr>
          <w:rFonts w:cs="Tahoma"/>
          <w:b/>
          <w:bCs/>
          <w:iCs/>
          <w:lang w:val="es-ES"/>
        </w:rPr>
        <w:t>Informe Justificado o manifestaciones.</w:t>
      </w:r>
      <w:r w:rsidRPr="00A93267">
        <w:rPr>
          <w:rFonts w:cs="Tahoma"/>
          <w:bCs/>
          <w:iCs/>
          <w:lang w:val="es-ES"/>
        </w:rPr>
        <w:t xml:space="preserve"> </w:t>
      </w:r>
      <w:r w:rsidRPr="00A93267">
        <w:rPr>
          <w:rFonts w:cs="Tahoma"/>
          <w:bCs/>
          <w:lang w:val="es-ES_tradnl"/>
        </w:rPr>
        <w:t>El diecisiete de noviembre, de dos mil veintidós, se recibió en este Instituto, a través del Sistema de Acceso a la Información Mexiquense (SAIMEX), el Informe Justificado del Sujeto Obligado, a través</w:t>
      </w:r>
      <w:r w:rsidRPr="00A93267">
        <w:rPr>
          <w:rFonts w:cs="Tahoma"/>
          <w:bCs/>
        </w:rPr>
        <w:t xml:space="preserve"> de la digitalización de los siguientes documentos:</w:t>
      </w:r>
    </w:p>
    <w:p w14:paraId="6CFFAC59" w14:textId="041632CD" w:rsidR="00482B41" w:rsidRPr="00A93267" w:rsidRDefault="00482B41" w:rsidP="008976D2">
      <w:pPr>
        <w:spacing w:after="0" w:line="360" w:lineRule="auto"/>
        <w:contextualSpacing/>
        <w:rPr>
          <w:rFonts w:cs="Tahoma"/>
          <w:bCs/>
        </w:rPr>
      </w:pPr>
    </w:p>
    <w:p w14:paraId="5AED7B1A" w14:textId="24BBFA2F" w:rsidR="007304CE" w:rsidRPr="00A93267" w:rsidRDefault="007304CE" w:rsidP="008976D2">
      <w:pPr>
        <w:spacing w:after="0" w:line="360" w:lineRule="auto"/>
        <w:contextualSpacing/>
        <w:rPr>
          <w:rFonts w:cs="Tahoma"/>
          <w:bCs/>
        </w:rPr>
      </w:pPr>
      <w:r w:rsidRPr="00A93267">
        <w:rPr>
          <w:rFonts w:cs="Tahoma"/>
          <w:bCs/>
        </w:rPr>
        <w:lastRenderedPageBreak/>
        <w:t>i) Ofició número CCT/UT/0507/2022,</w:t>
      </w:r>
      <w:r w:rsidR="00EE1F92" w:rsidRPr="00A93267">
        <w:rPr>
          <w:rFonts w:cs="Tahoma"/>
          <w:bCs/>
        </w:rPr>
        <w:t xml:space="preserve"> de fecha diecisiete de noviembre de dos mil veintidós,</w:t>
      </w:r>
      <w:r w:rsidRPr="00A93267">
        <w:rPr>
          <w:rFonts w:cs="Tahoma"/>
          <w:bCs/>
        </w:rPr>
        <w:t xml:space="preserve"> suscrito por el Titular de la Unidad de Transparencia, y dirigido al Comisionado ponente, a través del cual </w:t>
      </w:r>
      <w:r w:rsidR="00EE1F92" w:rsidRPr="00A93267">
        <w:rPr>
          <w:rFonts w:cs="Tahoma"/>
          <w:bCs/>
        </w:rPr>
        <w:t xml:space="preserve">esencialmente ratifica su respuesta primigenia. </w:t>
      </w:r>
    </w:p>
    <w:p w14:paraId="5A7991BF" w14:textId="04D940D4" w:rsidR="00EE1F92" w:rsidRPr="00A93267" w:rsidRDefault="00EE1F92" w:rsidP="008976D2">
      <w:pPr>
        <w:spacing w:after="0" w:line="360" w:lineRule="auto"/>
        <w:contextualSpacing/>
        <w:rPr>
          <w:rFonts w:cs="Tahoma"/>
          <w:bCs/>
        </w:rPr>
      </w:pPr>
    </w:p>
    <w:p w14:paraId="1D98C2D5" w14:textId="47C78070" w:rsidR="00EE1F92" w:rsidRPr="00A93267" w:rsidRDefault="00EE1F92" w:rsidP="008976D2">
      <w:pPr>
        <w:spacing w:after="0" w:line="360" w:lineRule="auto"/>
        <w:contextualSpacing/>
        <w:rPr>
          <w:rFonts w:cs="Tahoma"/>
          <w:bCs/>
        </w:rPr>
      </w:pPr>
      <w:r w:rsidRPr="00A93267">
        <w:rPr>
          <w:rFonts w:cs="Tahoma"/>
          <w:bCs/>
        </w:rPr>
        <w:t xml:space="preserve">ii) Oficio número 220000011000700S/3941/2022, de fecha dieciséis de noviembre de dos mil veintidós, suscrito por la Subdirectora de Administración de Capital Humano, y dirigido </w:t>
      </w:r>
      <w:r w:rsidRPr="00A93267">
        <w:rPr>
          <w:rFonts w:eastAsia="Times New Roman" w:cs="Tahoma"/>
          <w:color w:val="auto"/>
          <w:szCs w:val="24"/>
          <w:lang w:eastAsia="es-ES"/>
        </w:rPr>
        <w:t>al Jefe de Departamento de Adquisiciones, Control y Suministro de Bienes y Servidor Público Habilitado en Materia de Transparencia, Acceso a la Información Pública y Protección de Datos Personales</w:t>
      </w:r>
      <w:r w:rsidR="00F94F06" w:rsidRPr="00A93267">
        <w:rPr>
          <w:rFonts w:eastAsia="Times New Roman" w:cs="Tahoma"/>
          <w:color w:val="auto"/>
          <w:szCs w:val="24"/>
          <w:lang w:eastAsia="es-ES"/>
        </w:rPr>
        <w:t>,</w:t>
      </w:r>
      <w:r w:rsidRPr="00A93267">
        <w:rPr>
          <w:rFonts w:eastAsia="Times New Roman" w:cs="Tahoma"/>
          <w:color w:val="auto"/>
          <w:szCs w:val="24"/>
          <w:lang w:eastAsia="es-ES"/>
        </w:rPr>
        <w:t xml:space="preserve"> a través del cual ratificó su respuesta primigenia. </w:t>
      </w:r>
    </w:p>
    <w:p w14:paraId="2783B7F0" w14:textId="77777777" w:rsidR="00482B41" w:rsidRPr="00A93267" w:rsidRDefault="00482B41" w:rsidP="008976D2">
      <w:pPr>
        <w:spacing w:after="0" w:line="360" w:lineRule="auto"/>
        <w:contextualSpacing/>
        <w:rPr>
          <w:rFonts w:eastAsia="Palatino Linotype" w:cs="Palatino Linotype"/>
          <w:b/>
          <w:bCs/>
        </w:rPr>
      </w:pPr>
    </w:p>
    <w:p w14:paraId="0334315B" w14:textId="44E7BAED" w:rsidR="00482B41" w:rsidRPr="00A93267" w:rsidRDefault="00482B41" w:rsidP="008976D2">
      <w:pPr>
        <w:spacing w:after="0" w:line="360" w:lineRule="auto"/>
        <w:contextualSpacing/>
        <w:rPr>
          <w:rFonts w:eastAsia="Palatino Linotype" w:cs="Palatino Linotype"/>
        </w:rPr>
      </w:pPr>
      <w:r w:rsidRPr="00A93267">
        <w:rPr>
          <w:rFonts w:eastAsia="Palatino Linotype" w:cs="Palatino Linotype"/>
          <w:b/>
          <w:bCs/>
        </w:rPr>
        <w:t xml:space="preserve">d) Ampliación de plazo para resolver. </w:t>
      </w:r>
      <w:r w:rsidRPr="00A93267">
        <w:rPr>
          <w:rFonts w:eastAsia="Palatino Linotype" w:cs="Palatino Linotype"/>
        </w:rPr>
        <w:t xml:space="preserve">El </w:t>
      </w:r>
      <w:r w:rsidR="00B33595" w:rsidRPr="00A93267">
        <w:rPr>
          <w:rFonts w:eastAsia="Palatino Linotype" w:cs="Palatino Linotype"/>
        </w:rPr>
        <w:t>trece de enero</w:t>
      </w:r>
      <w:r w:rsidRPr="00A93267">
        <w:rPr>
          <w:rFonts w:eastAsia="Palatino Linotype" w:cs="Palatino Linotype"/>
        </w:rPr>
        <w:t xml:space="preserve"> de dos mil veinti</w:t>
      </w:r>
      <w:r w:rsidR="00B33595" w:rsidRPr="00A93267">
        <w:rPr>
          <w:rFonts w:eastAsia="Palatino Linotype" w:cs="Palatino Linotype"/>
        </w:rPr>
        <w:t>trés</w:t>
      </w:r>
      <w:r w:rsidRPr="00A93267">
        <w:rPr>
          <w:rFonts w:eastAsia="Palatino Linotype" w:cs="Palatino Linotype"/>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08FAF902" w14:textId="1F2F6C37" w:rsidR="00B33595" w:rsidRPr="00A93267" w:rsidRDefault="00B33595" w:rsidP="008976D2">
      <w:pPr>
        <w:spacing w:after="0" w:line="360" w:lineRule="auto"/>
        <w:contextualSpacing/>
        <w:rPr>
          <w:rFonts w:eastAsia="Palatino Linotype" w:cs="Palatino Linotype"/>
        </w:rPr>
      </w:pPr>
    </w:p>
    <w:p w14:paraId="206953D3" w14:textId="77777777" w:rsidR="00B33595" w:rsidRPr="00A93267" w:rsidRDefault="00B33595" w:rsidP="008976D2">
      <w:pPr>
        <w:spacing w:after="0" w:line="360" w:lineRule="auto"/>
        <w:contextualSpacing/>
        <w:rPr>
          <w:rFonts w:cs="Tahoma"/>
        </w:rPr>
      </w:pPr>
      <w:r w:rsidRPr="00A93267">
        <w:rPr>
          <w:rFonts w:cs="Tahoma"/>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3C18D5D" w14:textId="77777777" w:rsidR="00B33595" w:rsidRPr="00A93267" w:rsidRDefault="00B33595" w:rsidP="008976D2">
      <w:pPr>
        <w:spacing w:after="0" w:line="360" w:lineRule="auto"/>
        <w:contextualSpacing/>
        <w:rPr>
          <w:rFonts w:cs="Tahoma"/>
        </w:rPr>
      </w:pPr>
    </w:p>
    <w:p w14:paraId="3358D5BE" w14:textId="77777777" w:rsidR="00B33595" w:rsidRPr="00A93267" w:rsidRDefault="00B33595" w:rsidP="008976D2">
      <w:pPr>
        <w:spacing w:after="0" w:line="360" w:lineRule="auto"/>
        <w:contextualSpacing/>
        <w:rPr>
          <w:rFonts w:cs="Tahoma"/>
        </w:rPr>
      </w:pPr>
      <w:r w:rsidRPr="00A93267">
        <w:rPr>
          <w:rFonts w:cs="Tahoma"/>
        </w:rPr>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w:t>
      </w:r>
      <w:r w:rsidRPr="00A93267">
        <w:rPr>
          <w:rFonts w:cs="Tahoma"/>
        </w:rPr>
        <w:lastRenderedPageBreak/>
        <w:t>los parámetros establecidos por diversos órganos jurisdiccionales federales, aplicables también en procedimientos análogos, como el que nos ocupa.</w:t>
      </w:r>
    </w:p>
    <w:p w14:paraId="720CB343" w14:textId="77777777" w:rsidR="00B33595" w:rsidRPr="00A93267" w:rsidRDefault="00B33595" w:rsidP="008976D2">
      <w:pPr>
        <w:spacing w:after="0" w:line="360" w:lineRule="auto"/>
        <w:contextualSpacing/>
        <w:rPr>
          <w:rFonts w:cs="Tahoma"/>
        </w:rPr>
      </w:pPr>
    </w:p>
    <w:p w14:paraId="6C45F7FD" w14:textId="77777777" w:rsidR="00B33595" w:rsidRPr="00A93267" w:rsidRDefault="00B33595" w:rsidP="008976D2">
      <w:pPr>
        <w:spacing w:after="0" w:line="360" w:lineRule="auto"/>
        <w:contextualSpacing/>
        <w:rPr>
          <w:rFonts w:cs="Tahoma"/>
        </w:rPr>
      </w:pPr>
      <w:r w:rsidRPr="00A93267">
        <w:rPr>
          <w:rFonts w:cs="Tahoma"/>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3479F6B" w14:textId="77777777" w:rsidR="00B33595" w:rsidRPr="00A93267" w:rsidRDefault="00B33595" w:rsidP="008976D2">
      <w:pPr>
        <w:spacing w:after="0" w:line="360" w:lineRule="auto"/>
        <w:contextualSpacing/>
        <w:rPr>
          <w:rFonts w:cs="Tahoma"/>
        </w:rPr>
      </w:pPr>
      <w:r w:rsidRPr="00A93267">
        <w:rPr>
          <w:rFonts w:cs="Tahoma"/>
        </w:rPr>
        <w:t xml:space="preserve"> </w:t>
      </w:r>
    </w:p>
    <w:p w14:paraId="7DBBA51B" w14:textId="77777777" w:rsidR="00B33595" w:rsidRPr="00A93267" w:rsidRDefault="00B33595" w:rsidP="008976D2">
      <w:pPr>
        <w:spacing w:after="0" w:line="360" w:lineRule="auto"/>
        <w:contextualSpacing/>
        <w:rPr>
          <w:rFonts w:eastAsia="Calibri" w:cs="Tahoma"/>
          <w:bCs/>
        </w:rPr>
      </w:pPr>
      <w:r w:rsidRPr="00A93267">
        <w:rPr>
          <w:rFonts w:eastAsia="Calibri" w:cs="Tahoma"/>
          <w:bCs/>
        </w:rPr>
        <w:t xml:space="preserve">Por ello, excepcionalmente, si un asunto es resuelto con posterioridad a los plazos señalados por la norma debe analizarse la razonabilidad del tiempo necesario para su resolución, atentos a los siguientes criterios:  </w:t>
      </w:r>
    </w:p>
    <w:p w14:paraId="22BA09D3" w14:textId="77777777" w:rsidR="00B33595" w:rsidRPr="00A93267" w:rsidRDefault="00B33595" w:rsidP="008976D2">
      <w:pPr>
        <w:spacing w:after="0" w:line="360" w:lineRule="auto"/>
        <w:contextualSpacing/>
        <w:rPr>
          <w:rFonts w:eastAsia="Calibri" w:cs="Tahoma"/>
          <w:bCs/>
        </w:rPr>
      </w:pPr>
      <w:r w:rsidRPr="00A93267">
        <w:rPr>
          <w:rFonts w:eastAsia="Calibri" w:cs="Tahoma"/>
          <w:bCs/>
        </w:rPr>
        <w:t xml:space="preserve"> </w:t>
      </w:r>
    </w:p>
    <w:p w14:paraId="5617B7CC" w14:textId="77777777" w:rsidR="00B33595" w:rsidRPr="00A93267" w:rsidRDefault="00B33595" w:rsidP="008976D2">
      <w:pPr>
        <w:numPr>
          <w:ilvl w:val="0"/>
          <w:numId w:val="5"/>
        </w:numPr>
        <w:spacing w:after="0" w:line="360" w:lineRule="auto"/>
        <w:contextualSpacing/>
        <w:rPr>
          <w:rFonts w:eastAsia="Palatino Linotype" w:cs="Palatino Linotype"/>
          <w:szCs w:val="24"/>
          <w:lang w:eastAsia="es-ES"/>
        </w:rPr>
      </w:pPr>
      <w:r w:rsidRPr="00A93267">
        <w:rPr>
          <w:rFonts w:eastAsia="Palatino Linotype" w:cs="Palatino Linotype"/>
          <w:b/>
          <w:bCs/>
          <w:szCs w:val="24"/>
          <w:lang w:eastAsia="es-ES"/>
        </w:rPr>
        <w:t>Complejidad del asunto:</w:t>
      </w:r>
      <w:r w:rsidRPr="00A93267">
        <w:rPr>
          <w:rFonts w:eastAsia="Palatino Linotype" w:cs="Palatino Linotype"/>
          <w:szCs w:val="24"/>
          <w:lang w:eastAsia="es-ES"/>
        </w:rPr>
        <w:t xml:space="preserve"> La complejidad de la prueba, la pluralidad de sujetos procesales, el tiempo transcurrido, las características y contexto del recurso.</w:t>
      </w:r>
    </w:p>
    <w:p w14:paraId="66F2E646" w14:textId="77777777" w:rsidR="00B33595" w:rsidRPr="00A93267" w:rsidRDefault="00B33595" w:rsidP="008976D2">
      <w:pPr>
        <w:spacing w:after="0" w:line="360" w:lineRule="auto"/>
        <w:ind w:left="720"/>
        <w:contextualSpacing/>
        <w:rPr>
          <w:rFonts w:eastAsia="Palatino Linotype" w:cs="Palatino Linotype"/>
          <w:szCs w:val="24"/>
          <w:lang w:eastAsia="es-ES"/>
        </w:rPr>
      </w:pPr>
    </w:p>
    <w:p w14:paraId="0F78EB1E" w14:textId="77777777" w:rsidR="00B33595" w:rsidRPr="00A93267" w:rsidRDefault="00B33595" w:rsidP="008976D2">
      <w:pPr>
        <w:numPr>
          <w:ilvl w:val="0"/>
          <w:numId w:val="5"/>
        </w:numPr>
        <w:spacing w:after="0" w:line="360" w:lineRule="auto"/>
        <w:contextualSpacing/>
        <w:rPr>
          <w:rFonts w:eastAsia="Palatino Linotype" w:cs="Palatino Linotype"/>
          <w:szCs w:val="24"/>
          <w:lang w:eastAsia="es-ES"/>
        </w:rPr>
      </w:pPr>
      <w:r w:rsidRPr="00A93267">
        <w:rPr>
          <w:rFonts w:eastAsia="Palatino Linotype" w:cs="Palatino Linotype"/>
          <w:b/>
          <w:bCs/>
          <w:szCs w:val="24"/>
          <w:lang w:eastAsia="es-ES"/>
        </w:rPr>
        <w:t>Actividad Procesal del interesado:</w:t>
      </w:r>
      <w:r w:rsidRPr="00A93267">
        <w:rPr>
          <w:rFonts w:eastAsia="Palatino Linotype" w:cs="Palatino Linotype"/>
          <w:szCs w:val="24"/>
          <w:lang w:eastAsia="es-ES"/>
        </w:rPr>
        <w:t xml:space="preserve"> Acciones u omisiones del interesado.</w:t>
      </w:r>
    </w:p>
    <w:p w14:paraId="2CE08FA7" w14:textId="77777777" w:rsidR="00B33595" w:rsidRPr="00A93267" w:rsidRDefault="00B33595" w:rsidP="008976D2">
      <w:pPr>
        <w:spacing w:after="0" w:line="360" w:lineRule="auto"/>
        <w:ind w:left="720"/>
        <w:contextualSpacing/>
        <w:rPr>
          <w:rFonts w:eastAsia="Palatino Linotype" w:cs="Palatino Linotype"/>
          <w:szCs w:val="24"/>
          <w:lang w:eastAsia="es-ES"/>
        </w:rPr>
      </w:pPr>
    </w:p>
    <w:p w14:paraId="3DF3C486" w14:textId="77777777" w:rsidR="00B33595" w:rsidRPr="00A93267" w:rsidRDefault="00B33595" w:rsidP="008976D2">
      <w:pPr>
        <w:numPr>
          <w:ilvl w:val="0"/>
          <w:numId w:val="5"/>
        </w:numPr>
        <w:spacing w:after="0" w:line="360" w:lineRule="auto"/>
        <w:contextualSpacing/>
        <w:rPr>
          <w:rFonts w:eastAsia="Palatino Linotype" w:cs="Palatino Linotype"/>
          <w:szCs w:val="24"/>
          <w:lang w:eastAsia="es-ES"/>
        </w:rPr>
      </w:pPr>
      <w:r w:rsidRPr="00A93267">
        <w:rPr>
          <w:rFonts w:eastAsia="Palatino Linotype" w:cs="Palatino Linotype"/>
          <w:b/>
          <w:bCs/>
          <w:szCs w:val="24"/>
          <w:lang w:eastAsia="es-ES"/>
        </w:rPr>
        <w:t>Conducta de la Autoridad:</w:t>
      </w:r>
      <w:r w:rsidRPr="00A93267">
        <w:rPr>
          <w:rFonts w:eastAsia="Palatino Linotype" w:cs="Palatino Linotype"/>
          <w:szCs w:val="24"/>
          <w:lang w:eastAsia="es-ES"/>
        </w:rPr>
        <w:t xml:space="preserve"> Las Acciones u omisiones realizadas en el procedimiento. Así como si la autoridad actuó con la debida diligencia.</w:t>
      </w:r>
    </w:p>
    <w:p w14:paraId="4BC70DC3" w14:textId="77777777" w:rsidR="00B33595" w:rsidRPr="00A93267" w:rsidRDefault="00B33595" w:rsidP="008976D2">
      <w:pPr>
        <w:spacing w:after="0" w:line="360" w:lineRule="auto"/>
        <w:ind w:left="720"/>
        <w:contextualSpacing/>
        <w:rPr>
          <w:rFonts w:eastAsia="Palatino Linotype" w:cs="Palatino Linotype"/>
          <w:szCs w:val="24"/>
          <w:lang w:eastAsia="es-ES"/>
        </w:rPr>
      </w:pPr>
    </w:p>
    <w:p w14:paraId="2E67DDD0" w14:textId="77777777" w:rsidR="00B33595" w:rsidRPr="00A93267" w:rsidRDefault="00B33595" w:rsidP="008976D2">
      <w:pPr>
        <w:numPr>
          <w:ilvl w:val="0"/>
          <w:numId w:val="5"/>
        </w:numPr>
        <w:spacing w:after="0" w:line="360" w:lineRule="auto"/>
        <w:contextualSpacing/>
        <w:rPr>
          <w:rFonts w:eastAsia="Palatino Linotype" w:cs="Palatino Linotype"/>
          <w:szCs w:val="24"/>
          <w:lang w:eastAsia="es-ES"/>
        </w:rPr>
      </w:pPr>
      <w:r w:rsidRPr="00A93267">
        <w:rPr>
          <w:rFonts w:eastAsia="Palatino Linotype" w:cs="Palatino Linotype"/>
          <w:b/>
          <w:bCs/>
          <w:szCs w:val="24"/>
          <w:lang w:eastAsia="es-ES"/>
        </w:rPr>
        <w:t xml:space="preserve">La afectación generada en la situación jurídica de la persona involucrada en el proceso: </w:t>
      </w:r>
      <w:r w:rsidRPr="00A93267">
        <w:rPr>
          <w:rFonts w:eastAsia="Palatino Linotype" w:cs="Palatino Linotype"/>
          <w:szCs w:val="24"/>
          <w:lang w:eastAsia="es-ES"/>
        </w:rPr>
        <w:t>Violación a sus derechos humanos.</w:t>
      </w:r>
    </w:p>
    <w:p w14:paraId="61B54496" w14:textId="77777777" w:rsidR="00B33595" w:rsidRPr="00A93267" w:rsidRDefault="00B33595" w:rsidP="008976D2">
      <w:pPr>
        <w:spacing w:after="0" w:line="360" w:lineRule="auto"/>
        <w:contextualSpacing/>
        <w:rPr>
          <w:rFonts w:eastAsia="Calibri" w:cs="Tahoma"/>
          <w:bCs/>
        </w:rPr>
      </w:pPr>
    </w:p>
    <w:p w14:paraId="02150809" w14:textId="77777777" w:rsidR="00B33595" w:rsidRPr="00A93267" w:rsidRDefault="00B33595" w:rsidP="008976D2">
      <w:pPr>
        <w:spacing w:after="0" w:line="360" w:lineRule="auto"/>
        <w:contextualSpacing/>
        <w:rPr>
          <w:rFonts w:eastAsia="Calibri" w:cs="Tahoma"/>
          <w:bCs/>
        </w:rPr>
      </w:pPr>
      <w:r w:rsidRPr="00A93267">
        <w:rPr>
          <w:rFonts w:eastAsia="Calibri" w:cs="Tahoma"/>
          <w:bC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BE1F711" w14:textId="77777777" w:rsidR="00B33595" w:rsidRPr="00A93267" w:rsidRDefault="00B33595" w:rsidP="008976D2">
      <w:pPr>
        <w:spacing w:after="0" w:line="360" w:lineRule="auto"/>
        <w:contextualSpacing/>
        <w:rPr>
          <w:rFonts w:eastAsia="Calibri" w:cs="Tahoma"/>
          <w:bCs/>
        </w:rPr>
      </w:pPr>
      <w:r w:rsidRPr="00A93267">
        <w:rPr>
          <w:rFonts w:eastAsia="Calibri" w:cs="Tahoma"/>
          <w:bCs/>
        </w:rPr>
        <w:t xml:space="preserve"> </w:t>
      </w:r>
    </w:p>
    <w:p w14:paraId="26D0310E" w14:textId="77777777" w:rsidR="00B33595" w:rsidRPr="00A93267" w:rsidRDefault="00B33595" w:rsidP="008976D2">
      <w:pPr>
        <w:spacing w:after="0" w:line="360" w:lineRule="auto"/>
        <w:contextualSpacing/>
        <w:rPr>
          <w:rFonts w:eastAsia="Calibri" w:cs="Tahoma"/>
          <w:bCs/>
        </w:rPr>
      </w:pPr>
      <w:r w:rsidRPr="00A93267">
        <w:rPr>
          <w:rFonts w:eastAsia="Calibri" w:cs="Tahoma"/>
          <w:bCs/>
        </w:rPr>
        <w:t xml:space="preserve">Argumento que encuentra sustento en la jurisprudencia P./J. 32/92 emitida por el Pleno de la Suprema Corte de Justicia de la Nación de rubro </w:t>
      </w:r>
      <w:r w:rsidRPr="00A93267">
        <w:rPr>
          <w:rFonts w:eastAsia="Calibri" w:cs="Tahoma"/>
          <w:b/>
        </w:rPr>
        <w:t>“TÉRMINOS PROCESALES. PARA DETERMINAR SI UN FUNCIONARIO JUDICIAL ACTUÓ INDEBIDAMENTE POR NO RESPETARLOS SE DEBE ATENDER AL PRESUPUESTO QUE CONSIDERÓ EL LEGISLADOR AL FIJARLOS Y LAS CARACTERÍSTICAS DEL CASO.”</w:t>
      </w:r>
      <w:r w:rsidRPr="00A93267">
        <w:rPr>
          <w:rFonts w:eastAsia="Calibri" w:cs="Tahoma"/>
          <w:bCs/>
        </w:rPr>
        <w:t>, visible en la Gaceta del Seminario Judicial de la Federación con el registro digital 205635.</w:t>
      </w:r>
    </w:p>
    <w:p w14:paraId="1BF6A374" w14:textId="77777777" w:rsidR="00B33595" w:rsidRPr="00A93267" w:rsidRDefault="00B33595" w:rsidP="008976D2">
      <w:pPr>
        <w:spacing w:after="0" w:line="360" w:lineRule="auto"/>
        <w:contextualSpacing/>
        <w:rPr>
          <w:rFonts w:eastAsia="Calibri" w:cs="Tahoma"/>
          <w:bCs/>
        </w:rPr>
      </w:pPr>
      <w:r w:rsidRPr="00A93267">
        <w:rPr>
          <w:rFonts w:eastAsia="Calibri" w:cs="Tahoma"/>
          <w:bCs/>
        </w:rPr>
        <w:t xml:space="preserve"> </w:t>
      </w:r>
    </w:p>
    <w:p w14:paraId="5FE969E9" w14:textId="77777777" w:rsidR="00B33595" w:rsidRPr="00A93267" w:rsidRDefault="00B33595" w:rsidP="008976D2">
      <w:pPr>
        <w:spacing w:after="0" w:line="360" w:lineRule="auto"/>
        <w:contextualSpacing/>
        <w:rPr>
          <w:rFonts w:eastAsia="Calibri" w:cs="Tahoma"/>
          <w:bCs/>
        </w:rPr>
      </w:pPr>
      <w:r w:rsidRPr="00A93267">
        <w:rPr>
          <w:rFonts w:eastAsia="Calibri" w:cs="Tahoma"/>
          <w:bC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910882" w14:textId="77777777" w:rsidR="00B33595" w:rsidRPr="00A93267" w:rsidRDefault="00B33595" w:rsidP="008976D2">
      <w:pPr>
        <w:spacing w:after="0" w:line="360" w:lineRule="auto"/>
        <w:contextualSpacing/>
        <w:rPr>
          <w:rFonts w:eastAsia="Calibri" w:cs="Tahoma"/>
          <w:bCs/>
        </w:rPr>
      </w:pPr>
    </w:p>
    <w:p w14:paraId="0F00162E" w14:textId="77777777" w:rsidR="00B33595" w:rsidRPr="00A93267" w:rsidRDefault="00B33595" w:rsidP="008976D2">
      <w:pPr>
        <w:spacing w:after="0" w:line="360" w:lineRule="auto"/>
        <w:contextualSpacing/>
        <w:rPr>
          <w:rFonts w:eastAsia="Calibri" w:cs="Tahoma"/>
          <w:bCs/>
        </w:rPr>
      </w:pPr>
      <w:r w:rsidRPr="00A93267">
        <w:rPr>
          <w:rFonts w:eastAsia="Calibri" w:cs="Tahoma"/>
          <w:bCs/>
        </w:rPr>
        <w:t>Al respecto, también son de considerar los criterios sostenidos por el Cuarto Tribunal Colegiado en Materia Administrativa del Primer Circuito, cuyos rubros y datos de identificación son los siguientes:</w:t>
      </w:r>
    </w:p>
    <w:p w14:paraId="115FA9F9" w14:textId="77777777" w:rsidR="00B33595" w:rsidRPr="00A93267" w:rsidRDefault="00B33595" w:rsidP="008976D2">
      <w:pPr>
        <w:spacing w:after="0" w:line="360" w:lineRule="auto"/>
        <w:contextualSpacing/>
        <w:rPr>
          <w:rFonts w:eastAsia="Calibri" w:cs="Tahoma"/>
          <w:bCs/>
        </w:rPr>
      </w:pPr>
      <w:r w:rsidRPr="00A93267">
        <w:rPr>
          <w:rFonts w:eastAsia="Calibri" w:cs="Tahoma"/>
          <w:bCs/>
        </w:rPr>
        <w:t xml:space="preserve"> </w:t>
      </w:r>
    </w:p>
    <w:p w14:paraId="1E085EF8" w14:textId="77777777" w:rsidR="00B33595" w:rsidRPr="00A93267" w:rsidRDefault="00B33595" w:rsidP="008976D2">
      <w:pPr>
        <w:spacing w:after="0" w:line="360" w:lineRule="auto"/>
        <w:contextualSpacing/>
        <w:rPr>
          <w:rFonts w:eastAsia="Calibri" w:cs="Tahoma"/>
          <w:bCs/>
        </w:rPr>
      </w:pPr>
      <w:r w:rsidRPr="00A93267">
        <w:rPr>
          <w:rFonts w:eastAsia="Calibri" w:cs="Tahoma"/>
          <w:b/>
        </w:rPr>
        <w:lastRenderedPageBreak/>
        <w:t>“PLAZO RAZONABLE PARA RESOLVER. DIMENSIÓN Y EFECTOS DE ESTE CONCEPTO CUANDO SE ADUCE EXCESIVA CARGA DE TRABAJO.”</w:t>
      </w:r>
      <w:r w:rsidRPr="00A93267">
        <w:rPr>
          <w:rFonts w:eastAsia="Calibri" w:cs="Tahoma"/>
          <w:bCs/>
        </w:rPr>
        <w:t xml:space="preserve"> consultable en el Seminario Judicial de la Federación y su gaceta, con el registro digital 2002351.</w:t>
      </w:r>
    </w:p>
    <w:p w14:paraId="42301BB2" w14:textId="77777777" w:rsidR="00B33595" w:rsidRPr="00A93267" w:rsidRDefault="00B33595" w:rsidP="008976D2">
      <w:pPr>
        <w:spacing w:after="0" w:line="360" w:lineRule="auto"/>
        <w:contextualSpacing/>
        <w:rPr>
          <w:rFonts w:eastAsia="Calibri" w:cs="Tahoma"/>
          <w:bCs/>
        </w:rPr>
      </w:pPr>
      <w:r w:rsidRPr="00A93267">
        <w:rPr>
          <w:rFonts w:eastAsia="Calibri" w:cs="Tahoma"/>
          <w:bCs/>
        </w:rPr>
        <w:t xml:space="preserve"> </w:t>
      </w:r>
    </w:p>
    <w:p w14:paraId="4AA36011" w14:textId="77777777" w:rsidR="00B33595" w:rsidRPr="00A93267" w:rsidRDefault="00B33595" w:rsidP="008976D2">
      <w:pPr>
        <w:spacing w:after="0" w:line="360" w:lineRule="auto"/>
        <w:contextualSpacing/>
        <w:rPr>
          <w:rFonts w:eastAsia="Calibri" w:cs="Tahoma"/>
          <w:bCs/>
        </w:rPr>
      </w:pPr>
      <w:r w:rsidRPr="00A93267">
        <w:rPr>
          <w:rFonts w:eastAsia="Calibri" w:cs="Tahoma"/>
          <w:b/>
        </w:rPr>
        <w:t>“PLAZO RAZONABLE PARA RESOLVER. CONCEPTO Y ELEMENTOS QUE LO INTEGRAN A LA LUZ DEL DERECHO INTERNACIONAL DE LOS DERECHOS HUMANOS.”</w:t>
      </w:r>
      <w:r w:rsidRPr="00A93267">
        <w:rPr>
          <w:rFonts w:eastAsia="Calibri" w:cs="Tahoma"/>
          <w:bCs/>
        </w:rPr>
        <w:t>, visible en el Seminario Judicial de la Federación y su gaceta, con el registro digital 2002350.</w:t>
      </w:r>
    </w:p>
    <w:p w14:paraId="78A9554C" w14:textId="77777777" w:rsidR="00B33595" w:rsidRPr="00A93267" w:rsidRDefault="00B33595" w:rsidP="008976D2">
      <w:pPr>
        <w:spacing w:after="0" w:line="360" w:lineRule="auto"/>
        <w:contextualSpacing/>
        <w:rPr>
          <w:rFonts w:eastAsia="Calibri" w:cs="Tahoma"/>
          <w:bCs/>
        </w:rPr>
      </w:pPr>
    </w:p>
    <w:p w14:paraId="133A3EBF" w14:textId="77777777" w:rsidR="00B33595" w:rsidRPr="00A93267" w:rsidRDefault="00B33595" w:rsidP="008976D2">
      <w:pPr>
        <w:spacing w:after="0" w:line="360" w:lineRule="auto"/>
        <w:contextualSpacing/>
        <w:rPr>
          <w:rFonts w:eastAsia="Calibri" w:cs="Tahoma"/>
          <w:bCs/>
        </w:rPr>
      </w:pPr>
      <w:r w:rsidRPr="00A93267">
        <w:rPr>
          <w:rFonts w:eastAsia="Calibri" w:cs="Tahoma"/>
          <w:bCs/>
        </w:rPr>
        <w:t>Por ello, este organismo garante comprometido con la tutela de los derechos humanos confiados, señala que este exceso del plazo legal para resolver el presente asunto, resulta de carácter excepcional.</w:t>
      </w:r>
    </w:p>
    <w:p w14:paraId="3C85DBDC" w14:textId="77777777" w:rsidR="00B33595" w:rsidRPr="00A93267" w:rsidRDefault="00B33595" w:rsidP="008976D2">
      <w:pPr>
        <w:widowControl w:val="0"/>
        <w:spacing w:after="0" w:line="360" w:lineRule="auto"/>
        <w:contextualSpacing/>
        <w:rPr>
          <w:rFonts w:eastAsia="Times New Roman" w:cs="Tahoma"/>
          <w:b/>
          <w:color w:val="auto"/>
          <w:lang w:eastAsia="es-ES"/>
        </w:rPr>
      </w:pPr>
    </w:p>
    <w:p w14:paraId="765062C8" w14:textId="4260A3BD" w:rsidR="00B33595" w:rsidRPr="00A93267" w:rsidRDefault="00B33595" w:rsidP="008976D2">
      <w:pPr>
        <w:widowControl w:val="0"/>
        <w:spacing w:after="0" w:line="360" w:lineRule="auto"/>
        <w:contextualSpacing/>
        <w:rPr>
          <w:rFonts w:eastAsia="Times New Roman" w:cs="Times New Roman"/>
          <w:bCs/>
          <w:color w:val="auto"/>
          <w:lang w:val="es-ES_tradnl" w:eastAsia="es-ES"/>
        </w:rPr>
      </w:pPr>
      <w:r w:rsidRPr="00A93267">
        <w:rPr>
          <w:rFonts w:eastAsia="Times New Roman" w:cs="Times New Roman"/>
          <w:b/>
          <w:color w:val="auto"/>
          <w:lang w:val="es-ES_tradnl" w:eastAsia="es-ES"/>
        </w:rPr>
        <w:t>e) Vista del Informe Justificado.</w:t>
      </w:r>
      <w:r w:rsidRPr="00A93267">
        <w:rPr>
          <w:rFonts w:eastAsia="Times New Roman" w:cs="Times New Roman"/>
          <w:bCs/>
          <w:color w:val="auto"/>
          <w:lang w:val="es-ES_tradnl" w:eastAsia="es-ES"/>
        </w:rPr>
        <w:t xml:space="preserve"> El veintiuno de diciembre de dos mil </w:t>
      </w:r>
      <w:proofErr w:type="spellStart"/>
      <w:r w:rsidRPr="00A93267">
        <w:rPr>
          <w:rFonts w:eastAsia="Times New Roman" w:cs="Times New Roman"/>
          <w:bCs/>
          <w:color w:val="auto"/>
          <w:lang w:val="es-ES_tradnl" w:eastAsia="es-ES"/>
        </w:rPr>
        <w:t>veintid</w:t>
      </w:r>
      <w:r w:rsidRPr="00A93267">
        <w:rPr>
          <w:rFonts w:eastAsia="Times New Roman" w:cs="Times New Roman"/>
          <w:bCs/>
          <w:color w:val="auto"/>
          <w:lang w:val="x-none" w:eastAsia="es-ES"/>
        </w:rPr>
        <w:t>ós</w:t>
      </w:r>
      <w:proofErr w:type="spellEnd"/>
      <w:r w:rsidRPr="00A93267">
        <w:rPr>
          <w:rFonts w:eastAsia="Times New Roman" w:cs="Times New Roman"/>
          <w:bCs/>
          <w:color w:val="auto"/>
          <w:lang w:val="es-ES_tradnl" w:eastAsia="es-ES"/>
        </w:rPr>
        <w:t xml:space="preserve">, se dictó acuerdo mediante el cual se puso a la vista del Particular el Informe Justificado, entregado por el Sujeto Obligado, para robustecer su respuesta inicial, el cual fue notificado a las partes, a través del Sistema de Acceso a la Información Mexiquense (SAIMEX). </w:t>
      </w:r>
      <w:r w:rsidRPr="00A93267">
        <w:rPr>
          <w:rFonts w:eastAsia="Times New Roman" w:cs="Times New Roman"/>
          <w:b/>
          <w:color w:val="auto"/>
          <w:lang w:val="es-ES_tradnl" w:eastAsia="es-ES"/>
        </w:rPr>
        <w:t>Cabe señalar que el Recurrente fue omiso en realizar alguna manifestación que a su derecho conviniera y asistiera.</w:t>
      </w:r>
      <w:r w:rsidRPr="00A93267">
        <w:rPr>
          <w:rFonts w:eastAsia="Times New Roman" w:cs="Times New Roman"/>
          <w:bCs/>
          <w:color w:val="auto"/>
          <w:lang w:val="es-ES_tradnl" w:eastAsia="es-ES"/>
        </w:rPr>
        <w:t xml:space="preserve"> </w:t>
      </w:r>
    </w:p>
    <w:p w14:paraId="04562842" w14:textId="77777777" w:rsidR="00482B41" w:rsidRPr="00A93267" w:rsidRDefault="00482B41" w:rsidP="008976D2">
      <w:pPr>
        <w:spacing w:after="0" w:line="360" w:lineRule="auto"/>
        <w:contextualSpacing/>
        <w:rPr>
          <w:rFonts w:eastAsia="Palatino Linotype" w:cs="Palatino Linotype"/>
        </w:rPr>
      </w:pPr>
    </w:p>
    <w:p w14:paraId="7853284B" w14:textId="2B54FA55" w:rsidR="00482B41" w:rsidRPr="00A93267" w:rsidRDefault="00B33595" w:rsidP="008976D2">
      <w:pPr>
        <w:spacing w:after="0" w:line="360" w:lineRule="auto"/>
        <w:contextualSpacing/>
        <w:rPr>
          <w:rFonts w:cs="Tahoma"/>
        </w:rPr>
      </w:pPr>
      <w:r w:rsidRPr="00A93267">
        <w:rPr>
          <w:rFonts w:cs="Tahoma"/>
          <w:b/>
          <w:bCs/>
        </w:rPr>
        <w:t>f</w:t>
      </w:r>
      <w:r w:rsidR="00482B41" w:rsidRPr="00A93267">
        <w:rPr>
          <w:rFonts w:cs="Tahoma"/>
          <w:b/>
          <w:bCs/>
        </w:rPr>
        <w:t>) Cierre de instrucción.</w:t>
      </w:r>
      <w:r w:rsidR="00482B41" w:rsidRPr="00A93267">
        <w:rPr>
          <w:rFonts w:cs="Tahoma"/>
        </w:rPr>
        <w:t xml:space="preserve">  El </w:t>
      </w:r>
      <w:r w:rsidRPr="00A93267">
        <w:rPr>
          <w:rFonts w:cs="Tahoma"/>
        </w:rPr>
        <w:t>diecinueve</w:t>
      </w:r>
      <w:r w:rsidR="00482B41" w:rsidRPr="00A93267">
        <w:rPr>
          <w:rFonts w:cs="Tahoma"/>
        </w:rPr>
        <w:t xml:space="preserve"> de enero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Sistema de Acceso a la Información Mexiquense (SAIMEX).</w:t>
      </w:r>
    </w:p>
    <w:p w14:paraId="293DBE8C" w14:textId="77777777" w:rsidR="00482B41" w:rsidRPr="00A93267" w:rsidRDefault="00482B41" w:rsidP="008976D2">
      <w:pPr>
        <w:spacing w:after="0" w:line="360" w:lineRule="auto"/>
        <w:contextualSpacing/>
        <w:rPr>
          <w:rFonts w:cs="Tahoma"/>
          <w:b/>
          <w:bCs/>
        </w:rPr>
      </w:pPr>
    </w:p>
    <w:p w14:paraId="32D26BE9" w14:textId="761469FD" w:rsidR="00482B41" w:rsidRPr="00A93267" w:rsidRDefault="00482B41" w:rsidP="008976D2">
      <w:pPr>
        <w:spacing w:after="0" w:line="360" w:lineRule="auto"/>
        <w:contextualSpacing/>
        <w:rPr>
          <w:rFonts w:cs="Tahoma"/>
        </w:rPr>
      </w:pPr>
      <w:r w:rsidRPr="00A93267">
        <w:rPr>
          <w:rFonts w:cs="Tahoma"/>
        </w:rPr>
        <w:lastRenderedPageBreak/>
        <w:t xml:space="preserve">En razón de que fue debidamente sustanciado el expediente electrónico y no existe diligencia pendiente de desahogo, se emite la resolución que conforme a Derecho proceda, de acuerdo a los siguientes: </w:t>
      </w:r>
    </w:p>
    <w:p w14:paraId="291FA58F" w14:textId="77777777" w:rsidR="00B33595" w:rsidRPr="00A93267" w:rsidRDefault="00B33595" w:rsidP="008976D2">
      <w:pPr>
        <w:spacing w:after="0" w:line="360" w:lineRule="auto"/>
        <w:contextualSpacing/>
        <w:jc w:val="center"/>
        <w:rPr>
          <w:rFonts w:cs="Tahoma"/>
          <w:b/>
        </w:rPr>
      </w:pPr>
    </w:p>
    <w:p w14:paraId="4D829459" w14:textId="08330A52" w:rsidR="00482B41" w:rsidRPr="00A93267" w:rsidRDefault="00482B41" w:rsidP="008976D2">
      <w:pPr>
        <w:spacing w:after="0" w:line="360" w:lineRule="auto"/>
        <w:contextualSpacing/>
        <w:jc w:val="center"/>
        <w:rPr>
          <w:rFonts w:cs="Tahoma"/>
          <w:b/>
        </w:rPr>
      </w:pPr>
      <w:r w:rsidRPr="00A93267">
        <w:rPr>
          <w:rFonts w:cs="Tahoma"/>
          <w:b/>
        </w:rPr>
        <w:t>CONSIDERANDOS:</w:t>
      </w:r>
    </w:p>
    <w:p w14:paraId="2581F7D8" w14:textId="77777777" w:rsidR="00482B41" w:rsidRPr="00A93267" w:rsidRDefault="00482B41" w:rsidP="008976D2">
      <w:pPr>
        <w:spacing w:after="0" w:line="360" w:lineRule="auto"/>
        <w:contextualSpacing/>
        <w:jc w:val="center"/>
        <w:rPr>
          <w:rFonts w:cs="Tahoma"/>
          <w:b/>
        </w:rPr>
      </w:pPr>
    </w:p>
    <w:p w14:paraId="060DE753" w14:textId="77777777" w:rsidR="00482B41" w:rsidRPr="00A93267" w:rsidRDefault="00482B41" w:rsidP="008976D2">
      <w:pPr>
        <w:spacing w:after="0" w:line="360" w:lineRule="auto"/>
        <w:contextualSpacing/>
        <w:rPr>
          <w:rFonts w:eastAsia="Batang" w:cs="Tahoma"/>
          <w:b/>
          <w:bCs/>
          <w:color w:val="auto"/>
          <w:lang w:eastAsia="es-ES"/>
        </w:rPr>
      </w:pPr>
      <w:r w:rsidRPr="00A93267">
        <w:rPr>
          <w:rFonts w:eastAsia="Batang" w:cs="Tahoma"/>
          <w:b/>
          <w:bCs/>
          <w:color w:val="auto"/>
          <w:lang w:eastAsia="es-ES"/>
        </w:rPr>
        <w:t xml:space="preserve">PRIMERO. Competencia. </w:t>
      </w:r>
    </w:p>
    <w:p w14:paraId="10A9F9D9" w14:textId="77777777" w:rsidR="009A4E2F" w:rsidRPr="00A93267" w:rsidRDefault="009A4E2F" w:rsidP="008976D2">
      <w:pPr>
        <w:spacing w:after="0" w:line="360" w:lineRule="auto"/>
        <w:contextualSpacing/>
        <w:rPr>
          <w:rFonts w:eastAsia="Batang" w:cs="Tahoma"/>
          <w:b/>
          <w:bCs/>
          <w:color w:val="auto"/>
          <w:lang w:eastAsia="es-ES"/>
        </w:rPr>
      </w:pPr>
    </w:p>
    <w:p w14:paraId="5E700410" w14:textId="77777777" w:rsidR="00482B41" w:rsidRPr="00A93267" w:rsidRDefault="00482B41" w:rsidP="008976D2">
      <w:pPr>
        <w:spacing w:after="0" w:line="360" w:lineRule="auto"/>
        <w:contextualSpacing/>
        <w:rPr>
          <w:rFonts w:eastAsia="Times New Roman" w:cs="Tahoma"/>
          <w:bCs/>
          <w:color w:val="auto"/>
          <w:lang w:eastAsia="es-ES"/>
        </w:rPr>
      </w:pPr>
      <w:bookmarkStart w:id="0" w:name="_Hlk63334754"/>
      <w:r w:rsidRPr="00A9326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93267">
        <w:rPr>
          <w:rFonts w:eastAsia="Times New Roman" w:cs="Times New Roman"/>
          <w:bCs/>
          <w:color w:val="auto"/>
          <w:lang w:eastAsia="es-ES"/>
        </w:rPr>
        <w:t xml:space="preserve"> 7°, </w:t>
      </w:r>
      <w:r w:rsidRPr="00A9326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bookmarkEnd w:id="0"/>
    <w:p w14:paraId="0A58BA66" w14:textId="77777777" w:rsidR="00482B41" w:rsidRPr="00A93267" w:rsidRDefault="00482B41" w:rsidP="008976D2">
      <w:pPr>
        <w:shd w:val="clear" w:color="auto" w:fill="FFFFFF"/>
        <w:spacing w:after="0" w:line="360" w:lineRule="auto"/>
        <w:contextualSpacing/>
        <w:rPr>
          <w:rFonts w:eastAsia="Times New Roman" w:cs="Times New Roman"/>
          <w:b/>
          <w:bCs/>
          <w:color w:val="000000"/>
          <w:lang w:eastAsia="es-ES"/>
        </w:rPr>
      </w:pPr>
    </w:p>
    <w:p w14:paraId="08F393B4" w14:textId="77777777" w:rsidR="00482B41" w:rsidRPr="00A93267" w:rsidRDefault="00482B41" w:rsidP="008976D2">
      <w:pPr>
        <w:shd w:val="clear" w:color="auto" w:fill="FFFFFF"/>
        <w:spacing w:after="0" w:line="360" w:lineRule="auto"/>
        <w:contextualSpacing/>
        <w:rPr>
          <w:rFonts w:eastAsia="Times New Roman" w:cs="Times New Roman"/>
          <w:color w:val="222222"/>
          <w:sz w:val="20"/>
          <w:szCs w:val="20"/>
          <w:lang w:eastAsia="es-ES"/>
        </w:rPr>
      </w:pPr>
      <w:r w:rsidRPr="00A93267">
        <w:rPr>
          <w:rFonts w:eastAsia="Times New Roman" w:cs="Times New Roman"/>
          <w:b/>
          <w:bCs/>
          <w:color w:val="000000"/>
          <w:lang w:eastAsia="es-ES"/>
        </w:rPr>
        <w:t>SEGUNDO. Causales de procedencia y sobreseimiento.</w:t>
      </w:r>
    </w:p>
    <w:p w14:paraId="03762029" w14:textId="77777777" w:rsidR="00482B41" w:rsidRPr="00A93267" w:rsidRDefault="00482B41" w:rsidP="008976D2">
      <w:pPr>
        <w:shd w:val="clear" w:color="auto" w:fill="FFFFFF"/>
        <w:spacing w:after="0" w:line="360" w:lineRule="auto"/>
        <w:contextualSpacing/>
        <w:rPr>
          <w:rFonts w:eastAsia="Times New Roman" w:cs="Times New Roman"/>
          <w:color w:val="222222"/>
          <w:sz w:val="20"/>
          <w:szCs w:val="20"/>
          <w:lang w:eastAsia="es-ES"/>
        </w:rPr>
      </w:pPr>
    </w:p>
    <w:p w14:paraId="65BC681C" w14:textId="77777777" w:rsidR="00482B41" w:rsidRPr="00A93267" w:rsidRDefault="00482B41" w:rsidP="008976D2">
      <w:pPr>
        <w:shd w:val="clear" w:color="auto" w:fill="FFFFFF"/>
        <w:spacing w:after="0" w:line="360" w:lineRule="auto"/>
        <w:contextualSpacing/>
        <w:rPr>
          <w:rFonts w:eastAsia="Times New Roman" w:cs="Times New Roman"/>
          <w:color w:val="000000"/>
          <w:lang w:eastAsia="es-ES"/>
        </w:rPr>
      </w:pPr>
      <w:r w:rsidRPr="00A93267">
        <w:rPr>
          <w:rFonts w:eastAsia="Times New Roman" w:cs="Times New Roman"/>
          <w:color w:val="000000"/>
          <w:lang w:eastAsia="es-ES"/>
        </w:rPr>
        <w:t xml:space="preserve">De las constancias que forman parte de los Recursos de Revisión que se analizan, se advierte que previo al estudio del fondo de la </w:t>
      </w:r>
      <w:r w:rsidRPr="00A93267">
        <w:rPr>
          <w:rFonts w:eastAsia="Times New Roman" w:cs="Times New Roman"/>
          <w:i/>
          <w:color w:val="000000"/>
          <w:lang w:eastAsia="es-ES"/>
        </w:rPr>
        <w:t>litis</w:t>
      </w:r>
      <w:r w:rsidRPr="00A93267">
        <w:rPr>
          <w:rFonts w:eastAsia="Times New Roman" w:cs="Times New Roman"/>
          <w:color w:val="000000"/>
          <w:lang w:eastAsia="es-ES"/>
        </w:rPr>
        <w:t>, es necesario estudiar las causales de improcedencia y sobreseimiento que se adviertan, para determinar lo que en Derecho proceda.</w:t>
      </w:r>
    </w:p>
    <w:p w14:paraId="07F2E240" w14:textId="77777777" w:rsidR="00482B41" w:rsidRPr="00A93267" w:rsidRDefault="00482B41" w:rsidP="008976D2">
      <w:pPr>
        <w:shd w:val="clear" w:color="auto" w:fill="FFFFFF"/>
        <w:spacing w:after="0" w:line="360" w:lineRule="auto"/>
        <w:contextualSpacing/>
        <w:rPr>
          <w:rFonts w:eastAsia="Times New Roman" w:cs="Times New Roman"/>
          <w:color w:val="222222"/>
          <w:sz w:val="20"/>
          <w:szCs w:val="20"/>
          <w:lang w:eastAsia="es-ES"/>
        </w:rPr>
      </w:pPr>
    </w:p>
    <w:p w14:paraId="0BDE7031" w14:textId="77777777" w:rsidR="00482B41" w:rsidRPr="00A93267" w:rsidRDefault="00482B41" w:rsidP="008976D2">
      <w:pPr>
        <w:shd w:val="clear" w:color="auto" w:fill="FFFFFF"/>
        <w:spacing w:after="0" w:line="360" w:lineRule="auto"/>
        <w:contextualSpacing/>
        <w:rPr>
          <w:rFonts w:eastAsia="Times New Roman" w:cs="Times New Roman"/>
          <w:color w:val="222222"/>
          <w:sz w:val="20"/>
          <w:szCs w:val="20"/>
          <w:lang w:eastAsia="es-ES"/>
        </w:rPr>
      </w:pPr>
      <w:r w:rsidRPr="00A93267">
        <w:rPr>
          <w:rFonts w:eastAsia="Times New Roman" w:cs="Times New Roman"/>
          <w:b/>
          <w:bCs/>
          <w:color w:val="000000"/>
          <w:lang w:eastAsia="es-ES"/>
        </w:rPr>
        <w:t>Causales de improcedencia.</w:t>
      </w:r>
    </w:p>
    <w:p w14:paraId="6F82D174" w14:textId="77777777" w:rsidR="00482B41" w:rsidRPr="00A93267" w:rsidRDefault="00482B41" w:rsidP="008976D2">
      <w:pPr>
        <w:shd w:val="clear" w:color="auto" w:fill="FFFFFF"/>
        <w:spacing w:after="0" w:line="360" w:lineRule="auto"/>
        <w:contextualSpacing/>
        <w:rPr>
          <w:rFonts w:eastAsia="Times New Roman" w:cs="Times New Roman"/>
          <w:color w:val="222222"/>
          <w:sz w:val="20"/>
          <w:szCs w:val="20"/>
          <w:lang w:eastAsia="es-ES"/>
        </w:rPr>
      </w:pPr>
    </w:p>
    <w:p w14:paraId="08AA3E30" w14:textId="77777777" w:rsidR="00482B41" w:rsidRPr="00A93267" w:rsidRDefault="00482B41" w:rsidP="008976D2">
      <w:pPr>
        <w:spacing w:after="0" w:line="360" w:lineRule="auto"/>
        <w:contextualSpacing/>
        <w:rPr>
          <w:rFonts w:eastAsia="Times New Roman" w:cs="Tahoma"/>
          <w:bCs/>
          <w:color w:val="000000"/>
          <w:lang w:eastAsia="es-ES"/>
        </w:rPr>
      </w:pPr>
      <w:r w:rsidRPr="00A93267">
        <w:rPr>
          <w:rFonts w:eastAsia="Times New Roman" w:cs="Tahoma"/>
          <w:bCs/>
          <w:color w:val="000000"/>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6207269" w14:textId="77777777" w:rsidR="00482B41" w:rsidRPr="00A93267" w:rsidRDefault="00482B41" w:rsidP="008976D2">
      <w:pPr>
        <w:spacing w:after="0" w:line="360" w:lineRule="auto"/>
        <w:contextualSpacing/>
        <w:rPr>
          <w:rFonts w:eastAsia="Times New Roman" w:cs="Tahoma"/>
          <w:bCs/>
          <w:color w:val="000000"/>
          <w:lang w:eastAsia="es-ES"/>
        </w:rPr>
      </w:pPr>
    </w:p>
    <w:p w14:paraId="25D1D7C0" w14:textId="77777777" w:rsidR="00482B41" w:rsidRPr="00A93267" w:rsidRDefault="00482B41" w:rsidP="008976D2">
      <w:pPr>
        <w:spacing w:after="0" w:line="360" w:lineRule="auto"/>
        <w:contextualSpacing/>
        <w:rPr>
          <w:rFonts w:eastAsia="Times New Roman" w:cs="Tahoma"/>
          <w:bCs/>
          <w:color w:val="000000"/>
          <w:lang w:eastAsia="es-ES"/>
        </w:rPr>
      </w:pPr>
      <w:r w:rsidRPr="00A93267">
        <w:rPr>
          <w:rFonts w:eastAsia="Times New Roman" w:cs="Tahoma"/>
          <w:bCs/>
          <w:color w:val="000000"/>
          <w:lang w:eastAsia="es-ES"/>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7E4E9DAA" w14:textId="77777777" w:rsidR="00482B41" w:rsidRPr="00A93267" w:rsidRDefault="00482B41" w:rsidP="008976D2">
      <w:pPr>
        <w:spacing w:after="0" w:line="360" w:lineRule="auto"/>
        <w:contextualSpacing/>
        <w:rPr>
          <w:rFonts w:eastAsia="Times New Roman" w:cs="Tahoma"/>
          <w:bCs/>
          <w:color w:val="000000"/>
          <w:lang w:eastAsia="es-ES"/>
        </w:rPr>
      </w:pPr>
    </w:p>
    <w:p w14:paraId="29037673" w14:textId="0F7D8F94" w:rsidR="00482B41" w:rsidRPr="00A93267" w:rsidRDefault="00482B41" w:rsidP="008976D2">
      <w:pPr>
        <w:autoSpaceDE w:val="0"/>
        <w:autoSpaceDN w:val="0"/>
        <w:adjustRightInd w:val="0"/>
        <w:spacing w:after="0" w:line="360" w:lineRule="auto"/>
        <w:contextualSpacing/>
        <w:rPr>
          <w:rFonts w:eastAsia="Calibri" w:cs="Tahoma"/>
          <w:color w:val="000000"/>
          <w:lang w:eastAsia="es-MX"/>
        </w:rPr>
      </w:pPr>
      <w:r w:rsidRPr="00A93267">
        <w:rPr>
          <w:rFonts w:eastAsia="Calibri" w:cs="Tahoma"/>
          <w:color w:val="000000"/>
          <w:lang w:eastAsia="es-MX"/>
        </w:rPr>
        <w:t xml:space="preserve">Asimismo, se actualiza la causal de procedencia señalada en el artículo 179, fracción V, de la Ley de la materia, toda vez que el Solicitante se inconformó con la entrega de información </w:t>
      </w:r>
      <w:r w:rsidR="00DF6707" w:rsidRPr="00A93267">
        <w:rPr>
          <w:rFonts w:eastAsia="Calibri" w:cs="Tahoma"/>
          <w:color w:val="000000"/>
          <w:lang w:eastAsia="es-MX"/>
        </w:rPr>
        <w:t>incompleta</w:t>
      </w:r>
      <w:r w:rsidRPr="00A93267">
        <w:rPr>
          <w:rFonts w:eastAsia="Calibri" w:cs="Tahoma"/>
          <w:color w:val="000000"/>
          <w:lang w:eastAsia="es-MX"/>
        </w:rPr>
        <w:t>.</w:t>
      </w:r>
    </w:p>
    <w:p w14:paraId="04E3DEA4" w14:textId="77777777" w:rsidR="00482B41" w:rsidRPr="00A93267" w:rsidRDefault="00482B41" w:rsidP="008976D2">
      <w:pPr>
        <w:spacing w:after="0" w:line="360" w:lineRule="auto"/>
        <w:contextualSpacing/>
        <w:rPr>
          <w:rFonts w:eastAsia="Times New Roman" w:cs="Tahoma"/>
          <w:b/>
          <w:bCs/>
          <w:color w:val="0D0D0D" w:themeColor="text1" w:themeTint="F2"/>
          <w:lang w:eastAsia="es-ES"/>
        </w:rPr>
      </w:pPr>
    </w:p>
    <w:p w14:paraId="34E0EA48" w14:textId="77777777" w:rsidR="00482B41" w:rsidRPr="00A93267" w:rsidRDefault="00482B41" w:rsidP="008976D2">
      <w:pPr>
        <w:spacing w:after="0" w:line="360" w:lineRule="auto"/>
        <w:contextualSpacing/>
        <w:rPr>
          <w:rFonts w:eastAsia="Times New Roman" w:cs="Tahoma"/>
          <w:bCs/>
          <w:color w:val="0D0D0D" w:themeColor="text1" w:themeTint="F2"/>
          <w:lang w:eastAsia="es-ES"/>
        </w:rPr>
      </w:pPr>
      <w:r w:rsidRPr="00A93267">
        <w:rPr>
          <w:rFonts w:eastAsia="Times New Roman" w:cs="Tahoma"/>
          <w:b/>
          <w:bCs/>
          <w:color w:val="0D0D0D" w:themeColor="text1" w:themeTint="F2"/>
          <w:lang w:eastAsia="es-ES"/>
        </w:rPr>
        <w:t>Causales de sobreseimiento.</w:t>
      </w:r>
    </w:p>
    <w:p w14:paraId="3388A88B" w14:textId="77777777" w:rsidR="00482B41" w:rsidRPr="00A93267" w:rsidRDefault="00482B41" w:rsidP="008976D2">
      <w:pPr>
        <w:spacing w:after="0" w:line="360" w:lineRule="auto"/>
        <w:contextualSpacing/>
        <w:rPr>
          <w:rFonts w:eastAsia="Times New Roman" w:cs="Tahoma"/>
          <w:bCs/>
          <w:color w:val="0D0D0D" w:themeColor="text1" w:themeTint="F2"/>
          <w:lang w:eastAsia="es-ES"/>
        </w:rPr>
      </w:pPr>
    </w:p>
    <w:p w14:paraId="1CB6B4EA" w14:textId="77777777" w:rsidR="00482B41" w:rsidRPr="00A93267" w:rsidRDefault="00482B41" w:rsidP="008976D2">
      <w:pPr>
        <w:spacing w:after="0" w:line="360" w:lineRule="auto"/>
        <w:contextualSpacing/>
        <w:rPr>
          <w:rFonts w:eastAsia="Times New Roman" w:cs="Tahoma"/>
          <w:bCs/>
          <w:color w:val="0D0D0D" w:themeColor="text1" w:themeTint="F2"/>
          <w:lang w:eastAsia="es-ES"/>
        </w:rPr>
      </w:pPr>
      <w:r w:rsidRPr="00A93267">
        <w:rPr>
          <w:rFonts w:eastAsia="Times New Roman" w:cs="Tahoma"/>
          <w:bCs/>
          <w:color w:val="0D0D0D" w:themeColor="text1" w:themeTint="F2"/>
          <w:lang w:eastAsia="es-ES"/>
        </w:rPr>
        <w:t xml:space="preserve">Por ser de previo y especial pronunciamiento, este Instituto analiza si se actualiza alguna causal de sobreseimiento. </w:t>
      </w:r>
    </w:p>
    <w:p w14:paraId="2847355F" w14:textId="77777777" w:rsidR="00482B41" w:rsidRPr="00A93267" w:rsidRDefault="00482B41" w:rsidP="008976D2">
      <w:pPr>
        <w:spacing w:after="0" w:line="360" w:lineRule="auto"/>
        <w:contextualSpacing/>
        <w:rPr>
          <w:rFonts w:eastAsia="Times New Roman" w:cs="Tahoma"/>
          <w:bCs/>
          <w:color w:val="0D0D0D" w:themeColor="text1" w:themeTint="F2"/>
          <w:lang w:eastAsia="es-ES"/>
        </w:rPr>
      </w:pPr>
    </w:p>
    <w:p w14:paraId="4ED75879" w14:textId="77777777" w:rsidR="00482B41" w:rsidRPr="00A93267" w:rsidRDefault="00482B41" w:rsidP="008976D2">
      <w:pPr>
        <w:spacing w:after="0" w:line="360" w:lineRule="auto"/>
        <w:contextualSpacing/>
        <w:rPr>
          <w:rFonts w:eastAsia="Times New Roman" w:cs="Tahoma"/>
          <w:color w:val="auto"/>
          <w:szCs w:val="24"/>
          <w:lang w:eastAsia="es-ES"/>
        </w:rPr>
      </w:pPr>
      <w:r w:rsidRPr="00A93267">
        <w:rPr>
          <w:rFonts w:eastAsia="Times New Roman" w:cs="Tahoma"/>
          <w:color w:val="auto"/>
          <w:szCs w:val="24"/>
          <w:lang w:eastAsia="es-ES"/>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 </w:t>
      </w:r>
    </w:p>
    <w:p w14:paraId="4F148C14" w14:textId="77777777" w:rsidR="00B33595" w:rsidRPr="00A93267" w:rsidRDefault="00B33595" w:rsidP="008976D2">
      <w:pPr>
        <w:spacing w:after="0" w:line="360" w:lineRule="auto"/>
        <w:contextualSpacing/>
        <w:rPr>
          <w:rFonts w:eastAsia="Times New Roman" w:cs="Tahoma"/>
          <w:bCs/>
          <w:color w:val="0D0D0D" w:themeColor="text1" w:themeTint="F2"/>
          <w:lang w:eastAsia="es-ES"/>
        </w:rPr>
      </w:pPr>
    </w:p>
    <w:p w14:paraId="366A076E" w14:textId="3E1F3A83" w:rsidR="00482B41" w:rsidRPr="00A93267" w:rsidRDefault="00482B41" w:rsidP="008976D2">
      <w:pPr>
        <w:spacing w:after="0" w:line="360" w:lineRule="auto"/>
        <w:contextualSpacing/>
        <w:rPr>
          <w:rFonts w:cs="Tahoma"/>
        </w:rPr>
      </w:pPr>
      <w:r w:rsidRPr="00A93267">
        <w:rPr>
          <w:rFonts w:eastAsia="Times New Roman" w:cs="Tahoma"/>
          <w:bCs/>
          <w:color w:val="0D0D0D" w:themeColor="text1" w:themeTint="F2"/>
          <w:lang w:eastAsia="es-ES"/>
        </w:rPr>
        <w:t>Por tales motivos, se considera procedente entrar al fondo del presente asunto</w:t>
      </w:r>
      <w:r w:rsidRPr="00A93267">
        <w:rPr>
          <w:rFonts w:cs="Tahoma"/>
        </w:rPr>
        <w:t xml:space="preserve">. </w:t>
      </w:r>
    </w:p>
    <w:p w14:paraId="1CABC8E6" w14:textId="77777777" w:rsidR="00482B41" w:rsidRPr="00A93267" w:rsidRDefault="00482B41" w:rsidP="008976D2">
      <w:pPr>
        <w:tabs>
          <w:tab w:val="left" w:pos="4962"/>
        </w:tabs>
        <w:spacing w:after="0" w:line="360" w:lineRule="auto"/>
        <w:contextualSpacing/>
        <w:rPr>
          <w:rFonts w:cs="Tahoma"/>
        </w:rPr>
      </w:pPr>
    </w:p>
    <w:p w14:paraId="0546F367" w14:textId="77777777" w:rsidR="00482B41" w:rsidRPr="00A93267" w:rsidRDefault="00482B41" w:rsidP="008976D2">
      <w:pPr>
        <w:tabs>
          <w:tab w:val="left" w:pos="4962"/>
        </w:tabs>
        <w:spacing w:after="0" w:line="360" w:lineRule="auto"/>
        <w:contextualSpacing/>
        <w:rPr>
          <w:rFonts w:eastAsia="Calibri" w:cs="Tahoma"/>
          <w:b/>
          <w:iCs/>
          <w:lang w:eastAsia="es-ES_tradnl"/>
        </w:rPr>
      </w:pPr>
      <w:r w:rsidRPr="00A93267">
        <w:rPr>
          <w:rFonts w:eastAsia="Calibri" w:cs="Tahoma"/>
          <w:b/>
          <w:iCs/>
          <w:lang w:eastAsia="es-ES_tradnl"/>
        </w:rPr>
        <w:t xml:space="preserve">TERCERO. Determinación de la Controversia. </w:t>
      </w:r>
    </w:p>
    <w:p w14:paraId="0DF473B6" w14:textId="77777777" w:rsidR="00482B41" w:rsidRPr="00A93267" w:rsidRDefault="00482B41" w:rsidP="008976D2">
      <w:pPr>
        <w:spacing w:after="0" w:line="360" w:lineRule="auto"/>
        <w:contextualSpacing/>
      </w:pPr>
    </w:p>
    <w:p w14:paraId="7607D6EB" w14:textId="05323944" w:rsidR="00482B41" w:rsidRPr="00A93267" w:rsidRDefault="00482B41" w:rsidP="008976D2">
      <w:pPr>
        <w:tabs>
          <w:tab w:val="left" w:pos="4962"/>
        </w:tabs>
        <w:spacing w:after="0" w:line="360" w:lineRule="auto"/>
        <w:contextualSpacing/>
        <w:rPr>
          <w:rFonts w:eastAsia="Calibri" w:cs="Tahoma"/>
          <w:iCs/>
          <w:lang w:eastAsia="es-ES_tradnl"/>
        </w:rPr>
      </w:pPr>
      <w:r w:rsidRPr="00A93267">
        <w:rPr>
          <w:rFonts w:eastAsia="Calibri" w:cs="Tahoma"/>
          <w:iCs/>
          <w:lang w:eastAsia="es-ES_tradnl"/>
        </w:rPr>
        <w:t xml:space="preserve">Con el objeto de ilustrar la controversia planteada, resulta conveniente precisar que, una vez realizado el estudio de las constancias que integran el expediente en que se actúa, se desprende que el Recurrente requirió </w:t>
      </w:r>
      <w:r w:rsidR="00994EB3" w:rsidRPr="00A93267">
        <w:rPr>
          <w:rFonts w:eastAsia="Calibri" w:cs="Tahoma"/>
          <w:iCs/>
          <w:lang w:eastAsia="es-ES_tradnl"/>
        </w:rPr>
        <w:t>el</w:t>
      </w:r>
      <w:r w:rsidR="00F94F06" w:rsidRPr="00A93267">
        <w:rPr>
          <w:rFonts w:eastAsia="Calibri" w:cs="Tahoma"/>
          <w:iCs/>
          <w:lang w:eastAsia="es-ES_tradnl"/>
        </w:rPr>
        <w:t xml:space="preserve"> nombre,</w:t>
      </w:r>
      <w:r w:rsidR="00B61F87" w:rsidRPr="00A93267">
        <w:rPr>
          <w:rFonts w:eastAsia="Calibri" w:cs="Tahoma"/>
          <w:iCs/>
          <w:lang w:eastAsia="es-ES_tradnl"/>
        </w:rPr>
        <w:t xml:space="preserve"> </w:t>
      </w:r>
      <w:r w:rsidR="00B33595" w:rsidRPr="00A93267">
        <w:rPr>
          <w:rFonts w:eastAsia="Calibri" w:cs="Tahoma"/>
          <w:iCs/>
          <w:lang w:eastAsia="es-ES_tradnl"/>
        </w:rPr>
        <w:t>cargo</w:t>
      </w:r>
      <w:r w:rsidR="00B61F87" w:rsidRPr="00A93267">
        <w:rPr>
          <w:rFonts w:eastAsia="Calibri" w:cs="Tahoma"/>
          <w:iCs/>
          <w:lang w:eastAsia="es-ES_tradnl"/>
        </w:rPr>
        <w:t xml:space="preserve">, </w:t>
      </w:r>
      <w:r w:rsidR="004F4F32" w:rsidRPr="00A93267">
        <w:rPr>
          <w:rFonts w:eastAsia="Calibri" w:cs="Tahoma"/>
          <w:iCs/>
          <w:lang w:eastAsia="es-ES_tradnl"/>
        </w:rPr>
        <w:t>nivel o</w:t>
      </w:r>
      <w:r w:rsidR="00B61F87" w:rsidRPr="00A93267">
        <w:rPr>
          <w:rFonts w:eastAsia="Calibri" w:cs="Tahoma"/>
          <w:iCs/>
          <w:lang w:eastAsia="es-ES_tradnl"/>
        </w:rPr>
        <w:t xml:space="preserve"> rango</w:t>
      </w:r>
      <w:r w:rsidR="00B33595" w:rsidRPr="00A93267">
        <w:rPr>
          <w:rFonts w:eastAsia="Calibri" w:cs="Tahoma"/>
          <w:iCs/>
          <w:lang w:eastAsia="es-ES_tradnl"/>
        </w:rPr>
        <w:t>, área</w:t>
      </w:r>
      <w:r w:rsidR="00B61F87" w:rsidRPr="00A93267">
        <w:rPr>
          <w:rFonts w:eastAsia="Calibri" w:cs="Tahoma"/>
          <w:iCs/>
          <w:lang w:eastAsia="es-ES_tradnl"/>
        </w:rPr>
        <w:t xml:space="preserve"> de adscripción, sueldo y </w:t>
      </w:r>
      <w:r w:rsidR="00B33595" w:rsidRPr="00A93267">
        <w:rPr>
          <w:rFonts w:eastAsia="Calibri" w:cs="Tahoma"/>
          <w:iCs/>
          <w:lang w:eastAsia="es-ES_tradnl"/>
        </w:rPr>
        <w:t>profesión</w:t>
      </w:r>
      <w:r w:rsidR="00B61F87" w:rsidRPr="00A93267">
        <w:rPr>
          <w:rFonts w:eastAsia="Calibri" w:cs="Tahoma"/>
          <w:iCs/>
          <w:lang w:eastAsia="es-ES_tradnl"/>
        </w:rPr>
        <w:t xml:space="preserve"> </w:t>
      </w:r>
      <w:r w:rsidR="00B33595" w:rsidRPr="00A93267">
        <w:rPr>
          <w:rFonts w:eastAsia="Calibri" w:cs="Tahoma"/>
          <w:iCs/>
          <w:lang w:eastAsia="es-ES_tradnl"/>
        </w:rPr>
        <w:t xml:space="preserve">de </w:t>
      </w:r>
      <w:r w:rsidR="00B61F87" w:rsidRPr="00A93267">
        <w:rPr>
          <w:rFonts w:eastAsia="Calibri" w:cs="Tahoma"/>
          <w:iCs/>
          <w:lang w:eastAsia="es-ES_tradnl"/>
        </w:rPr>
        <w:t xml:space="preserve">todos </w:t>
      </w:r>
      <w:r w:rsidR="00B33595" w:rsidRPr="00A93267">
        <w:rPr>
          <w:rFonts w:eastAsia="Calibri" w:cs="Tahoma"/>
          <w:iCs/>
          <w:lang w:eastAsia="es-ES_tradnl"/>
        </w:rPr>
        <w:t>los servidores públicos adscritos a la Secretaría de Movilidad</w:t>
      </w:r>
      <w:r w:rsidRPr="00A93267">
        <w:rPr>
          <w:rFonts w:eastAsia="Calibri" w:cs="Tahoma"/>
          <w:iCs/>
          <w:lang w:eastAsia="es-ES_tradnl"/>
        </w:rPr>
        <w:t>.</w:t>
      </w:r>
    </w:p>
    <w:p w14:paraId="25CCF25A" w14:textId="77777777" w:rsidR="00482B41" w:rsidRPr="00A93267" w:rsidRDefault="00482B41" w:rsidP="008976D2">
      <w:pPr>
        <w:tabs>
          <w:tab w:val="left" w:pos="4962"/>
        </w:tabs>
        <w:spacing w:after="0" w:line="360" w:lineRule="auto"/>
        <w:contextualSpacing/>
        <w:rPr>
          <w:rFonts w:eastAsia="Calibri" w:cs="Tahoma"/>
          <w:iCs/>
          <w:lang w:eastAsia="es-ES_tradnl"/>
        </w:rPr>
      </w:pPr>
    </w:p>
    <w:p w14:paraId="6C66A3EB" w14:textId="15134433" w:rsidR="00482B41" w:rsidRPr="00A93267" w:rsidRDefault="00482B41" w:rsidP="008976D2">
      <w:pPr>
        <w:spacing w:after="0" w:line="360" w:lineRule="auto"/>
        <w:contextualSpacing/>
        <w:rPr>
          <w:rFonts w:cs="Tahoma"/>
          <w:bCs/>
          <w:iCs/>
        </w:rPr>
      </w:pPr>
      <w:r w:rsidRPr="00A93267">
        <w:rPr>
          <w:rFonts w:cs="Tahoma"/>
          <w:bCs/>
          <w:iCs/>
        </w:rPr>
        <w:t xml:space="preserve">En respuesta, el Sujeto Obligado por medio de la </w:t>
      </w:r>
      <w:r w:rsidR="00B33595" w:rsidRPr="00A93267">
        <w:rPr>
          <w:rFonts w:cs="Tahoma"/>
          <w:bCs/>
          <w:iCs/>
        </w:rPr>
        <w:t>Subd</w:t>
      </w:r>
      <w:r w:rsidRPr="00A93267">
        <w:rPr>
          <w:rFonts w:cs="Tahoma"/>
          <w:bCs/>
          <w:iCs/>
        </w:rPr>
        <w:t>irec</w:t>
      </w:r>
      <w:r w:rsidR="00B33595" w:rsidRPr="00A93267">
        <w:rPr>
          <w:rFonts w:cs="Tahoma"/>
          <w:bCs/>
          <w:iCs/>
        </w:rPr>
        <w:t>tora de Administración</w:t>
      </w:r>
      <w:r w:rsidRPr="00A93267">
        <w:rPr>
          <w:rFonts w:cs="Tahoma"/>
          <w:bCs/>
          <w:iCs/>
        </w:rPr>
        <w:t xml:space="preserve"> de</w:t>
      </w:r>
      <w:r w:rsidR="00F959AD" w:rsidRPr="00A93267">
        <w:rPr>
          <w:rFonts w:cs="Tahoma"/>
          <w:bCs/>
          <w:iCs/>
        </w:rPr>
        <w:t>l</w:t>
      </w:r>
      <w:r w:rsidRPr="00A93267">
        <w:rPr>
          <w:rFonts w:cs="Tahoma"/>
          <w:bCs/>
          <w:iCs/>
        </w:rPr>
        <w:t xml:space="preserve"> C</w:t>
      </w:r>
      <w:r w:rsidR="00B33595" w:rsidRPr="00A93267">
        <w:rPr>
          <w:rFonts w:cs="Tahoma"/>
          <w:bCs/>
          <w:iCs/>
        </w:rPr>
        <w:t>apital Humano</w:t>
      </w:r>
      <w:r w:rsidRPr="00A93267">
        <w:rPr>
          <w:rFonts w:cs="Tahoma"/>
          <w:bCs/>
          <w:iCs/>
        </w:rPr>
        <w:t xml:space="preserve">, </w:t>
      </w:r>
      <w:r w:rsidR="00F959AD" w:rsidRPr="00A93267">
        <w:rPr>
          <w:rFonts w:cs="Tahoma"/>
          <w:bCs/>
          <w:iCs/>
        </w:rPr>
        <w:t>proporcionó dos enlaces a través de los c</w:t>
      </w:r>
      <w:r w:rsidR="00B61F87" w:rsidRPr="00A93267">
        <w:rPr>
          <w:rFonts w:cs="Tahoma"/>
          <w:bCs/>
          <w:iCs/>
        </w:rPr>
        <w:t xml:space="preserve">uales se podía localizar la información requerida; además, aclaró </w:t>
      </w:r>
      <w:r w:rsidR="00F959AD" w:rsidRPr="00A93267">
        <w:rPr>
          <w:rFonts w:cs="Tahoma"/>
          <w:bCs/>
          <w:iCs/>
        </w:rPr>
        <w:t xml:space="preserve">respecto al personal operativo, </w:t>
      </w:r>
      <w:r w:rsidR="00B61F87" w:rsidRPr="00A93267">
        <w:rPr>
          <w:rFonts w:cs="Tahoma"/>
          <w:bCs/>
          <w:iCs/>
        </w:rPr>
        <w:t>que no contaba</w:t>
      </w:r>
      <w:r w:rsidR="00F959AD" w:rsidRPr="00A93267">
        <w:rPr>
          <w:rFonts w:cs="Tahoma"/>
          <w:bCs/>
          <w:iCs/>
        </w:rPr>
        <w:t xml:space="preserve"> con una base </w:t>
      </w:r>
      <w:r w:rsidR="00B61F87" w:rsidRPr="00A93267">
        <w:rPr>
          <w:rFonts w:cs="Tahoma"/>
          <w:bCs/>
          <w:iCs/>
        </w:rPr>
        <w:t>de datos en la que se especificará</w:t>
      </w:r>
      <w:r w:rsidR="00F959AD" w:rsidRPr="00A93267">
        <w:rPr>
          <w:rFonts w:cs="Tahoma"/>
          <w:bCs/>
          <w:iCs/>
        </w:rPr>
        <w:t xml:space="preserve"> lo solicitado, no obstante </w:t>
      </w:r>
      <w:r w:rsidR="00B61F87" w:rsidRPr="00A93267">
        <w:rPr>
          <w:rFonts w:cs="Tahoma"/>
          <w:bCs/>
          <w:iCs/>
        </w:rPr>
        <w:t>podía</w:t>
      </w:r>
      <w:r w:rsidR="00F959AD" w:rsidRPr="00A93267">
        <w:rPr>
          <w:rFonts w:cs="Tahoma"/>
          <w:bCs/>
          <w:iCs/>
        </w:rPr>
        <w:t xml:space="preserve"> proporcionar copia del comprobante de estudios</w:t>
      </w:r>
      <w:r w:rsidR="00B61F87" w:rsidRPr="00A93267">
        <w:rPr>
          <w:rFonts w:cs="Tahoma"/>
          <w:bCs/>
          <w:iCs/>
        </w:rPr>
        <w:t xml:space="preserve"> localizado en el expediente laboral,</w:t>
      </w:r>
      <w:r w:rsidR="00F959AD" w:rsidRPr="00A93267">
        <w:rPr>
          <w:rFonts w:cs="Tahoma"/>
          <w:bCs/>
          <w:iCs/>
        </w:rPr>
        <w:t xml:space="preserve"> previo pago derechos</w:t>
      </w:r>
      <w:r w:rsidR="00DF6707" w:rsidRPr="00A93267">
        <w:rPr>
          <w:rFonts w:cs="Tahoma"/>
          <w:bCs/>
          <w:iCs/>
        </w:rPr>
        <w:t xml:space="preserve">; </w:t>
      </w:r>
      <w:r w:rsidR="00B61F87" w:rsidRPr="00A93267">
        <w:rPr>
          <w:rFonts w:cs="Tahoma"/>
          <w:bCs/>
          <w:iCs/>
        </w:rPr>
        <w:t>a</w:t>
      </w:r>
      <w:r w:rsidRPr="00A93267">
        <w:rPr>
          <w:rFonts w:cs="Tahoma"/>
          <w:bCs/>
          <w:iCs/>
        </w:rPr>
        <w:t>nte dicha circunstancia, la Particular se inconformó con la entrega de información</w:t>
      </w:r>
      <w:r w:rsidR="00DF6707" w:rsidRPr="00A93267">
        <w:rPr>
          <w:rFonts w:cs="Tahoma"/>
          <w:bCs/>
          <w:iCs/>
        </w:rPr>
        <w:t xml:space="preserve"> </w:t>
      </w:r>
      <w:r w:rsidR="00B61F87" w:rsidRPr="00A93267">
        <w:rPr>
          <w:rFonts w:cs="Tahoma"/>
          <w:bCs/>
          <w:iCs/>
        </w:rPr>
        <w:t xml:space="preserve">que no corresponde con lo solicitado, al señalar </w:t>
      </w:r>
      <w:r w:rsidRPr="00A93267">
        <w:rPr>
          <w:rFonts w:cs="Tahoma"/>
          <w:bCs/>
          <w:iCs/>
        </w:rPr>
        <w:t xml:space="preserve">que </w:t>
      </w:r>
      <w:r w:rsidR="00B61F87" w:rsidRPr="00A93267">
        <w:rPr>
          <w:rFonts w:cs="Tahoma"/>
          <w:bCs/>
          <w:iCs/>
        </w:rPr>
        <w:t>no lograba</w:t>
      </w:r>
      <w:r w:rsidR="00DF6707" w:rsidRPr="00A93267">
        <w:rPr>
          <w:rFonts w:cs="Tahoma"/>
          <w:bCs/>
          <w:iCs/>
        </w:rPr>
        <w:t xml:space="preserve"> acceder al enlace proporcionado</w:t>
      </w:r>
      <w:r w:rsidRPr="00A93267">
        <w:rPr>
          <w:rFonts w:cs="Tahoma"/>
          <w:bCs/>
          <w:iCs/>
        </w:rPr>
        <w:t xml:space="preserve">, lo cual actualiza la causal de procedencia establecida en el artículo 179, fracción V, de la Ley de Transparencia y Acceso a la Información Pública del Estado de México y Municipios. Así las cosas, una vez admitido y notificado el Recursos de Revisión a las partes, </w:t>
      </w:r>
      <w:r w:rsidR="002564FE" w:rsidRPr="00A93267">
        <w:rPr>
          <w:rFonts w:cs="Tahoma"/>
          <w:bCs/>
          <w:iCs/>
        </w:rPr>
        <w:t xml:space="preserve">el Sujeto Obligado </w:t>
      </w:r>
      <w:r w:rsidR="00B61F87" w:rsidRPr="00A93267">
        <w:rPr>
          <w:rFonts w:cs="Tahoma"/>
          <w:bCs/>
          <w:iCs/>
        </w:rPr>
        <w:t xml:space="preserve">aclaró la respuesta inicial y </w:t>
      </w:r>
      <w:r w:rsidR="00B61F87" w:rsidRPr="00A93267">
        <w:rPr>
          <w:rFonts w:cs="Tahoma"/>
          <w:bCs/>
          <w:iCs/>
        </w:rPr>
        <w:lastRenderedPageBreak/>
        <w:t>señaló el procedimiento a seguir para acceder a esta información en el Portal de Información Pública de Oficio del Sujeto Obligado.</w:t>
      </w:r>
    </w:p>
    <w:p w14:paraId="38AB6462" w14:textId="77777777" w:rsidR="00482B41" w:rsidRPr="00A93267" w:rsidRDefault="00482B41" w:rsidP="008976D2">
      <w:pPr>
        <w:spacing w:after="0" w:line="360" w:lineRule="auto"/>
        <w:contextualSpacing/>
        <w:rPr>
          <w:rFonts w:cs="Tahoma"/>
          <w:bCs/>
          <w:iCs/>
        </w:rPr>
      </w:pPr>
    </w:p>
    <w:p w14:paraId="2236E0BD" w14:textId="34A53681" w:rsidR="00482B41" w:rsidRPr="00A93267" w:rsidRDefault="00482B41" w:rsidP="008976D2">
      <w:pPr>
        <w:tabs>
          <w:tab w:val="left" w:pos="4962"/>
        </w:tabs>
        <w:spacing w:after="0" w:line="360" w:lineRule="auto"/>
        <w:contextualSpacing/>
        <w:rPr>
          <w:rFonts w:eastAsia="Calibri" w:cs="Tahoma"/>
          <w:bCs/>
        </w:rPr>
      </w:pPr>
      <w:r w:rsidRPr="00A93267">
        <w:rPr>
          <w:rFonts w:eastAsia="Calibri" w:cs="Tahoma"/>
          <w:iCs/>
          <w:lang w:eastAsia="es-ES_tradnl"/>
        </w:rPr>
        <w:t xml:space="preserve">Lo anterior, se desprende de las documentales que obran en </w:t>
      </w:r>
      <w:r w:rsidR="00DF6707" w:rsidRPr="00A93267">
        <w:rPr>
          <w:rFonts w:eastAsia="Calibri" w:cs="Tahoma"/>
          <w:iCs/>
          <w:lang w:eastAsia="es-ES_tradnl"/>
        </w:rPr>
        <w:t>e</w:t>
      </w:r>
      <w:r w:rsidRPr="00A93267">
        <w:rPr>
          <w:rFonts w:eastAsia="Calibri" w:cs="Tahoma"/>
          <w:iCs/>
          <w:lang w:eastAsia="es-ES_tradnl"/>
        </w:rPr>
        <w:t>l expediente de referencia, materia de la presente resolución, consistente en: la solicitud de acceso a la información; la respuesta entregada</w:t>
      </w:r>
      <w:r w:rsidR="00DF6707" w:rsidRPr="00A93267">
        <w:rPr>
          <w:rFonts w:eastAsia="Calibri" w:cs="Tahoma"/>
          <w:iCs/>
          <w:lang w:eastAsia="es-ES_tradnl"/>
        </w:rPr>
        <w:t xml:space="preserve">, </w:t>
      </w:r>
      <w:r w:rsidRPr="00A93267">
        <w:rPr>
          <w:rFonts w:eastAsia="Calibri" w:cs="Tahoma"/>
          <w:iCs/>
          <w:lang w:eastAsia="es-ES_tradnl"/>
        </w:rPr>
        <w:t>el escrito recursal</w:t>
      </w:r>
      <w:r w:rsidR="00DF6707" w:rsidRPr="00A93267">
        <w:rPr>
          <w:rFonts w:eastAsia="Calibri" w:cs="Tahoma"/>
          <w:iCs/>
          <w:lang w:eastAsia="es-ES_tradnl"/>
        </w:rPr>
        <w:t xml:space="preserve"> y el Informe Justificado</w:t>
      </w:r>
      <w:r w:rsidRPr="00A93267">
        <w:rPr>
          <w:rFonts w:eastAsia="Calibri" w:cs="Tahoma"/>
          <w:iCs/>
          <w:lang w:eastAsia="es-ES_tradnl"/>
        </w:rPr>
        <w:t xml:space="preserve">; </w:t>
      </w:r>
      <w:r w:rsidRPr="00A9326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2E588409" w14:textId="77777777" w:rsidR="00482B41" w:rsidRPr="00A93267" w:rsidRDefault="00482B41" w:rsidP="008976D2">
      <w:pPr>
        <w:tabs>
          <w:tab w:val="left" w:pos="4962"/>
        </w:tabs>
        <w:spacing w:after="0" w:line="360" w:lineRule="auto"/>
        <w:contextualSpacing/>
        <w:rPr>
          <w:rFonts w:eastAsia="Calibri" w:cs="Tahoma"/>
          <w:bCs/>
        </w:rPr>
      </w:pPr>
    </w:p>
    <w:p w14:paraId="14CE0ACA" w14:textId="77777777" w:rsidR="00482B41" w:rsidRPr="00A93267" w:rsidRDefault="00482B41" w:rsidP="008976D2">
      <w:pPr>
        <w:spacing w:after="0" w:line="360" w:lineRule="auto"/>
        <w:contextualSpacing/>
        <w:rPr>
          <w:rFonts w:cs="Tahoma"/>
          <w:b/>
        </w:rPr>
      </w:pPr>
      <w:r w:rsidRPr="00A93267">
        <w:rPr>
          <w:rFonts w:cs="Tahoma"/>
          <w:b/>
        </w:rPr>
        <w:t>CUARTO. Marco normativo aplicable en materia de transparencia y acceso a la información pública.</w:t>
      </w:r>
    </w:p>
    <w:p w14:paraId="3F809FBB" w14:textId="77777777" w:rsidR="00482B41" w:rsidRPr="00A93267" w:rsidRDefault="00482B41" w:rsidP="008976D2">
      <w:pPr>
        <w:spacing w:after="0" w:line="360" w:lineRule="auto"/>
        <w:contextualSpacing/>
        <w:rPr>
          <w:rFonts w:cs="Tahoma"/>
          <w:b/>
        </w:rPr>
      </w:pPr>
    </w:p>
    <w:p w14:paraId="447C9330" w14:textId="77777777" w:rsidR="00482B41" w:rsidRPr="00A93267" w:rsidRDefault="00482B41" w:rsidP="008976D2">
      <w:pPr>
        <w:widowControl w:val="0"/>
        <w:spacing w:after="0" w:line="360" w:lineRule="auto"/>
        <w:contextualSpacing/>
        <w:rPr>
          <w:rFonts w:eastAsia="Times New Roman" w:cs="Tahoma"/>
          <w:lang w:eastAsia="es-MX"/>
        </w:rPr>
      </w:pPr>
      <w:r w:rsidRPr="00A93267">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A277280" w14:textId="77777777" w:rsidR="00482B41" w:rsidRPr="00A93267" w:rsidRDefault="00482B41" w:rsidP="008976D2">
      <w:pPr>
        <w:widowControl w:val="0"/>
        <w:spacing w:after="0" w:line="360" w:lineRule="auto"/>
        <w:contextualSpacing/>
        <w:rPr>
          <w:rFonts w:eastAsia="Times New Roman" w:cs="Tahoma"/>
          <w:lang w:eastAsia="es-MX"/>
        </w:rPr>
      </w:pPr>
    </w:p>
    <w:p w14:paraId="56607F13" w14:textId="77777777" w:rsidR="00482B41" w:rsidRPr="00A93267" w:rsidRDefault="00482B41" w:rsidP="008976D2">
      <w:pPr>
        <w:widowControl w:val="0"/>
        <w:spacing w:after="0" w:line="360" w:lineRule="auto"/>
        <w:contextualSpacing/>
        <w:rPr>
          <w:rFonts w:eastAsia="Times New Roman" w:cs="Tahoma"/>
          <w:lang w:eastAsia="es-MX"/>
        </w:rPr>
      </w:pPr>
      <w:r w:rsidRPr="00A93267">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4EF7EF5E" w14:textId="77777777" w:rsidR="00482B41" w:rsidRPr="00A93267" w:rsidRDefault="00482B41" w:rsidP="008976D2">
      <w:pPr>
        <w:widowControl w:val="0"/>
        <w:spacing w:after="0" w:line="360" w:lineRule="auto"/>
        <w:contextualSpacing/>
        <w:rPr>
          <w:rFonts w:eastAsia="Times New Roman" w:cs="Tahoma"/>
          <w:lang w:eastAsia="es-MX"/>
        </w:rPr>
      </w:pPr>
    </w:p>
    <w:p w14:paraId="18A6BF78" w14:textId="77777777" w:rsidR="00482B41" w:rsidRPr="00A93267" w:rsidRDefault="00482B41" w:rsidP="008976D2">
      <w:pPr>
        <w:spacing w:after="0" w:line="360" w:lineRule="auto"/>
        <w:contextualSpacing/>
        <w:rPr>
          <w:rFonts w:eastAsia="Times New Roman" w:cs="Tahoma"/>
          <w:lang w:eastAsia="es-MX"/>
        </w:rPr>
      </w:pPr>
      <w:r w:rsidRPr="00A93267">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00C1BA9" w14:textId="77777777" w:rsidR="00482B41" w:rsidRPr="00A93267" w:rsidRDefault="00482B41" w:rsidP="008976D2">
      <w:pPr>
        <w:widowControl w:val="0"/>
        <w:spacing w:after="0" w:line="360" w:lineRule="auto"/>
        <w:contextualSpacing/>
        <w:rPr>
          <w:rFonts w:eastAsia="Times New Roman" w:cs="Tahoma"/>
          <w:lang w:eastAsia="es-MX"/>
        </w:rPr>
      </w:pPr>
    </w:p>
    <w:p w14:paraId="7B8DFDA7" w14:textId="77777777" w:rsidR="00482B41" w:rsidRPr="00A93267" w:rsidRDefault="00482B41" w:rsidP="008976D2">
      <w:pPr>
        <w:widowControl w:val="0"/>
        <w:spacing w:after="0" w:line="360" w:lineRule="auto"/>
        <w:contextualSpacing/>
        <w:rPr>
          <w:rFonts w:eastAsia="Times New Roman" w:cs="Tahoma"/>
          <w:lang w:eastAsia="es-MX"/>
        </w:rPr>
      </w:pPr>
      <w:r w:rsidRPr="00A93267">
        <w:rPr>
          <w:rFonts w:eastAsia="Times New Roman" w:cs="Tahoma"/>
          <w:lang w:eastAsia="es-MX"/>
        </w:rPr>
        <w:lastRenderedPageBreak/>
        <w:t>Por su parte, la Ley de Transparencia y Acceso a la Información Pública del Estado de México y Municipios (Reglamentaria del artículo 5° de la Constitución Local), establece lo siguiente:</w:t>
      </w:r>
    </w:p>
    <w:p w14:paraId="1148F904" w14:textId="77777777" w:rsidR="00482B41" w:rsidRPr="00A93267" w:rsidRDefault="00482B41" w:rsidP="008976D2">
      <w:pPr>
        <w:widowControl w:val="0"/>
        <w:spacing w:after="0" w:line="360" w:lineRule="auto"/>
        <w:contextualSpacing/>
        <w:rPr>
          <w:rFonts w:eastAsia="Times New Roman" w:cs="Tahoma"/>
          <w:lang w:eastAsia="es-MX"/>
        </w:rPr>
      </w:pPr>
    </w:p>
    <w:p w14:paraId="3785BFFB" w14:textId="77777777" w:rsidR="00482B41" w:rsidRPr="00A93267" w:rsidRDefault="00482B41" w:rsidP="008976D2">
      <w:pPr>
        <w:widowControl w:val="0"/>
        <w:spacing w:after="0" w:line="360" w:lineRule="auto"/>
        <w:contextualSpacing/>
        <w:rPr>
          <w:rFonts w:eastAsia="Times New Roman" w:cs="Tahoma"/>
          <w:lang w:eastAsia="es-MX"/>
        </w:rPr>
      </w:pPr>
      <w:r w:rsidRPr="00A93267">
        <w:rPr>
          <w:rFonts w:eastAsia="Times New Roman" w:cs="Tahoma"/>
          <w:lang w:eastAsia="es-MX"/>
        </w:rPr>
        <w:t>El artículo 12, que, quienes generen, recopilen, administren, manejen, procesen, archiven o conserven información pública serán responsables de la misma.</w:t>
      </w:r>
    </w:p>
    <w:p w14:paraId="2122DC7F" w14:textId="77777777" w:rsidR="00482B41" w:rsidRPr="00A93267" w:rsidRDefault="00482B41" w:rsidP="008976D2">
      <w:pPr>
        <w:widowControl w:val="0"/>
        <w:spacing w:after="0" w:line="360" w:lineRule="auto"/>
        <w:contextualSpacing/>
        <w:rPr>
          <w:rFonts w:eastAsia="Times New Roman" w:cs="Tahoma"/>
          <w:lang w:eastAsia="es-MX"/>
        </w:rPr>
      </w:pPr>
    </w:p>
    <w:p w14:paraId="5171C595" w14:textId="77777777" w:rsidR="00482B41" w:rsidRPr="00A93267" w:rsidRDefault="00482B41" w:rsidP="008976D2">
      <w:pPr>
        <w:widowControl w:val="0"/>
        <w:spacing w:after="0" w:line="360" w:lineRule="auto"/>
        <w:contextualSpacing/>
        <w:rPr>
          <w:rFonts w:eastAsia="Times New Roman" w:cs="Tahoma"/>
          <w:lang w:eastAsia="es-MX"/>
        </w:rPr>
      </w:pPr>
      <w:r w:rsidRPr="00A93267">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14B5CFFB" w14:textId="77777777" w:rsidR="00482B41" w:rsidRPr="00A93267" w:rsidRDefault="00482B41" w:rsidP="008976D2">
      <w:pPr>
        <w:widowControl w:val="0"/>
        <w:spacing w:after="0" w:line="360" w:lineRule="auto"/>
        <w:contextualSpacing/>
        <w:rPr>
          <w:rFonts w:eastAsia="Times New Roman" w:cs="Tahoma"/>
          <w:lang w:eastAsia="es-MX"/>
        </w:rPr>
      </w:pPr>
    </w:p>
    <w:p w14:paraId="1DF88469" w14:textId="4128C79C" w:rsidR="00482B41" w:rsidRPr="00A93267" w:rsidRDefault="00482B41" w:rsidP="008976D2">
      <w:pPr>
        <w:spacing w:after="0" w:line="360" w:lineRule="auto"/>
        <w:contextualSpacing/>
        <w:rPr>
          <w:rFonts w:eastAsia="Times New Roman" w:cs="Tahoma"/>
          <w:lang w:eastAsia="es-MX"/>
        </w:rPr>
      </w:pPr>
      <w:r w:rsidRPr="00A93267">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47E6FDB" w14:textId="119609A4" w:rsidR="00DF6707" w:rsidRPr="00A93267" w:rsidRDefault="00DF6707" w:rsidP="008976D2">
      <w:pPr>
        <w:spacing w:after="0" w:line="360" w:lineRule="auto"/>
        <w:contextualSpacing/>
        <w:rPr>
          <w:rFonts w:eastAsia="Times New Roman" w:cs="Tahoma"/>
          <w:lang w:eastAsia="es-MX"/>
        </w:rPr>
      </w:pPr>
    </w:p>
    <w:p w14:paraId="5CB522AA" w14:textId="756A46FE" w:rsidR="00DF6707" w:rsidRPr="00A93267" w:rsidRDefault="00DF6707" w:rsidP="008976D2">
      <w:pPr>
        <w:spacing w:after="0" w:line="360" w:lineRule="auto"/>
        <w:contextualSpacing/>
        <w:rPr>
          <w:rFonts w:cs="Tahoma"/>
          <w:bCs/>
          <w:iCs/>
          <w:lang w:val="es-ES"/>
        </w:rPr>
      </w:pPr>
      <w:r w:rsidRPr="00A93267">
        <w:rPr>
          <w:rFonts w:cs="Tahoma"/>
          <w:bCs/>
          <w:iCs/>
        </w:rPr>
        <w:t>El artícul</w:t>
      </w:r>
      <w:r w:rsidR="00B61F87" w:rsidRPr="00A93267">
        <w:rPr>
          <w:rFonts w:cs="Tahoma"/>
          <w:bCs/>
          <w:iCs/>
        </w:rPr>
        <w:t>o 92, fraccio</w:t>
      </w:r>
      <w:r w:rsidRPr="00A93267">
        <w:rPr>
          <w:rFonts w:cs="Tahoma"/>
          <w:bCs/>
          <w:iCs/>
        </w:rPr>
        <w:t>n</w:t>
      </w:r>
      <w:r w:rsidR="00B61F87" w:rsidRPr="00A93267">
        <w:rPr>
          <w:rFonts w:cs="Tahoma"/>
          <w:bCs/>
          <w:iCs/>
        </w:rPr>
        <w:t>es</w:t>
      </w:r>
      <w:r w:rsidR="00B642BF" w:rsidRPr="00A93267">
        <w:rPr>
          <w:rFonts w:cs="Tahoma"/>
          <w:bCs/>
          <w:iCs/>
        </w:rPr>
        <w:t xml:space="preserve"> </w:t>
      </w:r>
      <w:r w:rsidRPr="00A93267">
        <w:rPr>
          <w:rFonts w:cs="Tahoma"/>
          <w:bCs/>
          <w:iCs/>
        </w:rPr>
        <w:t>VIII</w:t>
      </w:r>
      <w:r w:rsidR="00B61F87" w:rsidRPr="00A93267">
        <w:rPr>
          <w:rFonts w:cs="Tahoma"/>
          <w:bCs/>
          <w:iCs/>
        </w:rPr>
        <w:t xml:space="preserve"> y XXI</w:t>
      </w:r>
      <w:r w:rsidRPr="00A93267">
        <w:rPr>
          <w:rFonts w:cs="Tahoma"/>
          <w:bCs/>
          <w:iCs/>
        </w:rPr>
        <w:t xml:space="preserve"> </w:t>
      </w:r>
      <w:r w:rsidRPr="00A93267">
        <w:rPr>
          <w:rFonts w:cs="Tahoma"/>
          <w:bCs/>
          <w:iCs/>
          <w:lang w:val="es-ES"/>
        </w:rPr>
        <w:t>que</w:t>
      </w:r>
      <w:r w:rsidR="00B642BF" w:rsidRPr="00A93267">
        <w:rPr>
          <w:rFonts w:cs="Tahoma"/>
          <w:bCs/>
          <w:iCs/>
          <w:lang w:val="es-ES"/>
        </w:rPr>
        <w:t xml:space="preserve">, </w:t>
      </w:r>
      <w:r w:rsidRPr="00A93267">
        <w:rPr>
          <w:rFonts w:cs="Tahoma"/>
          <w:bCs/>
          <w:iCs/>
          <w:lang w:val="es-ES"/>
        </w:rPr>
        <w:t>la información sobre</w:t>
      </w:r>
      <w:r w:rsidR="00B61F87" w:rsidRPr="00A93267">
        <w:rPr>
          <w:rFonts w:cs="Tahoma"/>
          <w:bCs/>
          <w:iCs/>
          <w:lang w:val="es-ES"/>
        </w:rPr>
        <w:t xml:space="preserve"> cargo, categoría,</w:t>
      </w:r>
      <w:r w:rsidRPr="00A93267">
        <w:rPr>
          <w:rFonts w:cs="Tahoma"/>
          <w:bCs/>
          <w:iCs/>
          <w:lang w:val="es-ES"/>
        </w:rPr>
        <w:t xml:space="preserve"> remuneraciones</w:t>
      </w:r>
      <w:r w:rsidR="00B61F87" w:rsidRPr="00A93267">
        <w:rPr>
          <w:rFonts w:cs="Tahoma"/>
          <w:bCs/>
          <w:iCs/>
          <w:lang w:val="es-ES"/>
        </w:rPr>
        <w:t xml:space="preserve"> e información curricular</w:t>
      </w:r>
      <w:r w:rsidRPr="00A93267">
        <w:rPr>
          <w:rFonts w:cs="Tahoma"/>
          <w:bCs/>
          <w:iCs/>
          <w:lang w:val="es-ES"/>
        </w:rPr>
        <w:t xml:space="preserve"> de los servidores públicos de base o de confianza, corresponde a una Obligación Común de Transparencia para los Sujetos Obligados.</w:t>
      </w:r>
    </w:p>
    <w:p w14:paraId="61FC7AC5" w14:textId="77777777" w:rsidR="00482B41" w:rsidRPr="00A93267" w:rsidRDefault="00482B41" w:rsidP="008976D2">
      <w:pPr>
        <w:widowControl w:val="0"/>
        <w:spacing w:after="0" w:line="360" w:lineRule="auto"/>
        <w:contextualSpacing/>
        <w:rPr>
          <w:rFonts w:eastAsia="Times New Roman" w:cs="Tahoma"/>
          <w:lang w:eastAsia="es-MX"/>
        </w:rPr>
      </w:pPr>
    </w:p>
    <w:p w14:paraId="2DFED479" w14:textId="77777777" w:rsidR="00482B41" w:rsidRPr="00A93267" w:rsidRDefault="00482B41" w:rsidP="008976D2">
      <w:pPr>
        <w:spacing w:after="0" w:line="360" w:lineRule="auto"/>
        <w:contextualSpacing/>
        <w:rPr>
          <w:rFonts w:eastAsia="Times New Roman" w:cs="Tahoma"/>
          <w:b/>
          <w:lang w:eastAsia="es-ES"/>
        </w:rPr>
      </w:pPr>
      <w:r w:rsidRPr="00A93267">
        <w:rPr>
          <w:rFonts w:eastAsia="Times New Roman" w:cs="Tahoma"/>
          <w:b/>
          <w:lang w:eastAsia="es-ES"/>
        </w:rPr>
        <w:t>QUINTO. Estudio de Fondo.</w:t>
      </w:r>
    </w:p>
    <w:p w14:paraId="2429F7EE" w14:textId="77777777" w:rsidR="00482B41" w:rsidRPr="00A93267" w:rsidRDefault="00482B41" w:rsidP="008976D2">
      <w:pPr>
        <w:spacing w:after="0" w:line="360" w:lineRule="auto"/>
        <w:contextualSpacing/>
        <w:rPr>
          <w:rFonts w:eastAsia="Times New Roman" w:cs="Tahoma"/>
          <w:b/>
          <w:lang w:eastAsia="es-ES"/>
        </w:rPr>
      </w:pPr>
    </w:p>
    <w:p w14:paraId="65ADB54B" w14:textId="27AC55B3" w:rsidR="00482B41" w:rsidRPr="00A93267" w:rsidRDefault="00482B41" w:rsidP="008976D2">
      <w:pPr>
        <w:tabs>
          <w:tab w:val="left" w:pos="4962"/>
        </w:tabs>
        <w:spacing w:after="0" w:line="360" w:lineRule="auto"/>
        <w:contextualSpacing/>
        <w:rPr>
          <w:rFonts w:eastAsia="Calibri" w:cs="Tahoma"/>
          <w:bCs/>
          <w:iCs/>
          <w:color w:val="000000"/>
          <w:szCs w:val="24"/>
          <w:lang w:eastAsia="es-MX"/>
        </w:rPr>
      </w:pPr>
      <w:r w:rsidRPr="00A93267">
        <w:rPr>
          <w:rFonts w:eastAsia="Times New Roman" w:cs="Tahoma"/>
          <w:lang w:eastAsia="es-MX"/>
        </w:rPr>
        <w:t xml:space="preserve">Expuestas las posturas de las partes, se procede al análisis del agravio hecho valer por el ahora Recurrente, concerniente a la entrega de información </w:t>
      </w:r>
      <w:r w:rsidR="00F84065" w:rsidRPr="00A93267">
        <w:rPr>
          <w:rFonts w:eastAsia="Times New Roman" w:cs="Tahoma"/>
          <w:lang w:eastAsia="es-MX"/>
        </w:rPr>
        <w:t>que no corresponde con lo solicitado</w:t>
      </w:r>
      <w:r w:rsidR="00F84065" w:rsidRPr="00A93267">
        <w:rPr>
          <w:rFonts w:eastAsia="Times New Roman" w:cs="Times New Roman"/>
          <w:color w:val="auto"/>
          <w:lang w:eastAsia="es-ES"/>
        </w:rPr>
        <w:t xml:space="preserve">. </w:t>
      </w:r>
      <w:r w:rsidRPr="00A93267">
        <w:rPr>
          <w:rFonts w:eastAsia="Batang" w:cs="Tahoma"/>
          <w:bCs/>
          <w:color w:val="auto"/>
          <w:lang w:eastAsia="es-ES"/>
        </w:rPr>
        <w:t xml:space="preserve">En ese contexto, de las constancias que obran en el expediente, se logra advertir que el Ayuntamiento turno la solicitud de información, a la </w:t>
      </w:r>
      <w:r w:rsidR="00994EB3" w:rsidRPr="00A93267">
        <w:rPr>
          <w:rFonts w:eastAsia="Batang" w:cs="Tahoma"/>
          <w:bCs/>
          <w:color w:val="auto"/>
          <w:lang w:eastAsia="es-ES"/>
        </w:rPr>
        <w:t xml:space="preserve">Subdirección de Administración del </w:t>
      </w:r>
      <w:r w:rsidR="00994EB3" w:rsidRPr="00A93267">
        <w:t>Capital Humano</w:t>
      </w:r>
      <w:r w:rsidRPr="00A93267">
        <w:rPr>
          <w:rFonts w:eastAsia="Batang" w:cs="Tahoma"/>
          <w:bCs/>
          <w:color w:val="auto"/>
          <w:lang w:eastAsia="es-ES"/>
        </w:rPr>
        <w:t xml:space="preserve">; por lo que, resulta </w:t>
      </w:r>
      <w:r w:rsidRPr="00A93267">
        <w:rPr>
          <w:rFonts w:eastAsia="Calibri" w:cs="Tahoma"/>
          <w:bCs/>
          <w:color w:val="000000"/>
          <w:szCs w:val="24"/>
          <w:lang w:eastAsia="es-MX"/>
        </w:rPr>
        <w:t xml:space="preserve">necesario hacer referencia </w:t>
      </w:r>
      <w:r w:rsidRPr="00A93267">
        <w:rPr>
          <w:rFonts w:eastAsia="Calibri" w:cs="Tahoma"/>
          <w:color w:val="000000"/>
          <w:szCs w:val="24"/>
          <w:lang w:eastAsia="es-MX"/>
        </w:rPr>
        <w:t xml:space="preserve">al </w:t>
      </w:r>
      <w:r w:rsidRPr="00A93267">
        <w:rPr>
          <w:rFonts w:eastAsia="Calibri" w:cs="Tahoma"/>
          <w:b/>
          <w:color w:val="000000"/>
          <w:szCs w:val="24"/>
          <w:lang w:eastAsia="es-MX"/>
        </w:rPr>
        <w:t>procedimiento de búsqueda que deben de seguir los Sujetos Obligados para localizar la información</w:t>
      </w:r>
      <w:r w:rsidRPr="00A93267">
        <w:rPr>
          <w:rFonts w:eastAsia="Calibri" w:cs="Tahoma"/>
          <w:color w:val="000000"/>
          <w:szCs w:val="24"/>
          <w:lang w:eastAsia="es-MX"/>
        </w:rPr>
        <w:t xml:space="preserve">, el cual se encuentra </w:t>
      </w:r>
      <w:r w:rsidRPr="00A93267">
        <w:rPr>
          <w:rFonts w:eastAsia="Calibri" w:cs="Tahoma"/>
          <w:color w:val="000000"/>
          <w:szCs w:val="24"/>
          <w:lang w:eastAsia="es-MX"/>
        </w:rPr>
        <w:lastRenderedPageBreak/>
        <w:t>previsto en los artículos</w:t>
      </w:r>
      <w:r w:rsidRPr="00A93267">
        <w:rPr>
          <w:rFonts w:eastAsia="Calibri" w:cs="Tahoma"/>
          <w:bCs/>
          <w:color w:val="000000"/>
          <w:szCs w:val="24"/>
          <w:lang w:eastAsia="es-MX"/>
        </w:rPr>
        <w:t xml:space="preserve"> 160 y 162 de la Ley de Transparencia y Acceso a la Información Pública del Estado de México y Municipios, mismo que es el siguiente:</w:t>
      </w:r>
    </w:p>
    <w:p w14:paraId="5410E280" w14:textId="77777777" w:rsidR="00482B41" w:rsidRPr="00A93267" w:rsidRDefault="00482B41" w:rsidP="008976D2">
      <w:pPr>
        <w:autoSpaceDE w:val="0"/>
        <w:autoSpaceDN w:val="0"/>
        <w:adjustRightInd w:val="0"/>
        <w:spacing w:after="0" w:line="360" w:lineRule="auto"/>
        <w:contextualSpacing/>
        <w:rPr>
          <w:rFonts w:eastAsia="Calibri" w:cs="Tahoma"/>
          <w:bCs/>
          <w:color w:val="000000"/>
          <w:szCs w:val="24"/>
          <w:lang w:eastAsia="es-MX"/>
        </w:rPr>
      </w:pPr>
    </w:p>
    <w:p w14:paraId="26CE23B1" w14:textId="77777777" w:rsidR="00482B41" w:rsidRPr="00A93267" w:rsidRDefault="00482B41" w:rsidP="008976D2">
      <w:pPr>
        <w:numPr>
          <w:ilvl w:val="0"/>
          <w:numId w:val="1"/>
        </w:numPr>
        <w:autoSpaceDE w:val="0"/>
        <w:autoSpaceDN w:val="0"/>
        <w:adjustRightInd w:val="0"/>
        <w:spacing w:after="0" w:line="360" w:lineRule="auto"/>
        <w:contextualSpacing/>
        <w:rPr>
          <w:rFonts w:eastAsia="Calibri" w:cs="Tahoma"/>
          <w:bCs/>
          <w:color w:val="000000"/>
          <w:szCs w:val="24"/>
          <w:lang w:eastAsia="es-MX"/>
        </w:rPr>
      </w:pPr>
      <w:r w:rsidRPr="00A93267">
        <w:rPr>
          <w:rFonts w:eastAsia="Calibri" w:cs="Tahoma"/>
          <w:bCs/>
          <w:color w:val="000000"/>
          <w:szCs w:val="24"/>
          <w:lang w:eastAsia="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D3BF2F3" w14:textId="77777777" w:rsidR="00482B41" w:rsidRPr="00A93267" w:rsidRDefault="00482B41" w:rsidP="008976D2">
      <w:pPr>
        <w:autoSpaceDE w:val="0"/>
        <w:autoSpaceDN w:val="0"/>
        <w:adjustRightInd w:val="0"/>
        <w:spacing w:after="0" w:line="360" w:lineRule="auto"/>
        <w:contextualSpacing/>
        <w:rPr>
          <w:rFonts w:eastAsia="Calibri" w:cs="Tahoma"/>
          <w:bCs/>
          <w:color w:val="000000"/>
          <w:szCs w:val="24"/>
          <w:lang w:eastAsia="es-MX"/>
        </w:rPr>
      </w:pPr>
    </w:p>
    <w:p w14:paraId="0FE43038" w14:textId="77777777" w:rsidR="00482B41" w:rsidRPr="00A93267" w:rsidRDefault="00482B41" w:rsidP="008976D2">
      <w:pPr>
        <w:numPr>
          <w:ilvl w:val="0"/>
          <w:numId w:val="1"/>
        </w:numPr>
        <w:autoSpaceDE w:val="0"/>
        <w:autoSpaceDN w:val="0"/>
        <w:adjustRightInd w:val="0"/>
        <w:spacing w:after="0" w:line="360" w:lineRule="auto"/>
        <w:contextualSpacing/>
        <w:rPr>
          <w:rFonts w:eastAsia="Calibri" w:cs="Tahoma"/>
          <w:bCs/>
          <w:color w:val="000000"/>
          <w:szCs w:val="24"/>
          <w:lang w:eastAsia="es-MX"/>
        </w:rPr>
      </w:pPr>
      <w:r w:rsidRPr="00A93267">
        <w:rPr>
          <w:rFonts w:eastAsia="Calibri" w:cs="Tahoma"/>
          <w:bCs/>
          <w:color w:val="000000"/>
          <w:szCs w:val="24"/>
          <w:lang w:eastAsia="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1768F4E" w14:textId="77777777" w:rsidR="00F84065" w:rsidRPr="00A93267" w:rsidRDefault="00F84065" w:rsidP="008976D2">
      <w:pPr>
        <w:spacing w:after="0" w:line="360" w:lineRule="auto"/>
        <w:contextualSpacing/>
        <w:rPr>
          <w:rFonts w:eastAsia="Calibri" w:cs="Tahoma"/>
          <w:color w:val="000000"/>
          <w:szCs w:val="24"/>
          <w:lang w:eastAsia="es-MX"/>
        </w:rPr>
      </w:pPr>
    </w:p>
    <w:p w14:paraId="0C64698C" w14:textId="01D415D0" w:rsidR="00F84065" w:rsidRPr="00A93267" w:rsidRDefault="00F84065" w:rsidP="008976D2">
      <w:pPr>
        <w:spacing w:after="0" w:line="360" w:lineRule="auto"/>
        <w:contextualSpacing/>
        <w:rPr>
          <w:rFonts w:eastAsia="Calibri" w:cs="Arial"/>
          <w:bCs/>
          <w:color w:val="000000"/>
          <w:lang w:val="es-ES"/>
        </w:rPr>
      </w:pPr>
      <w:r w:rsidRPr="00A93267">
        <w:rPr>
          <w:rFonts w:eastAsia="Calibri" w:cs="Arial"/>
          <w:bCs/>
          <w:color w:val="000000"/>
          <w:lang w:val="es-ES"/>
        </w:rPr>
        <w:t>Así, a efecto de determinar si el Sujeto Obligado, cumplió con el procedimiento de búsqueda antes referido, se trae al estudio lo previsto en el Manual General de Organización de la Secretaría de Movilidad, que establece que el Sujeto Obligado para el cumplimiento de sus funciones contará con la Coordinación Administrativa encargada de planear, coordinar y supervisar las actividades relacionadas con el manejo y aprovechamiento de los recursos humanos, materiales y financieros, así como con la prestación de los servicios generales requeridos por las unidades administrativas de la Secretaría de Movilidad para el desarrollo de sus funciones.</w:t>
      </w:r>
    </w:p>
    <w:p w14:paraId="40558369" w14:textId="77777777" w:rsidR="00F84065" w:rsidRPr="00A93267" w:rsidRDefault="00F84065" w:rsidP="008976D2">
      <w:pPr>
        <w:spacing w:after="0" w:line="360" w:lineRule="auto"/>
        <w:contextualSpacing/>
        <w:rPr>
          <w:rFonts w:eastAsia="Calibri" w:cs="Arial"/>
          <w:bCs/>
          <w:color w:val="000000"/>
          <w:lang w:val="es-ES"/>
        </w:rPr>
      </w:pPr>
    </w:p>
    <w:p w14:paraId="2B9F2B7D" w14:textId="7B7A969F" w:rsidR="00F84065" w:rsidRPr="00A93267" w:rsidRDefault="00F84065" w:rsidP="008976D2">
      <w:pPr>
        <w:spacing w:after="0" w:line="360" w:lineRule="auto"/>
        <w:contextualSpacing/>
        <w:rPr>
          <w:rFonts w:eastAsia="Calibri" w:cs="Arial"/>
          <w:bCs/>
          <w:color w:val="000000"/>
          <w:lang w:val="es-ES"/>
        </w:rPr>
      </w:pPr>
      <w:r w:rsidRPr="00A93267">
        <w:rPr>
          <w:rFonts w:eastAsia="Calibri" w:cs="Arial"/>
          <w:bCs/>
          <w:color w:val="000000"/>
          <w:lang w:val="es-ES"/>
        </w:rPr>
        <w:t xml:space="preserve">Para lograr lo anterior, dicha área contará con la Subdirección de Administración del Capital Humano que ordena y valida la realización de los trámites de altas, nombramientos, protestas de cargo, incidencias, ascensos, cambios de adscripción, licencias, vacaciones, bajas, recibos de </w:t>
      </w:r>
      <w:r w:rsidRPr="00A93267">
        <w:rPr>
          <w:rFonts w:eastAsia="Calibri" w:cs="Arial"/>
          <w:bCs/>
          <w:color w:val="000000"/>
          <w:lang w:val="es-ES"/>
        </w:rPr>
        <w:lastRenderedPageBreak/>
        <w:t>sueldo, aguinaldos y demás movimientos de las personas servidoras públicas adscritas a la dependencia.</w:t>
      </w:r>
    </w:p>
    <w:p w14:paraId="14542AD0" w14:textId="77777777" w:rsidR="00F84065" w:rsidRPr="00A93267" w:rsidRDefault="00F84065" w:rsidP="008976D2">
      <w:pPr>
        <w:spacing w:after="0" w:line="360" w:lineRule="auto"/>
        <w:contextualSpacing/>
        <w:rPr>
          <w:rFonts w:eastAsia="Calibri" w:cs="Tahoma"/>
          <w:color w:val="000000"/>
          <w:szCs w:val="24"/>
          <w:lang w:eastAsia="es-MX"/>
        </w:rPr>
      </w:pPr>
    </w:p>
    <w:p w14:paraId="44839586" w14:textId="14003955" w:rsidR="00482B41" w:rsidRPr="00A93267" w:rsidRDefault="00482B41" w:rsidP="008976D2">
      <w:pPr>
        <w:autoSpaceDE w:val="0"/>
        <w:autoSpaceDN w:val="0"/>
        <w:adjustRightInd w:val="0"/>
        <w:spacing w:after="0" w:line="360" w:lineRule="auto"/>
        <w:contextualSpacing/>
        <w:rPr>
          <w:rFonts w:eastAsia="Calibri" w:cs="Tahoma"/>
          <w:color w:val="000000"/>
          <w:szCs w:val="24"/>
          <w:lang w:eastAsia="es-MX"/>
        </w:rPr>
      </w:pPr>
      <w:r w:rsidRPr="00A93267">
        <w:rPr>
          <w:rFonts w:eastAsia="Calibri" w:cs="Tahoma"/>
          <w:color w:val="000000"/>
          <w:szCs w:val="24"/>
          <w:lang w:eastAsia="es-MX"/>
        </w:rPr>
        <w:t xml:space="preserve">Conforme a lo anterior, se colige que el Ente Recurrido, gestionó la solicitud de información, al área con atribuciones para conocer de lo peticionado, a saber, la </w:t>
      </w:r>
      <w:r w:rsidR="006A30D1" w:rsidRPr="00A93267">
        <w:rPr>
          <w:rFonts w:eastAsia="Batang" w:cs="Tahoma"/>
          <w:bCs/>
          <w:color w:val="auto"/>
          <w:lang w:eastAsia="es-ES"/>
        </w:rPr>
        <w:t xml:space="preserve">Subdirección de Administración del </w:t>
      </w:r>
      <w:r w:rsidR="006A30D1" w:rsidRPr="00A93267">
        <w:t>Capital Humano</w:t>
      </w:r>
      <w:r w:rsidR="006A30D1" w:rsidRPr="00A93267">
        <w:rPr>
          <w:rFonts w:eastAsia="Calibri" w:cs="Tahoma"/>
          <w:color w:val="000000"/>
          <w:szCs w:val="24"/>
          <w:lang w:eastAsia="es-MX"/>
        </w:rPr>
        <w:t xml:space="preserve"> </w:t>
      </w:r>
      <w:r w:rsidRPr="00A93267">
        <w:rPr>
          <w:rFonts w:eastAsia="Calibri" w:cs="Tahoma"/>
          <w:color w:val="000000"/>
          <w:szCs w:val="24"/>
          <w:lang w:eastAsia="es-MX"/>
        </w:rPr>
        <w:t xml:space="preserve">que es la encarga de ver todas las cuestiones relacionadas con la </w:t>
      </w:r>
      <w:r w:rsidR="006A30D1" w:rsidRPr="00A93267">
        <w:rPr>
          <w:rFonts w:eastAsia="Calibri" w:cs="Tahoma"/>
          <w:color w:val="000000"/>
          <w:szCs w:val="24"/>
          <w:lang w:eastAsia="es-MX"/>
        </w:rPr>
        <w:t>administración de los recursos humanos</w:t>
      </w:r>
      <w:r w:rsidRPr="00A93267">
        <w:rPr>
          <w:rFonts w:eastAsia="Calibri" w:cs="Tahoma"/>
          <w:color w:val="000000"/>
          <w:szCs w:val="24"/>
          <w:lang w:eastAsia="es-MX"/>
        </w:rPr>
        <w:t>, por lo que, se advierte que cumplió con el procedimiento de búsqueda establecido en el artículo 162 de la Ley de Transparencia y Acceso a la Información Pública del Estado de México y Municipios.</w:t>
      </w:r>
    </w:p>
    <w:p w14:paraId="070C002A" w14:textId="77777777" w:rsidR="00482B41" w:rsidRPr="00A93267" w:rsidRDefault="00482B41" w:rsidP="008976D2">
      <w:pPr>
        <w:spacing w:after="0" w:line="360" w:lineRule="auto"/>
        <w:contextualSpacing/>
        <w:rPr>
          <w:rFonts w:eastAsia="Times New Roman" w:cs="Arial"/>
          <w:b/>
          <w:bCs/>
          <w:color w:val="auto"/>
          <w:lang w:eastAsia="es-ES"/>
        </w:rPr>
      </w:pPr>
    </w:p>
    <w:p w14:paraId="14E6C63F" w14:textId="43D59B8E" w:rsidR="001D654F" w:rsidRPr="00A93267" w:rsidRDefault="00482B41" w:rsidP="008976D2">
      <w:pPr>
        <w:spacing w:after="0" w:line="360" w:lineRule="auto"/>
        <w:contextualSpacing/>
        <w:rPr>
          <w:color w:val="0563C1" w:themeColor="hyperlink"/>
          <w:u w:val="single"/>
        </w:rPr>
      </w:pPr>
      <w:r w:rsidRPr="00A93267">
        <w:rPr>
          <w:rFonts w:eastAsia="Times New Roman" w:cs="Arial"/>
          <w:color w:val="auto"/>
          <w:lang w:eastAsia="es-ES"/>
        </w:rPr>
        <w:t>Ahora bien, dicha área, proporcionó</w:t>
      </w:r>
      <w:r w:rsidR="001D654F" w:rsidRPr="00A93267">
        <w:rPr>
          <w:rFonts w:eastAsia="Times New Roman" w:cs="Arial"/>
          <w:color w:val="auto"/>
          <w:lang w:eastAsia="es-ES"/>
        </w:rPr>
        <w:t>, tanto en respuesta, como Informe Justificado,</w:t>
      </w:r>
      <w:r w:rsidRPr="00A93267">
        <w:rPr>
          <w:rFonts w:eastAsia="Times New Roman" w:cs="Arial"/>
          <w:color w:val="auto"/>
          <w:lang w:eastAsia="es-ES"/>
        </w:rPr>
        <w:t xml:space="preserve"> </w:t>
      </w:r>
      <w:r w:rsidR="006A30D1" w:rsidRPr="00A93267">
        <w:rPr>
          <w:rFonts w:eastAsia="Times New Roman" w:cs="Arial"/>
          <w:color w:val="auto"/>
          <w:lang w:eastAsia="es-ES"/>
        </w:rPr>
        <w:t xml:space="preserve">dos enlaces electrónicos por medio de los cuales precisó al Particular que podrá localizar </w:t>
      </w:r>
      <w:r w:rsidR="006A30D1" w:rsidRPr="00A93267">
        <w:rPr>
          <w:rFonts w:cs="Tahoma"/>
          <w:bCs/>
          <w:iCs/>
        </w:rPr>
        <w:t>la</w:t>
      </w:r>
      <w:r w:rsidR="004268DF" w:rsidRPr="00A93267">
        <w:rPr>
          <w:rFonts w:cs="Tahoma"/>
          <w:bCs/>
          <w:iCs/>
        </w:rPr>
        <w:t xml:space="preserve"> información solicitada, </w:t>
      </w:r>
      <w:r w:rsidR="001D654F" w:rsidRPr="00A93267">
        <w:rPr>
          <w:rFonts w:cs="Tahoma"/>
          <w:bCs/>
          <w:iCs/>
        </w:rPr>
        <w:t xml:space="preserve">en los enlaces electrónicos </w:t>
      </w:r>
      <w:hyperlink r:id="rId10" w:history="1">
        <w:r w:rsidR="001D654F" w:rsidRPr="00A93267">
          <w:rPr>
            <w:rStyle w:val="Hipervnculo"/>
            <w:iCs/>
          </w:rPr>
          <w:t>https://ipomex.org.mx/ipo3/lgt/indice/SMOV/art_92_viii.web</w:t>
        </w:r>
      </w:hyperlink>
      <w:r w:rsidR="001D654F" w:rsidRPr="00A93267">
        <w:rPr>
          <w:rFonts w:cs="Tahoma"/>
          <w:bCs/>
          <w:iCs/>
        </w:rPr>
        <w:t xml:space="preserve"> y </w:t>
      </w:r>
      <w:hyperlink r:id="rId11" w:history="1">
        <w:r w:rsidR="001D654F" w:rsidRPr="00A93267">
          <w:rPr>
            <w:rStyle w:val="Hipervnculo"/>
          </w:rPr>
          <w:t>https://ipomex.org.mx/ipo3/lgt/indice/SMOV/art_92_xxi.web</w:t>
        </w:r>
      </w:hyperlink>
      <w:r w:rsidR="00362B94" w:rsidRPr="00A93267">
        <w:rPr>
          <w:rFonts w:cs="Tahoma"/>
          <w:bCs/>
          <w:iCs/>
        </w:rPr>
        <w:t>, de los cuales se reproduce un extracto a continuación:</w:t>
      </w:r>
    </w:p>
    <w:p w14:paraId="31C20192" w14:textId="77777777" w:rsidR="00362B94" w:rsidRPr="00A93267" w:rsidRDefault="00362B94" w:rsidP="008976D2">
      <w:pPr>
        <w:spacing w:after="0" w:line="360" w:lineRule="auto"/>
        <w:contextualSpacing/>
        <w:rPr>
          <w:rFonts w:cs="Tahoma"/>
          <w:bCs/>
          <w:iCs/>
        </w:rPr>
      </w:pPr>
    </w:p>
    <w:p w14:paraId="635DBEA7" w14:textId="1D0DF7CC" w:rsidR="00E80985" w:rsidRPr="00A93267" w:rsidRDefault="00362B94" w:rsidP="008976D2">
      <w:pPr>
        <w:tabs>
          <w:tab w:val="left" w:pos="4962"/>
        </w:tabs>
        <w:spacing w:after="0" w:line="360" w:lineRule="auto"/>
        <w:contextualSpacing/>
        <w:jc w:val="center"/>
        <w:rPr>
          <w:rFonts w:cs="Tahoma"/>
          <w:bCs/>
          <w:iCs/>
        </w:rPr>
      </w:pPr>
      <w:r w:rsidRPr="00A93267">
        <w:rPr>
          <w:rFonts w:eastAsia="Times New Roman" w:cs="Arial"/>
          <w:noProof/>
          <w:color w:val="auto"/>
          <w:lang w:eastAsia="es-MX"/>
        </w:rPr>
        <w:drawing>
          <wp:inline distT="0" distB="0" distL="0" distR="0" wp14:anchorId="3BE7FC04" wp14:editId="4DBBF40D">
            <wp:extent cx="3257550" cy="192491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57550" cy="1924916"/>
                    </a:xfrm>
                    <a:prstGeom prst="rect">
                      <a:avLst/>
                    </a:prstGeom>
                  </pic:spPr>
                </pic:pic>
              </a:graphicData>
            </a:graphic>
          </wp:inline>
        </w:drawing>
      </w:r>
    </w:p>
    <w:p w14:paraId="74BD621C" w14:textId="77777777" w:rsidR="00362B94" w:rsidRPr="00A93267" w:rsidRDefault="00362B94" w:rsidP="008976D2">
      <w:pPr>
        <w:tabs>
          <w:tab w:val="left" w:pos="4962"/>
        </w:tabs>
        <w:spacing w:after="0" w:line="360" w:lineRule="auto"/>
        <w:contextualSpacing/>
        <w:rPr>
          <w:rFonts w:cs="Tahoma"/>
          <w:bCs/>
          <w:iCs/>
        </w:rPr>
      </w:pPr>
    </w:p>
    <w:p w14:paraId="7C9D5228" w14:textId="6A20776F" w:rsidR="00362B94" w:rsidRPr="00A93267" w:rsidRDefault="00362B94" w:rsidP="008976D2">
      <w:pPr>
        <w:tabs>
          <w:tab w:val="left" w:pos="4962"/>
        </w:tabs>
        <w:spacing w:after="0" w:line="360" w:lineRule="auto"/>
        <w:contextualSpacing/>
        <w:jc w:val="center"/>
        <w:rPr>
          <w:rFonts w:eastAsia="Times New Roman" w:cs="Arial"/>
          <w:color w:val="auto"/>
          <w:lang w:eastAsia="es-ES"/>
        </w:rPr>
      </w:pPr>
      <w:r w:rsidRPr="00A93267">
        <w:rPr>
          <w:rFonts w:eastAsia="Times New Roman" w:cs="Arial"/>
          <w:noProof/>
          <w:color w:val="auto"/>
          <w:lang w:eastAsia="es-MX"/>
        </w:rPr>
        <w:lastRenderedPageBreak/>
        <w:drawing>
          <wp:inline distT="0" distB="0" distL="0" distR="0" wp14:anchorId="7A92DB47" wp14:editId="6EF31998">
            <wp:extent cx="4163006" cy="192431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3006" cy="1924319"/>
                    </a:xfrm>
                    <a:prstGeom prst="rect">
                      <a:avLst/>
                    </a:prstGeom>
                  </pic:spPr>
                </pic:pic>
              </a:graphicData>
            </a:graphic>
          </wp:inline>
        </w:drawing>
      </w:r>
    </w:p>
    <w:p w14:paraId="52CC84A1" w14:textId="293F14E9" w:rsidR="001D654F" w:rsidRPr="00A93267" w:rsidRDefault="001D654F" w:rsidP="008976D2">
      <w:pPr>
        <w:tabs>
          <w:tab w:val="left" w:pos="4962"/>
        </w:tabs>
        <w:spacing w:after="0" w:line="360" w:lineRule="auto"/>
        <w:contextualSpacing/>
        <w:jc w:val="center"/>
        <w:rPr>
          <w:rFonts w:eastAsia="Times New Roman" w:cs="Arial"/>
          <w:color w:val="auto"/>
          <w:lang w:eastAsia="es-ES"/>
        </w:rPr>
      </w:pPr>
    </w:p>
    <w:p w14:paraId="7F70A13A" w14:textId="6B222AE3" w:rsidR="00362B94" w:rsidRPr="00A93267" w:rsidRDefault="00E63B06" w:rsidP="008976D2">
      <w:pPr>
        <w:spacing w:after="0" w:line="360" w:lineRule="auto"/>
        <w:contextualSpacing/>
        <w:rPr>
          <w:rFonts w:eastAsia="Times New Roman" w:cs="Arial"/>
          <w:color w:val="auto"/>
          <w:lang w:eastAsia="es-ES"/>
        </w:rPr>
      </w:pPr>
      <w:r w:rsidRPr="00A93267">
        <w:rPr>
          <w:rFonts w:eastAsia="Times New Roman" w:cs="Arial"/>
          <w:color w:val="auto"/>
          <w:lang w:eastAsia="es-ES"/>
        </w:rPr>
        <w:t xml:space="preserve">Ahora bien, como se logra observar, tanto en respuesta, como Informe Justificado, precisó que la información se localizaba en el Portal de Información Pública de Oficio Mexiquense, sin embargo, no precisó el procedimiento exacto para acceder a la información; lo cual toma relevancia, pues el apartado de Remuneraciones, contiene información de </w:t>
      </w:r>
      <w:r w:rsidR="004F4F32" w:rsidRPr="00A93267">
        <w:rPr>
          <w:rFonts w:eastAsia="Times New Roman" w:cs="Arial"/>
          <w:color w:val="auto"/>
          <w:lang w:eastAsia="es-ES"/>
        </w:rPr>
        <w:t>cuatro trimestres del año dos mil veintidós, por lo cual, implica que el Particular tuviera que identificar y procesar la información localizada en dicho apartado; además, que dicho apartado se subdivide en áreas, lo cual dificulta el análisis de lo proporcionado, tal como se muestra a continuación:</w:t>
      </w:r>
    </w:p>
    <w:p w14:paraId="3634576A" w14:textId="77777777" w:rsidR="004F4F32" w:rsidRPr="00A93267" w:rsidRDefault="004F4F32" w:rsidP="008976D2">
      <w:pPr>
        <w:spacing w:after="0" w:line="360" w:lineRule="auto"/>
        <w:contextualSpacing/>
        <w:rPr>
          <w:rFonts w:eastAsia="Times New Roman" w:cs="Arial"/>
          <w:color w:val="auto"/>
          <w:lang w:eastAsia="es-ES"/>
        </w:rPr>
      </w:pPr>
    </w:p>
    <w:p w14:paraId="110A4E22" w14:textId="3DD3CC28" w:rsidR="004F4F32" w:rsidRPr="00A93267" w:rsidRDefault="004F4F32" w:rsidP="008976D2">
      <w:pPr>
        <w:spacing w:after="0" w:line="360" w:lineRule="auto"/>
        <w:contextualSpacing/>
        <w:jc w:val="center"/>
        <w:rPr>
          <w:rFonts w:eastAsia="Times New Roman" w:cs="Arial"/>
          <w:color w:val="auto"/>
          <w:lang w:eastAsia="es-ES"/>
        </w:rPr>
      </w:pPr>
      <w:r w:rsidRPr="00A93267">
        <w:rPr>
          <w:rFonts w:eastAsia="Times New Roman" w:cs="Arial"/>
          <w:noProof/>
          <w:color w:val="auto"/>
          <w:lang w:eastAsia="es-MX"/>
        </w:rPr>
        <w:drawing>
          <wp:inline distT="0" distB="0" distL="0" distR="0" wp14:anchorId="014BE4DD" wp14:editId="29F06254">
            <wp:extent cx="4114800" cy="204275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28923" cy="2049768"/>
                    </a:xfrm>
                    <a:prstGeom prst="rect">
                      <a:avLst/>
                    </a:prstGeom>
                  </pic:spPr>
                </pic:pic>
              </a:graphicData>
            </a:graphic>
          </wp:inline>
        </w:drawing>
      </w:r>
    </w:p>
    <w:p w14:paraId="1EE61DCA" w14:textId="77777777" w:rsidR="00362B94" w:rsidRPr="00A93267" w:rsidRDefault="00362B94" w:rsidP="008976D2">
      <w:pPr>
        <w:spacing w:after="0" w:line="360" w:lineRule="auto"/>
        <w:contextualSpacing/>
        <w:rPr>
          <w:rFonts w:eastAsia="Times New Roman" w:cs="Arial"/>
          <w:color w:val="auto"/>
          <w:lang w:eastAsia="es-ES"/>
        </w:rPr>
      </w:pPr>
    </w:p>
    <w:p w14:paraId="593B2AEE" w14:textId="719ED6C7" w:rsidR="004F4F32" w:rsidRPr="00A93267" w:rsidRDefault="004F4F32" w:rsidP="008976D2">
      <w:pPr>
        <w:tabs>
          <w:tab w:val="left" w:pos="4962"/>
        </w:tabs>
        <w:spacing w:after="0" w:line="360" w:lineRule="auto"/>
        <w:contextualSpacing/>
        <w:rPr>
          <w:rFonts w:eastAsia="Calibri" w:cs="Tahoma"/>
          <w:iCs/>
          <w:lang w:eastAsia="es-ES_tradnl"/>
        </w:rPr>
      </w:pPr>
      <w:r w:rsidRPr="00A93267">
        <w:rPr>
          <w:rFonts w:eastAsia="Times New Roman" w:cs="Arial"/>
          <w:color w:val="auto"/>
          <w:lang w:eastAsia="es-ES"/>
        </w:rPr>
        <w:t xml:space="preserve">Conforme a lo anterior, no se puede dar por valido el vínculo electrónico que remite al apartado de Remuneraciones, toda vez que omitió proporcionar el procedimiento específico para </w:t>
      </w:r>
      <w:r w:rsidRPr="00A93267">
        <w:rPr>
          <w:rFonts w:eastAsia="Times New Roman" w:cs="Arial"/>
          <w:color w:val="auto"/>
          <w:lang w:eastAsia="es-ES"/>
        </w:rPr>
        <w:lastRenderedPageBreak/>
        <w:t xml:space="preserve">acceder a los datos solicitados, consistentes en </w:t>
      </w:r>
      <w:r w:rsidRPr="00A93267">
        <w:rPr>
          <w:rFonts w:eastAsia="Calibri" w:cs="Tahoma"/>
          <w:iCs/>
          <w:lang w:eastAsia="es-ES_tradnl"/>
        </w:rPr>
        <w:t>el nombre, cargo, nivel o rango, área de adscripción y sueldo de todos los servidores públicos adscritos a la Secretaría de Movilidad, a la fecha de la solicitud.</w:t>
      </w:r>
    </w:p>
    <w:p w14:paraId="75A27B5D" w14:textId="77777777" w:rsidR="004F4F32" w:rsidRPr="00A93267" w:rsidRDefault="004F4F32" w:rsidP="008976D2">
      <w:pPr>
        <w:tabs>
          <w:tab w:val="left" w:pos="4962"/>
        </w:tabs>
        <w:spacing w:after="0" w:line="360" w:lineRule="auto"/>
        <w:contextualSpacing/>
        <w:rPr>
          <w:rFonts w:eastAsia="Calibri" w:cs="Tahoma"/>
          <w:iCs/>
          <w:lang w:eastAsia="es-ES_tradnl"/>
        </w:rPr>
      </w:pPr>
    </w:p>
    <w:p w14:paraId="75638E5A" w14:textId="0AF039D9" w:rsidR="004F4F32" w:rsidRPr="00A93267" w:rsidRDefault="004F4F32" w:rsidP="008976D2">
      <w:pPr>
        <w:tabs>
          <w:tab w:val="left" w:pos="4962"/>
        </w:tabs>
        <w:spacing w:after="0" w:line="360" w:lineRule="auto"/>
        <w:contextualSpacing/>
        <w:rPr>
          <w:rFonts w:eastAsia="Times New Roman" w:cs="Tahoma"/>
          <w:iCs/>
          <w:color w:val="auto"/>
          <w:lang w:val="es-ES" w:eastAsia="es-ES"/>
        </w:rPr>
      </w:pPr>
      <w:r w:rsidRPr="00A93267">
        <w:rPr>
          <w:rFonts w:eastAsia="Calibri" w:cs="Tahoma"/>
          <w:iCs/>
          <w:lang w:eastAsia="es-ES_tradnl"/>
        </w:rPr>
        <w:t xml:space="preserve">Ahora bien, por lo que hace a la profesión de los servidores públicos, con mandos medios y superiores, es de señalar que el este Instituto revisó los registros </w:t>
      </w:r>
      <w:r w:rsidRPr="00A93267">
        <w:rPr>
          <w:rFonts w:eastAsia="Times New Roman" w:cs="Tahoma"/>
          <w:iCs/>
          <w:color w:val="auto"/>
          <w:lang w:val="es-ES" w:eastAsia="es-ES"/>
        </w:rPr>
        <w:t xml:space="preserve">contenidos en el Portal de Información Pública de Oficio de la Secretaría de Movilidad y logro advertir que </w:t>
      </w:r>
      <w:r w:rsidR="00B80CBC" w:rsidRPr="00A93267">
        <w:rPr>
          <w:rFonts w:eastAsia="Times New Roman" w:cs="Tahoma"/>
          <w:iCs/>
          <w:color w:val="auto"/>
          <w:lang w:val="es-ES" w:eastAsia="es-ES"/>
        </w:rPr>
        <w:t>no existe certeza que se encuentre la información de todos los mandos medios y superiores, toda vez que existe una discrepancia, entre el apartado de remuneraciones, directorio e información curricular, tal como se muestra a continuación:</w:t>
      </w:r>
    </w:p>
    <w:p w14:paraId="3CE7EB36" w14:textId="77777777" w:rsidR="00B80CBC" w:rsidRPr="00A93267" w:rsidRDefault="00B80CBC" w:rsidP="008976D2">
      <w:pPr>
        <w:tabs>
          <w:tab w:val="left" w:pos="4962"/>
        </w:tabs>
        <w:spacing w:after="0" w:line="360" w:lineRule="auto"/>
        <w:contextualSpacing/>
        <w:rPr>
          <w:rFonts w:eastAsia="Times New Roman" w:cs="Tahoma"/>
          <w:iCs/>
          <w:color w:val="auto"/>
          <w:lang w:val="es-ES" w:eastAsia="es-ES"/>
        </w:rPr>
      </w:pPr>
    </w:p>
    <w:tbl>
      <w:tblPr>
        <w:tblStyle w:val="Tablaconcuadrcula"/>
        <w:tblW w:w="0" w:type="auto"/>
        <w:tblLook w:val="04A0" w:firstRow="1" w:lastRow="0" w:firstColumn="1" w:lastColumn="0" w:noHBand="0" w:noVBand="1"/>
      </w:tblPr>
      <w:tblGrid>
        <w:gridCol w:w="3965"/>
        <w:gridCol w:w="5146"/>
      </w:tblGrid>
      <w:tr w:rsidR="00B80CBC" w:rsidRPr="00A93267" w14:paraId="133CEB1E" w14:textId="77777777" w:rsidTr="00E3492B">
        <w:tc>
          <w:tcPr>
            <w:tcW w:w="4555" w:type="dxa"/>
            <w:vAlign w:val="center"/>
          </w:tcPr>
          <w:p w14:paraId="04BBAA1D" w14:textId="77777777" w:rsidR="00B80CBC" w:rsidRPr="00A93267" w:rsidRDefault="00B80CBC" w:rsidP="008976D2">
            <w:pPr>
              <w:spacing w:line="360" w:lineRule="auto"/>
              <w:jc w:val="center"/>
              <w:rPr>
                <w:rFonts w:eastAsia="Times New Roman" w:cs="Tahoma"/>
                <w:iCs/>
                <w:color w:val="auto"/>
                <w:lang w:eastAsia="es-ES"/>
              </w:rPr>
            </w:pPr>
            <w:r w:rsidRPr="00A93267">
              <w:rPr>
                <w:rFonts w:eastAsia="Times New Roman" w:cs="Tahoma"/>
                <w:iCs/>
                <w:noProof/>
                <w:color w:val="auto"/>
                <w:lang w:eastAsia="es-MX"/>
              </w:rPr>
              <w:drawing>
                <wp:inline distT="0" distB="0" distL="0" distR="0" wp14:anchorId="6E6B79D9" wp14:editId="2C2E59AB">
                  <wp:extent cx="1486107" cy="438211"/>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a:blip r:embed="rId15">
                            <a:extLst>
                              <a:ext uri="{28A0092B-C50C-407E-A947-70E740481C1C}">
                                <a14:useLocalDpi xmlns:a14="http://schemas.microsoft.com/office/drawing/2010/main" val="0"/>
                              </a:ext>
                            </a:extLst>
                          </a:blip>
                          <a:stretch>
                            <a:fillRect/>
                          </a:stretch>
                        </pic:blipFill>
                        <pic:spPr>
                          <a:xfrm>
                            <a:off x="0" y="0"/>
                            <a:ext cx="1486107" cy="438211"/>
                          </a:xfrm>
                          <a:prstGeom prst="rect">
                            <a:avLst/>
                          </a:prstGeom>
                        </pic:spPr>
                      </pic:pic>
                    </a:graphicData>
                  </a:graphic>
                </wp:inline>
              </w:drawing>
            </w:r>
          </w:p>
        </w:tc>
        <w:tc>
          <w:tcPr>
            <w:tcW w:w="4556" w:type="dxa"/>
          </w:tcPr>
          <w:p w14:paraId="2E79D714" w14:textId="1E0E6363" w:rsidR="00B80CBC" w:rsidRPr="00A93267" w:rsidRDefault="00B80CBC" w:rsidP="008976D2">
            <w:pPr>
              <w:spacing w:line="360" w:lineRule="auto"/>
              <w:rPr>
                <w:rFonts w:eastAsia="Times New Roman" w:cs="Tahoma"/>
                <w:iCs/>
                <w:color w:val="auto"/>
                <w:lang w:eastAsia="es-ES"/>
              </w:rPr>
            </w:pPr>
            <w:r w:rsidRPr="00A93267">
              <w:rPr>
                <w:rFonts w:eastAsia="Times New Roman" w:cs="Tahoma"/>
                <w:iCs/>
                <w:noProof/>
                <w:color w:val="auto"/>
                <w:lang w:eastAsia="es-MX"/>
              </w:rPr>
              <w:drawing>
                <wp:inline distT="0" distB="0" distL="0" distR="0" wp14:anchorId="290787DC" wp14:editId="20F3D3EC">
                  <wp:extent cx="3172268" cy="866896"/>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72268" cy="866896"/>
                          </a:xfrm>
                          <a:prstGeom prst="rect">
                            <a:avLst/>
                          </a:prstGeom>
                        </pic:spPr>
                      </pic:pic>
                    </a:graphicData>
                  </a:graphic>
                </wp:inline>
              </w:drawing>
            </w:r>
          </w:p>
        </w:tc>
      </w:tr>
      <w:tr w:rsidR="00B80CBC" w:rsidRPr="00A93267" w14:paraId="3F8E7FCC" w14:textId="77777777" w:rsidTr="00E3492B">
        <w:tc>
          <w:tcPr>
            <w:tcW w:w="4555" w:type="dxa"/>
            <w:vAlign w:val="center"/>
          </w:tcPr>
          <w:p w14:paraId="23149100" w14:textId="77777777" w:rsidR="00B80CBC" w:rsidRPr="00A93267" w:rsidRDefault="00B80CBC" w:rsidP="008976D2">
            <w:pPr>
              <w:spacing w:line="360" w:lineRule="auto"/>
              <w:jc w:val="center"/>
              <w:rPr>
                <w:rFonts w:eastAsia="Times New Roman" w:cs="Tahoma"/>
                <w:iCs/>
                <w:color w:val="auto"/>
                <w:lang w:eastAsia="es-ES"/>
              </w:rPr>
            </w:pPr>
            <w:r w:rsidRPr="00A93267">
              <w:rPr>
                <w:rFonts w:eastAsia="Times New Roman" w:cs="Tahoma"/>
                <w:iCs/>
                <w:noProof/>
                <w:color w:val="auto"/>
                <w:lang w:eastAsia="es-MX"/>
              </w:rPr>
              <w:drawing>
                <wp:inline distT="0" distB="0" distL="0" distR="0" wp14:anchorId="6156B812" wp14:editId="56E06FEA">
                  <wp:extent cx="2162175" cy="203157"/>
                  <wp:effectExtent l="0" t="0" r="0" b="698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pic:cNvPicPr/>
                        </pic:nvPicPr>
                        <pic:blipFill>
                          <a:blip r:embed="rId17">
                            <a:extLst>
                              <a:ext uri="{28A0092B-C50C-407E-A947-70E740481C1C}">
                                <a14:useLocalDpi xmlns:a14="http://schemas.microsoft.com/office/drawing/2010/main" val="0"/>
                              </a:ext>
                            </a:extLst>
                          </a:blip>
                          <a:stretch>
                            <a:fillRect/>
                          </a:stretch>
                        </pic:blipFill>
                        <pic:spPr>
                          <a:xfrm>
                            <a:off x="0" y="0"/>
                            <a:ext cx="2252125" cy="211609"/>
                          </a:xfrm>
                          <a:prstGeom prst="rect">
                            <a:avLst/>
                          </a:prstGeom>
                        </pic:spPr>
                      </pic:pic>
                    </a:graphicData>
                  </a:graphic>
                </wp:inline>
              </w:drawing>
            </w:r>
          </w:p>
        </w:tc>
        <w:tc>
          <w:tcPr>
            <w:tcW w:w="4556" w:type="dxa"/>
          </w:tcPr>
          <w:p w14:paraId="670B8231" w14:textId="3A74976F" w:rsidR="00B80CBC" w:rsidRPr="00A93267" w:rsidRDefault="00B80CBC" w:rsidP="008976D2">
            <w:pPr>
              <w:spacing w:line="360" w:lineRule="auto"/>
              <w:rPr>
                <w:rFonts w:eastAsia="Times New Roman" w:cs="Tahoma"/>
                <w:iCs/>
                <w:color w:val="auto"/>
                <w:lang w:eastAsia="es-ES"/>
              </w:rPr>
            </w:pPr>
            <w:r w:rsidRPr="00A93267">
              <w:rPr>
                <w:rFonts w:eastAsia="Times New Roman" w:cs="Tahoma"/>
                <w:iCs/>
                <w:noProof/>
                <w:color w:val="auto"/>
                <w:lang w:eastAsia="es-MX"/>
              </w:rPr>
              <w:drawing>
                <wp:inline distT="0" distB="0" distL="0" distR="0" wp14:anchorId="25E24076" wp14:editId="73CFBF1D">
                  <wp:extent cx="3143689" cy="51442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43689" cy="514422"/>
                          </a:xfrm>
                          <a:prstGeom prst="rect">
                            <a:avLst/>
                          </a:prstGeom>
                        </pic:spPr>
                      </pic:pic>
                    </a:graphicData>
                  </a:graphic>
                </wp:inline>
              </w:drawing>
            </w:r>
          </w:p>
        </w:tc>
      </w:tr>
      <w:tr w:rsidR="00B80CBC" w:rsidRPr="00A93267" w14:paraId="3769BC59" w14:textId="77777777" w:rsidTr="00E3492B">
        <w:tc>
          <w:tcPr>
            <w:tcW w:w="4555" w:type="dxa"/>
            <w:vAlign w:val="center"/>
          </w:tcPr>
          <w:p w14:paraId="58C98176" w14:textId="77777777" w:rsidR="00B80CBC" w:rsidRPr="00A93267" w:rsidRDefault="00B80CBC" w:rsidP="008976D2">
            <w:pPr>
              <w:spacing w:line="360" w:lineRule="auto"/>
              <w:jc w:val="center"/>
              <w:rPr>
                <w:rFonts w:eastAsia="Times New Roman" w:cs="Tahoma"/>
                <w:iCs/>
                <w:color w:val="auto"/>
                <w:lang w:eastAsia="es-ES"/>
              </w:rPr>
            </w:pPr>
            <w:r w:rsidRPr="00A93267">
              <w:rPr>
                <w:rFonts w:eastAsia="Times New Roman" w:cs="Tahoma"/>
                <w:iCs/>
                <w:noProof/>
                <w:color w:val="auto"/>
                <w:lang w:eastAsia="es-MX"/>
              </w:rPr>
              <w:drawing>
                <wp:inline distT="0" distB="0" distL="0" distR="0" wp14:anchorId="1AD638CC" wp14:editId="274DB796">
                  <wp:extent cx="2419350" cy="235887"/>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7"/>
                          <pic:cNvPicPr/>
                        </pic:nvPicPr>
                        <pic:blipFill>
                          <a:blip r:embed="rId19">
                            <a:extLst>
                              <a:ext uri="{28A0092B-C50C-407E-A947-70E740481C1C}">
                                <a14:useLocalDpi xmlns:a14="http://schemas.microsoft.com/office/drawing/2010/main" val="0"/>
                              </a:ext>
                            </a:extLst>
                          </a:blip>
                          <a:stretch>
                            <a:fillRect/>
                          </a:stretch>
                        </pic:blipFill>
                        <pic:spPr>
                          <a:xfrm>
                            <a:off x="0" y="0"/>
                            <a:ext cx="2485219" cy="242309"/>
                          </a:xfrm>
                          <a:prstGeom prst="rect">
                            <a:avLst/>
                          </a:prstGeom>
                        </pic:spPr>
                      </pic:pic>
                    </a:graphicData>
                  </a:graphic>
                </wp:inline>
              </w:drawing>
            </w:r>
          </w:p>
        </w:tc>
        <w:tc>
          <w:tcPr>
            <w:tcW w:w="4556" w:type="dxa"/>
          </w:tcPr>
          <w:p w14:paraId="4578693A" w14:textId="18E7E5A8" w:rsidR="00B80CBC" w:rsidRPr="00A93267" w:rsidRDefault="00B80CBC" w:rsidP="008976D2">
            <w:pPr>
              <w:spacing w:line="360" w:lineRule="auto"/>
              <w:rPr>
                <w:rFonts w:eastAsia="Times New Roman" w:cs="Tahoma"/>
                <w:iCs/>
                <w:color w:val="auto"/>
                <w:lang w:eastAsia="es-ES"/>
              </w:rPr>
            </w:pPr>
            <w:r w:rsidRPr="00A93267">
              <w:rPr>
                <w:rFonts w:eastAsia="Times New Roman" w:cs="Tahoma"/>
                <w:iCs/>
                <w:noProof/>
                <w:color w:val="auto"/>
                <w:lang w:eastAsia="es-MX"/>
              </w:rPr>
              <w:drawing>
                <wp:inline distT="0" distB="0" distL="0" distR="0" wp14:anchorId="13622D9C" wp14:editId="387C6967">
                  <wp:extent cx="3143689" cy="55252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143689" cy="552527"/>
                          </a:xfrm>
                          <a:prstGeom prst="rect">
                            <a:avLst/>
                          </a:prstGeom>
                        </pic:spPr>
                      </pic:pic>
                    </a:graphicData>
                  </a:graphic>
                </wp:inline>
              </w:drawing>
            </w:r>
          </w:p>
        </w:tc>
      </w:tr>
    </w:tbl>
    <w:p w14:paraId="283744FE" w14:textId="77777777" w:rsidR="00B80CBC" w:rsidRPr="00A93267" w:rsidRDefault="00B80CBC" w:rsidP="008976D2">
      <w:pPr>
        <w:tabs>
          <w:tab w:val="left" w:pos="4962"/>
        </w:tabs>
        <w:spacing w:after="0" w:line="360" w:lineRule="auto"/>
        <w:contextualSpacing/>
        <w:rPr>
          <w:rFonts w:eastAsia="Calibri" w:cs="Tahoma"/>
          <w:iCs/>
          <w:lang w:eastAsia="es-ES_tradnl"/>
        </w:rPr>
      </w:pPr>
    </w:p>
    <w:p w14:paraId="7D11A1A0" w14:textId="35F04D8F" w:rsidR="00362B94" w:rsidRPr="00A93267" w:rsidRDefault="00B80CBC" w:rsidP="008976D2">
      <w:pPr>
        <w:spacing w:after="0" w:line="360" w:lineRule="auto"/>
        <w:contextualSpacing/>
        <w:rPr>
          <w:rFonts w:eastAsia="Times New Roman" w:cs="Arial"/>
          <w:color w:val="auto"/>
          <w:lang w:eastAsia="es-ES"/>
        </w:rPr>
      </w:pPr>
      <w:r w:rsidRPr="00A93267">
        <w:rPr>
          <w:rFonts w:eastAsia="Times New Roman" w:cs="Arial"/>
          <w:color w:val="auto"/>
          <w:lang w:eastAsia="es-ES"/>
        </w:rPr>
        <w:t>Aunado a lo anterior, de la revisión localizada en Información Curricular, se logró vislumbrar que hay servidores públicos que en lo referente a Escolaridad, hacen alusión a que son ciudadanos, sin precisar su nivel o grado de estudios, o bien, si contaba o no con una profesión, lo cual robustece que la información proporcionada no atiende lo solicitado.</w:t>
      </w:r>
    </w:p>
    <w:p w14:paraId="5EDC4775" w14:textId="77777777" w:rsidR="00B80CBC" w:rsidRPr="00A93267" w:rsidRDefault="00B80CBC" w:rsidP="008976D2">
      <w:pPr>
        <w:spacing w:after="0" w:line="360" w:lineRule="auto"/>
        <w:contextualSpacing/>
        <w:rPr>
          <w:rFonts w:eastAsia="Times New Roman" w:cs="Arial"/>
          <w:color w:val="auto"/>
          <w:lang w:eastAsia="es-ES"/>
        </w:rPr>
      </w:pPr>
    </w:p>
    <w:p w14:paraId="00196DCC" w14:textId="163923CE" w:rsidR="00B80CBC" w:rsidRPr="00A93267" w:rsidRDefault="00B80CBC" w:rsidP="008976D2">
      <w:pPr>
        <w:spacing w:after="0" w:line="360" w:lineRule="auto"/>
        <w:rPr>
          <w:rFonts w:eastAsia="Times New Roman" w:cs="Tahoma"/>
          <w:iCs/>
          <w:color w:val="auto"/>
          <w:lang w:val="es-ES" w:eastAsia="es-ES"/>
        </w:rPr>
      </w:pPr>
      <w:r w:rsidRPr="00A93267">
        <w:rPr>
          <w:rFonts w:eastAsia="Times New Roman" w:cs="Tahoma"/>
          <w:iCs/>
          <w:color w:val="auto"/>
          <w:lang w:val="es-ES" w:eastAsia="es-ES"/>
        </w:rPr>
        <w:t xml:space="preserve">En esa tesitura, este Instituto no tiene certeza de que información aportada contenga la información de todos los servidores públicos solicitados; lo anterior, ya que de conformidad </w:t>
      </w:r>
      <w:r w:rsidRPr="00A93267">
        <w:rPr>
          <w:rFonts w:eastAsia="Times New Roman" w:cs="Tahoma"/>
          <w:iCs/>
          <w:color w:val="auto"/>
          <w:lang w:val="es-ES" w:eastAsia="es-ES"/>
        </w:rPr>
        <w:lastRenderedPageBreak/>
        <w:t xml:space="preserve">con lo establecido en el </w:t>
      </w:r>
      <w:r w:rsidRPr="00A93267">
        <w:rPr>
          <w:rFonts w:eastAsia="Calibri" w:cs="Times New Roman"/>
          <w:color w:val="000000"/>
        </w:rPr>
        <w:t xml:space="preserve">artículo 1.8, fracción XIII, del Código Administrativo del Estado de México, el cual </w:t>
      </w:r>
      <w:r w:rsidRPr="00A93267">
        <w:rPr>
          <w:rFonts w:eastAsia="Times New Roman" w:cs="Tahoma"/>
          <w:color w:val="auto"/>
          <w:lang w:val="es-ES" w:eastAsia="es-ES"/>
        </w:rPr>
        <w:t>establece que para que un acto administrativo tenga validez, deberá guardar congruencia con lo solicitado.</w:t>
      </w:r>
      <w:r w:rsidRPr="00A93267">
        <w:rPr>
          <w:rFonts w:eastAsia="Times New Roman" w:cs="Tahoma"/>
          <w:iCs/>
          <w:color w:val="auto"/>
          <w:lang w:val="es-ES" w:eastAsia="es-ES"/>
        </w:rPr>
        <w:t xml:space="preserve"> En ese sentido, tiene relevancia traer al estudio el </w:t>
      </w:r>
      <w:r w:rsidRPr="00A93267">
        <w:rPr>
          <w:rFonts w:eastAsia="Times New Roman" w:cs="Tahoma"/>
          <w:bCs/>
          <w:iCs/>
          <w:color w:val="auto"/>
          <w:lang w:val="es-ES" w:eastAsia="es-ES"/>
        </w:rPr>
        <w:t xml:space="preserve">Criterio de Interpretación, de la Segunda Época, con número de registro </w:t>
      </w:r>
      <w:r w:rsidRPr="00A93267">
        <w:rPr>
          <w:rFonts w:eastAsia="Times New Roman" w:cs="Tahoma"/>
          <w:bCs/>
          <w:iCs/>
          <w:color w:val="auto"/>
          <w:lang w:eastAsia="es-ES"/>
        </w:rPr>
        <w:t xml:space="preserve">SO/002/2017, </w:t>
      </w:r>
      <w:r w:rsidRPr="00A93267">
        <w:rPr>
          <w:rFonts w:eastAsia="Times New Roman" w:cs="Tahoma"/>
          <w:bCs/>
          <w:iCs/>
          <w:color w:val="auto"/>
          <w:lang w:val="es-ES" w:eastAsia="es-ES"/>
        </w:rPr>
        <w:t>emitido por el Instituto Nacional de Transparencia, Acceso a la Información y Protección de Datos Personales, que señala lo siguiente:</w:t>
      </w:r>
    </w:p>
    <w:p w14:paraId="6A95D49E" w14:textId="77777777" w:rsidR="00B80CBC" w:rsidRPr="00A93267" w:rsidRDefault="00B80CBC" w:rsidP="008976D2">
      <w:pPr>
        <w:spacing w:after="0" w:line="360" w:lineRule="auto"/>
        <w:rPr>
          <w:rFonts w:eastAsia="Calibri" w:cs="Times New Roman"/>
          <w:color w:val="000000"/>
        </w:rPr>
      </w:pPr>
    </w:p>
    <w:p w14:paraId="110AA35E" w14:textId="77777777" w:rsidR="00B80CBC" w:rsidRPr="00A93267" w:rsidRDefault="00B80CBC" w:rsidP="008976D2">
      <w:pPr>
        <w:spacing w:after="0" w:line="360" w:lineRule="auto"/>
        <w:ind w:left="567" w:right="567"/>
        <w:rPr>
          <w:rFonts w:eastAsia="Calibri" w:cs="Times New Roman"/>
          <w:i/>
          <w:iCs/>
          <w:color w:val="000000"/>
          <w:sz w:val="20"/>
          <w:szCs w:val="20"/>
        </w:rPr>
      </w:pPr>
      <w:r w:rsidRPr="00A93267">
        <w:rPr>
          <w:rFonts w:eastAsia="Calibri" w:cs="Times New Roman"/>
          <w:b/>
          <w:bCs/>
          <w:i/>
          <w:iCs/>
          <w:color w:val="000000"/>
          <w:sz w:val="20"/>
          <w:szCs w:val="20"/>
        </w:rPr>
        <w:t>“Congruencia y exhaustividad. Sus alcances para garantizar el derecho de acceso a la información.</w:t>
      </w:r>
      <w:r w:rsidRPr="00A93267">
        <w:rPr>
          <w:rFonts w:eastAsia="Calibri" w:cs="Times New Roman"/>
          <w:i/>
          <w:iCs/>
          <w:color w:val="000000"/>
          <w:sz w:val="20"/>
          <w:szCs w:val="20"/>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A93267">
        <w:rPr>
          <w:rFonts w:eastAsia="Calibri" w:cs="Times New Roman"/>
          <w:b/>
          <w:bCs/>
          <w:i/>
          <w:iCs/>
          <w:color w:val="000000"/>
          <w:sz w:val="20"/>
          <w:szCs w:val="20"/>
        </w:rPr>
        <w:t>la exhaustividad significa que dicha respuesta se refiera expresamente a cada uno de los puntos solicitados</w:t>
      </w:r>
      <w:r w:rsidRPr="00A93267">
        <w:rPr>
          <w:rFonts w:eastAsia="Calibri" w:cs="Times New Roman"/>
          <w:i/>
          <w:iCs/>
          <w:color w:val="000000"/>
          <w:sz w:val="20"/>
          <w:szCs w:val="20"/>
        </w:rPr>
        <w:t xml:space="preserve">. Por lo anterior, los sujetos obligados cumplirán con los principios de congruencia y exhaustividad, cuando las respuestas que emitan guarden una relación lógica con lo solicitado y </w:t>
      </w:r>
      <w:r w:rsidRPr="00A93267">
        <w:rPr>
          <w:rFonts w:eastAsia="Calibri" w:cs="Times New Roman"/>
          <w:b/>
          <w:bCs/>
          <w:i/>
          <w:iCs/>
          <w:color w:val="000000"/>
          <w:sz w:val="20"/>
          <w:szCs w:val="20"/>
        </w:rPr>
        <w:t>atiendan de manera puntual y expresa, cada uno de los contenidos de información.”</w:t>
      </w:r>
      <w:r w:rsidRPr="00A93267">
        <w:rPr>
          <w:rFonts w:eastAsia="Calibri" w:cs="Times New Roman"/>
          <w:i/>
          <w:iCs/>
          <w:color w:val="000000"/>
          <w:sz w:val="20"/>
          <w:szCs w:val="20"/>
        </w:rPr>
        <w:t xml:space="preserve"> </w:t>
      </w:r>
    </w:p>
    <w:p w14:paraId="602A18D3" w14:textId="77777777" w:rsidR="00B80CBC" w:rsidRPr="00A93267" w:rsidRDefault="00B80CBC" w:rsidP="008976D2">
      <w:pPr>
        <w:spacing w:after="0" w:line="360" w:lineRule="auto"/>
        <w:rPr>
          <w:rFonts w:eastAsia="Calibri" w:cs="Times New Roman"/>
          <w:color w:val="000000"/>
        </w:rPr>
      </w:pPr>
    </w:p>
    <w:p w14:paraId="291F5959" w14:textId="77777777" w:rsidR="00B80CBC" w:rsidRPr="00A93267" w:rsidRDefault="00B80CBC" w:rsidP="008976D2">
      <w:pPr>
        <w:spacing w:after="0" w:line="360" w:lineRule="auto"/>
        <w:rPr>
          <w:rFonts w:eastAsia="Times New Roman" w:cs="Times New Roman"/>
          <w:color w:val="auto"/>
          <w:lang w:val="es-ES" w:eastAsia="es-ES"/>
        </w:rPr>
      </w:pPr>
      <w:r w:rsidRPr="00A93267">
        <w:rPr>
          <w:rFonts w:eastAsia="Times New Roman" w:cs="Times New Roman"/>
          <w:color w:val="auto"/>
          <w:lang w:eastAsia="es-ES"/>
        </w:rPr>
        <w:t xml:space="preserve">Del citado criterio, se desprende que </w:t>
      </w:r>
      <w:r w:rsidRPr="00A93267">
        <w:rPr>
          <w:rFonts w:eastAsia="Times New Roman" w:cs="Times New Roman"/>
          <w:bCs/>
          <w:color w:val="auto"/>
          <w:lang w:eastAsia="es-ES"/>
        </w:rPr>
        <w:t>todo acto administrativo debe apegarse al</w:t>
      </w:r>
      <w:r w:rsidRPr="00A93267">
        <w:rPr>
          <w:rFonts w:eastAsia="Times New Roman" w:cs="Times New Roman"/>
          <w:color w:val="auto"/>
          <w:lang w:val="es-ES" w:eastAsia="es-ES"/>
        </w:rPr>
        <w:t xml:space="preserve"> </w:t>
      </w:r>
      <w:r w:rsidRPr="00A93267">
        <w:rPr>
          <w:rFonts w:eastAsia="Times New Roman" w:cs="Times New Roman"/>
          <w:b/>
          <w:color w:val="auto"/>
          <w:lang w:val="es-ES" w:eastAsia="es-ES"/>
        </w:rPr>
        <w:t xml:space="preserve">Principio de Congruencia, </w:t>
      </w:r>
      <w:r w:rsidRPr="00A93267">
        <w:rPr>
          <w:rFonts w:eastAsia="Times New Roman" w:cs="Times New Roman"/>
          <w:color w:val="auto"/>
          <w:lang w:val="es-ES" w:eastAsia="es-ES"/>
        </w:rPr>
        <w:t>el cual</w:t>
      </w:r>
      <w:r w:rsidRPr="00A93267">
        <w:rPr>
          <w:rFonts w:eastAsia="Times New Roman" w:cs="Times New Roman"/>
          <w:b/>
          <w:color w:val="auto"/>
          <w:lang w:val="es-ES" w:eastAsia="es-ES"/>
        </w:rPr>
        <w:t xml:space="preserve"> </w:t>
      </w:r>
      <w:r w:rsidRPr="00A93267">
        <w:rPr>
          <w:rFonts w:eastAsia="Times New Roman" w:cs="Times New Roman"/>
          <w:color w:val="auto"/>
          <w:lang w:val="es-ES" w:eastAsia="es-ES"/>
        </w:rPr>
        <w:t xml:space="preserve">implica que exista concordancia entre el requerimiento formulado y la respuesta entregada. </w:t>
      </w:r>
    </w:p>
    <w:p w14:paraId="2A11B14A" w14:textId="77777777" w:rsidR="00B80CBC" w:rsidRPr="00A93267" w:rsidRDefault="00B80CBC" w:rsidP="008976D2">
      <w:pPr>
        <w:spacing w:after="0" w:line="360" w:lineRule="auto"/>
        <w:rPr>
          <w:rFonts w:eastAsia="Times New Roman" w:cs="Times New Roman"/>
          <w:color w:val="auto"/>
          <w:lang w:val="es-ES" w:eastAsia="es-ES"/>
        </w:rPr>
      </w:pPr>
    </w:p>
    <w:p w14:paraId="4A074206" w14:textId="432CA45B" w:rsidR="00B80CBC" w:rsidRPr="00A93267" w:rsidRDefault="00B80CBC" w:rsidP="008976D2">
      <w:pPr>
        <w:spacing w:after="0" w:line="360" w:lineRule="auto"/>
        <w:rPr>
          <w:rFonts w:eastAsia="Times New Roman" w:cs="Tahoma"/>
          <w:iCs/>
          <w:color w:val="auto"/>
          <w:lang w:val="es-ES" w:eastAsia="es-ES"/>
        </w:rPr>
      </w:pPr>
      <w:r w:rsidRPr="00A93267">
        <w:rPr>
          <w:rFonts w:eastAsia="Times New Roman" w:cs="Times New Roman"/>
          <w:color w:val="auto"/>
          <w:lang w:val="es-ES" w:eastAsia="es-ES"/>
        </w:rPr>
        <w:t>Por tales consideraciones, toda vez que el Sujeto Obligado incumplió con dicho principio, al no entregar la información específicamente de todos los servidores públicos adscritos al Sujeto Obligado, consistente en</w:t>
      </w:r>
      <w:r w:rsidRPr="00A93267">
        <w:rPr>
          <w:rFonts w:eastAsia="Times New Roman" w:cs="Tahoma"/>
          <w:iCs/>
          <w:color w:val="auto"/>
          <w:lang w:val="es-ES" w:eastAsia="es-ES"/>
        </w:rPr>
        <w:t xml:space="preserve"> </w:t>
      </w:r>
      <w:r w:rsidRPr="00A93267">
        <w:rPr>
          <w:rFonts w:eastAsia="Calibri" w:cs="Tahoma"/>
          <w:iCs/>
          <w:lang w:eastAsia="es-ES_tradnl"/>
        </w:rPr>
        <w:t>el nombre, cargo, nivel o rango, área de adscripción, sueldo y profesión</w:t>
      </w:r>
      <w:r w:rsidR="00C21310" w:rsidRPr="00A93267">
        <w:rPr>
          <w:rFonts w:eastAsia="Calibri" w:cs="Tahoma"/>
          <w:iCs/>
          <w:lang w:eastAsia="es-ES_tradnl"/>
        </w:rPr>
        <w:t xml:space="preserve"> (dicho dato sobre mandos medios y superiores)</w:t>
      </w:r>
      <w:r w:rsidRPr="00A93267">
        <w:rPr>
          <w:rFonts w:eastAsia="Calibri" w:cs="Tahoma"/>
          <w:iCs/>
          <w:lang w:eastAsia="es-ES_tradnl"/>
        </w:rPr>
        <w:t xml:space="preserve">, lo cual da como resultado que el agravio </w:t>
      </w:r>
      <w:r w:rsidRPr="00A93267">
        <w:rPr>
          <w:rFonts w:eastAsia="Times New Roman" w:cs="Tahoma"/>
          <w:iCs/>
          <w:color w:val="auto"/>
          <w:lang w:val="es-ES" w:eastAsia="es-ES"/>
        </w:rPr>
        <w:t>resulte</w:t>
      </w:r>
      <w:r w:rsidRPr="00A93267">
        <w:rPr>
          <w:rFonts w:eastAsia="Times New Roman" w:cs="Tahoma"/>
          <w:b/>
          <w:bCs/>
          <w:iCs/>
          <w:color w:val="auto"/>
          <w:lang w:val="es-ES" w:eastAsia="es-ES"/>
        </w:rPr>
        <w:t xml:space="preserve"> FUNDADO</w:t>
      </w:r>
      <w:r w:rsidRPr="00A93267">
        <w:rPr>
          <w:rFonts w:eastAsia="Times New Roman" w:cs="Tahoma"/>
          <w:iCs/>
          <w:color w:val="auto"/>
          <w:lang w:val="es-ES" w:eastAsia="es-ES"/>
        </w:rPr>
        <w:t xml:space="preserve">; pues inclusive el Sujeto Obligado incumplió con lo establecido en </w:t>
      </w:r>
      <w:r w:rsidRPr="00A93267">
        <w:rPr>
          <w:rFonts w:eastAsia="Times New Roman" w:cs="Tahoma"/>
          <w:iCs/>
          <w:color w:val="auto"/>
          <w:lang w:val="es-ES" w:eastAsia="es-ES"/>
        </w:rPr>
        <w:lastRenderedPageBreak/>
        <w:t>el artículo 161 de la Ley de Transparencia y Acceso a la Información Pública del Estado de México y Municipios, al no precisar la fuente, el lugar y la forma de acceder a la información peticionada.</w:t>
      </w:r>
    </w:p>
    <w:p w14:paraId="43AE2B8B" w14:textId="77777777" w:rsidR="00B80CBC" w:rsidRPr="00A93267" w:rsidRDefault="00B80CBC" w:rsidP="008976D2">
      <w:pPr>
        <w:spacing w:after="0" w:line="360" w:lineRule="auto"/>
        <w:contextualSpacing/>
        <w:rPr>
          <w:rFonts w:eastAsia="Times New Roman" w:cs="Arial"/>
          <w:color w:val="auto"/>
          <w:lang w:eastAsia="es-ES"/>
        </w:rPr>
      </w:pPr>
    </w:p>
    <w:p w14:paraId="0D411FFF" w14:textId="56DFD99D" w:rsidR="00C21310" w:rsidRPr="00A93267" w:rsidRDefault="00C21310" w:rsidP="008976D2">
      <w:pPr>
        <w:spacing w:after="0" w:line="360" w:lineRule="auto"/>
        <w:rPr>
          <w:rFonts w:eastAsia="Times New Roman" w:cs="Tahoma"/>
          <w:color w:val="auto"/>
          <w:lang w:eastAsia="es-ES"/>
        </w:rPr>
      </w:pPr>
      <w:r w:rsidRPr="00A93267">
        <w:rPr>
          <w:rFonts w:eastAsia="Times New Roman" w:cs="Arial"/>
          <w:color w:val="auto"/>
          <w:lang w:eastAsia="es-ES"/>
        </w:rPr>
        <w:t xml:space="preserve">Ahora bien, respecto a la profesión del personal operativo de la Secretaría de Movilidad, el Sujeto Obligado precisó que ponía a disposición del Recurrente, el comprobante de estudios de dichos trabajadores, previo </w:t>
      </w:r>
      <w:r w:rsidRPr="00A93267">
        <w:rPr>
          <w:rFonts w:eastAsia="Calibri" w:cs="Tahoma"/>
          <w:bCs/>
          <w:iCs/>
          <w:color w:val="auto"/>
          <w:szCs w:val="24"/>
          <w:lang w:val="es-ES"/>
        </w:rPr>
        <w:t xml:space="preserve">pago de derechos, por escaneo y digitalización; por lo que, el ahora Recurrente debía </w:t>
      </w:r>
      <w:r w:rsidRPr="00A93267">
        <w:rPr>
          <w:rFonts w:eastAsia="Times New Roman" w:cs="Tahoma"/>
          <w:color w:val="auto"/>
          <w:lang w:eastAsia="es-ES"/>
        </w:rPr>
        <w:t>realizar el pago aproximado por la cantidad de mil doscientos veintiocho pesos, por la digitalización de seiscientas trece fojas.</w:t>
      </w:r>
    </w:p>
    <w:p w14:paraId="22AA15B2" w14:textId="09FBC749" w:rsidR="00C21310" w:rsidRPr="00A93267" w:rsidRDefault="00C21310" w:rsidP="008976D2">
      <w:pPr>
        <w:spacing w:after="0" w:line="360" w:lineRule="auto"/>
        <w:contextualSpacing/>
        <w:rPr>
          <w:rFonts w:eastAsia="Times New Roman" w:cs="Arial"/>
          <w:color w:val="auto"/>
          <w:lang w:eastAsia="es-ES"/>
        </w:rPr>
      </w:pPr>
    </w:p>
    <w:p w14:paraId="0A2CBA25" w14:textId="77777777" w:rsidR="00C21310" w:rsidRPr="00A93267" w:rsidRDefault="00C21310" w:rsidP="008976D2">
      <w:pPr>
        <w:spacing w:after="0" w:line="360" w:lineRule="auto"/>
        <w:ind w:right="-93"/>
        <w:rPr>
          <w:rFonts w:eastAsia="Times New Roman" w:cs="Tahoma"/>
          <w:color w:val="auto"/>
          <w:lang w:eastAsia="es-ES"/>
        </w:rPr>
      </w:pPr>
      <w:r w:rsidRPr="00A93267">
        <w:rPr>
          <w:rFonts w:eastAsia="Times New Roman" w:cs="Tahoma"/>
          <w:color w:val="auto"/>
          <w:lang w:eastAsia="es-ES"/>
        </w:rPr>
        <w:t xml:space="preserve">En ese contexto, resulta necesario traer a colación el artículo 148 del Código Financiero del Estado de México, que establece que para la expedición de documentos se pagarán 0.008 veces el valor diario de la unidad de medida por </w:t>
      </w:r>
      <w:r w:rsidRPr="00A93267">
        <w:rPr>
          <w:rFonts w:eastAsia="Times New Roman" w:cs="Tahoma"/>
          <w:b/>
          <w:color w:val="auto"/>
          <w:lang w:eastAsia="es-ES"/>
        </w:rPr>
        <w:t xml:space="preserve">el escaneo y digitalización de cada hoja relativa a los documentos que sean entregados por algún medio electrónico; </w:t>
      </w:r>
      <w:r w:rsidRPr="00A93267">
        <w:rPr>
          <w:rFonts w:eastAsia="Times New Roman" w:cs="Tahoma"/>
          <w:color w:val="auto"/>
          <w:lang w:eastAsia="es-ES"/>
        </w:rPr>
        <w:t>además, precisa que el Solicitante, en ejercicio del derecho a la información pública, podrá aportar el medio magnético o disco compacto, para que le sea proporcionada sin costo dicha información.</w:t>
      </w:r>
    </w:p>
    <w:p w14:paraId="70EDC90C" w14:textId="77777777" w:rsidR="00C21310" w:rsidRPr="00A93267" w:rsidRDefault="00C21310" w:rsidP="008976D2">
      <w:pPr>
        <w:spacing w:after="0" w:line="360" w:lineRule="auto"/>
        <w:ind w:right="-93"/>
        <w:rPr>
          <w:rFonts w:eastAsia="Times New Roman" w:cs="Tahoma"/>
          <w:color w:val="auto"/>
          <w:lang w:eastAsia="es-ES"/>
        </w:rPr>
      </w:pPr>
    </w:p>
    <w:p w14:paraId="6D46C69F" w14:textId="77777777" w:rsidR="00C21310" w:rsidRPr="00A93267" w:rsidRDefault="00C21310" w:rsidP="008976D2">
      <w:pPr>
        <w:spacing w:after="0" w:line="360" w:lineRule="auto"/>
        <w:ind w:right="-93"/>
        <w:rPr>
          <w:rFonts w:eastAsia="Times New Roman" w:cs="Tahoma"/>
          <w:color w:val="auto"/>
          <w:lang w:eastAsia="es-ES"/>
        </w:rPr>
      </w:pPr>
      <w:r w:rsidRPr="00A93267">
        <w:rPr>
          <w:rFonts w:eastAsia="Times New Roman" w:cs="Tahoma"/>
          <w:color w:val="auto"/>
          <w:lang w:eastAsia="es-ES"/>
        </w:rPr>
        <w:t>Por otra parte, el artículo 2°, fracción II, de la Ley de Transparencia y Acceso a la Información Pública del Estado de México y Municipios, establece como objetivo en materia de transparencia, el de proveer lo necesario para garantizar a toda persona el derecho de acceso a la información pública a través de procedimientos sencillos, expeditos, oportunos y gratuitos.</w:t>
      </w:r>
    </w:p>
    <w:p w14:paraId="4F3EA5F1" w14:textId="77777777" w:rsidR="00C21310" w:rsidRPr="00A93267" w:rsidRDefault="00C21310" w:rsidP="008976D2">
      <w:pPr>
        <w:spacing w:after="0" w:line="360" w:lineRule="auto"/>
        <w:ind w:right="-93"/>
        <w:rPr>
          <w:rFonts w:eastAsia="Times New Roman" w:cs="Tahoma"/>
          <w:color w:val="auto"/>
          <w:lang w:eastAsia="es-ES"/>
        </w:rPr>
      </w:pPr>
    </w:p>
    <w:p w14:paraId="3170E2D9" w14:textId="77777777" w:rsidR="00C21310" w:rsidRPr="00A93267" w:rsidRDefault="00C21310" w:rsidP="008976D2">
      <w:pPr>
        <w:spacing w:after="0" w:line="360" w:lineRule="auto"/>
        <w:ind w:right="-93"/>
        <w:rPr>
          <w:rFonts w:eastAsia="Times New Roman" w:cs="Tahoma"/>
          <w:color w:val="auto"/>
          <w:lang w:eastAsia="es-ES"/>
        </w:rPr>
      </w:pPr>
      <w:r w:rsidRPr="00A93267">
        <w:rPr>
          <w:rFonts w:eastAsia="Times New Roman" w:cs="Tahoma"/>
          <w:color w:val="auto"/>
          <w:lang w:eastAsia="es-ES"/>
        </w:rPr>
        <w:t xml:space="preserve">Asimismo, el artículo 9°, fracción III, de la Ley de la materia, precisa que el </w:t>
      </w:r>
      <w:r w:rsidRPr="00A93267">
        <w:rPr>
          <w:rFonts w:eastAsia="Times New Roman" w:cs="Tahoma"/>
          <w:b/>
          <w:color w:val="auto"/>
          <w:lang w:eastAsia="es-ES"/>
        </w:rPr>
        <w:t xml:space="preserve">Principio de Gratuidad </w:t>
      </w:r>
      <w:r w:rsidRPr="00A93267">
        <w:rPr>
          <w:rFonts w:eastAsia="Times New Roman" w:cs="Tahoma"/>
          <w:color w:val="auto"/>
          <w:lang w:eastAsia="es-ES"/>
        </w:rPr>
        <w:t>consiste en que el acceso a la información pública no generará costo alguno para los solicitantes y sólo podrá requerirse el cobro correspondiente a la modalidad de reproducción y entrega solicitada.</w:t>
      </w:r>
    </w:p>
    <w:p w14:paraId="52BB5F92" w14:textId="77777777" w:rsidR="00C21310" w:rsidRPr="00A93267" w:rsidRDefault="00C21310" w:rsidP="008976D2">
      <w:pPr>
        <w:spacing w:after="0" w:line="360" w:lineRule="auto"/>
        <w:ind w:right="-93"/>
        <w:rPr>
          <w:rFonts w:eastAsia="Times New Roman" w:cs="Tahoma"/>
          <w:color w:val="auto"/>
          <w:lang w:eastAsia="es-ES"/>
        </w:rPr>
      </w:pPr>
    </w:p>
    <w:p w14:paraId="794E3B7A" w14:textId="77777777" w:rsidR="00C21310" w:rsidRPr="00A93267" w:rsidRDefault="00C21310" w:rsidP="008976D2">
      <w:pPr>
        <w:spacing w:after="0" w:line="360" w:lineRule="auto"/>
        <w:ind w:right="-93"/>
        <w:rPr>
          <w:rFonts w:eastAsia="Times New Roman" w:cs="Tahoma"/>
          <w:color w:val="auto"/>
          <w:lang w:eastAsia="es-ES"/>
        </w:rPr>
      </w:pPr>
      <w:r w:rsidRPr="00A93267">
        <w:rPr>
          <w:rFonts w:eastAsia="Times New Roman" w:cs="Tahoma"/>
          <w:color w:val="auto"/>
          <w:lang w:eastAsia="es-ES"/>
        </w:rPr>
        <w:lastRenderedPageBreak/>
        <w:t xml:space="preserve">En ese orden de ideas, los artículos 17 y 150, del ordenamiento jurídico referido, prevén que la búsqueda y acceso a la información </w:t>
      </w:r>
      <w:r w:rsidRPr="00A93267">
        <w:rPr>
          <w:rFonts w:eastAsia="Times New Roman" w:cs="Tahoma"/>
          <w:b/>
          <w:color w:val="auto"/>
          <w:lang w:eastAsia="es-ES"/>
        </w:rPr>
        <w:t>es gratuita</w:t>
      </w:r>
      <w:r w:rsidRPr="00A93267">
        <w:rPr>
          <w:rFonts w:eastAsia="Times New Roman" w:cs="Tahoma"/>
          <w:color w:val="auto"/>
          <w:lang w:eastAsia="es-ES"/>
        </w:rPr>
        <w:t xml:space="preserve"> y sólo se cubrirán en su caso, los gastos de reproducción por la modalidad de entrega solicitada o por el envío, de conformidad con los derechos, productos y aprovechamientos establecidos en la legislación aplicable; además,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ya que con la información proporcionada por medio de las políticas de transparencia, los ciudadanos son participes de las acciones de gobierno, lo que favorece la rendición de cuentas.</w:t>
      </w:r>
    </w:p>
    <w:p w14:paraId="494CB68C" w14:textId="77777777" w:rsidR="00C21310" w:rsidRPr="00A93267" w:rsidRDefault="00C21310" w:rsidP="008976D2">
      <w:pPr>
        <w:spacing w:after="0" w:line="360" w:lineRule="auto"/>
        <w:ind w:right="-93"/>
        <w:rPr>
          <w:rFonts w:eastAsia="Times New Roman" w:cs="Tahoma"/>
          <w:color w:val="auto"/>
          <w:lang w:eastAsia="es-ES"/>
        </w:rPr>
      </w:pPr>
    </w:p>
    <w:p w14:paraId="1F04032F" w14:textId="77777777" w:rsidR="00C21310" w:rsidRPr="00A93267" w:rsidRDefault="00C21310" w:rsidP="008976D2">
      <w:pPr>
        <w:spacing w:after="0" w:line="360" w:lineRule="auto"/>
        <w:rPr>
          <w:rFonts w:eastAsia="Times New Roman" w:cs="Tahoma"/>
          <w:color w:val="auto"/>
          <w:lang w:eastAsia="es-ES"/>
        </w:rPr>
      </w:pPr>
      <w:r w:rsidRPr="00A93267">
        <w:rPr>
          <w:rFonts w:eastAsia="Times New Roman" w:cs="Tahoma"/>
          <w:color w:val="auto"/>
          <w:lang w:eastAsia="es-ES"/>
        </w:rPr>
        <w:t xml:space="preserve">En ese orden de ideas, el artículo 174 de la Ley de la materia, establece que en los casos de existir costos para obtener la información, deberán cubrirse de manera previa y nunca deberán ser superiores a la suma de </w:t>
      </w:r>
      <w:r w:rsidRPr="00A93267">
        <w:rPr>
          <w:rFonts w:eastAsia="Times New Roman" w:cs="Tahoma"/>
          <w:b/>
          <w:color w:val="auto"/>
          <w:lang w:eastAsia="es-ES"/>
        </w:rPr>
        <w:t>los costos de los materiales utilizados, envío y certificación, en su caso;</w:t>
      </w:r>
      <w:r w:rsidRPr="00A93267">
        <w:rPr>
          <w:rFonts w:eastAsia="Times New Roman" w:cs="Tahoma"/>
          <w:color w:val="auto"/>
          <w:lang w:eastAsia="es-ES"/>
        </w:rPr>
        <w:t xml:space="preserve"> además, que dichos montos deberán permitir o facilitar el ejercicio del derecho de acceso a la información.</w:t>
      </w:r>
    </w:p>
    <w:p w14:paraId="77FAF23F" w14:textId="77777777" w:rsidR="00C21310" w:rsidRPr="00A93267" w:rsidRDefault="00C21310" w:rsidP="008976D2">
      <w:pPr>
        <w:spacing w:after="0" w:line="360" w:lineRule="auto"/>
        <w:rPr>
          <w:rFonts w:eastAsia="Times New Roman" w:cs="Tahoma"/>
          <w:color w:val="auto"/>
          <w:lang w:eastAsia="es-ES"/>
        </w:rPr>
      </w:pPr>
    </w:p>
    <w:p w14:paraId="712C425C" w14:textId="77777777" w:rsidR="00C21310" w:rsidRPr="00A93267" w:rsidRDefault="00C21310" w:rsidP="008976D2">
      <w:pPr>
        <w:spacing w:after="0" w:line="360" w:lineRule="auto"/>
        <w:rPr>
          <w:rFonts w:eastAsia="Times New Roman" w:cs="Tahoma"/>
          <w:color w:val="auto"/>
          <w:lang w:eastAsia="es-ES"/>
        </w:rPr>
      </w:pPr>
      <w:r w:rsidRPr="00A93267">
        <w:rPr>
          <w:rFonts w:eastAsia="Times New Roman" w:cs="Tahoma"/>
          <w:color w:val="auto"/>
          <w:lang w:eastAsia="es-ES"/>
        </w:rPr>
        <w:t xml:space="preserve">De tal manera, por regla general la entrega de la información solicitada en ejercicio del derecho de acceso a la información pública, deberá ser en completa congruencia con el Principio de Gratuidad y solamente en casos excepcionales, se procederá al cobro para la entrega de la información, lo cual ocurrirá en caso de que se tenga que generar un gasto por la reproducción, por la modalidad de entrega solicitada o por su envió; sin embargo, en el caso concreto no se estima que se actualice ninguno de esos supuestos, pues no debe perderse de vista que el Solicitante requirió la información a través del Sistema de Acceso a la Información Mexiquense (SAIMEX), por lo que, ello únicamente implica la digitalización o escaneo de la información a entregar, lo cual no conlleva la utilización de materiales que generen un costo para el Sujeto Obligado, como es el caso, de la emisión de copias (simples o certificadas); así tampoco se </w:t>
      </w:r>
      <w:r w:rsidRPr="00A93267">
        <w:rPr>
          <w:rFonts w:eastAsia="Times New Roman" w:cs="Tahoma"/>
          <w:color w:val="auto"/>
          <w:lang w:eastAsia="es-ES"/>
        </w:rPr>
        <w:lastRenderedPageBreak/>
        <w:t>genera un gasto por el envío de la información, ya que una de las finalidades de la utilización del sistema de referencia es evitar la generación de gastos, tanto para los solicitantes como para los sujetos obligados, pues se trata de un sistema electrónico que para su acceso no se necesita recurso alguno, sino solamente la conexión a un sistema de Internet.</w:t>
      </w:r>
    </w:p>
    <w:p w14:paraId="49FABDC8" w14:textId="77777777" w:rsidR="00C21310" w:rsidRPr="00A93267" w:rsidRDefault="00C21310" w:rsidP="008976D2">
      <w:pPr>
        <w:spacing w:after="0" w:line="360" w:lineRule="auto"/>
        <w:rPr>
          <w:rFonts w:eastAsia="Times New Roman" w:cs="Tahoma"/>
          <w:color w:val="auto"/>
          <w:lang w:eastAsia="es-ES"/>
        </w:rPr>
      </w:pPr>
    </w:p>
    <w:p w14:paraId="334F6CF6" w14:textId="77777777" w:rsidR="00C21310" w:rsidRPr="00A93267" w:rsidRDefault="00C21310" w:rsidP="008976D2">
      <w:pPr>
        <w:spacing w:after="0" w:line="360" w:lineRule="auto"/>
        <w:rPr>
          <w:rFonts w:eastAsia="Times New Roman" w:cs="Tahoma"/>
          <w:color w:val="auto"/>
          <w:lang w:eastAsia="es-ES"/>
        </w:rPr>
      </w:pPr>
      <w:r w:rsidRPr="00A93267">
        <w:rPr>
          <w:rFonts w:eastAsia="Times New Roman" w:cs="Tahoma"/>
          <w:color w:val="auto"/>
          <w:lang w:eastAsia="es-ES"/>
        </w:rPr>
        <w:t>Lo anterior, toma sustento en el hecho de que en el caso de la digitalización, no se está realizando una copia física de los documentos, sino electrónica, misma que se puede realizar con herramientas tecnológicas (Multifuncional, escáner, cámara, entre otros) y programas de uso sencillo, mismos con los que cuenta ya el Sujeto Obligado, pues entregó parte de la información de manera electrónica; por lo que, el escaneo se trata de un proceso mecánico, realizado por los servidores públicos, para que se pueda entregar la información, en cualquier medio magnético, como puede ser, correo electrónico, liga electrónica, algún medio magnético de almacenamiento o bien, en el Sistema de Acceso a la Información Mexiquense (SAIMEX).</w:t>
      </w:r>
    </w:p>
    <w:p w14:paraId="0913E1E7" w14:textId="77777777" w:rsidR="00C21310" w:rsidRPr="00A93267" w:rsidRDefault="00C21310" w:rsidP="008976D2">
      <w:pPr>
        <w:spacing w:after="0" w:line="360" w:lineRule="auto"/>
        <w:rPr>
          <w:rFonts w:eastAsia="Times New Roman" w:cs="Tahoma"/>
          <w:color w:val="auto"/>
          <w:lang w:eastAsia="es-ES"/>
        </w:rPr>
      </w:pPr>
    </w:p>
    <w:p w14:paraId="5ACE07CC" w14:textId="77777777" w:rsidR="00C21310" w:rsidRPr="00A93267" w:rsidRDefault="00C21310" w:rsidP="008976D2">
      <w:pPr>
        <w:spacing w:after="0" w:line="360" w:lineRule="auto"/>
        <w:rPr>
          <w:rFonts w:eastAsia="Times New Roman" w:cs="Tahoma"/>
          <w:color w:val="auto"/>
          <w:lang w:eastAsia="es-ES"/>
        </w:rPr>
      </w:pPr>
      <w:r w:rsidRPr="00A93267">
        <w:rPr>
          <w:rFonts w:eastAsia="Times New Roman" w:cs="Tahoma"/>
          <w:color w:val="auto"/>
          <w:lang w:eastAsia="es-ES"/>
        </w:rPr>
        <w:t>En ese contexto, si bien el Código Financiero del Estado de México, permite a los sujetos obligados cobrar por la digitalización y escaneo de la información que obre en sus archivos, también lo es que deben guiarse por el Principio de Gratuidad y solo excepcionalmente podrán cobrar, cuando se utilicen materiales para su reproducción, lo cual no acontece con el escaneo y la digitalización de la información.</w:t>
      </w:r>
    </w:p>
    <w:p w14:paraId="2D0E15BF" w14:textId="77777777" w:rsidR="00C21310" w:rsidRPr="00A93267" w:rsidRDefault="00C21310" w:rsidP="008976D2">
      <w:pPr>
        <w:spacing w:after="0" w:line="360" w:lineRule="auto"/>
        <w:rPr>
          <w:rFonts w:eastAsia="Times New Roman" w:cs="Tahoma"/>
          <w:color w:val="auto"/>
          <w:lang w:eastAsia="es-ES"/>
        </w:rPr>
      </w:pPr>
    </w:p>
    <w:p w14:paraId="106504CD" w14:textId="77777777" w:rsidR="00C21310" w:rsidRPr="00A93267" w:rsidRDefault="00C21310" w:rsidP="008976D2">
      <w:pPr>
        <w:spacing w:after="0" w:line="360" w:lineRule="auto"/>
        <w:ind w:right="-93"/>
        <w:rPr>
          <w:rFonts w:eastAsia="Times New Roman" w:cs="Tahoma"/>
          <w:color w:val="auto"/>
          <w:lang w:eastAsia="es-ES"/>
        </w:rPr>
      </w:pPr>
      <w:r w:rsidRPr="00A93267">
        <w:rPr>
          <w:rFonts w:eastAsia="Times New Roman" w:cs="Tahoma"/>
          <w:color w:val="auto"/>
          <w:lang w:eastAsia="es-ES"/>
        </w:rPr>
        <w:t xml:space="preserve">De tales circunstancias, se considera que en el presente caso </w:t>
      </w:r>
      <w:r w:rsidRPr="00A93267">
        <w:rPr>
          <w:rFonts w:eastAsia="Times New Roman" w:cs="Tahoma"/>
          <w:b/>
          <w:color w:val="auto"/>
          <w:lang w:eastAsia="es-ES"/>
        </w:rPr>
        <w:t>no procede un cobro por la digitalización de la información</w:t>
      </w:r>
      <w:r w:rsidRPr="00A93267">
        <w:rPr>
          <w:rFonts w:eastAsia="Times New Roman" w:cs="Tahoma"/>
          <w:color w:val="auto"/>
          <w:lang w:eastAsia="es-ES"/>
        </w:rPr>
        <w:t>, toda vez que no implica la utilización de materiales, tales como papel o tinta, sino únicamente la utilización de un equipo tecnológico para llevar a cabo la entrega de la misma.</w:t>
      </w:r>
    </w:p>
    <w:p w14:paraId="5F3E5DE0" w14:textId="77777777" w:rsidR="00C21310" w:rsidRPr="00A93267" w:rsidRDefault="00C21310" w:rsidP="008976D2">
      <w:pPr>
        <w:spacing w:after="0" w:line="360" w:lineRule="auto"/>
        <w:contextualSpacing/>
        <w:rPr>
          <w:rFonts w:eastAsia="Times New Roman" w:cs="Arial"/>
          <w:color w:val="auto"/>
          <w:lang w:eastAsia="es-ES"/>
        </w:rPr>
      </w:pPr>
    </w:p>
    <w:p w14:paraId="381ED52D" w14:textId="77777777" w:rsidR="00E3492B" w:rsidRPr="00A93267" w:rsidRDefault="00C21310" w:rsidP="008976D2">
      <w:pPr>
        <w:spacing w:after="0" w:line="360" w:lineRule="auto"/>
      </w:pPr>
      <w:r w:rsidRPr="00A93267">
        <w:rPr>
          <w:rFonts w:eastAsia="Times New Roman" w:cs="Arial"/>
          <w:color w:val="auto"/>
          <w:lang w:eastAsia="es-ES"/>
        </w:rPr>
        <w:t xml:space="preserve">Conforme a lo anterior, se logra vislumbrar que para atender el requerimiento de información, el Sujeto Obligado, deberá </w:t>
      </w:r>
      <w:r w:rsidRPr="00A93267">
        <w:t>realizar una búsqueda exhaustiva y razonable</w:t>
      </w:r>
      <w:r w:rsidR="00E3492B" w:rsidRPr="00A93267">
        <w:t xml:space="preserve">, en términos del </w:t>
      </w:r>
      <w:r w:rsidR="00E3492B" w:rsidRPr="00A93267">
        <w:lastRenderedPageBreak/>
        <w:t>artículo 162 de la Ley de Transparencia y Acceso a la Información Pública del Estado de México y Municipios,</w:t>
      </w:r>
      <w:r w:rsidRPr="00A93267">
        <w:t xml:space="preserve"> en todas las áreas que estime pertinentes, de entre las cuales no podrá descartar a la Subdirección de Administración del Capital Humano, a efectos de proporcionar</w:t>
      </w:r>
      <w:r w:rsidR="00E3492B" w:rsidRPr="00A93267">
        <w:t xml:space="preserve"> respecto de todos los servidores públicos que estaban adscritos a la Secretaría de Movilidad, al diez de octubre de dos mil veintidós, los documentos donde conste, lo siguiente:</w:t>
      </w:r>
    </w:p>
    <w:p w14:paraId="17B9FDCD" w14:textId="77777777" w:rsidR="00E3492B" w:rsidRPr="00A93267" w:rsidRDefault="00E3492B" w:rsidP="008976D2">
      <w:pPr>
        <w:spacing w:after="0" w:line="360" w:lineRule="auto"/>
      </w:pPr>
    </w:p>
    <w:p w14:paraId="554A705F" w14:textId="6F3E6D4E" w:rsidR="00E3492B" w:rsidRPr="00A93267" w:rsidRDefault="00E3492B" w:rsidP="008976D2">
      <w:pPr>
        <w:pStyle w:val="Prrafodelista"/>
        <w:numPr>
          <w:ilvl w:val="0"/>
          <w:numId w:val="10"/>
        </w:numPr>
        <w:spacing w:line="360" w:lineRule="auto"/>
        <w:rPr>
          <w:rFonts w:ascii="Palatino Linotype" w:hAnsi="Palatino Linotype"/>
        </w:rPr>
      </w:pPr>
      <w:r w:rsidRPr="00A93267">
        <w:rPr>
          <w:rFonts w:ascii="Palatino Linotype" w:hAnsi="Palatino Linotype"/>
        </w:rPr>
        <w:t>Nombre completo;</w:t>
      </w:r>
    </w:p>
    <w:p w14:paraId="4F5778E2" w14:textId="228DD24A" w:rsidR="00E3492B" w:rsidRPr="00A93267" w:rsidRDefault="00E3492B" w:rsidP="008976D2">
      <w:pPr>
        <w:pStyle w:val="Prrafodelista"/>
        <w:numPr>
          <w:ilvl w:val="0"/>
          <w:numId w:val="10"/>
        </w:numPr>
        <w:spacing w:line="360" w:lineRule="auto"/>
        <w:rPr>
          <w:rFonts w:ascii="Palatino Linotype" w:hAnsi="Palatino Linotype"/>
        </w:rPr>
      </w:pPr>
      <w:r w:rsidRPr="00A93267">
        <w:rPr>
          <w:rFonts w:ascii="Palatino Linotype" w:hAnsi="Palatino Linotype"/>
        </w:rPr>
        <w:t>Cargo, nivel o rango y área de adscripción;</w:t>
      </w:r>
    </w:p>
    <w:p w14:paraId="4BCF120A" w14:textId="2FF050EF" w:rsidR="00E3492B" w:rsidRPr="00A93267" w:rsidRDefault="00E3492B" w:rsidP="008976D2">
      <w:pPr>
        <w:pStyle w:val="Prrafodelista"/>
        <w:numPr>
          <w:ilvl w:val="0"/>
          <w:numId w:val="10"/>
        </w:numPr>
        <w:spacing w:line="360" w:lineRule="auto"/>
        <w:rPr>
          <w:rFonts w:ascii="Palatino Linotype" w:hAnsi="Palatino Linotype"/>
        </w:rPr>
      </w:pPr>
      <w:r w:rsidRPr="00A93267">
        <w:rPr>
          <w:rFonts w:ascii="Palatino Linotype" w:hAnsi="Palatino Linotype"/>
        </w:rPr>
        <w:t>Sueldos y prestaciones pagadas en la primera y segunda quincena de septiembre de dos mil veintidós (últimas quincenas erogadas a la fecha de la solicitud), y</w:t>
      </w:r>
    </w:p>
    <w:p w14:paraId="315DBD96" w14:textId="40B4E8E1" w:rsidR="00E3492B" w:rsidRPr="00A93267" w:rsidRDefault="00E3492B" w:rsidP="008976D2">
      <w:pPr>
        <w:pStyle w:val="Prrafodelista"/>
        <w:numPr>
          <w:ilvl w:val="0"/>
          <w:numId w:val="10"/>
        </w:numPr>
        <w:spacing w:line="360" w:lineRule="auto"/>
        <w:rPr>
          <w:rFonts w:ascii="Palatino Linotype" w:hAnsi="Palatino Linotype"/>
        </w:rPr>
      </w:pPr>
      <w:r w:rsidRPr="00A93267">
        <w:rPr>
          <w:rFonts w:ascii="Palatino Linotype" w:hAnsi="Palatino Linotype"/>
        </w:rPr>
        <w:t>Profesión.</w:t>
      </w:r>
    </w:p>
    <w:p w14:paraId="5994E8D4" w14:textId="77777777" w:rsidR="00E3492B" w:rsidRPr="00A93267" w:rsidRDefault="00E3492B" w:rsidP="008976D2">
      <w:pPr>
        <w:spacing w:after="0" w:line="360" w:lineRule="auto"/>
      </w:pPr>
    </w:p>
    <w:p w14:paraId="6806C7CD" w14:textId="4ADAEC03" w:rsidR="00E3492B" w:rsidRPr="00A93267" w:rsidRDefault="00E3492B" w:rsidP="008976D2">
      <w:pPr>
        <w:spacing w:after="0" w:line="360" w:lineRule="auto"/>
      </w:pPr>
      <w:r w:rsidRPr="00A93267">
        <w:t>Lo anterior, resulta de dicha manera toda vez que los datos solicitados, se tratan de información pública de oficio, de conformidad con el artículo 92, fracciones VII, VIII y XXI, de la Ley de Transparencia y Acceso a la Información Pública del Estado de México y Municipios; además, que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precisan que los sujetos obligados deben publicar los datos requeridos por el Particular, tal como se muestra en los siguientes formatos:</w:t>
      </w:r>
    </w:p>
    <w:p w14:paraId="4B9CFDFD" w14:textId="77777777" w:rsidR="00E3492B" w:rsidRPr="00A93267" w:rsidRDefault="00E3492B" w:rsidP="008976D2">
      <w:pPr>
        <w:spacing w:after="0" w:line="360" w:lineRule="auto"/>
      </w:pPr>
    </w:p>
    <w:p w14:paraId="60C8B703" w14:textId="76786379" w:rsidR="00E3492B" w:rsidRPr="00A93267" w:rsidRDefault="00E3492B" w:rsidP="008976D2">
      <w:pPr>
        <w:spacing w:after="0" w:line="360" w:lineRule="auto"/>
      </w:pPr>
      <w:r w:rsidRPr="00A93267">
        <w:rPr>
          <w:noProof/>
          <w:lang w:eastAsia="es-MX"/>
        </w:rPr>
        <w:drawing>
          <wp:inline distT="0" distB="0" distL="0" distR="0" wp14:anchorId="038D1B90" wp14:editId="7B6D45E8">
            <wp:extent cx="5781675" cy="108692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b="72503"/>
                    <a:stretch/>
                  </pic:blipFill>
                  <pic:spPr bwMode="auto">
                    <a:xfrm>
                      <a:off x="0" y="0"/>
                      <a:ext cx="5782482" cy="1087080"/>
                    </a:xfrm>
                    <a:prstGeom prst="rect">
                      <a:avLst/>
                    </a:prstGeom>
                    <a:ln>
                      <a:noFill/>
                    </a:ln>
                    <a:extLst>
                      <a:ext uri="{53640926-AAD7-44D8-BBD7-CCE9431645EC}">
                        <a14:shadowObscured xmlns:a14="http://schemas.microsoft.com/office/drawing/2010/main"/>
                      </a:ext>
                    </a:extLst>
                  </pic:spPr>
                </pic:pic>
              </a:graphicData>
            </a:graphic>
          </wp:inline>
        </w:drawing>
      </w:r>
    </w:p>
    <w:p w14:paraId="1C98CE37" w14:textId="778A639D" w:rsidR="00E3492B" w:rsidRPr="00A93267" w:rsidRDefault="00E3492B" w:rsidP="008976D2">
      <w:pPr>
        <w:spacing w:after="0" w:line="360" w:lineRule="auto"/>
      </w:pPr>
      <w:r w:rsidRPr="00A93267">
        <w:rPr>
          <w:noProof/>
          <w:lang w:eastAsia="es-MX"/>
        </w:rPr>
        <w:lastRenderedPageBreak/>
        <w:drawing>
          <wp:inline distT="0" distB="0" distL="0" distR="0" wp14:anchorId="131C6F9F" wp14:editId="3E44A50C">
            <wp:extent cx="5781675" cy="2779683"/>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29679"/>
                    <a:stretch/>
                  </pic:blipFill>
                  <pic:spPr bwMode="auto">
                    <a:xfrm>
                      <a:off x="0" y="0"/>
                      <a:ext cx="5782482" cy="2780071"/>
                    </a:xfrm>
                    <a:prstGeom prst="rect">
                      <a:avLst/>
                    </a:prstGeom>
                    <a:ln>
                      <a:noFill/>
                    </a:ln>
                    <a:extLst>
                      <a:ext uri="{53640926-AAD7-44D8-BBD7-CCE9431645EC}">
                        <a14:shadowObscured xmlns:a14="http://schemas.microsoft.com/office/drawing/2010/main"/>
                      </a:ext>
                    </a:extLst>
                  </pic:spPr>
                </pic:pic>
              </a:graphicData>
            </a:graphic>
          </wp:inline>
        </w:drawing>
      </w:r>
    </w:p>
    <w:p w14:paraId="71B65511" w14:textId="77777777" w:rsidR="00E3492B" w:rsidRPr="00A93267" w:rsidRDefault="00E3492B" w:rsidP="008976D2">
      <w:pPr>
        <w:spacing w:after="0" w:line="360" w:lineRule="auto"/>
      </w:pPr>
    </w:p>
    <w:p w14:paraId="7AEA722C" w14:textId="7B4657BC" w:rsidR="00E3492B" w:rsidRPr="00A93267" w:rsidRDefault="00E3492B" w:rsidP="008976D2">
      <w:pPr>
        <w:spacing w:after="0" w:line="360" w:lineRule="auto"/>
      </w:pPr>
      <w:r w:rsidRPr="00A93267">
        <w:rPr>
          <w:noProof/>
          <w:lang w:eastAsia="es-MX"/>
        </w:rPr>
        <w:drawing>
          <wp:inline distT="0" distB="0" distL="0" distR="0" wp14:anchorId="54A0B477" wp14:editId="34382C19">
            <wp:extent cx="5677692" cy="2429214"/>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77692" cy="2429214"/>
                    </a:xfrm>
                    <a:prstGeom prst="rect">
                      <a:avLst/>
                    </a:prstGeom>
                  </pic:spPr>
                </pic:pic>
              </a:graphicData>
            </a:graphic>
          </wp:inline>
        </w:drawing>
      </w:r>
    </w:p>
    <w:p w14:paraId="2A383898" w14:textId="77777777" w:rsidR="00E3492B" w:rsidRPr="00A93267" w:rsidRDefault="00E3492B" w:rsidP="008976D2">
      <w:pPr>
        <w:spacing w:after="0" w:line="360" w:lineRule="auto"/>
      </w:pPr>
    </w:p>
    <w:p w14:paraId="62DD1B40" w14:textId="77802577" w:rsidR="00E3492B" w:rsidRPr="00A93267" w:rsidRDefault="00E3492B" w:rsidP="008976D2">
      <w:pPr>
        <w:spacing w:after="0" w:line="360" w:lineRule="auto"/>
        <w:rPr>
          <w:rFonts w:eastAsia="Calibri" w:cs="Arial"/>
        </w:rPr>
      </w:pPr>
      <w:r w:rsidRPr="00A93267">
        <w:t xml:space="preserve">Además, otro documento que pudiera contar con la información requerida sería el Formato Único de Movimientos de Personal, que contiene información consistente en el nombre, cargo, adscripción, escolaridad, percepciones y </w:t>
      </w:r>
      <w:r w:rsidR="000E1BBA" w:rsidRPr="00A93267">
        <w:t xml:space="preserve">deducciones, entre otras; asimismo, el currículum vitae y el comprobante de estudios, podrían ser documentos que den cuenta de la profesión, al contener la </w:t>
      </w:r>
      <w:r w:rsidR="000E1BBA" w:rsidRPr="00A93267">
        <w:rPr>
          <w:rFonts w:eastAsia="Calibri" w:cs="Arial"/>
        </w:rPr>
        <w:t>trayectoria académica y profesional de los trabajadores gubernamentales.</w:t>
      </w:r>
    </w:p>
    <w:p w14:paraId="31D90281" w14:textId="39BE971F" w:rsidR="00482B41" w:rsidRPr="00A93267" w:rsidRDefault="000E1BBA" w:rsidP="008976D2">
      <w:pPr>
        <w:tabs>
          <w:tab w:val="left" w:pos="4962"/>
        </w:tabs>
        <w:spacing w:after="0" w:line="360" w:lineRule="auto"/>
        <w:contextualSpacing/>
        <w:rPr>
          <w:rFonts w:eastAsia="Calibri" w:cs="Tahoma"/>
        </w:rPr>
      </w:pPr>
      <w:r w:rsidRPr="00A93267">
        <w:rPr>
          <w:rFonts w:eastAsia="Times New Roman" w:cs="Times New Roman"/>
          <w:color w:val="auto"/>
          <w:lang w:eastAsia="es-ES"/>
        </w:rPr>
        <w:lastRenderedPageBreak/>
        <w:t>Por lo que, en el presente caso, deberá proporcionar los documentos donde conste la información solicitada; di</w:t>
      </w:r>
      <w:r w:rsidR="00482B41" w:rsidRPr="00A93267">
        <w:rPr>
          <w:rFonts w:eastAsia="Calibri" w:cs="Tahoma"/>
          <w:bCs/>
          <w:iCs/>
        </w:rPr>
        <w:t>cha situación toma sustento en</w:t>
      </w:r>
      <w:r w:rsidR="00482B41" w:rsidRPr="00A93267">
        <w:rPr>
          <w:rFonts w:eastAsia="Calibri" w:cs="Tahoma"/>
          <w:bCs/>
        </w:rPr>
        <w:t xml:space="preserve"> el</w:t>
      </w:r>
      <w:r w:rsidR="00482B41" w:rsidRPr="00A93267">
        <w:rPr>
          <w:rFonts w:eastAsia="Calibri" w:cs="Tahoma"/>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6D41E939" w14:textId="77777777" w:rsidR="00482B41" w:rsidRPr="00A93267" w:rsidRDefault="00482B41" w:rsidP="008976D2">
      <w:pPr>
        <w:spacing w:after="0" w:line="360" w:lineRule="auto"/>
        <w:contextualSpacing/>
        <w:rPr>
          <w:rFonts w:eastAsia="Calibri" w:cs="Tahoma"/>
          <w:bCs/>
          <w:iCs/>
        </w:rPr>
      </w:pPr>
    </w:p>
    <w:p w14:paraId="149D3229" w14:textId="77777777" w:rsidR="00482B41" w:rsidRPr="00A93267" w:rsidRDefault="00482B41" w:rsidP="008976D2">
      <w:pPr>
        <w:tabs>
          <w:tab w:val="left" w:pos="4962"/>
        </w:tabs>
        <w:spacing w:after="0" w:line="360" w:lineRule="auto"/>
        <w:contextualSpacing/>
        <w:rPr>
          <w:rFonts w:eastAsia="Calibri" w:cs="Tahoma"/>
        </w:rPr>
      </w:pPr>
      <w:r w:rsidRPr="00A93267">
        <w:rPr>
          <w:rFonts w:eastAsia="Calibri" w:cs="Tahoma"/>
        </w:rPr>
        <w:t xml:space="preserve">De esta manera, </w:t>
      </w:r>
      <w:r w:rsidRPr="00A93267">
        <w:rPr>
          <w:rFonts w:eastAsia="Calibri" w:cs="Tahoma"/>
          <w:szCs w:val="24"/>
        </w:rPr>
        <w:t xml:space="preserve">el derecho de acceso a la información pública se satisface en aquellos casos en que se entregue el soporte documental en el que conste la información solicitada, sin necesidad de elaborar documentos </w:t>
      </w:r>
      <w:r w:rsidRPr="00A93267">
        <w:rPr>
          <w:rFonts w:eastAsia="Calibri" w:cs="Tahoma"/>
          <w:i/>
        </w:rPr>
        <w:t>ad hoc</w:t>
      </w:r>
      <w:r w:rsidRPr="00A93267">
        <w:rPr>
          <w:rFonts w:eastAsia="Calibri" w:cs="Tahoma"/>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6D9A0B82" w14:textId="77777777" w:rsidR="00482B41" w:rsidRPr="00A93267" w:rsidRDefault="00482B41" w:rsidP="008976D2">
      <w:pPr>
        <w:tabs>
          <w:tab w:val="left" w:pos="4962"/>
        </w:tabs>
        <w:spacing w:after="0" w:line="360" w:lineRule="auto"/>
        <w:contextualSpacing/>
        <w:rPr>
          <w:rFonts w:eastAsia="Calibri" w:cs="Tahoma"/>
        </w:rPr>
      </w:pPr>
    </w:p>
    <w:p w14:paraId="44F00320" w14:textId="5F644A19" w:rsidR="00482B41" w:rsidRPr="00A93267" w:rsidRDefault="00482B41" w:rsidP="008976D2">
      <w:pPr>
        <w:spacing w:after="0" w:line="360" w:lineRule="auto"/>
        <w:contextualSpacing/>
        <w:rPr>
          <w:rFonts w:eastAsia="Calibri" w:cs="Tahoma"/>
          <w:lang w:eastAsia="es-MX"/>
        </w:rPr>
      </w:pPr>
      <w:r w:rsidRPr="00A93267">
        <w:rPr>
          <w:rFonts w:eastAsia="Calibri" w:cs="Tahoma"/>
          <w:lang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la </w:t>
      </w:r>
      <w:bookmarkStart w:id="1" w:name="_Hlk127302988"/>
      <w:r w:rsidR="00FC6610" w:rsidRPr="00A93267">
        <w:rPr>
          <w:rFonts w:eastAsia="Batang" w:cs="Tahoma"/>
          <w:bCs/>
          <w:color w:val="auto"/>
          <w:lang w:eastAsia="es-ES"/>
        </w:rPr>
        <w:t xml:space="preserve">Subdirección de Administración del </w:t>
      </w:r>
      <w:r w:rsidR="00FC6610" w:rsidRPr="00A93267">
        <w:t>Capital Humano</w:t>
      </w:r>
      <w:bookmarkEnd w:id="1"/>
      <w:r w:rsidRPr="00A93267">
        <w:rPr>
          <w:rFonts w:eastAsia="Calibri" w:cs="Tahoma"/>
          <w:lang w:eastAsia="es-MX"/>
        </w:rPr>
        <w:t xml:space="preserve">, deberá entregar </w:t>
      </w:r>
      <w:r w:rsidR="00FC6610" w:rsidRPr="00A93267">
        <w:rPr>
          <w:rFonts w:eastAsia="Calibri" w:cs="Tahoma"/>
          <w:lang w:eastAsia="es-MX"/>
        </w:rPr>
        <w:t xml:space="preserve">el documento que dé cuenta </w:t>
      </w:r>
      <w:r w:rsidR="000E1BBA" w:rsidRPr="00A93267">
        <w:rPr>
          <w:rFonts w:eastAsia="Calibri" w:cs="Tahoma"/>
          <w:lang w:eastAsia="es-MX"/>
        </w:rPr>
        <w:t>de los datos solicitados.</w:t>
      </w:r>
    </w:p>
    <w:p w14:paraId="29F07F0E" w14:textId="77777777" w:rsidR="008976D2" w:rsidRPr="00A93267" w:rsidRDefault="008976D2" w:rsidP="008976D2">
      <w:pPr>
        <w:spacing w:after="0" w:line="360" w:lineRule="auto"/>
        <w:contextualSpacing/>
        <w:rPr>
          <w:rFonts w:eastAsia="Calibri" w:cs="Tahoma"/>
          <w:lang w:eastAsia="es-MX"/>
        </w:rPr>
      </w:pPr>
    </w:p>
    <w:p w14:paraId="0A4711BC" w14:textId="1D63180B" w:rsidR="008976D2" w:rsidRPr="00A93267" w:rsidRDefault="008976D2" w:rsidP="008976D2">
      <w:pPr>
        <w:spacing w:after="0" w:line="360" w:lineRule="auto"/>
        <w:contextualSpacing/>
        <w:rPr>
          <w:rFonts w:eastAsia="Calibri" w:cs="Tahoma"/>
          <w:lang w:eastAsia="es-MX"/>
        </w:rPr>
      </w:pPr>
      <w:r w:rsidRPr="00A93267">
        <w:rPr>
          <w:rFonts w:eastAsia="Calibri" w:cs="Tahoma"/>
          <w:lang w:eastAsia="es-MX"/>
        </w:rPr>
        <w:t>Ahora bien, como se desprendió algunos servidores públicos no cuenta con alguna profesión; por lo que, en el caso, de que no cuente con dicho dato, al no ser un requisito para ocupar el cargo, deberá hacerlo del conocimiento del ahora Recurrente, en términos del artículo 19, párrafo segundo, de la Ley de Transparencia y Acceso a la Información Pública del Estado de México y Municipios.</w:t>
      </w:r>
    </w:p>
    <w:p w14:paraId="3DE6EECF" w14:textId="77777777" w:rsidR="000E1BBA" w:rsidRPr="00A93267" w:rsidRDefault="000E1BBA" w:rsidP="008976D2">
      <w:pPr>
        <w:spacing w:after="0" w:line="360" w:lineRule="auto"/>
        <w:contextualSpacing/>
        <w:rPr>
          <w:rFonts w:eastAsia="Calibri" w:cs="Tahoma"/>
          <w:lang w:eastAsia="es-MX"/>
        </w:rPr>
      </w:pPr>
    </w:p>
    <w:p w14:paraId="41F60909" w14:textId="77777777" w:rsidR="006D1E77" w:rsidRPr="00A93267" w:rsidRDefault="006D1E77" w:rsidP="008976D2">
      <w:pPr>
        <w:tabs>
          <w:tab w:val="left" w:pos="4962"/>
        </w:tabs>
        <w:spacing w:after="0" w:line="360" w:lineRule="auto"/>
      </w:pPr>
      <w:r w:rsidRPr="00A93267">
        <w:t>Ahora bien, cabe señalar que los documentos que den cuenta de lo solicitado, pudieran contener diversos datos, los cuales podrían ser considerados confidenciales, tales como:</w:t>
      </w:r>
    </w:p>
    <w:p w14:paraId="2FEB63DD" w14:textId="77777777" w:rsidR="006D1E77" w:rsidRPr="00A93267" w:rsidRDefault="006D1E77" w:rsidP="008976D2">
      <w:pPr>
        <w:numPr>
          <w:ilvl w:val="0"/>
          <w:numId w:val="11"/>
        </w:numPr>
        <w:spacing w:after="0" w:line="360" w:lineRule="auto"/>
        <w:contextualSpacing/>
        <w:rPr>
          <w:rFonts w:cs="Tahoma"/>
          <w:color w:val="auto"/>
        </w:rPr>
      </w:pPr>
      <w:r w:rsidRPr="00A93267">
        <w:rPr>
          <w:rFonts w:cs="Tahoma"/>
        </w:rPr>
        <w:lastRenderedPageBreak/>
        <w:t>Clave Única de Registro de Población;</w:t>
      </w:r>
    </w:p>
    <w:p w14:paraId="7462E1A2" w14:textId="77777777" w:rsidR="006D1E77" w:rsidRPr="00A93267" w:rsidRDefault="006D1E77" w:rsidP="008976D2">
      <w:pPr>
        <w:numPr>
          <w:ilvl w:val="0"/>
          <w:numId w:val="11"/>
        </w:numPr>
        <w:spacing w:after="0" w:line="360" w:lineRule="auto"/>
        <w:contextualSpacing/>
        <w:rPr>
          <w:rFonts w:cs="Tahoma"/>
        </w:rPr>
      </w:pPr>
      <w:r w:rsidRPr="00A93267">
        <w:rPr>
          <w:rFonts w:cs="Tahoma"/>
        </w:rPr>
        <w:t>Matrícula o número de cuenta, número de expediente o de control.</w:t>
      </w:r>
    </w:p>
    <w:p w14:paraId="10770794" w14:textId="77777777" w:rsidR="006D1E77" w:rsidRPr="00A93267" w:rsidRDefault="006D1E77" w:rsidP="008976D2">
      <w:pPr>
        <w:numPr>
          <w:ilvl w:val="0"/>
          <w:numId w:val="11"/>
        </w:numPr>
        <w:spacing w:after="0" w:line="360" w:lineRule="auto"/>
        <w:contextualSpacing/>
        <w:rPr>
          <w:rFonts w:cs="Tahoma"/>
        </w:rPr>
      </w:pPr>
      <w:r w:rsidRPr="00A93267">
        <w:rPr>
          <w:rFonts w:cs="Tahoma"/>
        </w:rPr>
        <w:t>Calificaciones, créditos y promedio;</w:t>
      </w:r>
    </w:p>
    <w:p w14:paraId="416A78D4" w14:textId="77777777" w:rsidR="006D1E77" w:rsidRPr="00A93267" w:rsidRDefault="006D1E77" w:rsidP="008976D2">
      <w:pPr>
        <w:numPr>
          <w:ilvl w:val="0"/>
          <w:numId w:val="11"/>
        </w:numPr>
        <w:spacing w:after="0" w:line="360" w:lineRule="auto"/>
        <w:contextualSpacing/>
        <w:rPr>
          <w:rFonts w:cs="Tahoma"/>
        </w:rPr>
      </w:pPr>
      <w:r w:rsidRPr="00A93267">
        <w:rPr>
          <w:rFonts w:cs="Tahoma"/>
        </w:rPr>
        <w:t>Número de cédula profesional;</w:t>
      </w:r>
    </w:p>
    <w:p w14:paraId="2CAA4278" w14:textId="77777777" w:rsidR="006D1E77" w:rsidRPr="00A93267" w:rsidRDefault="006D1E77" w:rsidP="008976D2">
      <w:pPr>
        <w:numPr>
          <w:ilvl w:val="0"/>
          <w:numId w:val="11"/>
        </w:numPr>
        <w:spacing w:after="0" w:line="360" w:lineRule="auto"/>
        <w:contextualSpacing/>
        <w:rPr>
          <w:rFonts w:cs="Tahoma"/>
        </w:rPr>
      </w:pPr>
      <w:r w:rsidRPr="00A93267">
        <w:rPr>
          <w:rFonts w:cs="Tahoma"/>
        </w:rPr>
        <w:t>Fotografía;</w:t>
      </w:r>
    </w:p>
    <w:p w14:paraId="1AC4CD30" w14:textId="77777777" w:rsidR="006D1E77" w:rsidRPr="00A93267" w:rsidRDefault="006D1E77" w:rsidP="008976D2">
      <w:pPr>
        <w:numPr>
          <w:ilvl w:val="0"/>
          <w:numId w:val="11"/>
        </w:numPr>
        <w:spacing w:after="0" w:line="360" w:lineRule="auto"/>
        <w:contextualSpacing/>
        <w:rPr>
          <w:rFonts w:cs="Tahoma"/>
        </w:rPr>
      </w:pPr>
      <w:r w:rsidRPr="00A93267">
        <w:rPr>
          <w:rFonts w:cs="Tahoma"/>
        </w:rPr>
        <w:t>Firmas del servidor público (alumno), y</w:t>
      </w:r>
    </w:p>
    <w:p w14:paraId="0B006AE1" w14:textId="77777777" w:rsidR="006D1E77" w:rsidRPr="00A93267" w:rsidRDefault="006D1E77" w:rsidP="008976D2">
      <w:pPr>
        <w:numPr>
          <w:ilvl w:val="0"/>
          <w:numId w:val="11"/>
        </w:numPr>
        <w:spacing w:after="0" w:line="360" w:lineRule="auto"/>
        <w:contextualSpacing/>
        <w:rPr>
          <w:rFonts w:eastAsia="Times New Roman" w:cs="Tahoma"/>
          <w:bCs/>
          <w:iCs/>
          <w:color w:val="auto"/>
          <w:lang w:eastAsia="es-ES"/>
        </w:rPr>
      </w:pPr>
      <w:r w:rsidRPr="00A93267">
        <w:rPr>
          <w:rFonts w:cs="Tahoma"/>
        </w:rPr>
        <w:t>Datos de institución educativa, número de acuerdo de reconocimiento de validez oficial de estudios, clave de carrera, plan de estudios, denominación, campus o plantel, materias cursadas, fechas, folios, lugar de expedición, entre otros.</w:t>
      </w:r>
    </w:p>
    <w:p w14:paraId="2A10F54F" w14:textId="77777777" w:rsidR="006D1E77" w:rsidRPr="00A93267" w:rsidRDefault="006D1E77" w:rsidP="008976D2">
      <w:pPr>
        <w:spacing w:after="0" w:line="360" w:lineRule="auto"/>
        <w:rPr>
          <w:rFonts w:eastAsia="Times New Roman" w:cs="Tahoma"/>
          <w:bCs/>
          <w:iCs/>
          <w:color w:val="auto"/>
          <w:lang w:eastAsia="es-ES"/>
        </w:rPr>
      </w:pPr>
    </w:p>
    <w:p w14:paraId="679F9AAF" w14:textId="77777777" w:rsidR="006D1E77" w:rsidRPr="00A93267" w:rsidRDefault="006D1E77" w:rsidP="008976D2">
      <w:pPr>
        <w:spacing w:after="0" w:line="360" w:lineRule="auto"/>
        <w:rPr>
          <w:rFonts w:eastAsia="Calibri" w:cs="Tahoma"/>
          <w:iCs/>
          <w:color w:val="auto"/>
          <w:lang w:val="es-ES" w:eastAsia="es-MX"/>
        </w:rPr>
      </w:pPr>
      <w:r w:rsidRPr="00A93267">
        <w:rPr>
          <w:rFonts w:eastAsia="Calibri" w:cs="Tahoma"/>
          <w:iCs/>
          <w:color w:val="auto"/>
          <w:lang w:val="es-ES" w:eastAsia="es-MX"/>
        </w:rPr>
        <w:t>Conforme a lo anterior, se procede analizar si dichos datos deben ser considerados como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0FE143F" w14:textId="77777777" w:rsidR="006D1E77" w:rsidRPr="00A93267" w:rsidRDefault="006D1E77" w:rsidP="008976D2">
      <w:pPr>
        <w:spacing w:after="0" w:line="360" w:lineRule="auto"/>
        <w:rPr>
          <w:rFonts w:eastAsia="Calibri" w:cs="Tahoma"/>
          <w:iCs/>
          <w:color w:val="auto"/>
          <w:lang w:val="es-ES" w:eastAsia="es-MX"/>
        </w:rPr>
      </w:pPr>
    </w:p>
    <w:p w14:paraId="5E5BAB92" w14:textId="77777777" w:rsidR="006D1E77" w:rsidRPr="00A93267" w:rsidRDefault="006D1E77" w:rsidP="008976D2">
      <w:pPr>
        <w:spacing w:after="0" w:line="360" w:lineRule="auto"/>
        <w:rPr>
          <w:rFonts w:eastAsia="Calibri" w:cs="Tahoma"/>
          <w:iCs/>
          <w:color w:val="auto"/>
          <w:lang w:val="es-ES" w:eastAsia="es-MX"/>
        </w:rPr>
      </w:pPr>
      <w:r w:rsidRPr="00A93267">
        <w:rPr>
          <w:rFonts w:eastAsia="Calibri" w:cs="Tahoma"/>
          <w:iCs/>
          <w:color w:val="auto"/>
          <w:lang w:val="es-ES" w:eastAsia="es-MX"/>
        </w:rPr>
        <w:t xml:space="preserve">Por su parte, la Ley General de Transparencia y Acceso a la Información Pública, en su artículo 116, dispone que se considera información confidencial la que contenga datos personales concernientes a una persona física identificada o identificable. Además, el artículo 5°, fracciones I y II de la Constitución Política del Estado Libre y Soberano de México, prevé que toda la información en posesión de los Sujetos Obligados será pública; no obstante, aquella </w:t>
      </w:r>
      <w:r w:rsidRPr="00A93267">
        <w:rPr>
          <w:rFonts w:eastAsia="Calibri" w:cs="Tahoma"/>
          <w:iCs/>
          <w:color w:val="auto"/>
          <w:lang w:val="es-ES" w:eastAsia="es-MX"/>
        </w:rPr>
        <w:lastRenderedPageBreak/>
        <w:t>referente a la intimidad de la vida privada y la imagen de las personas, será protegida a través de un marco jurídico rígido, de tratamiento y manejo de datos personales.</w:t>
      </w:r>
    </w:p>
    <w:p w14:paraId="7DD1F573" w14:textId="77777777" w:rsidR="006D1E77" w:rsidRPr="00A93267" w:rsidRDefault="006D1E77" w:rsidP="008976D2">
      <w:pPr>
        <w:spacing w:after="0" w:line="360" w:lineRule="auto"/>
        <w:rPr>
          <w:rFonts w:eastAsia="Calibri" w:cs="Tahoma"/>
          <w:iCs/>
          <w:color w:val="auto"/>
          <w:lang w:val="es-ES" w:eastAsia="es-MX"/>
        </w:rPr>
      </w:pPr>
    </w:p>
    <w:p w14:paraId="7AC22ED1" w14:textId="77777777" w:rsidR="006D1E77" w:rsidRPr="00A93267" w:rsidRDefault="006D1E77" w:rsidP="008976D2">
      <w:pPr>
        <w:spacing w:after="0" w:line="360" w:lineRule="auto"/>
        <w:rPr>
          <w:rFonts w:eastAsia="Calibri" w:cs="Tahoma"/>
          <w:iCs/>
          <w:color w:val="auto"/>
          <w:lang w:val="es-ES" w:eastAsia="es-MX"/>
        </w:rPr>
      </w:pPr>
      <w:r w:rsidRPr="00A93267">
        <w:rPr>
          <w:rFonts w:eastAsia="Calibri" w:cs="Tahoma"/>
          <w:iCs/>
          <w:color w:val="auto"/>
          <w:lang w:val="es-ES"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68AF374" w14:textId="77777777" w:rsidR="006D1E77" w:rsidRPr="00A93267" w:rsidRDefault="006D1E77" w:rsidP="008976D2">
      <w:pPr>
        <w:spacing w:after="0" w:line="360" w:lineRule="auto"/>
        <w:rPr>
          <w:rFonts w:eastAsia="Calibri" w:cs="Tahoma"/>
          <w:iCs/>
          <w:color w:val="auto"/>
          <w:lang w:val="es-ES" w:eastAsia="es-MX"/>
        </w:rPr>
      </w:pPr>
    </w:p>
    <w:p w14:paraId="1BAA4F6E" w14:textId="77777777" w:rsidR="006D1E77" w:rsidRPr="00A93267" w:rsidRDefault="006D1E77" w:rsidP="008976D2">
      <w:pPr>
        <w:spacing w:after="0" w:line="360" w:lineRule="auto"/>
        <w:rPr>
          <w:rFonts w:eastAsia="Calibri" w:cs="Tahoma"/>
          <w:iCs/>
          <w:color w:val="auto"/>
          <w:lang w:val="es-ES" w:eastAsia="es-MX"/>
        </w:rPr>
      </w:pPr>
      <w:r w:rsidRPr="00A93267">
        <w:rPr>
          <w:rFonts w:eastAsia="Calibri" w:cs="Tahoma"/>
          <w:iCs/>
          <w:color w:val="auto"/>
          <w:lang w:val="es-ES" w:eastAsia="es-MX"/>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FB601D4" w14:textId="77777777" w:rsidR="006D1E77" w:rsidRPr="00A93267" w:rsidRDefault="006D1E77" w:rsidP="008976D2">
      <w:pPr>
        <w:spacing w:after="0" w:line="360" w:lineRule="auto"/>
        <w:rPr>
          <w:rFonts w:eastAsia="Calibri" w:cs="Tahoma"/>
          <w:iCs/>
          <w:color w:val="auto"/>
          <w:lang w:val="es-ES" w:eastAsia="es-MX"/>
        </w:rPr>
      </w:pPr>
    </w:p>
    <w:p w14:paraId="34711E2C" w14:textId="77777777" w:rsidR="006D1E77" w:rsidRPr="00A93267" w:rsidRDefault="006D1E77" w:rsidP="008976D2">
      <w:pPr>
        <w:spacing w:after="0" w:line="360" w:lineRule="auto"/>
        <w:rPr>
          <w:rFonts w:eastAsia="Calibri" w:cs="Tahoma"/>
          <w:iCs/>
          <w:color w:val="auto"/>
          <w:lang w:val="es-ES" w:eastAsia="es-MX"/>
        </w:rPr>
      </w:pPr>
      <w:r w:rsidRPr="00A93267">
        <w:rPr>
          <w:rFonts w:eastAsia="Calibri" w:cs="Tahoma"/>
          <w:iCs/>
          <w:color w:val="auto"/>
          <w:lang w:val="es-ES"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29F5712" w14:textId="77777777" w:rsidR="006D1E77" w:rsidRPr="00A93267" w:rsidRDefault="006D1E77" w:rsidP="008976D2">
      <w:pPr>
        <w:shd w:val="clear" w:color="auto" w:fill="FFFFFF"/>
        <w:spacing w:after="0" w:line="360" w:lineRule="auto"/>
        <w:rPr>
          <w:rFonts w:eastAsia="Calibri" w:cs="Tahoma"/>
          <w:bCs/>
          <w:color w:val="auto"/>
          <w:lang w:val="es-ES"/>
        </w:rPr>
      </w:pPr>
    </w:p>
    <w:p w14:paraId="65DC4C9E" w14:textId="77777777" w:rsidR="006D1E77" w:rsidRPr="00A93267" w:rsidRDefault="006D1E77" w:rsidP="008976D2">
      <w:pPr>
        <w:spacing w:after="0" w:line="360" w:lineRule="auto"/>
        <w:rPr>
          <w:rFonts w:eastAsia="Calibri" w:cs="Tahoma"/>
          <w:iCs/>
          <w:color w:val="auto"/>
          <w:lang w:val="es-ES" w:eastAsia="es-MX"/>
        </w:rPr>
      </w:pPr>
      <w:r w:rsidRPr="00A93267">
        <w:rPr>
          <w:rFonts w:eastAsia="Calibri" w:cs="Tahoma"/>
          <w:iCs/>
          <w:color w:val="auto"/>
          <w:lang w:val="es-ES" w:eastAsia="es-MX"/>
        </w:rPr>
        <w:t>En términos de lo expuesto, la documentación y aquellos datos que se consideren confidenciales, serán una limitante del derecho de acceso a la información, siempre y cuando:</w:t>
      </w:r>
    </w:p>
    <w:p w14:paraId="4F7425A2" w14:textId="77777777" w:rsidR="006D1E77" w:rsidRPr="00A93267" w:rsidRDefault="006D1E77" w:rsidP="008976D2">
      <w:pPr>
        <w:spacing w:after="0" w:line="360" w:lineRule="auto"/>
        <w:rPr>
          <w:rFonts w:eastAsia="Calibri" w:cs="Tahoma"/>
          <w:iCs/>
          <w:color w:val="auto"/>
          <w:lang w:val="es-ES" w:eastAsia="es-MX"/>
        </w:rPr>
      </w:pPr>
    </w:p>
    <w:p w14:paraId="35D4A8B2" w14:textId="77777777" w:rsidR="006D1E77" w:rsidRPr="00A93267" w:rsidRDefault="006D1E77" w:rsidP="008976D2">
      <w:pPr>
        <w:numPr>
          <w:ilvl w:val="0"/>
          <w:numId w:val="12"/>
        </w:numPr>
        <w:spacing w:after="0" w:line="360" w:lineRule="auto"/>
        <w:contextualSpacing/>
        <w:rPr>
          <w:rFonts w:cs="Tahoma"/>
          <w:iCs/>
          <w:color w:val="auto"/>
          <w:lang w:val="es-ES" w:eastAsia="es-MX"/>
        </w:rPr>
      </w:pPr>
      <w:r w:rsidRPr="00A93267">
        <w:rPr>
          <w:rFonts w:cs="Tahoma"/>
          <w:iCs/>
          <w:color w:val="auto"/>
          <w:lang w:val="es-ES" w:eastAsia="es-MX"/>
        </w:rPr>
        <w:t xml:space="preserve">Se trate de datos personales o información privada; esto es, información concerniente a una persona física o jurídico colectiva y que esta sea identificada o identificable. </w:t>
      </w:r>
    </w:p>
    <w:p w14:paraId="3A587D45" w14:textId="77777777" w:rsidR="006D1E77" w:rsidRPr="00A93267" w:rsidRDefault="006D1E77" w:rsidP="008976D2">
      <w:pPr>
        <w:spacing w:after="0" w:line="360" w:lineRule="auto"/>
        <w:rPr>
          <w:rFonts w:eastAsia="Calibri" w:cs="Tahoma"/>
          <w:iCs/>
          <w:color w:val="auto"/>
          <w:lang w:val="es-ES" w:eastAsia="es-MX"/>
        </w:rPr>
      </w:pPr>
    </w:p>
    <w:p w14:paraId="6FCA9A47" w14:textId="77777777" w:rsidR="006D1E77" w:rsidRPr="00A93267" w:rsidRDefault="006D1E77" w:rsidP="008976D2">
      <w:pPr>
        <w:numPr>
          <w:ilvl w:val="0"/>
          <w:numId w:val="12"/>
        </w:numPr>
        <w:spacing w:after="0" w:line="360" w:lineRule="auto"/>
        <w:contextualSpacing/>
        <w:rPr>
          <w:rFonts w:cs="Tahoma"/>
          <w:iCs/>
          <w:color w:val="auto"/>
          <w:lang w:val="es-ES" w:eastAsia="es-MX"/>
        </w:rPr>
      </w:pPr>
      <w:r w:rsidRPr="00A93267">
        <w:rPr>
          <w:rFonts w:cs="Tahoma"/>
          <w:iCs/>
          <w:color w:val="auto"/>
          <w:lang w:val="es-ES" w:eastAsia="es-MX"/>
        </w:rPr>
        <w:lastRenderedPageBreak/>
        <w:t xml:space="preserve">Para la difusión de los datos, se requiera el consentimiento del titular. </w:t>
      </w:r>
    </w:p>
    <w:p w14:paraId="4A8D8A4E" w14:textId="77777777" w:rsidR="006D1E77" w:rsidRPr="00A93267" w:rsidRDefault="006D1E77" w:rsidP="008976D2">
      <w:pPr>
        <w:spacing w:after="0" w:line="360" w:lineRule="auto"/>
        <w:rPr>
          <w:rFonts w:eastAsia="Calibri" w:cs="Tahoma"/>
          <w:iCs/>
          <w:color w:val="auto"/>
          <w:lang w:val="es-ES" w:eastAsia="es-MX"/>
        </w:rPr>
      </w:pPr>
    </w:p>
    <w:p w14:paraId="32FFBD8F" w14:textId="77777777" w:rsidR="006D1E77" w:rsidRPr="00A93267" w:rsidRDefault="006D1E77" w:rsidP="008976D2">
      <w:pPr>
        <w:spacing w:after="0" w:line="360" w:lineRule="auto"/>
        <w:rPr>
          <w:rFonts w:eastAsia="Calibri" w:cs="Tahoma"/>
          <w:iCs/>
          <w:color w:val="auto"/>
          <w:lang w:val="es-ES" w:eastAsia="es-MX"/>
        </w:rPr>
      </w:pPr>
      <w:r w:rsidRPr="00A93267">
        <w:rPr>
          <w:rFonts w:eastAsia="Calibri" w:cs="Tahoma"/>
          <w:iCs/>
          <w:color w:val="auto"/>
          <w:lang w:val="es-ES"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817EE05" w14:textId="77777777" w:rsidR="006D1E77" w:rsidRPr="00A93267" w:rsidRDefault="006D1E77" w:rsidP="008976D2">
      <w:pPr>
        <w:spacing w:after="0" w:line="360" w:lineRule="auto"/>
        <w:rPr>
          <w:rFonts w:eastAsia="Calibri" w:cs="Tahoma"/>
          <w:iCs/>
          <w:color w:val="auto"/>
          <w:lang w:val="es-ES" w:eastAsia="es-MX"/>
        </w:rPr>
      </w:pPr>
    </w:p>
    <w:p w14:paraId="6912EBD6" w14:textId="77777777" w:rsidR="006D1E77" w:rsidRPr="00A93267" w:rsidRDefault="006D1E77" w:rsidP="008976D2">
      <w:pPr>
        <w:spacing w:after="0" w:line="360" w:lineRule="auto"/>
        <w:rPr>
          <w:rFonts w:eastAsia="Calibri" w:cs="Tahoma"/>
          <w:iCs/>
          <w:color w:val="auto"/>
          <w:lang w:val="es-ES" w:eastAsia="es-MX"/>
        </w:rPr>
      </w:pPr>
      <w:r w:rsidRPr="00A93267">
        <w:rPr>
          <w:rFonts w:eastAsia="Calibri" w:cs="Tahoma"/>
          <w:iCs/>
          <w:color w:val="auto"/>
          <w:lang w:val="es-ES" w:eastAsia="es-MX"/>
        </w:rPr>
        <w:t>Además, en el artículo 5° de dicho ordenamiento jurídico, establece que es la Ley aplicable para todo tratamiento de datos personales.</w:t>
      </w:r>
    </w:p>
    <w:p w14:paraId="15EE6F86" w14:textId="77777777" w:rsidR="006D1E77" w:rsidRPr="00A93267" w:rsidRDefault="006D1E77" w:rsidP="008976D2">
      <w:pPr>
        <w:spacing w:after="0" w:line="360" w:lineRule="auto"/>
        <w:rPr>
          <w:rFonts w:eastAsia="Calibri" w:cs="Tahoma"/>
          <w:iCs/>
          <w:color w:val="auto"/>
          <w:lang w:val="es-ES" w:eastAsia="es-MX"/>
        </w:rPr>
      </w:pPr>
    </w:p>
    <w:p w14:paraId="7739280A" w14:textId="77777777" w:rsidR="006D1E77" w:rsidRPr="00A93267" w:rsidRDefault="006D1E77" w:rsidP="008976D2">
      <w:pPr>
        <w:spacing w:after="0" w:line="360" w:lineRule="auto"/>
        <w:rPr>
          <w:rFonts w:eastAsia="Calibri" w:cs="Tahoma"/>
          <w:iCs/>
          <w:color w:val="auto"/>
          <w:lang w:val="es-ES" w:eastAsia="es-MX"/>
        </w:rPr>
      </w:pPr>
      <w:r w:rsidRPr="00A93267">
        <w:rPr>
          <w:rFonts w:eastAsia="Calibri" w:cs="Tahoma"/>
          <w:iCs/>
          <w:color w:val="auto"/>
          <w:lang w:val="es-ES" w:eastAsia="es-MX"/>
        </w:rPr>
        <w:t>En ese orden de ideas, los artículos 6°, 7°, 8° y 14 de la Ley</w:t>
      </w:r>
      <w:r w:rsidRPr="00A93267">
        <w:rPr>
          <w:rFonts w:eastAsia="Calibri" w:cs="Tahoma"/>
          <w:bCs/>
          <w:color w:val="auto"/>
          <w:lang w:val="es-ES"/>
        </w:rPr>
        <w:t xml:space="preserve"> de Protección de Datos Personales en Posesión de Sujetos Obligados del Estado de México y Municipios disponen que los responsables del tratamiento de datos personales, deben observar los principios de licitud, </w:t>
      </w:r>
      <w:r w:rsidRPr="00A93267">
        <w:rPr>
          <w:rFonts w:eastAsia="Calibri" w:cs="Tahoma"/>
          <w:iCs/>
          <w:color w:val="auto"/>
          <w:lang w:val="es-ES" w:eastAsia="es-MX"/>
        </w:rPr>
        <w:t>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6C208F5" w14:textId="77777777" w:rsidR="006D1E77" w:rsidRPr="00A93267" w:rsidRDefault="006D1E77" w:rsidP="008976D2">
      <w:pPr>
        <w:spacing w:after="0" w:line="360" w:lineRule="auto"/>
        <w:rPr>
          <w:rFonts w:eastAsia="Calibri" w:cs="Tahoma"/>
          <w:iCs/>
          <w:color w:val="auto"/>
          <w:lang w:val="es-ES" w:eastAsia="es-MX"/>
        </w:rPr>
      </w:pPr>
    </w:p>
    <w:p w14:paraId="3CDE8CA0" w14:textId="77777777" w:rsidR="006D1E77" w:rsidRPr="00A93267" w:rsidRDefault="006D1E77" w:rsidP="008976D2">
      <w:pPr>
        <w:spacing w:after="0" w:line="360" w:lineRule="auto"/>
        <w:rPr>
          <w:rFonts w:eastAsia="Calibri" w:cs="Tahoma"/>
          <w:iCs/>
          <w:color w:val="auto"/>
          <w:lang w:val="es-ES" w:eastAsia="es-MX"/>
        </w:rPr>
      </w:pPr>
      <w:r w:rsidRPr="00A93267">
        <w:rPr>
          <w:rFonts w:eastAsia="Calibri" w:cs="Tahoma"/>
          <w:iCs/>
          <w:color w:val="auto"/>
          <w:lang w:val="es-ES" w:eastAsia="es-MX"/>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0C5A600" w14:textId="77777777" w:rsidR="006D1E77" w:rsidRPr="00A93267" w:rsidRDefault="006D1E77" w:rsidP="008976D2">
      <w:pPr>
        <w:spacing w:after="0" w:line="360" w:lineRule="auto"/>
        <w:rPr>
          <w:rFonts w:eastAsia="Calibri" w:cs="Tahoma"/>
          <w:iCs/>
          <w:color w:val="auto"/>
          <w:lang w:val="es-ES" w:eastAsia="es-MX"/>
        </w:rPr>
      </w:pPr>
    </w:p>
    <w:p w14:paraId="797E1999" w14:textId="77777777" w:rsidR="006D1E77" w:rsidRPr="00A93267" w:rsidRDefault="006D1E77" w:rsidP="008976D2">
      <w:pPr>
        <w:spacing w:after="0" w:line="360" w:lineRule="auto"/>
        <w:rPr>
          <w:rFonts w:eastAsia="Calibri" w:cs="Tahoma"/>
          <w:iCs/>
          <w:color w:val="auto"/>
          <w:lang w:val="es-ES" w:eastAsia="es-MX"/>
        </w:rPr>
      </w:pPr>
      <w:r w:rsidRPr="00A93267">
        <w:rPr>
          <w:rFonts w:eastAsia="Calibri" w:cs="Tahoma"/>
          <w:iCs/>
          <w:color w:val="auto"/>
          <w:lang w:val="es-ES" w:eastAsia="es-MX"/>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5A90D59" w14:textId="77777777" w:rsidR="006D1E77" w:rsidRPr="00A93267" w:rsidRDefault="006D1E77" w:rsidP="008976D2">
      <w:pPr>
        <w:spacing w:after="0" w:line="360" w:lineRule="auto"/>
        <w:rPr>
          <w:rFonts w:eastAsia="Calibri" w:cs="Tahoma"/>
          <w:iCs/>
          <w:color w:val="auto"/>
          <w:lang w:val="es-ES" w:eastAsia="es-MX"/>
        </w:rPr>
      </w:pPr>
    </w:p>
    <w:p w14:paraId="7171F874" w14:textId="77777777" w:rsidR="006D1E77" w:rsidRPr="00A93267" w:rsidRDefault="006D1E77" w:rsidP="008976D2">
      <w:pPr>
        <w:spacing w:after="0" w:line="360" w:lineRule="auto"/>
        <w:rPr>
          <w:rFonts w:eastAsia="Calibri" w:cs="Tahoma"/>
          <w:iCs/>
          <w:color w:val="auto"/>
          <w:lang w:val="es-ES" w:eastAsia="es-MX"/>
        </w:rPr>
      </w:pPr>
      <w:r w:rsidRPr="00A93267">
        <w:rPr>
          <w:rFonts w:eastAsia="Calibri" w:cs="Tahoma"/>
          <w:iCs/>
          <w:color w:val="auto"/>
          <w:lang w:val="es-ES" w:eastAsia="es-MX"/>
        </w:rPr>
        <w:t>De tal suerte, las instituciones públicas tienen la doble responsabilidad, por un lado, de proteger los datos personales y por otro, darles publicidad cuando la relevancia de esos datos sea de interés público.</w:t>
      </w:r>
    </w:p>
    <w:p w14:paraId="3C557459" w14:textId="77777777" w:rsidR="006D1E77" w:rsidRPr="00A93267" w:rsidRDefault="006D1E77" w:rsidP="008976D2">
      <w:pPr>
        <w:spacing w:after="0" w:line="360" w:lineRule="auto"/>
        <w:rPr>
          <w:rFonts w:eastAsia="Calibri" w:cs="Tahoma"/>
          <w:iCs/>
          <w:color w:val="auto"/>
          <w:lang w:val="es-ES" w:eastAsia="es-MX"/>
        </w:rPr>
      </w:pPr>
    </w:p>
    <w:p w14:paraId="355D5E10" w14:textId="77777777" w:rsidR="006D1E77" w:rsidRPr="00A93267" w:rsidRDefault="006D1E77" w:rsidP="008976D2">
      <w:pPr>
        <w:spacing w:after="0" w:line="360" w:lineRule="auto"/>
        <w:rPr>
          <w:rFonts w:eastAsia="Calibri" w:cs="Tahoma"/>
          <w:iCs/>
          <w:color w:val="auto"/>
          <w:lang w:val="es-ES" w:eastAsia="es-MX"/>
        </w:rPr>
      </w:pPr>
      <w:r w:rsidRPr="00A93267">
        <w:rPr>
          <w:rFonts w:eastAsia="Calibri" w:cs="Tahoma"/>
          <w:iCs/>
          <w:color w:val="auto"/>
          <w:lang w:val="es-ES" w:eastAsia="es-MX"/>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59EE5C95" w14:textId="77777777" w:rsidR="006D1E77" w:rsidRPr="00A93267" w:rsidRDefault="006D1E77" w:rsidP="008976D2">
      <w:pPr>
        <w:spacing w:after="0" w:line="360" w:lineRule="auto"/>
        <w:rPr>
          <w:rFonts w:eastAsia="Calibri" w:cs="Tahoma"/>
          <w:iCs/>
          <w:color w:val="auto"/>
          <w:lang w:val="es-ES" w:eastAsia="es-MX"/>
        </w:rPr>
      </w:pPr>
    </w:p>
    <w:p w14:paraId="2862B8FD" w14:textId="77777777" w:rsidR="006D1E77" w:rsidRPr="00A93267" w:rsidRDefault="006D1E77" w:rsidP="008976D2">
      <w:pPr>
        <w:spacing w:after="0" w:line="360" w:lineRule="auto"/>
        <w:rPr>
          <w:rFonts w:eastAsia="Calibri" w:cs="Tahoma"/>
          <w:iCs/>
          <w:color w:val="auto"/>
          <w:lang w:val="es-ES" w:eastAsia="es-MX"/>
        </w:rPr>
      </w:pPr>
      <w:r w:rsidRPr="00A93267">
        <w:rPr>
          <w:rFonts w:eastAsia="Calibri" w:cs="Tahoma"/>
          <w:iCs/>
          <w:color w:val="auto"/>
          <w:lang w:val="es-ES" w:eastAsia="es-MX"/>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w:t>
      </w:r>
      <w:r w:rsidRPr="00A93267">
        <w:rPr>
          <w:rFonts w:eastAsia="Calibri" w:cs="Tahoma"/>
          <w:iCs/>
          <w:color w:val="auto"/>
          <w:lang w:val="es-ES" w:eastAsia="es-MX"/>
        </w:rPr>
        <w:lastRenderedPageBreak/>
        <w:t>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E5F9B39" w14:textId="77777777" w:rsidR="006D1E77" w:rsidRPr="00A93267" w:rsidRDefault="006D1E77" w:rsidP="008976D2">
      <w:pPr>
        <w:spacing w:after="0" w:line="360" w:lineRule="auto"/>
        <w:rPr>
          <w:rFonts w:eastAsia="Calibri" w:cs="Tahoma"/>
          <w:iCs/>
          <w:color w:val="auto"/>
          <w:lang w:val="es-ES" w:eastAsia="es-MX"/>
        </w:rPr>
      </w:pPr>
    </w:p>
    <w:p w14:paraId="64D2C753" w14:textId="77777777" w:rsidR="006D1E77" w:rsidRPr="00A93267" w:rsidRDefault="006D1E77" w:rsidP="008976D2">
      <w:pPr>
        <w:spacing w:after="0" w:line="360" w:lineRule="auto"/>
        <w:rPr>
          <w:rFonts w:eastAsia="Calibri" w:cs="Tahoma"/>
          <w:iCs/>
          <w:color w:val="auto"/>
          <w:lang w:val="es-ES" w:eastAsia="es-MX"/>
        </w:rPr>
      </w:pPr>
      <w:r w:rsidRPr="00A93267">
        <w:rPr>
          <w:rFonts w:eastAsia="Calibri" w:cs="Tahoma"/>
          <w:iCs/>
          <w:color w:val="auto"/>
          <w:lang w:val="es-ES" w:eastAsia="es-MX"/>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535B178" w14:textId="77777777" w:rsidR="006D1E77" w:rsidRPr="00A93267" w:rsidRDefault="006D1E77" w:rsidP="008976D2">
      <w:pPr>
        <w:spacing w:after="0" w:line="360" w:lineRule="auto"/>
        <w:rPr>
          <w:rFonts w:eastAsia="Calibri" w:cs="Tahoma"/>
          <w:iCs/>
          <w:color w:val="auto"/>
          <w:lang w:val="es-ES" w:eastAsia="es-MX"/>
        </w:rPr>
      </w:pPr>
    </w:p>
    <w:p w14:paraId="77E5F4CC" w14:textId="77777777" w:rsidR="006D1E77" w:rsidRPr="00A93267" w:rsidRDefault="006D1E77" w:rsidP="008976D2">
      <w:pPr>
        <w:spacing w:after="0" w:line="360" w:lineRule="auto"/>
        <w:rPr>
          <w:rFonts w:eastAsia="Calibri" w:cs="Tahoma"/>
          <w:iCs/>
          <w:color w:val="auto"/>
          <w:lang w:val="es-ES" w:eastAsia="es-MX"/>
        </w:rPr>
      </w:pPr>
      <w:r w:rsidRPr="00A93267">
        <w:rPr>
          <w:rFonts w:eastAsia="Calibri" w:cs="Tahoma"/>
          <w:iCs/>
          <w:color w:val="auto"/>
          <w:lang w:val="es-ES" w:eastAsia="es-MX"/>
        </w:rPr>
        <w:t>Bajo ese contexto, se analizarán si los datos referidos, deben ser considerados confidenciales o públicos.</w:t>
      </w:r>
    </w:p>
    <w:p w14:paraId="4BED3CC1" w14:textId="77777777" w:rsidR="006D1E77" w:rsidRPr="00A93267" w:rsidRDefault="006D1E77" w:rsidP="008976D2">
      <w:pPr>
        <w:spacing w:after="0" w:line="360" w:lineRule="auto"/>
        <w:rPr>
          <w:rFonts w:eastAsia="Calibri" w:cs="Tahoma"/>
          <w:bCs/>
        </w:rPr>
      </w:pPr>
    </w:p>
    <w:p w14:paraId="6740A1AF" w14:textId="77777777" w:rsidR="006D1E77" w:rsidRPr="00A93267" w:rsidRDefault="006D1E77" w:rsidP="008976D2">
      <w:pPr>
        <w:numPr>
          <w:ilvl w:val="0"/>
          <w:numId w:val="13"/>
        </w:numPr>
        <w:spacing w:after="0" w:line="360" w:lineRule="auto"/>
        <w:rPr>
          <w:rFonts w:eastAsia="Calibri" w:cs="Times New Roman"/>
          <w:b/>
          <w:bCs/>
          <w:iCs/>
          <w:lang w:val="es-ES_tradnl"/>
        </w:rPr>
      </w:pPr>
      <w:r w:rsidRPr="00A93267">
        <w:rPr>
          <w:rFonts w:eastAsia="Calibri" w:cs="Times New Roman"/>
          <w:b/>
          <w:bCs/>
          <w:iCs/>
        </w:rPr>
        <w:t>C</w:t>
      </w:r>
      <w:r w:rsidRPr="00A93267">
        <w:rPr>
          <w:rFonts w:eastAsia="Calibri" w:cs="Times New Roman"/>
          <w:b/>
          <w:bCs/>
          <w:iCs/>
          <w:lang w:val="es-ES_tradnl"/>
        </w:rPr>
        <w:t>lave Única de Registro de Población (CURP).</w:t>
      </w:r>
    </w:p>
    <w:p w14:paraId="3587B428" w14:textId="77777777" w:rsidR="006D1E77" w:rsidRPr="00A93267" w:rsidRDefault="006D1E77" w:rsidP="008976D2">
      <w:pPr>
        <w:spacing w:after="0" w:line="360" w:lineRule="auto"/>
        <w:rPr>
          <w:rFonts w:eastAsia="Calibri" w:cs="Times New Roman"/>
          <w:bCs/>
          <w:iCs/>
        </w:rPr>
      </w:pPr>
    </w:p>
    <w:p w14:paraId="3217267E" w14:textId="77777777" w:rsidR="006D1E77" w:rsidRPr="00A93267" w:rsidRDefault="006D1E77" w:rsidP="008976D2">
      <w:pPr>
        <w:spacing w:after="0" w:line="360" w:lineRule="auto"/>
        <w:rPr>
          <w:rFonts w:eastAsia="Calibri" w:cs="Times New Roman"/>
          <w:bCs/>
          <w:iCs/>
        </w:rPr>
      </w:pPr>
      <w:r w:rsidRPr="00A93267">
        <w:rPr>
          <w:rFonts w:eastAsia="Calibri" w:cs="Times New Roman"/>
          <w:bCs/>
          <w:i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D2C7FF2" w14:textId="77777777" w:rsidR="006D1E77" w:rsidRPr="00A93267" w:rsidRDefault="006D1E77" w:rsidP="008976D2">
      <w:pPr>
        <w:spacing w:after="0" w:line="360" w:lineRule="auto"/>
        <w:rPr>
          <w:rFonts w:eastAsia="Calibri" w:cs="Times New Roman"/>
          <w:bCs/>
          <w:iCs/>
        </w:rPr>
      </w:pPr>
    </w:p>
    <w:p w14:paraId="6F354E63" w14:textId="77777777" w:rsidR="006D1E77" w:rsidRPr="00A93267" w:rsidRDefault="006D1E77" w:rsidP="008976D2">
      <w:pPr>
        <w:spacing w:after="0" w:line="360" w:lineRule="auto"/>
        <w:rPr>
          <w:rFonts w:eastAsia="Calibri" w:cs="Times New Roman"/>
          <w:bCs/>
          <w:iCs/>
        </w:rPr>
      </w:pPr>
      <w:r w:rsidRPr="00A93267">
        <w:rPr>
          <w:rFonts w:eastAsia="Calibri" w:cs="Times New Roman"/>
          <w:bCs/>
          <w:iCs/>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A93267">
        <w:rPr>
          <w:rFonts w:eastAsia="Calibri" w:cs="Times New Roman"/>
          <w:bCs/>
          <w:iCs/>
        </w:rPr>
        <w:lastRenderedPageBreak/>
        <w:t>Población a todas las personas residentes en el país, así como a los mexicanos que residan en el extranjero.</w:t>
      </w:r>
    </w:p>
    <w:p w14:paraId="6B0D263F" w14:textId="77777777" w:rsidR="006D1E77" w:rsidRPr="00A93267" w:rsidRDefault="006D1E77" w:rsidP="008976D2">
      <w:pPr>
        <w:spacing w:after="0" w:line="360" w:lineRule="auto"/>
        <w:rPr>
          <w:rFonts w:eastAsia="Calibri" w:cs="Times New Roman"/>
          <w:bCs/>
          <w:iCs/>
        </w:rPr>
      </w:pPr>
    </w:p>
    <w:p w14:paraId="72812982" w14:textId="77777777" w:rsidR="006D1E77" w:rsidRPr="00A93267" w:rsidRDefault="006D1E77" w:rsidP="008976D2">
      <w:pPr>
        <w:spacing w:after="0" w:line="360" w:lineRule="auto"/>
        <w:rPr>
          <w:rFonts w:eastAsia="Calibri" w:cs="Times New Roman"/>
          <w:bCs/>
          <w:iCs/>
        </w:rPr>
      </w:pPr>
      <w:r w:rsidRPr="00A93267">
        <w:rPr>
          <w:rFonts w:eastAsia="Calibri" w:cs="Times New Roman"/>
          <w:bCs/>
          <w:iCs/>
        </w:rPr>
        <w:t xml:space="preserve">En ese orden de ideas, la Secretaría de Gobernación en las direcciones </w:t>
      </w:r>
      <w:hyperlink r:id="rId23" w:history="1">
        <w:r w:rsidRPr="00A93267">
          <w:rPr>
            <w:rFonts w:eastAsia="Calibri" w:cs="Times New Roman"/>
            <w:bCs/>
            <w:iCs/>
            <w:color w:val="0563C1" w:themeColor="hyperlink"/>
            <w:u w:val="single"/>
          </w:rPr>
          <w:t>https://consultas.curp.gob.mx/CurpSP/html/informacionecurpPS.html</w:t>
        </w:r>
      </w:hyperlink>
      <w:r w:rsidRPr="00A93267">
        <w:rPr>
          <w:rFonts w:eastAsia="Calibri" w:cs="Times New Roman"/>
          <w:bCs/>
          <w:iCs/>
        </w:rPr>
        <w:t xml:space="preserve"> y </w:t>
      </w:r>
      <w:hyperlink r:id="rId24" w:history="1">
        <w:r w:rsidRPr="00A93267">
          <w:rPr>
            <w:rFonts w:eastAsia="Calibri" w:cs="Times New Roman"/>
            <w:bCs/>
            <w:iCs/>
            <w:color w:val="0563C1" w:themeColor="hyperlink"/>
            <w:u w:val="single"/>
          </w:rPr>
          <w:t>https://www.gob.mx/segob/renapo/acciones-y-programas/clave-unica-de-registro-de-poblacion-curp-142226</w:t>
        </w:r>
      </w:hyperlink>
      <w:r w:rsidRPr="00A93267">
        <w:rPr>
          <w:rFonts w:eastAsia="Calibri" w:cs="Times New Roman"/>
          <w:bCs/>
          <w:iCs/>
        </w:rPr>
        <w:t xml:space="preserve"> (consultadas el siete de febrero de dos mil </w:t>
      </w:r>
      <w:proofErr w:type="spellStart"/>
      <w:r w:rsidRPr="00A93267">
        <w:rPr>
          <w:rFonts w:eastAsia="Calibri" w:cs="Times New Roman"/>
          <w:bCs/>
          <w:iCs/>
        </w:rPr>
        <w:t>vientitrés</w:t>
      </w:r>
      <w:proofErr w:type="spellEnd"/>
      <w:r w:rsidRPr="00A93267">
        <w:rPr>
          <w:rFonts w:eastAsia="Calibri" w:cs="Times New Roman"/>
          <w:bCs/>
          <w:iC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A93267">
        <w:rPr>
          <w:rFonts w:eastAsia="Calibri" w:cs="Times New Roman"/>
          <w:b/>
          <w:bCs/>
          <w:iCs/>
        </w:rPr>
        <w:t>se generan a partir de los datos contenidos en el documento probatorio de la identidad</w:t>
      </w:r>
      <w:r w:rsidRPr="00A93267">
        <w:rPr>
          <w:rFonts w:eastAsia="Calibri" w:cs="Times New Roman"/>
          <w:bCs/>
          <w:iCs/>
        </w:rPr>
        <w:t xml:space="preserve"> </w:t>
      </w:r>
      <w:r w:rsidRPr="00A93267">
        <w:rPr>
          <w:rFonts w:eastAsia="Calibri" w:cs="Times New Roman"/>
          <w:b/>
          <w:bCs/>
          <w:iCs/>
        </w:rPr>
        <w:t xml:space="preserve">del interesado </w:t>
      </w:r>
      <w:r w:rsidRPr="00A93267">
        <w:rPr>
          <w:rFonts w:eastAsia="Calibri" w:cs="Times New Roman"/>
          <w:bCs/>
          <w:iCs/>
        </w:rPr>
        <w:t>(acta de nacimiento, carta de naturalización o documento migratorio) de la siguiente forma:</w:t>
      </w:r>
    </w:p>
    <w:p w14:paraId="60224C59" w14:textId="77777777" w:rsidR="006D1E77" w:rsidRPr="00A93267" w:rsidRDefault="006D1E77" w:rsidP="008976D2">
      <w:pPr>
        <w:spacing w:after="0" w:line="360" w:lineRule="auto"/>
        <w:rPr>
          <w:rFonts w:eastAsia="Calibri" w:cs="Times New Roman"/>
          <w:bCs/>
          <w:iCs/>
        </w:rPr>
      </w:pPr>
    </w:p>
    <w:p w14:paraId="1ED7D05F" w14:textId="77777777" w:rsidR="006D1E77" w:rsidRPr="00A93267" w:rsidRDefault="006D1E77" w:rsidP="008976D2">
      <w:pPr>
        <w:numPr>
          <w:ilvl w:val="0"/>
          <w:numId w:val="14"/>
        </w:numPr>
        <w:spacing w:after="0" w:line="360" w:lineRule="auto"/>
        <w:rPr>
          <w:rFonts w:eastAsia="Calibri" w:cs="Times New Roman"/>
          <w:bCs/>
          <w:iCs/>
        </w:rPr>
      </w:pPr>
      <w:r w:rsidRPr="00A93267">
        <w:rPr>
          <w:rFonts w:eastAsia="Calibri" w:cs="Times New Roman"/>
          <w:bCs/>
          <w:iCs/>
        </w:rPr>
        <w:t>El primero y segundo apellidos, así como al nombre de pila;</w:t>
      </w:r>
    </w:p>
    <w:p w14:paraId="58617E6A" w14:textId="77777777" w:rsidR="006D1E77" w:rsidRPr="00A93267" w:rsidRDefault="006D1E77" w:rsidP="008976D2">
      <w:pPr>
        <w:numPr>
          <w:ilvl w:val="0"/>
          <w:numId w:val="14"/>
        </w:numPr>
        <w:spacing w:after="0" w:line="360" w:lineRule="auto"/>
        <w:rPr>
          <w:rFonts w:eastAsia="Calibri" w:cs="Times New Roman"/>
          <w:bCs/>
          <w:iCs/>
        </w:rPr>
      </w:pPr>
      <w:r w:rsidRPr="00A93267">
        <w:rPr>
          <w:rFonts w:eastAsia="Calibri" w:cs="Times New Roman"/>
          <w:bCs/>
          <w:iCs/>
        </w:rPr>
        <w:t>La fecha de nacimiento;</w:t>
      </w:r>
    </w:p>
    <w:p w14:paraId="2F3B814D" w14:textId="77777777" w:rsidR="006D1E77" w:rsidRPr="00A93267" w:rsidRDefault="006D1E77" w:rsidP="008976D2">
      <w:pPr>
        <w:numPr>
          <w:ilvl w:val="0"/>
          <w:numId w:val="14"/>
        </w:numPr>
        <w:spacing w:after="0" w:line="360" w:lineRule="auto"/>
        <w:rPr>
          <w:rFonts w:eastAsia="Calibri" w:cs="Times New Roman"/>
          <w:bCs/>
          <w:iCs/>
        </w:rPr>
      </w:pPr>
      <w:r w:rsidRPr="00A93267">
        <w:rPr>
          <w:rFonts w:eastAsia="Calibri" w:cs="Times New Roman"/>
          <w:bCs/>
          <w:iCs/>
        </w:rPr>
        <w:t>El sexo, y</w:t>
      </w:r>
    </w:p>
    <w:p w14:paraId="18DC23D1" w14:textId="77777777" w:rsidR="006D1E77" w:rsidRPr="00A93267" w:rsidRDefault="006D1E77" w:rsidP="008976D2">
      <w:pPr>
        <w:numPr>
          <w:ilvl w:val="0"/>
          <w:numId w:val="14"/>
        </w:numPr>
        <w:spacing w:after="0" w:line="360" w:lineRule="auto"/>
        <w:rPr>
          <w:rFonts w:eastAsia="Calibri" w:cs="Times New Roman"/>
          <w:bCs/>
          <w:iCs/>
        </w:rPr>
      </w:pPr>
      <w:r w:rsidRPr="00A93267">
        <w:rPr>
          <w:rFonts w:eastAsia="Calibri" w:cs="Times New Roman"/>
          <w:bCs/>
          <w:iCs/>
        </w:rPr>
        <w:t>La entidad federativa de nacimiento.</w:t>
      </w:r>
    </w:p>
    <w:p w14:paraId="5056CF48" w14:textId="77777777" w:rsidR="006D1E77" w:rsidRPr="00A93267" w:rsidRDefault="006D1E77" w:rsidP="008976D2">
      <w:pPr>
        <w:spacing w:after="0" w:line="360" w:lineRule="auto"/>
        <w:rPr>
          <w:rFonts w:eastAsia="Calibri" w:cs="Times New Roman"/>
          <w:bCs/>
          <w:iCs/>
        </w:rPr>
      </w:pPr>
    </w:p>
    <w:p w14:paraId="2D5AEC80" w14:textId="77777777" w:rsidR="006D1E77" w:rsidRPr="00A93267" w:rsidRDefault="006D1E77" w:rsidP="008976D2">
      <w:pPr>
        <w:spacing w:after="0" w:line="360" w:lineRule="auto"/>
        <w:rPr>
          <w:rFonts w:eastAsia="Calibri" w:cs="Times New Roman"/>
          <w:bCs/>
          <w:iCs/>
        </w:rPr>
      </w:pPr>
      <w:r w:rsidRPr="00A93267">
        <w:rPr>
          <w:rFonts w:eastAsia="Calibri" w:cs="Times New Roman"/>
          <w:bCs/>
          <w:iCs/>
        </w:rPr>
        <w:t>Los dos últimos elementos de la Clave Única de Registro de Población evitan la duplicidad de la Clave y garantizan su correcta integración.</w:t>
      </w:r>
    </w:p>
    <w:p w14:paraId="142FC132" w14:textId="77777777" w:rsidR="006D1E77" w:rsidRPr="00A93267" w:rsidRDefault="006D1E77" w:rsidP="008976D2">
      <w:pPr>
        <w:spacing w:after="0" w:line="360" w:lineRule="auto"/>
        <w:rPr>
          <w:rFonts w:eastAsia="Calibri" w:cs="Times New Roman"/>
          <w:bCs/>
          <w:iCs/>
        </w:rPr>
      </w:pPr>
    </w:p>
    <w:p w14:paraId="071354B6" w14:textId="77777777" w:rsidR="006D1E77" w:rsidRPr="00A93267" w:rsidRDefault="006D1E77" w:rsidP="008976D2">
      <w:pPr>
        <w:spacing w:after="0" w:line="360" w:lineRule="auto"/>
        <w:rPr>
          <w:rFonts w:eastAsia="Calibri" w:cs="Times New Roman"/>
          <w:bCs/>
          <w:iCs/>
        </w:rPr>
      </w:pPr>
      <w:r w:rsidRPr="00A93267">
        <w:rPr>
          <w:rFonts w:eastAsia="Calibri" w:cs="Times New Roman"/>
          <w:bCs/>
          <w:iCs/>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w:t>
      </w:r>
      <w:r w:rsidRPr="00A93267">
        <w:rPr>
          <w:rFonts w:eastAsia="Calibri" w:cs="Times New Roman"/>
          <w:bCs/>
          <w:iCs/>
        </w:rPr>
        <w:lastRenderedPageBreak/>
        <w:t>un trámite administrativo requerido por la autoridad federal para hacer identificables a las personas.</w:t>
      </w:r>
    </w:p>
    <w:p w14:paraId="0BA590C7" w14:textId="77777777" w:rsidR="006D1E77" w:rsidRPr="00A93267" w:rsidRDefault="006D1E77" w:rsidP="008976D2">
      <w:pPr>
        <w:spacing w:after="0" w:line="360" w:lineRule="auto"/>
        <w:rPr>
          <w:rFonts w:eastAsia="Calibri" w:cs="Times New Roman"/>
          <w:bCs/>
          <w:iCs/>
        </w:rPr>
      </w:pPr>
    </w:p>
    <w:p w14:paraId="69AFE0C8" w14:textId="77777777" w:rsidR="006D1E77" w:rsidRPr="00A93267" w:rsidRDefault="006D1E77" w:rsidP="008976D2">
      <w:pPr>
        <w:spacing w:after="0" w:line="360" w:lineRule="auto"/>
        <w:rPr>
          <w:rFonts w:eastAsia="Calibri" w:cs="Times New Roman"/>
          <w:bCs/>
          <w:iCs/>
        </w:rPr>
      </w:pPr>
      <w:r w:rsidRPr="00A93267">
        <w:rPr>
          <w:rFonts w:eastAsia="Calibri" w:cs="Times New Roman"/>
          <w:bCs/>
          <w:iCs/>
        </w:rPr>
        <w:t>Situación que se robustece, con el Criterio 18/17, emitido por el Instituto Nacional de Transparencia, Acceso a la Información y Protección de Datos Personales, que establece lo siguiente:</w:t>
      </w:r>
    </w:p>
    <w:p w14:paraId="1B4F453B" w14:textId="77777777" w:rsidR="006D1E77" w:rsidRPr="00A93267" w:rsidRDefault="006D1E77" w:rsidP="008976D2">
      <w:pPr>
        <w:spacing w:after="0" w:line="360" w:lineRule="auto"/>
        <w:rPr>
          <w:rFonts w:eastAsia="Calibri" w:cs="Times New Roman"/>
          <w:bCs/>
          <w:iCs/>
        </w:rPr>
      </w:pPr>
    </w:p>
    <w:p w14:paraId="4B1FA37A" w14:textId="77777777" w:rsidR="006D1E77" w:rsidRPr="00A93267" w:rsidRDefault="006D1E77" w:rsidP="008976D2">
      <w:pPr>
        <w:spacing w:after="0" w:line="360" w:lineRule="auto"/>
        <w:ind w:left="567" w:right="567"/>
        <w:rPr>
          <w:rFonts w:eastAsia="Calibri" w:cs="Times New Roman"/>
          <w:bCs/>
          <w:i/>
          <w:iCs/>
          <w:sz w:val="20"/>
          <w:szCs w:val="20"/>
        </w:rPr>
      </w:pPr>
      <w:r w:rsidRPr="00A93267">
        <w:rPr>
          <w:rFonts w:eastAsia="Calibri" w:cs="Times New Roman"/>
          <w:b/>
          <w:bCs/>
          <w:i/>
          <w:iCs/>
          <w:sz w:val="20"/>
          <w:szCs w:val="20"/>
        </w:rPr>
        <w:t xml:space="preserve">“Clave Única de Registro de Población (CURP). </w:t>
      </w:r>
      <w:r w:rsidRPr="00A93267">
        <w:rPr>
          <w:rFonts w:eastAsia="Calibri" w:cs="Times New Roman"/>
          <w:bCs/>
          <w:i/>
          <w:iCs/>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7CF5E42" w14:textId="77777777" w:rsidR="006D1E77" w:rsidRPr="00A93267" w:rsidRDefault="006D1E77" w:rsidP="008976D2">
      <w:pPr>
        <w:spacing w:after="0" w:line="360" w:lineRule="auto"/>
        <w:rPr>
          <w:rFonts w:eastAsia="Calibri" w:cs="Times New Roman"/>
          <w:bCs/>
          <w:iCs/>
        </w:rPr>
      </w:pPr>
    </w:p>
    <w:p w14:paraId="095FC2C7" w14:textId="77777777" w:rsidR="006D1E77" w:rsidRPr="00A93267" w:rsidRDefault="006D1E77" w:rsidP="008976D2">
      <w:pPr>
        <w:spacing w:after="0" w:line="360" w:lineRule="auto"/>
        <w:rPr>
          <w:rFonts w:eastAsia="Calibri" w:cs="Times New Roman"/>
          <w:bCs/>
          <w:iCs/>
        </w:rPr>
      </w:pPr>
      <w:r w:rsidRPr="00A93267">
        <w:rPr>
          <w:rFonts w:eastAsia="Calibri" w:cs="Times New Roman"/>
          <w:bCs/>
          <w:iC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39BFF3A2" w14:textId="77777777" w:rsidR="006D1E77" w:rsidRPr="00A93267" w:rsidRDefault="006D1E77" w:rsidP="008976D2">
      <w:pPr>
        <w:numPr>
          <w:ilvl w:val="0"/>
          <w:numId w:val="13"/>
        </w:numPr>
        <w:tabs>
          <w:tab w:val="num" w:pos="720"/>
        </w:tabs>
        <w:spacing w:after="0" w:line="360" w:lineRule="auto"/>
        <w:rPr>
          <w:rFonts w:eastAsia="Calibri" w:cs="Tahoma"/>
          <w:b/>
          <w:bCs/>
          <w:iCs/>
          <w:color w:val="auto"/>
          <w:lang w:eastAsia="es-ES_tradnl"/>
        </w:rPr>
      </w:pPr>
      <w:r w:rsidRPr="00A93267">
        <w:rPr>
          <w:rFonts w:eastAsia="Calibri" w:cs="Tahoma"/>
          <w:b/>
          <w:bCs/>
          <w:iCs/>
          <w:color w:val="auto"/>
          <w:lang w:val="es-ES" w:eastAsia="es-ES_tradnl"/>
        </w:rPr>
        <w:t>Matrícula o número de cuenta, de expediente o de control.</w:t>
      </w:r>
    </w:p>
    <w:p w14:paraId="13F24F31" w14:textId="77777777" w:rsidR="006D1E77" w:rsidRPr="00A93267" w:rsidRDefault="006D1E77" w:rsidP="008976D2">
      <w:pPr>
        <w:spacing w:after="0" w:line="360" w:lineRule="auto"/>
        <w:rPr>
          <w:rFonts w:eastAsia="Calibri" w:cs="Times New Roman"/>
          <w:bCs/>
          <w:iCs/>
        </w:rPr>
      </w:pPr>
    </w:p>
    <w:p w14:paraId="51D4CD43" w14:textId="77777777" w:rsidR="006D1E77" w:rsidRPr="00A93267" w:rsidRDefault="006D1E77" w:rsidP="008976D2">
      <w:pPr>
        <w:spacing w:after="0" w:line="360" w:lineRule="auto"/>
        <w:rPr>
          <w:rFonts w:eastAsia="Calibri" w:cs="Times New Roman"/>
          <w:bCs/>
          <w:iCs/>
        </w:rPr>
      </w:pPr>
      <w:r w:rsidRPr="00A93267">
        <w:rPr>
          <w:rFonts w:eastAsia="Calibri" w:cs="Times New Roman"/>
          <w:bCs/>
          <w:iCs/>
        </w:rPr>
        <w:t>Ahora bien, por lo que hace a la matrícula, el número de cuenta, de expediente o de control, estos corresponden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6BD36199" w14:textId="77777777" w:rsidR="006D1E77" w:rsidRPr="00A93267" w:rsidRDefault="006D1E77" w:rsidP="008976D2">
      <w:pPr>
        <w:spacing w:after="0" w:line="360" w:lineRule="auto"/>
        <w:rPr>
          <w:rFonts w:eastAsia="Calibri" w:cs="Times New Roman"/>
          <w:bCs/>
          <w:iCs/>
        </w:rPr>
      </w:pPr>
      <w:r w:rsidRPr="00A93267">
        <w:rPr>
          <w:rFonts w:eastAsia="Calibri" w:cs="Times New Roman"/>
          <w:bCs/>
          <w:iCs/>
        </w:rPr>
        <w:t> </w:t>
      </w:r>
    </w:p>
    <w:p w14:paraId="275417C1" w14:textId="77777777" w:rsidR="006D1E77" w:rsidRPr="00A93267" w:rsidRDefault="006D1E77" w:rsidP="008976D2">
      <w:pPr>
        <w:spacing w:after="0" w:line="360" w:lineRule="auto"/>
        <w:rPr>
          <w:rFonts w:eastAsia="Calibri" w:cs="Times New Roman"/>
          <w:bCs/>
          <w:iCs/>
        </w:rPr>
      </w:pPr>
      <w:r w:rsidRPr="00A93267">
        <w:rPr>
          <w:rFonts w:eastAsia="Calibri" w:cs="Times New Roman"/>
          <w:bCs/>
          <w:iCs/>
        </w:rPr>
        <w:lastRenderedPageBreak/>
        <w:t>De tales circunstancias, se considera que el dato en comento, es información confidencial lo cual atañe únicamente a los alumnos y a la institución educativa, por lo que, son clasificados en términos del artículo 143, fracción I de la Ley de la materia.</w:t>
      </w:r>
    </w:p>
    <w:p w14:paraId="6020139D" w14:textId="77777777" w:rsidR="006D1E77" w:rsidRPr="00A93267" w:rsidRDefault="006D1E77" w:rsidP="008976D2">
      <w:pPr>
        <w:spacing w:after="0" w:line="360" w:lineRule="auto"/>
        <w:rPr>
          <w:rFonts w:eastAsia="Calibri" w:cs="Times New Roman"/>
          <w:bCs/>
          <w:iCs/>
        </w:rPr>
      </w:pPr>
    </w:p>
    <w:p w14:paraId="499D5955" w14:textId="77777777" w:rsidR="006D1E77" w:rsidRPr="00A93267" w:rsidRDefault="006D1E77" w:rsidP="008976D2">
      <w:pPr>
        <w:numPr>
          <w:ilvl w:val="0"/>
          <w:numId w:val="13"/>
        </w:numPr>
        <w:tabs>
          <w:tab w:val="num" w:pos="720"/>
        </w:tabs>
        <w:spacing w:after="0" w:line="360" w:lineRule="auto"/>
        <w:rPr>
          <w:rFonts w:eastAsia="Calibri" w:cs="Tahoma"/>
          <w:iCs/>
          <w:color w:val="auto"/>
          <w:lang w:eastAsia="es-ES_tradnl"/>
        </w:rPr>
      </w:pPr>
      <w:r w:rsidRPr="00A93267">
        <w:rPr>
          <w:rFonts w:eastAsia="Calibri" w:cs="Tahoma"/>
          <w:b/>
          <w:bCs/>
          <w:iCs/>
          <w:color w:val="auto"/>
          <w:lang w:eastAsia="es-ES_tradnl"/>
        </w:rPr>
        <w:t>Calificaciones, créditos y promedio.</w:t>
      </w:r>
    </w:p>
    <w:p w14:paraId="3478EFEA" w14:textId="77777777" w:rsidR="006D1E77" w:rsidRPr="00A93267" w:rsidRDefault="006D1E77" w:rsidP="008976D2">
      <w:pPr>
        <w:spacing w:after="0" w:line="360" w:lineRule="auto"/>
        <w:rPr>
          <w:rFonts w:eastAsia="Times New Roman" w:cs="Tahoma"/>
          <w:color w:val="auto"/>
          <w:lang w:val="es-ES" w:eastAsia="es-ES"/>
        </w:rPr>
      </w:pPr>
    </w:p>
    <w:p w14:paraId="1E98BC47" w14:textId="77777777" w:rsidR="006D1E77" w:rsidRPr="00A93267" w:rsidRDefault="006D1E77" w:rsidP="008976D2">
      <w:pPr>
        <w:spacing w:after="0" w:line="360" w:lineRule="auto"/>
        <w:rPr>
          <w:rFonts w:eastAsia="Calibri" w:cs="Times New Roman"/>
          <w:bCs/>
          <w:iCs/>
        </w:rPr>
      </w:pPr>
      <w:r w:rsidRPr="00A93267">
        <w:rPr>
          <w:rFonts w:eastAsia="Calibri" w:cs="Times New Roman"/>
          <w:bCs/>
          <w:iCs/>
        </w:rPr>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14:paraId="647BA238" w14:textId="77777777" w:rsidR="006D1E77" w:rsidRPr="00A93267" w:rsidRDefault="006D1E77" w:rsidP="008976D2">
      <w:pPr>
        <w:spacing w:after="0" w:line="360" w:lineRule="auto"/>
        <w:rPr>
          <w:rFonts w:eastAsia="Calibri" w:cs="Times New Roman"/>
          <w:bCs/>
          <w:iCs/>
        </w:rPr>
      </w:pPr>
      <w:r w:rsidRPr="00A93267">
        <w:rPr>
          <w:rFonts w:eastAsia="Calibri" w:cs="Times New Roman"/>
          <w:bCs/>
          <w:iCs/>
        </w:rPr>
        <w:t> </w:t>
      </w:r>
    </w:p>
    <w:p w14:paraId="760B218C" w14:textId="77777777" w:rsidR="006D1E77" w:rsidRPr="00A93267" w:rsidRDefault="006D1E77" w:rsidP="008976D2">
      <w:pPr>
        <w:spacing w:after="0" w:line="360" w:lineRule="auto"/>
        <w:rPr>
          <w:rFonts w:eastAsia="Calibri" w:cs="Times New Roman"/>
          <w:bCs/>
          <w:iCs/>
        </w:rPr>
      </w:pPr>
      <w:r w:rsidRPr="00A93267">
        <w:rPr>
          <w:rFonts w:eastAsia="Calibri" w:cs="Times New Roman"/>
          <w:bCs/>
          <w:iCs/>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2412E495" w14:textId="77777777" w:rsidR="006D1E77" w:rsidRPr="00A93267" w:rsidRDefault="006D1E77" w:rsidP="008976D2">
      <w:pPr>
        <w:spacing w:after="0" w:line="360" w:lineRule="auto"/>
        <w:rPr>
          <w:rFonts w:eastAsia="Calibri" w:cs="Times New Roman"/>
          <w:bCs/>
          <w:iCs/>
        </w:rPr>
      </w:pPr>
      <w:r w:rsidRPr="00A93267">
        <w:rPr>
          <w:rFonts w:eastAsia="Calibri" w:cs="Times New Roman"/>
          <w:bCs/>
          <w:iCs/>
        </w:rPr>
        <w:t> </w:t>
      </w:r>
    </w:p>
    <w:p w14:paraId="03D7F130" w14:textId="77777777" w:rsidR="006D1E77" w:rsidRPr="00A93267" w:rsidRDefault="006D1E77" w:rsidP="008976D2">
      <w:pPr>
        <w:spacing w:after="0" w:line="360" w:lineRule="auto"/>
        <w:rPr>
          <w:rFonts w:eastAsia="Calibri" w:cs="Times New Roman"/>
          <w:bCs/>
          <w:iCs/>
        </w:rPr>
      </w:pPr>
      <w:r w:rsidRPr="00A93267">
        <w:rPr>
          <w:rFonts w:eastAsia="Calibri" w:cs="Times New Roman"/>
          <w:bCs/>
          <w:iCs/>
        </w:rPr>
        <w:t>En atención con lo anterior, se considera que las calificaciones obtenidas por un servidor público, es información íntima de los alumnos, pues corresponde a su desempeño escolar, lo cual únicamente atañe a estos, por lo que se considera que es un dato confidencial.</w:t>
      </w:r>
    </w:p>
    <w:p w14:paraId="0E4C75BD" w14:textId="77777777" w:rsidR="006D1E77" w:rsidRPr="00A93267" w:rsidRDefault="006D1E77" w:rsidP="008976D2">
      <w:pPr>
        <w:spacing w:after="0" w:line="360" w:lineRule="auto"/>
        <w:rPr>
          <w:rFonts w:eastAsia="Times New Roman" w:cs="Tahoma"/>
          <w:color w:val="auto"/>
          <w:lang w:val="es-ES" w:eastAsia="es-ES"/>
        </w:rPr>
      </w:pPr>
    </w:p>
    <w:p w14:paraId="264D8916" w14:textId="77777777" w:rsidR="006D1E77" w:rsidRPr="00A93267" w:rsidRDefault="006D1E77" w:rsidP="008976D2">
      <w:pPr>
        <w:spacing w:after="0" w:line="360" w:lineRule="auto"/>
        <w:rPr>
          <w:rFonts w:eastAsia="Calibri" w:cs="Tahoma"/>
          <w:iCs/>
          <w:lang w:eastAsia="es-ES_tradnl"/>
        </w:rPr>
      </w:pPr>
      <w:r w:rsidRPr="00A93267">
        <w:rPr>
          <w:rFonts w:eastAsia="Calibri" w:cs="Tahoma"/>
          <w:iCs/>
          <w:lang w:eastAsia="es-ES_tradnl"/>
        </w:rPr>
        <w:lastRenderedPageBreak/>
        <w:t xml:space="preserve">Ahora bien, por lo que hace a los créditos, en la página de la Secretaría de Educación Pública (consultado el veinticuatro de septiembre de dos mil veinte, a las trece horas, con treinta minutos en el vínculo electrónico </w:t>
      </w:r>
      <w:hyperlink r:id="rId25" w:history="1">
        <w:r w:rsidRPr="00A93267">
          <w:rPr>
            <w:rFonts w:eastAsia="Calibri" w:cs="Tahoma"/>
            <w:iCs/>
            <w:color w:val="0563C1" w:themeColor="hyperlink"/>
            <w:u w:val="single"/>
            <w:lang w:eastAsia="es-ES_tradnl"/>
          </w:rPr>
          <w:t>https://www.dgespe.sep.gob.mx/reforma_curricular/planes/lepree/creditos</w:t>
        </w:r>
      </w:hyperlink>
      <w:r w:rsidRPr="00A93267">
        <w:rPr>
          <w:rFonts w:eastAsia="Calibri" w:cs="Tahoma"/>
          <w:iCs/>
          <w:lang w:eastAsia="es-ES_tradnl"/>
        </w:rPr>
        <w:t>), establece que los créditos académicos es una unidad de medida del trabajo que realiza el estudiante y cuantifica las actividades de aprendizaje consideradas en los planes de estudio; además, representa un valor para realizar intercambios, con otras instituciones de Educación Superior.</w:t>
      </w:r>
    </w:p>
    <w:p w14:paraId="0790D807" w14:textId="77777777" w:rsidR="006D1E77" w:rsidRPr="00A93267" w:rsidRDefault="006D1E77" w:rsidP="008976D2">
      <w:pPr>
        <w:spacing w:after="0" w:line="360" w:lineRule="auto"/>
        <w:rPr>
          <w:rFonts w:eastAsia="Calibri" w:cs="Tahoma"/>
          <w:iCs/>
          <w:lang w:eastAsia="es-ES_tradnl"/>
        </w:rPr>
      </w:pPr>
    </w:p>
    <w:p w14:paraId="5ABC3F83" w14:textId="77777777" w:rsidR="006D1E77" w:rsidRPr="00A93267" w:rsidRDefault="006D1E77" w:rsidP="008976D2">
      <w:pPr>
        <w:spacing w:after="0" w:line="360" w:lineRule="auto"/>
        <w:rPr>
          <w:rFonts w:eastAsia="Calibri" w:cs="Tahoma"/>
          <w:iCs/>
          <w:lang w:eastAsia="es-ES_tradnl"/>
        </w:rPr>
      </w:pPr>
      <w:r w:rsidRPr="00A93267">
        <w:rPr>
          <w:rFonts w:eastAsia="Calibri" w:cs="Tahoma"/>
          <w:iCs/>
          <w:lang w:eastAsia="es-ES_tradnl"/>
        </w:rPr>
        <w:t xml:space="preserve">En ese orden de ideas, el documento denominado Sistema de Asignación y Transferencia de Créditos Académico, de la Secretaría de Educación Pública (consultados el tres de diciembre de dos mil veinte, a las diecinueve horas, en la liga </w:t>
      </w:r>
      <w:hyperlink r:id="rId26" w:history="1">
        <w:r w:rsidRPr="00A93267">
          <w:rPr>
            <w:rFonts w:eastAsia="Calibri" w:cs="Tahoma"/>
            <w:iCs/>
            <w:color w:val="0563C1" w:themeColor="hyperlink"/>
            <w:u w:val="single"/>
            <w:lang w:eastAsia="es-ES_tradnl"/>
          </w:rPr>
          <w:t>http://ces.cs.buap.mx/SATCA.pdf</w:t>
        </w:r>
      </w:hyperlink>
      <w:r w:rsidRPr="00A93267">
        <w:rPr>
          <w:rFonts w:eastAsia="Calibri" w:cs="Tahoma"/>
          <w:iCs/>
          <w:lang w:eastAsia="es-ES_tradnl"/>
        </w:rPr>
        <w:t>), establece que el sistema de créditos permite:</w:t>
      </w:r>
    </w:p>
    <w:p w14:paraId="02DD5C8F" w14:textId="77777777" w:rsidR="006D1E77" w:rsidRPr="00A93267" w:rsidRDefault="006D1E77" w:rsidP="008976D2">
      <w:pPr>
        <w:spacing w:after="0" w:line="360" w:lineRule="auto"/>
        <w:rPr>
          <w:rFonts w:eastAsia="Calibri" w:cs="Tahoma"/>
          <w:iCs/>
          <w:lang w:eastAsia="es-ES_tradnl"/>
        </w:rPr>
      </w:pPr>
    </w:p>
    <w:p w14:paraId="228CEF24" w14:textId="77777777" w:rsidR="00902B9A" w:rsidRPr="00A93267" w:rsidRDefault="006D1E77" w:rsidP="00322A9A">
      <w:pPr>
        <w:numPr>
          <w:ilvl w:val="0"/>
          <w:numId w:val="15"/>
        </w:numPr>
        <w:spacing w:after="0" w:line="360" w:lineRule="auto"/>
        <w:jc w:val="left"/>
        <w:rPr>
          <w:rFonts w:eastAsia="Calibri" w:cs="Tahoma"/>
          <w:iCs/>
          <w:lang w:eastAsia="es-ES_tradnl"/>
        </w:rPr>
      </w:pPr>
      <w:r w:rsidRPr="00A93267">
        <w:rPr>
          <w:rFonts w:eastAsia="Calibri" w:cs="Tahoma"/>
          <w:iCs/>
          <w:lang w:eastAsia="es-ES_tradnl"/>
        </w:rPr>
        <w:t>Acreditar lo que un estudiante aprende, independiente de los ciclos escolares, etapas formativas, grados y lugar;</w:t>
      </w:r>
    </w:p>
    <w:p w14:paraId="1E70B77C" w14:textId="77777777" w:rsidR="00902B9A" w:rsidRPr="00A93267" w:rsidRDefault="00902B9A" w:rsidP="00902B9A">
      <w:pPr>
        <w:spacing w:after="0" w:line="360" w:lineRule="auto"/>
        <w:ind w:left="720"/>
        <w:jc w:val="left"/>
        <w:rPr>
          <w:rFonts w:eastAsia="Calibri" w:cs="Tahoma"/>
          <w:iCs/>
          <w:lang w:eastAsia="es-ES_tradnl"/>
        </w:rPr>
      </w:pPr>
    </w:p>
    <w:p w14:paraId="598C8FFA" w14:textId="13BEEC02" w:rsidR="006D1E77" w:rsidRPr="00A93267" w:rsidRDefault="006D1E77" w:rsidP="00322A9A">
      <w:pPr>
        <w:numPr>
          <w:ilvl w:val="0"/>
          <w:numId w:val="15"/>
        </w:numPr>
        <w:spacing w:after="0" w:line="360" w:lineRule="auto"/>
        <w:jc w:val="left"/>
        <w:rPr>
          <w:rFonts w:eastAsia="Calibri" w:cs="Tahoma"/>
          <w:iCs/>
          <w:lang w:eastAsia="es-ES_tradnl"/>
        </w:rPr>
      </w:pPr>
      <w:r w:rsidRPr="00A93267">
        <w:rPr>
          <w:rFonts w:eastAsia="Calibri" w:cs="Tahoma"/>
          <w:iCs/>
          <w:lang w:eastAsia="es-ES_tradnl"/>
        </w:rPr>
        <w:t>Acreditar aprendizajes situados en ambientes reales y transdisciplinarios, y</w:t>
      </w:r>
    </w:p>
    <w:p w14:paraId="42C2A697" w14:textId="77777777" w:rsidR="00902B9A" w:rsidRPr="00A93267" w:rsidRDefault="00902B9A" w:rsidP="00902B9A">
      <w:pPr>
        <w:pStyle w:val="Prrafodelista"/>
        <w:rPr>
          <w:rFonts w:eastAsia="Calibri" w:cs="Tahoma"/>
          <w:iCs/>
          <w:lang w:eastAsia="es-ES_tradnl"/>
        </w:rPr>
      </w:pPr>
    </w:p>
    <w:p w14:paraId="007C45AE" w14:textId="77777777" w:rsidR="006D1E77" w:rsidRPr="00A93267" w:rsidRDefault="006D1E77" w:rsidP="008976D2">
      <w:pPr>
        <w:numPr>
          <w:ilvl w:val="0"/>
          <w:numId w:val="15"/>
        </w:numPr>
        <w:spacing w:after="0" w:line="360" w:lineRule="auto"/>
        <w:jc w:val="left"/>
        <w:rPr>
          <w:rFonts w:eastAsia="Calibri" w:cs="Tahoma"/>
          <w:iCs/>
          <w:lang w:eastAsia="es-ES_tradnl"/>
        </w:rPr>
      </w:pPr>
      <w:r w:rsidRPr="00A93267">
        <w:rPr>
          <w:rFonts w:eastAsia="Calibri" w:cs="Tahoma"/>
          <w:iCs/>
          <w:lang w:eastAsia="es-ES_tradnl"/>
        </w:rPr>
        <w:t>Evaluar los avances del aprendizaje de suma de créditos.</w:t>
      </w:r>
    </w:p>
    <w:p w14:paraId="3A89DF1B" w14:textId="77777777" w:rsidR="006D1E77" w:rsidRPr="00A93267" w:rsidRDefault="006D1E77" w:rsidP="008976D2">
      <w:pPr>
        <w:spacing w:after="0" w:line="360" w:lineRule="auto"/>
        <w:rPr>
          <w:rFonts w:eastAsia="Calibri" w:cs="Tahoma"/>
          <w:iCs/>
          <w:lang w:eastAsia="es-ES_tradnl"/>
        </w:rPr>
      </w:pPr>
    </w:p>
    <w:p w14:paraId="5640DFCE" w14:textId="77777777" w:rsidR="006D1E77" w:rsidRPr="00A93267" w:rsidRDefault="006D1E77" w:rsidP="008976D2">
      <w:pPr>
        <w:spacing w:after="0" w:line="360" w:lineRule="auto"/>
        <w:rPr>
          <w:rFonts w:eastAsia="Calibri" w:cs="Tahoma"/>
          <w:iCs/>
          <w:lang w:eastAsia="es-ES_tradnl"/>
        </w:rPr>
      </w:pPr>
      <w:r w:rsidRPr="00A93267">
        <w:rPr>
          <w:rFonts w:eastAsia="Calibri" w:cs="Tahoma"/>
          <w:iCs/>
          <w:lang w:eastAsia="es-ES_tradnl"/>
        </w:rPr>
        <w:t>Como se logra observar, los créditos dan cuenta de los aprendizajes que ha obtenido el estudiante; por lo que, también da cuenta grado de conocimientos adquiridos en una asignatura y, por lo tanto, corresponden a cuestiones relacionadas con el ámbito privado del servidor público.</w:t>
      </w:r>
    </w:p>
    <w:p w14:paraId="11D6D4B4" w14:textId="77777777" w:rsidR="006D1E77" w:rsidRPr="00A93267" w:rsidRDefault="006D1E77" w:rsidP="008976D2">
      <w:pPr>
        <w:spacing w:after="0" w:line="360" w:lineRule="auto"/>
        <w:rPr>
          <w:rFonts w:eastAsia="Calibri" w:cs="Tahoma"/>
          <w:iCs/>
          <w:lang w:eastAsia="es-ES_tradnl"/>
        </w:rPr>
      </w:pPr>
    </w:p>
    <w:p w14:paraId="79AAC252" w14:textId="77777777" w:rsidR="006D1E77" w:rsidRPr="00A93267" w:rsidRDefault="006D1E77" w:rsidP="008976D2">
      <w:pPr>
        <w:spacing w:after="0" w:line="360" w:lineRule="auto"/>
        <w:rPr>
          <w:rFonts w:eastAsia="Calibri" w:cs="Tahoma"/>
          <w:bCs/>
          <w:color w:val="auto"/>
        </w:rPr>
      </w:pPr>
      <w:r w:rsidRPr="00A93267">
        <w:rPr>
          <w:rFonts w:eastAsia="Calibri" w:cs="Tahoma"/>
          <w:iCs/>
          <w:lang w:eastAsia="es-ES_tradnl"/>
        </w:rPr>
        <w:t xml:space="preserve">Finalmente, el promedio es la suma de las calificaciones y créditos, respectivamente que obtuvo una persona, durante un determinado curso, carrera, entre otros, por lo que, refleja el </w:t>
      </w:r>
      <w:r w:rsidRPr="00A93267">
        <w:rPr>
          <w:rFonts w:eastAsia="Times New Roman" w:cs="Times New Roman"/>
          <w:color w:val="auto"/>
          <w:lang w:val="es-ES" w:eastAsia="es-MX"/>
        </w:rPr>
        <w:t xml:space="preserve">grado de </w:t>
      </w:r>
      <w:r w:rsidRPr="00A93267">
        <w:rPr>
          <w:rFonts w:eastAsia="Times New Roman" w:cs="Times New Roman"/>
          <w:color w:val="auto"/>
          <w:lang w:val="es-ES" w:eastAsia="es-MX"/>
        </w:rPr>
        <w:lastRenderedPageBreak/>
        <w:t>conocimientos adquiridos durante el desarrollo escolar, lo cual, corresponde a una cuestión privada del servidor público.</w:t>
      </w:r>
    </w:p>
    <w:p w14:paraId="26EDC830" w14:textId="77777777" w:rsidR="006D1E77" w:rsidRPr="00A93267" w:rsidRDefault="006D1E77" w:rsidP="008976D2">
      <w:pPr>
        <w:spacing w:after="0" w:line="360" w:lineRule="auto"/>
        <w:rPr>
          <w:rFonts w:eastAsia="Calibri" w:cs="Tahoma"/>
          <w:bCs/>
          <w:color w:val="auto"/>
        </w:rPr>
      </w:pPr>
    </w:p>
    <w:p w14:paraId="0B25B1C8" w14:textId="77777777" w:rsidR="006D1E77" w:rsidRPr="00A93267" w:rsidRDefault="006D1E77" w:rsidP="008976D2">
      <w:pPr>
        <w:spacing w:after="0" w:line="360" w:lineRule="auto"/>
        <w:rPr>
          <w:rFonts w:eastAsia="Calibri" w:cs="Tahoma"/>
          <w:bCs/>
          <w:iCs/>
          <w:color w:val="auto"/>
          <w:lang w:val="es-ES"/>
        </w:rPr>
      </w:pPr>
      <w:r w:rsidRPr="00A93267">
        <w:rPr>
          <w:rFonts w:eastAsia="Calibri" w:cs="Tahoma"/>
          <w:bCs/>
          <w:iCs/>
          <w:color w:val="auto"/>
          <w:lang w:val="es-ES_tradnl"/>
        </w:rPr>
        <w:t xml:space="preserve">En ese contexto, toda vez que las calificaciones, créditos y promedios obtenidos, dan cuenta del desempeño obtenido dentro de una asignatura, lo cual, únicamente concierne a la vida íntima de este y forma parte de su vida privada; </w:t>
      </w:r>
      <w:r w:rsidRPr="00A93267">
        <w:rPr>
          <w:rFonts w:eastAsia="Calibri" w:cs="Tahoma"/>
          <w:bCs/>
          <w:iCs/>
          <w:color w:val="auto"/>
        </w:rPr>
        <w:t xml:space="preserve">al respecto </w:t>
      </w:r>
      <w:r w:rsidRPr="00A93267">
        <w:rPr>
          <w:rFonts w:eastAsia="Calibri" w:cs="Tahoma"/>
          <w:bCs/>
          <w:iCs/>
          <w:color w:val="auto"/>
          <w:lang w:val="es-ES"/>
        </w:rPr>
        <w:t>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4021FF0D" w14:textId="77777777" w:rsidR="006D1E77" w:rsidRPr="00A93267" w:rsidRDefault="006D1E77" w:rsidP="008976D2">
      <w:pPr>
        <w:spacing w:after="0" w:line="360" w:lineRule="auto"/>
        <w:rPr>
          <w:rFonts w:eastAsia="Calibri" w:cs="Tahoma"/>
          <w:bCs/>
          <w:iCs/>
          <w:color w:val="auto"/>
          <w:lang w:val="es-ES"/>
        </w:rPr>
      </w:pPr>
    </w:p>
    <w:p w14:paraId="734274CE" w14:textId="77777777" w:rsidR="006D1E77" w:rsidRPr="00A93267" w:rsidRDefault="006D1E77" w:rsidP="008976D2">
      <w:pPr>
        <w:spacing w:after="0" w:line="360" w:lineRule="auto"/>
        <w:ind w:left="567" w:right="567"/>
        <w:rPr>
          <w:rFonts w:eastAsia="Calibri" w:cs="Tahoma"/>
          <w:bCs/>
          <w:i/>
          <w:iCs/>
          <w:color w:val="auto"/>
          <w:sz w:val="20"/>
          <w:szCs w:val="20"/>
          <w:lang w:val="es-ES"/>
        </w:rPr>
      </w:pPr>
      <w:r w:rsidRPr="00A93267">
        <w:rPr>
          <w:rFonts w:eastAsia="Calibri" w:cs="Tahoma"/>
          <w:bCs/>
          <w:i/>
          <w:iCs/>
          <w:color w:val="auto"/>
          <w:sz w:val="20"/>
          <w:szCs w:val="20"/>
          <w:lang w:val="es-ES"/>
        </w:rPr>
        <w:t>“</w:t>
      </w:r>
      <w:r w:rsidRPr="00A93267">
        <w:rPr>
          <w:rFonts w:eastAsia="Calibri" w:cs="Tahoma"/>
          <w:b/>
          <w:bCs/>
          <w:i/>
          <w:iCs/>
          <w:color w:val="auto"/>
          <w:sz w:val="20"/>
          <w:szCs w:val="20"/>
          <w:lang w:val="es-ES"/>
        </w:rPr>
        <w:t xml:space="preserve">DERECHO A LA VIDA PRIVADA. SU CONTENIDO GENERAL Y LA IMPORTANCIA DE NO DESCONTEXTUALIZAR LAS REFERENCIAS A LA MISMA. </w:t>
      </w:r>
      <w:r w:rsidRPr="00A93267">
        <w:rPr>
          <w:rFonts w:eastAsia="Calibri" w:cs="Tahoma"/>
          <w:bCs/>
          <w:i/>
          <w:iCs/>
          <w:color w:val="auto"/>
          <w:sz w:val="20"/>
          <w:szCs w:val="20"/>
          <w:lang w:val="es-E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w:t>
      </w:r>
      <w:r w:rsidRPr="00A93267">
        <w:rPr>
          <w:rFonts w:eastAsia="Calibri" w:cs="Tahoma"/>
          <w:bCs/>
          <w:i/>
          <w:iCs/>
          <w:color w:val="auto"/>
          <w:sz w:val="20"/>
          <w:szCs w:val="20"/>
          <w:lang w:val="es-ES"/>
        </w:rPr>
        <w:lastRenderedPageBreak/>
        <w:t xml:space="preserve">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A93267">
        <w:rPr>
          <w:rFonts w:eastAsia="Calibri" w:cs="Tahoma"/>
          <w:b/>
          <w:bCs/>
          <w:i/>
          <w:iCs/>
          <w:color w:val="auto"/>
          <w:sz w:val="20"/>
          <w:szCs w:val="20"/>
          <w:lang w:val="es-E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A93267">
        <w:rPr>
          <w:rFonts w:eastAsia="Calibri" w:cs="Tahoma"/>
          <w:bCs/>
          <w:i/>
          <w:iCs/>
          <w:color w:val="auto"/>
          <w:sz w:val="20"/>
          <w:szCs w:val="20"/>
          <w:lang w:val="es-E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A93267">
        <w:rPr>
          <w:rFonts w:eastAsia="Calibri" w:cs="Tahoma"/>
          <w:b/>
          <w:bCs/>
          <w:i/>
          <w:iCs/>
          <w:color w:val="auto"/>
          <w:sz w:val="20"/>
          <w:szCs w:val="20"/>
          <w:lang w:val="es-ES"/>
        </w:rPr>
        <w:t>En un sentido amplio, entonces, la protección constitucional de la vida privada implica poder conducir parte de la vida de uno protegido de la mirada y las injerencias de los demás</w:t>
      </w:r>
      <w:r w:rsidRPr="00A93267">
        <w:rPr>
          <w:rFonts w:eastAsia="Calibri" w:cs="Tahoma"/>
          <w:bCs/>
          <w:i/>
          <w:iCs/>
          <w:color w:val="auto"/>
          <w:sz w:val="20"/>
          <w:szCs w:val="20"/>
          <w:lang w:val="es-E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5787EFEE" w14:textId="77777777" w:rsidR="006D1E77" w:rsidRPr="00A93267" w:rsidRDefault="006D1E77" w:rsidP="008976D2">
      <w:pPr>
        <w:spacing w:after="0" w:line="360" w:lineRule="auto"/>
        <w:rPr>
          <w:rFonts w:eastAsia="Calibri" w:cs="Tahoma"/>
          <w:bCs/>
          <w:iCs/>
          <w:color w:val="auto"/>
          <w:lang w:val="es-ES"/>
        </w:rPr>
      </w:pPr>
    </w:p>
    <w:p w14:paraId="150C6949" w14:textId="77777777" w:rsidR="006D1E77" w:rsidRPr="00A93267" w:rsidRDefault="006D1E77" w:rsidP="008976D2">
      <w:pPr>
        <w:spacing w:after="0" w:line="360" w:lineRule="auto"/>
        <w:rPr>
          <w:rFonts w:eastAsia="Calibri" w:cs="Tahoma"/>
          <w:b/>
          <w:bCs/>
          <w:iCs/>
          <w:color w:val="auto"/>
          <w:lang w:val="es-ES"/>
        </w:rPr>
      </w:pPr>
      <w:r w:rsidRPr="00A93267">
        <w:rPr>
          <w:rFonts w:eastAsia="Calibri" w:cs="Tahoma"/>
          <w:bCs/>
          <w:iCs/>
          <w:color w:val="auto"/>
          <w:lang w:val="es-ES"/>
        </w:rPr>
        <w:t xml:space="preserve">De conformidad con lo señalado, se colige que </w:t>
      </w:r>
      <w:r w:rsidRPr="00A93267">
        <w:rPr>
          <w:rFonts w:eastAsia="Calibri" w:cs="Tahoma"/>
          <w:b/>
          <w:bCs/>
          <w:iCs/>
          <w:color w:val="auto"/>
          <w:lang w:val="es-ES"/>
        </w:rPr>
        <w:t>las actividades que realicen los particulares, dentro del ámbito privado, o dentro de la esfera particular, es información que debe protegerse.</w:t>
      </w:r>
    </w:p>
    <w:p w14:paraId="182FD79C" w14:textId="77777777" w:rsidR="006D1E77" w:rsidRPr="00A93267" w:rsidRDefault="006D1E77" w:rsidP="008976D2">
      <w:pPr>
        <w:spacing w:after="0" w:line="360" w:lineRule="auto"/>
        <w:rPr>
          <w:rFonts w:eastAsia="Calibri" w:cs="Tahoma"/>
          <w:bCs/>
          <w:iCs/>
          <w:color w:val="auto"/>
        </w:rPr>
      </w:pPr>
    </w:p>
    <w:p w14:paraId="7E6F3716" w14:textId="77777777" w:rsidR="006D1E77" w:rsidRPr="00A93267" w:rsidRDefault="006D1E77" w:rsidP="008976D2">
      <w:pPr>
        <w:spacing w:after="0" w:line="360" w:lineRule="auto"/>
        <w:rPr>
          <w:rFonts w:eastAsia="Calibri" w:cs="Tahoma"/>
          <w:bCs/>
          <w:iCs/>
          <w:color w:val="auto"/>
        </w:rPr>
      </w:pPr>
      <w:r w:rsidRPr="00A93267">
        <w:rPr>
          <w:rFonts w:eastAsia="Calibri" w:cs="Tahoma"/>
          <w:bCs/>
          <w:iCs/>
          <w:color w:val="auto"/>
        </w:rPr>
        <w:t>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14:paraId="0BA148C6" w14:textId="77777777" w:rsidR="006D1E77" w:rsidRPr="00A93267" w:rsidRDefault="006D1E77" w:rsidP="008976D2">
      <w:pPr>
        <w:spacing w:after="0" w:line="360" w:lineRule="auto"/>
        <w:rPr>
          <w:rFonts w:eastAsia="Calibri" w:cs="Tahoma"/>
          <w:bCs/>
        </w:rPr>
      </w:pPr>
    </w:p>
    <w:p w14:paraId="4571781F" w14:textId="77777777" w:rsidR="006D1E77" w:rsidRPr="00A93267" w:rsidRDefault="006D1E77" w:rsidP="008976D2">
      <w:pPr>
        <w:numPr>
          <w:ilvl w:val="0"/>
          <w:numId w:val="13"/>
        </w:numPr>
        <w:tabs>
          <w:tab w:val="num" w:pos="720"/>
        </w:tabs>
        <w:spacing w:after="0" w:line="360" w:lineRule="auto"/>
        <w:rPr>
          <w:rFonts w:eastAsia="Times New Roman" w:cs="Tahoma"/>
          <w:b/>
          <w:bCs/>
          <w:color w:val="auto"/>
          <w:lang w:val="es-ES" w:eastAsia="es-ES"/>
        </w:rPr>
      </w:pPr>
      <w:r w:rsidRPr="00A93267">
        <w:rPr>
          <w:rFonts w:eastAsia="Calibri" w:cs="Tahoma"/>
          <w:b/>
          <w:bCs/>
          <w:iCs/>
          <w:color w:val="auto"/>
          <w:lang w:eastAsia="es-ES_tradnl"/>
        </w:rPr>
        <w:t>Número</w:t>
      </w:r>
      <w:r w:rsidRPr="00A93267">
        <w:rPr>
          <w:rFonts w:eastAsia="Times New Roman" w:cs="Tahoma"/>
          <w:b/>
          <w:bCs/>
          <w:color w:val="auto"/>
          <w:lang w:val="es-ES" w:eastAsia="es-ES"/>
        </w:rPr>
        <w:t xml:space="preserve"> de cédula profesional.</w:t>
      </w:r>
    </w:p>
    <w:p w14:paraId="2D1A0CD6" w14:textId="77777777" w:rsidR="006D1E77" w:rsidRPr="00A93267" w:rsidRDefault="006D1E77" w:rsidP="008976D2">
      <w:pPr>
        <w:spacing w:after="0" w:line="360" w:lineRule="auto"/>
        <w:rPr>
          <w:rFonts w:eastAsia="Times New Roman" w:cs="Tahoma"/>
          <w:color w:val="auto"/>
          <w:sz w:val="20"/>
          <w:lang w:val="es-ES" w:eastAsia="es-ES"/>
        </w:rPr>
      </w:pPr>
    </w:p>
    <w:p w14:paraId="5B6B43D5" w14:textId="77777777" w:rsidR="006D1E77" w:rsidRPr="00A93267" w:rsidRDefault="006D1E77" w:rsidP="008976D2">
      <w:pPr>
        <w:spacing w:after="0" w:line="360" w:lineRule="auto"/>
        <w:rPr>
          <w:rFonts w:eastAsia="Calibri" w:cs="Tahoma"/>
        </w:rPr>
      </w:pPr>
      <w:r w:rsidRPr="00A93267">
        <w:rPr>
          <w:rFonts w:eastAsia="Calibri" w:cs="Tahoma"/>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r:id="rId27" w:history="1">
        <w:r w:rsidRPr="00A93267">
          <w:rPr>
            <w:rFonts w:eastAsia="Calibri" w:cs="Tahoma"/>
            <w:color w:val="0563C1" w:themeColor="hyperlink"/>
            <w:u w:val="single"/>
          </w:rPr>
          <w:t>http://consultatucedula.mx/</w:t>
        </w:r>
      </w:hyperlink>
      <w:r w:rsidRPr="00A93267">
        <w:rPr>
          <w:rFonts w:eastAsia="Calibri" w:cs="Tahoma"/>
        </w:rPr>
        <w:t>).</w:t>
      </w:r>
    </w:p>
    <w:p w14:paraId="3D163744" w14:textId="77777777" w:rsidR="006D1E77" w:rsidRPr="00A93267" w:rsidRDefault="006D1E77" w:rsidP="008976D2">
      <w:pPr>
        <w:spacing w:after="0" w:line="360" w:lineRule="auto"/>
        <w:rPr>
          <w:rFonts w:eastAsia="Calibri" w:cs="Tahoma"/>
        </w:rPr>
      </w:pPr>
    </w:p>
    <w:p w14:paraId="18531355" w14:textId="77777777" w:rsidR="006D1E77" w:rsidRPr="00A93267" w:rsidRDefault="006D1E77" w:rsidP="008976D2">
      <w:pPr>
        <w:spacing w:after="0" w:line="360" w:lineRule="auto"/>
        <w:rPr>
          <w:rFonts w:eastAsia="Calibri" w:cs="Tahoma"/>
          <w:lang w:val="es-ES"/>
        </w:rPr>
      </w:pPr>
      <w:r w:rsidRPr="00A93267">
        <w:rPr>
          <w:rFonts w:eastAsia="Calibri" w:cs="Tahoma"/>
        </w:rPr>
        <w:t>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w:t>
      </w:r>
      <w:r w:rsidRPr="00A93267">
        <w:rPr>
          <w:rFonts w:eastAsia="Calibri" w:cs="Tahoma"/>
          <w:lang w:val="es-ES"/>
        </w:rPr>
        <w:t xml:space="preserve"> artículos 3° y 23, fracción IV, de la Ley Reglamentaria del Artículo 5° Constitucional, Relativo al Ejercicio de las Profesiones en la Ciudad de México.</w:t>
      </w:r>
    </w:p>
    <w:p w14:paraId="46195F5F" w14:textId="77777777" w:rsidR="006D1E77" w:rsidRPr="00A93267" w:rsidRDefault="006D1E77" w:rsidP="008976D2">
      <w:pPr>
        <w:spacing w:after="0" w:line="360" w:lineRule="auto"/>
        <w:rPr>
          <w:rFonts w:eastAsia="Calibri" w:cs="Tahoma"/>
        </w:rPr>
      </w:pPr>
    </w:p>
    <w:p w14:paraId="566CA1E4" w14:textId="77777777" w:rsidR="006D1E77" w:rsidRPr="00A93267" w:rsidRDefault="006D1E77" w:rsidP="008976D2">
      <w:pPr>
        <w:spacing w:after="0" w:line="360" w:lineRule="auto"/>
        <w:rPr>
          <w:rFonts w:eastAsia="Calibri" w:cs="Tahoma"/>
          <w:bCs/>
          <w:iCs/>
          <w:lang w:val="es-ES"/>
        </w:rPr>
      </w:pPr>
      <w:r w:rsidRPr="00A93267">
        <w:rPr>
          <w:rFonts w:eastAsia="Calibri" w:cs="Tahoma"/>
          <w:bCs/>
          <w:iCs/>
          <w:lang w:val="es-ES"/>
        </w:rPr>
        <w:t xml:space="preserve">En ese contexto, el documento en cuestión da cuenta de la preparación y sirve como medios de identificación, para que su titular lo relacionen con el nivel de estudios con que cuenta, por lo </w:t>
      </w:r>
      <w:r w:rsidRPr="00A93267">
        <w:rPr>
          <w:rFonts w:eastAsia="Calibri" w:cs="Tahoma"/>
          <w:bCs/>
          <w:iCs/>
          <w:lang w:val="es-ES"/>
        </w:rPr>
        <w:lastRenderedPageBreak/>
        <w:t>que, se trata de un documento de naturaleza pública; además, que puede dar el grado máximo de estudios de la persona en cuestión.</w:t>
      </w:r>
    </w:p>
    <w:p w14:paraId="208B94A0" w14:textId="77777777" w:rsidR="006D1E77" w:rsidRPr="00A93267" w:rsidRDefault="006D1E77" w:rsidP="008976D2">
      <w:pPr>
        <w:spacing w:after="0" w:line="360" w:lineRule="auto"/>
        <w:rPr>
          <w:rFonts w:eastAsia="Calibri" w:cs="Tahoma"/>
          <w:bCs/>
          <w:iCs/>
          <w:lang w:val="es-ES"/>
        </w:rPr>
      </w:pPr>
    </w:p>
    <w:p w14:paraId="25D18E13" w14:textId="77777777" w:rsidR="006D1E77" w:rsidRPr="00A93267" w:rsidRDefault="006D1E77" w:rsidP="008976D2">
      <w:pPr>
        <w:spacing w:after="0" w:line="360" w:lineRule="auto"/>
        <w:rPr>
          <w:rFonts w:eastAsia="Calibri" w:cs="Tahoma"/>
          <w:bCs/>
          <w:iCs/>
          <w:lang w:val="es-ES"/>
        </w:rPr>
      </w:pPr>
      <w:r w:rsidRPr="00A93267">
        <w:rPr>
          <w:rFonts w:eastAsia="Calibri" w:cs="Tahoma"/>
          <w:bCs/>
          <w:iCs/>
          <w:lang w:val="es-ES"/>
        </w:rPr>
        <w:t>Además, que dicho número forma parte del Registro Nacional de Profesionistas, y da cuenta de que algún profesionista, en el presente caso, tiene registrado su título, con efectos de patente; por lo que, se considera que el número, al formar parte de un registro público, no actualiza, la causal de clasificación prevista en el artículo 143, fracción I, de la Ley de Transparencia y Acceso a la Información Pública del Estado de México.</w:t>
      </w:r>
    </w:p>
    <w:p w14:paraId="73444178" w14:textId="77777777" w:rsidR="006D1E77" w:rsidRPr="00A93267" w:rsidRDefault="006D1E77" w:rsidP="008976D2">
      <w:pPr>
        <w:spacing w:after="0" w:line="360" w:lineRule="auto"/>
        <w:rPr>
          <w:rFonts w:eastAsia="Calibri" w:cs="Tahoma"/>
          <w:bCs/>
        </w:rPr>
      </w:pPr>
    </w:p>
    <w:p w14:paraId="1C909F3E" w14:textId="77777777" w:rsidR="006D1E77" w:rsidRPr="00A93267" w:rsidRDefault="006D1E77" w:rsidP="008976D2">
      <w:pPr>
        <w:numPr>
          <w:ilvl w:val="0"/>
          <w:numId w:val="13"/>
        </w:numPr>
        <w:tabs>
          <w:tab w:val="num" w:pos="720"/>
        </w:tabs>
        <w:spacing w:after="0" w:line="360" w:lineRule="auto"/>
        <w:rPr>
          <w:rFonts w:eastAsia="Calibri" w:cs="Tahoma"/>
          <w:b/>
        </w:rPr>
      </w:pPr>
      <w:r w:rsidRPr="00A93267">
        <w:rPr>
          <w:rFonts w:eastAsia="Calibri" w:cs="Tahoma"/>
          <w:b/>
        </w:rPr>
        <w:t>Fotografía.</w:t>
      </w:r>
    </w:p>
    <w:p w14:paraId="7339D0BB" w14:textId="77777777" w:rsidR="006D1E77" w:rsidRPr="00A93267" w:rsidRDefault="006D1E77" w:rsidP="008976D2">
      <w:pPr>
        <w:spacing w:after="0" w:line="360" w:lineRule="auto"/>
        <w:ind w:right="-93"/>
        <w:rPr>
          <w:rFonts w:eastAsia="Calibri" w:cs="Tahoma"/>
          <w:bCs/>
          <w:color w:val="auto"/>
          <w:lang w:val="es-ES"/>
        </w:rPr>
      </w:pPr>
    </w:p>
    <w:p w14:paraId="0C099384" w14:textId="77777777" w:rsidR="006D1E77" w:rsidRPr="00A93267" w:rsidRDefault="006D1E77" w:rsidP="008976D2">
      <w:pPr>
        <w:spacing w:after="0" w:line="360" w:lineRule="auto"/>
        <w:ind w:right="-93"/>
        <w:rPr>
          <w:rFonts w:eastAsia="Calibri" w:cs="Tahoma"/>
          <w:bCs/>
          <w:color w:val="auto"/>
          <w:lang w:val="es-ES"/>
        </w:rPr>
      </w:pPr>
      <w:r w:rsidRPr="00A93267">
        <w:rPr>
          <w:rFonts w:eastAsia="Calibri" w:cs="Tahoma"/>
          <w:bCs/>
          <w:color w:val="auto"/>
          <w:lang w:val="es-ES"/>
        </w:rPr>
        <w:t xml:space="preserve">Por lo que hace a las fotografías, es preciso señalar que estas </w:t>
      </w:r>
      <w:r w:rsidRPr="00A93267">
        <w:rPr>
          <w:rFonts w:eastAsia="Calibri" w:cs="Tahoma"/>
          <w:b/>
          <w:bCs/>
          <w:color w:val="auto"/>
          <w:lang w:val="es-ES"/>
        </w:rPr>
        <w:t>dan cuenta de las características físicas de los particulares.</w:t>
      </w:r>
      <w:r w:rsidRPr="00A93267">
        <w:rPr>
          <w:rFonts w:eastAsia="Calibri" w:cs="Tahoma"/>
          <w:bCs/>
          <w:color w:val="auto"/>
          <w:lang w:val="es-ES"/>
        </w:rPr>
        <w:t xml:space="preserve">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66CF2E9" w14:textId="77777777" w:rsidR="006D1E77" w:rsidRPr="00A93267" w:rsidRDefault="006D1E77" w:rsidP="008976D2">
      <w:pPr>
        <w:spacing w:after="0" w:line="360" w:lineRule="auto"/>
        <w:ind w:right="-93"/>
        <w:rPr>
          <w:rFonts w:eastAsia="Calibri" w:cs="Tahoma"/>
          <w:bCs/>
          <w:color w:val="auto"/>
          <w:lang w:val="es-ES"/>
        </w:rPr>
      </w:pPr>
    </w:p>
    <w:p w14:paraId="7CAFCB2D" w14:textId="77777777" w:rsidR="006D1E77" w:rsidRPr="00A93267" w:rsidRDefault="006D1E77" w:rsidP="008976D2">
      <w:pPr>
        <w:spacing w:after="0" w:line="360" w:lineRule="auto"/>
        <w:ind w:right="-93"/>
        <w:rPr>
          <w:rFonts w:eastAsia="Calibri" w:cs="Tahoma"/>
          <w:bCs/>
          <w:color w:val="auto"/>
          <w:lang w:val="es-ES"/>
        </w:rPr>
      </w:pPr>
      <w:r w:rsidRPr="00A93267">
        <w:rPr>
          <w:rFonts w:eastAsia="Calibri" w:cs="Tahoma"/>
          <w:bCs/>
          <w:color w:val="auto"/>
          <w:lang w:val="es-ES"/>
        </w:rPr>
        <w:t>De esa forma, el derecho a la imagen como la representación gráfica de la persona y el derecho a la propia imagen como facultad para permitir o impedir su obtención, reproducción, difusión y distribución por parte de un tercero.</w:t>
      </w:r>
    </w:p>
    <w:p w14:paraId="7F128B2F" w14:textId="77777777" w:rsidR="006D1E77" w:rsidRPr="00A93267" w:rsidRDefault="006D1E77" w:rsidP="008976D2">
      <w:pPr>
        <w:spacing w:after="0" w:line="360" w:lineRule="auto"/>
        <w:ind w:right="-93"/>
        <w:rPr>
          <w:rFonts w:eastAsia="Calibri" w:cs="Tahoma"/>
          <w:bCs/>
          <w:color w:val="auto"/>
          <w:lang w:val="es-ES"/>
        </w:rPr>
      </w:pPr>
    </w:p>
    <w:p w14:paraId="05728470" w14:textId="77777777" w:rsidR="006D1E77" w:rsidRPr="00A93267" w:rsidRDefault="006D1E77" w:rsidP="008976D2">
      <w:pPr>
        <w:spacing w:after="0" w:line="360" w:lineRule="auto"/>
        <w:ind w:right="-93"/>
        <w:rPr>
          <w:rFonts w:eastAsia="Calibri" w:cs="Tahoma"/>
          <w:bCs/>
          <w:color w:val="auto"/>
          <w:lang w:val="es-ES"/>
        </w:rPr>
      </w:pPr>
      <w:r w:rsidRPr="00A93267">
        <w:rPr>
          <w:rFonts w:eastAsia="Calibri" w:cs="Tahoma"/>
          <w:bCs/>
          <w:color w:val="auto"/>
          <w:lang w:val="es-ES"/>
        </w:rPr>
        <w:t>Al respecto, el Pleno de la Suprema Corte de Justicia de la Nación se ha pronunciado en el mismo sentido en la siguiente tesis:</w:t>
      </w:r>
    </w:p>
    <w:p w14:paraId="154F61A1" w14:textId="77777777" w:rsidR="006D1E77" w:rsidRPr="00A93267" w:rsidRDefault="006D1E77" w:rsidP="008976D2">
      <w:pPr>
        <w:spacing w:after="0" w:line="360" w:lineRule="auto"/>
        <w:ind w:right="-93"/>
        <w:rPr>
          <w:rFonts w:eastAsia="Calibri" w:cs="Tahoma"/>
          <w:bCs/>
          <w:color w:val="auto"/>
          <w:lang w:val="es-ES"/>
        </w:rPr>
      </w:pPr>
    </w:p>
    <w:p w14:paraId="21612605" w14:textId="77777777" w:rsidR="006D1E77" w:rsidRPr="00A93267" w:rsidRDefault="006D1E77" w:rsidP="008976D2">
      <w:pPr>
        <w:spacing w:after="0" w:line="360" w:lineRule="auto"/>
        <w:ind w:left="567" w:right="567"/>
        <w:rPr>
          <w:rFonts w:eastAsia="Calibri" w:cs="Tahoma"/>
          <w:bCs/>
          <w:i/>
          <w:color w:val="auto"/>
          <w:sz w:val="20"/>
          <w:szCs w:val="20"/>
          <w:lang w:val="es-ES"/>
        </w:rPr>
      </w:pPr>
      <w:r w:rsidRPr="00A93267">
        <w:rPr>
          <w:rFonts w:eastAsia="Calibri" w:cs="Tahoma"/>
          <w:b/>
          <w:bCs/>
          <w:i/>
          <w:color w:val="auto"/>
          <w:sz w:val="20"/>
          <w:szCs w:val="20"/>
          <w:lang w:val="es-ES"/>
        </w:rPr>
        <w:t xml:space="preserve">“DERECHOS A LA INTIMIDAD, PROPIA IMAGEN, IDENTIDAD PERSONAL Y SEXUAL. CONSTITUYEN DERECHOS DE DEFENSA Y GARANTÍA ESENCIAL PARA </w:t>
      </w:r>
      <w:r w:rsidRPr="00A93267">
        <w:rPr>
          <w:rFonts w:eastAsia="Calibri" w:cs="Tahoma"/>
          <w:b/>
          <w:bCs/>
          <w:i/>
          <w:color w:val="auto"/>
          <w:sz w:val="20"/>
          <w:szCs w:val="20"/>
          <w:lang w:val="es-ES"/>
        </w:rPr>
        <w:lastRenderedPageBreak/>
        <w:t xml:space="preserve">LA CONDICIÓN HUMANA. </w:t>
      </w:r>
      <w:r w:rsidRPr="00A93267">
        <w:rPr>
          <w:rFonts w:eastAsia="Calibri" w:cs="Tahoma"/>
          <w:bCs/>
          <w:i/>
          <w:color w:val="auto"/>
          <w:sz w:val="20"/>
          <w:szCs w:val="20"/>
          <w:lang w:val="es-ES"/>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w:t>
      </w:r>
      <w:r w:rsidRPr="00A93267">
        <w:rPr>
          <w:rFonts w:eastAsia="Calibri" w:cs="Tahoma"/>
          <w:b/>
          <w:bCs/>
          <w:i/>
          <w:color w:val="auto"/>
          <w:sz w:val="20"/>
          <w:szCs w:val="20"/>
          <w:lang w:val="es-ES"/>
        </w:rPr>
        <w:t xml:space="preserve">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w:t>
      </w:r>
      <w:r w:rsidRPr="00A93267">
        <w:rPr>
          <w:rFonts w:eastAsia="Calibri" w:cs="Tahoma"/>
          <w:bCs/>
          <w:i/>
          <w:color w:val="auto"/>
          <w:sz w:val="20"/>
          <w:szCs w:val="20"/>
          <w:lang w:val="es-ES"/>
        </w:rPr>
        <w:t xml:space="preserve">por lo que, si bien no son absolutos, </w:t>
      </w:r>
      <w:r w:rsidRPr="00A93267">
        <w:rPr>
          <w:rFonts w:eastAsia="Calibri" w:cs="Tahoma"/>
          <w:b/>
          <w:bCs/>
          <w:i/>
          <w:color w:val="auto"/>
          <w:sz w:val="20"/>
          <w:szCs w:val="20"/>
          <w:lang w:val="es-ES"/>
        </w:rPr>
        <w:t>sólo por ley podrá justificarse su intromisión, siempre que medie un interés superior</w:t>
      </w:r>
      <w:r w:rsidRPr="00A93267">
        <w:rPr>
          <w:rFonts w:eastAsia="Calibri" w:cs="Tahoma"/>
          <w:bCs/>
          <w:i/>
          <w:color w:val="auto"/>
          <w:sz w:val="20"/>
          <w:szCs w:val="20"/>
          <w:lang w:val="es-ES"/>
        </w:rPr>
        <w:t>.”</w:t>
      </w:r>
    </w:p>
    <w:p w14:paraId="26FC6110" w14:textId="77777777" w:rsidR="006D1E77" w:rsidRPr="00A93267" w:rsidRDefault="006D1E77" w:rsidP="008976D2">
      <w:pPr>
        <w:spacing w:after="0" w:line="360" w:lineRule="auto"/>
        <w:ind w:right="-93"/>
        <w:rPr>
          <w:rFonts w:eastAsia="Calibri" w:cs="Tahoma"/>
          <w:bCs/>
          <w:color w:val="auto"/>
          <w:lang w:val="es-ES"/>
        </w:rPr>
      </w:pPr>
    </w:p>
    <w:p w14:paraId="3B247516" w14:textId="77777777" w:rsidR="006D1E77" w:rsidRPr="00A93267" w:rsidRDefault="006D1E77" w:rsidP="008976D2">
      <w:pPr>
        <w:spacing w:after="0" w:line="360" w:lineRule="auto"/>
        <w:ind w:right="-93"/>
        <w:rPr>
          <w:rFonts w:eastAsia="Calibri" w:cs="Tahoma"/>
          <w:bCs/>
          <w:color w:val="auto"/>
          <w:lang w:val="es-ES"/>
        </w:rPr>
      </w:pPr>
      <w:r w:rsidRPr="00A93267">
        <w:rPr>
          <w:rFonts w:eastAsia="Calibri" w:cs="Tahoma"/>
          <w:bCs/>
          <w:color w:val="auto"/>
          <w:lang w:val="es-ES"/>
        </w:rPr>
        <w:t xml:space="preserve">Así, se advierte que el Máximo Tribunal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mismo </w:t>
      </w:r>
      <w:r w:rsidRPr="00A93267">
        <w:rPr>
          <w:rFonts w:eastAsia="Calibri" w:cs="Tahoma"/>
          <w:bCs/>
          <w:color w:val="auto"/>
          <w:lang w:val="es-ES"/>
        </w:rPr>
        <w:lastRenderedPageBreak/>
        <w:t xml:space="preserve">y se proyecta en la sociedad, de acuerdo con sus caracteres físicos e internos y sus acciones, que lo individualizan ante la sociedad y permiten identificarlo. </w:t>
      </w:r>
    </w:p>
    <w:p w14:paraId="00AC9168" w14:textId="77777777" w:rsidR="006D1E77" w:rsidRPr="00A93267" w:rsidRDefault="006D1E77" w:rsidP="008976D2">
      <w:pPr>
        <w:spacing w:after="0" w:line="360" w:lineRule="auto"/>
        <w:ind w:right="-93"/>
        <w:rPr>
          <w:rFonts w:eastAsia="Calibri" w:cs="Tahoma"/>
          <w:bCs/>
          <w:color w:val="auto"/>
          <w:lang w:val="es-ES"/>
        </w:rPr>
      </w:pPr>
    </w:p>
    <w:p w14:paraId="7752F009" w14:textId="77777777" w:rsidR="006D1E77" w:rsidRPr="00A93267" w:rsidRDefault="006D1E77" w:rsidP="008976D2">
      <w:pPr>
        <w:spacing w:after="0" w:line="360" w:lineRule="auto"/>
        <w:ind w:right="-93"/>
        <w:rPr>
          <w:rFonts w:eastAsia="Calibri" w:cs="Tahoma"/>
          <w:bCs/>
          <w:color w:val="auto"/>
          <w:lang w:val="es-ES"/>
        </w:rPr>
      </w:pPr>
      <w:r w:rsidRPr="00A93267">
        <w:rPr>
          <w:rFonts w:eastAsia="Calibri" w:cs="Tahoma"/>
          <w:bCs/>
          <w:color w:val="auto"/>
          <w:lang w:val="es-ES"/>
        </w:rPr>
        <w:t xml:space="preserve">En este tenor, el derecho a la imagen es un derecho inherente a la persona a mantenerse fuera de la injerencia de los demás y se configura como un derecho de defensa y garantía esencial para la condición humana, que pueden reclamarse tanto 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 </w:t>
      </w:r>
    </w:p>
    <w:p w14:paraId="43CF7E62" w14:textId="77777777" w:rsidR="006D1E77" w:rsidRPr="00A93267" w:rsidRDefault="006D1E77" w:rsidP="008976D2">
      <w:pPr>
        <w:spacing w:after="0" w:line="360" w:lineRule="auto"/>
        <w:rPr>
          <w:rFonts w:eastAsia="Calibri" w:cs="Tahoma"/>
          <w:iCs/>
          <w:color w:val="auto"/>
          <w:lang w:eastAsia="es-ES_tradnl"/>
        </w:rPr>
      </w:pPr>
    </w:p>
    <w:p w14:paraId="0A305763" w14:textId="77777777" w:rsidR="006D1E77" w:rsidRPr="00A93267" w:rsidRDefault="006D1E77" w:rsidP="008976D2">
      <w:pPr>
        <w:spacing w:after="0" w:line="360" w:lineRule="auto"/>
        <w:rPr>
          <w:rFonts w:eastAsia="Times New Roman" w:cs="Tahoma"/>
          <w:color w:val="auto"/>
          <w:lang w:eastAsia="es-ES"/>
        </w:rPr>
      </w:pPr>
      <w:r w:rsidRPr="00A93267">
        <w:rPr>
          <w:rFonts w:eastAsia="Calibri" w:cs="Tahoma"/>
          <w:iCs/>
          <w:color w:val="auto"/>
          <w:lang w:eastAsia="es-ES_tradnl"/>
        </w:rPr>
        <w:t xml:space="preserve">Ahora bien, no pasa desapercibido que la fotografía, en el presente caso, se trata de servidores públicos; por lo que, se trae a colación, por analogía, el Criterio 05/09, emitido por el pleno del </w:t>
      </w:r>
      <w:r w:rsidRPr="00A93267">
        <w:rPr>
          <w:rFonts w:eastAsia="Times New Roman" w:cs="Tahoma"/>
          <w:color w:val="auto"/>
          <w:lang w:val="es-ES" w:eastAsia="es-ES"/>
        </w:rPr>
        <w:t>del entonces Instituto Federal de Acceso a la Información y Protección de Datos, que establece que la fotografía de servidores públicos es un dato personal confidencial, al ser la reproducción fiel de las características físicas de una persona en un momento determinado, por lo que representan un instrumento de identificación, proyección exterior y factor imprescindible para su propio reconocimiento como sujeto individual.</w:t>
      </w:r>
    </w:p>
    <w:p w14:paraId="7B952603" w14:textId="77777777" w:rsidR="006D1E77" w:rsidRPr="00A93267" w:rsidRDefault="006D1E77" w:rsidP="008976D2">
      <w:pPr>
        <w:tabs>
          <w:tab w:val="left" w:pos="4962"/>
        </w:tabs>
        <w:spacing w:after="0" w:line="360" w:lineRule="auto"/>
        <w:rPr>
          <w:rFonts w:eastAsia="Calibri" w:cs="Tahoma"/>
          <w:iCs/>
          <w:color w:val="auto"/>
          <w:lang w:eastAsia="es-ES_tradnl"/>
        </w:rPr>
      </w:pPr>
    </w:p>
    <w:p w14:paraId="23E03202" w14:textId="77777777" w:rsidR="006D1E77" w:rsidRPr="00A93267" w:rsidRDefault="006D1E77" w:rsidP="008976D2">
      <w:pPr>
        <w:tabs>
          <w:tab w:val="left" w:pos="4962"/>
        </w:tabs>
        <w:spacing w:after="0" w:line="360" w:lineRule="auto"/>
        <w:rPr>
          <w:rFonts w:eastAsia="Calibri" w:cs="Tahoma"/>
          <w:iCs/>
          <w:color w:val="auto"/>
          <w:lang w:eastAsia="es-ES_tradnl"/>
        </w:rPr>
      </w:pPr>
      <w:r w:rsidRPr="00A93267">
        <w:rPr>
          <w:rFonts w:eastAsia="Calibri" w:cs="Tahoma"/>
          <w:iCs/>
          <w:color w:val="auto"/>
          <w:lang w:eastAsia="es-ES_tradnl"/>
        </w:rPr>
        <w:t>No obstante, lo anterior, la mayoría del Pleno de este Instituto ha sostenido, que la fotografía de los servidores públicos que tengan categoría de mando medio o superior, será de naturaleza pública, toda vez que existe un interés público de dar a conocer dichos datos, por sus atribuciones y funciones de Dirección que desarrolla.</w:t>
      </w:r>
    </w:p>
    <w:p w14:paraId="6AEB465F" w14:textId="77777777" w:rsidR="006D1E77" w:rsidRPr="00A93267" w:rsidRDefault="006D1E77" w:rsidP="008976D2">
      <w:pPr>
        <w:tabs>
          <w:tab w:val="left" w:pos="4962"/>
        </w:tabs>
        <w:spacing w:after="0" w:line="360" w:lineRule="auto"/>
        <w:rPr>
          <w:rFonts w:eastAsia="Calibri" w:cs="Tahoma"/>
          <w:iCs/>
          <w:color w:val="auto"/>
          <w:lang w:eastAsia="es-ES_tradnl"/>
        </w:rPr>
      </w:pPr>
    </w:p>
    <w:p w14:paraId="5EF7ADEF" w14:textId="77777777" w:rsidR="006D1E77" w:rsidRPr="00A93267" w:rsidRDefault="006D1E77" w:rsidP="008976D2">
      <w:pPr>
        <w:tabs>
          <w:tab w:val="left" w:pos="4962"/>
        </w:tabs>
        <w:spacing w:after="0" w:line="360" w:lineRule="auto"/>
        <w:rPr>
          <w:rFonts w:eastAsia="Calibri" w:cs="Tahoma"/>
          <w:iCs/>
          <w:color w:val="auto"/>
          <w:lang w:eastAsia="es-ES_tradnl"/>
        </w:rPr>
      </w:pPr>
      <w:r w:rsidRPr="00A93267">
        <w:rPr>
          <w:rFonts w:eastAsia="Calibri" w:cs="Tahoma"/>
          <w:iCs/>
          <w:color w:val="auto"/>
          <w:lang w:eastAsia="es-ES_tradnl"/>
        </w:rPr>
        <w:t>Lo anterior, se robustece con el Criterio 03/19, emitido por el Pleno de este Instituto, que precisa lo siguiente:</w:t>
      </w:r>
    </w:p>
    <w:p w14:paraId="5ED89ABD" w14:textId="77777777" w:rsidR="006D1E77" w:rsidRPr="00A93267" w:rsidRDefault="006D1E77" w:rsidP="008976D2">
      <w:pPr>
        <w:tabs>
          <w:tab w:val="left" w:pos="4962"/>
        </w:tabs>
        <w:spacing w:after="0" w:line="360" w:lineRule="auto"/>
        <w:rPr>
          <w:rFonts w:eastAsia="Calibri" w:cs="Tahoma"/>
          <w:iCs/>
          <w:color w:val="auto"/>
          <w:lang w:eastAsia="es-ES_tradnl"/>
        </w:rPr>
      </w:pPr>
    </w:p>
    <w:p w14:paraId="407DCBD7" w14:textId="77777777" w:rsidR="00902B9A" w:rsidRPr="00A93267" w:rsidRDefault="00902B9A" w:rsidP="008976D2">
      <w:pPr>
        <w:tabs>
          <w:tab w:val="left" w:pos="4962"/>
        </w:tabs>
        <w:spacing w:after="0" w:line="360" w:lineRule="auto"/>
        <w:rPr>
          <w:rFonts w:eastAsia="Calibri" w:cs="Tahoma"/>
          <w:iCs/>
          <w:color w:val="auto"/>
          <w:lang w:eastAsia="es-ES_tradnl"/>
        </w:rPr>
      </w:pPr>
    </w:p>
    <w:p w14:paraId="3501E0E8" w14:textId="77777777" w:rsidR="00902B9A" w:rsidRPr="00A93267" w:rsidRDefault="00902B9A" w:rsidP="008976D2">
      <w:pPr>
        <w:tabs>
          <w:tab w:val="left" w:pos="4962"/>
        </w:tabs>
        <w:spacing w:after="0" w:line="360" w:lineRule="auto"/>
        <w:rPr>
          <w:rFonts w:eastAsia="Calibri" w:cs="Tahoma"/>
          <w:iCs/>
          <w:color w:val="auto"/>
          <w:lang w:eastAsia="es-ES_tradnl"/>
        </w:rPr>
      </w:pPr>
    </w:p>
    <w:p w14:paraId="36B53A99" w14:textId="77777777" w:rsidR="006D1E77" w:rsidRPr="00A93267" w:rsidRDefault="006D1E77" w:rsidP="008976D2">
      <w:pPr>
        <w:tabs>
          <w:tab w:val="left" w:pos="4962"/>
        </w:tabs>
        <w:spacing w:after="0" w:line="360" w:lineRule="auto"/>
        <w:ind w:left="567" w:right="567"/>
        <w:rPr>
          <w:rFonts w:eastAsia="Calibri" w:cs="Tahoma"/>
          <w:i/>
          <w:color w:val="auto"/>
          <w:sz w:val="20"/>
          <w:szCs w:val="20"/>
          <w:lang w:eastAsia="es-ES_tradnl"/>
        </w:rPr>
      </w:pPr>
      <w:r w:rsidRPr="00A93267">
        <w:rPr>
          <w:rFonts w:eastAsia="Calibri" w:cs="Tahoma"/>
          <w:b/>
          <w:bCs/>
          <w:i/>
          <w:color w:val="auto"/>
          <w:sz w:val="20"/>
          <w:szCs w:val="20"/>
          <w:lang w:eastAsia="es-ES_tradnl"/>
        </w:rPr>
        <w:t xml:space="preserve">“SERVIDORES PÚBLICOS CON CATEGORÍA DE MANDO MEDIO Y SUPERIOR. LA FOTOGRAFÍA DE AQUELLOS ES DE CARÁCTER PÚBLICO. </w:t>
      </w:r>
      <w:r w:rsidRPr="00A93267">
        <w:rPr>
          <w:rFonts w:eastAsia="Calibri" w:cs="Tahoma"/>
          <w:i/>
          <w:color w:val="auto"/>
          <w:sz w:val="20"/>
          <w:szCs w:val="20"/>
          <w:lang w:eastAsia="es-ES_tradnl"/>
        </w:rPr>
        <w:t>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6195D5AC" w14:textId="77777777" w:rsidR="006D1E77" w:rsidRPr="00A93267" w:rsidRDefault="006D1E77" w:rsidP="008976D2">
      <w:pPr>
        <w:tabs>
          <w:tab w:val="left" w:pos="4962"/>
        </w:tabs>
        <w:spacing w:after="0" w:line="360" w:lineRule="auto"/>
        <w:rPr>
          <w:rFonts w:eastAsia="Calibri" w:cs="Tahoma"/>
          <w:iCs/>
          <w:color w:val="auto"/>
          <w:lang w:eastAsia="es-ES_tradnl"/>
        </w:rPr>
      </w:pPr>
    </w:p>
    <w:p w14:paraId="241DEA0B" w14:textId="77777777" w:rsidR="00902B9A" w:rsidRPr="00A93267" w:rsidRDefault="00902B9A" w:rsidP="008976D2">
      <w:pPr>
        <w:tabs>
          <w:tab w:val="left" w:pos="4962"/>
        </w:tabs>
        <w:spacing w:after="0" w:line="360" w:lineRule="auto"/>
        <w:rPr>
          <w:rFonts w:eastAsia="Calibri" w:cs="Tahoma"/>
          <w:iCs/>
          <w:color w:val="auto"/>
          <w:lang w:eastAsia="es-ES_tradnl"/>
        </w:rPr>
      </w:pPr>
    </w:p>
    <w:p w14:paraId="4C331C5F" w14:textId="77777777" w:rsidR="006D1E77" w:rsidRPr="00A93267" w:rsidRDefault="006D1E77" w:rsidP="008976D2">
      <w:pPr>
        <w:tabs>
          <w:tab w:val="left" w:pos="4962"/>
        </w:tabs>
        <w:spacing w:after="0" w:line="360" w:lineRule="auto"/>
        <w:rPr>
          <w:rFonts w:eastAsia="Times New Roman" w:cs="Tahoma"/>
          <w:color w:val="auto"/>
          <w:szCs w:val="24"/>
          <w:lang w:val="es-ES" w:eastAsia="es-ES"/>
        </w:rPr>
      </w:pPr>
      <w:r w:rsidRPr="00A93267">
        <w:rPr>
          <w:rFonts w:eastAsia="Times New Roman" w:cs="Tahoma"/>
          <w:color w:val="auto"/>
          <w:szCs w:val="24"/>
          <w:lang w:val="es-ES" w:eastAsia="es-ES"/>
        </w:rPr>
        <w:t>Como se logra observar, la fotografía de servidores públicos que ocupan puestos de mandos medios o superiores, no actualizan la causal de clasificación prevista en el artículo 143, fracción I, de la Ley de Transparencia y Acceso a la Información Pública del Estado de México y Municipios; no obstante, el dato de aquellos trabajadores que no ostenten las categorías previamente señaladas, es confidencial.</w:t>
      </w:r>
    </w:p>
    <w:p w14:paraId="5FD45023" w14:textId="77777777" w:rsidR="006D1E77" w:rsidRPr="00A93267" w:rsidRDefault="006D1E77" w:rsidP="008976D2">
      <w:pPr>
        <w:spacing w:after="0" w:line="360" w:lineRule="auto"/>
        <w:rPr>
          <w:rFonts w:eastAsia="Calibri" w:cs="Tahoma"/>
          <w:bCs/>
        </w:rPr>
      </w:pPr>
    </w:p>
    <w:p w14:paraId="6F133092" w14:textId="77777777" w:rsidR="006D1E77" w:rsidRPr="00A93267" w:rsidRDefault="006D1E77" w:rsidP="008976D2">
      <w:pPr>
        <w:numPr>
          <w:ilvl w:val="0"/>
          <w:numId w:val="13"/>
        </w:numPr>
        <w:tabs>
          <w:tab w:val="num" w:pos="720"/>
        </w:tabs>
        <w:spacing w:after="0" w:line="360" w:lineRule="auto"/>
        <w:rPr>
          <w:rFonts w:eastAsia="Calibri" w:cs="Tahoma"/>
          <w:bCs/>
        </w:rPr>
      </w:pPr>
      <w:r w:rsidRPr="00A93267">
        <w:rPr>
          <w:rFonts w:eastAsia="Calibri" w:cs="Tahoma"/>
          <w:b/>
        </w:rPr>
        <w:t>Firma de servidores públicos.</w:t>
      </w:r>
    </w:p>
    <w:p w14:paraId="4E3B336B" w14:textId="77777777" w:rsidR="006D1E77" w:rsidRPr="00A93267" w:rsidRDefault="006D1E77" w:rsidP="008976D2">
      <w:pPr>
        <w:spacing w:after="0" w:line="360" w:lineRule="auto"/>
        <w:rPr>
          <w:rFonts w:eastAsia="Calibri" w:cs="Tahoma"/>
          <w:bCs/>
        </w:rPr>
      </w:pPr>
    </w:p>
    <w:p w14:paraId="50307CBE" w14:textId="77777777" w:rsidR="006D1E77" w:rsidRPr="00A93267" w:rsidRDefault="006D1E77" w:rsidP="008976D2">
      <w:pPr>
        <w:spacing w:after="0" w:line="360" w:lineRule="auto"/>
        <w:rPr>
          <w:rFonts w:eastAsia="Calibri" w:cs="Tahoma"/>
          <w:bCs/>
          <w:color w:val="auto"/>
        </w:rPr>
      </w:pPr>
      <w:r w:rsidRPr="00A93267">
        <w:rPr>
          <w:rFonts w:eastAsia="Calibri" w:cs="Times New Roman"/>
          <w:bCs/>
          <w:iCs/>
        </w:rPr>
        <w:t>Sobre dicho dato, c</w:t>
      </w:r>
      <w:r w:rsidRPr="00A93267">
        <w:rPr>
          <w:rFonts w:eastAsia="Calibri" w:cs="Tahoma"/>
          <w:bCs/>
          <w:color w:val="auto"/>
        </w:rPr>
        <w:t>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6F2E5BF0" w14:textId="77777777" w:rsidR="006D1E77" w:rsidRPr="00A93267" w:rsidRDefault="006D1E77" w:rsidP="008976D2">
      <w:pPr>
        <w:spacing w:after="0" w:line="360" w:lineRule="auto"/>
        <w:rPr>
          <w:rFonts w:eastAsia="Calibri" w:cs="Tahoma"/>
          <w:bCs/>
          <w:color w:val="auto"/>
        </w:rPr>
      </w:pPr>
    </w:p>
    <w:p w14:paraId="6089FB00" w14:textId="77777777" w:rsidR="006D1E77" w:rsidRPr="00A93267" w:rsidRDefault="006D1E77" w:rsidP="008976D2">
      <w:pPr>
        <w:spacing w:after="0" w:line="360" w:lineRule="auto"/>
        <w:rPr>
          <w:rFonts w:eastAsia="Calibri" w:cs="Tahoma"/>
          <w:bCs/>
          <w:color w:val="auto"/>
        </w:rPr>
      </w:pPr>
      <w:r w:rsidRPr="00A93267">
        <w:rPr>
          <w:rFonts w:eastAsia="Calibri" w:cs="Tahoma"/>
          <w:bCs/>
          <w:color w:val="auto"/>
        </w:rPr>
        <w:t xml:space="preserve">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286F0FBC" w14:textId="77777777" w:rsidR="006D1E77" w:rsidRPr="00A93267" w:rsidRDefault="006D1E77" w:rsidP="008976D2">
      <w:pPr>
        <w:spacing w:after="0" w:line="360" w:lineRule="auto"/>
        <w:rPr>
          <w:rFonts w:eastAsia="Calibri" w:cs="Tahoma"/>
          <w:bCs/>
          <w:color w:val="auto"/>
        </w:rPr>
      </w:pPr>
    </w:p>
    <w:p w14:paraId="47BB65E1" w14:textId="77777777" w:rsidR="006D1E77" w:rsidRPr="00A93267" w:rsidRDefault="006D1E77" w:rsidP="008976D2">
      <w:pPr>
        <w:spacing w:after="0" w:line="360" w:lineRule="auto"/>
        <w:rPr>
          <w:rFonts w:eastAsia="Calibri" w:cs="Tahoma"/>
          <w:bCs/>
          <w:color w:val="auto"/>
        </w:rPr>
      </w:pPr>
      <w:r w:rsidRPr="00A93267">
        <w:rPr>
          <w:rFonts w:eastAsia="Calibri" w:cs="Tahoma"/>
          <w:bCs/>
          <w:color w:val="auto"/>
        </w:rPr>
        <w:t>La publicidad de dichos datos, se robustece, con el criterio 02/19, emitido por el Instituto Nacional de Transparencia, Acceso a la Información y Protección de Datos Personales, que establece lo siguiente:</w:t>
      </w:r>
    </w:p>
    <w:p w14:paraId="7B40469F" w14:textId="77777777" w:rsidR="006D1E77" w:rsidRPr="00A93267" w:rsidRDefault="006D1E77" w:rsidP="008976D2">
      <w:pPr>
        <w:spacing w:after="0" w:line="360" w:lineRule="auto"/>
        <w:rPr>
          <w:rFonts w:eastAsia="Calibri" w:cs="Tahoma"/>
          <w:bCs/>
          <w:color w:val="auto"/>
        </w:rPr>
      </w:pPr>
    </w:p>
    <w:p w14:paraId="6BE23274" w14:textId="77777777" w:rsidR="006D1E77" w:rsidRPr="00A93267" w:rsidRDefault="006D1E77" w:rsidP="008976D2">
      <w:pPr>
        <w:spacing w:after="0" w:line="360" w:lineRule="auto"/>
        <w:ind w:left="567" w:right="567"/>
        <w:rPr>
          <w:rFonts w:eastAsia="Calibri" w:cs="Tahoma"/>
          <w:bCs/>
          <w:i/>
          <w:color w:val="auto"/>
          <w:sz w:val="20"/>
          <w:szCs w:val="20"/>
        </w:rPr>
      </w:pPr>
      <w:r w:rsidRPr="00A93267">
        <w:rPr>
          <w:rFonts w:eastAsia="Calibri" w:cs="Tahoma"/>
          <w:b/>
          <w:bCs/>
          <w:i/>
          <w:color w:val="auto"/>
          <w:sz w:val="20"/>
          <w:szCs w:val="20"/>
        </w:rPr>
        <w:t>“Firma y rúbrica de servidores públicos.</w:t>
      </w:r>
      <w:r w:rsidRPr="00A93267">
        <w:rPr>
          <w:rFonts w:eastAsia="Calibri" w:cs="Tahoma"/>
          <w:bCs/>
          <w:i/>
          <w:color w:val="auto"/>
          <w:sz w:val="20"/>
          <w:szCs w:val="20"/>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FB66D2C" w14:textId="77777777" w:rsidR="006D1E77" w:rsidRPr="00A93267" w:rsidRDefault="006D1E77" w:rsidP="008976D2">
      <w:pPr>
        <w:spacing w:after="0" w:line="360" w:lineRule="auto"/>
        <w:rPr>
          <w:rFonts w:eastAsia="Calibri" w:cs="Tahoma"/>
          <w:bCs/>
          <w:color w:val="auto"/>
          <w:lang w:val="es-ES"/>
        </w:rPr>
      </w:pPr>
    </w:p>
    <w:p w14:paraId="2AA85F98" w14:textId="77777777" w:rsidR="00902B9A" w:rsidRPr="00A93267" w:rsidRDefault="00902B9A" w:rsidP="008976D2">
      <w:pPr>
        <w:spacing w:after="0" w:line="360" w:lineRule="auto"/>
        <w:rPr>
          <w:rFonts w:eastAsia="Calibri" w:cs="Tahoma"/>
          <w:bCs/>
          <w:color w:val="auto"/>
          <w:lang w:val="es-ES"/>
        </w:rPr>
      </w:pPr>
    </w:p>
    <w:p w14:paraId="74871383" w14:textId="77777777" w:rsidR="006D1E77" w:rsidRPr="00A93267" w:rsidRDefault="006D1E77" w:rsidP="008976D2">
      <w:pPr>
        <w:spacing w:after="0" w:line="360" w:lineRule="auto"/>
        <w:rPr>
          <w:rFonts w:eastAsia="Calibri" w:cs="Tahoma"/>
          <w:b/>
          <w:color w:val="auto"/>
          <w:lang w:val="es-ES"/>
        </w:rPr>
      </w:pPr>
      <w:r w:rsidRPr="00A93267">
        <w:rPr>
          <w:rFonts w:eastAsia="Calibri" w:cs="Tahoma"/>
          <w:bCs/>
          <w:color w:val="auto"/>
          <w:lang w:val="es-ES"/>
        </w:rPr>
        <w:t xml:space="preserve">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r w:rsidRPr="00A93267">
        <w:rPr>
          <w:rFonts w:eastAsia="Calibri" w:cs="Tahoma"/>
          <w:b/>
          <w:color w:val="auto"/>
          <w:lang w:val="es-ES"/>
        </w:rPr>
        <w:t>Cabe precisar que dicho dato se dejó visible en el documento entregado en Informe Justificado.</w:t>
      </w:r>
    </w:p>
    <w:p w14:paraId="7D048352" w14:textId="77777777" w:rsidR="006D1E77" w:rsidRPr="00A93267" w:rsidRDefault="006D1E77" w:rsidP="008976D2">
      <w:pPr>
        <w:spacing w:after="0" w:line="360" w:lineRule="auto"/>
        <w:rPr>
          <w:rFonts w:eastAsia="Calibri" w:cs="Times New Roman"/>
          <w:bCs/>
          <w:iCs/>
        </w:rPr>
      </w:pPr>
    </w:p>
    <w:p w14:paraId="312ECF03" w14:textId="77777777" w:rsidR="006D1E77" w:rsidRPr="00A93267" w:rsidRDefault="006D1E77" w:rsidP="008976D2">
      <w:pPr>
        <w:numPr>
          <w:ilvl w:val="0"/>
          <w:numId w:val="13"/>
        </w:numPr>
        <w:tabs>
          <w:tab w:val="num" w:pos="720"/>
        </w:tabs>
        <w:spacing w:after="0" w:line="360" w:lineRule="auto"/>
        <w:rPr>
          <w:rFonts w:eastAsia="Calibri" w:cs="Tahoma"/>
          <w:b/>
          <w:bCs/>
        </w:rPr>
      </w:pPr>
      <w:r w:rsidRPr="00A93267">
        <w:rPr>
          <w:rFonts w:eastAsia="Times New Roman" w:cs="Tahoma"/>
          <w:b/>
          <w:bCs/>
          <w:color w:val="auto"/>
          <w:lang w:eastAsia="es-ES"/>
        </w:rPr>
        <w:t>Datos</w:t>
      </w:r>
      <w:r w:rsidRPr="00A93267">
        <w:rPr>
          <w:rFonts w:eastAsia="Calibri" w:cs="Tahoma"/>
          <w:b/>
          <w:bCs/>
        </w:rPr>
        <w:t xml:space="preserve"> </w:t>
      </w:r>
      <w:bookmarkStart w:id="2" w:name="_Hlk108682634"/>
      <w:r w:rsidRPr="00A93267">
        <w:rPr>
          <w:rFonts w:eastAsia="Calibri" w:cs="Tahoma"/>
          <w:b/>
          <w:bCs/>
        </w:rPr>
        <w:t>de institución educativa, número de acuerdo de reconocimiento de validez oficial de estudios, clave de carrera, plan de estudios, denominación, campus o plantel, materias cursadas, fechas, folios, lugar de expedición</w:t>
      </w:r>
      <w:bookmarkEnd w:id="2"/>
      <w:r w:rsidRPr="00A93267">
        <w:rPr>
          <w:rFonts w:eastAsia="Calibri" w:cs="Tahoma"/>
          <w:b/>
          <w:bCs/>
        </w:rPr>
        <w:t>, entre otros.</w:t>
      </w:r>
    </w:p>
    <w:p w14:paraId="6BC8610E" w14:textId="77777777" w:rsidR="006D1E77" w:rsidRPr="00A93267" w:rsidRDefault="006D1E77" w:rsidP="008976D2">
      <w:pPr>
        <w:spacing w:after="0" w:line="360" w:lineRule="auto"/>
        <w:rPr>
          <w:rFonts w:eastAsia="Calibri" w:cs="Tahoma"/>
          <w:bCs/>
        </w:rPr>
      </w:pPr>
    </w:p>
    <w:p w14:paraId="0140546B" w14:textId="77777777" w:rsidR="006D1E77" w:rsidRPr="00A93267" w:rsidRDefault="006D1E77" w:rsidP="008976D2">
      <w:pPr>
        <w:spacing w:after="0" w:line="360" w:lineRule="auto"/>
        <w:rPr>
          <w:rFonts w:eastAsia="Calibri" w:cs="Tahoma"/>
          <w:bCs/>
        </w:rPr>
      </w:pPr>
      <w:r w:rsidRPr="00A93267">
        <w:rPr>
          <w:rFonts w:eastAsia="Calibri" w:cs="Tahoma"/>
          <w:bCs/>
        </w:rPr>
        <w:t>Al respecto, sobre dichos datos, este Instituto no advierte de que forma, darlos a conocer puede afectar a la intimidad o privacidad del servidor público, pues al contrario, abonan a la transparencia, pues los datos le dan validez al documento, al conocer cuando curso el grado de estudios, ante que Institución, si tiene validez oficial ante la Secretaría de Educación y los folios ; además que permite identificar y robustecer el grado conocimientos con los que cuenta el servidor público, al conocer las materias que curso y el plan de estudios.</w:t>
      </w:r>
    </w:p>
    <w:p w14:paraId="1BF349F1" w14:textId="77777777" w:rsidR="006D1E77" w:rsidRPr="00A93267" w:rsidRDefault="006D1E77" w:rsidP="008976D2">
      <w:pPr>
        <w:spacing w:after="0" w:line="360" w:lineRule="auto"/>
        <w:rPr>
          <w:rFonts w:eastAsia="Calibri" w:cs="Tahoma"/>
          <w:bCs/>
        </w:rPr>
      </w:pPr>
    </w:p>
    <w:p w14:paraId="5F685773" w14:textId="77777777" w:rsidR="006D1E77" w:rsidRPr="00A93267" w:rsidRDefault="006D1E77" w:rsidP="008976D2">
      <w:pPr>
        <w:spacing w:after="0" w:line="360" w:lineRule="auto"/>
        <w:rPr>
          <w:rFonts w:eastAsia="Calibri" w:cs="Tahoma"/>
          <w:bCs/>
        </w:rPr>
      </w:pPr>
      <w:r w:rsidRPr="00A93267">
        <w:rPr>
          <w:rFonts w:eastAsia="Calibri" w:cs="Tahoma"/>
          <w:bCs/>
        </w:rPr>
        <w:t>Por lo que, los datos concernientes a la institución educativa, número de acuerdo de reconocimiento de validez oficial de estudios, clave de carrera, plan de estudios, denominación, campus o plantel, materias cursadas, fechas, folios, lugar de expedición u homólogos, no actualizan la causal de clasificación establecida en el artículo 143, fracción I, de la Ley de Transparencia y Acceso a la Información Pública del Estado de México y Municipios.</w:t>
      </w:r>
    </w:p>
    <w:p w14:paraId="40EFC542" w14:textId="77777777" w:rsidR="006D1E77" w:rsidRPr="00A93267" w:rsidRDefault="006D1E77" w:rsidP="008976D2">
      <w:pPr>
        <w:spacing w:after="0" w:line="360" w:lineRule="auto"/>
        <w:rPr>
          <w:rFonts w:eastAsia="Calibri" w:cs="Tahoma"/>
          <w:bCs/>
        </w:rPr>
      </w:pPr>
    </w:p>
    <w:p w14:paraId="496F5B7A" w14:textId="77777777" w:rsidR="006D1E77" w:rsidRPr="00A93267" w:rsidRDefault="006D1E77" w:rsidP="008976D2">
      <w:pPr>
        <w:spacing w:after="0" w:line="360" w:lineRule="auto"/>
        <w:rPr>
          <w:rFonts w:eastAsia="Calibri" w:cs="Tahoma"/>
          <w:bCs/>
        </w:rPr>
      </w:pPr>
      <w:r w:rsidRPr="00A93267">
        <w:rPr>
          <w:rFonts w:eastAsia="Calibri" w:cs="Tahoma"/>
          <w:bCs/>
        </w:rPr>
        <w:t xml:space="preserve">Conforme a lo anterior, resulta procedente ordenar la entrega de los documentos donde conste el último grado o nivel de estudios, en donde deberá clasificar en términos del artículo </w:t>
      </w:r>
      <w:r w:rsidRPr="00A93267">
        <w:rPr>
          <w:rFonts w:eastAsia="Calibri" w:cs="Tahoma"/>
          <w:bCs/>
        </w:rPr>
        <w:lastRenderedPageBreak/>
        <w:t>previamente referido, la Clave Única de Registro de Población, la matrícula, el número de cuenta, de expediente o de control, las calificaciones, los créditos, los promedios, la cadena original de la cédula, la firma del alumno y fotografía de aquellos servidores públicos que no ostenten cargos de mando medio o superior, los cuales se precisan de manera enunciativa, más no limitativa; además, deberá proporcionar el Acuerdo, donde el Comité de Transparencia de manera fundada y motivada, confirmé la clasificación de dichos datos, en términos del diverso 168 de la Ley de la materia.</w:t>
      </w:r>
    </w:p>
    <w:p w14:paraId="2092925F" w14:textId="3426513E" w:rsidR="008976D2" w:rsidRPr="00A93267" w:rsidRDefault="008976D2" w:rsidP="008976D2">
      <w:pPr>
        <w:spacing w:after="0" w:line="360" w:lineRule="auto"/>
        <w:rPr>
          <w:rFonts w:eastAsia="Calibri" w:cs="Tahoma"/>
          <w:bCs/>
        </w:rPr>
      </w:pPr>
    </w:p>
    <w:p w14:paraId="3C7F130E" w14:textId="77777777" w:rsidR="008A1D9C" w:rsidRPr="00A93267" w:rsidRDefault="008A1D9C" w:rsidP="008A1D9C">
      <w:pPr>
        <w:spacing w:after="0" w:line="360" w:lineRule="auto"/>
        <w:rPr>
          <w:rFonts w:eastAsia="Times New Roman" w:cs="Tahoma"/>
          <w:bCs/>
          <w:iCs/>
          <w:color w:val="auto"/>
          <w:lang w:eastAsia="es-ES"/>
        </w:rPr>
      </w:pPr>
      <w:r w:rsidRPr="00A93267">
        <w:rPr>
          <w:rFonts w:eastAsia="Times New Roman" w:cs="Tahoma"/>
          <w:bCs/>
          <w:iCs/>
          <w:color w:val="auto"/>
          <w:lang w:val="es-ES" w:eastAsia="es-ES"/>
        </w:rPr>
        <w:t xml:space="preserve">Finalmente, no pasa desapercibido, que el ahora Recurrente, requirió que se diera vista al Órgano Interno de Control o Contraloría, a efecto de que se iniciara un procedimiento de responsabilidades en contra de los servidores públicos que atendieron la solicitud de información. </w:t>
      </w:r>
      <w:r w:rsidRPr="00A93267">
        <w:rPr>
          <w:rFonts w:eastAsia="Times New Roman" w:cs="Tahoma"/>
          <w:bCs/>
          <w:iCs/>
          <w:color w:val="auto"/>
          <w:lang w:eastAsia="es-ES"/>
        </w:rPr>
        <w:t>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720AE6CF" w14:textId="77777777" w:rsidR="008A1D9C" w:rsidRPr="00A93267" w:rsidRDefault="008A1D9C" w:rsidP="008A1D9C">
      <w:pPr>
        <w:spacing w:after="0" w:line="360" w:lineRule="auto"/>
        <w:rPr>
          <w:rFonts w:eastAsia="Times New Roman" w:cs="Tahoma"/>
          <w:bCs/>
          <w:iCs/>
          <w:color w:val="auto"/>
          <w:lang w:eastAsia="es-ES"/>
        </w:rPr>
      </w:pPr>
    </w:p>
    <w:p w14:paraId="27459487" w14:textId="77777777" w:rsidR="008A1D9C" w:rsidRPr="00A93267" w:rsidRDefault="008A1D9C" w:rsidP="008A1D9C">
      <w:pPr>
        <w:spacing w:after="0" w:line="360" w:lineRule="auto"/>
        <w:rPr>
          <w:rFonts w:eastAsia="Times New Roman" w:cs="Tahoma"/>
          <w:bCs/>
          <w:iCs/>
          <w:color w:val="auto"/>
          <w:lang w:eastAsia="es-ES"/>
        </w:rPr>
      </w:pPr>
      <w:r w:rsidRPr="00A93267">
        <w:rPr>
          <w:rFonts w:eastAsia="Times New Roman" w:cs="Tahoma"/>
          <w:bCs/>
          <w:iCs/>
          <w:color w:val="auto"/>
          <w:lang w:eastAsia="es-ES"/>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14:paraId="335FC64D" w14:textId="77777777" w:rsidR="008A1D9C" w:rsidRPr="00A93267" w:rsidRDefault="008A1D9C" w:rsidP="008A1D9C">
      <w:pPr>
        <w:spacing w:after="0" w:line="360" w:lineRule="auto"/>
        <w:rPr>
          <w:rFonts w:eastAsia="Times New Roman" w:cs="Tahoma"/>
          <w:bCs/>
          <w:iCs/>
          <w:color w:val="auto"/>
          <w:lang w:eastAsia="es-ES"/>
        </w:rPr>
      </w:pPr>
    </w:p>
    <w:p w14:paraId="7C4747D8" w14:textId="77777777" w:rsidR="008A1D9C" w:rsidRPr="00A93267" w:rsidRDefault="008A1D9C" w:rsidP="008A1D9C">
      <w:pPr>
        <w:spacing w:after="0" w:line="360" w:lineRule="auto"/>
        <w:rPr>
          <w:rFonts w:eastAsia="Times New Roman" w:cs="Tahoma"/>
          <w:bCs/>
          <w:iCs/>
          <w:color w:val="auto"/>
          <w:lang w:eastAsia="es-ES"/>
        </w:rPr>
      </w:pPr>
      <w:r w:rsidRPr="00A93267">
        <w:rPr>
          <w:rFonts w:eastAsia="Times New Roman" w:cs="Tahoma"/>
          <w:bCs/>
          <w:i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559C1B6F" w14:textId="77777777" w:rsidR="008A1D9C" w:rsidRPr="00A93267" w:rsidRDefault="008A1D9C" w:rsidP="008A1D9C">
      <w:pPr>
        <w:spacing w:after="0" w:line="360" w:lineRule="auto"/>
        <w:rPr>
          <w:rFonts w:eastAsia="Times New Roman" w:cs="Tahoma"/>
          <w:bCs/>
          <w:iCs/>
          <w:color w:val="auto"/>
          <w:lang w:val="es-ES" w:eastAsia="es-ES"/>
        </w:rPr>
      </w:pPr>
    </w:p>
    <w:p w14:paraId="60D555CD" w14:textId="77777777" w:rsidR="008A1D9C" w:rsidRPr="00A93267" w:rsidRDefault="008A1D9C" w:rsidP="008A1D9C">
      <w:pPr>
        <w:spacing w:after="0" w:line="360" w:lineRule="auto"/>
        <w:rPr>
          <w:rFonts w:eastAsia="Times New Roman" w:cs="Tahoma"/>
          <w:iCs/>
          <w:color w:val="auto"/>
          <w:lang w:eastAsia="es-ES"/>
        </w:rPr>
      </w:pPr>
      <w:r w:rsidRPr="00A93267">
        <w:rPr>
          <w:rFonts w:eastAsia="Times New Roman" w:cs="Tahoma"/>
          <w:bCs/>
          <w:iCs/>
          <w:color w:val="auto"/>
          <w:lang w:val="es-ES" w:eastAsia="es-ES"/>
        </w:rPr>
        <w:lastRenderedPageBreak/>
        <w:t xml:space="preserve">En el presente caso, este Instituto no cuenta con elementos necesarios para indicar que el actuar del Sujeto Obligado actuó con negligencia, dolo o mala fe al atender la solicitud de información; por lo que, no resulta procedente dar vista a la contraloría en el presente asunto. Sin embargo, se dejan a salvo los derechos del Particular, para que dé así requerirlo, presente la queja o denuncia, ante el Órgano Interno de Control del </w:t>
      </w:r>
      <w:r w:rsidRPr="00A93267">
        <w:rPr>
          <w:rFonts w:eastAsia="Times New Roman" w:cs="Tahoma"/>
          <w:iCs/>
          <w:color w:val="auto"/>
          <w:lang w:eastAsia="es-ES"/>
        </w:rPr>
        <w:t xml:space="preserve">Sujeto Obligado. </w:t>
      </w:r>
    </w:p>
    <w:p w14:paraId="263D0DEB" w14:textId="77777777" w:rsidR="008A1D9C" w:rsidRPr="00A93267" w:rsidRDefault="008A1D9C" w:rsidP="008976D2">
      <w:pPr>
        <w:spacing w:after="0" w:line="360" w:lineRule="auto"/>
        <w:rPr>
          <w:rFonts w:eastAsia="Calibri" w:cs="Tahoma"/>
          <w:bCs/>
        </w:rPr>
      </w:pPr>
    </w:p>
    <w:p w14:paraId="0A4618D2" w14:textId="081AF2D1" w:rsidR="00482B41" w:rsidRPr="00A93267" w:rsidRDefault="00482B41" w:rsidP="008976D2">
      <w:pPr>
        <w:spacing w:after="0" w:line="360" w:lineRule="auto"/>
        <w:contextualSpacing/>
        <w:rPr>
          <w:rFonts w:eastAsia="Calibri" w:cs="Tahoma"/>
          <w:b/>
        </w:rPr>
      </w:pPr>
      <w:r w:rsidRPr="00A93267">
        <w:rPr>
          <w:rFonts w:eastAsia="Calibri" w:cs="Tahoma"/>
          <w:b/>
        </w:rPr>
        <w:t xml:space="preserve">SEXTO. Decisión. </w:t>
      </w:r>
    </w:p>
    <w:p w14:paraId="3E32ED82" w14:textId="77777777" w:rsidR="00482B41" w:rsidRPr="00A93267" w:rsidRDefault="00482B41" w:rsidP="008976D2">
      <w:pPr>
        <w:spacing w:after="0" w:line="360" w:lineRule="auto"/>
        <w:contextualSpacing/>
        <w:rPr>
          <w:rFonts w:eastAsia="Calibri" w:cs="Tahoma"/>
          <w:b/>
        </w:rPr>
      </w:pPr>
    </w:p>
    <w:p w14:paraId="38B7EF1F" w14:textId="6DF8E797" w:rsidR="008976D2" w:rsidRPr="00A93267" w:rsidRDefault="00482B41" w:rsidP="008976D2">
      <w:pPr>
        <w:spacing w:after="0" w:line="360" w:lineRule="auto"/>
      </w:pPr>
      <w:r w:rsidRPr="00A93267">
        <w:rPr>
          <w:rFonts w:eastAsia="Times New Roman" w:cs="Arial"/>
          <w:color w:val="auto"/>
          <w:lang w:eastAsia="es-ES"/>
        </w:rPr>
        <w:t xml:space="preserve">Con </w:t>
      </w:r>
      <w:r w:rsidRPr="00A93267">
        <w:rPr>
          <w:rFonts w:eastAsia="Times New Roman" w:cs="Tahoma"/>
          <w:color w:val="auto"/>
          <w:lang w:eastAsia="es-ES"/>
        </w:rPr>
        <w:t xml:space="preserve">fundamento en el artículo 186, fracción III, de la Ley de Transparencia y Acceso a la Información Pública del Estado de México y Municipios, este Instituto considera procedente </w:t>
      </w:r>
      <w:r w:rsidRPr="00A93267">
        <w:rPr>
          <w:rFonts w:eastAsia="Times New Roman" w:cs="Tahoma"/>
          <w:b/>
          <w:color w:val="auto"/>
          <w:lang w:eastAsia="es-ES"/>
        </w:rPr>
        <w:t>MODIFICAR</w:t>
      </w:r>
      <w:r w:rsidRPr="00A93267">
        <w:rPr>
          <w:rFonts w:eastAsia="Times New Roman" w:cs="Tahoma"/>
          <w:color w:val="auto"/>
          <w:lang w:eastAsia="es-ES"/>
        </w:rPr>
        <w:t xml:space="preserve"> la respuesta otorgada a la solicitud de información</w:t>
      </w:r>
      <w:r w:rsidRPr="00A93267">
        <w:rPr>
          <w:rFonts w:eastAsia="Times New Roman" w:cs="Tahoma"/>
          <w:bCs/>
          <w:color w:val="auto"/>
          <w:lang w:eastAsia="es-ES"/>
        </w:rPr>
        <w:t>, a efecto de que</w:t>
      </w:r>
      <w:r w:rsidR="008976D2" w:rsidRPr="00A93267">
        <w:rPr>
          <w:rFonts w:eastAsia="Times New Roman" w:cs="Tahoma"/>
          <w:bCs/>
          <w:color w:val="auto"/>
          <w:lang w:eastAsia="es-ES"/>
        </w:rPr>
        <w:t>,</w:t>
      </w:r>
      <w:r w:rsidRPr="00A93267">
        <w:rPr>
          <w:rFonts w:eastAsia="Times New Roman" w:cs="Tahoma"/>
          <w:bCs/>
          <w:color w:val="auto"/>
          <w:lang w:eastAsia="es-ES"/>
        </w:rPr>
        <w:t xml:space="preserve"> previa búsqueda exhaustiva y razonable en la</w:t>
      </w:r>
      <w:r w:rsidR="006D1E77" w:rsidRPr="00A93267">
        <w:rPr>
          <w:rFonts w:eastAsia="Times New Roman" w:cs="Tahoma"/>
          <w:bCs/>
          <w:color w:val="auto"/>
          <w:lang w:eastAsia="es-ES"/>
        </w:rPr>
        <w:t>s unidades administrativas competentes, entre las cuales, se encuentra la</w:t>
      </w:r>
      <w:r w:rsidRPr="00A93267">
        <w:rPr>
          <w:rFonts w:eastAsia="Times New Roman" w:cs="Tahoma"/>
          <w:bCs/>
          <w:color w:val="auto"/>
          <w:lang w:eastAsia="es-ES"/>
        </w:rPr>
        <w:t xml:space="preserve"> </w:t>
      </w:r>
      <w:r w:rsidR="00FC6610" w:rsidRPr="00A93267">
        <w:rPr>
          <w:rFonts w:eastAsia="Batang" w:cs="Tahoma"/>
          <w:bCs/>
          <w:color w:val="auto"/>
          <w:lang w:eastAsia="es-ES"/>
        </w:rPr>
        <w:t xml:space="preserve">Subdirección de Administración del </w:t>
      </w:r>
      <w:r w:rsidR="00FC6610" w:rsidRPr="00A93267">
        <w:t>Capital Humano</w:t>
      </w:r>
      <w:r w:rsidRPr="00A93267">
        <w:rPr>
          <w:rFonts w:eastAsia="Times New Roman" w:cs="Tahoma"/>
          <w:bCs/>
          <w:color w:val="auto"/>
          <w:lang w:eastAsia="es-ES"/>
        </w:rPr>
        <w:t>, entregue</w:t>
      </w:r>
      <w:r w:rsidR="008976D2" w:rsidRPr="00A93267">
        <w:rPr>
          <w:rFonts w:eastAsia="Times New Roman" w:cs="Tahoma"/>
          <w:bCs/>
          <w:color w:val="auto"/>
          <w:lang w:eastAsia="es-ES"/>
        </w:rPr>
        <w:t xml:space="preserve">  de manera gratuita</w:t>
      </w:r>
      <w:r w:rsidRPr="00A93267">
        <w:rPr>
          <w:rFonts w:eastAsia="Times New Roman" w:cs="Tahoma"/>
          <w:bCs/>
          <w:color w:val="auto"/>
          <w:lang w:eastAsia="es-ES"/>
        </w:rPr>
        <w:t xml:space="preserve">, en su caso, en versión pública, </w:t>
      </w:r>
      <w:r w:rsidR="008976D2" w:rsidRPr="00A93267">
        <w:t>respecto de todos los servidores públicos que estaban adscritos a la Secretaría de Movilidad, al diez de octubre de dos mil veintidós, los documentos donde conste, lo siguiente:</w:t>
      </w:r>
    </w:p>
    <w:p w14:paraId="035D44D8" w14:textId="77777777" w:rsidR="008976D2" w:rsidRPr="00A93267" w:rsidRDefault="008976D2" w:rsidP="008976D2">
      <w:pPr>
        <w:spacing w:after="0" w:line="360" w:lineRule="auto"/>
      </w:pPr>
    </w:p>
    <w:p w14:paraId="2C26B802" w14:textId="77777777" w:rsidR="008976D2" w:rsidRPr="00A93267" w:rsidRDefault="008976D2" w:rsidP="008976D2">
      <w:pPr>
        <w:pStyle w:val="Prrafodelista"/>
        <w:numPr>
          <w:ilvl w:val="0"/>
          <w:numId w:val="10"/>
        </w:numPr>
        <w:spacing w:line="360" w:lineRule="auto"/>
        <w:rPr>
          <w:rFonts w:ascii="Palatino Linotype" w:hAnsi="Palatino Linotype"/>
        </w:rPr>
      </w:pPr>
      <w:r w:rsidRPr="00A93267">
        <w:rPr>
          <w:rFonts w:ascii="Palatino Linotype" w:hAnsi="Palatino Linotype"/>
        </w:rPr>
        <w:t>Nombre completo;</w:t>
      </w:r>
    </w:p>
    <w:p w14:paraId="7D9E2E04" w14:textId="77777777" w:rsidR="008976D2" w:rsidRPr="00A93267" w:rsidRDefault="008976D2" w:rsidP="008976D2">
      <w:pPr>
        <w:pStyle w:val="Prrafodelista"/>
        <w:spacing w:line="360" w:lineRule="auto"/>
        <w:rPr>
          <w:rFonts w:ascii="Palatino Linotype" w:hAnsi="Palatino Linotype"/>
        </w:rPr>
      </w:pPr>
    </w:p>
    <w:p w14:paraId="646DFEA3" w14:textId="77777777" w:rsidR="008976D2" w:rsidRPr="00A93267" w:rsidRDefault="008976D2" w:rsidP="008976D2">
      <w:pPr>
        <w:pStyle w:val="Prrafodelista"/>
        <w:numPr>
          <w:ilvl w:val="0"/>
          <w:numId w:val="10"/>
        </w:numPr>
        <w:spacing w:line="360" w:lineRule="auto"/>
        <w:rPr>
          <w:rFonts w:ascii="Palatino Linotype" w:hAnsi="Palatino Linotype"/>
        </w:rPr>
      </w:pPr>
      <w:r w:rsidRPr="00A93267">
        <w:rPr>
          <w:rFonts w:ascii="Palatino Linotype" w:hAnsi="Palatino Linotype"/>
        </w:rPr>
        <w:t>Cargo, nivel o rango y área de adscripción;</w:t>
      </w:r>
    </w:p>
    <w:p w14:paraId="2EE9324C" w14:textId="77777777" w:rsidR="008976D2" w:rsidRPr="00A93267" w:rsidRDefault="008976D2" w:rsidP="008976D2">
      <w:pPr>
        <w:pStyle w:val="Prrafodelista"/>
        <w:rPr>
          <w:rFonts w:ascii="Palatino Linotype" w:hAnsi="Palatino Linotype"/>
        </w:rPr>
      </w:pPr>
    </w:p>
    <w:p w14:paraId="6ACEB237" w14:textId="77777777" w:rsidR="008976D2" w:rsidRPr="00A93267" w:rsidRDefault="008976D2" w:rsidP="008976D2">
      <w:pPr>
        <w:pStyle w:val="Prrafodelista"/>
        <w:numPr>
          <w:ilvl w:val="0"/>
          <w:numId w:val="10"/>
        </w:numPr>
        <w:spacing w:line="360" w:lineRule="auto"/>
        <w:rPr>
          <w:rFonts w:ascii="Palatino Linotype" w:hAnsi="Palatino Linotype"/>
        </w:rPr>
      </w:pPr>
      <w:r w:rsidRPr="00A93267">
        <w:rPr>
          <w:rFonts w:ascii="Palatino Linotype" w:hAnsi="Palatino Linotype"/>
        </w:rPr>
        <w:t>Sueldos y prestaciones pagadas en la primera y segunda quincena de septiembre de dos mil veintidós (últimas quincenas erogadas a la fecha de la solicitud), y</w:t>
      </w:r>
    </w:p>
    <w:p w14:paraId="53CEB2D0" w14:textId="77777777" w:rsidR="008976D2" w:rsidRPr="00A93267" w:rsidRDefault="008976D2" w:rsidP="008976D2">
      <w:pPr>
        <w:pStyle w:val="Prrafodelista"/>
        <w:rPr>
          <w:rFonts w:ascii="Palatino Linotype" w:hAnsi="Palatino Linotype"/>
        </w:rPr>
      </w:pPr>
    </w:p>
    <w:p w14:paraId="1697E39D" w14:textId="77777777" w:rsidR="008976D2" w:rsidRPr="00A93267" w:rsidRDefault="008976D2" w:rsidP="008976D2">
      <w:pPr>
        <w:pStyle w:val="Prrafodelista"/>
        <w:numPr>
          <w:ilvl w:val="0"/>
          <w:numId w:val="10"/>
        </w:numPr>
        <w:spacing w:line="360" w:lineRule="auto"/>
        <w:rPr>
          <w:rFonts w:ascii="Palatino Linotype" w:hAnsi="Palatino Linotype"/>
        </w:rPr>
      </w:pPr>
      <w:r w:rsidRPr="00A93267">
        <w:rPr>
          <w:rFonts w:ascii="Palatino Linotype" w:hAnsi="Palatino Linotype"/>
        </w:rPr>
        <w:t>Profesión.</w:t>
      </w:r>
    </w:p>
    <w:p w14:paraId="256E1354" w14:textId="4B3E866D" w:rsidR="008976D2" w:rsidRPr="00A93267" w:rsidRDefault="008976D2" w:rsidP="008976D2">
      <w:pPr>
        <w:tabs>
          <w:tab w:val="left" w:pos="4962"/>
        </w:tabs>
        <w:spacing w:after="0" w:line="360" w:lineRule="auto"/>
        <w:contextualSpacing/>
        <w:rPr>
          <w:rFonts w:eastAsia="Times New Roman" w:cs="Tahoma"/>
          <w:bCs/>
          <w:color w:val="auto"/>
          <w:lang w:eastAsia="es-ES"/>
        </w:rPr>
      </w:pPr>
    </w:p>
    <w:p w14:paraId="666988C9" w14:textId="5B04625F" w:rsidR="00482B41" w:rsidRPr="00A93267" w:rsidRDefault="00482B41" w:rsidP="008976D2">
      <w:pPr>
        <w:tabs>
          <w:tab w:val="left" w:pos="4962"/>
        </w:tabs>
        <w:spacing w:after="0" w:line="360" w:lineRule="auto"/>
        <w:contextualSpacing/>
        <w:rPr>
          <w:rFonts w:eastAsia="Calibri" w:cs="Tahoma"/>
          <w:b/>
          <w:bCs/>
          <w:iCs/>
          <w:color w:val="000000"/>
          <w:lang w:val="es-ES"/>
        </w:rPr>
      </w:pPr>
      <w:r w:rsidRPr="00A93267">
        <w:rPr>
          <w:rFonts w:eastAsia="Calibri" w:cs="Tahoma"/>
          <w:iCs/>
          <w:lang w:eastAsia="es-ES_tradnl"/>
        </w:rPr>
        <w:lastRenderedPageBreak/>
        <w:t xml:space="preserve">Además, de ser necesario, deberá proporcionar el Acuerdo de Clasificación donde el Comité de Transparencia, confirme la eliminación de los </w:t>
      </w:r>
      <w:r w:rsidR="008976D2" w:rsidRPr="00A93267">
        <w:rPr>
          <w:rFonts w:eastAsia="Calibri" w:cs="Tahoma"/>
          <w:iCs/>
          <w:lang w:eastAsia="es-ES_tradnl"/>
        </w:rPr>
        <w:t>datos o información clasificada; para el caso, de que alguno de los servidores públicos no cuenten con profesión, al no ser requisito para ocupar el cargo, deberá hacerlo del conocimiento del ahora Recurrente, de manera clara y precisa.</w:t>
      </w:r>
    </w:p>
    <w:p w14:paraId="18F6D59A" w14:textId="77777777" w:rsidR="008976D2" w:rsidRPr="00A93267" w:rsidRDefault="008976D2" w:rsidP="008976D2">
      <w:pPr>
        <w:tabs>
          <w:tab w:val="left" w:pos="4962"/>
        </w:tabs>
        <w:spacing w:after="0" w:line="360" w:lineRule="auto"/>
        <w:contextualSpacing/>
        <w:rPr>
          <w:rFonts w:cs="Tahoma"/>
        </w:rPr>
      </w:pPr>
    </w:p>
    <w:p w14:paraId="28E2C6C3" w14:textId="77777777" w:rsidR="00482B41" w:rsidRPr="00A93267" w:rsidRDefault="00482B41" w:rsidP="008976D2">
      <w:pPr>
        <w:spacing w:after="0" w:line="360" w:lineRule="auto"/>
        <w:contextualSpacing/>
        <w:rPr>
          <w:rFonts w:eastAsia="Calibri" w:cs="Tahoma"/>
          <w:b/>
          <w:bCs/>
        </w:rPr>
      </w:pPr>
      <w:r w:rsidRPr="00A93267">
        <w:rPr>
          <w:rFonts w:eastAsia="Calibri" w:cs="Tahoma"/>
          <w:b/>
          <w:bCs/>
        </w:rPr>
        <w:t>Términos de la Resolución para conocimiento del Particular.</w:t>
      </w:r>
    </w:p>
    <w:p w14:paraId="1EEFE6C2" w14:textId="77777777" w:rsidR="00482B41" w:rsidRPr="00A93267" w:rsidRDefault="00482B41" w:rsidP="008976D2">
      <w:pPr>
        <w:spacing w:after="0" w:line="360" w:lineRule="auto"/>
        <w:contextualSpacing/>
        <w:rPr>
          <w:rFonts w:eastAsia="Calibri" w:cs="Tahoma"/>
          <w:b/>
          <w:bCs/>
        </w:rPr>
      </w:pPr>
    </w:p>
    <w:p w14:paraId="747451A0" w14:textId="168B02D8" w:rsidR="00482B41" w:rsidRPr="00A93267" w:rsidRDefault="00482B41" w:rsidP="008976D2">
      <w:pPr>
        <w:widowControl w:val="0"/>
        <w:spacing w:after="0" w:line="360" w:lineRule="auto"/>
        <w:contextualSpacing/>
        <w:rPr>
          <w:rFonts w:eastAsia="Calibri" w:cs="Tahoma"/>
          <w:bCs/>
          <w:iCs/>
          <w:color w:val="000000"/>
        </w:rPr>
      </w:pPr>
      <w:r w:rsidRPr="00A93267">
        <w:rPr>
          <w:rFonts w:eastAsia="Calibri" w:cs="Tahoma"/>
          <w:bCs/>
          <w:iCs/>
          <w:color w:val="000000"/>
        </w:rPr>
        <w:t xml:space="preserve">Se le hace del conocimiento a la Particular, que, en el presente caso, se le concede </w:t>
      </w:r>
      <w:r w:rsidR="008976D2" w:rsidRPr="00A93267">
        <w:rPr>
          <w:rFonts w:eastAsia="Calibri" w:cs="Tahoma"/>
          <w:bCs/>
          <w:iCs/>
          <w:color w:val="000000"/>
        </w:rPr>
        <w:t>la razón, toda vez que el Sujeto Obligado no le proporcionó la información requerida, al no señalarle el procedimiento específico para acceder a la información, así como, al solicitar un pago por digitalización de la información; por lo que, deberá entregarle la información requerida, de manera gratuita.</w:t>
      </w:r>
    </w:p>
    <w:p w14:paraId="2D6C6D53" w14:textId="77777777" w:rsidR="00482B41" w:rsidRPr="00A93267" w:rsidRDefault="00482B41" w:rsidP="008976D2">
      <w:pPr>
        <w:widowControl w:val="0"/>
        <w:spacing w:after="0" w:line="360" w:lineRule="auto"/>
        <w:contextualSpacing/>
        <w:rPr>
          <w:rFonts w:eastAsia="Calibri" w:cs="Tahoma"/>
          <w:bCs/>
          <w:iCs/>
          <w:color w:val="000000"/>
        </w:rPr>
      </w:pPr>
    </w:p>
    <w:p w14:paraId="33AAC8EB" w14:textId="77777777" w:rsidR="00482B41" w:rsidRPr="00A93267" w:rsidRDefault="00482B41" w:rsidP="008976D2">
      <w:pPr>
        <w:widowControl w:val="0"/>
        <w:spacing w:after="0" w:line="360" w:lineRule="auto"/>
        <w:contextualSpacing/>
        <w:rPr>
          <w:rFonts w:eastAsia="Calibri" w:cs="Tahoma"/>
          <w:bCs/>
          <w:iCs/>
        </w:rPr>
      </w:pPr>
      <w:r w:rsidRPr="00A93267">
        <w:rPr>
          <w:rFonts w:eastAsia="Calibri" w:cs="Tahoma"/>
          <w:bCs/>
          <w:iCs/>
        </w:rPr>
        <w:t>Finalmente, la labor del Instituto de Transparencia, Acceso a la Información Pública y Protección de Datos Personales del Estado de México y Municipios, por una parte, es apoyar a la población a acceder a la información pública y, por otra parte, garantizar la protección de los datos personales.</w:t>
      </w:r>
    </w:p>
    <w:p w14:paraId="5D7713FF" w14:textId="77777777" w:rsidR="00482B41" w:rsidRPr="00A93267" w:rsidRDefault="00482B41" w:rsidP="008976D2">
      <w:pPr>
        <w:spacing w:after="0" w:line="360" w:lineRule="auto"/>
        <w:contextualSpacing/>
        <w:rPr>
          <w:rFonts w:eastAsia="Calibri"/>
        </w:rPr>
      </w:pPr>
    </w:p>
    <w:p w14:paraId="3C470DA8" w14:textId="77777777" w:rsidR="00482B41" w:rsidRPr="00A93267" w:rsidRDefault="00482B41" w:rsidP="008976D2">
      <w:pPr>
        <w:spacing w:after="0" w:line="360" w:lineRule="auto"/>
        <w:contextualSpacing/>
        <w:rPr>
          <w:rFonts w:eastAsia="Calibri"/>
        </w:rPr>
      </w:pPr>
      <w:r w:rsidRPr="00A93267">
        <w:rPr>
          <w:rFonts w:eastAsia="Calibri"/>
        </w:rPr>
        <w:t>Por lo expuesto y fundado, este Pleno:</w:t>
      </w:r>
    </w:p>
    <w:p w14:paraId="0CE3AEB7" w14:textId="77777777" w:rsidR="00482B41" w:rsidRPr="00A93267" w:rsidRDefault="00482B41" w:rsidP="008976D2">
      <w:pPr>
        <w:spacing w:after="0" w:line="360" w:lineRule="auto"/>
        <w:contextualSpacing/>
        <w:rPr>
          <w:rFonts w:eastAsia="Calibri"/>
          <w:b/>
          <w:bCs/>
        </w:rPr>
      </w:pPr>
    </w:p>
    <w:p w14:paraId="15B25D4D" w14:textId="77777777" w:rsidR="00482B41" w:rsidRPr="00A93267" w:rsidRDefault="00482B41" w:rsidP="008976D2">
      <w:pPr>
        <w:spacing w:after="0" w:line="360" w:lineRule="auto"/>
        <w:contextualSpacing/>
        <w:jc w:val="center"/>
        <w:rPr>
          <w:rFonts w:eastAsia="Calibri"/>
          <w:b/>
          <w:bCs/>
        </w:rPr>
      </w:pPr>
      <w:r w:rsidRPr="00A93267">
        <w:rPr>
          <w:rFonts w:eastAsia="Calibri"/>
          <w:b/>
          <w:bCs/>
        </w:rPr>
        <w:t>R E S U E L V E</w:t>
      </w:r>
    </w:p>
    <w:p w14:paraId="76B21D00" w14:textId="77777777" w:rsidR="00482B41" w:rsidRPr="00A93267" w:rsidRDefault="00482B41" w:rsidP="008976D2">
      <w:pPr>
        <w:spacing w:after="0" w:line="360" w:lineRule="auto"/>
        <w:contextualSpacing/>
        <w:rPr>
          <w:rFonts w:eastAsia="Calibri"/>
        </w:rPr>
      </w:pPr>
    </w:p>
    <w:p w14:paraId="2A0F7486" w14:textId="00D984DE" w:rsidR="00482B41" w:rsidRPr="00A93267" w:rsidRDefault="00482B41" w:rsidP="00902B9A">
      <w:pPr>
        <w:spacing w:after="0" w:line="360" w:lineRule="auto"/>
        <w:contextualSpacing/>
        <w:rPr>
          <w:rFonts w:eastAsia="Calibri" w:cs="Times New Roman"/>
          <w:b/>
          <w:bCs/>
          <w:color w:val="auto"/>
          <w:lang w:eastAsia="es-ES"/>
        </w:rPr>
      </w:pPr>
      <w:r w:rsidRPr="00A93267">
        <w:rPr>
          <w:rFonts w:eastAsia="Calibri" w:cs="Times New Roman"/>
          <w:b/>
          <w:bCs/>
          <w:color w:val="auto"/>
          <w:lang w:eastAsia="es-ES"/>
        </w:rPr>
        <w:t xml:space="preserve">PRIMERO. </w:t>
      </w:r>
      <w:r w:rsidRPr="00A93267">
        <w:rPr>
          <w:rFonts w:eastAsia="Calibri" w:cs="Times New Roman"/>
          <w:color w:val="auto"/>
          <w:lang w:eastAsia="es-ES"/>
        </w:rPr>
        <w:t xml:space="preserve">Se </w:t>
      </w:r>
      <w:r w:rsidRPr="00A93267">
        <w:rPr>
          <w:rFonts w:eastAsia="Calibri" w:cs="Times New Roman"/>
          <w:b/>
          <w:bCs/>
          <w:color w:val="auto"/>
          <w:lang w:eastAsia="es-ES"/>
        </w:rPr>
        <w:t xml:space="preserve">MODIFICA </w:t>
      </w:r>
      <w:r w:rsidRPr="00A93267">
        <w:rPr>
          <w:rFonts w:eastAsia="Calibri" w:cs="Times New Roman"/>
          <w:bCs/>
          <w:color w:val="auto"/>
          <w:lang w:eastAsia="es-ES"/>
        </w:rPr>
        <w:t>la</w:t>
      </w:r>
      <w:r w:rsidRPr="00A93267">
        <w:rPr>
          <w:rFonts w:eastAsia="Calibri" w:cs="Times New Roman"/>
          <w:b/>
          <w:bCs/>
          <w:color w:val="auto"/>
          <w:lang w:eastAsia="es-ES"/>
        </w:rPr>
        <w:t xml:space="preserve"> </w:t>
      </w:r>
      <w:r w:rsidRPr="00A93267">
        <w:rPr>
          <w:rFonts w:eastAsia="Calibri" w:cs="Times New Roman"/>
          <w:color w:val="auto"/>
          <w:lang w:eastAsia="es-ES"/>
        </w:rPr>
        <w:t>respuesta entregada por</w:t>
      </w:r>
      <w:r w:rsidR="00FC6610" w:rsidRPr="00A93267">
        <w:rPr>
          <w:rFonts w:eastAsia="Calibri" w:cs="Times New Roman"/>
          <w:color w:val="auto"/>
          <w:lang w:eastAsia="es-ES"/>
        </w:rPr>
        <w:t xml:space="preserve"> la Secretaría de Movilidad</w:t>
      </w:r>
      <w:r w:rsidRPr="00A93267">
        <w:rPr>
          <w:rFonts w:eastAsia="Calibri" w:cs="Tahoma"/>
        </w:rPr>
        <w:t>,</w:t>
      </w:r>
      <w:r w:rsidRPr="00A93267">
        <w:rPr>
          <w:rFonts w:eastAsia="Calibri" w:cs="Times New Roman"/>
          <w:color w:val="auto"/>
          <w:lang w:eastAsia="es-ES"/>
        </w:rPr>
        <w:t xml:space="preserve"> a la solicitud de información</w:t>
      </w:r>
      <w:r w:rsidRPr="00A93267">
        <w:rPr>
          <w:rFonts w:eastAsia="Calibri" w:cs="Times New Roman"/>
          <w:b/>
          <w:bCs/>
          <w:color w:val="auto"/>
          <w:lang w:eastAsia="es-ES"/>
        </w:rPr>
        <w:t xml:space="preserve"> </w:t>
      </w:r>
      <w:r w:rsidR="00FC6610" w:rsidRPr="00A93267">
        <w:t>00522/SMOV/IP/2022</w:t>
      </w:r>
      <w:r w:rsidRPr="00A93267">
        <w:t>,</w:t>
      </w:r>
      <w:r w:rsidRPr="00A93267">
        <w:rPr>
          <w:rFonts w:eastAsia="Calibri" w:cs="Times New Roman"/>
          <w:color w:val="auto"/>
          <w:lang w:eastAsia="es-ES"/>
        </w:rPr>
        <w:t xml:space="preserve"> por resultar </w:t>
      </w:r>
      <w:r w:rsidRPr="00A93267">
        <w:rPr>
          <w:rFonts w:eastAsia="Calibri" w:cs="Times New Roman"/>
          <w:b/>
          <w:bCs/>
          <w:color w:val="auto"/>
          <w:lang w:eastAsia="es-ES"/>
        </w:rPr>
        <w:t>FUNDADAS</w:t>
      </w:r>
      <w:r w:rsidRPr="00A93267">
        <w:rPr>
          <w:rFonts w:eastAsia="Calibri" w:cs="Times New Roman"/>
          <w:color w:val="auto"/>
          <w:lang w:eastAsia="es-ES"/>
        </w:rPr>
        <w:t xml:space="preserve"> las razones o motivos de inconformidad hechos valer por el Recurrente, en términos de los considerandos QUINTO y SEXTO de la presente Resolución.</w:t>
      </w:r>
    </w:p>
    <w:p w14:paraId="2DF60555" w14:textId="77777777" w:rsidR="00482B41" w:rsidRPr="00A93267" w:rsidRDefault="00482B41" w:rsidP="008976D2">
      <w:pPr>
        <w:spacing w:after="0" w:line="360" w:lineRule="auto"/>
        <w:contextualSpacing/>
        <w:rPr>
          <w:rFonts w:eastAsia="Calibri"/>
        </w:rPr>
      </w:pPr>
    </w:p>
    <w:p w14:paraId="0CD6C206" w14:textId="77777777" w:rsidR="008976D2" w:rsidRPr="00A93267" w:rsidRDefault="00482B41" w:rsidP="008976D2">
      <w:pPr>
        <w:spacing w:after="0" w:line="360" w:lineRule="auto"/>
      </w:pPr>
      <w:r w:rsidRPr="00A93267">
        <w:rPr>
          <w:rFonts w:eastAsia="Times New Roman" w:cs="Tahoma"/>
          <w:b/>
          <w:bCs/>
          <w:color w:val="auto"/>
          <w:lang w:eastAsia="es-ES"/>
        </w:rPr>
        <w:t xml:space="preserve">SEGUNDO. </w:t>
      </w:r>
      <w:r w:rsidRPr="00A93267">
        <w:rPr>
          <w:rFonts w:eastAsia="Times New Roman" w:cs="Tahoma"/>
          <w:color w:val="auto"/>
          <w:lang w:eastAsia="es-ES"/>
        </w:rPr>
        <w:t xml:space="preserve">Se </w:t>
      </w:r>
      <w:r w:rsidRPr="00A93267">
        <w:rPr>
          <w:rFonts w:eastAsia="Times New Roman" w:cs="Tahoma"/>
          <w:b/>
          <w:color w:val="auto"/>
          <w:lang w:eastAsia="es-ES"/>
        </w:rPr>
        <w:t xml:space="preserve">ORDENA </w:t>
      </w:r>
      <w:r w:rsidRPr="00A93267">
        <w:rPr>
          <w:rFonts w:eastAsia="Times New Roman" w:cs="Tahoma"/>
          <w:color w:val="auto"/>
          <w:lang w:eastAsia="es-ES"/>
        </w:rPr>
        <w:t xml:space="preserve">al </w:t>
      </w:r>
      <w:r w:rsidRPr="00A93267">
        <w:rPr>
          <w:rFonts w:eastAsia="Times New Roman" w:cs="Tahoma"/>
          <w:color w:val="0D0D0D" w:themeColor="text1" w:themeTint="F2"/>
          <w:lang w:eastAsia="es-ES"/>
        </w:rPr>
        <w:t>Sujeto Obligado</w:t>
      </w:r>
      <w:r w:rsidRPr="00A93267">
        <w:rPr>
          <w:rFonts w:eastAsia="Times New Roman" w:cs="Tahoma"/>
          <w:color w:val="auto"/>
          <w:lang w:eastAsia="es-ES"/>
        </w:rPr>
        <w:t xml:space="preserve">, a efecto de que previa búsqueda exhaustiva y razonable, en los archivos de las unidades administrativas competentes, entregue </w:t>
      </w:r>
      <w:r w:rsidRPr="00A93267">
        <w:rPr>
          <w:rFonts w:eastAsia="Times New Roman" w:cs="Tahoma"/>
          <w:bCs/>
          <w:iCs/>
          <w:color w:val="auto"/>
          <w:lang w:eastAsia="es-ES"/>
        </w:rPr>
        <w:t xml:space="preserve">a través del Sistema de Acceso a la Información Mexiquense (SAIMEX), en su caso, en versión pública, </w:t>
      </w:r>
      <w:r w:rsidR="008976D2" w:rsidRPr="00A93267">
        <w:t>respecto de todos los servidores públicos que estaban adscritos a la Secretaría de Movilidad, al diez de octubre de dos mil veintidós, los documentos donde conste, lo siguiente:</w:t>
      </w:r>
    </w:p>
    <w:p w14:paraId="25DE11D2" w14:textId="77777777" w:rsidR="008976D2" w:rsidRPr="00A93267" w:rsidRDefault="008976D2" w:rsidP="008976D2">
      <w:pPr>
        <w:spacing w:after="0" w:line="360" w:lineRule="auto"/>
      </w:pPr>
    </w:p>
    <w:p w14:paraId="535E78DF" w14:textId="33CD5EC6" w:rsidR="008976D2" w:rsidRPr="00A93267" w:rsidRDefault="008976D2" w:rsidP="008976D2">
      <w:pPr>
        <w:pStyle w:val="Prrafodelista"/>
        <w:numPr>
          <w:ilvl w:val="0"/>
          <w:numId w:val="10"/>
        </w:numPr>
        <w:spacing w:line="360" w:lineRule="auto"/>
        <w:rPr>
          <w:rFonts w:ascii="Palatino Linotype" w:hAnsi="Palatino Linotype"/>
        </w:rPr>
      </w:pPr>
      <w:r w:rsidRPr="00A93267">
        <w:rPr>
          <w:rFonts w:ascii="Palatino Linotype" w:hAnsi="Palatino Linotype"/>
        </w:rPr>
        <w:t>Nombre completo;</w:t>
      </w:r>
    </w:p>
    <w:p w14:paraId="68B99AD5" w14:textId="77777777" w:rsidR="008A1D9C" w:rsidRPr="00A93267" w:rsidRDefault="008A1D9C" w:rsidP="008A1D9C">
      <w:pPr>
        <w:pStyle w:val="Prrafodelista"/>
        <w:spacing w:line="360" w:lineRule="auto"/>
        <w:rPr>
          <w:rFonts w:ascii="Palatino Linotype" w:hAnsi="Palatino Linotype"/>
        </w:rPr>
      </w:pPr>
    </w:p>
    <w:p w14:paraId="6A4FE175" w14:textId="3375D378" w:rsidR="008976D2" w:rsidRPr="00A93267" w:rsidRDefault="008976D2" w:rsidP="008976D2">
      <w:pPr>
        <w:pStyle w:val="Prrafodelista"/>
        <w:numPr>
          <w:ilvl w:val="0"/>
          <w:numId w:val="10"/>
        </w:numPr>
        <w:spacing w:line="360" w:lineRule="auto"/>
        <w:rPr>
          <w:rFonts w:ascii="Palatino Linotype" w:hAnsi="Palatino Linotype"/>
        </w:rPr>
      </w:pPr>
      <w:r w:rsidRPr="00A93267">
        <w:rPr>
          <w:rFonts w:ascii="Palatino Linotype" w:hAnsi="Palatino Linotype"/>
        </w:rPr>
        <w:t>Cargo, nivel o rango y área de adscripción;</w:t>
      </w:r>
    </w:p>
    <w:p w14:paraId="55FFB09F" w14:textId="77777777" w:rsidR="008A1D9C" w:rsidRPr="00A93267" w:rsidRDefault="008A1D9C" w:rsidP="008A1D9C">
      <w:pPr>
        <w:pStyle w:val="Prrafodelista"/>
        <w:rPr>
          <w:rFonts w:ascii="Palatino Linotype" w:hAnsi="Palatino Linotype"/>
        </w:rPr>
      </w:pPr>
    </w:p>
    <w:p w14:paraId="158930F4" w14:textId="78F0A86C" w:rsidR="008976D2" w:rsidRPr="00A93267" w:rsidRDefault="008976D2" w:rsidP="008976D2">
      <w:pPr>
        <w:pStyle w:val="Prrafodelista"/>
        <w:numPr>
          <w:ilvl w:val="0"/>
          <w:numId w:val="10"/>
        </w:numPr>
        <w:spacing w:line="360" w:lineRule="auto"/>
        <w:rPr>
          <w:rFonts w:ascii="Palatino Linotype" w:hAnsi="Palatino Linotype"/>
        </w:rPr>
      </w:pPr>
      <w:r w:rsidRPr="00A93267">
        <w:rPr>
          <w:rFonts w:ascii="Palatino Linotype" w:hAnsi="Palatino Linotype"/>
        </w:rPr>
        <w:t>Sueldos y prestaciones pagadas en la primera y segunda quincena de septiembre de dos mil veintidós (últimas quincenas erogadas a la fecha de la solicitud), y</w:t>
      </w:r>
    </w:p>
    <w:p w14:paraId="40B3AC32" w14:textId="77777777" w:rsidR="008A1D9C" w:rsidRPr="00A93267" w:rsidRDefault="008A1D9C" w:rsidP="008A1D9C">
      <w:pPr>
        <w:pStyle w:val="Prrafodelista"/>
        <w:rPr>
          <w:rFonts w:ascii="Palatino Linotype" w:hAnsi="Palatino Linotype"/>
        </w:rPr>
      </w:pPr>
    </w:p>
    <w:p w14:paraId="4B27C640" w14:textId="77777777" w:rsidR="008976D2" w:rsidRPr="00A93267" w:rsidRDefault="008976D2" w:rsidP="008976D2">
      <w:pPr>
        <w:pStyle w:val="Prrafodelista"/>
        <w:numPr>
          <w:ilvl w:val="0"/>
          <w:numId w:val="10"/>
        </w:numPr>
        <w:spacing w:line="360" w:lineRule="auto"/>
        <w:rPr>
          <w:rFonts w:ascii="Palatino Linotype" w:hAnsi="Palatino Linotype"/>
        </w:rPr>
      </w:pPr>
      <w:r w:rsidRPr="00A93267">
        <w:rPr>
          <w:rFonts w:ascii="Palatino Linotype" w:hAnsi="Palatino Linotype"/>
        </w:rPr>
        <w:t>Profesión.</w:t>
      </w:r>
    </w:p>
    <w:p w14:paraId="4FED5546" w14:textId="77777777" w:rsidR="008976D2" w:rsidRPr="00A93267" w:rsidRDefault="008976D2" w:rsidP="008976D2">
      <w:pPr>
        <w:autoSpaceDE w:val="0"/>
        <w:autoSpaceDN w:val="0"/>
        <w:adjustRightInd w:val="0"/>
        <w:spacing w:after="0" w:line="360" w:lineRule="auto"/>
        <w:ind w:right="-28"/>
        <w:contextualSpacing/>
      </w:pPr>
    </w:p>
    <w:p w14:paraId="1C02047D" w14:textId="77777777" w:rsidR="008976D2" w:rsidRPr="00A93267" w:rsidRDefault="008976D2" w:rsidP="008976D2">
      <w:pPr>
        <w:tabs>
          <w:tab w:val="left" w:pos="4962"/>
        </w:tabs>
        <w:spacing w:after="0" w:line="360" w:lineRule="auto"/>
        <w:rPr>
          <w:rFonts w:eastAsia="Calibri" w:cs="Tahoma"/>
          <w:bCs/>
          <w:iCs/>
          <w:color w:val="auto"/>
          <w:lang w:val="es-ES"/>
        </w:rPr>
      </w:pPr>
      <w:r w:rsidRPr="00A93267">
        <w:rPr>
          <w:rFonts w:eastAsia="Calibri" w:cs="Tahoma"/>
          <w:bCs/>
          <w:iCs/>
          <w:color w:val="auto"/>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4BBCC0D" w14:textId="77777777" w:rsidR="00482B41" w:rsidRPr="00A93267" w:rsidRDefault="00482B41" w:rsidP="008976D2">
      <w:pPr>
        <w:autoSpaceDE w:val="0"/>
        <w:autoSpaceDN w:val="0"/>
        <w:adjustRightInd w:val="0"/>
        <w:spacing w:after="0" w:line="360" w:lineRule="auto"/>
        <w:contextualSpacing/>
        <w:rPr>
          <w:rFonts w:eastAsia="Calibri" w:cs="Tahoma"/>
          <w:bCs/>
          <w:iCs/>
          <w:color w:val="000000"/>
        </w:rPr>
      </w:pPr>
    </w:p>
    <w:p w14:paraId="523EC8A0" w14:textId="77777777" w:rsidR="008976D2" w:rsidRPr="00A93267" w:rsidRDefault="008976D2" w:rsidP="008976D2">
      <w:pPr>
        <w:tabs>
          <w:tab w:val="left" w:pos="4962"/>
        </w:tabs>
        <w:spacing w:after="0" w:line="360" w:lineRule="auto"/>
        <w:contextualSpacing/>
        <w:rPr>
          <w:rFonts w:eastAsia="Calibri" w:cs="Tahoma"/>
          <w:b/>
          <w:bCs/>
          <w:iCs/>
          <w:color w:val="000000"/>
          <w:lang w:val="es-ES"/>
        </w:rPr>
      </w:pPr>
      <w:r w:rsidRPr="00A93267">
        <w:rPr>
          <w:rFonts w:eastAsia="Calibri" w:cs="Tahoma"/>
          <w:iCs/>
          <w:lang w:eastAsia="es-ES_tradnl"/>
        </w:rPr>
        <w:t>Para el caso, de que alguno de los servidores públicos no cuenten con profesión, al no ser requisito para ocupar el cargo, deberá hacerlo del conocimiento del ahora Recurrente, de manera clara y precisa.</w:t>
      </w:r>
    </w:p>
    <w:p w14:paraId="1A3FA48E" w14:textId="77777777" w:rsidR="008976D2" w:rsidRPr="00A93267" w:rsidRDefault="008976D2" w:rsidP="008976D2">
      <w:pPr>
        <w:autoSpaceDE w:val="0"/>
        <w:autoSpaceDN w:val="0"/>
        <w:adjustRightInd w:val="0"/>
        <w:spacing w:after="0" w:line="360" w:lineRule="auto"/>
        <w:contextualSpacing/>
        <w:rPr>
          <w:rFonts w:eastAsia="Calibri" w:cs="Tahoma"/>
          <w:bCs/>
          <w:iCs/>
          <w:color w:val="000000"/>
        </w:rPr>
      </w:pPr>
    </w:p>
    <w:p w14:paraId="038FDADB" w14:textId="77777777" w:rsidR="00482B41" w:rsidRPr="00A93267" w:rsidRDefault="00482B41" w:rsidP="008976D2">
      <w:pPr>
        <w:spacing w:after="0" w:line="360" w:lineRule="auto"/>
        <w:ind w:right="-28"/>
        <w:contextualSpacing/>
        <w:rPr>
          <w:rFonts w:eastAsia="Times New Roman" w:cs="Tahoma"/>
          <w:i/>
          <w:lang w:eastAsia="es-ES"/>
        </w:rPr>
      </w:pPr>
      <w:r w:rsidRPr="00A93267">
        <w:rPr>
          <w:rFonts w:eastAsia="Calibri" w:cs="Tahoma"/>
          <w:b/>
          <w:bCs/>
        </w:rPr>
        <w:t xml:space="preserve">TERCERO. </w:t>
      </w:r>
      <w:r w:rsidRPr="00A93267">
        <w:rPr>
          <w:rFonts w:eastAsia="Times New Roman" w:cs="Tahoma"/>
          <w:b/>
          <w:lang w:eastAsia="es-ES"/>
        </w:rPr>
        <w:t xml:space="preserve">NOTIFÍQUESE </w:t>
      </w:r>
      <w:r w:rsidRPr="00A93267">
        <w:rPr>
          <w:rFonts w:eastAsia="Times New Roman" w:cs="Tahoma"/>
          <w:lang w:eastAsia="es-ES"/>
        </w:rPr>
        <w:t xml:space="preserve">la presente resolución al Titular de la Unidad de Transparencia del Sujeto Obligado, para que conforme al artículo 186 último párrafo, 189 segundo párrafo y </w:t>
      </w:r>
      <w:r w:rsidRPr="00A93267">
        <w:rPr>
          <w:rFonts w:eastAsia="Times New Roman" w:cs="Tahoma"/>
          <w:lang w:eastAsia="es-ES"/>
        </w:rPr>
        <w:lastRenderedPageBreak/>
        <w:t>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0CBA5A7" w14:textId="77777777" w:rsidR="00482B41" w:rsidRPr="00A93267" w:rsidRDefault="00482B41" w:rsidP="008976D2">
      <w:pPr>
        <w:spacing w:after="0" w:line="360" w:lineRule="auto"/>
        <w:ind w:right="-28"/>
        <w:contextualSpacing/>
        <w:rPr>
          <w:rFonts w:eastAsia="Calibri" w:cs="Tahoma"/>
          <w:color w:val="000000"/>
          <w:lang w:val="es-ES" w:eastAsia="es-MX"/>
        </w:rPr>
      </w:pPr>
    </w:p>
    <w:p w14:paraId="5F9EC3F2" w14:textId="77777777" w:rsidR="00482B41" w:rsidRPr="00A93267" w:rsidRDefault="00482B41" w:rsidP="008976D2">
      <w:pPr>
        <w:spacing w:after="0" w:line="360" w:lineRule="auto"/>
        <w:contextualSpacing/>
        <w:rPr>
          <w:rFonts w:eastAsia="Calibri" w:cs="Tahoma"/>
          <w:iCs/>
          <w:color w:val="000000"/>
        </w:rPr>
      </w:pPr>
      <w:r w:rsidRPr="00A93267">
        <w:rPr>
          <w:rFonts w:eastAsia="Calibri" w:cs="Tahoma"/>
          <w:iCs/>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8CFF14E" w14:textId="77777777" w:rsidR="00482B41" w:rsidRPr="00A93267" w:rsidRDefault="00482B41" w:rsidP="008976D2">
      <w:pPr>
        <w:spacing w:after="0" w:line="360" w:lineRule="auto"/>
        <w:ind w:right="-28"/>
        <w:contextualSpacing/>
        <w:rPr>
          <w:rFonts w:eastAsia="Calibri" w:cs="Tahoma"/>
          <w:color w:val="000000"/>
          <w:lang w:val="es-ES" w:eastAsia="es-MX"/>
        </w:rPr>
      </w:pPr>
    </w:p>
    <w:p w14:paraId="0C6927BD" w14:textId="77777777" w:rsidR="00482B41" w:rsidRPr="00A93267" w:rsidRDefault="00482B41" w:rsidP="008976D2">
      <w:pPr>
        <w:spacing w:after="0" w:line="360" w:lineRule="auto"/>
        <w:contextualSpacing/>
        <w:rPr>
          <w:rFonts w:eastAsia="Calibri" w:cs="Tahoma"/>
          <w:iCs/>
          <w:color w:val="000000"/>
        </w:rPr>
      </w:pPr>
      <w:r w:rsidRPr="00A93267">
        <w:rPr>
          <w:rFonts w:eastAsia="Calibri" w:cs="Tahoma"/>
          <w:b/>
          <w:iCs/>
          <w:color w:val="000000"/>
        </w:rPr>
        <w:t>CUARTO. NOTIFÍQUESE</w:t>
      </w:r>
      <w:r w:rsidRPr="00A93267">
        <w:rPr>
          <w:rFonts w:eastAsia="Calibri" w:cs="Tahoma"/>
          <w:iCs/>
          <w:color w:val="000000"/>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9262E70" w14:textId="77777777" w:rsidR="00482B41" w:rsidRPr="00A93267" w:rsidRDefault="00482B41" w:rsidP="008976D2">
      <w:pPr>
        <w:spacing w:after="0" w:line="360" w:lineRule="auto"/>
        <w:contextualSpacing/>
      </w:pPr>
    </w:p>
    <w:p w14:paraId="08D0620C" w14:textId="770501F0" w:rsidR="00482B41" w:rsidRPr="00F8584E" w:rsidRDefault="00482B41" w:rsidP="008976D2">
      <w:pPr>
        <w:spacing w:after="0" w:line="360" w:lineRule="auto"/>
        <w:contextualSpacing/>
        <w:rPr>
          <w:rFonts w:eastAsia="Calibri"/>
        </w:rPr>
      </w:pPr>
      <w:r w:rsidRPr="00A93267">
        <w:rPr>
          <w:rFonts w:eastAsia="Calibri"/>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w:t>
      </w:r>
      <w:r w:rsidR="00FC6610" w:rsidRPr="00A93267">
        <w:rPr>
          <w:rFonts w:eastAsia="Calibri"/>
        </w:rPr>
        <w:t>ÉPTIMA</w:t>
      </w:r>
      <w:r w:rsidRPr="00A93267">
        <w:rPr>
          <w:rFonts w:eastAsia="Calibri"/>
        </w:rPr>
        <w:t xml:space="preserve"> SESIÓN ORDINARIA, CELEBRADA EL </w:t>
      </w:r>
      <w:r w:rsidR="00FC6610" w:rsidRPr="00A93267">
        <w:rPr>
          <w:rFonts w:eastAsia="Calibri"/>
        </w:rPr>
        <w:t>VEINTIDÓS DE FEBRERO</w:t>
      </w:r>
      <w:r w:rsidRPr="00A93267">
        <w:rPr>
          <w:rFonts w:eastAsia="Calibri"/>
        </w:rPr>
        <w:t xml:space="preserve"> DE DOS MIL VEINTITRÉS, ANTE EL SECRETARIO TÉCNICO DEL PLENO, ALEXIS TAPIA RAMÍREZ.</w:t>
      </w:r>
    </w:p>
    <w:p w14:paraId="268B7068" w14:textId="126EF8A6" w:rsidR="007A23FD" w:rsidRDefault="007A23FD">
      <w:pPr>
        <w:jc w:val="left"/>
      </w:pPr>
      <w:r>
        <w:br w:type="page"/>
      </w:r>
    </w:p>
    <w:p w14:paraId="4645A63C" w14:textId="77777777" w:rsidR="00E43072" w:rsidRDefault="00E43072" w:rsidP="008976D2">
      <w:pPr>
        <w:spacing w:after="0" w:line="360" w:lineRule="auto"/>
        <w:contextualSpacing/>
      </w:pPr>
    </w:p>
    <w:sectPr w:rsidR="00E43072" w:rsidSect="00E3492B">
      <w:headerReference w:type="even" r:id="rId28"/>
      <w:headerReference w:type="default" r:id="rId29"/>
      <w:footerReference w:type="even" r:id="rId30"/>
      <w:footerReference w:type="default" r:id="rId31"/>
      <w:headerReference w:type="first" r:id="rId32"/>
      <w:footerReference w:type="first" r:id="rId33"/>
      <w:pgSz w:w="12240" w:h="15840"/>
      <w:pgMar w:top="1418" w:right="1418" w:bottom="1134"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DC58" w14:textId="77777777" w:rsidR="000F673E" w:rsidRDefault="000F673E" w:rsidP="00482B41">
      <w:pPr>
        <w:spacing w:after="0" w:line="240" w:lineRule="auto"/>
      </w:pPr>
      <w:r>
        <w:separator/>
      </w:r>
    </w:p>
  </w:endnote>
  <w:endnote w:type="continuationSeparator" w:id="0">
    <w:p w14:paraId="607ACEBF" w14:textId="77777777" w:rsidR="000F673E" w:rsidRDefault="000F673E" w:rsidP="0048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456D3E98" w14:textId="77777777" w:rsidR="00E3492B" w:rsidRDefault="00E3492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0B07209E" w14:textId="77777777" w:rsidR="00E3492B" w:rsidRDefault="00E349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29D1B80E" w14:textId="77777777" w:rsidR="00E3492B" w:rsidRDefault="00E3492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44FB2">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44FB2">
              <w:rPr>
                <w:b/>
                <w:bCs/>
                <w:noProof/>
              </w:rPr>
              <w:t>47</w:t>
            </w:r>
            <w:r>
              <w:rPr>
                <w:b/>
                <w:bCs/>
                <w:sz w:val="24"/>
                <w:szCs w:val="24"/>
              </w:rPr>
              <w:fldChar w:fldCharType="end"/>
            </w:r>
          </w:p>
        </w:sdtContent>
      </w:sdt>
    </w:sdtContent>
  </w:sdt>
  <w:p w14:paraId="6D8EC574" w14:textId="77777777" w:rsidR="00E3492B" w:rsidRDefault="00E3492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7E06AE0D" w14:textId="77777777" w:rsidR="00E3492B" w:rsidRDefault="00E3492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44FB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44FB2">
              <w:rPr>
                <w:b/>
                <w:bCs/>
                <w:noProof/>
              </w:rPr>
              <w:t>47</w:t>
            </w:r>
            <w:r>
              <w:rPr>
                <w:b/>
                <w:bCs/>
                <w:sz w:val="24"/>
                <w:szCs w:val="24"/>
              </w:rPr>
              <w:fldChar w:fldCharType="end"/>
            </w:r>
          </w:p>
        </w:sdtContent>
      </w:sdt>
    </w:sdtContent>
  </w:sdt>
  <w:p w14:paraId="61503237" w14:textId="77777777" w:rsidR="00E3492B" w:rsidRDefault="00E3492B" w:rsidP="00E3492B">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C3FD7" w14:textId="77777777" w:rsidR="000F673E" w:rsidRDefault="000F673E" w:rsidP="00482B41">
      <w:pPr>
        <w:spacing w:after="0" w:line="240" w:lineRule="auto"/>
      </w:pPr>
      <w:r>
        <w:separator/>
      </w:r>
    </w:p>
  </w:footnote>
  <w:footnote w:type="continuationSeparator" w:id="0">
    <w:p w14:paraId="07D599B9" w14:textId="77777777" w:rsidR="000F673E" w:rsidRDefault="000F673E" w:rsidP="00482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E3492B" w:rsidRPr="008C644E" w14:paraId="6EAA5CC9" w14:textId="77777777" w:rsidTr="00E3492B">
      <w:trPr>
        <w:trHeight w:val="1435"/>
      </w:trPr>
      <w:tc>
        <w:tcPr>
          <w:tcW w:w="3261" w:type="dxa"/>
        </w:tcPr>
        <w:p w14:paraId="00C3797C" w14:textId="77777777" w:rsidR="00E3492B" w:rsidRPr="008C644E" w:rsidRDefault="00E3492B" w:rsidP="00E3492B">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E3492B" w:rsidRPr="008C644E" w14:paraId="123CFFBB" w14:textId="77777777" w:rsidTr="00E3492B">
            <w:trPr>
              <w:trHeight w:val="144"/>
            </w:trPr>
            <w:tc>
              <w:tcPr>
                <w:tcW w:w="2559" w:type="dxa"/>
                <w:hideMark/>
              </w:tcPr>
              <w:p w14:paraId="66184AEF" w14:textId="77777777" w:rsidR="00E3492B" w:rsidRPr="008C644E" w:rsidRDefault="00E3492B" w:rsidP="00E3492B">
                <w:pPr>
                  <w:pStyle w:val="Encabezado"/>
                  <w:rPr>
                    <w:b/>
                  </w:rPr>
                </w:pPr>
                <w:r w:rsidRPr="008C644E">
                  <w:rPr>
                    <w:b/>
                  </w:rPr>
                  <w:t>Recurso de Revisión:</w:t>
                </w:r>
              </w:p>
            </w:tc>
            <w:tc>
              <w:tcPr>
                <w:tcW w:w="3259" w:type="dxa"/>
                <w:hideMark/>
              </w:tcPr>
              <w:p w14:paraId="4CFF9834" w14:textId="77777777" w:rsidR="00E3492B" w:rsidRPr="008C644E" w:rsidRDefault="00E3492B" w:rsidP="00E3492B">
                <w:pPr>
                  <w:pStyle w:val="Encabezado"/>
                </w:pPr>
                <w:r>
                  <w:t>01206/INFOEM/IP/RR/2022</w:t>
                </w:r>
              </w:p>
            </w:tc>
            <w:tc>
              <w:tcPr>
                <w:tcW w:w="3402" w:type="dxa"/>
              </w:tcPr>
              <w:p w14:paraId="047EDEFB" w14:textId="77777777" w:rsidR="00E3492B" w:rsidRPr="008C644E" w:rsidRDefault="00E3492B" w:rsidP="00E3492B">
                <w:pPr>
                  <w:pStyle w:val="Encabezado"/>
                  <w:rPr>
                    <w:bCs/>
                  </w:rPr>
                </w:pPr>
              </w:p>
            </w:tc>
          </w:tr>
          <w:tr w:rsidR="00E3492B" w:rsidRPr="008C644E" w14:paraId="2EFD7952" w14:textId="77777777" w:rsidTr="00E3492B">
            <w:trPr>
              <w:trHeight w:val="283"/>
            </w:trPr>
            <w:tc>
              <w:tcPr>
                <w:tcW w:w="2559" w:type="dxa"/>
                <w:hideMark/>
              </w:tcPr>
              <w:p w14:paraId="492B536B" w14:textId="77777777" w:rsidR="00E3492B" w:rsidRPr="008C644E" w:rsidRDefault="00E3492B" w:rsidP="00E3492B">
                <w:pPr>
                  <w:pStyle w:val="Encabezado"/>
                  <w:rPr>
                    <w:b/>
                  </w:rPr>
                </w:pPr>
                <w:r w:rsidRPr="008C644E">
                  <w:rPr>
                    <w:b/>
                  </w:rPr>
                  <w:t>Sujeto Obligado:</w:t>
                </w:r>
              </w:p>
            </w:tc>
            <w:tc>
              <w:tcPr>
                <w:tcW w:w="3259" w:type="dxa"/>
                <w:hideMark/>
              </w:tcPr>
              <w:p w14:paraId="1E2C0956" w14:textId="77777777" w:rsidR="00E3492B" w:rsidRPr="008C644E" w:rsidRDefault="00E3492B" w:rsidP="00E3492B">
                <w:pPr>
                  <w:pStyle w:val="Encabezado"/>
                </w:pPr>
                <w:r w:rsidRPr="008C644E">
                  <w:rPr>
                    <w:lang w:val="es-MX"/>
                  </w:rPr>
                  <w:t>Ayuntamiento</w:t>
                </w:r>
                <w:r>
                  <w:rPr>
                    <w:lang w:val="es-MX"/>
                  </w:rPr>
                  <w:t xml:space="preserve"> de</w:t>
                </w:r>
                <w:r w:rsidRPr="008C644E">
                  <w:rPr>
                    <w:lang w:val="es-MX"/>
                  </w:rPr>
                  <w:t xml:space="preserve"> </w:t>
                </w:r>
                <w:r>
                  <w:rPr>
                    <w:lang w:val="es-MX"/>
                  </w:rPr>
                  <w:t>Tezoyuca</w:t>
                </w:r>
              </w:p>
            </w:tc>
            <w:tc>
              <w:tcPr>
                <w:tcW w:w="3402" w:type="dxa"/>
              </w:tcPr>
              <w:p w14:paraId="1A6EFD70" w14:textId="77777777" w:rsidR="00E3492B" w:rsidRPr="008C644E" w:rsidRDefault="00E3492B" w:rsidP="00E3492B">
                <w:pPr>
                  <w:pStyle w:val="Encabezado"/>
                </w:pPr>
              </w:p>
            </w:tc>
          </w:tr>
          <w:tr w:rsidR="00E3492B" w:rsidRPr="008C644E" w14:paraId="122A1A53" w14:textId="77777777" w:rsidTr="00E3492B">
            <w:trPr>
              <w:trHeight w:val="283"/>
            </w:trPr>
            <w:tc>
              <w:tcPr>
                <w:tcW w:w="2559" w:type="dxa"/>
                <w:hideMark/>
              </w:tcPr>
              <w:p w14:paraId="4D240B24" w14:textId="77777777" w:rsidR="00E3492B" w:rsidRPr="008C644E" w:rsidRDefault="00E3492B" w:rsidP="00E3492B">
                <w:pPr>
                  <w:pStyle w:val="Encabezado"/>
                  <w:rPr>
                    <w:b/>
                  </w:rPr>
                </w:pPr>
                <w:r w:rsidRPr="008C644E">
                  <w:rPr>
                    <w:b/>
                  </w:rPr>
                  <w:t xml:space="preserve">Comisionado Ponente: </w:t>
                </w:r>
              </w:p>
            </w:tc>
            <w:tc>
              <w:tcPr>
                <w:tcW w:w="3259" w:type="dxa"/>
                <w:hideMark/>
              </w:tcPr>
              <w:p w14:paraId="7ACC416F" w14:textId="77777777" w:rsidR="00E3492B" w:rsidRPr="008C644E" w:rsidRDefault="00E3492B" w:rsidP="00E3492B">
                <w:pPr>
                  <w:pStyle w:val="Encabezado"/>
                  <w:rPr>
                    <w:b/>
                  </w:rPr>
                </w:pPr>
                <w:r w:rsidRPr="008C644E">
                  <w:t>Luis Gustavo Parra Noriega</w:t>
                </w:r>
              </w:p>
            </w:tc>
            <w:tc>
              <w:tcPr>
                <w:tcW w:w="3402" w:type="dxa"/>
              </w:tcPr>
              <w:p w14:paraId="08F74BF8" w14:textId="77777777" w:rsidR="00E3492B" w:rsidRPr="008C644E" w:rsidRDefault="00E3492B" w:rsidP="00E3492B">
                <w:pPr>
                  <w:pStyle w:val="Encabezado"/>
                </w:pPr>
              </w:p>
            </w:tc>
          </w:tr>
        </w:tbl>
        <w:p w14:paraId="7440A296" w14:textId="77777777" w:rsidR="00E3492B" w:rsidRPr="008C644E" w:rsidRDefault="00E3492B" w:rsidP="00E3492B">
          <w:pPr>
            <w:pStyle w:val="Encabezado"/>
            <w:rPr>
              <w:b/>
            </w:rPr>
          </w:pPr>
        </w:p>
      </w:tc>
    </w:tr>
  </w:tbl>
  <w:p w14:paraId="18B67472" w14:textId="77777777" w:rsidR="00E3492B" w:rsidRDefault="00A93267">
    <w:pPr>
      <w:pStyle w:val="Encabezado"/>
    </w:pPr>
    <w:r>
      <w:rPr>
        <w:noProof/>
      </w:rPr>
      <w:pict w14:anchorId="3B4B7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5"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41" w:type="dxa"/>
      <w:tblLayout w:type="fixed"/>
      <w:tblLook w:val="04A0" w:firstRow="1" w:lastRow="0" w:firstColumn="1" w:lastColumn="0" w:noHBand="0" w:noVBand="1"/>
    </w:tblPr>
    <w:tblGrid>
      <w:gridCol w:w="3686"/>
      <w:gridCol w:w="7155"/>
    </w:tblGrid>
    <w:tr w:rsidR="00E3492B" w14:paraId="4FEBF79A" w14:textId="77777777" w:rsidTr="00E3492B">
      <w:trPr>
        <w:trHeight w:val="1435"/>
      </w:trPr>
      <w:tc>
        <w:tcPr>
          <w:tcW w:w="3686" w:type="dxa"/>
        </w:tcPr>
        <w:p w14:paraId="0ADD12BE" w14:textId="77777777" w:rsidR="00E3492B" w:rsidRDefault="00E3492B" w:rsidP="00E3492B">
          <w:pPr>
            <w:tabs>
              <w:tab w:val="right" w:pos="4273"/>
            </w:tabs>
            <w:spacing w:line="256" w:lineRule="auto"/>
            <w:rPr>
              <w:rFonts w:ascii="Garamond" w:eastAsia="Calibri" w:hAnsi="Garamond"/>
              <w:color w:val="auto"/>
            </w:rPr>
          </w:pPr>
        </w:p>
      </w:tc>
      <w:tc>
        <w:tcPr>
          <w:tcW w:w="7155" w:type="dxa"/>
          <w:hideMark/>
        </w:tcPr>
        <w:p w14:paraId="5E24A7F6" w14:textId="77777777" w:rsidR="00E3492B" w:rsidRDefault="00E3492B"/>
        <w:tbl>
          <w:tblPr>
            <w:tblStyle w:val="Tablaconcuadrcula"/>
            <w:tblW w:w="9083" w:type="dxa"/>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544"/>
            <w:gridCol w:w="3130"/>
          </w:tblGrid>
          <w:tr w:rsidR="00E3492B" w14:paraId="4BD797C3" w14:textId="77777777" w:rsidTr="00E3492B">
            <w:trPr>
              <w:trHeight w:val="144"/>
            </w:trPr>
            <w:tc>
              <w:tcPr>
                <w:tcW w:w="2409" w:type="dxa"/>
                <w:hideMark/>
              </w:tcPr>
              <w:p w14:paraId="3F4C7743" w14:textId="77777777" w:rsidR="00E3492B" w:rsidRDefault="00E3492B" w:rsidP="00E3492B">
                <w:pPr>
                  <w:tabs>
                    <w:tab w:val="right" w:pos="8838"/>
                  </w:tabs>
                  <w:ind w:left="-74" w:right="-105"/>
                  <w:rPr>
                    <w:rFonts w:eastAsia="Calibri" w:cs="Tahoma"/>
                    <w:b/>
                  </w:rPr>
                </w:pPr>
                <w:bookmarkStart w:id="3" w:name="_Hlk12526980"/>
                <w:r>
                  <w:rPr>
                    <w:rFonts w:eastAsia="Calibri" w:cs="Tahoma"/>
                    <w:b/>
                  </w:rPr>
                  <w:t>Recurso de Revisión:</w:t>
                </w:r>
              </w:p>
            </w:tc>
            <w:tc>
              <w:tcPr>
                <w:tcW w:w="3544" w:type="dxa"/>
                <w:hideMark/>
              </w:tcPr>
              <w:p w14:paraId="73881895" w14:textId="3F4C6E39" w:rsidR="00E3492B" w:rsidRDefault="00E3492B" w:rsidP="00E3492B">
                <w:pPr>
                  <w:tabs>
                    <w:tab w:val="right" w:pos="8838"/>
                  </w:tabs>
                  <w:ind w:left="-74" w:right="-105"/>
                  <w:rPr>
                    <w:rFonts w:eastAsia="Calibri" w:cs="Tahoma"/>
                    <w:bCs/>
                  </w:rPr>
                </w:pPr>
                <w:r w:rsidRPr="007438A1">
                  <w:t>1</w:t>
                </w:r>
                <w:r>
                  <w:t>6391</w:t>
                </w:r>
                <w:r w:rsidRPr="007438A1">
                  <w:t>/INFOEM/IP/RR/2022</w:t>
                </w:r>
              </w:p>
            </w:tc>
            <w:tc>
              <w:tcPr>
                <w:tcW w:w="3130" w:type="dxa"/>
              </w:tcPr>
              <w:p w14:paraId="472404C3" w14:textId="77777777" w:rsidR="00E3492B" w:rsidRDefault="00E3492B" w:rsidP="00E3492B">
                <w:pPr>
                  <w:tabs>
                    <w:tab w:val="right" w:pos="8838"/>
                  </w:tabs>
                  <w:ind w:left="-74" w:right="-105"/>
                  <w:rPr>
                    <w:rFonts w:eastAsia="Calibri" w:cs="Tahoma"/>
                    <w:bCs/>
                  </w:rPr>
                </w:pPr>
              </w:p>
            </w:tc>
            <w:bookmarkEnd w:id="3"/>
          </w:tr>
          <w:tr w:rsidR="00E3492B" w14:paraId="267914E3" w14:textId="77777777" w:rsidTr="00E3492B">
            <w:trPr>
              <w:trHeight w:val="283"/>
            </w:trPr>
            <w:tc>
              <w:tcPr>
                <w:tcW w:w="2409" w:type="dxa"/>
                <w:hideMark/>
              </w:tcPr>
              <w:p w14:paraId="28E5F566" w14:textId="77777777" w:rsidR="00E3492B" w:rsidRDefault="00E3492B" w:rsidP="00E3492B">
                <w:pPr>
                  <w:tabs>
                    <w:tab w:val="right" w:pos="8838"/>
                  </w:tabs>
                  <w:ind w:left="-74" w:right="-105"/>
                  <w:rPr>
                    <w:rFonts w:eastAsia="Calibri" w:cs="Tahoma"/>
                    <w:b/>
                  </w:rPr>
                </w:pPr>
                <w:r>
                  <w:rPr>
                    <w:rFonts w:eastAsia="Calibri" w:cs="Tahoma"/>
                    <w:b/>
                  </w:rPr>
                  <w:t>Sujeto Obligado:</w:t>
                </w:r>
              </w:p>
            </w:tc>
            <w:tc>
              <w:tcPr>
                <w:tcW w:w="3544" w:type="dxa"/>
                <w:hideMark/>
              </w:tcPr>
              <w:p w14:paraId="19041091" w14:textId="75B32E98" w:rsidR="00E3492B" w:rsidRPr="008C644E" w:rsidRDefault="00E3492B" w:rsidP="00E3492B">
                <w:pPr>
                  <w:tabs>
                    <w:tab w:val="left" w:pos="2834"/>
                    <w:tab w:val="right" w:pos="8838"/>
                  </w:tabs>
                  <w:ind w:left="-74" w:right="-105"/>
                  <w:rPr>
                    <w:rFonts w:eastAsia="Calibri" w:cs="Tahoma"/>
                  </w:rPr>
                </w:pPr>
                <w:r>
                  <w:rPr>
                    <w:rFonts w:eastAsia="Calibri" w:cs="Tahoma"/>
                    <w:lang w:val="es-MX"/>
                  </w:rPr>
                  <w:t>Secretaría de Movilidad</w:t>
                </w:r>
              </w:p>
            </w:tc>
            <w:tc>
              <w:tcPr>
                <w:tcW w:w="3130" w:type="dxa"/>
              </w:tcPr>
              <w:p w14:paraId="4BFC3B3B" w14:textId="77777777" w:rsidR="00E3492B" w:rsidRDefault="00E3492B" w:rsidP="00E3492B">
                <w:pPr>
                  <w:tabs>
                    <w:tab w:val="left" w:pos="2834"/>
                    <w:tab w:val="right" w:pos="8838"/>
                  </w:tabs>
                  <w:ind w:left="-74" w:right="-105"/>
                  <w:rPr>
                    <w:rFonts w:eastAsia="Calibri" w:cs="Tahoma"/>
                  </w:rPr>
                </w:pPr>
              </w:p>
            </w:tc>
          </w:tr>
          <w:tr w:rsidR="00E3492B" w14:paraId="1173F1C3" w14:textId="77777777" w:rsidTr="00E3492B">
            <w:trPr>
              <w:trHeight w:val="283"/>
            </w:trPr>
            <w:tc>
              <w:tcPr>
                <w:tcW w:w="2409" w:type="dxa"/>
                <w:hideMark/>
              </w:tcPr>
              <w:p w14:paraId="0E2302C3" w14:textId="77777777" w:rsidR="00E3492B" w:rsidRDefault="00E3492B" w:rsidP="00E3492B">
                <w:pPr>
                  <w:tabs>
                    <w:tab w:val="right" w:pos="8838"/>
                  </w:tabs>
                  <w:ind w:left="-74" w:right="-105"/>
                  <w:rPr>
                    <w:rFonts w:eastAsia="Calibri" w:cs="Tahoma"/>
                    <w:b/>
                  </w:rPr>
                </w:pPr>
                <w:r>
                  <w:rPr>
                    <w:rFonts w:eastAsia="Calibri" w:cs="Tahoma"/>
                    <w:b/>
                  </w:rPr>
                  <w:t xml:space="preserve">Comisionado Ponente: </w:t>
                </w:r>
              </w:p>
            </w:tc>
            <w:tc>
              <w:tcPr>
                <w:tcW w:w="3544" w:type="dxa"/>
                <w:hideMark/>
              </w:tcPr>
              <w:p w14:paraId="702DB274" w14:textId="77777777" w:rsidR="00E3492B" w:rsidRDefault="00E3492B" w:rsidP="00E3492B">
                <w:pPr>
                  <w:tabs>
                    <w:tab w:val="right" w:pos="8838"/>
                  </w:tabs>
                  <w:ind w:left="-74" w:right="-105"/>
                  <w:rPr>
                    <w:rFonts w:eastAsia="Calibri" w:cs="Tahoma"/>
                    <w:b/>
                  </w:rPr>
                </w:pPr>
                <w:r>
                  <w:rPr>
                    <w:rFonts w:eastAsia="Calibri" w:cs="Tahoma"/>
                  </w:rPr>
                  <w:t>Luis Gustavo Parra Noriega</w:t>
                </w:r>
              </w:p>
            </w:tc>
            <w:tc>
              <w:tcPr>
                <w:tcW w:w="3130" w:type="dxa"/>
              </w:tcPr>
              <w:p w14:paraId="2423EE26" w14:textId="77777777" w:rsidR="00E3492B" w:rsidRDefault="00E3492B" w:rsidP="00E3492B">
                <w:pPr>
                  <w:tabs>
                    <w:tab w:val="right" w:pos="8838"/>
                  </w:tabs>
                  <w:ind w:left="-74" w:right="-105"/>
                  <w:rPr>
                    <w:rFonts w:eastAsia="Calibri" w:cs="Tahoma"/>
                  </w:rPr>
                </w:pPr>
              </w:p>
            </w:tc>
          </w:tr>
        </w:tbl>
        <w:p w14:paraId="280E8408" w14:textId="77777777" w:rsidR="00E3492B" w:rsidRDefault="00E3492B" w:rsidP="00E3492B">
          <w:pPr>
            <w:tabs>
              <w:tab w:val="right" w:pos="8838"/>
            </w:tabs>
            <w:spacing w:line="256" w:lineRule="auto"/>
            <w:ind w:left="-28"/>
            <w:rPr>
              <w:rFonts w:ascii="Arial" w:eastAsia="Calibri" w:hAnsi="Arial" w:cs="Arial"/>
              <w:b/>
            </w:rPr>
          </w:pPr>
        </w:p>
      </w:tc>
    </w:tr>
  </w:tbl>
  <w:p w14:paraId="2A86C0D7" w14:textId="77777777" w:rsidR="00E3492B" w:rsidRDefault="00A93267">
    <w:pPr>
      <w:pStyle w:val="Encabezado"/>
    </w:pPr>
    <w:r>
      <w:rPr>
        <w:noProof/>
      </w:rPr>
      <w:pict w14:anchorId="5891B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6" type="#_x0000_t75" style="position:absolute;left:0;text-align:left;margin-left:0;margin-top:0;width:663.5pt;height:12in;z-index:-25165619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E3492B" w:rsidRPr="008C644E" w14:paraId="7F67581C" w14:textId="77777777" w:rsidTr="00E3492B">
      <w:trPr>
        <w:trHeight w:val="1435"/>
      </w:trPr>
      <w:tc>
        <w:tcPr>
          <w:tcW w:w="2127" w:type="dxa"/>
        </w:tcPr>
        <w:p w14:paraId="5C81A803" w14:textId="77777777" w:rsidR="00E3492B" w:rsidRPr="008C644E" w:rsidRDefault="00E3492B" w:rsidP="00E3492B">
          <w:pPr>
            <w:pStyle w:val="Encabezado"/>
          </w:pPr>
        </w:p>
      </w:tc>
      <w:tc>
        <w:tcPr>
          <w:tcW w:w="7512" w:type="dxa"/>
          <w:hideMark/>
        </w:tcPr>
        <w:tbl>
          <w:tblPr>
            <w:tblStyle w:val="Tablaconcuadrcula"/>
            <w:tblW w:w="12615"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1"/>
            <w:gridCol w:w="3260"/>
            <w:gridCol w:w="3402"/>
            <w:gridCol w:w="3402"/>
          </w:tblGrid>
          <w:tr w:rsidR="00E3492B" w:rsidRPr="008C644E" w14:paraId="21FA5343" w14:textId="77777777" w:rsidTr="00E3492B">
            <w:trPr>
              <w:trHeight w:val="144"/>
            </w:trPr>
            <w:tc>
              <w:tcPr>
                <w:tcW w:w="2551" w:type="dxa"/>
                <w:hideMark/>
              </w:tcPr>
              <w:p w14:paraId="75175B4B" w14:textId="77777777" w:rsidR="00E3492B" w:rsidRPr="008C644E" w:rsidRDefault="00E3492B" w:rsidP="00E3492B">
                <w:pPr>
                  <w:pStyle w:val="Encabezado"/>
                  <w:rPr>
                    <w:b/>
                  </w:rPr>
                </w:pPr>
                <w:r w:rsidRPr="008C644E">
                  <w:rPr>
                    <w:b/>
                  </w:rPr>
                  <w:t>Recurso de Revisión:</w:t>
                </w:r>
              </w:p>
            </w:tc>
            <w:tc>
              <w:tcPr>
                <w:tcW w:w="3260" w:type="dxa"/>
                <w:hideMark/>
              </w:tcPr>
              <w:p w14:paraId="1C165525" w14:textId="6E9A81F5" w:rsidR="00E3492B" w:rsidRPr="00AC018A" w:rsidRDefault="00E3492B" w:rsidP="00E3492B">
                <w:pPr>
                  <w:pStyle w:val="Encabezado"/>
                </w:pPr>
                <w:r w:rsidRPr="007438A1">
                  <w:rPr>
                    <w:color w:val="000000"/>
                  </w:rPr>
                  <w:t>1</w:t>
                </w:r>
                <w:r>
                  <w:rPr>
                    <w:color w:val="000000"/>
                  </w:rPr>
                  <w:t>6391</w:t>
                </w:r>
                <w:r w:rsidRPr="007438A1">
                  <w:rPr>
                    <w:color w:val="000000"/>
                  </w:rPr>
                  <w:t>/INFOEM/IP/RR/2022</w:t>
                </w:r>
              </w:p>
            </w:tc>
            <w:tc>
              <w:tcPr>
                <w:tcW w:w="3402" w:type="dxa"/>
              </w:tcPr>
              <w:p w14:paraId="1FCD1A86" w14:textId="77777777" w:rsidR="00E3492B" w:rsidRPr="008C644E" w:rsidRDefault="00E3492B" w:rsidP="00E3492B">
                <w:pPr>
                  <w:pStyle w:val="Encabezado"/>
                  <w:rPr>
                    <w:bCs/>
                  </w:rPr>
                </w:pPr>
              </w:p>
            </w:tc>
            <w:tc>
              <w:tcPr>
                <w:tcW w:w="3402" w:type="dxa"/>
              </w:tcPr>
              <w:p w14:paraId="1A7F555B" w14:textId="77777777" w:rsidR="00E3492B" w:rsidRPr="008C644E" w:rsidRDefault="00E3492B" w:rsidP="00E3492B">
                <w:pPr>
                  <w:pStyle w:val="Encabezado"/>
                  <w:rPr>
                    <w:bCs/>
                  </w:rPr>
                </w:pPr>
              </w:p>
            </w:tc>
          </w:tr>
          <w:tr w:rsidR="00E3492B" w:rsidRPr="008C644E" w14:paraId="3EB4AE4C" w14:textId="77777777" w:rsidTr="00E3492B">
            <w:trPr>
              <w:trHeight w:val="144"/>
            </w:trPr>
            <w:tc>
              <w:tcPr>
                <w:tcW w:w="2551" w:type="dxa"/>
                <w:hideMark/>
              </w:tcPr>
              <w:p w14:paraId="1B58E498" w14:textId="77777777" w:rsidR="00E3492B" w:rsidRPr="008C644E" w:rsidRDefault="00E3492B" w:rsidP="00E3492B">
                <w:pPr>
                  <w:pStyle w:val="Encabezado"/>
                  <w:rPr>
                    <w:b/>
                  </w:rPr>
                </w:pPr>
                <w:r w:rsidRPr="008C644E">
                  <w:rPr>
                    <w:b/>
                  </w:rPr>
                  <w:t>Recurrente:</w:t>
                </w:r>
              </w:p>
            </w:tc>
            <w:tc>
              <w:tcPr>
                <w:tcW w:w="3260" w:type="dxa"/>
              </w:tcPr>
              <w:p w14:paraId="3C4657FC" w14:textId="486A3C10" w:rsidR="00E3492B" w:rsidRPr="008C644E" w:rsidRDefault="00E3492B" w:rsidP="00E3492B">
                <w:pPr>
                  <w:pStyle w:val="Encabezado"/>
                </w:pPr>
              </w:p>
            </w:tc>
            <w:tc>
              <w:tcPr>
                <w:tcW w:w="3402" w:type="dxa"/>
              </w:tcPr>
              <w:p w14:paraId="71AA444C" w14:textId="77777777" w:rsidR="00E3492B" w:rsidRPr="008C644E" w:rsidRDefault="00E3492B" w:rsidP="00E3492B">
                <w:pPr>
                  <w:pStyle w:val="Encabezado"/>
                </w:pPr>
              </w:p>
            </w:tc>
            <w:tc>
              <w:tcPr>
                <w:tcW w:w="3402" w:type="dxa"/>
              </w:tcPr>
              <w:p w14:paraId="2C0B0B13" w14:textId="77777777" w:rsidR="00E3492B" w:rsidRPr="008C644E" w:rsidRDefault="00E3492B" w:rsidP="00E3492B">
                <w:pPr>
                  <w:pStyle w:val="Encabezado"/>
                </w:pPr>
              </w:p>
            </w:tc>
          </w:tr>
          <w:tr w:rsidR="00E3492B" w:rsidRPr="008C644E" w14:paraId="27F5C3F3" w14:textId="77777777" w:rsidTr="00E3492B">
            <w:trPr>
              <w:trHeight w:val="283"/>
            </w:trPr>
            <w:tc>
              <w:tcPr>
                <w:tcW w:w="2551" w:type="dxa"/>
                <w:hideMark/>
              </w:tcPr>
              <w:p w14:paraId="348F5DA5" w14:textId="77777777" w:rsidR="00E3492B" w:rsidRPr="008C644E" w:rsidRDefault="00E3492B" w:rsidP="00E3492B">
                <w:pPr>
                  <w:pStyle w:val="Encabezado"/>
                  <w:rPr>
                    <w:b/>
                  </w:rPr>
                </w:pPr>
                <w:r w:rsidRPr="008C644E">
                  <w:rPr>
                    <w:b/>
                  </w:rPr>
                  <w:t>Sujeto Obligado:</w:t>
                </w:r>
              </w:p>
            </w:tc>
            <w:tc>
              <w:tcPr>
                <w:tcW w:w="3260" w:type="dxa"/>
                <w:hideMark/>
              </w:tcPr>
              <w:p w14:paraId="7B085A14" w14:textId="51D75060" w:rsidR="00E3492B" w:rsidRPr="008C644E" w:rsidRDefault="00E3492B" w:rsidP="00E3492B">
                <w:pPr>
                  <w:pStyle w:val="Encabezado"/>
                </w:pPr>
                <w:r>
                  <w:rPr>
                    <w:lang w:val="es-MX"/>
                  </w:rPr>
                  <w:t>Secretaría de Movilidad</w:t>
                </w:r>
              </w:p>
            </w:tc>
            <w:tc>
              <w:tcPr>
                <w:tcW w:w="3402" w:type="dxa"/>
              </w:tcPr>
              <w:p w14:paraId="0A74BAFD" w14:textId="77777777" w:rsidR="00E3492B" w:rsidRPr="008C644E" w:rsidRDefault="00E3492B" w:rsidP="00E3492B">
                <w:pPr>
                  <w:pStyle w:val="Encabezado"/>
                </w:pPr>
              </w:p>
            </w:tc>
            <w:tc>
              <w:tcPr>
                <w:tcW w:w="3402" w:type="dxa"/>
              </w:tcPr>
              <w:p w14:paraId="3B3629FE" w14:textId="77777777" w:rsidR="00E3492B" w:rsidRPr="008C644E" w:rsidRDefault="00E3492B" w:rsidP="00E3492B">
                <w:pPr>
                  <w:pStyle w:val="Encabezado"/>
                </w:pPr>
              </w:p>
            </w:tc>
          </w:tr>
          <w:tr w:rsidR="00E3492B" w:rsidRPr="008C644E" w14:paraId="5F370DCB" w14:textId="77777777" w:rsidTr="00E3492B">
            <w:trPr>
              <w:trHeight w:val="283"/>
            </w:trPr>
            <w:tc>
              <w:tcPr>
                <w:tcW w:w="2551" w:type="dxa"/>
                <w:hideMark/>
              </w:tcPr>
              <w:p w14:paraId="1A6B107B" w14:textId="77777777" w:rsidR="00E3492B" w:rsidRPr="008C644E" w:rsidRDefault="00E3492B" w:rsidP="00E3492B">
                <w:pPr>
                  <w:pStyle w:val="Encabezado"/>
                  <w:rPr>
                    <w:b/>
                  </w:rPr>
                </w:pPr>
                <w:r w:rsidRPr="008C644E">
                  <w:rPr>
                    <w:b/>
                  </w:rPr>
                  <w:t xml:space="preserve">Comisionado Ponente: </w:t>
                </w:r>
              </w:p>
            </w:tc>
            <w:tc>
              <w:tcPr>
                <w:tcW w:w="3260" w:type="dxa"/>
                <w:hideMark/>
              </w:tcPr>
              <w:p w14:paraId="1863F1F0" w14:textId="77777777" w:rsidR="00E3492B" w:rsidRPr="008C644E" w:rsidRDefault="00E3492B" w:rsidP="00E3492B">
                <w:pPr>
                  <w:pStyle w:val="Encabezado"/>
                  <w:rPr>
                    <w:b/>
                  </w:rPr>
                </w:pPr>
                <w:r w:rsidRPr="008C644E">
                  <w:t>Luis Gustavo Parra Noriega</w:t>
                </w:r>
              </w:p>
            </w:tc>
            <w:tc>
              <w:tcPr>
                <w:tcW w:w="3402" w:type="dxa"/>
              </w:tcPr>
              <w:p w14:paraId="4D4540F4" w14:textId="77777777" w:rsidR="00E3492B" w:rsidRPr="008C644E" w:rsidRDefault="00E3492B" w:rsidP="00E3492B">
                <w:pPr>
                  <w:pStyle w:val="Encabezado"/>
                </w:pPr>
              </w:p>
            </w:tc>
            <w:tc>
              <w:tcPr>
                <w:tcW w:w="3402" w:type="dxa"/>
              </w:tcPr>
              <w:p w14:paraId="74D9B664" w14:textId="77777777" w:rsidR="00E3492B" w:rsidRPr="008C644E" w:rsidRDefault="00E3492B" w:rsidP="00E3492B">
                <w:pPr>
                  <w:pStyle w:val="Encabezado"/>
                </w:pPr>
              </w:p>
            </w:tc>
          </w:tr>
        </w:tbl>
        <w:p w14:paraId="5E18FB23" w14:textId="77777777" w:rsidR="00E3492B" w:rsidRPr="008C644E" w:rsidRDefault="00E3492B" w:rsidP="00E3492B">
          <w:pPr>
            <w:pStyle w:val="Encabezado"/>
            <w:rPr>
              <w:b/>
            </w:rPr>
          </w:pPr>
        </w:p>
      </w:tc>
    </w:tr>
  </w:tbl>
  <w:p w14:paraId="3AAC27AD" w14:textId="77777777" w:rsidR="00E3492B" w:rsidRDefault="00A93267">
    <w:pPr>
      <w:pStyle w:val="Encabezado"/>
    </w:pPr>
    <w:r>
      <w:rPr>
        <w:noProof/>
      </w:rPr>
      <w:pict w14:anchorId="68E20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7" type="#_x0000_t75" style="position:absolute;left:0;text-align:left;margin-left:-84.35pt;margin-top:-135.5pt;width:663.5pt;height:12in;z-index:-25165516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59D4"/>
    <w:multiLevelType w:val="hybridMultilevel"/>
    <w:tmpl w:val="C0143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C5E23B5"/>
    <w:multiLevelType w:val="hybridMultilevel"/>
    <w:tmpl w:val="1D20CE8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3C576E0"/>
    <w:multiLevelType w:val="hybridMultilevel"/>
    <w:tmpl w:val="64C40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BFF0AF0"/>
    <w:multiLevelType w:val="hybridMultilevel"/>
    <w:tmpl w:val="85F0D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137A62"/>
    <w:multiLevelType w:val="hybridMultilevel"/>
    <w:tmpl w:val="83C6A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9B27402"/>
    <w:multiLevelType w:val="hybridMultilevel"/>
    <w:tmpl w:val="9A4493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6EF03215"/>
    <w:multiLevelType w:val="hybridMultilevel"/>
    <w:tmpl w:val="F9E6B6A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7324080E"/>
    <w:multiLevelType w:val="hybridMultilevel"/>
    <w:tmpl w:val="6906A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503667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9009942">
    <w:abstractNumId w:val="2"/>
  </w:num>
  <w:num w:numId="3" w16cid:durableId="8410948">
    <w:abstractNumId w:val="0"/>
  </w:num>
  <w:num w:numId="4" w16cid:durableId="610629611">
    <w:abstractNumId w:val="6"/>
  </w:num>
  <w:num w:numId="5" w16cid:durableId="1796866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9236365">
    <w:abstractNumId w:val="9"/>
  </w:num>
  <w:num w:numId="7" w16cid:durableId="1969772391">
    <w:abstractNumId w:val="12"/>
  </w:num>
  <w:num w:numId="8" w16cid:durableId="505175150">
    <w:abstractNumId w:val="7"/>
  </w:num>
  <w:num w:numId="9" w16cid:durableId="828863428">
    <w:abstractNumId w:val="8"/>
  </w:num>
  <w:num w:numId="10" w16cid:durableId="1342314711">
    <w:abstractNumId w:val="4"/>
  </w:num>
  <w:num w:numId="11" w16cid:durableId="756904238">
    <w:abstractNumId w:val="11"/>
  </w:num>
  <w:num w:numId="12" w16cid:durableId="1680346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3763318">
    <w:abstractNumId w:val="3"/>
  </w:num>
  <w:num w:numId="14" w16cid:durableId="1266578261">
    <w:abstractNumId w:val="1"/>
  </w:num>
  <w:num w:numId="15" w16cid:durableId="1382286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B41"/>
    <w:rsid w:val="000E1BBA"/>
    <w:rsid w:val="000F673E"/>
    <w:rsid w:val="000F6DD1"/>
    <w:rsid w:val="001400CE"/>
    <w:rsid w:val="001D654F"/>
    <w:rsid w:val="002564FE"/>
    <w:rsid w:val="00326646"/>
    <w:rsid w:val="00362B94"/>
    <w:rsid w:val="00397B04"/>
    <w:rsid w:val="003B5266"/>
    <w:rsid w:val="004268DF"/>
    <w:rsid w:val="00482B41"/>
    <w:rsid w:val="004F4F32"/>
    <w:rsid w:val="00563338"/>
    <w:rsid w:val="006A30D1"/>
    <w:rsid w:val="006C469C"/>
    <w:rsid w:val="006D1E77"/>
    <w:rsid w:val="00723302"/>
    <w:rsid w:val="007304CE"/>
    <w:rsid w:val="007A23FD"/>
    <w:rsid w:val="008639D7"/>
    <w:rsid w:val="008976D2"/>
    <w:rsid w:val="008A1D9C"/>
    <w:rsid w:val="00902B9A"/>
    <w:rsid w:val="00994EB3"/>
    <w:rsid w:val="009A4E2F"/>
    <w:rsid w:val="00A0457E"/>
    <w:rsid w:val="00A93267"/>
    <w:rsid w:val="00B33595"/>
    <w:rsid w:val="00B61F87"/>
    <w:rsid w:val="00B642BF"/>
    <w:rsid w:val="00B80CBC"/>
    <w:rsid w:val="00C12B97"/>
    <w:rsid w:val="00C21310"/>
    <w:rsid w:val="00D5315E"/>
    <w:rsid w:val="00D65556"/>
    <w:rsid w:val="00DF6707"/>
    <w:rsid w:val="00E3492B"/>
    <w:rsid w:val="00E43072"/>
    <w:rsid w:val="00E63B06"/>
    <w:rsid w:val="00E80985"/>
    <w:rsid w:val="00EB0432"/>
    <w:rsid w:val="00EE1F92"/>
    <w:rsid w:val="00F44FB2"/>
    <w:rsid w:val="00F84065"/>
    <w:rsid w:val="00F94F06"/>
    <w:rsid w:val="00F959AD"/>
    <w:rsid w:val="00FC66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D7EAB"/>
  <w15:chartTrackingRefBased/>
  <w15:docId w15:val="{F55D6375-4103-4193-ADFC-1AD36928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B4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2B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2B41"/>
    <w:rPr>
      <w:rFonts w:ascii="Palatino Linotype" w:hAnsi="Palatino Linotype"/>
      <w:color w:val="000000" w:themeColor="text1"/>
    </w:rPr>
  </w:style>
  <w:style w:type="paragraph" w:styleId="Piedepgina">
    <w:name w:val="footer"/>
    <w:basedOn w:val="Normal"/>
    <w:link w:val="PiedepginaCar"/>
    <w:uiPriority w:val="99"/>
    <w:unhideWhenUsed/>
    <w:rsid w:val="00482B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2B41"/>
    <w:rPr>
      <w:rFonts w:ascii="Palatino Linotype" w:hAnsi="Palatino Linotype"/>
      <w:color w:val="000000" w:themeColor="text1"/>
    </w:rPr>
  </w:style>
  <w:style w:type="table" w:styleId="Tablaconcuadrcula">
    <w:name w:val="Table Grid"/>
    <w:basedOn w:val="Tablanormal"/>
    <w:uiPriority w:val="59"/>
    <w:rsid w:val="00482B4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82B4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2B41"/>
    <w:pPr>
      <w:spacing w:after="0" w:line="240" w:lineRule="auto"/>
      <w:ind w:left="720"/>
      <w:contextualSpacing/>
      <w:jc w:val="left"/>
    </w:pPr>
    <w:rPr>
      <w:rFonts w:ascii="Century Gothic" w:eastAsia="Times New Roman" w:hAnsi="Century Gothic" w:cs="Times New Roman"/>
      <w:color w:val="auto"/>
      <w:szCs w:val="24"/>
      <w:lang w:eastAsia="es-ES"/>
    </w:rPr>
  </w:style>
  <w:style w:type="paragraph" w:customStyle="1" w:styleId="paragraph">
    <w:name w:val="paragraph"/>
    <w:basedOn w:val="Normal"/>
    <w:rsid w:val="00482B4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styleId="Hipervnculo">
    <w:name w:val="Hyperlink"/>
    <w:basedOn w:val="Fuentedeprrafopredeter"/>
    <w:uiPriority w:val="99"/>
    <w:unhideWhenUsed/>
    <w:rsid w:val="00326646"/>
    <w:rPr>
      <w:color w:val="0563C1" w:themeColor="hyperlink"/>
      <w:u w:val="single"/>
    </w:rPr>
  </w:style>
  <w:style w:type="character" w:customStyle="1" w:styleId="Mencinsinresolver1">
    <w:name w:val="Mención sin resolver1"/>
    <w:basedOn w:val="Fuentedeprrafopredeter"/>
    <w:uiPriority w:val="99"/>
    <w:semiHidden/>
    <w:unhideWhenUsed/>
    <w:rsid w:val="00326646"/>
    <w:rPr>
      <w:color w:val="605E5C"/>
      <w:shd w:val="clear" w:color="auto" w:fill="E1DFDD"/>
    </w:rPr>
  </w:style>
  <w:style w:type="character" w:styleId="Hipervnculovisitado">
    <w:name w:val="FollowedHyperlink"/>
    <w:basedOn w:val="Fuentedeprrafopredeter"/>
    <w:uiPriority w:val="99"/>
    <w:semiHidden/>
    <w:unhideWhenUsed/>
    <w:rsid w:val="00362B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134472">
      <w:bodyDiv w:val="1"/>
      <w:marLeft w:val="0"/>
      <w:marRight w:val="0"/>
      <w:marTop w:val="0"/>
      <w:marBottom w:val="0"/>
      <w:divBdr>
        <w:top w:val="none" w:sz="0" w:space="0" w:color="auto"/>
        <w:left w:val="none" w:sz="0" w:space="0" w:color="auto"/>
        <w:bottom w:val="none" w:sz="0" w:space="0" w:color="auto"/>
        <w:right w:val="none" w:sz="0" w:space="0" w:color="auto"/>
      </w:divBdr>
    </w:div>
    <w:div w:id="928389625">
      <w:bodyDiv w:val="1"/>
      <w:marLeft w:val="0"/>
      <w:marRight w:val="0"/>
      <w:marTop w:val="0"/>
      <w:marBottom w:val="0"/>
      <w:divBdr>
        <w:top w:val="none" w:sz="0" w:space="0" w:color="auto"/>
        <w:left w:val="none" w:sz="0" w:space="0" w:color="auto"/>
        <w:bottom w:val="none" w:sz="0" w:space="0" w:color="auto"/>
        <w:right w:val="none" w:sz="0" w:space="0" w:color="auto"/>
      </w:divBdr>
    </w:div>
    <w:div w:id="1048796118">
      <w:bodyDiv w:val="1"/>
      <w:marLeft w:val="0"/>
      <w:marRight w:val="0"/>
      <w:marTop w:val="0"/>
      <w:marBottom w:val="0"/>
      <w:divBdr>
        <w:top w:val="none" w:sz="0" w:space="0" w:color="auto"/>
        <w:left w:val="none" w:sz="0" w:space="0" w:color="auto"/>
        <w:bottom w:val="none" w:sz="0" w:space="0" w:color="auto"/>
        <w:right w:val="none" w:sz="0" w:space="0" w:color="auto"/>
      </w:divBdr>
    </w:div>
    <w:div w:id="1753578095">
      <w:bodyDiv w:val="1"/>
      <w:marLeft w:val="0"/>
      <w:marRight w:val="0"/>
      <w:marTop w:val="0"/>
      <w:marBottom w:val="0"/>
      <w:divBdr>
        <w:top w:val="none" w:sz="0" w:space="0" w:color="auto"/>
        <w:left w:val="none" w:sz="0" w:space="0" w:color="auto"/>
        <w:bottom w:val="none" w:sz="0" w:space="0" w:color="auto"/>
        <w:right w:val="none" w:sz="0" w:space="0" w:color="auto"/>
      </w:divBdr>
    </w:div>
    <w:div w:id="190175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ces.cs.buap.mx/SATCA.pdf"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tmp"/><Relationship Id="rId25" Type="http://schemas.openxmlformats.org/officeDocument/2006/relationships/hyperlink" Target="https://www.dgespe.sep.gob.mx/reforma_curricular/planes/lepree/creditos"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indice/SMOV/art_92_xxi.web" TargetMode="External"/><Relationship Id="rId24" Type="http://schemas.openxmlformats.org/officeDocument/2006/relationships/hyperlink" Target="https://www.gob.mx/segob/renapo/acciones-y-programas/clave-unica-de-registro-de-poblacion-curp-142226"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tmp"/><Relationship Id="rId23" Type="http://schemas.openxmlformats.org/officeDocument/2006/relationships/hyperlink" Target="https://consultas.curp.gob.mx/CurpSP/html/informacionecurpPS.html" TargetMode="External"/><Relationship Id="rId28" Type="http://schemas.openxmlformats.org/officeDocument/2006/relationships/header" Target="header1.xml"/><Relationship Id="rId10" Type="http://schemas.openxmlformats.org/officeDocument/2006/relationships/hyperlink" Target="https://ipomex.org.mx/ipo3/lgt/indice/SMOV/art_92_viii.web" TargetMode="External"/><Relationship Id="rId19" Type="http://schemas.openxmlformats.org/officeDocument/2006/relationships/image" Target="media/image8.tmp"/><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ipomex.org.mx/ipo3/lgt/indice/SMOV/art_92_xxi.web"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consultatucedula.mx/"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ipomex.org.mx/ipo3/lgt/indice/SMOV/art_92_viii.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A2710-E897-426C-87D3-5CCF23F55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48</Pages>
  <Words>12712</Words>
  <Characters>69916</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5</cp:revision>
  <dcterms:created xsi:type="dcterms:W3CDTF">2023-02-21T18:35:00Z</dcterms:created>
  <dcterms:modified xsi:type="dcterms:W3CDTF">2023-02-23T20:31:00Z</dcterms:modified>
</cp:coreProperties>
</file>