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bookmarkStart w:colFirst="0" w:colLast="0" w:name="_heading=h.1t3h5sf" w:id="0"/>
      <w:bookmarkEnd w:id="0"/>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uno de marzo de dos mil veintitrés.</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bookmarkStart w:colFirst="0" w:colLast="0" w:name="_heading=h.30j0zll" w:id="1"/>
      <w:bookmarkEnd w:id="1"/>
      <w:r w:rsidDel="00000000" w:rsidR="00000000" w:rsidRPr="00000000">
        <w:rPr>
          <w:rFonts w:ascii="Palatino Linotype" w:cs="Palatino Linotype" w:eastAsia="Palatino Linotype" w:hAnsi="Palatino Linotype"/>
          <w:b w:val="1"/>
          <w:rtl w:val="0"/>
        </w:rPr>
        <w:t xml:space="preserve">VISTOS </w:t>
      </w:r>
      <w:r w:rsidDel="00000000" w:rsidR="00000000" w:rsidRPr="00000000">
        <w:rPr>
          <w:rFonts w:ascii="Palatino Linotype" w:cs="Palatino Linotype" w:eastAsia="Palatino Linotype" w:hAnsi="Palatino Linotype"/>
          <w:rtl w:val="0"/>
        </w:rPr>
        <w:t xml:space="preserve">los expedientes relativos a los recursos de revisión </w:t>
      </w:r>
      <w:r w:rsidDel="00000000" w:rsidR="00000000" w:rsidRPr="00000000">
        <w:rPr>
          <w:rFonts w:ascii="Palatino Linotype" w:cs="Palatino Linotype" w:eastAsia="Palatino Linotype" w:hAnsi="Palatino Linotype"/>
          <w:b w:val="1"/>
          <w:rtl w:val="0"/>
        </w:rPr>
        <w:t xml:space="preserve">16839/INFOEM/IP/RR/2022 </w:t>
      </w:r>
      <w:r w:rsidDel="00000000" w:rsidR="00000000" w:rsidRPr="00000000">
        <w:rPr>
          <w:rFonts w:ascii="Palatino Linotype" w:cs="Palatino Linotype" w:eastAsia="Palatino Linotype" w:hAnsi="Palatino Linotype"/>
          <w:rtl w:val="0"/>
        </w:rPr>
        <w:t xml:space="preserve">y </w:t>
      </w:r>
      <w:r w:rsidDel="00000000" w:rsidR="00000000" w:rsidRPr="00000000">
        <w:rPr>
          <w:rFonts w:ascii="Palatino Linotype" w:cs="Palatino Linotype" w:eastAsia="Palatino Linotype" w:hAnsi="Palatino Linotype"/>
          <w:b w:val="1"/>
          <w:rtl w:val="0"/>
        </w:rPr>
        <w:t xml:space="preserve">16840/INFOEM/IP/RR/2022, acumulados</w:t>
      </w:r>
      <w:r w:rsidDel="00000000" w:rsidR="00000000" w:rsidRPr="00000000">
        <w:rPr>
          <w:rFonts w:ascii="Palatino Linotype" w:cs="Palatino Linotype" w:eastAsia="Palatino Linotype" w:hAnsi="Palatino Linotype"/>
          <w:rtl w:val="0"/>
        </w:rPr>
        <w:t xml:space="preserve">, interpuestos por </w:t>
      </w:r>
      <w:r w:rsidDel="00000000" w:rsidR="00000000" w:rsidRPr="00000000">
        <w:rPr>
          <w:rFonts w:ascii="Palatino Linotype" w:cs="Palatino Linotype" w:eastAsia="Palatino Linotype" w:hAnsi="Palatino Linotype"/>
          <w:b w:val="1"/>
          <w:rtl w:val="0"/>
        </w:rPr>
        <w:t xml:space="preserve">un particular que no proporcionó nombre o seudónimo,</w:t>
      </w:r>
      <w:r w:rsidDel="00000000" w:rsidR="00000000" w:rsidRPr="00000000">
        <w:rPr>
          <w:rFonts w:ascii="Palatino Linotype" w:cs="Palatino Linotype" w:eastAsia="Palatino Linotype" w:hAnsi="Palatino Linotype"/>
          <w:rtl w:val="0"/>
        </w:rPr>
        <w:t xml:space="preserve"> en lo sucesivo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sus solicitudes de información por parte de </w:t>
      </w:r>
      <w:r w:rsidDel="00000000" w:rsidR="00000000" w:rsidRPr="00000000">
        <w:rPr>
          <w:rFonts w:ascii="Palatino Linotype" w:cs="Palatino Linotype" w:eastAsia="Palatino Linotype" w:hAnsi="Palatino Linotype"/>
          <w:b w:val="1"/>
          <w:rtl w:val="0"/>
        </w:rPr>
        <w:t xml:space="preserve">Ayuntamiento de Zinacantepec</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 siguiente. </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bookmarkStart w:colFirst="0" w:colLast="0" w:name="_heading=h.gjdgxs" w:id="2"/>
      <w:bookmarkEnd w:id="2"/>
      <w:r w:rsidDel="00000000" w:rsidR="00000000" w:rsidRPr="00000000">
        <w:rPr>
          <w:rFonts w:ascii="Palatino Linotype" w:cs="Palatino Linotype" w:eastAsia="Palatino Linotype" w:hAnsi="Palatino Linotype"/>
          <w:b w:val="1"/>
          <w:rtl w:val="0"/>
        </w:rPr>
        <w:t xml:space="preserve">1. Solicitudes de acceso a la información.</w:t>
      </w:r>
      <w:r w:rsidDel="00000000" w:rsidR="00000000" w:rsidRPr="00000000">
        <w:rPr>
          <w:rFonts w:ascii="Palatino Linotype" w:cs="Palatino Linotype" w:eastAsia="Palatino Linotype" w:hAnsi="Palatino Linotype"/>
          <w:rtl w:val="0"/>
        </w:rPr>
        <w:t xml:space="preserve"> Con fechas </w:t>
      </w:r>
      <w:r w:rsidDel="00000000" w:rsidR="00000000" w:rsidRPr="00000000">
        <w:rPr>
          <w:rFonts w:ascii="Palatino Linotype" w:cs="Palatino Linotype" w:eastAsia="Palatino Linotype" w:hAnsi="Palatino Linotype"/>
          <w:b w:val="1"/>
          <w:rtl w:val="0"/>
        </w:rPr>
        <w:t xml:space="preserve">veinticuatro de octubre de dos mil veintidós, </w:t>
      </w:r>
      <w:r w:rsidDel="00000000" w:rsidR="00000000" w:rsidRPr="00000000">
        <w:rPr>
          <w:rFonts w:ascii="Palatino Linotype" w:cs="Palatino Linotype" w:eastAsia="Palatino Linotype" w:hAnsi="Palatino Linotype"/>
          <w:rtl w:val="0"/>
        </w:rPr>
        <w:t xml:space="preserve">la persona solicitante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presentó, través del Sistema de Acceso a la Información Mexiquense, en lo subsecuente el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las solicitudes de acceso a la información pública, a las que se les asignaron los números de folio </w:t>
      </w:r>
      <w:r w:rsidDel="00000000" w:rsidR="00000000" w:rsidRPr="00000000">
        <w:rPr>
          <w:rFonts w:ascii="Palatino Linotype" w:cs="Palatino Linotype" w:eastAsia="Palatino Linotype" w:hAnsi="Palatino Linotype"/>
          <w:b w:val="1"/>
          <w:rtl w:val="0"/>
        </w:rPr>
        <w:t xml:space="preserve">01143/ZINACANT/IP/2022 </w:t>
      </w:r>
      <w:r w:rsidDel="00000000" w:rsidR="00000000" w:rsidRPr="00000000">
        <w:rPr>
          <w:rFonts w:ascii="Palatino Linotype" w:cs="Palatino Linotype" w:eastAsia="Palatino Linotype" w:hAnsi="Palatino Linotype"/>
          <w:rtl w:val="0"/>
        </w:rPr>
        <w:t xml:space="preserve">y </w:t>
      </w:r>
      <w:r w:rsidDel="00000000" w:rsidR="00000000" w:rsidRPr="00000000">
        <w:rPr>
          <w:rFonts w:ascii="Palatino Linotype" w:cs="Palatino Linotype" w:eastAsia="Palatino Linotype" w:hAnsi="Palatino Linotype"/>
          <w:b w:val="1"/>
          <w:rtl w:val="0"/>
        </w:rPr>
        <w:t xml:space="preserve">01144/ZINACANT/IP/2022, </w:t>
      </w:r>
      <w:r w:rsidDel="00000000" w:rsidR="00000000" w:rsidRPr="00000000">
        <w:rPr>
          <w:rFonts w:ascii="Palatino Linotype" w:cs="Palatino Linotype" w:eastAsia="Palatino Linotype" w:hAnsi="Palatino Linotype"/>
          <w:rtl w:val="0"/>
        </w:rPr>
        <w:t xml:space="preserve">mediante las cuales requirió la información siguiente:</w:t>
      </w:r>
    </w:p>
    <w:tbl>
      <w:tblPr>
        <w:tblStyle w:val="Table1"/>
        <w:tblW w:w="88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5998"/>
        <w:tblGridChange w:id="0">
          <w:tblGrid>
            <w:gridCol w:w="2830"/>
            <w:gridCol w:w="5998"/>
          </w:tblGrid>
        </w:tblGridChange>
      </w:tblGrid>
      <w:tr>
        <w:trPr>
          <w:cantSplit w:val="0"/>
          <w:tblHeader w:val="0"/>
        </w:trPr>
        <w:tc>
          <w:tcPr>
            <w:vAlign w:val="center"/>
          </w:tcPr>
          <w:p w:rsidR="00000000" w:rsidDel="00000000" w:rsidP="00000000" w:rsidRDefault="00000000" w:rsidRPr="00000000" w14:paraId="00000005">
            <w:pPr>
              <w:jc w:val="center"/>
              <w:rPr>
                <w:rFonts w:ascii="Palatino Linotype" w:cs="Palatino Linotype" w:eastAsia="Palatino Linotype" w:hAnsi="Palatino Linotype"/>
                <w:b w:val="1"/>
                <w:sz w:val="20"/>
                <w:szCs w:val="20"/>
              </w:rPr>
            </w:pPr>
            <w:bookmarkStart w:colFirst="0" w:colLast="0" w:name="_heading=h.2et92p0" w:id="3"/>
            <w:bookmarkEnd w:id="3"/>
            <w:r w:rsidDel="00000000" w:rsidR="00000000" w:rsidRPr="00000000">
              <w:rPr>
                <w:rFonts w:ascii="Palatino Linotype" w:cs="Palatino Linotype" w:eastAsia="Palatino Linotype" w:hAnsi="Palatino Linotype"/>
                <w:b w:val="1"/>
                <w:sz w:val="20"/>
                <w:szCs w:val="20"/>
                <w:rtl w:val="0"/>
              </w:rPr>
              <w:t xml:space="preserve">Solicitud</w:t>
            </w:r>
          </w:p>
          <w:p w:rsidR="00000000" w:rsidDel="00000000" w:rsidP="00000000" w:rsidRDefault="00000000" w:rsidRPr="00000000" w14:paraId="00000006">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0"/>
                <w:szCs w:val="20"/>
                <w:rtl w:val="0"/>
              </w:rPr>
              <w:t xml:space="preserve">01143/ZINACANT/IP/2022</w:t>
            </w:r>
            <w:r w:rsidDel="00000000" w:rsidR="00000000" w:rsidRPr="00000000">
              <w:rPr>
                <w:rtl w:val="0"/>
              </w:rPr>
            </w:r>
          </w:p>
        </w:tc>
        <w:tc>
          <w:tcPr>
            <w:vAlign w:val="center"/>
          </w:tcPr>
          <w:p w:rsidR="00000000" w:rsidDel="00000000" w:rsidP="00000000" w:rsidRDefault="00000000" w:rsidRPr="00000000" w14:paraId="00000007">
            <w:pPr>
              <w:jc w:val="center"/>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0"/>
                <w:szCs w:val="20"/>
                <w:rtl w:val="0"/>
              </w:rPr>
              <w:t xml:space="preserve">"SOLICITO LAS FACTURAS DE PAGO DE COMBUSTIBLE DE OCTUBRE 2022" (sic)</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08">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Solicitud</w:t>
            </w:r>
          </w:p>
          <w:p w:rsidR="00000000" w:rsidDel="00000000" w:rsidP="00000000" w:rsidRDefault="00000000" w:rsidRPr="00000000" w14:paraId="00000009">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0"/>
                <w:szCs w:val="20"/>
                <w:rtl w:val="0"/>
              </w:rPr>
              <w:t xml:space="preserve">01144/ZINACANT/IP/2022</w:t>
            </w:r>
            <w:r w:rsidDel="00000000" w:rsidR="00000000" w:rsidRPr="00000000">
              <w:rPr>
                <w:rtl w:val="0"/>
              </w:rPr>
            </w:r>
          </w:p>
        </w:tc>
        <w:tc>
          <w:tcPr>
            <w:vAlign w:val="center"/>
          </w:tcPr>
          <w:p w:rsidR="00000000" w:rsidDel="00000000" w:rsidP="00000000" w:rsidRDefault="00000000" w:rsidRPr="00000000" w14:paraId="0000000A">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i w:val="1"/>
                <w:sz w:val="20"/>
                <w:szCs w:val="20"/>
                <w:rtl w:val="0"/>
              </w:rPr>
              <w:t xml:space="preserve">"SOLICITO LAS FACTURAS DE PAGO DE COMBUSTIBLE DE SEPTIEMBRE 2022." (sic)</w:t>
            </w:r>
            <w:r w:rsidDel="00000000" w:rsidR="00000000" w:rsidRPr="00000000">
              <w:rPr>
                <w:rtl w:val="0"/>
              </w:rPr>
            </w:r>
          </w:p>
        </w:tc>
      </w:tr>
    </w:tbl>
    <w:p w:rsidR="00000000" w:rsidDel="00000000" w:rsidP="00000000" w:rsidRDefault="00000000" w:rsidRPr="00000000" w14:paraId="0000000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elegida para la entrega de la información: </w:t>
      </w:r>
      <w:r w:rsidDel="00000000" w:rsidR="00000000" w:rsidRPr="00000000">
        <w:rPr>
          <w:rFonts w:ascii="Palatino Linotype" w:cs="Palatino Linotype" w:eastAsia="Palatino Linotype" w:hAnsi="Palatino Linotype"/>
          <w:rtl w:val="0"/>
        </w:rPr>
        <w:t xml:space="preserve">a través del SAIMEX en todos los casos.</w:t>
      </w:r>
    </w:p>
    <w:p w:rsidR="00000000" w:rsidDel="00000000" w:rsidP="00000000" w:rsidRDefault="00000000" w:rsidRPr="00000000" w14:paraId="0000000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2. Solicitud de Aclaración. </w:t>
      </w:r>
      <w:r w:rsidDel="00000000" w:rsidR="00000000" w:rsidRPr="00000000">
        <w:rPr>
          <w:rFonts w:ascii="Palatino Linotype" w:cs="Palatino Linotype" w:eastAsia="Palatino Linotype" w:hAnsi="Palatino Linotype"/>
          <w:rtl w:val="0"/>
        </w:rPr>
        <w:t xml:space="preserve">Con fecha </w:t>
      </w:r>
      <w:r w:rsidDel="00000000" w:rsidR="00000000" w:rsidRPr="00000000">
        <w:rPr>
          <w:rFonts w:ascii="Palatino Linotype" w:cs="Palatino Linotype" w:eastAsia="Palatino Linotype" w:hAnsi="Palatino Linotype"/>
          <w:b w:val="1"/>
          <w:rtl w:val="0"/>
        </w:rPr>
        <w:t xml:space="preserve">treinta y uno de octubre de dos mil veintidós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requirió a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aclarara las solicitudes de información, en los siguientes términos en ambos casos:</w:t>
      </w:r>
    </w:p>
    <w:p w:rsidR="00000000" w:rsidDel="00000000" w:rsidP="00000000" w:rsidRDefault="00000000" w:rsidRPr="00000000" w14:paraId="0000000D">
      <w:pPr>
        <w:spacing w:after="24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rsidR="00000000" w:rsidDel="00000000" w:rsidP="00000000" w:rsidRDefault="00000000" w:rsidRPr="00000000" w14:paraId="0000000E">
      <w:pPr>
        <w:spacing w:after="240" w:before="24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En caso de que no se desahogue el requerimiento señalado dentro del plazo citado se tendrá por no presentada la solicitud de información, quedando a salvo sus derechos para volver a presentar la solicitud, lo anterior con fundamento en el artículo 159 de la Ley invocada.” (sic)</w:t>
      </w:r>
      <w:r w:rsidDel="00000000" w:rsidR="00000000" w:rsidRPr="00000000">
        <w:rPr>
          <w:rtl w:val="0"/>
        </w:rPr>
      </w:r>
    </w:p>
    <w:p w:rsidR="00000000" w:rsidDel="00000000" w:rsidP="00000000" w:rsidRDefault="00000000" w:rsidRPr="00000000" w14:paraId="0000000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Aclaración. </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treinta y uno de octubre de dos mil veintidós</w:t>
      </w:r>
      <w:r w:rsidDel="00000000" w:rsidR="00000000" w:rsidRPr="00000000">
        <w:rPr>
          <w:rFonts w:ascii="Palatino Linotype" w:cs="Palatino Linotype" w:eastAsia="Palatino Linotype" w:hAnsi="Palatino Linotype"/>
          <w:rtl w:val="0"/>
        </w:rPr>
        <w:t xml:space="preserve">, la persona solicitante desahogó el requerimiento de información adicional en los siguientes términos, en ambos casos:</w:t>
      </w:r>
    </w:p>
    <w:p w:rsidR="00000000" w:rsidDel="00000000" w:rsidP="00000000" w:rsidRDefault="00000000" w:rsidRPr="00000000" w14:paraId="00000010">
      <w:pPr>
        <w:spacing w:after="240" w:before="240" w:line="360" w:lineRule="auto"/>
        <w:ind w:left="851"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sz w:val="22"/>
          <w:szCs w:val="22"/>
          <w:rtl w:val="0"/>
        </w:rPr>
        <w:t xml:space="preserve"> “...NO HAY NADA QUE ACLARAR...” (sic)</w:t>
      </w:r>
      <w:r w:rsidDel="00000000" w:rsidR="00000000" w:rsidRPr="00000000">
        <w:rPr>
          <w:rtl w:val="0"/>
        </w:rPr>
      </w:r>
    </w:p>
    <w:p w:rsidR="00000000" w:rsidDel="00000000" w:rsidP="00000000" w:rsidRDefault="00000000" w:rsidRPr="00000000" w14:paraId="00000011">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4. Respuesta. </w:t>
      </w:r>
      <w:r w:rsidDel="00000000" w:rsidR="00000000" w:rsidRPr="00000000">
        <w:rPr>
          <w:rFonts w:ascii="Palatino Linotype" w:cs="Palatino Linotype" w:eastAsia="Palatino Linotype" w:hAnsi="Palatino Linotype"/>
          <w:rtl w:val="0"/>
        </w:rPr>
        <w:t xml:space="preserve">Con fecha</w:t>
      </w:r>
      <w:r w:rsidDel="00000000" w:rsidR="00000000" w:rsidRPr="00000000">
        <w:rPr>
          <w:rFonts w:ascii="Palatino Linotype" w:cs="Palatino Linotype" w:eastAsia="Palatino Linotype" w:hAnsi="Palatino Linotype"/>
          <w:b w:val="1"/>
          <w:rtl w:val="0"/>
        </w:rPr>
        <w:t xml:space="preserve"> veintitrés de noviembre de dos mil veintidós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envió su respuesta a las solicitudes de acceso a la información a través de SAIMEX, sustancialmente en los términos siguientes en ambos casos:   </w:t>
      </w:r>
      <w:r w:rsidDel="00000000" w:rsidR="00000000" w:rsidRPr="00000000">
        <w:rPr>
          <w:rtl w:val="0"/>
        </w:rPr>
      </w:r>
    </w:p>
    <w:p w:rsidR="00000000" w:rsidDel="00000000" w:rsidP="00000000" w:rsidRDefault="00000000" w:rsidRPr="00000000" w14:paraId="00000012">
      <w:pPr>
        <w:spacing w:after="240" w:before="240" w:lineRule="auto"/>
        <w:ind w:left="851" w:right="902" w:firstLine="0"/>
        <w:jc w:val="both"/>
        <w:rPr>
          <w:rFonts w:ascii="Palatino Linotype" w:cs="Palatino Linotype" w:eastAsia="Palatino Linotype" w:hAnsi="Palatino Linotype"/>
          <w:b w:val="1"/>
          <w:i w:val="1"/>
          <w:sz w:val="22"/>
          <w:szCs w:val="22"/>
        </w:rPr>
      </w:pPr>
      <w:bookmarkStart w:colFirst="0" w:colLast="0" w:name="_heading=h.17dp8vu" w:id="4"/>
      <w:bookmarkEnd w:id="4"/>
      <w:r w:rsidDel="00000000" w:rsidR="00000000" w:rsidRPr="00000000">
        <w:rPr>
          <w:rFonts w:ascii="Palatino Linotype" w:cs="Palatino Linotype" w:eastAsia="Palatino Linotype" w:hAnsi="Palatino Linotype"/>
          <w:i w:val="1"/>
          <w:sz w:val="22"/>
          <w:szCs w:val="22"/>
          <w:rtl w:val="0"/>
        </w:rPr>
        <w:t xml:space="preserve">“…Se adjunta la respuesta a la solicitud interpuesta a través de esta plataforma digital...” (sic)</w:t>
      </w:r>
      <w:r w:rsidDel="00000000" w:rsidR="00000000" w:rsidRPr="00000000">
        <w:rPr>
          <w:rtl w:val="0"/>
        </w:rPr>
      </w:r>
    </w:p>
    <w:p w:rsidR="00000000" w:rsidDel="00000000" w:rsidP="00000000" w:rsidRDefault="00000000" w:rsidRPr="00000000" w14:paraId="0000001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adjuntó dos escritos sin fecha emitidos por el Titular de la Unidad de Transparencia, mediante los cuales refiere que la información puede ser consultada a través de la página de internet de sistema de Información Pública de Oficio Mexiquense (IPOMEX) del Municipio de Zinacantepec en los siguientes enlaces:  </w:t>
      </w:r>
    </w:p>
    <w:p w:rsidR="00000000" w:rsidDel="00000000" w:rsidP="00000000" w:rsidRDefault="00000000" w:rsidRPr="00000000" w14:paraId="00000014">
      <w:pPr>
        <w:spacing w:after="240" w:before="240" w:line="360" w:lineRule="auto"/>
        <w:jc w:val="center"/>
        <w:rPr>
          <w:rFonts w:ascii="Palatino Linotype" w:cs="Palatino Linotype" w:eastAsia="Palatino Linotype" w:hAnsi="Palatino Linotype"/>
          <w:i w:val="1"/>
        </w:rPr>
      </w:pPr>
      <w:hyperlink r:id="rId8">
        <w:r w:rsidDel="00000000" w:rsidR="00000000" w:rsidRPr="00000000">
          <w:rPr>
            <w:rFonts w:ascii="Palatino Linotype" w:cs="Palatino Linotype" w:eastAsia="Palatino Linotype" w:hAnsi="Palatino Linotype"/>
            <w:i w:val="1"/>
            <w:color w:val="000000"/>
            <w:u w:val="single"/>
            <w:rtl w:val="0"/>
          </w:rPr>
          <w:t xml:space="preserve">https://www.ipomex.org.mx/ipo3/lgt/indice/ZINACANTEPEC/art_92_xxxv_a.web</w:t>
        </w:r>
      </w:hyperlink>
      <w:r w:rsidDel="00000000" w:rsidR="00000000" w:rsidRPr="00000000">
        <w:rPr>
          <w:rtl w:val="0"/>
        </w:rPr>
      </w:r>
    </w:p>
    <w:p w:rsidR="00000000" w:rsidDel="00000000" w:rsidP="00000000" w:rsidRDefault="00000000" w:rsidRPr="00000000" w14:paraId="00000015">
      <w:pPr>
        <w:spacing w:after="240" w:before="240" w:line="360" w:lineRule="auto"/>
        <w:jc w:val="center"/>
        <w:rPr>
          <w:rFonts w:ascii="Palatino Linotype" w:cs="Palatino Linotype" w:eastAsia="Palatino Linotype" w:hAnsi="Palatino Linotype"/>
        </w:rPr>
      </w:pPr>
      <w:hyperlink r:id="rId9">
        <w:r w:rsidDel="00000000" w:rsidR="00000000" w:rsidRPr="00000000">
          <w:rPr>
            <w:rFonts w:ascii="Palatino Linotype" w:cs="Palatino Linotype" w:eastAsia="Palatino Linotype" w:hAnsi="Palatino Linotype"/>
            <w:i w:val="1"/>
            <w:color w:val="000000"/>
            <w:u w:val="single"/>
            <w:rtl w:val="0"/>
          </w:rPr>
          <w:t xml:space="preserve">http://www.ipomex.org.mx/ipo3/lgt/indice/ZINACANTEPEC/art_92_xxvii_b.web</w:t>
        </w:r>
      </w:hyperlink>
      <w:r w:rsidDel="00000000" w:rsidR="00000000" w:rsidRPr="00000000">
        <w:rPr>
          <w:rtl w:val="0"/>
        </w:rPr>
      </w:r>
    </w:p>
    <w:p w:rsidR="00000000" w:rsidDel="00000000" w:rsidP="00000000" w:rsidRDefault="00000000" w:rsidRPr="00000000" w14:paraId="0000001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Interposición de los recursos de revisión. </w:t>
      </w:r>
      <w:r w:rsidDel="00000000" w:rsidR="00000000" w:rsidRPr="00000000">
        <w:rPr>
          <w:rFonts w:ascii="Palatino Linotype" w:cs="Palatino Linotype" w:eastAsia="Palatino Linotype" w:hAnsi="Palatino Linotype"/>
          <w:rtl w:val="0"/>
        </w:rPr>
        <w:t xml:space="preserve">Inconforme la persona solicitante con la falta de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interpuso recursos de revisión a través de SAIMEX en fecha </w:t>
      </w:r>
      <w:r w:rsidDel="00000000" w:rsidR="00000000" w:rsidRPr="00000000">
        <w:rPr>
          <w:rFonts w:ascii="Palatino Linotype" w:cs="Palatino Linotype" w:eastAsia="Palatino Linotype" w:hAnsi="Palatino Linotype"/>
          <w:b w:val="1"/>
          <w:rtl w:val="0"/>
        </w:rPr>
        <w:t xml:space="preserve">veintitrés de noviembre de dos mil veintidós</w:t>
      </w:r>
      <w:r w:rsidDel="00000000" w:rsidR="00000000" w:rsidRPr="00000000">
        <w:rPr>
          <w:rFonts w:ascii="Palatino Linotype" w:cs="Palatino Linotype" w:eastAsia="Palatino Linotype" w:hAnsi="Palatino Linotype"/>
          <w:rtl w:val="0"/>
        </w:rPr>
        <w:t xml:space="preserve">, expresando lo siguiente en ambos los casos:</w:t>
      </w:r>
    </w:p>
    <w:p w:rsidR="00000000" w:rsidDel="00000000" w:rsidP="00000000" w:rsidRDefault="00000000" w:rsidRPr="00000000" w14:paraId="00000017">
      <w:pPr>
        <w:spacing w:line="36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Acto impugnado.</w:t>
      </w:r>
    </w:p>
    <w:p w:rsidR="00000000" w:rsidDel="00000000" w:rsidP="00000000" w:rsidRDefault="00000000" w:rsidRPr="00000000" w14:paraId="00000018">
      <w:pPr>
        <w:spacing w:line="36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ENTREGA INFORMACIÓN” (sic)</w:t>
      </w:r>
    </w:p>
    <w:p w:rsidR="00000000" w:rsidDel="00000000" w:rsidP="00000000" w:rsidRDefault="00000000" w:rsidRPr="00000000" w14:paraId="0000001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b) Motivos de inconformidad</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1A">
      <w:pPr>
        <w:spacing w:line="36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ENTREGA INFORMACIÓN” (sic)</w:t>
      </w:r>
    </w:p>
    <w:p w:rsidR="00000000" w:rsidDel="00000000" w:rsidP="00000000" w:rsidRDefault="00000000" w:rsidRPr="00000000" w14:paraId="0000001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6. Turno.</w:t>
      </w:r>
      <w:r w:rsidDel="00000000" w:rsidR="00000000" w:rsidRPr="00000000">
        <w:rPr>
          <w:rFonts w:ascii="Palatino Linotype" w:cs="Palatino Linotype" w:eastAsia="Palatino Linotype" w:hAnsi="Palatino Linotype"/>
          <w:rtl w:val="0"/>
        </w:rPr>
        <w:t xml:space="preserve"> De conformidad con el artículo 185 fracción I de la Ley de Transparencia y Acceso a la Información Pública del Estado de México y Municipios vigente, los presentes recursos de revisión se turnaron por el sistema electrónico del Instituto de Transparencia, Acceso a la Información Pública y Protección de Datos Personales del Estado de México y Municipios, a los Comisionados</w:t>
      </w:r>
      <w:r w:rsidDel="00000000" w:rsidR="00000000" w:rsidRPr="00000000">
        <w:rPr>
          <w:rFonts w:ascii="Palatino Linotype" w:cs="Palatino Linotype" w:eastAsia="Palatino Linotype" w:hAnsi="Palatino Linotype"/>
          <w:b w:val="1"/>
          <w:rtl w:val="0"/>
        </w:rPr>
        <w:t xml:space="preserve"> Guadalupe Ramírez Peña </w:t>
      </w:r>
      <w:r w:rsidDel="00000000" w:rsidR="00000000" w:rsidRPr="00000000">
        <w:rPr>
          <w:rFonts w:ascii="Palatino Linotype" w:cs="Palatino Linotype" w:eastAsia="Palatino Linotype" w:hAnsi="Palatino Linotype"/>
          <w:rtl w:val="0"/>
        </w:rPr>
        <w:t xml:space="preserve">y </w:t>
      </w:r>
      <w:r w:rsidDel="00000000" w:rsidR="00000000" w:rsidRPr="00000000">
        <w:rPr>
          <w:rFonts w:ascii="Palatino Linotype" w:cs="Palatino Linotype" w:eastAsia="Palatino Linotype" w:hAnsi="Palatino Linotype"/>
          <w:b w:val="1"/>
          <w:rtl w:val="0"/>
        </w:rPr>
        <w:t xml:space="preserve">José Martínez Vilchis, </w:t>
      </w:r>
      <w:r w:rsidDel="00000000" w:rsidR="00000000" w:rsidRPr="00000000">
        <w:rPr>
          <w:rFonts w:ascii="Palatino Linotype" w:cs="Palatino Linotype" w:eastAsia="Palatino Linotype" w:hAnsi="Palatino Linotype"/>
          <w:rtl w:val="0"/>
        </w:rPr>
        <w:t xml:space="preserve">a efecto de que analizaran sobre su admisión o su desechamiento. </w:t>
      </w:r>
    </w:p>
    <w:p w:rsidR="00000000" w:rsidDel="00000000" w:rsidP="00000000" w:rsidRDefault="00000000" w:rsidRPr="00000000" w14:paraId="0000001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Admisión de los Recursos de Revisión.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veintiocho de noviembre de dos mil veintidós</w:t>
      </w:r>
      <w:r w:rsidDel="00000000" w:rsidR="00000000" w:rsidRPr="00000000">
        <w:rPr>
          <w:rFonts w:ascii="Palatino Linotype" w:cs="Palatino Linotype" w:eastAsia="Palatino Linotype" w:hAnsi="Palatino Linotype"/>
          <w:rtl w:val="0"/>
        </w:rPr>
        <w:t xml:space="preserve">, en términos de lo dispuesto en el artículo 185 fracciones I, II y IV de la Ley de Transparencia y Acceso a la Información Pública del Estado de México y Municipios, se admitieron a trámite los recursos de revisión al rubro indicado.</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240" w:before="240" w:line="360" w:lineRule="auto"/>
        <w:jc w:val="both"/>
        <w:rPr/>
      </w:pPr>
      <w:r w:rsidDel="00000000" w:rsidR="00000000" w:rsidRPr="00000000">
        <w:rPr>
          <w:rFonts w:ascii="Palatino Linotype" w:cs="Palatino Linotype" w:eastAsia="Palatino Linotype" w:hAnsi="Palatino Linotype"/>
          <w:b w:val="1"/>
          <w:rtl w:val="0"/>
        </w:rPr>
        <w:t xml:space="preserve">8. Acumulación de los recursos de revisión. </w:t>
      </w:r>
      <w:r w:rsidDel="00000000" w:rsidR="00000000" w:rsidRPr="00000000">
        <w:rPr>
          <w:rFonts w:ascii="Palatino Linotype" w:cs="Palatino Linotype" w:eastAsia="Palatino Linotype" w:hAnsi="Palatino Linotype"/>
          <w:rtl w:val="0"/>
        </w:rPr>
        <w:t xml:space="preserve">Al respecto cabe señalar, que el Pleno de este Instituto, en la </w:t>
      </w:r>
      <w:r w:rsidDel="00000000" w:rsidR="00000000" w:rsidRPr="00000000">
        <w:rPr>
          <w:rFonts w:ascii="Palatino Linotype" w:cs="Palatino Linotype" w:eastAsia="Palatino Linotype" w:hAnsi="Palatino Linotype"/>
          <w:b w:val="1"/>
          <w:rtl w:val="0"/>
        </w:rPr>
        <w:t xml:space="preserve">Cuadragésima Cuarta Sesión</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Ordinaria</w:t>
      </w:r>
      <w:r w:rsidDel="00000000" w:rsidR="00000000" w:rsidRPr="00000000">
        <w:rPr>
          <w:rFonts w:ascii="Palatino Linotype" w:cs="Palatino Linotype" w:eastAsia="Palatino Linotype" w:hAnsi="Palatino Linotype"/>
          <w:rtl w:val="0"/>
        </w:rPr>
        <w:t xml:space="preserve"> de fecha</w:t>
      </w:r>
      <w:r w:rsidDel="00000000" w:rsidR="00000000" w:rsidRPr="00000000">
        <w:rPr>
          <w:rFonts w:ascii="Palatino Linotype" w:cs="Palatino Linotype" w:eastAsia="Palatino Linotype" w:hAnsi="Palatino Linotype"/>
          <w:b w:val="1"/>
          <w:rtl w:val="0"/>
        </w:rPr>
        <w:t xml:space="preserve"> siete de diciembre de dos mil veintidós</w:t>
      </w:r>
      <w:r w:rsidDel="00000000" w:rsidR="00000000" w:rsidRPr="00000000">
        <w:rPr>
          <w:rFonts w:ascii="Palatino Linotype" w:cs="Palatino Linotype" w:eastAsia="Palatino Linotype" w:hAnsi="Palatino Linotype"/>
          <w:rtl w:val="0"/>
        </w:rPr>
        <w:t xml:space="preserve">, ordenó la acumulación de los expedientes citados, a efecto de que la Comisionada </w:t>
      </w:r>
      <w:r w:rsidDel="00000000" w:rsidR="00000000" w:rsidRPr="00000000">
        <w:rPr>
          <w:rFonts w:ascii="Palatino Linotype" w:cs="Palatino Linotype" w:eastAsia="Palatino Linotype" w:hAnsi="Palatino Linotype"/>
          <w:b w:val="1"/>
          <w:rtl w:val="0"/>
        </w:rPr>
        <w:t xml:space="preserve">Guadalupe Ramírez Peña </w:t>
      </w:r>
      <w:r w:rsidDel="00000000" w:rsidR="00000000" w:rsidRPr="00000000">
        <w:rPr>
          <w:rFonts w:ascii="Palatino Linotype" w:cs="Palatino Linotype" w:eastAsia="Palatino Linotype" w:hAnsi="Palatino Linotype"/>
          <w:rtl w:val="0"/>
        </w:rPr>
        <w:t xml:space="preserve">formulará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120" w:before="120" w:lineRule="auto"/>
        <w:ind w:left="851" w:right="902" w:firstLine="0"/>
        <w:jc w:val="both"/>
        <w:rPr/>
      </w:pPr>
      <w:r w:rsidDel="00000000" w:rsidR="00000000" w:rsidRPr="00000000">
        <w:rPr>
          <w:rFonts w:ascii="Palatino Linotype" w:cs="Palatino Linotype" w:eastAsia="Palatino Linotype" w:hAnsi="Palatino Linotype"/>
          <w:b w:val="1"/>
          <w:i w:val="1"/>
          <w:sz w:val="22"/>
          <w:szCs w:val="22"/>
          <w:rtl w:val="0"/>
        </w:rPr>
        <w:t xml:space="preserve">Código de Procedimientos Administrativos del Estado de México</w:t>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120" w:before="120" w:lineRule="auto"/>
        <w:ind w:left="851" w:right="902" w:firstLine="0"/>
        <w:jc w:val="both"/>
        <w:rPr/>
      </w:pPr>
      <w:r w:rsidDel="00000000" w:rsidR="00000000" w:rsidRPr="00000000">
        <w:rPr>
          <w:rFonts w:ascii="Palatino Linotype" w:cs="Palatino Linotype" w:eastAsia="Palatino Linotype" w:hAnsi="Palatino Linotype"/>
          <w:b w:val="1"/>
          <w:i w:val="1"/>
          <w:sz w:val="22"/>
          <w:szCs w:val="22"/>
          <w:rtl w:val="0"/>
        </w:rPr>
        <w:t xml:space="preserve">“Artículo 18.-</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autoridad administrativa o el Tribunal acordarán la acumulación de los expedientes del procedimiento y proceso administrativo que ante ellos se sigan, de oficio</w:t>
      </w:r>
      <w:r w:rsidDel="00000000" w:rsidR="00000000" w:rsidRPr="00000000">
        <w:rPr>
          <w:rFonts w:ascii="Palatino Linotype" w:cs="Palatino Linotype" w:eastAsia="Palatino Linotype" w:hAnsi="Palatino Linotype"/>
          <w:i w:val="1"/>
          <w:sz w:val="22"/>
          <w:szCs w:val="22"/>
          <w:rtl w:val="0"/>
        </w:rPr>
        <w:t xml:space="preserve"> o a petición de parte, </w:t>
      </w:r>
      <w:r w:rsidDel="00000000" w:rsidR="00000000" w:rsidRPr="00000000">
        <w:rPr>
          <w:rFonts w:ascii="Palatino Linotype" w:cs="Palatino Linotype" w:eastAsia="Palatino Linotype" w:hAnsi="Palatino Linotype"/>
          <w:b w:val="1"/>
          <w:i w:val="1"/>
          <w:sz w:val="22"/>
          <w:szCs w:val="22"/>
          <w:rtl w:val="0"/>
        </w:rPr>
        <w:t xml:space="preserve">cuando las partes</w:t>
      </w:r>
      <w:r w:rsidDel="00000000" w:rsidR="00000000" w:rsidRPr="00000000">
        <w:rPr>
          <w:rFonts w:ascii="Palatino Linotype" w:cs="Palatino Linotype" w:eastAsia="Palatino Linotype" w:hAnsi="Palatino Linotype"/>
          <w:i w:val="1"/>
          <w:sz w:val="22"/>
          <w:szCs w:val="22"/>
          <w:rtl w:val="0"/>
        </w:rPr>
        <w:t xml:space="preserve"> o los actos administrativos sean iguales, se trate de actos conexos o </w:t>
      </w:r>
      <w:r w:rsidDel="00000000" w:rsidR="00000000" w:rsidRPr="00000000">
        <w:rPr>
          <w:rFonts w:ascii="Palatino Linotype" w:cs="Palatino Linotype" w:eastAsia="Palatino Linotype" w:hAnsi="Palatino Linotype"/>
          <w:b w:val="1"/>
          <w:i w:val="1"/>
          <w:sz w:val="22"/>
          <w:szCs w:val="22"/>
          <w:rtl w:val="0"/>
        </w:rPr>
        <w:t xml:space="preserve">resulte conveniente el trámite unificado de los asuntos, para evitar la emisión de resoluciones contradictorias</w:t>
      </w:r>
      <w:r w:rsidDel="00000000" w:rsidR="00000000" w:rsidRPr="00000000">
        <w:rPr>
          <w:rFonts w:ascii="Palatino Linotype" w:cs="Palatino Linotype" w:eastAsia="Palatino Linotype" w:hAnsi="Palatino Linotype"/>
          <w:i w:val="1"/>
          <w:sz w:val="22"/>
          <w:szCs w:val="22"/>
          <w:rtl w:val="0"/>
        </w:rPr>
        <w:t xml:space="preserve">. La misma regla se aplicará, en lo conducente, para la separación de los expedientes.”</w:t>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120" w:before="120" w:lineRule="auto"/>
        <w:ind w:left="851" w:right="902" w:firstLine="0"/>
        <w:jc w:val="both"/>
        <w:rPr/>
      </w:pPr>
      <w:r w:rsidDel="00000000" w:rsidR="00000000" w:rsidRPr="00000000">
        <w:rPr>
          <w:rFonts w:ascii="Palatino Linotype" w:cs="Palatino Linotype" w:eastAsia="Palatino Linotype" w:hAnsi="Palatino Linotype"/>
          <w:b w:val="1"/>
          <w:i w:val="1"/>
          <w:sz w:val="22"/>
          <w:szCs w:val="22"/>
          <w:rtl w:val="0"/>
        </w:rPr>
        <w:t xml:space="preserve">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120" w:before="120" w:lineRule="auto"/>
        <w:ind w:left="851" w:right="902" w:firstLine="0"/>
        <w:jc w:val="both"/>
        <w:rPr/>
      </w:pPr>
      <w:r w:rsidDel="00000000" w:rsidR="00000000" w:rsidRPr="00000000">
        <w:rPr>
          <w:rFonts w:ascii="Palatino Linotype" w:cs="Palatino Linotype" w:eastAsia="Palatino Linotype" w:hAnsi="Palatino Linotype"/>
          <w:b w:val="1"/>
          <w:i w:val="1"/>
          <w:sz w:val="22"/>
          <w:szCs w:val="22"/>
          <w:rtl w:val="0"/>
        </w:rPr>
        <w:t xml:space="preserve">“Artículo 195.-</w:t>
      </w:r>
      <w:r w:rsidDel="00000000" w:rsidR="00000000" w:rsidRPr="00000000">
        <w:rPr>
          <w:rFonts w:ascii="Palatino Linotype" w:cs="Palatino Linotype" w:eastAsia="Palatino Linotype" w:hAnsi="Palatino Linotype"/>
          <w:i w:val="1"/>
          <w:sz w:val="22"/>
          <w:szCs w:val="22"/>
          <w:rtl w:val="0"/>
        </w:rPr>
        <w:t xml:space="preserve"> En la tramitación del recurso de revisión se aplicará supletoriamente las disposiciones contenidas en el Código de Procedimientos Administrativos del Estado de México.”</w:t>
      </w:r>
      <w:r w:rsidDel="00000000" w:rsidR="00000000" w:rsidRPr="00000000">
        <w:rPr>
          <w:rtl w:val="0"/>
        </w:rPr>
      </w:r>
    </w:p>
    <w:p w:rsidR="00000000" w:rsidDel="00000000" w:rsidP="00000000" w:rsidRDefault="00000000" w:rsidRPr="00000000" w14:paraId="00000022">
      <w:pPr>
        <w:spacing w:after="240" w:before="240" w:line="360" w:lineRule="auto"/>
        <w:ind w:right="49"/>
        <w:jc w:val="both"/>
        <w:rPr/>
      </w:pPr>
      <w:r w:rsidDel="00000000" w:rsidR="00000000" w:rsidRPr="00000000">
        <w:rPr>
          <w:rFonts w:ascii="Palatino Linotype" w:cs="Palatino Linotype" w:eastAsia="Palatino Linotype" w:hAnsi="Palatino Linotype"/>
          <w:b w:val="1"/>
          <w:rtl w:val="0"/>
        </w:rPr>
        <w:t xml:space="preserve">9. Manifestaciones. </w:t>
      </w:r>
      <w:r w:rsidDel="00000000" w:rsidR="00000000" w:rsidRPr="00000000">
        <w:rPr>
          <w:rFonts w:ascii="Palatino Linotype" w:cs="Palatino Linotype" w:eastAsia="Palatino Linotype" w:hAnsi="Palatino Linotype"/>
          <w:rtl w:val="0"/>
        </w:rPr>
        <w:t xml:space="preserve">De las constancias que integran los expedientes electrónico en los que se actúa se advierte que en fecha </w:t>
      </w:r>
      <w:r w:rsidDel="00000000" w:rsidR="00000000" w:rsidRPr="00000000">
        <w:rPr>
          <w:rFonts w:ascii="Palatino Linotype" w:cs="Palatino Linotype" w:eastAsia="Palatino Linotype" w:hAnsi="Palatino Linotype"/>
          <w:b w:val="1"/>
          <w:rtl w:val="0"/>
        </w:rPr>
        <w:t xml:space="preserve">nueve de enero de dos mil veintidós,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remitió los escritos emitidos por el Titular de la Unidad de Transparencia, mediante los cuales, con el fin de poder darle una oportuna contestación al hoy recurrente, informa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al realizar un análisis en las solicitudes procedió a turnarla al Servidor Público Habilitado poseedor de la información, mismo que informó que lo solicitado se encontraba dentro del Sistema de Información Pública de Oficio Mexiquense (IPOMEX), refiriendo que dentro de dicho sistema se carga la información que el Sujeto Obligado debe transparentar de conformidad con la Ley de Transparencia y Acceso a la información Pública de Oficio Mexiquense del Estado de México y Municipios en su artículo 92, por lo que proporciona nuevamente los enlaces para la consulta de lo peticionado: </w:t>
      </w:r>
      <w:r w:rsidDel="00000000" w:rsidR="00000000" w:rsidRPr="00000000">
        <w:rPr>
          <w:rtl w:val="0"/>
        </w:rPr>
      </w:r>
    </w:p>
    <w:p w:rsidR="00000000" w:rsidDel="00000000" w:rsidP="00000000" w:rsidRDefault="00000000" w:rsidRPr="00000000" w14:paraId="00000023">
      <w:pPr>
        <w:spacing w:after="240" w:before="240" w:line="360" w:lineRule="auto"/>
        <w:ind w:right="49"/>
        <w:jc w:val="center"/>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https://www.ipomex.org.mx/ipo3/lgt/indice/ZINACANTEPEC/art_92_xxxv_a.web</w:t>
      </w:r>
    </w:p>
    <w:p w:rsidR="00000000" w:rsidDel="00000000" w:rsidP="00000000" w:rsidRDefault="00000000" w:rsidRPr="00000000" w14:paraId="00000024">
      <w:pPr>
        <w:spacing w:after="240" w:before="240" w:line="360" w:lineRule="auto"/>
        <w:ind w:right="49"/>
        <w:jc w:val="center"/>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https://www.ipomex.org.mx/ipo3/lgt/indice/ZINACANTEPEC/art_92_xxvii_b.web</w:t>
      </w:r>
    </w:p>
    <w:p w:rsidR="00000000" w:rsidDel="00000000" w:rsidP="00000000" w:rsidRDefault="00000000" w:rsidRPr="00000000" w14:paraId="0000002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Documentos que se hicieron del conocimiento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una vez que fueron analizados, con la finalidad de que manifestara lo que a su derecho estimara conveniente, sin embargo fue omisa en ejercer dicha prerrogativa.</w:t>
      </w:r>
    </w:p>
    <w:p w:rsidR="00000000" w:rsidDel="00000000" w:rsidP="00000000" w:rsidRDefault="00000000" w:rsidRPr="00000000" w14:paraId="00000026">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10. Ampliación del término para resolver</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veintidós de febrero de dos mil veintitrés</w:t>
      </w:r>
      <w:r w:rsidDel="00000000" w:rsidR="00000000" w:rsidRPr="00000000">
        <w:rPr>
          <w:rFonts w:ascii="Palatino Linotype" w:cs="Palatino Linotype" w:eastAsia="Palatino Linotype" w:hAnsi="Palatino Linotype"/>
          <w:rtl w:val="0"/>
        </w:rPr>
        <w:t xml:space="preserve">, se amplió el término para resolver el recurso de revisión en términos del artículo 181 párrafo tercero de la Ley de Transparencia y Acceso a la Información Pública del Estado de México y Municipios.</w:t>
      </w:r>
    </w:p>
    <w:p w:rsidR="00000000" w:rsidDel="00000000" w:rsidP="00000000" w:rsidRDefault="00000000" w:rsidRPr="00000000" w14:paraId="0000002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2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2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2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2B">
      <w:pPr>
        <w:spacing w:after="240" w:before="240" w:line="360" w:lineRule="auto"/>
        <w:jc w:val="both"/>
        <w:rPr>
          <w:rFonts w:ascii="Palatino Linotype" w:cs="Palatino Linotype" w:eastAsia="Palatino Linotype" w:hAnsi="Palatino Linotype"/>
          <w:strike w:val="1"/>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2C">
      <w:pPr>
        <w:numPr>
          <w:ilvl w:val="0"/>
          <w:numId w:val="1"/>
        </w:numPr>
        <w:tabs>
          <w:tab w:val="left" w:leader="none" w:pos="993"/>
        </w:tabs>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Complejidad del Asunto: La complejidad de la prueba, la pluralidad de sujetos procesales, el tiempo transcurrido, las características y contexto del recurso. </w:t>
      </w:r>
    </w:p>
    <w:p w:rsidR="00000000" w:rsidDel="00000000" w:rsidP="00000000" w:rsidRDefault="00000000" w:rsidRPr="00000000" w14:paraId="0000002D">
      <w:pPr>
        <w:numPr>
          <w:ilvl w:val="0"/>
          <w:numId w:val="1"/>
        </w:numPr>
        <w:tabs>
          <w:tab w:val="left" w:leader="none" w:pos="993"/>
        </w:tabs>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Actividad Procesal del interesado. Acciones u omisiones del interesado.</w:t>
      </w:r>
    </w:p>
    <w:p w:rsidR="00000000" w:rsidDel="00000000" w:rsidP="00000000" w:rsidRDefault="00000000" w:rsidRPr="00000000" w14:paraId="0000002E">
      <w:pPr>
        <w:numPr>
          <w:ilvl w:val="0"/>
          <w:numId w:val="1"/>
        </w:numPr>
        <w:tabs>
          <w:tab w:val="left" w:leader="none" w:pos="993"/>
        </w:tabs>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02F">
      <w:pPr>
        <w:numPr>
          <w:ilvl w:val="0"/>
          <w:numId w:val="1"/>
        </w:numPr>
        <w:tabs>
          <w:tab w:val="left" w:leader="none" w:pos="993"/>
        </w:tabs>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afectación generada en la situación jurídica de la persona involucrada en el proceso: Violación a sus derechos humanos.</w:t>
      </w:r>
    </w:p>
    <w:p w:rsidR="00000000" w:rsidDel="00000000" w:rsidP="00000000" w:rsidRDefault="00000000" w:rsidRPr="00000000" w14:paraId="0000003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31">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3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3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34">
      <w:pPr>
        <w:spacing w:after="240" w:before="240" w:lineRule="auto"/>
        <w:ind w:left="851"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consultable en el Seminario Judicial de la Federación y su gaceta, con el registro digital 2002351.</w:t>
      </w:r>
    </w:p>
    <w:p w:rsidR="00000000" w:rsidDel="00000000" w:rsidP="00000000" w:rsidRDefault="00000000" w:rsidRPr="00000000" w14:paraId="00000035">
      <w:pPr>
        <w:spacing w:after="240" w:before="240" w:lineRule="auto"/>
        <w:ind w:left="851"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sz w:val="22"/>
          <w:szCs w:val="22"/>
          <w:rtl w:val="0"/>
        </w:rPr>
        <w:t xml:space="preserve">, visible en el Seminario Judicial de la Federación y su gaceta, con el registro digital 2002350.</w:t>
      </w:r>
    </w:p>
    <w:p w:rsidR="00000000" w:rsidDel="00000000" w:rsidP="00000000" w:rsidRDefault="00000000" w:rsidRPr="00000000" w14:paraId="0000003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3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11. Cierre de Instrucción.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veintiocho de febrero de dos mil veintitrés</w:t>
      </w:r>
      <w:r w:rsidDel="00000000" w:rsidR="00000000" w:rsidRPr="00000000">
        <w:rPr>
          <w:rFonts w:ascii="Palatino Linotype" w:cs="Palatino Linotype" w:eastAsia="Palatino Linotype" w:hAnsi="Palatino Linotype"/>
          <w:rtl w:val="0"/>
        </w:rPr>
        <w:t xml:space="preserve">, con fundamento en lo establecido en los artículos 185, fracción VI de la Ley de Transparencia y Acceso a la Información Pública del Estado de México y Municipios y 30, fracción IV del Reglamento Interior del Instituto de Transparencia, Acceso a la Información Pública y Protección de Datos Personales del Estado de México y Municipios, al no existir trámite pendiente por realizar y haber sido sustanciados medios de impugnación se acordó el cierre de instrucción y se procede a formular la resolución que en derecho corresponda.</w:t>
      </w:r>
    </w:p>
    <w:p w:rsidR="00000000" w:rsidDel="00000000" w:rsidP="00000000" w:rsidRDefault="00000000" w:rsidRPr="00000000" w14:paraId="0000003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fueron debidamente sustanciados los expedientes electrónicos y no existe diligencia pendiente de desahogo, se emite la Resolución que conforme a Derecho proceda, de acuerdo con los siguientes: </w:t>
      </w:r>
    </w:p>
    <w:p w:rsidR="00000000" w:rsidDel="00000000" w:rsidP="00000000" w:rsidRDefault="00000000" w:rsidRPr="00000000" w14:paraId="00000039">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 S:</w:t>
      </w:r>
    </w:p>
    <w:p w:rsidR="00000000" w:rsidDel="00000000" w:rsidP="00000000" w:rsidRDefault="00000000" w:rsidRPr="00000000" w14:paraId="0000003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los presentes recursos de revisión interpuestos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000000" w:rsidDel="00000000" w:rsidP="00000000" w:rsidRDefault="00000000" w:rsidRPr="00000000" w14:paraId="0000003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3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la respuesta a la solicitud de información el día </w:t>
      </w:r>
      <w:r w:rsidDel="00000000" w:rsidR="00000000" w:rsidRPr="00000000">
        <w:rPr>
          <w:rFonts w:ascii="Palatino Linotype" w:cs="Palatino Linotype" w:eastAsia="Palatino Linotype" w:hAnsi="Palatino Linotype"/>
          <w:b w:val="1"/>
          <w:rtl w:val="0"/>
        </w:rPr>
        <w:t xml:space="preserve">veintitrés de noviembre de dos mil veintidós, </w:t>
      </w:r>
      <w:r w:rsidDel="00000000" w:rsidR="00000000" w:rsidRPr="00000000">
        <w:rPr>
          <w:rFonts w:ascii="Palatino Linotype" w:cs="Palatino Linotype" w:eastAsia="Palatino Linotype" w:hAnsi="Palatino Linotype"/>
          <w:rtl w:val="0"/>
        </w:rPr>
        <w:t xml:space="preserve">mientras que el recurso de revisión interpuesto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tuvo por presentado el día </w:t>
      </w:r>
      <w:r w:rsidDel="00000000" w:rsidR="00000000" w:rsidRPr="00000000">
        <w:rPr>
          <w:rFonts w:ascii="Palatino Linotype" w:cs="Palatino Linotype" w:eastAsia="Palatino Linotype" w:hAnsi="Palatino Linotype"/>
          <w:b w:val="1"/>
          <w:rtl w:val="0"/>
        </w:rPr>
        <w:t xml:space="preserve">veintitrés de noviembre de dos mil veintidós</w:t>
      </w:r>
      <w:r w:rsidDel="00000000" w:rsidR="00000000" w:rsidRPr="00000000">
        <w:rPr>
          <w:rFonts w:ascii="Palatino Linotype" w:cs="Palatino Linotype" w:eastAsia="Palatino Linotype" w:hAnsi="Palatino Linotype"/>
          <w:rtl w:val="0"/>
        </w:rPr>
        <w:t xml:space="preserve">, esto es, mismo día hábil en que tuvo conocimiento de la respuesta impugnada.</w:t>
      </w:r>
    </w:p>
    <w:p w:rsidR="00000000" w:rsidDel="00000000" w:rsidP="00000000" w:rsidRDefault="00000000" w:rsidRPr="00000000" w14:paraId="0000003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se concluye que el presente recurso de revisión se encuentra dentro de los márgenes temporales previstos en las disposiciones legales referidas.</w:t>
      </w:r>
    </w:p>
    <w:p w:rsidR="00000000" w:rsidDel="00000000" w:rsidP="00000000" w:rsidRDefault="00000000" w:rsidRPr="00000000" w14:paraId="0000003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rsidR="00000000" w:rsidDel="00000000" w:rsidP="00000000" w:rsidRDefault="00000000" w:rsidRPr="00000000" w14:paraId="0000004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“RECURSO DE RECLAMACIÓN. SU INTERPOSICIÓN NO ES EXTEMPORÁNEA SI SE REALIZA ANTES DE QUE INICIE EL PLAZO PARA HACERLO</w:t>
      </w:r>
      <w:r w:rsidDel="00000000" w:rsidR="00000000" w:rsidRPr="00000000">
        <w:rPr>
          <w:rFonts w:ascii="Palatino Linotype" w:cs="Palatino Linotype" w:eastAsia="Palatino Linotype" w:hAnsi="Palatino Linotype"/>
          <w:i w:val="1"/>
          <w:sz w:val="22"/>
          <w:szCs w:val="22"/>
          <w:rtl w:val="0"/>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000000" w:rsidDel="00000000" w:rsidP="00000000" w:rsidRDefault="00000000" w:rsidRPr="00000000" w14:paraId="0000004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mismo tiempo, 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rsidR="00000000" w:rsidDel="00000000" w:rsidP="00000000" w:rsidRDefault="00000000" w:rsidRPr="00000000" w14:paraId="0000004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efecto de sustentar lo anterior, es de suma importancia mencionar que, si bien la parte solicitante </w:t>
      </w:r>
      <w:r w:rsidDel="00000000" w:rsidR="00000000" w:rsidRPr="00000000">
        <w:rPr>
          <w:rFonts w:ascii="Palatino Linotype" w:cs="Palatino Linotype" w:eastAsia="Palatino Linotype" w:hAnsi="Palatino Linotype"/>
          <w:b w:val="1"/>
          <w:rtl w:val="0"/>
        </w:rPr>
        <w:t xml:space="preserve">no proporcionó nombre, </w:t>
      </w:r>
      <w:r w:rsidDel="00000000" w:rsidR="00000000" w:rsidRPr="00000000">
        <w:rPr>
          <w:rFonts w:ascii="Palatino Linotype" w:cs="Palatino Linotype" w:eastAsia="Palatino Linotype" w:hAnsi="Palatino Linotype"/>
          <w:rtl w:val="0"/>
        </w:rPr>
        <w:t xml:space="preserve">como se advierte en el detalle de seguimiento del SAIMEX, sin embargo,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43">
      <w:pPr>
        <w:spacing w:after="120" w:before="12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solicitudes anónimas</w:t>
      </w:r>
      <w:r w:rsidDel="00000000" w:rsidR="00000000" w:rsidRPr="00000000">
        <w:rPr>
          <w:rFonts w:ascii="Palatino Linotype" w:cs="Palatino Linotype" w:eastAsia="Palatino Linotype" w:hAnsi="Palatino Linotype"/>
          <w:i w:val="1"/>
          <w:sz w:val="22"/>
          <w:szCs w:val="22"/>
          <w:rtl w:val="0"/>
        </w:rPr>
        <w:t xml:space="preserve">, con nombre incompleto o seudónimo </w:t>
      </w:r>
      <w:r w:rsidDel="00000000" w:rsidR="00000000" w:rsidRPr="00000000">
        <w:rPr>
          <w:rFonts w:ascii="Palatino Linotype" w:cs="Palatino Linotype" w:eastAsia="Palatino Linotype" w:hAnsi="Palatino Linotype"/>
          <w:b w:val="1"/>
          <w:i w:val="1"/>
          <w:sz w:val="22"/>
          <w:szCs w:val="22"/>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sz w:val="22"/>
          <w:szCs w:val="22"/>
          <w:rtl w:val="0"/>
        </w:rPr>
        <w:t xml:space="preserve">. No podrá requerirse información adicional con motivo del nombre proporcionado por el solicitante."</w:t>
      </w:r>
      <w:r w:rsidDel="00000000" w:rsidR="00000000" w:rsidRPr="00000000">
        <w:rPr>
          <w:rtl w:val="0"/>
        </w:rPr>
      </w:r>
    </w:p>
    <w:p w:rsidR="00000000" w:rsidDel="00000000" w:rsidP="00000000" w:rsidRDefault="00000000" w:rsidRPr="00000000" w14:paraId="0000004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por lo que, en el presente caso, al haber sido presentado el recurso de revisión vía SAIMEX, dicho requisito resulta innecesario.</w:t>
      </w:r>
    </w:p>
    <w:p w:rsidR="00000000" w:rsidDel="00000000" w:rsidP="00000000" w:rsidRDefault="00000000" w:rsidRPr="00000000" w14:paraId="0000004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advierte que resulta procedente la interposición del recurso, según lo manifestado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sus motivos de inconformidad, de acuerdo al artículo 179, fracción I del ordenamiento legal citado, que a la letra dice: </w:t>
      </w:r>
    </w:p>
    <w:p w:rsidR="00000000" w:rsidDel="00000000" w:rsidP="00000000" w:rsidRDefault="00000000" w:rsidRPr="00000000" w14:paraId="00000046">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47">
      <w:pPr>
        <w:spacing w:after="120" w:before="120" w:lineRule="auto"/>
        <w:ind w:left="1134"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negativa a la información solicitada;”</w:t>
      </w:r>
    </w:p>
    <w:p w:rsidR="00000000" w:rsidDel="00000000" w:rsidP="00000000" w:rsidRDefault="00000000" w:rsidRPr="00000000" w14:paraId="00000048">
      <w:pPr>
        <w:tabs>
          <w:tab w:val="left" w:leader="none" w:pos="8647"/>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Este Organismo Garante procede del análisis de los agravios hechos valer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 fin de determinar si se violenta en perjuicio de este, el derecho de acceso a la información previsto en la Constitución Política de los Estados Unidos Mexicanos y en la Constitución Política del Estado Libre y Soberano de México. </w:t>
      </w:r>
      <w:r w:rsidDel="00000000" w:rsidR="00000000" w:rsidRPr="00000000">
        <w:rPr>
          <w:rtl w:val="0"/>
        </w:rPr>
      </w:r>
    </w:p>
    <w:p w:rsidR="00000000" w:rsidDel="00000000" w:rsidP="00000000" w:rsidRDefault="00000000" w:rsidRPr="00000000" w14:paraId="0000004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Del análisis de la solicitud de información, motivo del recurso de revisión que ahora se resuelve se advierte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requirió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le proporcione, información consistente en lo siguiente:</w:t>
      </w:r>
    </w:p>
    <w:p w:rsidR="00000000" w:rsidDel="00000000" w:rsidP="00000000" w:rsidRDefault="00000000" w:rsidRPr="00000000" w14:paraId="0000004A">
      <w:pPr>
        <w:spacing w:after="240" w:before="240" w:line="360" w:lineRule="auto"/>
        <w:ind w:left="42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 Facturas de pago de combustible de septiembre y octubre de 2022.</w:t>
      </w:r>
    </w:p>
    <w:p w:rsidR="00000000" w:rsidDel="00000000" w:rsidP="00000000" w:rsidRDefault="00000000" w:rsidRPr="00000000" w14:paraId="0000004B">
      <w:pPr>
        <w:tabs>
          <w:tab w:val="left" w:leader="none" w:pos="709"/>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ejercicio de la facultad conferida en el artículo 159 primer párrafo de la Ley de Transparencia y Acceso a la Información Pública del Estado de México,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requirió a la persona solicitante a través de la Titular de la Unidad de Transparencia, al quinto día hábil posterior a la presentación de las solicitudes, a efecto de que, dentro de los diez días hábiles siguientes, ampliara los datos de sus solicitudes con la finalidad de asegurar la continuidad del proceso de acceso a la información, debiendo especificar correctamente los elementos requeridos.</w:t>
      </w:r>
    </w:p>
    <w:p w:rsidR="00000000" w:rsidDel="00000000" w:rsidP="00000000" w:rsidRDefault="00000000" w:rsidRPr="00000000" w14:paraId="0000004C">
      <w:pPr>
        <w:spacing w:after="240" w:before="240" w:line="372"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se menciona que efectivamente, la Ley de la Materia confiere a los Sujetos Obligados la potestad de que, por una sola vez, requieran a los solicitantes para que proporcionen datos adicionales que les permitan localizar la información a la que desean acceder, dentro de los cinco días posteriores a la recepción de la solicitud.</w:t>
      </w:r>
    </w:p>
    <w:p w:rsidR="00000000" w:rsidDel="00000000" w:rsidP="00000000" w:rsidRDefault="00000000" w:rsidRPr="00000000" w14:paraId="0000004D">
      <w:pPr>
        <w:spacing w:after="240" w:before="240" w:line="372"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para aplicar dicha facultad, debe actualizarse el supuesto jurídico que consiste en que los términos de la solicitud sean vagos, que los datos proporcionados sean insuficientes o incompletos, impidiendo a los Sujetos Obligados tener certeza de que información deben ubicar y entregar.</w:t>
      </w:r>
    </w:p>
    <w:p w:rsidR="00000000" w:rsidDel="00000000" w:rsidP="00000000" w:rsidRDefault="00000000" w:rsidRPr="00000000" w14:paraId="0000004E">
      <w:pPr>
        <w:spacing w:after="240" w:before="240" w:line="372"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es que a consideración de este Organismo Garante el </w:t>
      </w:r>
      <w:r w:rsidDel="00000000" w:rsidR="00000000" w:rsidRPr="00000000">
        <w:rPr>
          <w:rFonts w:ascii="Palatino Linotype" w:cs="Palatino Linotype" w:eastAsia="Palatino Linotype" w:hAnsi="Palatino Linotype"/>
          <w:b w:val="1"/>
          <w:rtl w:val="0"/>
        </w:rPr>
        <w:t xml:space="preserve">Sujeto Obligado hizo un uso excesivo del requerimiento de aclaración</w:t>
      </w:r>
      <w:r w:rsidDel="00000000" w:rsidR="00000000" w:rsidRPr="00000000">
        <w:rPr>
          <w:rFonts w:ascii="Palatino Linotype" w:cs="Palatino Linotype" w:eastAsia="Palatino Linotype" w:hAnsi="Palatino Linotype"/>
          <w:rtl w:val="0"/>
        </w:rPr>
        <w:t xml:space="preserve">, pues si bien el requerimiento se encuentra dentro del plazo legal establecido, no pasa inadvertido que los términos de las solicitudes son claros y permiten identificar plenamente la información que es del interés de la persona solicitante, por lo que la aclaración pretendida no era necesaria.</w:t>
      </w:r>
    </w:p>
    <w:p w:rsidR="00000000" w:rsidDel="00000000" w:rsidP="00000000" w:rsidRDefault="00000000" w:rsidRPr="00000000" w14:paraId="0000004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desahogada la aclaración por la persona solicitante,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 través de la Unidad de Transparencia, remitió la respuesta a las solicitudes, señalando que la información podía ser consultada a través de la página de internet de sistema de Información Pública de Oficio Mexiquense (IPOMEX) del Municipio de Zinacantepec, proporcionando dos direcciones electrónicas a través de las cuales la persona solicitante podría acceder a ella.</w:t>
      </w:r>
    </w:p>
    <w:p w:rsidR="00000000" w:rsidDel="00000000" w:rsidP="00000000" w:rsidRDefault="00000000" w:rsidRPr="00000000" w14:paraId="00000050">
      <w:pPr>
        <w:tabs>
          <w:tab w:val="left" w:leader="none" w:pos="709"/>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al no estar conforme con los términos de la respuesta otorgada a sus solicitudes, la persona solicitante interpuso los recursos de revisión que ahora nos ocupan, en los que señaló como motivo de inconformidad que no le fue entregada la información.</w:t>
      </w:r>
    </w:p>
    <w:p w:rsidR="00000000" w:rsidDel="00000000" w:rsidP="00000000" w:rsidRDefault="00000000" w:rsidRPr="00000000" w14:paraId="00000051">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una vez admitido el recurso de revisión, en términos del artículo 185 fracción II</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rsidR="00000000" w:rsidDel="00000000" w:rsidP="00000000" w:rsidRDefault="00000000" w:rsidRPr="00000000" w14:paraId="0000005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remitió dos escritos emitidos por el Titular de la Unidad de Transparencia, mediante el cual, ratifica en lo medular la respuesta emitida en primera instancia a las solicitudes, no obstante, dicha información se hizo del conocimiento de la persona solicitante con la finalidad de que manifestara lo que a su derecho estimara conveniente, siendo omisa en ejercer dicha prerrogativa, como se señaló anteriormente.</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Acotado lo anterior, en primer lugar, es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rsidR="00000000" w:rsidDel="00000000" w:rsidP="00000000" w:rsidRDefault="00000000" w:rsidRPr="00000000" w14:paraId="00000054">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5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000000" w:rsidDel="00000000" w:rsidP="00000000" w:rsidRDefault="00000000" w:rsidRPr="00000000" w14:paraId="0000005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000000" w:rsidDel="00000000" w:rsidP="00000000" w:rsidRDefault="00000000" w:rsidRPr="00000000" w14:paraId="0000005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5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000000" w:rsidDel="00000000" w:rsidP="00000000" w:rsidRDefault="00000000" w:rsidRPr="00000000" w14:paraId="0000005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refiere a que el derecho de acceso a la información pública se satisface en aquellos casos en que se entregue el documento en que conste la información pública, toda vez que, los Sujetos Obligados</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no tienen el deber de generar, poseer o administrar la información pública a un grado de detalle; esto es, que no tienen la obligación de generar un documento </w:t>
      </w:r>
      <w:r w:rsidDel="00000000" w:rsidR="00000000" w:rsidRPr="00000000">
        <w:rPr>
          <w:rFonts w:ascii="Palatino Linotype" w:cs="Palatino Linotype" w:eastAsia="Palatino Linotype" w:hAnsi="Palatino Linotype"/>
          <w:i w:val="1"/>
          <w:rtl w:val="0"/>
        </w:rPr>
        <w:t xml:space="preserve">ad hoc</w:t>
      </w:r>
      <w:r w:rsidDel="00000000" w:rsidR="00000000" w:rsidRPr="00000000">
        <w:rPr>
          <w:rFonts w:ascii="Palatino Linotype" w:cs="Palatino Linotype" w:eastAsia="Palatino Linotype" w:hAnsi="Palatino Linotype"/>
          <w:rtl w:val="0"/>
        </w:rPr>
        <w:t xml:space="preserve">, para satisfacer el derecho de acceso a la información pública.</w:t>
      </w:r>
    </w:p>
    <w:p w:rsidR="00000000" w:rsidDel="00000000" w:rsidP="00000000" w:rsidRDefault="00000000" w:rsidRPr="00000000" w14:paraId="0000005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ello el artículo 24 de la Ley de la materia</w:t>
      </w:r>
      <w:r w:rsidDel="00000000" w:rsidR="00000000" w:rsidRPr="00000000">
        <w:rPr>
          <w:rFonts w:ascii="Palatino Linotype" w:cs="Palatino Linotype" w:eastAsia="Palatino Linotype" w:hAnsi="Palatino Linotype"/>
          <w:vertAlign w:val="superscript"/>
        </w:rPr>
        <w:footnoteReference w:customMarkFollows="0" w:id="1"/>
      </w:r>
      <w:r w:rsidDel="00000000" w:rsidR="00000000" w:rsidRPr="00000000">
        <w:rPr>
          <w:rFonts w:ascii="Palatino Linotype" w:cs="Palatino Linotype" w:eastAsia="Palatino Linotype" w:hAnsi="Palatino Linotype"/>
          <w:rtl w:val="0"/>
        </w:rPr>
        <w:t xml:space="preserve">,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5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Del="00000000" w:rsidR="00000000" w:rsidRPr="00000000">
        <w:rPr>
          <w:rFonts w:ascii="Palatino Linotype" w:cs="Palatino Linotype" w:eastAsia="Palatino Linotype" w:hAnsi="Palatino Linotype"/>
          <w:b w:val="1"/>
          <w:rtl w:val="0"/>
        </w:rPr>
        <w:t xml:space="preserve">cualquier otro registro que documente el ejercicio de las facultades, funciones y competencias de los Sujetos Obligados</w:t>
      </w:r>
      <w:r w:rsidDel="00000000" w:rsidR="00000000" w:rsidRPr="00000000">
        <w:rPr>
          <w:rFonts w:ascii="Palatino Linotype" w:cs="Palatino Linotype" w:eastAsia="Palatino Linotype" w:hAnsi="Palatino Linotype"/>
          <w:rtl w:val="0"/>
        </w:rPr>
        <w:t xml:space="preserve">;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5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5D">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E">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60">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6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62">
      <w:pP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6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64">
      <w:pPr>
        <w:spacing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Que se trate de información registrada en cualquier soporte documental, que en ejercicio de las atribuciones conferidas, se encuentre en posesión de los Sujetos Obligados.”</w:t>
      </w:r>
    </w:p>
    <w:p w:rsidR="00000000" w:rsidDel="00000000" w:rsidP="00000000" w:rsidRDefault="00000000" w:rsidRPr="00000000" w14:paraId="00000065">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tomando en consideración el pronunciamiento vertido por la Unidad de Transparencia en atención a las solicitudes, debemos traer a colación el artículo 161</w:t>
      </w:r>
      <w:r w:rsidDel="00000000" w:rsidR="00000000" w:rsidRPr="00000000">
        <w:rPr>
          <w:rFonts w:ascii="Palatino Linotype" w:cs="Palatino Linotype" w:eastAsia="Palatino Linotype" w:hAnsi="Palatino Linotype"/>
          <w:vertAlign w:val="superscript"/>
        </w:rPr>
        <w:footnoteReference w:customMarkFollows="0" w:id="2"/>
      </w:r>
      <w:r w:rsidDel="00000000" w:rsidR="00000000" w:rsidRPr="00000000">
        <w:rPr>
          <w:rFonts w:ascii="Palatino Linotype" w:cs="Palatino Linotype" w:eastAsia="Palatino Linotype" w:hAnsi="Palatino Linotype"/>
          <w:rtl w:val="0"/>
        </w:rPr>
        <w:t xml:space="preserve"> de la Ley de Transparencia y Acceso a la Información Pública del Estado de México y Municipios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rtl w:val="0"/>
        </w:rPr>
        <w:t xml:space="preserve">el cual establece las características que debe tener la información desde el momento en el que se genera, su publicación y entrega; así como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rsidR="00000000" w:rsidDel="00000000" w:rsidP="00000000" w:rsidRDefault="00000000" w:rsidRPr="00000000" w14:paraId="00000066">
      <w:pPr>
        <w:spacing w:after="120" w:before="120" w:line="276"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La fuente</w:t>
      </w:r>
    </w:p>
    <w:p w:rsidR="00000000" w:rsidDel="00000000" w:rsidP="00000000" w:rsidRDefault="00000000" w:rsidRPr="00000000" w14:paraId="00000067">
      <w:pPr>
        <w:spacing w:after="120" w:before="120" w:line="276"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 El lugar y</w:t>
      </w:r>
    </w:p>
    <w:p w:rsidR="00000000" w:rsidDel="00000000" w:rsidP="00000000" w:rsidRDefault="00000000" w:rsidRPr="00000000" w14:paraId="00000068">
      <w:pPr>
        <w:spacing w:after="120" w:before="120" w:line="276"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 La forma</w:t>
      </w:r>
    </w:p>
    <w:p w:rsidR="00000000" w:rsidDel="00000000" w:rsidP="00000000" w:rsidRDefault="00000000" w:rsidRPr="00000000" w14:paraId="00000069">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se establece que la fuente de la información deberá ser:</w:t>
      </w:r>
    </w:p>
    <w:p w:rsidR="00000000" w:rsidDel="00000000" w:rsidP="00000000" w:rsidRDefault="00000000" w:rsidRPr="00000000" w14:paraId="0000006A">
      <w:pPr>
        <w:spacing w:after="120" w:before="120" w:line="276"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Precisa</w:t>
      </w:r>
    </w:p>
    <w:p w:rsidR="00000000" w:rsidDel="00000000" w:rsidP="00000000" w:rsidRDefault="00000000" w:rsidRPr="00000000" w14:paraId="0000006B">
      <w:pPr>
        <w:spacing w:after="120" w:before="120" w:line="276"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 Concreta</w:t>
      </w:r>
    </w:p>
    <w:p w:rsidR="00000000" w:rsidDel="00000000" w:rsidP="00000000" w:rsidRDefault="00000000" w:rsidRPr="00000000" w14:paraId="0000006C">
      <w:pPr>
        <w:spacing w:after="120" w:before="120" w:line="276"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 Y no debe implicar que el solicitante realice una búsqueda en toda la información que se encuentre disponible.</w:t>
      </w:r>
    </w:p>
    <w:p w:rsidR="00000000" w:rsidDel="00000000" w:rsidP="00000000" w:rsidRDefault="00000000" w:rsidRPr="00000000" w14:paraId="0000006D">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Imperativos legales que establecen el procedimiento que deben seguir los Sujetos Obligados para que pueda tomarse como válida su orientación sobre la forma en que puede consultar la información requerida.</w:t>
      </w:r>
    </w:p>
    <w:p w:rsidR="00000000" w:rsidDel="00000000" w:rsidP="00000000" w:rsidRDefault="00000000" w:rsidRPr="00000000" w14:paraId="0000006E">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lo anterior, este Organismo Garante procedió a realizar la consulta de la información contenida en el portal IPOMEX, con la finalidad de determinar si con la misma el derecho de acceso a la información de la persona solicitante quedaba atendido, o en su defecto, ordenar el soporte documental que diera cuenta de lo solicitado.</w:t>
      </w:r>
    </w:p>
    <w:p w:rsidR="00000000" w:rsidDel="00000000" w:rsidP="00000000" w:rsidRDefault="00000000" w:rsidRPr="00000000" w14:paraId="0000006F">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dicha revisión, se advirtió lo siguiente:  </w:t>
      </w:r>
    </w:p>
    <w:p w:rsidR="00000000" w:rsidDel="00000000" w:rsidP="00000000" w:rsidRDefault="00000000" w:rsidRPr="00000000" w14:paraId="00000070">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3528000" cy="2213702"/>
            <wp:effectExtent b="0" l="0" r="0" t="0"/>
            <wp:docPr id="128"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3528000" cy="2213702"/>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3492000" cy="2161846"/>
            <wp:effectExtent b="0" l="0" r="0" t="0"/>
            <wp:docPr id="130"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3492000" cy="2161846"/>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advierte, la información contenida en dicho portal corresponde con la obligación de transparencia prevista en el artículo 92, fracción XXXV de la Ley de Transparencia y Acceso a la Información Pública del Estado de México y Municipios, consistente en lo siguiente:</w:t>
      </w:r>
    </w:p>
    <w:p w:rsidR="00000000" w:rsidDel="00000000" w:rsidP="00000000" w:rsidRDefault="00000000" w:rsidRPr="00000000" w14:paraId="0000007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92.</w:t>
      </w:r>
      <w:r w:rsidDel="00000000" w:rsidR="00000000" w:rsidRPr="00000000">
        <w:rPr>
          <w:rFonts w:ascii="Palatino Linotype" w:cs="Palatino Linotype" w:eastAsia="Palatino Linotype" w:hAnsi="Palatino Linotype"/>
          <w:i w:val="1"/>
          <w:sz w:val="22"/>
          <w:szCs w:val="22"/>
          <w:rtl w:val="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074">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5">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XXXV</w:t>
      </w:r>
      <w:r w:rsidDel="00000000" w:rsidR="00000000" w:rsidRPr="00000000">
        <w:rPr>
          <w:rFonts w:ascii="Palatino Linotype" w:cs="Palatino Linotype" w:eastAsia="Palatino Linotype" w:hAnsi="Palatino Linotype"/>
          <w:i w:val="1"/>
          <w:sz w:val="22"/>
          <w:szCs w:val="22"/>
          <w:rtl w:val="0"/>
        </w:rPr>
        <w:t xml:space="preserve">. Informes de avances programáticos o presupuestales, balances generales y estado financiero;”</w:t>
      </w:r>
    </w:p>
    <w:p w:rsidR="00000000" w:rsidDel="00000000" w:rsidP="00000000" w:rsidRDefault="00000000" w:rsidRPr="00000000" w14:paraId="00000076">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dar cumplimiento a dicha obligación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los portales de internet y en la Plataforma Nacional de Transparencia señalan que los Sujetos Obligados deberán publicar y actualizar la información financiera registrada en su Sistema de Contabilidad Gubernamental (SCG), en cumplimiento de la Ley General de Contabilidad Gubernamental, el Acuerdo por el que se emite el Marco Conceptual de Contabilidad Gubernamental publicado en el DOF el 20 de agosto de 2009 y demás normatividad aplicable. </w:t>
      </w:r>
    </w:p>
    <w:p w:rsidR="00000000" w:rsidDel="00000000" w:rsidP="00000000" w:rsidRDefault="00000000" w:rsidRPr="00000000" w14:paraId="00000077">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Tal como lo establece el artículo 46 de la Ley General de Contabilidad Gubernamental, la Federación, los sistemas contables de los poderes Ejecutivo, Legislativo y Judicial, las entidades de la Administración Pública Paraestatal y los órganos autónomos generarán de manera periódica la información financiera establecida en el artículo referido. </w:t>
      </w:r>
    </w:p>
    <w:p w:rsidR="00000000" w:rsidDel="00000000" w:rsidP="00000000" w:rsidRDefault="00000000" w:rsidRPr="00000000" w14:paraId="00000078">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de conformidad con el artículo 47 de la Ley General de Contabilidad Gubernamental, las entidades federativas, los sistemas contables de los poderes Ejecutivo, Legislativo y Judicial, las entidades de la administración pública paraestatal y los órganos autónomos deberán producir, en la medida que corresponda, la información referida en el artículo 46 de esta Ley, con excepción de la fracción I, inciso i) de dicho artículo.</w:t>
      </w:r>
    </w:p>
    <w:p w:rsidR="00000000" w:rsidDel="00000000" w:rsidP="00000000" w:rsidRDefault="00000000" w:rsidRPr="00000000" w14:paraId="00000079">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cada sujeto obligado publicará la información sobre los estados financieros contables, presupuestales y programáticos conforme a las normas, estructura, formatos y contenido de la información, que para tal efecto estableció el Consejo de Armonización Contable y que en su momento entregó a la Secretaría de Hacienda y Crédito Público (SHCP), las secretarías de finanzas o sus equivalentes en las entidades federativas, así como las tesorerías de los municipios y sus análogas en las demarcaciones territoriales de la Ciudad de México, de conformidad con el artículo 51 de la Ley General de Contabilidad Gubernamental.</w:t>
      </w:r>
    </w:p>
    <w:p w:rsidR="00000000" w:rsidDel="00000000" w:rsidP="00000000" w:rsidRDefault="00000000" w:rsidRPr="00000000" w14:paraId="0000007A">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la SHCP, las secretarías de finanzas o análogas de las entidades federativas, así como las tesorerías de los municipios y sus equivalentes en las demarcaciones territoriales de la Ciudad de México, además de la información consolidada que, en ejercicio de sus atribuciones deben generar y publicar, incluirán en su respectiva página de Internet los enlaces electrónicos que permitan acceder a la información financiera de todos los sujetos obligados que conforman el correspondiente orden de gobierno, como lo establece el artículo 57 de la Ley General de Contabilidad Gubernamental. </w:t>
      </w:r>
    </w:p>
    <w:p w:rsidR="00000000" w:rsidDel="00000000" w:rsidP="00000000" w:rsidRDefault="00000000" w:rsidRPr="00000000" w14:paraId="0000007B">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deberá publicarse y actualizarse trimestralmente a más tardar 30 días naturales después de concluido el trimestre y se deberá conservar publicada en el sitio de Internet la información relativa a los últimos seis ejercicios, tal como está establecido en los artículos 51 y 58, respectivamente, de la Ley General de Contabilidad Gubernamental.</w:t>
      </w:r>
    </w:p>
    <w:p w:rsidR="00000000" w:rsidDel="00000000" w:rsidP="00000000" w:rsidRDefault="00000000" w:rsidRPr="00000000" w14:paraId="0000007C">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680000" cy="3257725"/>
            <wp:effectExtent b="0" l="0" r="0" t="0"/>
            <wp:docPr id="129"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4680000" cy="3257725"/>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680000" cy="1914675"/>
            <wp:effectExtent b="0" l="0" r="0" t="0"/>
            <wp:docPr id="132" name="image2.png"/>
            <a:graphic>
              <a:graphicData uri="http://schemas.openxmlformats.org/drawingml/2006/picture">
                <pic:pic>
                  <pic:nvPicPr>
                    <pic:cNvPr id="0" name="image2.png"/>
                    <pic:cNvPicPr preferRelativeResize="0"/>
                  </pic:nvPicPr>
                  <pic:blipFill>
                    <a:blip r:embed="rId13"/>
                    <a:srcRect b="61811" l="0" r="0" t="0"/>
                    <a:stretch>
                      <a:fillRect/>
                    </a:stretch>
                  </pic:blipFill>
                  <pic:spPr>
                    <a:xfrm>
                      <a:off x="0" y="0"/>
                      <a:ext cx="4680000" cy="1914675"/>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680000" cy="619216"/>
            <wp:effectExtent b="0" l="0" r="0" t="0"/>
            <wp:docPr id="131" name="image2.png"/>
            <a:graphic>
              <a:graphicData uri="http://schemas.openxmlformats.org/drawingml/2006/picture">
                <pic:pic>
                  <pic:nvPicPr>
                    <pic:cNvPr id="0" name="image2.png"/>
                    <pic:cNvPicPr preferRelativeResize="0"/>
                  </pic:nvPicPr>
                  <pic:blipFill>
                    <a:blip r:embed="rId13"/>
                    <a:srcRect b="-513" l="0" r="0" t="88163"/>
                    <a:stretch>
                      <a:fillRect/>
                    </a:stretch>
                  </pic:blipFill>
                  <pic:spPr>
                    <a:xfrm>
                      <a:off x="0" y="0"/>
                      <a:ext cx="4680000" cy="619216"/>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advierte, si bien la información contenida en el portal IPOMEX se relaciona con la información financiera del </w:t>
      </w:r>
      <w:r w:rsidDel="00000000" w:rsidR="00000000" w:rsidRPr="00000000">
        <w:rPr>
          <w:rFonts w:ascii="Palatino Linotype" w:cs="Palatino Linotype" w:eastAsia="Palatino Linotype" w:hAnsi="Palatino Linotype"/>
          <w:b w:val="1"/>
          <w:rtl w:val="0"/>
        </w:rPr>
        <w:t xml:space="preserve">Sujeto Obligado, no debe perderse de vista que la pretensión de la persona es obtener documentos específicos de un gasto en concreto, </w:t>
      </w:r>
      <w:r w:rsidDel="00000000" w:rsidR="00000000" w:rsidRPr="00000000">
        <w:rPr>
          <w:rFonts w:ascii="Palatino Linotype" w:cs="Palatino Linotype" w:eastAsia="Palatino Linotype" w:hAnsi="Palatino Linotype"/>
          <w:rtl w:val="0"/>
        </w:rPr>
        <w:t xml:space="preserve">es decir, las facturas de pago por concepto de combustible, mientras que la información contenida en el portal corresponde con los avances los estados financieros contables, presupuestales y programáticos conforme a las normas, estructura, formatos y contenido de la información establecidos, siendo evidente que la información solicitada no se localiza en la información publicada en cumplimiento a dicha obligación de transparencia.</w:t>
      </w:r>
    </w:p>
    <w:p w:rsidR="00000000" w:rsidDel="00000000" w:rsidP="00000000" w:rsidRDefault="00000000" w:rsidRPr="00000000" w14:paraId="00000080">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Sin perder de vista, además,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limitó a proporcionar la dirección electrónica sin exponer de manera clara y precisa, la forma en la que la persona solicitante podría llevar a cabo la consulta, en caso de que la información se encontrara alojada en el portal IPOMEX, por lo que no se atendió a lo previsto en el artículo 161 de la Ley de la materia citado con antelación, exhortándole para que en próximas ocasiones se ciña a las disposiciones aplicables en la materia.</w:t>
      </w:r>
    </w:p>
    <w:p w:rsidR="00000000" w:rsidDel="00000000" w:rsidP="00000000" w:rsidRDefault="00000000" w:rsidRPr="00000000" w14:paraId="00000081">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resulta de suma importancia invocar el contenido de los artículos 162, 163, 164 y 165 de la Ley de Transparencia y Acceso a la Información Pública del Estado de México y Municipios, que rezan así:</w:t>
      </w:r>
    </w:p>
    <w:p w:rsidR="00000000" w:rsidDel="00000000" w:rsidP="00000000" w:rsidRDefault="00000000" w:rsidRPr="00000000" w14:paraId="00000082">
      <w:pPr>
        <w:spacing w:after="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162.</w:t>
      </w:r>
      <w:r w:rsidDel="00000000" w:rsidR="00000000" w:rsidRPr="00000000">
        <w:rPr>
          <w:rFonts w:ascii="Palatino Linotype" w:cs="Palatino Linotype" w:eastAsia="Palatino Linotype" w:hAnsi="Palatino Linotype"/>
          <w:i w:val="1"/>
          <w:sz w:val="22"/>
          <w:szCs w:val="22"/>
          <w:rtl w:val="0"/>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rsidR="00000000" w:rsidDel="00000000" w:rsidP="00000000" w:rsidRDefault="00000000" w:rsidRPr="00000000" w14:paraId="00000083">
      <w:pPr>
        <w:spacing w:after="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163.</w:t>
      </w:r>
      <w:r w:rsidDel="00000000" w:rsidR="00000000" w:rsidRPr="00000000">
        <w:rPr>
          <w:rFonts w:ascii="Palatino Linotype" w:cs="Palatino Linotype" w:eastAsia="Palatino Linotype" w:hAnsi="Palatino Linotype"/>
          <w:i w:val="1"/>
          <w:sz w:val="22"/>
          <w:szCs w:val="22"/>
          <w:rtl w:val="0"/>
        </w:rPr>
        <w:t xml:space="preserve"> La Unidad de Transparencia deberá notificar la respuesta a la solicitud al interesado en el menor tiempo posible, que no podrá exceder de quince días hábiles, contados a partir del día siguiente a la presentación de aquélla.  </w:t>
      </w:r>
    </w:p>
    <w:p w:rsidR="00000000" w:rsidDel="00000000" w:rsidP="00000000" w:rsidRDefault="00000000" w:rsidRPr="00000000" w14:paraId="00000084">
      <w:pPr>
        <w:spacing w:after="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000000" w:rsidDel="00000000" w:rsidP="00000000" w:rsidRDefault="00000000" w:rsidRPr="00000000" w14:paraId="00000085">
      <w:pPr>
        <w:spacing w:after="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164.</w:t>
      </w:r>
      <w:r w:rsidDel="00000000" w:rsidR="00000000" w:rsidRPr="00000000">
        <w:rPr>
          <w:rFonts w:ascii="Palatino Linotype" w:cs="Palatino Linotype" w:eastAsia="Palatino Linotype" w:hAnsi="Palatino Linotype"/>
          <w:i w:val="1"/>
          <w:sz w:val="22"/>
          <w:szCs w:val="22"/>
          <w:rtl w:val="0"/>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rsidR="00000000" w:rsidDel="00000000" w:rsidP="00000000" w:rsidRDefault="00000000" w:rsidRPr="00000000" w14:paraId="00000086">
      <w:pPr>
        <w:spacing w:after="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cualquier caso, se deberá fundar y motivar la necesidad de ofrecer otras modalidades.  </w:t>
      </w:r>
    </w:p>
    <w:p w:rsidR="00000000" w:rsidDel="00000000" w:rsidP="00000000" w:rsidRDefault="00000000" w:rsidRPr="00000000" w14:paraId="00000087">
      <w:pPr>
        <w:spacing w:after="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165.</w:t>
      </w:r>
      <w:r w:rsidDel="00000000" w:rsidR="00000000" w:rsidRPr="00000000">
        <w:rPr>
          <w:rFonts w:ascii="Palatino Linotype" w:cs="Palatino Linotype" w:eastAsia="Palatino Linotype" w:hAnsi="Palatino Linotype"/>
          <w:i w:val="1"/>
          <w:sz w:val="22"/>
          <w:szCs w:val="22"/>
          <w:rtl w:val="0"/>
        </w:rPr>
        <w:t xml:space="preserve"> Los sujetos obligados establecerán la forma y términos en que darán trámite interno a las solicitudes en materia de acceso a la información…”</w:t>
      </w:r>
    </w:p>
    <w:p w:rsidR="00000000" w:rsidDel="00000000" w:rsidP="00000000" w:rsidRDefault="00000000" w:rsidRPr="00000000" w14:paraId="00000088">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cuerpo normativo transcrito, se advierte que las unidades de transparencia deberán garantizar que las solicitudes se turnen a todas las áreas que cuenten con la información o que deban tenerla de acuerdo a sus facultades, competencias o funciones.</w:t>
      </w:r>
    </w:p>
    <w:p w:rsidR="00000000" w:rsidDel="00000000" w:rsidP="00000000" w:rsidRDefault="00000000" w:rsidRPr="00000000" w14:paraId="00000089">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la Unidad de Transparencia la responsable de hacer las notificaciones correspondientes, además de llevar a cabo todas las gestiones necesarias para facilitar el acceso a la información; así la respuesta deberá ser notificada al interesado en el menor tiempo posible, que no podrá exceder de quince días hábiles, contados a partir de la presentación de la solicitud.</w:t>
      </w:r>
    </w:p>
    <w:p w:rsidR="00000000" w:rsidDel="00000000" w:rsidP="00000000" w:rsidRDefault="00000000" w:rsidRPr="00000000" w14:paraId="0000008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caso concreto, derivado de las constancias que obran en el expediente electrónico, no se advierte que el Titular de la Unidad de Transparencia hubiera turnado la solicitud de información a las áreas competentes para contar con la información solicitada, como pudiera ser la Tesorería Municipal o la Dirección de Administración, siendo la primera el único Órgano de la Administración Pública Municipal autorizado para la recaudación de los impuestos y derechos municipales y demás contribuciones de los particulares de conformidad con los artículos artículo 93 y 95, fracciones I , y IV de la Ley Orgánica Municipal del Estado de México, así mismo es responsable de efectuar las erogaciones que realice con cargo al presupuesto aprobado por el Ayuntamiento; mientras que la segunda tiene a su cargo, entre otras atribuciones las de vigilar el cumplimiento de los lineamientos sobre los procesos de selección, adquisición y mantenimiento del mobiliario y recursos materiales; proveer de insumos, bienes y servicios generales que requieran las distintas áreas que conforman la Administración Pública Municipal, para su buen funcionamiento; y llevar a cabo las adquisiciones de bienes, arrendamiento de bienes muebles y la contratación de servicios que requieran las distintas áreas, ajustándose en su caso las disposiciones legales de la materia.</w:t>
      </w:r>
    </w:p>
    <w:p w:rsidR="00000000" w:rsidDel="00000000" w:rsidP="00000000" w:rsidRDefault="00000000" w:rsidRPr="00000000" w14:paraId="0000008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tomando en consideración la materia de las solicitudes, cuanto hace a las facturas, no obsta mencionar que el Glosario de Términos Hacendarios que emite el Instituto Hacendario del Estado de México, define el término “factura” como el documento fiscal que emite la persona física o moral para comprobar la venta o adquisición de un bien y/o servicio.</w:t>
      </w:r>
    </w:p>
    <w:p w:rsidR="00000000" w:rsidDel="00000000" w:rsidP="00000000" w:rsidRDefault="00000000" w:rsidRPr="00000000" w14:paraId="0000008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las facturas o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rsidR="00000000" w:rsidDel="00000000" w:rsidP="00000000" w:rsidRDefault="00000000" w:rsidRPr="00000000" w14:paraId="0000008D">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ello, los artículos 342, 343, 344 y 345 del Código Financiero del Estado de México y Municipios, disponen el sistema y las políticas que deben seguirse para llevar el registro contable y presupuestal de las operaciones financieras, en los siguientes términos:</w:t>
      </w:r>
    </w:p>
    <w:p w:rsidR="00000000" w:rsidDel="00000000" w:rsidP="00000000" w:rsidRDefault="00000000" w:rsidRPr="00000000" w14:paraId="0000008E">
      <w:pPr>
        <w:spacing w:after="120" w:before="120" w:lineRule="auto"/>
        <w:ind w:left="862" w:right="86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342.-</w:t>
      </w:r>
      <w:r w:rsidDel="00000000" w:rsidR="00000000" w:rsidRPr="00000000">
        <w:rPr>
          <w:rFonts w:ascii="Palatino Linotype" w:cs="Palatino Linotype" w:eastAsia="Palatino Linotype" w:hAnsi="Palatino Linotype"/>
          <w:i w:val="1"/>
          <w:sz w:val="22"/>
          <w:szCs w:val="22"/>
          <w:rtl w:val="0"/>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w:t>
      </w:r>
    </w:p>
    <w:p w:rsidR="00000000" w:rsidDel="00000000" w:rsidP="00000000" w:rsidRDefault="00000000" w:rsidRPr="00000000" w14:paraId="0000008F">
      <w:pPr>
        <w:spacing w:after="120" w:before="120" w:lineRule="auto"/>
        <w:ind w:left="862" w:right="86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En el caso de los municipios,</w:t>
      </w:r>
      <w:r w:rsidDel="00000000" w:rsidR="00000000" w:rsidRPr="00000000">
        <w:rPr>
          <w:rFonts w:ascii="Palatino Linotype" w:cs="Palatino Linotype" w:eastAsia="Palatino Linotype" w:hAnsi="Palatino Linotype"/>
          <w:i w:val="1"/>
          <w:sz w:val="22"/>
          <w:szCs w:val="22"/>
          <w:rtl w:val="0"/>
        </w:rPr>
        <w:t xml:space="preserve"> el registro a que se refiere el párrafo anterior, se realizará conforme al sistema y a las disposiciones en materia de </w:t>
      </w:r>
      <w:r w:rsidDel="00000000" w:rsidR="00000000" w:rsidRPr="00000000">
        <w:rPr>
          <w:rFonts w:ascii="Palatino Linotype" w:cs="Palatino Linotype" w:eastAsia="Palatino Linotype" w:hAnsi="Palatino Linotype"/>
          <w:b w:val="1"/>
          <w:i w:val="1"/>
          <w:sz w:val="22"/>
          <w:szCs w:val="22"/>
          <w:rtl w:val="0"/>
        </w:rPr>
        <w:t xml:space="preserve">planeación, programación, presupuestación, evaluación y contabilidad gubernamental</w:t>
      </w:r>
      <w:r w:rsidDel="00000000" w:rsidR="00000000" w:rsidRPr="00000000">
        <w:rPr>
          <w:rFonts w:ascii="Palatino Linotype" w:cs="Palatino Linotype" w:eastAsia="Palatino Linotype" w:hAnsi="Palatino Linotype"/>
          <w:i w:val="1"/>
          <w:sz w:val="22"/>
          <w:szCs w:val="22"/>
          <w:rtl w:val="0"/>
        </w:rPr>
        <w:t xml:space="preserve">, que se aprueben en el marco del Sistema de Coordinación Hacendaria del Estado de México.</w:t>
      </w:r>
    </w:p>
    <w:p w:rsidR="00000000" w:rsidDel="00000000" w:rsidP="00000000" w:rsidRDefault="00000000" w:rsidRPr="00000000" w14:paraId="00000090">
      <w:pPr>
        <w:spacing w:after="120" w:before="120" w:lineRule="auto"/>
        <w:ind w:left="862" w:right="86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343.-</w:t>
      </w:r>
      <w:r w:rsidDel="00000000" w:rsidR="00000000" w:rsidRPr="00000000">
        <w:rPr>
          <w:rFonts w:ascii="Palatino Linotype" w:cs="Palatino Linotype" w:eastAsia="Palatino Linotype" w:hAnsi="Palatino Linotype"/>
          <w:i w:val="1"/>
          <w:sz w:val="22"/>
          <w:szCs w:val="22"/>
          <w:rtl w:val="0"/>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rsidR="00000000" w:rsidDel="00000000" w:rsidP="00000000" w:rsidRDefault="00000000" w:rsidRPr="00000000" w14:paraId="00000091">
      <w:pPr>
        <w:spacing w:after="120" w:before="120" w:lineRule="auto"/>
        <w:ind w:left="862" w:right="86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sistema de contabilidad sobre base acumulativa total, se sustentará en las normas emitidas por el Consejo Nacional de Armonización Contable.</w:t>
      </w:r>
    </w:p>
    <w:p w:rsidR="00000000" w:rsidDel="00000000" w:rsidP="00000000" w:rsidRDefault="00000000" w:rsidRPr="00000000" w14:paraId="00000092">
      <w:pPr>
        <w:spacing w:after="120" w:before="120" w:lineRule="auto"/>
        <w:ind w:left="862" w:right="86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344.- Los Entes Públicos, a través de cualquiera de sus unidades administrativas, de acuerdo con su naturaleza jurídica y según corresponda, </w:t>
      </w:r>
      <w:r w:rsidDel="00000000" w:rsidR="00000000" w:rsidRPr="00000000">
        <w:rPr>
          <w:rFonts w:ascii="Palatino Linotype" w:cs="Palatino Linotype" w:eastAsia="Palatino Linotype" w:hAnsi="Palatino Linotype"/>
          <w:b w:val="1"/>
          <w:i w:val="1"/>
          <w:sz w:val="22"/>
          <w:szCs w:val="22"/>
          <w:u w:val="single"/>
          <w:rtl w:val="0"/>
        </w:rPr>
        <w:t xml:space="preserve">registrarán contablemente el efecto patrimonial y presupuestal de las operaciones financieras que realicen, en el momento en que ocurran, con base en el sistema y políticas de registro establecidas, en el caso de los Municipios, se hará por la Tesorería</w:t>
      </w: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93">
      <w:pPr>
        <w:spacing w:after="120" w:before="120" w:lineRule="auto"/>
        <w:ind w:left="862" w:right="86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sidDel="00000000" w:rsidR="00000000" w:rsidRPr="00000000">
        <w:rPr>
          <w:rFonts w:ascii="Palatino Linotype" w:cs="Palatino Linotype" w:eastAsia="Palatino Linotype" w:hAnsi="Palatino Linotype"/>
          <w:i w:val="1"/>
          <w:sz w:val="22"/>
          <w:szCs w:val="22"/>
          <w:rtl w:val="0"/>
        </w:rPr>
        <w:t xml:space="preserve">según corresponda, así como de los órganos internos de control, </w:t>
      </w:r>
      <w:r w:rsidDel="00000000" w:rsidR="00000000" w:rsidRPr="00000000">
        <w:rPr>
          <w:rFonts w:ascii="Palatino Linotype" w:cs="Palatino Linotype" w:eastAsia="Palatino Linotype" w:hAnsi="Palatino Linotype"/>
          <w:b w:val="1"/>
          <w:i w:val="1"/>
          <w:sz w:val="22"/>
          <w:szCs w:val="22"/>
          <w:rtl w:val="0"/>
        </w:rPr>
        <w:t xml:space="preserve">por un término de cinco años,</w:t>
      </w:r>
      <w:r w:rsidDel="00000000" w:rsidR="00000000" w:rsidRPr="00000000">
        <w:rPr>
          <w:rFonts w:ascii="Palatino Linotype" w:cs="Palatino Linotype" w:eastAsia="Palatino Linotype" w:hAnsi="Palatino Linotype"/>
          <w:i w:val="1"/>
          <w:sz w:val="22"/>
          <w:szCs w:val="22"/>
          <w:rtl w:val="0"/>
        </w:rPr>
        <w:t xml:space="preserve"> contados a partir del ejercicio presupuestal siguiente al que corresponda,</w:t>
      </w:r>
      <w:r w:rsidDel="00000000" w:rsidR="00000000" w:rsidRPr="00000000">
        <w:rPr>
          <w:rFonts w:ascii="Palatino Linotype" w:cs="Palatino Linotype" w:eastAsia="Palatino Linotype" w:hAnsi="Palatino Linotype"/>
          <w:b w:val="1"/>
          <w:i w:val="1"/>
          <w:sz w:val="22"/>
          <w:szCs w:val="22"/>
          <w:rtl w:val="0"/>
        </w:rPr>
        <w:t xml:space="preserve"> en el caso de los Municipios, dicha obligación corresponderá a la Tesorería.</w:t>
      </w:r>
    </w:p>
    <w:p w:rsidR="00000000" w:rsidDel="00000000" w:rsidP="00000000" w:rsidRDefault="00000000" w:rsidRPr="00000000" w14:paraId="00000094">
      <w:pPr>
        <w:spacing w:after="120" w:before="120" w:lineRule="auto"/>
        <w:ind w:left="862" w:right="86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Tratándose de documentos de carácter histórico, se estará a lo dispuesto por la legislación de la materia.</w:t>
      </w:r>
    </w:p>
    <w:p w:rsidR="00000000" w:rsidDel="00000000" w:rsidP="00000000" w:rsidRDefault="00000000" w:rsidRPr="00000000" w14:paraId="00000095">
      <w:pPr>
        <w:spacing w:after="120" w:before="120" w:lineRule="auto"/>
        <w:ind w:left="862" w:right="86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6">
      <w:pPr>
        <w:spacing w:after="120" w:before="120" w:lineRule="auto"/>
        <w:ind w:left="862" w:right="86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345.-</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w:t>
      </w:r>
      <w:r w:rsidDel="00000000" w:rsidR="00000000" w:rsidRPr="00000000">
        <w:rPr>
          <w:rFonts w:ascii="Palatino Linotype" w:cs="Palatino Linotype" w:eastAsia="Palatino Linotype" w:hAnsi="Palatino Linotype"/>
          <w:b w:val="1"/>
          <w:i w:val="1"/>
          <w:sz w:val="22"/>
          <w:szCs w:val="22"/>
          <w:u w:val="single"/>
          <w:rtl w:val="0"/>
        </w:rPr>
        <w:t xml:space="preserve">Tratándose de los comprobantes fiscales digitales, estos deberán estar agregados en forma electrónica a cada póliza de registro contable</w:t>
      </w: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97">
      <w:pPr>
        <w:spacing w:after="120" w:before="120" w:lineRule="auto"/>
        <w:ind w:left="862" w:right="86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w:t>
      </w:r>
      <w:r w:rsidDel="00000000" w:rsidR="00000000" w:rsidRPr="00000000">
        <w:rPr>
          <w:rFonts w:ascii="Palatino Linotype" w:cs="Palatino Linotype" w:eastAsia="Palatino Linotype" w:hAnsi="Palatino Linotype"/>
          <w:b w:val="1"/>
          <w:i w:val="1"/>
          <w:sz w:val="22"/>
          <w:szCs w:val="22"/>
          <w:rtl w:val="0"/>
        </w:rPr>
        <w:t xml:space="preserve">deberán estar agregados en forma electrónica a cada póliza de registro contable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8">
      <w:pPr>
        <w:spacing w:after="120" w:before="120" w:lineRule="auto"/>
        <w:ind w:left="862" w:right="86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El plazo señalado en este artículo empezará a contar a partir de la publicación en el Periódico Oficial, del decreto correspondiente.</w:t>
      </w: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9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rsidR="00000000" w:rsidDel="00000000" w:rsidP="00000000" w:rsidRDefault="00000000" w:rsidRPr="00000000" w14:paraId="0000009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para el Proceso de Planeación, Programación, Presupuestación y Evaluación en la Administración Pública”</w:t>
      </w:r>
      <w:r w:rsidDel="00000000" w:rsidR="00000000" w:rsidRPr="00000000">
        <w:rPr>
          <w:rFonts w:ascii="Palatino Linotype" w:cs="Palatino Linotype" w:eastAsia="Palatino Linotype" w:hAnsi="Palatino Linotype"/>
          <w:vertAlign w:val="superscript"/>
        </w:rPr>
        <w:footnoteReference w:customMarkFollows="0" w:id="3"/>
      </w:r>
      <w:r w:rsidDel="00000000" w:rsidR="00000000" w:rsidRPr="00000000">
        <w:rPr>
          <w:rFonts w:ascii="Palatino Linotype" w:cs="Palatino Linotype" w:eastAsia="Palatino Linotype" w:hAnsi="Palatino Linotype"/>
          <w:rtl w:val="0"/>
        </w:rPr>
        <w:t xml:space="preserve">,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rsidR="00000000" w:rsidDel="00000000" w:rsidP="00000000" w:rsidRDefault="00000000" w:rsidRPr="00000000" w14:paraId="0000009B">
      <w:pPr>
        <w:spacing w:after="120" w:before="120" w:lineRule="auto"/>
        <w:ind w:left="851" w:right="900" w:hanging="9.000000000000057"/>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“REGISTRO CONTABLE</w:t>
      </w:r>
    </w:p>
    <w:p w:rsidR="00000000" w:rsidDel="00000000" w:rsidP="00000000" w:rsidRDefault="00000000" w:rsidRPr="00000000" w14:paraId="0000009C">
      <w:pPr>
        <w:spacing w:after="120" w:before="120" w:lineRule="auto"/>
        <w:ind w:left="851" w:right="900" w:hanging="9.000000000000057"/>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Asiento que se realiza en los libros de contabilidad de las actividades relacionadas con el ingreso y egresos de un ente económico.”</w:t>
      </w:r>
    </w:p>
    <w:p w:rsidR="00000000" w:rsidDel="00000000" w:rsidP="00000000" w:rsidRDefault="00000000" w:rsidRPr="00000000" w14:paraId="0000009D">
      <w:pPr>
        <w:spacing w:after="120" w:before="120" w:lineRule="auto"/>
        <w:ind w:left="851" w:right="900" w:hanging="9.000000000000057"/>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“REGISTRO PRESUPUESTARIO</w:t>
      </w:r>
    </w:p>
    <w:p w:rsidR="00000000" w:rsidDel="00000000" w:rsidP="00000000" w:rsidRDefault="00000000" w:rsidRPr="00000000" w14:paraId="0000009E">
      <w:pPr>
        <w:spacing w:after="120" w:before="120" w:lineRule="auto"/>
        <w:ind w:left="851" w:right="900" w:hanging="9.000000000000057"/>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Asiento contable de las erogaciones realizadas por las dependencias y entidades con relación a la asignación, modificación y ejercicio de los recursos presupuestarios que se les hayan autorizado.”</w:t>
      </w:r>
    </w:p>
    <w:p w:rsidR="00000000" w:rsidDel="00000000" w:rsidP="00000000" w:rsidRDefault="00000000" w:rsidRPr="00000000" w14:paraId="0000009F">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bien se desprende de las definiciones, los registros contables y presupuestarios son asientos o anotaciones contables que se realizan tanto de los ingresos como de los egresos, a decir se trata de un control financiero en el que se reconoce la obligación del Tesorero de llevar dicho registro.</w:t>
      </w:r>
    </w:p>
    <w:p w:rsidR="00000000" w:rsidDel="00000000" w:rsidP="00000000" w:rsidRDefault="00000000" w:rsidRPr="00000000" w14:paraId="000000A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se establece que el sistema de contabilidad sobre base acumulativa total se sustentará en los principios de contabilidad gubernamental.</w:t>
      </w:r>
    </w:p>
    <w:p w:rsidR="00000000" w:rsidDel="00000000" w:rsidP="00000000" w:rsidRDefault="00000000" w:rsidRPr="00000000" w14:paraId="000000A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rsidR="00000000" w:rsidDel="00000000" w:rsidP="00000000" w:rsidRDefault="00000000" w:rsidRPr="00000000" w14:paraId="000000A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Correlativo a lo anterior, es preciso referir una definición de </w:t>
      </w:r>
      <w:r w:rsidDel="00000000" w:rsidR="00000000" w:rsidRPr="00000000">
        <w:rPr>
          <w:rFonts w:ascii="Palatino Linotype" w:cs="Palatino Linotype" w:eastAsia="Palatino Linotype" w:hAnsi="Palatino Linotype"/>
          <w:i w:val="1"/>
          <w:rtl w:val="0"/>
        </w:rPr>
        <w:t xml:space="preserve">póliza contable</w:t>
      </w:r>
      <w:r w:rsidDel="00000000" w:rsidR="00000000" w:rsidRPr="00000000">
        <w:rPr>
          <w:rFonts w:ascii="Palatino Linotype" w:cs="Palatino Linotype" w:eastAsia="Palatino Linotype" w:hAnsi="Palatino Linotype"/>
          <w:rtl w:val="0"/>
        </w:rPr>
        <w:t xml:space="preserve">, la cual, primeramente, no está definida en el Código Financiero del Estado de México y Municipios; no obstante, el ya mencionado Glosario la define como:</w:t>
      </w:r>
    </w:p>
    <w:p w:rsidR="00000000" w:rsidDel="00000000" w:rsidP="00000000" w:rsidRDefault="00000000" w:rsidRPr="00000000" w14:paraId="000000A3">
      <w:pPr>
        <w:spacing w:after="120" w:before="120" w:lineRule="auto"/>
        <w:ind w:left="862"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PÓLIZA CONTABLE</w:t>
      </w:r>
    </w:p>
    <w:p w:rsidR="00000000" w:rsidDel="00000000" w:rsidP="00000000" w:rsidRDefault="00000000" w:rsidRPr="00000000" w14:paraId="000000A4">
      <w:pPr>
        <w:spacing w:after="120" w:before="120" w:lineRule="auto"/>
        <w:ind w:left="862"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Documento en el cual se asientan en forma individual todas y cada una de las operaciones desarrolladas por una institución, así como la información necesaria para la identificación de dichas operaciones.” </w:t>
      </w:r>
    </w:p>
    <w:p w:rsidR="00000000" w:rsidDel="00000000" w:rsidP="00000000" w:rsidRDefault="00000000" w:rsidRPr="00000000" w14:paraId="000000A5">
      <w:pPr>
        <w:spacing w:after="240" w:before="240" w:line="360"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rtl w:val="0"/>
        </w:rPr>
        <w:t xml:space="preserve">Así, se advierte que la </w:t>
      </w:r>
      <w:r w:rsidDel="00000000" w:rsidR="00000000" w:rsidRPr="00000000">
        <w:rPr>
          <w:rFonts w:ascii="Palatino Linotype" w:cs="Palatino Linotype" w:eastAsia="Palatino Linotype" w:hAnsi="Palatino Linotype"/>
          <w:i w:val="1"/>
          <w:rtl w:val="0"/>
        </w:rPr>
        <w:t xml:space="preserve">póliza contable</w:t>
      </w:r>
      <w:r w:rsidDel="00000000" w:rsidR="00000000" w:rsidRPr="00000000">
        <w:rPr>
          <w:rFonts w:ascii="Palatino Linotype" w:cs="Palatino Linotype" w:eastAsia="Palatino Linotype" w:hAnsi="Palatino Linotype"/>
          <w:rtl w:val="0"/>
        </w:rPr>
        <w:t xml:space="preserve"> constituye un registro contable y presupuestal con el que cuentan los Municipios para el registro de operaciones relacionadas con ingresos y egresos y </w:t>
      </w:r>
      <w:r w:rsidDel="00000000" w:rsidR="00000000" w:rsidRPr="00000000">
        <w:rPr>
          <w:rFonts w:ascii="Palatino Linotype" w:cs="Palatino Linotype" w:eastAsia="Palatino Linotype" w:hAnsi="Palatino Linotype"/>
          <w:b w:val="1"/>
          <w:u w:val="single"/>
          <w:rtl w:val="0"/>
        </w:rPr>
        <w:t xml:space="preserve">se anexan los documentos o comprobantes que justifiquen las anotaciones y cantidades en ellas registradas</w:t>
      </w:r>
      <w:r w:rsidDel="00000000" w:rsidR="00000000" w:rsidRPr="00000000">
        <w:rPr>
          <w:rFonts w:ascii="Palatino Linotype" w:cs="Palatino Linotype" w:eastAsia="Palatino Linotype" w:hAnsi="Palatino Linotype"/>
          <w:rtl w:val="0"/>
        </w:rPr>
        <w:t xml:space="preserve">, lo que permite la identificación plena de dichas operaciones.</w:t>
      </w:r>
      <w:r w:rsidDel="00000000" w:rsidR="00000000" w:rsidRPr="00000000">
        <w:rPr>
          <w:rtl w:val="0"/>
        </w:rPr>
      </w:r>
    </w:p>
    <w:p w:rsidR="00000000" w:rsidDel="00000000" w:rsidP="00000000" w:rsidRDefault="00000000" w:rsidRPr="00000000" w14:paraId="000000A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existen diversos tipos de pólizas contables de acuerdo a las operaciones realizadas, dentro de las cuales, encontramos las </w:t>
      </w:r>
      <w:r w:rsidDel="00000000" w:rsidR="00000000" w:rsidRPr="00000000">
        <w:rPr>
          <w:rFonts w:ascii="Palatino Linotype" w:cs="Palatino Linotype" w:eastAsia="Palatino Linotype" w:hAnsi="Palatino Linotype"/>
          <w:i w:val="1"/>
          <w:rtl w:val="0"/>
        </w:rPr>
        <w:t xml:space="preserve">pólizas de egresos e ingresos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las primeras son aquellas en las cuales </w:t>
      </w:r>
      <w:r w:rsidDel="00000000" w:rsidR="00000000" w:rsidRPr="00000000">
        <w:rPr>
          <w:rFonts w:ascii="Palatino Linotype" w:cs="Palatino Linotype" w:eastAsia="Palatino Linotype" w:hAnsi="Palatino Linotype"/>
          <w:b w:val="1"/>
          <w:u w:val="single"/>
          <w:rtl w:val="0"/>
        </w:rPr>
        <w:t xml:space="preserve">se anotan diariamente las operaciones que representan gastos, es decir, salidas de dinero</w:t>
      </w:r>
      <w:r w:rsidDel="00000000" w:rsidR="00000000" w:rsidRPr="00000000">
        <w:rPr>
          <w:rFonts w:ascii="Palatino Linotype" w:cs="Palatino Linotype" w:eastAsia="Palatino Linotype" w:hAnsi="Palatino Linotype"/>
          <w:rtl w:val="0"/>
        </w:rPr>
        <w:t xml:space="preserve"> para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las que además, </w:t>
      </w:r>
      <w:r w:rsidDel="00000000" w:rsidR="00000000" w:rsidRPr="00000000">
        <w:rPr>
          <w:rFonts w:ascii="Palatino Linotype" w:cs="Palatino Linotype" w:eastAsia="Palatino Linotype" w:hAnsi="Palatino Linotype"/>
          <w:b w:val="1"/>
          <w:u w:val="single"/>
          <w:rtl w:val="0"/>
        </w:rPr>
        <w:t xml:space="preserve">deben encontrarse acompañadas de las documentales que sirven de soporte de dicho movimiento</w:t>
      </w:r>
      <w:r w:rsidDel="00000000" w:rsidR="00000000" w:rsidRPr="00000000">
        <w:rPr>
          <w:rFonts w:ascii="Palatino Linotype" w:cs="Palatino Linotype" w:eastAsia="Palatino Linotype" w:hAnsi="Palatino Linotype"/>
          <w:rtl w:val="0"/>
        </w:rPr>
        <w:t xml:space="preserve">, en atención a las segundas, registran todas la entradas de dinero independientemente de la modalidad, ya sea en efectivo, transferencia, cheque o pagaré, mediante la expedición de facturas.</w:t>
      </w:r>
    </w:p>
    <w:p w:rsidR="00000000" w:rsidDel="00000000" w:rsidP="00000000" w:rsidRDefault="00000000" w:rsidRPr="00000000" w14:paraId="000000A7">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Atento a lo anterior, como ya ha sido mencionado en la normatividad antes citada, todo registro contable y presupuestal deberá estar soportado con los documentos comprobatorios originales, como lo son las facturas o comprobantes fiscales digitales por internet, mismos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 tal y como se establece en el Código Financiero del Estado de México. </w:t>
      </w:r>
    </w:p>
    <w:p w:rsidR="00000000" w:rsidDel="00000000" w:rsidP="00000000" w:rsidRDefault="00000000" w:rsidRPr="00000000" w14:paraId="000000A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se puede advertir que, de la información requerida, los documentos que pueden satisfacer el requerimiento del particular serían precisamente los documentos o comprobantes que justifiquen las anotaciones y cantidades en ellas, que acompañan los registros contables del ente fiscalizable.</w:t>
      </w:r>
    </w:p>
    <w:p w:rsidR="00000000" w:rsidDel="00000000" w:rsidP="00000000" w:rsidRDefault="00000000" w:rsidRPr="00000000" w14:paraId="000000A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cabe referir que la Ley de Fiscalización Superior del Estado de México, toda vez que señala que los municipios que conforman el Estado de México, entre ellos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es considerado como ente fiscalizable, como así lo señala el artículo 4 fracción II de la Ley de Fiscalización Superior del Estado de México, el cual señala:</w:t>
      </w:r>
    </w:p>
    <w:p w:rsidR="00000000" w:rsidDel="00000000" w:rsidP="00000000" w:rsidRDefault="00000000" w:rsidRPr="00000000" w14:paraId="000000A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Son sujetos de fiscalización:</w:t>
      </w:r>
    </w:p>
    <w:p w:rsidR="00000000" w:rsidDel="00000000" w:rsidP="00000000" w:rsidRDefault="00000000" w:rsidRPr="00000000" w14:paraId="000000A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Los municipios del Estado de México</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D">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el ordenamiento legal referido señala en su artículo 8, fracción XI, lo siguiente: </w:t>
      </w:r>
    </w:p>
    <w:p w:rsidR="00000000" w:rsidDel="00000000" w:rsidP="00000000" w:rsidRDefault="00000000" w:rsidRPr="00000000" w14:paraId="000000AE">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w:t>
      </w:r>
      <w:r w:rsidDel="00000000" w:rsidR="00000000" w:rsidRPr="00000000">
        <w:rPr>
          <w:rFonts w:ascii="Palatino Linotype" w:cs="Palatino Linotype" w:eastAsia="Palatino Linotype" w:hAnsi="Palatino Linotype"/>
          <w:i w:val="1"/>
          <w:sz w:val="22"/>
          <w:szCs w:val="22"/>
          <w:rtl w:val="0"/>
        </w:rPr>
        <w:t xml:space="preserve">. El Órgano Superior tendrá las siguientes atribuciones:</w:t>
      </w:r>
    </w:p>
    <w:p w:rsidR="00000000" w:rsidDel="00000000" w:rsidP="00000000" w:rsidRDefault="00000000" w:rsidRPr="00000000" w14:paraId="000000AF">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0">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Establecer los lineamientos, criterios, procedimientos, métodos y sistemas para las acciones de control y evaluación, necesarios para la fiscalización de las cuentas públicas y los informes trimestrales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esta tesitura, los “Lineamientos para la integración y entrega del Informe Trimestral Municipal 2022”, emitidos por el Órgano Superior de Fiscalización del Estado de México, OSFEM, mismos que establecen los criterios, formatos y documentación necesaria para presentar los informes trimestrales por parte de los entes fiscalizables, integrando la información en cuatro Módulos que contienen la información que se detalla a continuación:</w:t>
      </w:r>
    </w:p>
    <w:p w:rsidR="00000000" w:rsidDel="00000000" w:rsidP="00000000" w:rsidRDefault="00000000" w:rsidRPr="00000000" w14:paraId="000000B2">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3240000" cy="1722565"/>
            <wp:effectExtent b="0" l="0" r="0" t="0"/>
            <wp:docPr id="134" name="image4.png"/>
            <a:graphic>
              <a:graphicData uri="http://schemas.openxmlformats.org/drawingml/2006/picture">
                <pic:pic>
                  <pic:nvPicPr>
                    <pic:cNvPr id="0" name="image4.png"/>
                    <pic:cNvPicPr preferRelativeResize="0"/>
                  </pic:nvPicPr>
                  <pic:blipFill>
                    <a:blip r:embed="rId14"/>
                    <a:srcRect b="4799" l="0" r="0" t="5011"/>
                    <a:stretch>
                      <a:fillRect/>
                    </a:stretch>
                  </pic:blipFill>
                  <pic:spPr>
                    <a:xfrm>
                      <a:off x="0" y="0"/>
                      <a:ext cx="3240000" cy="1722565"/>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su vez los Módulos se dividen en submódulos, de los que destaca, en relación con el análisis que nos ocupa, el submódulo relativo a “Pólizas”, del Módulo 1:</w:t>
      </w:r>
    </w:p>
    <w:p w:rsidR="00000000" w:rsidDel="00000000" w:rsidP="00000000" w:rsidRDefault="00000000" w:rsidRPr="00000000" w14:paraId="000000B4">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148000" cy="3031829"/>
            <wp:effectExtent b="0" l="0" r="0" t="0"/>
            <wp:docPr id="133"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5148000" cy="303182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wp:posOffset>
                </wp:positionH>
                <wp:positionV relativeFrom="paragraph">
                  <wp:posOffset>2209800</wp:posOffset>
                </wp:positionV>
                <wp:extent cx="4932680" cy="828040"/>
                <wp:effectExtent b="0" l="0" r="0" t="0"/>
                <wp:wrapNone/>
                <wp:docPr id="125" name=""/>
                <a:graphic>
                  <a:graphicData uri="http://schemas.microsoft.com/office/word/2010/wordprocessingShape">
                    <wps:wsp>
                      <wps:cNvSpPr/>
                      <wps:cNvPr id="2" name="Shape 2"/>
                      <wps:spPr>
                        <a:xfrm>
                          <a:off x="2908235" y="3394555"/>
                          <a:ext cx="4875530" cy="770890"/>
                        </a:xfrm>
                        <a:prstGeom prst="rect">
                          <a:avLst/>
                        </a:prstGeom>
                        <a:noFill/>
                        <a:ln cap="flat" cmpd="sng" w="28575">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wp:posOffset>
                </wp:positionH>
                <wp:positionV relativeFrom="paragraph">
                  <wp:posOffset>2209800</wp:posOffset>
                </wp:positionV>
                <wp:extent cx="4932680" cy="828040"/>
                <wp:effectExtent b="0" l="0" r="0" t="0"/>
                <wp:wrapNone/>
                <wp:docPr id="125" name="image8.png"/>
                <a:graphic>
                  <a:graphicData uri="http://schemas.openxmlformats.org/drawingml/2006/picture">
                    <pic:pic>
                      <pic:nvPicPr>
                        <pic:cNvPr id="0" name="image8.png"/>
                        <pic:cNvPicPr preferRelativeResize="0"/>
                      </pic:nvPicPr>
                      <pic:blipFill>
                        <a:blip r:embed="rId16"/>
                        <a:srcRect/>
                        <a:stretch>
                          <a:fillRect/>
                        </a:stretch>
                      </pic:blipFill>
                      <pic:spPr>
                        <a:xfrm>
                          <a:off x="0" y="0"/>
                          <a:ext cx="4932680" cy="828040"/>
                        </a:xfrm>
                        <a:prstGeom prst="rect"/>
                        <a:ln/>
                      </pic:spPr>
                    </pic:pic>
                  </a:graphicData>
                </a:graphic>
              </wp:anchor>
            </w:drawing>
          </mc:Fallback>
        </mc:AlternateContent>
      </w:r>
    </w:p>
    <w:p w:rsidR="00000000" w:rsidDel="00000000" w:rsidP="00000000" w:rsidRDefault="00000000" w:rsidRPr="00000000" w14:paraId="000000B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advierte en la imagen anterior, el submódulo “Pólizas”, se integra por las pólizas de ingresos, las pólizas de diario, y las pólizas de egresos y las pólizas de cheque, </w:t>
      </w:r>
      <w:r w:rsidDel="00000000" w:rsidR="00000000" w:rsidRPr="00000000">
        <w:rPr>
          <w:rFonts w:ascii="Palatino Linotype" w:cs="Palatino Linotype" w:eastAsia="Palatino Linotype" w:hAnsi="Palatino Linotype"/>
          <w:b w:val="1"/>
          <w:rtl w:val="0"/>
        </w:rPr>
        <w:t xml:space="preserve">cada tipo con los respectivos documentos comprobatorios</w:t>
      </w:r>
      <w:r w:rsidDel="00000000" w:rsidR="00000000" w:rsidRPr="00000000">
        <w:rPr>
          <w:rFonts w:ascii="Palatino Linotype" w:cs="Palatino Linotype" w:eastAsia="Palatino Linotype" w:hAnsi="Palatino Linotype"/>
          <w:rtl w:val="0"/>
        </w:rPr>
        <w:t xml:space="preserve">, información que se debe grabar en 3 discos compactos, cada uno con un mes del trimestre.</w:t>
      </w:r>
    </w:p>
    <w:p w:rsidR="00000000" w:rsidDel="00000000" w:rsidP="00000000" w:rsidRDefault="00000000" w:rsidRPr="00000000" w14:paraId="000000B6">
      <w:pPr>
        <w:spacing w:after="240" w:before="240" w:line="360" w:lineRule="auto"/>
        <w:jc w:val="both"/>
        <w:rPr>
          <w:rFonts w:ascii="Palatino Linotype" w:cs="Palatino Linotype" w:eastAsia="Palatino Linotype" w:hAnsi="Palatino Linotype"/>
        </w:rPr>
      </w:pPr>
      <w:bookmarkStart w:colFirst="0" w:colLast="0" w:name="_heading=h.26in1rg" w:id="5"/>
      <w:bookmarkEnd w:id="5"/>
      <w:r w:rsidDel="00000000" w:rsidR="00000000" w:rsidRPr="00000000">
        <w:rPr>
          <w:rFonts w:ascii="Palatino Linotype" w:cs="Palatino Linotype" w:eastAsia="Palatino Linotype" w:hAnsi="Palatino Linotype"/>
          <w:rtl w:val="0"/>
        </w:rPr>
        <w:t xml:space="preserve">Derivado de la interpretación del requerimiento de información, se considera que la persona solicitante se encuentra interesada en los documentos comprobatorios que amparan las pólizas de egresos o las pólizas de cheque, teniendo por finalidad las primeras la de registrar cualquier operación contable en la que se produzca una salida de efectivo o erogaciones, y las segundas en caso de tratarse de una erogación que se realiza a través de un cheque, documentos que por su naturaleza, forman parte del informe trimestral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debe remitir al OSFEM.</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en observancia del principio de máxima publicidad, se estima que para tener por colmado el requerimiento de información, es dable ordenar, previa búsqueda exhaustiva y razonable, la entrega de las facturas por concepto de combustible, del periodo comprendido del uno de septiembre al veinticuatro de octubre de dos mil veintidós. </w:t>
      </w:r>
    </w:p>
    <w:p w:rsidR="00000000" w:rsidDel="00000000" w:rsidP="00000000" w:rsidRDefault="00000000" w:rsidRPr="00000000" w14:paraId="000000B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debe resaltarse que dentro de la documentación que pudiera otorgarse para efecto de dar cumplimiento a la presente resolución, estos pudieran contener información de carácter confidencial susceptible de ser resguardada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y para lo cual se deberá emitir una versión pública con estricto apego al procedimiento que se detallará en el considerando siguiente.</w:t>
      </w:r>
    </w:p>
    <w:p w:rsidR="00000000" w:rsidDel="00000000" w:rsidP="00000000" w:rsidRDefault="00000000" w:rsidRPr="00000000" w14:paraId="000000B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w:t>
      </w: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rtl w:val="0"/>
        </w:rPr>
        <w:t xml:space="preserve">Finalmente, debe señalarse que de ser el caso en que los documentos que vayan a ser entregados por el</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sujeto obligado, para dar cumplimiento a la presente resolución, contengan datos que deban ser clasificados,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deberá hacer la elaboración de la versión pública de tales documentos a fin de satisfacer el derecho de acceso a la información pública del recurrente sin menoscabo al derecho a la protección de los datos personales de terceros.</w:t>
      </w:r>
    </w:p>
    <w:p w:rsidR="00000000" w:rsidDel="00000000" w:rsidP="00000000" w:rsidRDefault="00000000" w:rsidRPr="00000000" w14:paraId="000000B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rsidR="00000000" w:rsidDel="00000000" w:rsidP="00000000" w:rsidRDefault="00000000" w:rsidRPr="00000000" w14:paraId="000000B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0BC">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D">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La información concerniente a una persona, identificada o identificable según lo dispuesto por la Ley de Protección de Datos Personales del Estado de México; </w:t>
      </w:r>
    </w:p>
    <w:p w:rsidR="00000000" w:rsidDel="00000000" w:rsidP="00000000" w:rsidRDefault="00000000" w:rsidRPr="00000000" w14:paraId="000000BE">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0BF">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 Información confidencial: </w:t>
      </w:r>
      <w:r w:rsidDel="00000000" w:rsidR="00000000" w:rsidRPr="00000000">
        <w:rPr>
          <w:rFonts w:ascii="Palatino Linotype" w:cs="Palatino Linotype" w:eastAsia="Palatino Linotype" w:hAnsi="Palatino Linotype"/>
          <w:i w:val="1"/>
          <w:sz w:val="22"/>
          <w:szCs w:val="22"/>
          <w:rtl w:val="0"/>
        </w:rPr>
        <w:t xml:space="preserve">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0C0">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0C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ésta sea clasificada como reservada o confidencial.</w:t>
      </w:r>
    </w:p>
    <w:p w:rsidR="00000000" w:rsidDel="00000000" w:rsidP="00000000" w:rsidRDefault="00000000" w:rsidRPr="00000000" w14:paraId="000000C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p>
    <w:p w:rsidR="00000000" w:rsidDel="00000000" w:rsidP="00000000" w:rsidRDefault="00000000" w:rsidRPr="00000000" w14:paraId="000000C4">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p>
    <w:p w:rsidR="00000000" w:rsidDel="00000000" w:rsidP="00000000" w:rsidRDefault="00000000" w:rsidRPr="00000000" w14:paraId="000000C5">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0C6">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esta Ley.</w:t>
      </w:r>
    </w:p>
    <w:p w:rsidR="00000000" w:rsidDel="00000000" w:rsidP="00000000" w:rsidRDefault="00000000" w:rsidRPr="00000000" w14:paraId="000000C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0C9">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0CA">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0CB">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que presenten los particulares a los sujetos obligados, de conformidad con lo dispuesto por las leyes o los tratados internacionales.</w:t>
      </w:r>
    </w:p>
    <w:p w:rsidR="00000000" w:rsidDel="00000000" w:rsidP="00000000" w:rsidRDefault="00000000" w:rsidRPr="00000000" w14:paraId="000000C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0C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0C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0C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Entorno a lo que aquí nos interesa, los Lineamientos Quincuagésimo sexto, Quincuagésimo séptimo y Quincuagésimo octavo, establecen lo siguiente:</w:t>
      </w:r>
    </w:p>
    <w:p w:rsidR="00000000" w:rsidDel="00000000" w:rsidP="00000000" w:rsidRDefault="00000000" w:rsidRPr="00000000" w14:paraId="000000D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sexto</w:t>
      </w:r>
      <w:r w:rsidDel="00000000" w:rsidR="00000000" w:rsidRPr="00000000">
        <w:rPr>
          <w:rFonts w:ascii="Palatino Linotype" w:cs="Palatino Linotype" w:eastAsia="Palatino Linotype" w:hAnsi="Palatino Linotype"/>
          <w:i w:val="1"/>
          <w:sz w:val="22"/>
          <w:szCs w:val="22"/>
          <w:rtl w:val="0"/>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000000" w:rsidDel="00000000" w:rsidP="00000000" w:rsidRDefault="00000000" w:rsidRPr="00000000" w14:paraId="000000D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séptimo</w:t>
      </w:r>
      <w:r w:rsidDel="00000000" w:rsidR="00000000" w:rsidRPr="00000000">
        <w:rPr>
          <w:rFonts w:ascii="Palatino Linotype" w:cs="Palatino Linotype" w:eastAsia="Palatino Linotype" w:hAnsi="Palatino Linotype"/>
          <w:i w:val="1"/>
          <w:sz w:val="22"/>
          <w:szCs w:val="22"/>
          <w:rtl w:val="0"/>
        </w:rPr>
        <w:t xml:space="preserve">. Se considera, en principio, como información pública y no podrá omitirse de las versiones públicas la siguiente: </w:t>
      </w:r>
    </w:p>
    <w:p w:rsidR="00000000" w:rsidDel="00000000" w:rsidP="00000000" w:rsidRDefault="00000000" w:rsidRPr="00000000" w14:paraId="000000D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relativa a las Obligaciones de Transparencia que contempla el Título V de la Ley General y las demás disposiciones legales aplicables; </w:t>
      </w:r>
    </w:p>
    <w:p w:rsidR="00000000" w:rsidDel="00000000" w:rsidP="00000000" w:rsidRDefault="00000000" w:rsidRPr="00000000" w14:paraId="000000D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nombre de los servidores públicos en los documentos, y sus firmas autógrafas, cuando sean utilizados en el ejercicio de las facultades conferidas para el desempeño del servicio público, y </w:t>
      </w:r>
    </w:p>
    <w:p w:rsidR="00000000" w:rsidDel="00000000" w:rsidP="00000000" w:rsidRDefault="00000000" w:rsidRPr="00000000" w14:paraId="000000D4">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000000" w:rsidDel="00000000" w:rsidP="00000000" w:rsidRDefault="00000000" w:rsidRPr="00000000" w14:paraId="000000D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anterior, siempre y cuando no se acredite alguna causal de clasificación, prevista en las leyes o en los tratados internaciones suscritos por el Estado mexicano. </w:t>
      </w:r>
    </w:p>
    <w:p w:rsidR="00000000" w:rsidDel="00000000" w:rsidP="00000000" w:rsidRDefault="00000000" w:rsidRPr="00000000" w14:paraId="000000D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octavo</w:t>
      </w:r>
      <w:r w:rsidDel="00000000" w:rsidR="00000000" w:rsidRPr="00000000">
        <w:rPr>
          <w:rFonts w:ascii="Palatino Linotype" w:cs="Palatino Linotype" w:eastAsia="Palatino Linotype" w:hAnsi="Palatino Linotype"/>
          <w:i w:val="1"/>
          <w:sz w:val="22"/>
          <w:szCs w:val="22"/>
          <w:rtl w:val="0"/>
        </w:rPr>
        <w:t xml:space="preserve">. Los sujetos obligados garantizarán que los sistemas o medios empleados para eliminar la información en las versiones públicas no permitan la recuperación o visualización de la misma.”</w:t>
      </w:r>
    </w:p>
    <w:p w:rsidR="00000000" w:rsidDel="00000000" w:rsidP="00000000" w:rsidRDefault="00000000" w:rsidRPr="00000000" w14:paraId="000000D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00000" w:rsidDel="00000000" w:rsidP="00000000" w:rsidRDefault="00000000" w:rsidRPr="00000000" w14:paraId="000000D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relación directa con ello, los Lineamientos en estudio establecen los formatos para la clasificación parcial y total de los documentos, que atienden a lo siguiente:</w:t>
      </w:r>
    </w:p>
    <w:tbl>
      <w:tblPr>
        <w:tblStyle w:val="Table2"/>
        <w:tblW w:w="8828.0" w:type="dxa"/>
        <w:jc w:val="left"/>
        <w:tblInd w:w="-113.0" w:type="dxa"/>
        <w:tblLayout w:type="fixed"/>
        <w:tblLook w:val="04A0"/>
      </w:tblPr>
      <w:tblGrid>
        <w:gridCol w:w="993"/>
        <w:gridCol w:w="3421"/>
        <w:gridCol w:w="968"/>
        <w:gridCol w:w="3446"/>
        <w:tblGridChange w:id="0">
          <w:tblGrid>
            <w:gridCol w:w="993"/>
            <w:gridCol w:w="3421"/>
            <w:gridCol w:w="968"/>
            <w:gridCol w:w="3446"/>
          </w:tblGrid>
        </w:tblGridChange>
      </w:tblGrid>
      <w:tr>
        <w:trPr>
          <w:cantSplit w:val="0"/>
          <w:tblHeader w:val="0"/>
        </w:trPr>
        <w:tc>
          <w:tcPr>
            <w:gridSpan w:val="2"/>
          </w:tcPr>
          <w:p w:rsidR="00000000" w:rsidDel="00000000" w:rsidP="00000000" w:rsidRDefault="00000000" w:rsidRPr="00000000" w14:paraId="000000D9">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Parcial</w:t>
            </w:r>
          </w:p>
        </w:tc>
        <w:tc>
          <w:tcPr>
            <w:gridSpan w:val="2"/>
          </w:tcPr>
          <w:p w:rsidR="00000000" w:rsidDel="00000000" w:rsidP="00000000" w:rsidRDefault="00000000" w:rsidRPr="00000000" w14:paraId="000000DB">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Total</w:t>
            </w:r>
          </w:p>
        </w:tc>
      </w:tr>
      <w:tr>
        <w:trPr>
          <w:cantSplit w:val="0"/>
          <w:tblHeader w:val="0"/>
        </w:trPr>
        <w:tc>
          <w:tcPr/>
          <w:p w:rsidR="00000000" w:rsidDel="00000000" w:rsidP="00000000" w:rsidRDefault="00000000" w:rsidRPr="00000000" w14:paraId="000000DD">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Concepto</w:t>
            </w:r>
          </w:p>
        </w:tc>
        <w:tc>
          <w:tcPr/>
          <w:p w:rsidR="00000000" w:rsidDel="00000000" w:rsidP="00000000" w:rsidRDefault="00000000" w:rsidRPr="00000000" w14:paraId="000000DE">
            <w:pPr>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Dónde</w:t>
            </w:r>
          </w:p>
        </w:tc>
        <w:tc>
          <w:tcPr/>
          <w:p w:rsidR="00000000" w:rsidDel="00000000" w:rsidP="00000000" w:rsidRDefault="00000000" w:rsidRPr="00000000" w14:paraId="000000DF">
            <w:pPr>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Concepto</w:t>
            </w:r>
          </w:p>
        </w:tc>
        <w:tc>
          <w:tcPr/>
          <w:p w:rsidR="00000000" w:rsidDel="00000000" w:rsidP="00000000" w:rsidRDefault="00000000" w:rsidRPr="00000000" w14:paraId="000000E0">
            <w:pPr>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Dónde</w:t>
            </w:r>
          </w:p>
        </w:tc>
      </w:tr>
      <w:tr>
        <w:trPr>
          <w:cantSplit w:val="0"/>
          <w:tblHeader w:val="0"/>
        </w:trPr>
        <w:tc>
          <w:tcPr>
            <w:gridSpan w:val="4"/>
          </w:tcPr>
          <w:p w:rsidR="00000000" w:rsidDel="00000000" w:rsidP="00000000" w:rsidRDefault="00000000" w:rsidRPr="00000000" w14:paraId="000000E1">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Sello oficial o logotipo del sujeto obligado</w:t>
            </w:r>
          </w:p>
        </w:tc>
      </w:tr>
      <w:tr>
        <w:trPr>
          <w:cantSplit w:val="0"/>
          <w:tblHeader w:val="0"/>
        </w:trPr>
        <w:tc>
          <w:tcPr/>
          <w:p w:rsidR="00000000" w:rsidDel="00000000" w:rsidP="00000000" w:rsidRDefault="00000000" w:rsidRPr="00000000" w14:paraId="000000E5">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Fecha de clasificación</w:t>
            </w:r>
          </w:p>
        </w:tc>
        <w:tc>
          <w:tcPr/>
          <w:p w:rsidR="00000000" w:rsidDel="00000000" w:rsidP="00000000" w:rsidRDefault="00000000" w:rsidRPr="00000000" w14:paraId="000000E6">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la que el Comité de Transparencia confirmó la clasificación del documento, en su caso.</w:t>
            </w:r>
          </w:p>
        </w:tc>
        <w:tc>
          <w:tcPr/>
          <w:p w:rsidR="00000000" w:rsidDel="00000000" w:rsidP="00000000" w:rsidRDefault="00000000" w:rsidRPr="00000000" w14:paraId="000000E7">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Fecha de clasificación</w:t>
            </w:r>
          </w:p>
        </w:tc>
        <w:tc>
          <w:tcPr/>
          <w:p w:rsidR="00000000" w:rsidDel="00000000" w:rsidP="00000000" w:rsidRDefault="00000000" w:rsidRPr="00000000" w14:paraId="000000E8">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la que el Comité de Transparencia confirmó la clasificación del documento, en su caso.</w:t>
            </w:r>
          </w:p>
        </w:tc>
      </w:tr>
      <w:tr>
        <w:trPr>
          <w:cantSplit w:val="0"/>
          <w:tblHeader w:val="0"/>
        </w:trPr>
        <w:tc>
          <w:tcPr/>
          <w:p w:rsidR="00000000" w:rsidDel="00000000" w:rsidP="00000000" w:rsidRDefault="00000000" w:rsidRPr="00000000" w14:paraId="000000E9">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Área</w:t>
            </w:r>
          </w:p>
        </w:tc>
        <w:tc>
          <w:tcPr/>
          <w:p w:rsidR="00000000" w:rsidDel="00000000" w:rsidP="00000000" w:rsidRDefault="00000000" w:rsidRPr="00000000" w14:paraId="000000EA">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área del cual es titular quien clasifica.</w:t>
            </w:r>
          </w:p>
        </w:tc>
        <w:tc>
          <w:tcPr/>
          <w:p w:rsidR="00000000" w:rsidDel="00000000" w:rsidP="00000000" w:rsidRDefault="00000000" w:rsidRPr="00000000" w14:paraId="000000EB">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Área</w:t>
            </w:r>
          </w:p>
        </w:tc>
        <w:tc>
          <w:tcPr/>
          <w:p w:rsidR="00000000" w:rsidDel="00000000" w:rsidP="00000000" w:rsidRDefault="00000000" w:rsidRPr="00000000" w14:paraId="000000EC">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área de la cual es el titular quien clasifica.</w:t>
            </w:r>
          </w:p>
        </w:tc>
      </w:tr>
      <w:tr>
        <w:trPr>
          <w:cantSplit w:val="0"/>
          <w:tblHeader w:val="0"/>
        </w:trPr>
        <w:tc>
          <w:tcPr/>
          <w:p w:rsidR="00000000" w:rsidDel="00000000" w:rsidP="00000000" w:rsidRDefault="00000000" w:rsidRPr="00000000" w14:paraId="000000ED">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Información reservada</w:t>
            </w:r>
          </w:p>
        </w:tc>
        <w:tc>
          <w:tcPr/>
          <w:p w:rsidR="00000000" w:rsidDel="00000000" w:rsidP="00000000" w:rsidRDefault="00000000" w:rsidRPr="00000000" w14:paraId="000000EE">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p w:rsidR="00000000" w:rsidDel="00000000" w:rsidP="00000000" w:rsidRDefault="00000000" w:rsidRPr="00000000" w14:paraId="000000EF">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Reservado</w:t>
            </w:r>
          </w:p>
        </w:tc>
        <w:tc>
          <w:tcPr/>
          <w:p w:rsidR="00000000" w:rsidDel="00000000" w:rsidP="00000000" w:rsidRDefault="00000000" w:rsidRPr="00000000" w14:paraId="000000F0">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Leyenda de información RESERVADA.</w:t>
            </w:r>
          </w:p>
        </w:tc>
      </w:tr>
      <w:tr>
        <w:trPr>
          <w:cantSplit w:val="0"/>
          <w:tblHeader w:val="0"/>
        </w:trPr>
        <w:tc>
          <w:tcPr/>
          <w:p w:rsidR="00000000" w:rsidDel="00000000" w:rsidP="00000000" w:rsidRDefault="00000000" w:rsidRPr="00000000" w14:paraId="000000F1">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Fundamento legal</w:t>
            </w:r>
          </w:p>
        </w:tc>
        <w:tc>
          <w:tcPr/>
          <w:p w:rsidR="00000000" w:rsidDel="00000000" w:rsidP="00000000" w:rsidRDefault="00000000" w:rsidRPr="00000000" w14:paraId="000000F2">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ordenamiento, el o los artículos, fracción(es), párrafo(s) con base en los cuales se sustente la reserva.</w:t>
            </w:r>
          </w:p>
        </w:tc>
        <w:tc>
          <w:tcPr/>
          <w:p w:rsidR="00000000" w:rsidDel="00000000" w:rsidP="00000000" w:rsidRDefault="00000000" w:rsidRPr="00000000" w14:paraId="000000F3">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Periodo de reserva</w:t>
            </w:r>
          </w:p>
        </w:tc>
        <w:tc>
          <w:tcPr/>
          <w:p w:rsidR="00000000" w:rsidDel="00000000" w:rsidP="00000000" w:rsidRDefault="00000000" w:rsidRPr="00000000" w14:paraId="000000F4">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el número de años o meses por los que se mantendrá el documento o las partes del mismo como reservado. Si el expediente no es reservado, sino confidencial, deberá tacharse este apartado.</w:t>
            </w:r>
          </w:p>
        </w:tc>
      </w:tr>
      <w:tr>
        <w:trPr>
          <w:cantSplit w:val="0"/>
          <w:tblHeader w:val="0"/>
        </w:trPr>
        <w:tc>
          <w:tcPr/>
          <w:p w:rsidR="00000000" w:rsidDel="00000000" w:rsidP="00000000" w:rsidRDefault="00000000" w:rsidRPr="00000000" w14:paraId="000000F5">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Ampliación del periodo de reserva</w:t>
            </w:r>
          </w:p>
        </w:tc>
        <w:tc>
          <w:tcPr/>
          <w:p w:rsidR="00000000" w:rsidDel="00000000" w:rsidP="00000000" w:rsidRDefault="00000000" w:rsidRPr="00000000" w14:paraId="000000F6">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En caso de haber solicitado la ampliación del periodo de reserva originalmente establecido, se deberá anotar el número de años o meses por los que se amplía la reserva.</w:t>
            </w:r>
          </w:p>
        </w:tc>
        <w:tc>
          <w:tcPr/>
          <w:p w:rsidR="00000000" w:rsidDel="00000000" w:rsidP="00000000" w:rsidRDefault="00000000" w:rsidRPr="00000000" w14:paraId="000000F7">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Fundamento legal</w:t>
            </w:r>
          </w:p>
        </w:tc>
        <w:tc>
          <w:tcPr/>
          <w:p w:rsidR="00000000" w:rsidDel="00000000" w:rsidP="00000000" w:rsidRDefault="00000000" w:rsidRPr="00000000" w14:paraId="000000F8">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 de los ordenamientos jurídicos, el o los artículos, fracción(es), párrafo(s) con base en los cuales se sustenta la reserva.</w:t>
            </w:r>
          </w:p>
        </w:tc>
      </w:tr>
      <w:tr>
        <w:trPr>
          <w:cantSplit w:val="0"/>
          <w:tblHeader w:val="0"/>
        </w:trPr>
        <w:tc>
          <w:tcPr/>
          <w:p w:rsidR="00000000" w:rsidDel="00000000" w:rsidP="00000000" w:rsidRDefault="00000000" w:rsidRPr="00000000" w14:paraId="000000F9">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Confidencial</w:t>
            </w:r>
          </w:p>
        </w:tc>
        <w:tc>
          <w:tcPr/>
          <w:p w:rsidR="00000000" w:rsidDel="00000000" w:rsidP="00000000" w:rsidRDefault="00000000" w:rsidRPr="00000000" w14:paraId="000000FA">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p w:rsidR="00000000" w:rsidDel="00000000" w:rsidP="00000000" w:rsidRDefault="00000000" w:rsidRPr="00000000" w14:paraId="000000FB">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Ampliación del periodo de reserva</w:t>
            </w:r>
          </w:p>
        </w:tc>
        <w:tc>
          <w:tcPr/>
          <w:p w:rsidR="00000000" w:rsidDel="00000000" w:rsidP="00000000" w:rsidRDefault="00000000" w:rsidRPr="00000000" w14:paraId="000000FC">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En caso de haber solicitado la ampliación del periodo de reserva originalmente establecido, se deberá anotar el número de años o meses por los que se amplía la reserva.</w:t>
            </w:r>
          </w:p>
        </w:tc>
      </w:tr>
      <w:tr>
        <w:trPr>
          <w:cantSplit w:val="0"/>
          <w:tblHeader w:val="0"/>
        </w:trPr>
        <w:tc>
          <w:tcPr/>
          <w:p w:rsidR="00000000" w:rsidDel="00000000" w:rsidP="00000000" w:rsidRDefault="00000000" w:rsidRPr="00000000" w14:paraId="000000FD">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Fundamento legal</w:t>
            </w:r>
          </w:p>
        </w:tc>
        <w:tc>
          <w:tcPr/>
          <w:p w:rsidR="00000000" w:rsidDel="00000000" w:rsidP="00000000" w:rsidRDefault="00000000" w:rsidRPr="00000000" w14:paraId="000000FE">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ordenamiento, el o los artículos, fracción(es), párrafo(s) con base en los cuales se sustente la confidencialidad.</w:t>
            </w:r>
          </w:p>
        </w:tc>
        <w:tc>
          <w:tcPr/>
          <w:p w:rsidR="00000000" w:rsidDel="00000000" w:rsidP="00000000" w:rsidRDefault="00000000" w:rsidRPr="00000000" w14:paraId="000000FF">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Confidencial</w:t>
            </w:r>
          </w:p>
        </w:tc>
        <w:tc>
          <w:tcPr/>
          <w:p w:rsidR="00000000" w:rsidDel="00000000" w:rsidP="00000000" w:rsidRDefault="00000000" w:rsidRPr="00000000" w14:paraId="00000100">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Leyenda de información CONFIDENCIAL.</w:t>
            </w:r>
          </w:p>
        </w:tc>
      </w:tr>
      <w:tr>
        <w:trPr>
          <w:cantSplit w:val="0"/>
          <w:tblHeader w:val="0"/>
        </w:trPr>
        <w:tc>
          <w:tcPr/>
          <w:p w:rsidR="00000000" w:rsidDel="00000000" w:rsidP="00000000" w:rsidRDefault="00000000" w:rsidRPr="00000000" w14:paraId="00000101">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del titular del área</w:t>
            </w:r>
          </w:p>
        </w:tc>
        <w:tc>
          <w:tcPr/>
          <w:p w:rsidR="00000000" w:rsidDel="00000000" w:rsidP="00000000" w:rsidRDefault="00000000" w:rsidRPr="00000000" w14:paraId="00000102">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clasifica.</w:t>
            </w:r>
          </w:p>
        </w:tc>
        <w:tc>
          <w:tcPr/>
          <w:p w:rsidR="00000000" w:rsidDel="00000000" w:rsidP="00000000" w:rsidRDefault="00000000" w:rsidRPr="00000000" w14:paraId="00000103">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Fundamento legal</w:t>
            </w:r>
          </w:p>
        </w:tc>
        <w:tc>
          <w:tcPr/>
          <w:p w:rsidR="00000000" w:rsidDel="00000000" w:rsidP="00000000" w:rsidRDefault="00000000" w:rsidRPr="00000000" w14:paraId="00000104">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 de los ordenamientos jurídicos, el o los artículos, fracción(es), párrafo(s) con base en los cuales se sustente la confidencialidad.</w:t>
            </w:r>
          </w:p>
        </w:tc>
      </w:tr>
      <w:tr>
        <w:trPr>
          <w:cantSplit w:val="0"/>
          <w:tblHeader w:val="0"/>
        </w:trPr>
        <w:tc>
          <w:tcPr/>
          <w:p w:rsidR="00000000" w:rsidDel="00000000" w:rsidP="00000000" w:rsidRDefault="00000000" w:rsidRPr="00000000" w14:paraId="00000105">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Fecha de desclasificación</w:t>
            </w:r>
          </w:p>
        </w:tc>
        <w:tc>
          <w:tcPr/>
          <w:p w:rsidR="00000000" w:rsidDel="00000000" w:rsidP="00000000" w:rsidRDefault="00000000" w:rsidRPr="00000000" w14:paraId="00000106">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que se desclasifica el documento.</w:t>
            </w:r>
          </w:p>
        </w:tc>
        <w:tc>
          <w:tcPr/>
          <w:p w:rsidR="00000000" w:rsidDel="00000000" w:rsidP="00000000" w:rsidRDefault="00000000" w:rsidRPr="00000000" w14:paraId="00000107">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Rúbrica del titular del área</w:t>
            </w:r>
          </w:p>
        </w:tc>
        <w:tc>
          <w:tcPr/>
          <w:p w:rsidR="00000000" w:rsidDel="00000000" w:rsidP="00000000" w:rsidRDefault="00000000" w:rsidRPr="00000000" w14:paraId="00000108">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clasifica.</w:t>
            </w:r>
          </w:p>
        </w:tc>
      </w:tr>
      <w:tr>
        <w:trPr>
          <w:cantSplit w:val="0"/>
          <w:tblHeader w:val="0"/>
        </w:trPr>
        <w:tc>
          <w:tcPr/>
          <w:p w:rsidR="00000000" w:rsidDel="00000000" w:rsidP="00000000" w:rsidRDefault="00000000" w:rsidRPr="00000000" w14:paraId="00000109">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y cargo del servidor público</w:t>
            </w:r>
          </w:p>
        </w:tc>
        <w:tc>
          <w:tcPr/>
          <w:p w:rsidR="00000000" w:rsidDel="00000000" w:rsidP="00000000" w:rsidRDefault="00000000" w:rsidRPr="00000000" w14:paraId="0000010A">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desclasifica.</w:t>
            </w:r>
          </w:p>
        </w:tc>
        <w:tc>
          <w:tcPr/>
          <w:p w:rsidR="00000000" w:rsidDel="00000000" w:rsidP="00000000" w:rsidRDefault="00000000" w:rsidRPr="00000000" w14:paraId="0000010B">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Fecha de desclasificación</w:t>
            </w:r>
          </w:p>
        </w:tc>
        <w:tc>
          <w:tcPr/>
          <w:p w:rsidR="00000000" w:rsidDel="00000000" w:rsidP="00000000" w:rsidRDefault="00000000" w:rsidRPr="00000000" w14:paraId="0000010C">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que se desclasifica.</w:t>
            </w:r>
          </w:p>
        </w:tc>
      </w:tr>
      <w:tr>
        <w:trPr>
          <w:cantSplit w:val="0"/>
          <w:tblHeader w:val="0"/>
        </w:trPr>
        <w:tc>
          <w:tcPr/>
          <w:p w:rsidR="00000000" w:rsidDel="00000000" w:rsidP="00000000" w:rsidRDefault="00000000" w:rsidRPr="00000000" w14:paraId="0000010D">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0E">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0F">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Partes o secciones reservadas o confidenciales</w:t>
            </w:r>
          </w:p>
        </w:tc>
        <w:tc>
          <w:tcPr/>
          <w:p w:rsidR="00000000" w:rsidDel="00000000" w:rsidP="00000000" w:rsidRDefault="00000000" w:rsidRPr="00000000" w14:paraId="00000110">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En caso que una vez desclasificado el expediente, subsistanpartes o secciones del mismo reservadas o confidenciales, se señalará este hecho.</w:t>
            </w:r>
          </w:p>
        </w:tc>
      </w:tr>
      <w:tr>
        <w:trPr>
          <w:cantSplit w:val="0"/>
          <w:tblHeader w:val="0"/>
        </w:trPr>
        <w:tc>
          <w:tcPr/>
          <w:p w:rsidR="00000000" w:rsidDel="00000000" w:rsidP="00000000" w:rsidRDefault="00000000" w:rsidRPr="00000000" w14:paraId="00000111">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12">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13">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Rúbrica y cargo del servidor público</w:t>
            </w:r>
          </w:p>
        </w:tc>
        <w:tc>
          <w:tcPr/>
          <w:p w:rsidR="00000000" w:rsidDel="00000000" w:rsidP="00000000" w:rsidRDefault="00000000" w:rsidRPr="00000000" w14:paraId="00000114">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desclasifica.</w:t>
            </w:r>
          </w:p>
        </w:tc>
      </w:tr>
    </w:tbl>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after="280" w:before="28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 R E S U E L V E:</w:t>
      </w:r>
    </w:p>
    <w:p w:rsidR="00000000" w:rsidDel="00000000" w:rsidP="00000000" w:rsidRDefault="00000000" w:rsidRPr="00000000" w14:paraId="00000118">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 </w:t>
      </w:r>
      <w:r w:rsidDel="00000000" w:rsidR="00000000" w:rsidRPr="00000000">
        <w:rPr>
          <w:rFonts w:ascii="Palatino Linotype" w:cs="Palatino Linotype" w:eastAsia="Palatino Linotype" w:hAnsi="Palatino Linotype"/>
          <w:b w:val="1"/>
          <w:rtl w:val="0"/>
        </w:rPr>
        <w:t xml:space="preserve">fundados</w:t>
      </w:r>
      <w:r w:rsidDel="00000000" w:rsidR="00000000" w:rsidRPr="00000000">
        <w:rPr>
          <w:rFonts w:ascii="Palatino Linotype" w:cs="Palatino Linotype" w:eastAsia="Palatino Linotype" w:hAnsi="Palatino Linotype"/>
          <w:rtl w:val="0"/>
        </w:rPr>
        <w:t xml:space="preserve"> los motivos de inconformidad hechos valer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los recursos de revisión </w:t>
      </w:r>
      <w:r w:rsidDel="00000000" w:rsidR="00000000" w:rsidRPr="00000000">
        <w:rPr>
          <w:rFonts w:ascii="Palatino Linotype" w:cs="Palatino Linotype" w:eastAsia="Palatino Linotype" w:hAnsi="Palatino Linotype"/>
          <w:b w:val="1"/>
          <w:rtl w:val="0"/>
        </w:rPr>
        <w:t xml:space="preserve">16839/INFOEM/IP/RR/2022 </w:t>
      </w:r>
      <w:r w:rsidDel="00000000" w:rsidR="00000000" w:rsidRPr="00000000">
        <w:rPr>
          <w:rFonts w:ascii="Palatino Linotype" w:cs="Palatino Linotype" w:eastAsia="Palatino Linotype" w:hAnsi="Palatino Linotype"/>
          <w:rtl w:val="0"/>
        </w:rPr>
        <w:t xml:space="preserve">y</w:t>
      </w:r>
      <w:r w:rsidDel="00000000" w:rsidR="00000000" w:rsidRPr="00000000">
        <w:rPr>
          <w:rFonts w:ascii="Palatino Linotype" w:cs="Palatino Linotype" w:eastAsia="Palatino Linotype" w:hAnsi="Palatino Linotype"/>
          <w:b w:val="1"/>
          <w:rtl w:val="0"/>
        </w:rPr>
        <w:t xml:space="preserve"> 16840/INFOEM/IP/RR/2022,</w:t>
      </w:r>
      <w:r w:rsidDel="00000000" w:rsidR="00000000" w:rsidRPr="00000000">
        <w:rPr>
          <w:rFonts w:ascii="Palatino Linotype" w:cs="Palatino Linotype" w:eastAsia="Palatino Linotype" w:hAnsi="Palatino Linotype"/>
          <w:rtl w:val="0"/>
        </w:rPr>
        <w:t xml:space="preserve"> por lo que, en términos del Considerando </w:t>
      </w: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de la presente resolución, se</w:t>
      </w:r>
      <w:r w:rsidDel="00000000" w:rsidR="00000000" w:rsidRPr="00000000">
        <w:rPr>
          <w:rFonts w:ascii="Palatino Linotype" w:cs="Palatino Linotype" w:eastAsia="Palatino Linotype" w:hAnsi="Palatino Linotype"/>
          <w:b w:val="1"/>
          <w:rtl w:val="0"/>
        </w:rPr>
        <w:t xml:space="preserve"> Revocan </w:t>
      </w:r>
      <w:r w:rsidDel="00000000" w:rsidR="00000000" w:rsidRPr="00000000">
        <w:rPr>
          <w:rFonts w:ascii="Palatino Linotype" w:cs="Palatino Linotype" w:eastAsia="Palatino Linotype" w:hAnsi="Palatino Linotype"/>
          <w:rtl w:val="0"/>
        </w:rPr>
        <w:t xml:space="preserve">las respuestas</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rtl w:val="0"/>
        </w:rPr>
        <w:t xml:space="preserve">Sujeto Obligado.</w:t>
      </w:r>
    </w:p>
    <w:p w:rsidR="00000000" w:rsidDel="00000000" w:rsidP="00000000" w:rsidRDefault="00000000" w:rsidRPr="00000000" w14:paraId="00000119">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w:t>
      </w:r>
      <w:r w:rsidDel="00000000" w:rsidR="00000000" w:rsidRPr="00000000">
        <w:rPr>
          <w:rFonts w:ascii="Palatino Linotype" w:cs="Palatino Linotype" w:eastAsia="Palatino Linotype" w:hAnsi="Palatino Linotype"/>
          <w:rtl w:val="0"/>
        </w:rPr>
        <w:t xml:space="preserve"> Se </w:t>
      </w:r>
      <w:r w:rsidDel="00000000" w:rsidR="00000000" w:rsidRPr="00000000">
        <w:rPr>
          <w:rFonts w:ascii="Palatino Linotype" w:cs="Palatino Linotype" w:eastAsia="Palatino Linotype" w:hAnsi="Palatino Linotype"/>
          <w:b w:val="1"/>
          <w:rtl w:val="0"/>
        </w:rPr>
        <w:t xml:space="preserve">Ordena</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términos de los Considerandos </w:t>
      </w: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y </w:t>
      </w:r>
      <w:r w:rsidDel="00000000" w:rsidR="00000000" w:rsidRPr="00000000">
        <w:rPr>
          <w:rFonts w:ascii="Palatino Linotype" w:cs="Palatino Linotype" w:eastAsia="Palatino Linotype" w:hAnsi="Palatino Linotype"/>
          <w:b w:val="1"/>
          <w:rtl w:val="0"/>
        </w:rPr>
        <w:t xml:space="preserve">Quinto </w:t>
      </w:r>
      <w:r w:rsidDel="00000000" w:rsidR="00000000" w:rsidRPr="00000000">
        <w:rPr>
          <w:rFonts w:ascii="Palatino Linotype" w:cs="Palatino Linotype" w:eastAsia="Palatino Linotype" w:hAnsi="Palatino Linotype"/>
          <w:rtl w:val="0"/>
        </w:rPr>
        <w:t xml:space="preserve">de esta resolución, haga entrega, vía SAIMEX, previa búsqueda exhaustiva y razonable, en versión pública de ser procedente, de lo siguiente:</w:t>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after="240" w:before="240" w:line="360" w:lineRule="auto"/>
        <w:ind w:left="567"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 Facturas por concepto de combustible, del periodo comprendido del uno de septiembre al veinticuatro de octubre de dos mil veintidós. </w:t>
      </w:r>
    </w:p>
    <w:p w:rsidR="00000000" w:rsidDel="00000000" w:rsidP="00000000" w:rsidRDefault="00000000" w:rsidRPr="00000000" w14:paraId="0000011B">
      <w:pPr>
        <w:spacing w:after="120" w:before="120" w:lineRule="auto"/>
        <w:ind w:left="284" w:right="51" w:firstLine="0"/>
        <w:jc w:val="both"/>
        <w:rPr>
          <w:rFonts w:ascii="Palatino Linotype" w:cs="Palatino Linotype" w:eastAsia="Palatino Linotype" w:hAnsi="Palatino Linotype"/>
          <w:i w:val="1"/>
          <w:sz w:val="20"/>
          <w:szCs w:val="20"/>
        </w:rPr>
      </w:pPr>
      <w:bookmarkStart w:colFirst="0" w:colLast="0" w:name="_heading=h.3znysh7" w:id="6"/>
      <w:bookmarkEnd w:id="6"/>
      <w:r w:rsidDel="00000000" w:rsidR="00000000" w:rsidRPr="00000000">
        <w:rPr>
          <w:rFonts w:ascii="Palatino Linotype" w:cs="Palatino Linotype" w:eastAsia="Palatino Linotype" w:hAnsi="Palatino Linotype"/>
          <w:i w:val="1"/>
          <w:sz w:val="20"/>
          <w:szCs w:val="20"/>
          <w:rtl w:val="0"/>
        </w:rPr>
        <w:t xml:space="preserve">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w:t>
      </w:r>
      <w:r w:rsidDel="00000000" w:rsidR="00000000" w:rsidRPr="00000000">
        <w:rPr>
          <w:rFonts w:ascii="Palatino Linotype" w:cs="Palatino Linotype" w:eastAsia="Palatino Linotype" w:hAnsi="Palatino Linotype"/>
          <w:b w:val="1"/>
          <w:i w:val="1"/>
          <w:sz w:val="20"/>
          <w:szCs w:val="20"/>
          <w:rtl w:val="0"/>
        </w:rPr>
        <w:t xml:space="preserve">Recurrente</w:t>
      </w:r>
      <w:r w:rsidDel="00000000" w:rsidR="00000000" w:rsidRPr="00000000">
        <w:rPr>
          <w:rFonts w:ascii="Palatino Linotype" w:cs="Palatino Linotype" w:eastAsia="Palatino Linotype" w:hAnsi="Palatino Linotype"/>
          <w:i w:val="1"/>
          <w:sz w:val="20"/>
          <w:szCs w:val="20"/>
          <w:rtl w:val="0"/>
        </w:rPr>
        <w:t xml:space="preserve">, mismo que igualmente hará de su conocimiento.</w:t>
      </w:r>
    </w:p>
    <w:p w:rsidR="00000000" w:rsidDel="00000000" w:rsidP="00000000" w:rsidRDefault="00000000" w:rsidRPr="00000000" w14:paraId="0000011C">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Segundo. Notifíquese, </w:t>
      </w:r>
      <w:r w:rsidDel="00000000" w:rsidR="00000000" w:rsidRPr="00000000">
        <w:rPr>
          <w:rFonts w:ascii="Palatino Linotype" w:cs="Palatino Linotype" w:eastAsia="Palatino Linotype" w:hAnsi="Palatino Linotype"/>
          <w:rtl w:val="0"/>
        </w:rPr>
        <w:t xml:space="preserve">vía</w:t>
      </w:r>
      <w:r w:rsidDel="00000000" w:rsidR="00000000" w:rsidRPr="00000000">
        <w:rPr>
          <w:rFonts w:ascii="Palatino Linotype" w:cs="Palatino Linotype" w:eastAsia="Palatino Linotype" w:hAnsi="Palatino Linotype"/>
          <w:b w:val="1"/>
          <w:rtl w:val="0"/>
        </w:rPr>
        <w:t xml:space="preserve"> SAIMEX, </w:t>
      </w:r>
      <w:r w:rsidDel="00000000" w:rsidR="00000000" w:rsidRPr="00000000">
        <w:rPr>
          <w:rFonts w:ascii="Palatino Linotype" w:cs="Palatino Linotype" w:eastAsia="Palatino Linotype" w:hAnsi="Palatino Linotype"/>
          <w:rtl w:val="0"/>
        </w:rPr>
        <w:t xml:space="preserve">al Responsable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Del="00000000" w:rsidR="00000000" w:rsidRPr="00000000">
        <w:rPr>
          <w:rFonts w:ascii="Palatino Linotype" w:cs="Palatino Linotype" w:eastAsia="Palatino Linotype" w:hAnsi="Palatino Linotype"/>
          <w:b w:val="1"/>
          <w:rtl w:val="0"/>
        </w:rPr>
        <w:t xml:space="preserve">.</w:t>
      </w:r>
    </w:p>
    <w:p w:rsidR="00000000" w:rsidDel="00000000" w:rsidP="00000000" w:rsidRDefault="00000000" w:rsidRPr="00000000" w14:paraId="0000011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11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 la parte recurrente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11F">
      <w:pPr>
        <w:spacing w:line="360" w:lineRule="auto"/>
        <w:ind w:right="49"/>
        <w:jc w:val="both"/>
        <w:rPr>
          <w:rFonts w:ascii="Palatino Linotype" w:cs="Palatino Linotype" w:eastAsia="Palatino Linotype" w:hAnsi="Palatino Linotype"/>
        </w:rPr>
        <w:sectPr>
          <w:headerReference r:id="rId17" w:type="default"/>
          <w:headerReference r:id="rId18" w:type="first"/>
          <w:footerReference r:id="rId19" w:type="default"/>
          <w:footerReference r:id="rId20" w:type="first"/>
          <w:pgSz w:h="15840" w:w="12240" w:orient="portrait"/>
          <w:pgMar w:bottom="1701" w:top="1985" w:left="1701" w:right="1701" w:header="709" w:footer="709"/>
          <w:pgNumType w:start="1"/>
          <w:titlePg w:val="1"/>
        </w:sect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OCTAVA SESIÓN ORDINARIA CELEBRADA EL UNO DE MARZO DE DOS MIL VEINTITRÉS, ANTE EL SECRETARIO TÉCNICO DEL PLENO ALEXIS TAPIA RAMÍREZ.</w:t>
      </w:r>
    </w:p>
    <w:p w:rsidR="00000000" w:rsidDel="00000000" w:rsidP="00000000" w:rsidRDefault="00000000" w:rsidRPr="00000000" w14:paraId="00000120">
      <w:pPr>
        <w:tabs>
          <w:tab w:val="left" w:leader="none" w:pos="709"/>
        </w:tabs>
        <w:spacing w:after="240" w:before="240" w:line="360" w:lineRule="auto"/>
        <w:jc w:val="both"/>
        <w:rPr>
          <w:rFonts w:ascii="Palatino Linotype" w:cs="Palatino Linotype" w:eastAsia="Palatino Linotype" w:hAnsi="Palatino Linotype"/>
        </w:rPr>
      </w:pPr>
      <w:bookmarkStart w:colFirst="0" w:colLast="0" w:name="_heading=h.tyjcwt" w:id="7"/>
      <w:bookmarkEnd w:id="7"/>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sectPr>
      <w:headerReference r:id="rId21" w:type="first"/>
      <w:type w:val="nextPage"/>
      <w:pgSz w:h="15840" w:w="12240" w:orient="portrait"/>
      <w:pgMar w:bottom="1701" w:top="1985"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F">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1">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libri" w:cs="Calibri" w:eastAsia="Calibri" w:hAnsi="Calibri"/>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23">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i w:val="1"/>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i w:val="1"/>
          <w:color w:val="000000"/>
          <w:sz w:val="16"/>
          <w:szCs w:val="16"/>
          <w:rtl w:val="0"/>
        </w:rPr>
        <w:t xml:space="preserve"> “</w:t>
      </w:r>
      <w:r w:rsidDel="00000000" w:rsidR="00000000" w:rsidRPr="00000000">
        <w:rPr>
          <w:rFonts w:ascii="Palatino Linotype" w:cs="Palatino Linotype" w:eastAsia="Palatino Linotype" w:hAnsi="Palatino Linotype"/>
          <w:b w:val="1"/>
          <w:i w:val="1"/>
          <w:color w:val="000000"/>
          <w:sz w:val="16"/>
          <w:szCs w:val="16"/>
          <w:rtl w:val="0"/>
        </w:rPr>
        <w:t xml:space="preserve">Artículo 185.</w:t>
      </w:r>
      <w:r w:rsidDel="00000000" w:rsidR="00000000" w:rsidRPr="00000000">
        <w:rPr>
          <w:rFonts w:ascii="Palatino Linotype" w:cs="Palatino Linotype" w:eastAsia="Palatino Linotype" w:hAnsi="Palatino Linotype"/>
          <w:i w:val="1"/>
          <w:color w:val="000000"/>
          <w:sz w:val="16"/>
          <w:szCs w:val="16"/>
          <w:rtl w:val="0"/>
        </w:rPr>
        <w:t xml:space="preserve"> El Instituto resolverá el recurso de revisión conforme a lo siguiente: (…)</w:t>
      </w:r>
    </w:p>
    <w:p w:rsidR="00000000" w:rsidDel="00000000" w:rsidP="00000000" w:rsidRDefault="00000000" w:rsidRPr="00000000" w14:paraId="00000124">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i w:val="1"/>
          <w:color w:val="000000"/>
          <w:sz w:val="16"/>
          <w:szCs w:val="16"/>
        </w:rPr>
      </w:pPr>
      <w:r w:rsidDel="00000000" w:rsidR="00000000" w:rsidRPr="00000000">
        <w:rPr>
          <w:rFonts w:ascii="Palatino Linotype" w:cs="Palatino Linotype" w:eastAsia="Palatino Linotype" w:hAnsi="Palatino Linotype"/>
          <w:i w:val="1"/>
          <w:color w:val="000000"/>
          <w:sz w:val="16"/>
          <w:szCs w:val="16"/>
          <w:rtl w:val="0"/>
        </w:rPr>
        <w:t xml:space="preserve">II. Admitido el recurso de revisión, la o el Comisionado ponente deberá integrar un expediente y ponerlo a disposición de las partes, para que, en un plazo máximo de siete días hábiles, manifiesten lo que a su derecho convenga;”</w:t>
      </w:r>
    </w:p>
  </w:footnote>
  <w:footnote w:id="1">
    <w:p w:rsidR="00000000" w:rsidDel="00000000" w:rsidP="00000000" w:rsidRDefault="00000000" w:rsidRPr="00000000" w14:paraId="00000125">
      <w:pPr>
        <w:jc w:val="both"/>
        <w:rPr>
          <w:rFonts w:ascii="Palatino Linotype" w:cs="Palatino Linotype" w:eastAsia="Palatino Linotype" w:hAnsi="Palatino Linotype"/>
          <w:i w:val="1"/>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i w:val="1"/>
          <w:sz w:val="16"/>
          <w:szCs w:val="16"/>
          <w:rtl w:val="0"/>
        </w:rPr>
        <w:t xml:space="preserve"> “Artículo 24. Para el cumplimiento de los objetivos de esta Ley, los sujetos obligados deberán cumplir con las siguientes obligaciones, según corresponda, de acuerdo a su naturaleza:</w:t>
      </w:r>
    </w:p>
    <w:p w:rsidR="00000000" w:rsidDel="00000000" w:rsidP="00000000" w:rsidRDefault="00000000" w:rsidRPr="00000000" w14:paraId="00000126">
      <w:pPr>
        <w:jc w:val="both"/>
        <w:rPr>
          <w:rFonts w:ascii="Palatino Linotype" w:cs="Palatino Linotype" w:eastAsia="Palatino Linotype" w:hAnsi="Palatino Linotype"/>
          <w:i w:val="1"/>
          <w:sz w:val="16"/>
          <w:szCs w:val="16"/>
        </w:rPr>
      </w:pPr>
      <w:r w:rsidDel="00000000" w:rsidR="00000000" w:rsidRPr="00000000">
        <w:rPr>
          <w:rFonts w:ascii="Palatino Linotype" w:cs="Palatino Linotype" w:eastAsia="Palatino Linotype" w:hAnsi="Palatino Linotype"/>
          <w:i w:val="1"/>
          <w:sz w:val="16"/>
          <w:szCs w:val="16"/>
          <w:rtl w:val="0"/>
        </w:rPr>
        <w:t xml:space="preserve">….</w:t>
      </w:r>
    </w:p>
    <w:p w:rsidR="00000000" w:rsidDel="00000000" w:rsidP="00000000" w:rsidRDefault="00000000" w:rsidRPr="00000000" w14:paraId="00000127">
      <w:pPr>
        <w:jc w:val="both"/>
        <w:rPr>
          <w:rFonts w:ascii="Palatino Linotype" w:cs="Palatino Linotype" w:eastAsia="Palatino Linotype" w:hAnsi="Palatino Linotype"/>
          <w:i w:val="1"/>
          <w:sz w:val="16"/>
          <w:szCs w:val="16"/>
        </w:rPr>
      </w:pPr>
      <w:r w:rsidDel="00000000" w:rsidR="00000000" w:rsidRPr="00000000">
        <w:rPr>
          <w:rFonts w:ascii="Palatino Linotype" w:cs="Palatino Linotype" w:eastAsia="Palatino Linotype" w:hAnsi="Palatino Linotype"/>
          <w:i w:val="1"/>
          <w:sz w:val="16"/>
          <w:szCs w:val="16"/>
          <w:rtl w:val="0"/>
        </w:rPr>
        <w:t xml:space="preserve">Los sujetos obligados solo proporcionarán la información pública que generen, administren o posean en el ejercicio de sus atribuciones.”(Sic)</w:t>
      </w:r>
    </w:p>
  </w:footnote>
  <w:footnote w:id="2">
    <w:p w:rsidR="00000000" w:rsidDel="00000000" w:rsidP="00000000" w:rsidRDefault="00000000" w:rsidRPr="00000000" w14:paraId="00000128">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b w:val="1"/>
          <w:color w:val="000000"/>
          <w:sz w:val="16"/>
          <w:szCs w:val="16"/>
          <w:rtl w:val="0"/>
        </w:rPr>
        <w:t xml:space="preserve">Artículo 161</w:t>
      </w:r>
      <w:r w:rsidDel="00000000" w:rsidR="00000000" w:rsidRPr="00000000">
        <w:rPr>
          <w:rFonts w:ascii="Palatino Linotype" w:cs="Palatino Linotype" w:eastAsia="Palatino Linotype" w:hAnsi="Palatino Linotype"/>
          <w:color w:val="000000"/>
          <w:sz w:val="16"/>
          <w:szCs w:val="16"/>
          <w:rtl w:val="0"/>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 w:id="3">
    <w:p w:rsidR="00000000" w:rsidDel="00000000" w:rsidP="00000000" w:rsidRDefault="00000000" w:rsidRPr="00000000" w14:paraId="00000129">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Consultable en: </w:t>
      </w:r>
    </w:p>
    <w:p w:rsidR="00000000" w:rsidDel="00000000" w:rsidP="00000000" w:rsidRDefault="00000000" w:rsidRPr="00000000" w14:paraId="0000012A">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hyperlink r:id="rId1">
        <w:r w:rsidDel="00000000" w:rsidR="00000000" w:rsidRPr="00000000">
          <w:rPr>
            <w:rFonts w:ascii="Palatino Linotype" w:cs="Palatino Linotype" w:eastAsia="Palatino Linotype" w:hAnsi="Palatino Linotype"/>
            <w:color w:val="0000ff"/>
            <w:sz w:val="16"/>
            <w:szCs w:val="16"/>
            <w:u w:val="single"/>
            <w:rtl w:val="0"/>
          </w:rPr>
          <w:t xml:space="preserve">https://www.indetec.gob.mx/delivery?srv=0&amp;sl=3&amp;path=/biblioteca/Especiales/386_Glosario_Terminos_Proceso_Planeacion.pdf</w:t>
        </w:r>
      </w:hyperlink>
      <w:r w:rsidDel="00000000" w:rsidR="00000000" w:rsidRPr="00000000">
        <w:rPr>
          <w:rFonts w:ascii="Palatino Linotype" w:cs="Palatino Linotype" w:eastAsia="Palatino Linotype" w:hAnsi="Palatino Linotype"/>
          <w:color w:val="000000"/>
          <w:sz w:val="16"/>
          <w:szCs w:val="16"/>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B">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bl>
    <w:tblPr>
      <w:tblStyle w:val="Table3"/>
      <w:tblW w:w="5953.0" w:type="dxa"/>
      <w:jc w:val="left"/>
      <w:tblInd w:w="3119.0" w:type="dxa"/>
      <w:tblLayout w:type="fixed"/>
      <w:tblLook w:val="0400"/>
    </w:tblPr>
    <w:tblGrid>
      <w:gridCol w:w="2551"/>
      <w:gridCol w:w="3402"/>
      <w:tblGridChange w:id="0">
        <w:tblGrid>
          <w:gridCol w:w="2551"/>
          <w:gridCol w:w="3402"/>
        </w:tblGrid>
      </w:tblGridChange>
    </w:tblGrid>
    <w:tr>
      <w:trPr>
        <w:cantSplit w:val="0"/>
        <w:tblHeader w:val="0"/>
      </w:trPr>
      <w:tc>
        <w:tcPr>
          <w:vAlign w:val="center"/>
        </w:tcPr>
        <w:p w:rsidR="00000000" w:rsidDel="00000000" w:rsidP="00000000" w:rsidRDefault="00000000" w:rsidRPr="00000000" w14:paraId="0000012C">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2D">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16839/INFOEM/IP/RR/2022 y acumulado</w:t>
          </w:r>
        </w:p>
      </w:tc>
    </w:tr>
    <w:tr>
      <w:trPr>
        <w:cantSplit w:val="0"/>
        <w:tblHeader w:val="0"/>
      </w:trPr>
      <w:tc>
        <w:tcPr>
          <w:vAlign w:val="center"/>
        </w:tcPr>
        <w:p w:rsidR="00000000" w:rsidDel="00000000" w:rsidP="00000000" w:rsidRDefault="00000000" w:rsidRPr="00000000" w14:paraId="0000012E">
          <w:pPr>
            <w:ind w:left="35" w:hanging="3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12F">
          <w:pPr>
            <w:ind w:left="-45" w:firstLine="0"/>
            <w:jc w:val="both"/>
            <w:rPr>
              <w:rFonts w:ascii="Palatino Linotype" w:cs="Palatino Linotype" w:eastAsia="Palatino Linotype" w:hAnsi="Palatino Linotype"/>
              <w:b w:val="1"/>
              <w:sz w:val="22"/>
              <w:szCs w:val="2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-4685663</wp:posOffset>
                </wp:positionH>
                <wp:positionV relativeFrom="paragraph">
                  <wp:posOffset>-913762</wp:posOffset>
                </wp:positionV>
                <wp:extent cx="7635240" cy="9942830"/>
                <wp:effectExtent b="0" l="0" r="0" t="0"/>
                <wp:wrapNone/>
                <wp:docPr id="127"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7635240" cy="9942830"/>
                        </a:xfrm>
                        <a:prstGeom prst="rect"/>
                        <a:ln/>
                      </pic:spPr>
                    </pic:pic>
                  </a:graphicData>
                </a:graphic>
              </wp:anchor>
            </w:drawing>
          </w:r>
        </w:p>
      </w:tc>
    </w:tr>
    <w:tr>
      <w:trPr>
        <w:cantSplit w:val="0"/>
        <w:trHeight w:val="228" w:hRule="atLeast"/>
        <w:tblHeader w:val="0"/>
      </w:trPr>
      <w:tc>
        <w:tcPr>
          <w:vAlign w:val="center"/>
        </w:tcPr>
        <w:p w:rsidR="00000000" w:rsidDel="00000000" w:rsidP="00000000" w:rsidRDefault="00000000" w:rsidRPr="00000000" w14:paraId="0000013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31">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Zinacantepec</w:t>
          </w:r>
        </w:p>
      </w:tc>
    </w:tr>
    <w:tr>
      <w:trPr>
        <w:cantSplit w:val="0"/>
        <w:tblHeader w:val="0"/>
      </w:trPr>
      <w:tc>
        <w:tcPr>
          <w:vAlign w:val="center"/>
        </w:tcPr>
        <w:p w:rsidR="00000000" w:rsidDel="00000000" w:rsidP="00000000" w:rsidRDefault="00000000" w:rsidRPr="00000000" w14:paraId="0000013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33">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34">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5">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-990593</wp:posOffset>
          </wp:positionH>
          <wp:positionV relativeFrom="paragraph">
            <wp:posOffset>-412743</wp:posOffset>
          </wp:positionV>
          <wp:extent cx="7635163" cy="9944100"/>
          <wp:effectExtent b="0" l="0" r="0" t="0"/>
          <wp:wrapNone/>
          <wp:docPr id="126"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7635163" cy="9944100"/>
                  </a:xfrm>
                  <a:prstGeom prst="rect"/>
                  <a:ln/>
                </pic:spPr>
              </pic:pic>
            </a:graphicData>
          </a:graphic>
        </wp:anchor>
      </w:drawing>
    </w:r>
  </w:p>
  <w:tbl>
    <w:tblPr>
      <w:tblStyle w:val="Table4"/>
      <w:tblW w:w="5812.0" w:type="dxa"/>
      <w:jc w:val="left"/>
      <w:tblInd w:w="3119.0" w:type="dxa"/>
      <w:tblLayout w:type="fixed"/>
      <w:tblLook w:val="0400"/>
    </w:tblPr>
    <w:tblGrid>
      <w:gridCol w:w="2694"/>
      <w:gridCol w:w="3118"/>
      <w:tblGridChange w:id="0">
        <w:tblGrid>
          <w:gridCol w:w="2694"/>
          <w:gridCol w:w="3118"/>
        </w:tblGrid>
      </w:tblGridChange>
    </w:tblGrid>
    <w:tr>
      <w:trPr>
        <w:cantSplit w:val="0"/>
        <w:tblHeader w:val="0"/>
      </w:trPr>
      <w:tc>
        <w:tcPr>
          <w:vAlign w:val="center"/>
        </w:tcPr>
        <w:p w:rsidR="00000000" w:rsidDel="00000000" w:rsidP="00000000" w:rsidRDefault="00000000" w:rsidRPr="00000000" w14:paraId="0000013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37">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16839/INFOEM/IP/RR/2022 y acumulado</w:t>
          </w:r>
        </w:p>
      </w:tc>
    </w:tr>
    <w:tr>
      <w:trPr>
        <w:cantSplit w:val="0"/>
        <w:trHeight w:val="228" w:hRule="atLeast"/>
        <w:tblHeader w:val="0"/>
      </w:trPr>
      <w:tc>
        <w:tcPr>
          <w:vAlign w:val="center"/>
        </w:tcPr>
        <w:p w:rsidR="00000000" w:rsidDel="00000000" w:rsidP="00000000" w:rsidRDefault="00000000" w:rsidRPr="00000000" w14:paraId="0000013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39">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Zinacantepec</w:t>
          </w:r>
        </w:p>
      </w:tc>
    </w:tr>
    <w:tr>
      <w:trPr>
        <w:cantSplit w:val="0"/>
        <w:tblHeader w:val="0"/>
      </w:trPr>
      <w:tc>
        <w:tcPr>
          <w:vAlign w:val="center"/>
        </w:tcPr>
        <w:p w:rsidR="00000000" w:rsidDel="00000000" w:rsidP="00000000" w:rsidRDefault="00000000" w:rsidRPr="00000000" w14:paraId="0000013A">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3B">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3C">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libri" w:cs="Calibri" w:eastAsia="Calibri" w:hAnsi="Calibri"/>
        <w:color w:val="000000"/>
      </w:rPr>
    </w:pPr>
    <w:r w:rsidDel="00000000" w:rsidR="00000000" w:rsidRPr="00000000">
      <w:rPr>
        <w:rFonts w:ascii="Calibri" w:cs="Calibri" w:eastAsia="Calibri" w:hAnsi="Calibri"/>
        <w:color w:val="000000"/>
        <w:rtl w:val="0"/>
      </w:rPr>
      <w:tab/>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D">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13E">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91A48"/>
    <w:rPr>
      <w:lang w:eastAsia="es-ES"/>
    </w:rPr>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91A48"/>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591A48"/>
    <w:rPr>
      <w:rFonts w:eastAsiaTheme="minorEastAsia"/>
      <w:sz w:val="24"/>
      <w:szCs w:val="24"/>
      <w:lang w:eastAsia="es-ES" w:val="es-ES_tradnl"/>
    </w:rPr>
  </w:style>
  <w:style w:type="paragraph" w:styleId="Piedepgina">
    <w:name w:val="footer"/>
    <w:basedOn w:val="Normal"/>
    <w:link w:val="PiedepginaCar"/>
    <w:uiPriority w:val="99"/>
    <w:unhideWhenUsed w:val="1"/>
    <w:rsid w:val="00591A48"/>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591A48"/>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591A48"/>
    <w:rPr>
      <w:rFonts w:ascii="Times New Roman" w:cs="Times New Roman" w:eastAsia="Times New Roman" w:hAnsi="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591A48"/>
    <w:pPr>
      <w:ind w:left="708"/>
    </w:pPr>
    <w:rPr>
      <w:sz w:val="22"/>
      <w:szCs w:val="22"/>
      <w:lang w:eastAsia="en-US"/>
    </w:rPr>
  </w:style>
  <w:style w:type="table" w:styleId="Tablaconcuadrcula">
    <w:name w:val="Table Grid"/>
    <w:basedOn w:val="Tablanormal"/>
    <w:uiPriority w:val="59"/>
    <w:rsid w:val="00591A48"/>
    <w:rPr>
      <w:rFonts w:eastAsiaTheme="minorEastAsia"/>
      <w:lang w:eastAsia="es-ES" w:val="es-ES_tradnl"/>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normaltextrun" w:customStyle="1">
    <w:name w:val="normaltextrun"/>
    <w:basedOn w:val="Fuentedeprrafopredeter"/>
    <w:rsid w:val="00591A48"/>
  </w:style>
  <w:style w:type="character" w:styleId="apple-converted-space" w:customStyle="1">
    <w:name w:val="apple-converted-space"/>
    <w:basedOn w:val="Fuentedeprrafopredeter"/>
    <w:rsid w:val="00591A48"/>
  </w:style>
  <w:style w:type="character" w:styleId="Hipervnculo">
    <w:name w:val="Hyperlink"/>
    <w:basedOn w:val="Fuentedeprrafopredeter"/>
    <w:uiPriority w:val="99"/>
    <w:unhideWhenUsed w:val="1"/>
    <w:rsid w:val="00591A48"/>
    <w:rPr>
      <w:color w:val="0000ff"/>
      <w:u w:val="single"/>
    </w:rPr>
  </w:style>
  <w:style w:type="paragraph" w:styleId="NormalWeb">
    <w:name w:val="Normal (Web)"/>
    <w:basedOn w:val="Normal"/>
    <w:uiPriority w:val="99"/>
    <w:unhideWhenUsed w:val="1"/>
    <w:rsid w:val="00591A48"/>
    <w:pPr>
      <w:spacing w:after="100" w:afterAutospacing="1" w:before="100" w:beforeAutospacing="1"/>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591A48"/>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val="1"/>
    <w:qFormat w:val="1"/>
    <w:rsid w:val="00591A48"/>
    <w:rPr>
      <w:vertAlign w:val="superscript"/>
    </w:rPr>
  </w:style>
  <w:style w:type="character" w:styleId="Refdecomentario">
    <w:name w:val="annotation reference"/>
    <w:basedOn w:val="Fuentedeprrafopredeter"/>
    <w:uiPriority w:val="99"/>
    <w:semiHidden w:val="1"/>
    <w:unhideWhenUsed w:val="1"/>
    <w:rsid w:val="00D33422"/>
    <w:rPr>
      <w:sz w:val="16"/>
      <w:szCs w:val="16"/>
    </w:rPr>
  </w:style>
  <w:style w:type="paragraph" w:styleId="Textocomentario">
    <w:name w:val="annotation text"/>
    <w:basedOn w:val="Normal"/>
    <w:link w:val="TextocomentarioCar"/>
    <w:uiPriority w:val="99"/>
    <w:semiHidden w:val="1"/>
    <w:unhideWhenUsed w:val="1"/>
    <w:rsid w:val="00D33422"/>
    <w:rPr>
      <w:sz w:val="20"/>
      <w:szCs w:val="20"/>
    </w:rPr>
  </w:style>
  <w:style w:type="character" w:styleId="TextocomentarioCar" w:customStyle="1">
    <w:name w:val="Texto comentario Car"/>
    <w:basedOn w:val="Fuentedeprrafopredeter"/>
    <w:link w:val="Textocomentario"/>
    <w:uiPriority w:val="99"/>
    <w:semiHidden w:val="1"/>
    <w:rsid w:val="00D33422"/>
    <w:rPr>
      <w:rFonts w:ascii="Times New Roman" w:cs="Times New Roman" w:eastAsia="Times New Roman" w:hAnsi="Times New Roman"/>
      <w:sz w:val="20"/>
      <w:szCs w:val="20"/>
      <w:lang w:eastAsia="es-ES" w:val="es-ES"/>
    </w:rPr>
  </w:style>
  <w:style w:type="paragraph" w:styleId="Asuntodelcomentario">
    <w:name w:val="annotation subject"/>
    <w:basedOn w:val="Textocomentario"/>
    <w:next w:val="Textocomentario"/>
    <w:link w:val="AsuntodelcomentarioCar"/>
    <w:uiPriority w:val="99"/>
    <w:semiHidden w:val="1"/>
    <w:unhideWhenUsed w:val="1"/>
    <w:rsid w:val="00D33422"/>
    <w:rPr>
      <w:b w:val="1"/>
      <w:bCs w:val="1"/>
    </w:rPr>
  </w:style>
  <w:style w:type="character" w:styleId="AsuntodelcomentarioCar" w:customStyle="1">
    <w:name w:val="Asunto del comentario Car"/>
    <w:basedOn w:val="TextocomentarioCar"/>
    <w:link w:val="Asuntodelcomentario"/>
    <w:uiPriority w:val="99"/>
    <w:semiHidden w:val="1"/>
    <w:rsid w:val="00D33422"/>
    <w:rPr>
      <w:rFonts w:ascii="Times New Roman" w:cs="Times New Roman" w:eastAsia="Times New Roman" w:hAnsi="Times New Roman"/>
      <w:b w:val="1"/>
      <w:bCs w:val="1"/>
      <w:sz w:val="20"/>
      <w:szCs w:val="20"/>
      <w:lang w:eastAsia="es-ES" w:val="es-ES"/>
    </w:rPr>
  </w:style>
  <w:style w:type="paragraph" w:styleId="Textodeglobo">
    <w:name w:val="Balloon Text"/>
    <w:basedOn w:val="Normal"/>
    <w:link w:val="TextodegloboCar"/>
    <w:uiPriority w:val="99"/>
    <w:semiHidden w:val="1"/>
    <w:unhideWhenUsed w:val="1"/>
    <w:rsid w:val="00D33422"/>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D33422"/>
    <w:rPr>
      <w:rFonts w:ascii="Segoe UI" w:cs="Segoe UI" w:eastAsia="Times New Roman" w:hAnsi="Segoe UI"/>
      <w:sz w:val="18"/>
      <w:szCs w:val="18"/>
      <w:lang w:eastAsia="es-ES" w:val="es-ES"/>
    </w:rPr>
  </w:style>
  <w:style w:type="paragraph" w:styleId="paragraph" w:customStyle="1">
    <w:name w:val="paragraph"/>
    <w:basedOn w:val="Normal"/>
    <w:rsid w:val="00225930"/>
    <w:pPr>
      <w:spacing w:after="100" w:afterAutospacing="1" w:before="100" w:beforeAutospacing="1"/>
    </w:pPr>
    <w:rPr>
      <w:lang w:eastAsia="es-MX"/>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3"/>
    <w:tblPr>
      <w:tblStyleRowBandSize w:val="1"/>
      <w:tblStyleColBandSize w:val="1"/>
      <w:tblCellMar>
        <w:top w:w="0.0" w:type="dxa"/>
        <w:left w:w="115.0" w:type="dxa"/>
        <w:bottom w:w="0.0" w:type="dxa"/>
        <w:right w:w="115.0" w:type="dxa"/>
      </w:tblCellMar>
    </w:tblPr>
  </w:style>
  <w:style w:type="table" w:styleId="a0" w:customStyle="1">
    <w:basedOn w:val="TableNormal3"/>
    <w:tblPr>
      <w:tblStyleRowBandSize w:val="1"/>
      <w:tblStyleColBandSize w:val="1"/>
      <w:tblCellMar>
        <w:top w:w="0.0" w:type="dxa"/>
        <w:left w:w="115.0" w:type="dxa"/>
        <w:bottom w:w="0.0" w:type="dxa"/>
        <w:right w:w="115.0" w:type="dxa"/>
      </w:tblCellMar>
    </w:tblPr>
  </w:style>
  <w:style w:type="paragraph" w:styleId="Sinespaciado">
    <w:name w:val="No Spacing"/>
    <w:aliases w:val="Francesa"/>
    <w:link w:val="SinespaciadoCar"/>
    <w:uiPriority w:val="1"/>
    <w:qFormat w:val="1"/>
    <w:rsid w:val="000039DE"/>
    <w:rPr>
      <w:lang w:eastAsia="es-ES"/>
    </w:rPr>
  </w:style>
  <w:style w:type="character" w:styleId="SinespaciadoCar" w:customStyle="1">
    <w:name w:val="Sin espaciado Car"/>
    <w:aliases w:val="Francesa Car"/>
    <w:link w:val="Sinespaciado"/>
    <w:uiPriority w:val="1"/>
    <w:locked w:val="1"/>
    <w:rsid w:val="000039DE"/>
    <w:rPr>
      <w:lang w:eastAsia="es-ES" w:val="es-MX"/>
    </w:rPr>
  </w:style>
  <w:style w:type="table" w:styleId="a1" w:customStyle="1">
    <w:basedOn w:val="TableNormal3"/>
    <w:tblPr>
      <w:tblStyleRowBandSize w:val="1"/>
      <w:tblStyleColBandSize w:val="1"/>
      <w:tblCellMar>
        <w:top w:w="0.0" w:type="dxa"/>
        <w:left w:w="108.0" w:type="dxa"/>
        <w:bottom w:w="0.0" w:type="dxa"/>
        <w:right w:w="108.0" w:type="dxa"/>
      </w:tblCellMar>
    </w:tblPr>
  </w:style>
  <w:style w:type="table" w:styleId="a2" w:customStyle="1">
    <w:basedOn w:val="TableNormal3"/>
    <w:tblPr>
      <w:tblStyleRowBandSize w:val="1"/>
      <w:tblStyleColBandSize w:val="1"/>
      <w:tblCellMar>
        <w:top w:w="0.0" w:type="dxa"/>
        <w:left w:w="108.0" w:type="dxa"/>
        <w:bottom w:w="0.0" w:type="dxa"/>
        <w:right w:w="108.0" w:type="dxa"/>
      </w:tblCellMar>
    </w:tblPr>
  </w:style>
  <w:style w:type="table" w:styleId="a3" w:customStyle="1">
    <w:basedOn w:val="TableNormal3"/>
    <w:tblPr>
      <w:tblStyleRowBandSize w:val="1"/>
      <w:tblStyleColBandSize w:val="1"/>
      <w:tblCellMar>
        <w:top w:w="0.0" w:type="dxa"/>
        <w:left w:w="115.0" w:type="dxa"/>
        <w:bottom w:w="0.0" w:type="dxa"/>
        <w:right w:w="115.0" w:type="dxa"/>
      </w:tblCellMar>
    </w:tblPr>
  </w:style>
  <w:style w:type="table" w:styleId="a4" w:customStyle="1">
    <w:basedOn w:val="TableNormal3"/>
    <w:tblPr>
      <w:tblStyleRowBandSize w:val="1"/>
      <w:tblStyleColBandSize w:val="1"/>
      <w:tblCellMar>
        <w:top w:w="0.0" w:type="dxa"/>
        <w:left w:w="115.0" w:type="dxa"/>
        <w:bottom w:w="0.0" w:type="dxa"/>
        <w:right w:w="115.0" w:type="dxa"/>
      </w:tblCellMar>
    </w:tblPr>
  </w:style>
  <w:style w:type="table" w:styleId="a5" w:customStyle="1">
    <w:basedOn w:val="TableNormal2"/>
    <w:tblPr>
      <w:tblStyleRowBandSize w:val="1"/>
      <w:tblStyleColBandSize w:val="1"/>
      <w:tblCellMar>
        <w:top w:w="0.0" w:type="dxa"/>
        <w:left w:w="115.0" w:type="dxa"/>
        <w:bottom w:w="0.0" w:type="dxa"/>
        <w:right w:w="115.0" w:type="dxa"/>
      </w:tblCellMar>
    </w:tblPr>
  </w:style>
  <w:style w:type="table" w:styleId="a6" w:customStyle="1">
    <w:basedOn w:val="TableNormal2"/>
    <w:tblPr>
      <w:tblStyleRowBandSize w:val="1"/>
      <w:tblStyleColBandSize w:val="1"/>
      <w:tblCellMar>
        <w:top w:w="0.0" w:type="dxa"/>
        <w:left w:w="115.0" w:type="dxa"/>
        <w:bottom w:w="0.0" w:type="dxa"/>
        <w:right w:w="115.0" w:type="dxa"/>
      </w:tblCellMar>
    </w:tblPr>
  </w:style>
  <w:style w:type="table" w:styleId="a7" w:customStyle="1">
    <w:basedOn w:val="TableNormal2"/>
    <w:tblPr>
      <w:tblStyleRowBandSize w:val="1"/>
      <w:tblStyleColBandSize w:val="1"/>
      <w:tblCellMar>
        <w:top w:w="0.0" w:type="dxa"/>
        <w:left w:w="115.0" w:type="dxa"/>
        <w:bottom w:w="0.0" w:type="dxa"/>
        <w:right w:w="115.0" w:type="dxa"/>
      </w:tblCellMar>
    </w:tblPr>
  </w:style>
  <w:style w:type="table" w:styleId="a8" w:customStyle="1">
    <w:basedOn w:val="TableNormal2"/>
    <w:tblPr>
      <w:tblStyleRowBandSize w:val="1"/>
      <w:tblStyleColBandSize w:val="1"/>
      <w:tblCellMar>
        <w:top w:w="0.0" w:type="dxa"/>
        <w:left w:w="115.0" w:type="dxa"/>
        <w:bottom w:w="0.0" w:type="dxa"/>
        <w:right w:w="115.0" w:type="dxa"/>
      </w:tblCellMar>
    </w:tblPr>
  </w:style>
  <w:style w:type="table" w:styleId="a9" w:customStyle="1">
    <w:basedOn w:val="TableNormal2"/>
    <w:tblPr>
      <w:tblStyleRowBandSize w:val="1"/>
      <w:tblStyleColBandSize w:val="1"/>
      <w:tblCellMar>
        <w:top w:w="0.0" w:type="dxa"/>
        <w:left w:w="115.0" w:type="dxa"/>
        <w:bottom w:w="0.0" w:type="dxa"/>
        <w:right w:w="115.0" w:type="dxa"/>
      </w:tblCellMar>
    </w:tblPr>
  </w:style>
  <w:style w:type="table" w:styleId="aa" w:customStyle="1">
    <w:basedOn w:val="TableNormal1"/>
    <w:tblPr>
      <w:tblStyleRowBandSize w:val="1"/>
      <w:tblStyleColBandSize w:val="1"/>
      <w:tblCellMar>
        <w:top w:w="0.0" w:type="dxa"/>
        <w:left w:w="115.0" w:type="dxa"/>
        <w:bottom w:w="0.0" w:type="dxa"/>
        <w:right w:w="115.0" w:type="dxa"/>
      </w:tblCellMar>
    </w:tblPr>
  </w:style>
  <w:style w:type="table" w:styleId="ab" w:customStyle="1">
    <w:basedOn w:val="TableNormal1"/>
    <w:tblPr>
      <w:tblStyleRowBandSize w:val="1"/>
      <w:tblStyleColBandSize w:val="1"/>
      <w:tblCellMar>
        <w:top w:w="0.0" w:type="dxa"/>
        <w:left w:w="115.0" w:type="dxa"/>
        <w:bottom w:w="0.0" w:type="dxa"/>
        <w:right w:w="115.0" w:type="dxa"/>
      </w:tblCellMar>
    </w:tblPr>
  </w:style>
  <w:style w:type="table" w:styleId="ac" w:customStyle="1">
    <w:basedOn w:val="TableNormal1"/>
    <w:tblPr>
      <w:tblStyleRowBandSize w:val="1"/>
      <w:tblStyleColBandSize w:val="1"/>
      <w:tblCellMar>
        <w:top w:w="0.0" w:type="dxa"/>
        <w:left w:w="115.0" w:type="dxa"/>
        <w:bottom w:w="0.0" w:type="dxa"/>
        <w:right w:w="115.0" w:type="dxa"/>
      </w:tblCellMar>
    </w:tblPr>
  </w:style>
  <w:style w:type="table" w:styleId="Tabladelista1clara-nfasis11" w:customStyle="1">
    <w:name w:val="Tabla de lista 1 clara - Énfasis 11"/>
    <w:basedOn w:val="Tablanormal"/>
    <w:uiPriority w:val="46"/>
    <w:rsid w:val="006D213A"/>
    <w:rPr>
      <w:rFonts w:eastAsia="MS Mincho" w:asciiTheme="minorHAnsi" w:cstheme="minorBidi" w:hAnsiTheme="minorHAnsi"/>
      <w:lang w:eastAsia="es-ES" w:val="es-ES_tradnl"/>
    </w:rPr>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table" w:styleId="ad" w:customStyle="1">
    <w:basedOn w:val="TableNormal0"/>
    <w:tblPr>
      <w:tblStyleRowBandSize w:val="1"/>
      <w:tblStyleColBandSize w:val="1"/>
      <w:tblCellMar>
        <w:top w:w="0.0" w:type="dxa"/>
        <w:left w:w="115.0" w:type="dxa"/>
        <w:bottom w:w="0.0" w:type="dxa"/>
        <w:right w:w="115.0" w:type="dxa"/>
      </w:tblCellMar>
    </w:tblPr>
  </w:style>
  <w:style w:type="table" w:styleId="ae" w:customStyle="1">
    <w:basedOn w:val="TableNormal0"/>
    <w:rPr>
      <w:rFonts w:ascii="Calibri" w:cs="Calibri" w:eastAsia="Calibri" w:hAnsi="Calibri"/>
    </w:rPr>
    <w:tblPr>
      <w:tblStyleRowBandSize w:val="1"/>
      <w:tblStyleColBandSize w:val="1"/>
      <w:tblCellMar>
        <w:top w:w="0.0" w:type="dxa"/>
        <w:left w:w="108.0" w:type="dxa"/>
        <w:bottom w:w="0.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 w:customStyle="1">
    <w:basedOn w:val="TableNormal0"/>
    <w:tblPr>
      <w:tblStyleRowBandSize w:val="1"/>
      <w:tblStyleColBandSize w:val="1"/>
      <w:tblCellMar>
        <w:top w:w="0.0" w:type="dxa"/>
        <w:left w:w="115.0" w:type="dxa"/>
        <w:bottom w:w="0.0" w:type="dxa"/>
        <w:right w:w="115.0" w:type="dxa"/>
      </w:tblCellMar>
    </w:tblPr>
  </w:style>
  <w:style w:type="table" w:styleId="af0" w:customStyle="1">
    <w:basedOn w:val="TableNormal0"/>
    <w:tblPr>
      <w:tblStyleRowBandSize w:val="1"/>
      <w:tblStyleColBandSize w:val="1"/>
      <w:tblCellMar>
        <w:top w:w="0.0" w:type="dxa"/>
        <w:left w:w="115.0" w:type="dxa"/>
        <w:bottom w:w="0.0" w:type="dxa"/>
        <w:right w:w="115.0" w:type="dxa"/>
      </w:tblCellMar>
    </w:tblPr>
  </w:style>
  <w:style w:type="character" w:styleId="Mencinsinresolver1" w:customStyle="1">
    <w:name w:val="Mención sin resolver1"/>
    <w:basedOn w:val="Fuentedeprrafopredeter"/>
    <w:uiPriority w:val="99"/>
    <w:semiHidden w:val="1"/>
    <w:unhideWhenUsed w:val="1"/>
    <w:rsid w:val="00E44466"/>
    <w:rPr>
      <w:color w:val="605e5c"/>
      <w:shd w:color="auto" w:fill="e1dfdd" w:val="clear"/>
    </w:rPr>
  </w:style>
  <w:style w:type="character" w:styleId="Hipervnculovisitado">
    <w:name w:val="FollowedHyperlink"/>
    <w:basedOn w:val="Fuentedeprrafopredeter"/>
    <w:uiPriority w:val="99"/>
    <w:semiHidden w:val="1"/>
    <w:unhideWhenUsed w:val="1"/>
    <w:rsid w:val="00E44466"/>
    <w:rPr>
      <w:color w:val="954f72"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blStylePr w:type="band1Horz">
      <w:tcPr>
        <w:shd w:fill="dbe5f1" w:val="clear"/>
      </w:tcPr>
    </w:tblStylePr>
    <w:tblStylePr w:type="band1Vert">
      <w:tcPr>
        <w:shd w:fill="dbe5f1" w:val="clear"/>
      </w:tcPr>
    </w:tblStylePr>
    <w:tblStylePr w:type="firstCol">
      <w:rPr>
        <w:b w:val="1"/>
      </w:rPr>
    </w:tblStylePr>
    <w:tblStylePr w:type="firstRow">
      <w:rPr>
        <w:b w:val="1"/>
      </w:rPr>
      <w:tcPr>
        <w:tcBorders>
          <w:bottom w:color="95b3d7" w:space="0" w:sz="4" w:val="single"/>
        </w:tcBorders>
      </w:tcPr>
    </w:tblStylePr>
    <w:tblStylePr w:type="lastCol">
      <w:rPr>
        <w:b w:val="1"/>
      </w:rPr>
    </w:tblStylePr>
    <w:tblStylePr w:type="lastRow">
      <w:rPr>
        <w:b w:val="1"/>
      </w:rPr>
      <w:tcPr>
        <w:tcBorders>
          <w:top w:color="95b3d7" w:space="0" w:sz="4" w:val="single"/>
        </w:tcBorders>
      </w:tcPr>
    </w:tblStylePr>
  </w:style>
  <w:style w:type="table" w:styleId="Table3">
    <w:basedOn w:val="TableNormal"/>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4">
    <w:basedOn w:val="TableNormal"/>
    <w:rPr>
      <w:rFonts w:ascii="Calibri" w:cs="Calibri" w:eastAsia="Calibri" w:hAnsi="Calibri"/>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1.png"/><Relationship Id="rId10" Type="http://schemas.openxmlformats.org/officeDocument/2006/relationships/image" Target="media/image7.png"/><Relationship Id="rId21" Type="http://schemas.openxmlformats.org/officeDocument/2006/relationships/header" Target="header3.xml"/><Relationship Id="rId13" Type="http://schemas.openxmlformats.org/officeDocument/2006/relationships/image" Target="media/image2.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ipomex.org.mx/ipo3/lgt/indice/ZINACANTEPEC/art_92_xxvii_b.web" TargetMode="External"/><Relationship Id="rId15" Type="http://schemas.openxmlformats.org/officeDocument/2006/relationships/image" Target="media/image6.png"/><Relationship Id="rId14" Type="http://schemas.openxmlformats.org/officeDocument/2006/relationships/image" Target="media/image4.png"/><Relationship Id="rId17" Type="http://schemas.openxmlformats.org/officeDocument/2006/relationships/header" Target="header2.xml"/><Relationship Id="rId16" Type="http://schemas.openxmlformats.org/officeDocument/2006/relationships/image" Target="media/image8.png"/><Relationship Id="rId5" Type="http://schemas.openxmlformats.org/officeDocument/2006/relationships/numbering" Target="numbering.xml"/><Relationship Id="rId19" Type="http://schemas.openxmlformats.org/officeDocument/2006/relationships/footer" Target="footer2.xml"/><Relationship Id="rId6" Type="http://schemas.openxmlformats.org/officeDocument/2006/relationships/styles" Target="styles.xml"/><Relationship Id="rId18" Type="http://schemas.openxmlformats.org/officeDocument/2006/relationships/header" Target="header1.xml"/><Relationship Id="rId7" Type="http://schemas.openxmlformats.org/officeDocument/2006/relationships/customXml" Target="../customXML/item1.xml"/><Relationship Id="rId8" Type="http://schemas.openxmlformats.org/officeDocument/2006/relationships/hyperlink" Target="https://www.ipomex.org.mx/ipo3/lgt/indice/ZINACANTEPEC/art_92_xxxv_a.web"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indetec.gob.mx/delivery?srv=0&amp;sl=3&amp;path=/biblioteca/Especiales/386_Glosario_Terminos_Proceso_Planeac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dGKtS9yUaBiWIUUvtD9QxfxOfQ==">AMUW2mXYnXiDXnbcj92j6tKkdhJvVuP+Un6MUQ6wqhNh0+1Tqx1jxSvCQicwRODkTl0I6hmoqFSuE7ZUfB0CAWdSP1n5NGX0pSG889S9nAe4gatgn5AYuiyb6yM9XarKJnm2mqgB/UUfcmL6FXSkTYi+zZ26DlkXPFQ/JAy0Ko9eUdYYhZg+nWM+jwud+b4RHbGC6j4uvoSSZZjDgOD2/zpMzhlcH0v6qxTZc/WrcCfctiGtTt5TqLM=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2023-03-09T00:10:00Z</dcterms:created>
  <dc:creator>Usuario de Windows</dc:creator>
</cp:coreProperties>
</file>