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2304" w:rsidRPr="00AC562A" w:rsidRDefault="004D2304" w:rsidP="004D2304">
      <w:pPr>
        <w:spacing w:line="360" w:lineRule="auto"/>
        <w:jc w:val="both"/>
        <w:rPr>
          <w:rFonts w:ascii="Palatino Linotype" w:eastAsiaTheme="minorEastAsia" w:hAnsi="Palatino Linotype"/>
          <w:lang w:val="es-ES_tradnl" w:eastAsia="es-ES"/>
        </w:rPr>
      </w:pPr>
      <w:r w:rsidRPr="00AC562A">
        <w:rPr>
          <w:rFonts w:ascii="Palatino Linotype" w:eastAsiaTheme="minorEastAsia" w:hAnsi="Palatino Linotype"/>
          <w:lang w:val="es-ES_tradnl" w:eastAsia="es-ES"/>
        </w:rPr>
        <w:t>Resolución del Pleno del Instituto de Transparencia, Acceso a la Información Pública y Protección de Datos Personales del Estado de México y Municipios, con domicilio en Metepec, Estado de México; de fecha dieciocho (18) de enero de dos mil veintitrés.</w:t>
      </w:r>
    </w:p>
    <w:p w:rsidR="004D2304" w:rsidRPr="00AC562A" w:rsidRDefault="004D2304" w:rsidP="004D2304">
      <w:pPr>
        <w:spacing w:line="360" w:lineRule="auto"/>
        <w:jc w:val="both"/>
        <w:rPr>
          <w:rFonts w:ascii="Palatino Linotype" w:eastAsiaTheme="minorEastAsia" w:hAnsi="Palatino Linotype"/>
          <w:lang w:val="es-ES_tradnl" w:eastAsia="es-ES"/>
        </w:rPr>
      </w:pPr>
    </w:p>
    <w:p w:rsidR="004D2304" w:rsidRPr="00AC562A" w:rsidRDefault="004D2304" w:rsidP="004D2304">
      <w:pPr>
        <w:spacing w:line="360" w:lineRule="auto"/>
        <w:jc w:val="both"/>
        <w:rPr>
          <w:rFonts w:ascii="Palatino Linotype" w:hAnsi="Palatino Linotype"/>
        </w:rPr>
      </w:pPr>
      <w:r w:rsidRPr="00AC562A">
        <w:rPr>
          <w:rFonts w:ascii="Palatino Linotype" w:hAnsi="Palatino Linotype"/>
          <w:b/>
        </w:rPr>
        <w:t>VISTO</w:t>
      </w:r>
      <w:r w:rsidRPr="00AC562A">
        <w:rPr>
          <w:rFonts w:ascii="Palatino Linotype" w:hAnsi="Palatino Linotype"/>
        </w:rPr>
        <w:t xml:space="preserve"> el expediente electrónico formado con motivo del recurso de revisión </w:t>
      </w:r>
      <w:r w:rsidRPr="00AC562A">
        <w:rPr>
          <w:rFonts w:ascii="Palatino Linotype" w:hAnsi="Palatino Linotype"/>
          <w:b/>
        </w:rPr>
        <w:t>13118/INFOEM/IP/RR/2022,</w:t>
      </w:r>
      <w:r w:rsidRPr="00AC562A">
        <w:rPr>
          <w:rFonts w:ascii="Palatino Linotype" w:hAnsi="Palatino Linotype" w:cs="Arial"/>
          <w:b/>
          <w:bCs/>
        </w:rPr>
        <w:t xml:space="preserve"> </w:t>
      </w:r>
      <w:r w:rsidRPr="00AC562A">
        <w:rPr>
          <w:rFonts w:ascii="Palatino Linotype" w:eastAsiaTheme="minorEastAsia" w:hAnsi="Palatino Linotype"/>
          <w:lang w:val="es-ES_tradnl" w:eastAsia="es-ES"/>
        </w:rPr>
        <w:t xml:space="preserve">promovido por </w:t>
      </w:r>
      <w:r w:rsidR="00AC562A" w:rsidRPr="00AC562A">
        <w:rPr>
          <w:rFonts w:ascii="Palatino Linotype" w:hAnsi="Palatino Linotype"/>
          <w:b/>
          <w:bCs/>
        </w:rPr>
        <w:t>XXXX XXXX XXXXX</w:t>
      </w:r>
      <w:r w:rsidRPr="00AC562A">
        <w:rPr>
          <w:rFonts w:ascii="Palatino Linotype" w:hAnsi="Palatino Linotype"/>
        </w:rPr>
        <w:t xml:space="preserve">, quien en lo sucesivo se identificará como </w:t>
      </w:r>
      <w:r w:rsidRPr="00AC562A">
        <w:rPr>
          <w:rFonts w:ascii="Palatino Linotype" w:hAnsi="Palatino Linotype"/>
          <w:b/>
        </w:rPr>
        <w:t xml:space="preserve">EL </w:t>
      </w:r>
      <w:r w:rsidRPr="00AC562A">
        <w:rPr>
          <w:rFonts w:ascii="Palatino Linotype" w:hAnsi="Palatino Linotype" w:cs="Arial"/>
          <w:b/>
        </w:rPr>
        <w:t>RECURRENTE</w:t>
      </w:r>
      <w:r w:rsidRPr="00AC562A">
        <w:rPr>
          <w:rFonts w:ascii="Palatino Linotype" w:hAnsi="Palatino Linotype" w:cs="Arial"/>
        </w:rPr>
        <w:t xml:space="preserve">, en contra de la respuesta de la </w:t>
      </w:r>
      <w:r w:rsidRPr="00AC562A">
        <w:rPr>
          <w:rFonts w:ascii="Palatino Linotype" w:hAnsi="Palatino Linotype" w:cs="Arial"/>
          <w:b/>
        </w:rPr>
        <w:t>Secretaría de Movilidad</w:t>
      </w:r>
      <w:r w:rsidRPr="00AC562A">
        <w:rPr>
          <w:rFonts w:ascii="Palatino Linotype" w:hAnsi="Palatino Linotype"/>
          <w:b/>
        </w:rPr>
        <w:t xml:space="preserve"> </w:t>
      </w:r>
      <w:r w:rsidRPr="00AC562A">
        <w:rPr>
          <w:rFonts w:ascii="Palatino Linotype" w:hAnsi="Palatino Linotype"/>
        </w:rPr>
        <w:t>en lo sucesivo el</w:t>
      </w:r>
      <w:r w:rsidRPr="00AC562A">
        <w:rPr>
          <w:rFonts w:ascii="Palatino Linotype" w:hAnsi="Palatino Linotype"/>
          <w:b/>
        </w:rPr>
        <w:t xml:space="preserve"> SUJETO OBLIGADO</w:t>
      </w:r>
      <w:r w:rsidRPr="00AC562A">
        <w:rPr>
          <w:rFonts w:ascii="Palatino Linotype" w:hAnsi="Palatino Linotype"/>
        </w:rPr>
        <w:t>, por lo que se procede a dictar la presente resolución, con base en los siguientes:</w:t>
      </w:r>
    </w:p>
    <w:p w:rsidR="004D2304" w:rsidRPr="00AC562A" w:rsidRDefault="004D2304" w:rsidP="004D2304">
      <w:pPr>
        <w:spacing w:line="360" w:lineRule="auto"/>
        <w:jc w:val="both"/>
        <w:rPr>
          <w:rFonts w:ascii="Palatino Linotype" w:hAnsi="Palatino Linotype"/>
          <w:b/>
        </w:rPr>
      </w:pPr>
    </w:p>
    <w:p w:rsidR="004D2304" w:rsidRPr="00AC562A" w:rsidRDefault="004D2304" w:rsidP="004D2304">
      <w:pPr>
        <w:keepNext/>
        <w:keepLines/>
        <w:spacing w:line="360" w:lineRule="auto"/>
        <w:jc w:val="center"/>
        <w:outlineLvl w:val="0"/>
        <w:rPr>
          <w:rFonts w:ascii="Palatino Linotype" w:eastAsiaTheme="majorEastAsia" w:hAnsi="Palatino Linotype" w:cstheme="majorBidi"/>
          <w:b/>
        </w:rPr>
      </w:pPr>
      <w:bookmarkStart w:id="0" w:name="_Toc66992241"/>
      <w:r w:rsidRPr="00AC562A">
        <w:rPr>
          <w:rFonts w:ascii="Palatino Linotype" w:eastAsiaTheme="majorEastAsia" w:hAnsi="Palatino Linotype" w:cstheme="majorBidi"/>
          <w:b/>
        </w:rPr>
        <w:t>ANTECEDENTES</w:t>
      </w:r>
      <w:bookmarkEnd w:id="0"/>
    </w:p>
    <w:p w:rsidR="004D2304" w:rsidRPr="00AC562A" w:rsidRDefault="004D2304" w:rsidP="004D2304">
      <w:pPr>
        <w:spacing w:line="360" w:lineRule="auto"/>
        <w:rPr>
          <w:rFonts w:ascii="Palatino Linotype" w:eastAsiaTheme="minorEastAsia" w:hAnsi="Palatino Linotype"/>
        </w:rPr>
      </w:pPr>
    </w:p>
    <w:p w:rsidR="004D2304" w:rsidRPr="00AC562A" w:rsidRDefault="004D2304" w:rsidP="004D2304">
      <w:pPr>
        <w:pStyle w:val="Prrafodelista"/>
        <w:numPr>
          <w:ilvl w:val="0"/>
          <w:numId w:val="1"/>
        </w:numPr>
        <w:spacing w:line="360" w:lineRule="auto"/>
        <w:ind w:left="0" w:firstLine="0"/>
        <w:jc w:val="both"/>
        <w:rPr>
          <w:rFonts w:ascii="Palatino Linotype" w:hAnsi="Palatino Linotype" w:cs="Arial"/>
          <w:sz w:val="24"/>
          <w:lang w:val="es-ES" w:eastAsia="es-ES"/>
        </w:rPr>
      </w:pPr>
      <w:r w:rsidRPr="00AC562A">
        <w:rPr>
          <w:rFonts w:ascii="Palatino Linotype" w:eastAsia="Calibri" w:hAnsi="Palatino Linotype" w:cs="Arial"/>
          <w:sz w:val="24"/>
          <w:lang w:val="es-ES" w:eastAsia="es-ES"/>
        </w:rPr>
        <w:t>El día dieciséis (16) de junio  de dos mil veintidós,</w:t>
      </w:r>
      <w:r w:rsidRPr="00AC562A">
        <w:rPr>
          <w:rFonts w:ascii="Palatino Linotype" w:eastAsia="Calibri" w:hAnsi="Palatino Linotype"/>
          <w:sz w:val="24"/>
          <w:lang w:val="es-ES" w:eastAsia="es-ES"/>
        </w:rPr>
        <w:t xml:space="preserve"> </w:t>
      </w:r>
      <w:r w:rsidRPr="00AC562A">
        <w:rPr>
          <w:rFonts w:ascii="Palatino Linotype" w:eastAsia="Calibri" w:hAnsi="Palatino Linotype"/>
          <w:b/>
          <w:sz w:val="24"/>
          <w:lang w:val="es-ES" w:eastAsia="es-ES"/>
        </w:rPr>
        <w:t>EL RECURRENTE</w:t>
      </w:r>
      <w:r w:rsidRPr="00AC562A">
        <w:rPr>
          <w:rFonts w:ascii="Palatino Linotype" w:eastAsiaTheme="minorEastAsia" w:hAnsi="Palatino Linotype"/>
          <w:b/>
          <w:sz w:val="24"/>
          <w:lang w:val="es-ES_tradnl" w:eastAsia="es-ES"/>
        </w:rPr>
        <w:t>,</w:t>
      </w:r>
      <w:r w:rsidRPr="00AC562A">
        <w:rPr>
          <w:rFonts w:ascii="Palatino Linotype" w:eastAsia="Calibri" w:hAnsi="Palatino Linotype" w:cs="Arial"/>
          <w:sz w:val="24"/>
          <w:lang w:val="es-ES" w:eastAsia="es-ES"/>
        </w:rPr>
        <w:t xml:space="preserve"> ante el </w:t>
      </w:r>
      <w:r w:rsidRPr="00AC562A">
        <w:rPr>
          <w:rFonts w:ascii="Palatino Linotype" w:eastAsia="Calibri" w:hAnsi="Palatino Linotype" w:cs="Arial"/>
          <w:b/>
          <w:sz w:val="24"/>
          <w:lang w:val="es-ES" w:eastAsia="es-ES"/>
        </w:rPr>
        <w:t>SUJETO OBLIGADO</w:t>
      </w:r>
      <w:r w:rsidRPr="00AC562A">
        <w:rPr>
          <w:rFonts w:ascii="Palatino Linotype" w:eastAsia="Calibri" w:hAnsi="Palatino Linotype" w:cs="Arial"/>
          <w:sz w:val="24"/>
          <w:lang w:val="es-ES_tradnl" w:eastAsia="es-ES"/>
        </w:rPr>
        <w:t xml:space="preserve"> a través de la Plataforma Sistema de Acceso a la Información Mexiquense (SAIMEX)</w:t>
      </w:r>
      <w:r w:rsidRPr="00AC562A">
        <w:rPr>
          <w:rFonts w:ascii="Palatino Linotype" w:eastAsia="Calibri" w:hAnsi="Palatino Linotype" w:cs="Arial"/>
          <w:sz w:val="24"/>
          <w:lang w:val="es-ES" w:eastAsia="es-ES"/>
        </w:rPr>
        <w:t xml:space="preserve">, presentó una solicitud de información registrada con el número </w:t>
      </w:r>
      <w:r w:rsidRPr="00AC562A">
        <w:rPr>
          <w:rFonts w:ascii="Palatino Linotype" w:hAnsi="Palatino Linotype"/>
          <w:b/>
          <w:bCs/>
          <w:sz w:val="24"/>
        </w:rPr>
        <w:t>00314/SMOV/IP/2022</w:t>
      </w:r>
      <w:r w:rsidRPr="00AC562A">
        <w:rPr>
          <w:rFonts w:ascii="Palatino Linotype" w:eastAsiaTheme="minorEastAsia" w:hAnsi="Palatino Linotype"/>
          <w:b/>
          <w:sz w:val="24"/>
          <w:lang w:val="es-ES_tradnl" w:eastAsia="es-ES"/>
        </w:rPr>
        <w:t xml:space="preserve">, </w:t>
      </w:r>
      <w:r w:rsidRPr="00AC562A">
        <w:rPr>
          <w:rFonts w:ascii="Palatino Linotype" w:eastAsia="Calibri" w:hAnsi="Palatino Linotype" w:cs="Arial"/>
          <w:sz w:val="24"/>
          <w:lang w:val="es-ES" w:eastAsia="es-ES"/>
        </w:rPr>
        <w:t>mediante la cual solicitó lo siguiente:</w:t>
      </w:r>
    </w:p>
    <w:p w:rsidR="004D2304" w:rsidRPr="00AC562A" w:rsidRDefault="004D2304" w:rsidP="004D2304">
      <w:pPr>
        <w:spacing w:line="360" w:lineRule="auto"/>
        <w:contextualSpacing/>
        <w:jc w:val="both"/>
        <w:rPr>
          <w:rFonts w:ascii="Palatino Linotype" w:hAnsi="Palatino Linotype" w:cs="Arial"/>
          <w:lang w:val="es-ES" w:eastAsia="es-ES"/>
        </w:rPr>
      </w:pPr>
    </w:p>
    <w:p w:rsidR="004D2304" w:rsidRPr="00AC562A" w:rsidRDefault="004D2304" w:rsidP="004D2304">
      <w:pPr>
        <w:pStyle w:val="Prrafodelista"/>
        <w:spacing w:line="360" w:lineRule="auto"/>
        <w:ind w:left="1069" w:right="567"/>
        <w:jc w:val="both"/>
        <w:rPr>
          <w:rFonts w:ascii="Palatino Linotype" w:hAnsi="Palatino Linotype"/>
          <w:i/>
          <w:color w:val="000000"/>
          <w:sz w:val="24"/>
        </w:rPr>
      </w:pPr>
      <w:r w:rsidRPr="00AC562A">
        <w:rPr>
          <w:rFonts w:ascii="Palatino Linotype" w:hAnsi="Palatino Linotype"/>
          <w:i/>
          <w:color w:val="000000"/>
          <w:sz w:val="24"/>
        </w:rPr>
        <w:t xml:space="preserve"> “Con fundamento en el artículo 6to Constitucional y demás relativos y aplicables, solicito la siguiente información: ¿Cuál es el número de registro como permisionario y/o concesionario del servicio de arrastre, salvamento guarda, custodia y depósito de vehículos para la empresa Servicio de Grúas Sultepec SA de CV Y GENESIS,el número de registro y si tal registro es como permisionario o concesionario. ¿Cuáles son las zonas de operación de estas Grúas. respecto del numero de registro que corresponda? La información antes mencionada no atenta contra lo estipulado en la LGTAIP y no se está </w:t>
      </w:r>
      <w:r w:rsidRPr="00AC562A">
        <w:rPr>
          <w:rFonts w:ascii="Palatino Linotype" w:hAnsi="Palatino Linotype"/>
          <w:i/>
          <w:color w:val="000000"/>
          <w:sz w:val="24"/>
        </w:rPr>
        <w:lastRenderedPageBreak/>
        <w:t xml:space="preserve">solicitando información de tipo confidencial por lo que la presente solicitud está conforme a derecho.” (Sic) </w:t>
      </w:r>
    </w:p>
    <w:p w:rsidR="004D2304" w:rsidRPr="00AC562A" w:rsidRDefault="004D2304" w:rsidP="004D2304">
      <w:pPr>
        <w:spacing w:line="360" w:lineRule="auto"/>
        <w:contextualSpacing/>
        <w:jc w:val="both"/>
        <w:rPr>
          <w:rFonts w:ascii="Palatino Linotype" w:eastAsia="Calibri" w:hAnsi="Palatino Linotype"/>
          <w:lang w:val="es-ES" w:eastAsia="es-ES"/>
        </w:rPr>
      </w:pPr>
    </w:p>
    <w:p w:rsidR="004D2304" w:rsidRPr="00AC562A" w:rsidRDefault="004D2304" w:rsidP="004D2304">
      <w:pPr>
        <w:pStyle w:val="Prrafodelista"/>
        <w:numPr>
          <w:ilvl w:val="0"/>
          <w:numId w:val="1"/>
        </w:numPr>
        <w:spacing w:line="360" w:lineRule="auto"/>
        <w:ind w:left="0" w:firstLine="0"/>
        <w:jc w:val="both"/>
        <w:rPr>
          <w:rFonts w:ascii="Palatino Linotype" w:eastAsia="Calibri" w:hAnsi="Palatino Linotype"/>
          <w:sz w:val="24"/>
          <w:lang w:val="es-ES" w:eastAsia="es-ES"/>
        </w:rPr>
      </w:pPr>
      <w:r w:rsidRPr="00AC562A">
        <w:rPr>
          <w:rFonts w:ascii="Palatino Linotype" w:eastAsia="Calibri" w:hAnsi="Palatino Linotype"/>
          <w:sz w:val="24"/>
          <w:lang w:val="es-ES" w:eastAsia="es-ES"/>
        </w:rPr>
        <w:t>El particular señaló como modalidad de entrega a través del Sistema de Acceso a la Información Mexiquense (SAIMEX).</w:t>
      </w:r>
    </w:p>
    <w:p w:rsidR="004D2304" w:rsidRPr="00AC562A" w:rsidRDefault="004D2304" w:rsidP="004D2304">
      <w:pPr>
        <w:pStyle w:val="Prrafodelista"/>
        <w:spacing w:line="360" w:lineRule="auto"/>
        <w:ind w:left="0"/>
        <w:jc w:val="both"/>
        <w:rPr>
          <w:rFonts w:ascii="Palatino Linotype" w:eastAsia="Calibri" w:hAnsi="Palatino Linotype"/>
          <w:sz w:val="24"/>
          <w:lang w:val="es-ES" w:eastAsia="es-ES"/>
        </w:rPr>
      </w:pPr>
    </w:p>
    <w:p w:rsidR="004D2304" w:rsidRPr="00AC562A" w:rsidRDefault="004D2304" w:rsidP="004D2304">
      <w:pPr>
        <w:pStyle w:val="Prrafodelista"/>
        <w:numPr>
          <w:ilvl w:val="0"/>
          <w:numId w:val="1"/>
        </w:numPr>
        <w:spacing w:line="360" w:lineRule="auto"/>
        <w:ind w:left="0" w:firstLine="0"/>
        <w:jc w:val="both"/>
        <w:rPr>
          <w:rFonts w:ascii="Palatino Linotype" w:eastAsia="Calibri" w:hAnsi="Palatino Linotype"/>
          <w:sz w:val="24"/>
          <w:lang w:val="es-ES" w:eastAsia="es-ES"/>
        </w:rPr>
      </w:pPr>
      <w:r w:rsidRPr="00AC562A">
        <w:rPr>
          <w:rFonts w:ascii="Palatino Linotype" w:eastAsia="Calibri" w:hAnsi="Palatino Linotype"/>
          <w:sz w:val="24"/>
          <w:lang w:val="es-ES" w:eastAsia="es-ES"/>
        </w:rPr>
        <w:t xml:space="preserve">El dieciséis (16) de junio de dos mil veintidós, se realizó un requerimiento al servidor público habilitado. </w:t>
      </w:r>
    </w:p>
    <w:p w:rsidR="004D2304" w:rsidRPr="00AC562A" w:rsidRDefault="004D2304" w:rsidP="004D2304">
      <w:pPr>
        <w:pStyle w:val="Prrafodelista"/>
        <w:spacing w:line="360" w:lineRule="auto"/>
        <w:ind w:left="0"/>
        <w:rPr>
          <w:rFonts w:ascii="Palatino Linotype" w:eastAsia="Calibri" w:hAnsi="Palatino Linotype"/>
          <w:sz w:val="24"/>
          <w:lang w:val="es-ES" w:eastAsia="es-ES"/>
        </w:rPr>
      </w:pPr>
    </w:p>
    <w:p w:rsidR="004D2304" w:rsidRPr="00AC562A" w:rsidRDefault="004D2304" w:rsidP="004D2304">
      <w:pPr>
        <w:pStyle w:val="Prrafodelista"/>
        <w:numPr>
          <w:ilvl w:val="0"/>
          <w:numId w:val="1"/>
        </w:numPr>
        <w:spacing w:line="360" w:lineRule="auto"/>
        <w:ind w:left="0" w:firstLine="0"/>
        <w:jc w:val="both"/>
        <w:rPr>
          <w:rFonts w:ascii="Palatino Linotype" w:eastAsia="Calibri" w:hAnsi="Palatino Linotype"/>
          <w:sz w:val="24"/>
          <w:lang w:val="es-ES" w:eastAsia="es-ES"/>
        </w:rPr>
      </w:pPr>
      <w:r w:rsidRPr="00AC562A">
        <w:rPr>
          <w:rFonts w:ascii="Palatino Linotype" w:eastAsiaTheme="minorEastAsia" w:hAnsi="Palatino Linotype"/>
          <w:sz w:val="24"/>
          <w:lang w:val="es-ES_tradnl" w:eastAsia="es-ES"/>
        </w:rPr>
        <w:t xml:space="preserve">El siete (07) de julio  de dos mil veintidós, </w:t>
      </w:r>
      <w:r w:rsidRPr="00AC562A">
        <w:rPr>
          <w:rFonts w:ascii="Palatino Linotype" w:eastAsia="Calibri" w:hAnsi="Palatino Linotype"/>
          <w:sz w:val="24"/>
          <w:lang w:val="es-ES" w:eastAsia="es-ES"/>
        </w:rPr>
        <w:t xml:space="preserve">el </w:t>
      </w:r>
      <w:r w:rsidRPr="00AC562A">
        <w:rPr>
          <w:rFonts w:ascii="Palatino Linotype" w:eastAsia="Calibri" w:hAnsi="Palatino Linotype" w:cs="Arial"/>
          <w:b/>
          <w:sz w:val="24"/>
          <w:lang w:val="es-AR" w:eastAsia="es-ES"/>
        </w:rPr>
        <w:t>SUJETO OBLIGADO</w:t>
      </w:r>
      <w:r w:rsidRPr="00AC562A">
        <w:rPr>
          <w:rFonts w:ascii="Palatino Linotype" w:eastAsia="Calibri" w:hAnsi="Palatino Linotype" w:cs="Arial"/>
          <w:b/>
          <w:i/>
          <w:sz w:val="24"/>
          <w:lang w:val="es-AR" w:eastAsia="es-ES"/>
        </w:rPr>
        <w:t xml:space="preserve"> </w:t>
      </w:r>
      <w:r w:rsidRPr="00AC562A">
        <w:rPr>
          <w:rFonts w:ascii="Palatino Linotype" w:hAnsi="Palatino Linotype" w:cs="Arial"/>
          <w:sz w:val="24"/>
          <w:lang w:val="es-ES" w:eastAsia="es-ES"/>
        </w:rPr>
        <w:t>dio respuesta a la solicitud de información en los siguientes términos:</w:t>
      </w:r>
    </w:p>
    <w:p w:rsidR="004D2304" w:rsidRPr="00AC562A" w:rsidRDefault="004D2304" w:rsidP="004D2304">
      <w:pPr>
        <w:spacing w:line="360" w:lineRule="auto"/>
        <w:ind w:left="720"/>
        <w:contextualSpacing/>
        <w:rPr>
          <w:rFonts w:ascii="Palatino Linotype" w:hAnsi="Palatino Linotype" w:cs="Arial"/>
          <w:lang w:val="es-ES" w:eastAsia="es-ES"/>
        </w:rPr>
      </w:pPr>
    </w:p>
    <w:tbl>
      <w:tblPr>
        <w:tblW w:w="7388" w:type="dxa"/>
        <w:jc w:val="center"/>
        <w:tblCellSpacing w:w="0" w:type="dxa"/>
        <w:tblCellMar>
          <w:left w:w="0" w:type="dxa"/>
          <w:right w:w="0" w:type="dxa"/>
        </w:tblCellMar>
        <w:tblLook w:val="04A0" w:firstRow="1" w:lastRow="0" w:firstColumn="1" w:lastColumn="0" w:noHBand="0" w:noVBand="1"/>
      </w:tblPr>
      <w:tblGrid>
        <w:gridCol w:w="7388"/>
      </w:tblGrid>
      <w:tr w:rsidR="004D2304" w:rsidRPr="00AC562A" w:rsidTr="004D2304">
        <w:trPr>
          <w:trHeight w:val="194"/>
          <w:tblCellSpacing w:w="0" w:type="dxa"/>
          <w:jc w:val="center"/>
        </w:trPr>
        <w:tc>
          <w:tcPr>
            <w:tcW w:w="0" w:type="auto"/>
            <w:vAlign w:val="center"/>
            <w:hideMark/>
          </w:tcPr>
          <w:p w:rsidR="004D2304" w:rsidRPr="00AC562A" w:rsidRDefault="004D2304" w:rsidP="004D2304">
            <w:pPr>
              <w:jc w:val="both"/>
              <w:rPr>
                <w:rFonts w:ascii="Palatino Linotype" w:hAnsi="Palatino Linotype"/>
                <w:i/>
                <w:sz w:val="22"/>
              </w:rPr>
            </w:pPr>
            <w:r w:rsidRPr="00AC562A">
              <w:rPr>
                <w:rFonts w:ascii="Palatino Linotype" w:hAnsi="Palatino Linotype"/>
                <w:i/>
                <w:sz w:val="22"/>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4D2304" w:rsidRPr="00AC562A" w:rsidTr="004D2304">
        <w:trPr>
          <w:trHeight w:val="485"/>
          <w:tblCellSpacing w:w="0" w:type="dxa"/>
          <w:jc w:val="center"/>
        </w:trPr>
        <w:tc>
          <w:tcPr>
            <w:tcW w:w="0" w:type="auto"/>
            <w:vAlign w:val="center"/>
            <w:hideMark/>
          </w:tcPr>
          <w:p w:rsidR="004D2304" w:rsidRPr="00AC562A" w:rsidRDefault="004D2304" w:rsidP="004D2304">
            <w:pPr>
              <w:rPr>
                <w:rFonts w:ascii="Palatino Linotype" w:hAnsi="Palatino Linotype"/>
                <w:i/>
                <w:sz w:val="22"/>
              </w:rPr>
            </w:pPr>
          </w:p>
        </w:tc>
      </w:tr>
      <w:tr w:rsidR="004D2304" w:rsidRPr="00AC562A" w:rsidTr="004D2304">
        <w:trPr>
          <w:trHeight w:val="194"/>
          <w:tblCellSpacing w:w="0" w:type="dxa"/>
          <w:jc w:val="center"/>
        </w:trPr>
        <w:tc>
          <w:tcPr>
            <w:tcW w:w="0" w:type="auto"/>
            <w:vAlign w:val="center"/>
            <w:hideMark/>
          </w:tcPr>
          <w:p w:rsidR="004D2304" w:rsidRPr="00AC562A" w:rsidRDefault="004D2304" w:rsidP="004D2304">
            <w:pPr>
              <w:rPr>
                <w:rFonts w:ascii="Palatino Linotype" w:hAnsi="Palatino Linotype"/>
                <w:i/>
                <w:sz w:val="22"/>
              </w:rPr>
            </w:pPr>
            <w:r w:rsidRPr="00AC562A">
              <w:rPr>
                <w:rFonts w:ascii="Palatino Linotype" w:hAnsi="Palatino Linotype"/>
                <w:i/>
                <w:sz w:val="22"/>
                <w:szCs w:val="18"/>
              </w:rPr>
              <w:t>Se anexa respuesta”</w:t>
            </w:r>
          </w:p>
        </w:tc>
      </w:tr>
    </w:tbl>
    <w:p w:rsidR="004D2304" w:rsidRPr="00AC562A" w:rsidRDefault="004D2304" w:rsidP="004D2304">
      <w:pPr>
        <w:spacing w:line="360" w:lineRule="auto"/>
        <w:ind w:right="567"/>
        <w:jc w:val="both"/>
        <w:rPr>
          <w:rFonts w:ascii="Palatino Linotype" w:hAnsi="Palatino Linotype"/>
        </w:rPr>
      </w:pPr>
    </w:p>
    <w:p w:rsidR="004D2304" w:rsidRPr="00AC562A" w:rsidRDefault="004D2304" w:rsidP="004D2304">
      <w:pPr>
        <w:spacing w:line="360" w:lineRule="auto"/>
        <w:ind w:right="567"/>
        <w:jc w:val="both"/>
        <w:rPr>
          <w:rFonts w:ascii="Palatino Linotype" w:hAnsi="Palatino Linotype"/>
        </w:rPr>
      </w:pPr>
      <w:r w:rsidRPr="00AC562A">
        <w:rPr>
          <w:rFonts w:ascii="Palatino Linotype" w:hAnsi="Palatino Linotype"/>
        </w:rPr>
        <w:t xml:space="preserve">A la respuesta se </w:t>
      </w:r>
      <w:r w:rsidR="00766791" w:rsidRPr="00AC562A">
        <w:rPr>
          <w:rFonts w:ascii="Palatino Linotype" w:hAnsi="Palatino Linotype"/>
        </w:rPr>
        <w:t xml:space="preserve">adjuntó el archivo </w:t>
      </w:r>
      <w:hyperlink r:id="rId7" w:tgtFrame="_blank" w:history="1">
        <w:r w:rsidR="00766791" w:rsidRPr="00AC562A">
          <w:rPr>
            <w:rStyle w:val="Hipervnculo"/>
            <w:rFonts w:ascii="Palatino Linotype" w:hAnsi="Palatino Linotype" w:cs="Arial"/>
            <w:b/>
            <w:bCs/>
            <w:color w:val="auto"/>
          </w:rPr>
          <w:t>Respuesta UT Solicitud 00314 (final).pdf</w:t>
        </w:r>
      </w:hyperlink>
      <w:r w:rsidR="00766791" w:rsidRPr="00AC562A">
        <w:rPr>
          <w:rFonts w:ascii="Palatino Linotype" w:hAnsi="Palatino Linotype"/>
        </w:rPr>
        <w:t>: consta de un documento en formato pdf, de cuatro fojas, con asunto respuesta a la solicitud de información 00314/SMOV/IP/2022, suscrito por el Titular de la Unidad de Transparencia a través del cual manifestó:</w:t>
      </w:r>
    </w:p>
    <w:p w:rsidR="00766791" w:rsidRPr="00AC562A" w:rsidRDefault="00766791" w:rsidP="004D2304">
      <w:pPr>
        <w:spacing w:line="360" w:lineRule="auto"/>
        <w:ind w:right="567"/>
        <w:jc w:val="both"/>
        <w:rPr>
          <w:rFonts w:ascii="Palatino Linotype" w:hAnsi="Palatino Linotype"/>
        </w:rPr>
      </w:pPr>
    </w:p>
    <w:p w:rsidR="00766791" w:rsidRPr="00AC562A" w:rsidRDefault="00766791" w:rsidP="00766791">
      <w:pPr>
        <w:spacing w:line="360" w:lineRule="auto"/>
        <w:ind w:left="851" w:right="822"/>
        <w:jc w:val="both"/>
        <w:rPr>
          <w:rFonts w:ascii="Palatino Linotype" w:hAnsi="Palatino Linotype"/>
          <w:i/>
          <w:sz w:val="22"/>
        </w:rPr>
      </w:pPr>
      <w:r w:rsidRPr="00AC562A">
        <w:rPr>
          <w:rFonts w:ascii="Palatino Linotype" w:hAnsi="Palatino Linotype"/>
          <w:i/>
          <w:sz w:val="22"/>
        </w:rPr>
        <w:t xml:space="preserve">“…se hace de su apreciable conocimiento que mediante comunicados electrónicos remitidos al suscrito a través del SAIMEX, por parte de los Servidores Públicos Habilitados de la Subsecretaría de Movilidad, así como de la Dirección General del </w:t>
      </w:r>
      <w:r w:rsidRPr="00AC562A">
        <w:rPr>
          <w:rFonts w:ascii="Palatino Linotype" w:hAnsi="Palatino Linotype"/>
          <w:i/>
          <w:sz w:val="22"/>
        </w:rPr>
        <w:lastRenderedPageBreak/>
        <w:t>Registro Estatal de Transporte Público, como áreas competentes para atender su requerimiento de información, señalaron lo siguiente:</w:t>
      </w:r>
    </w:p>
    <w:p w:rsidR="00766791" w:rsidRPr="00AC562A" w:rsidRDefault="00766791" w:rsidP="00766791">
      <w:pPr>
        <w:spacing w:line="360" w:lineRule="auto"/>
        <w:ind w:left="851" w:right="822"/>
        <w:jc w:val="both"/>
        <w:rPr>
          <w:rFonts w:ascii="Palatino Linotype" w:hAnsi="Palatino Linotype"/>
          <w:i/>
          <w:sz w:val="22"/>
        </w:rPr>
      </w:pPr>
    </w:p>
    <w:p w:rsidR="00766791" w:rsidRPr="00AC562A" w:rsidRDefault="00766791" w:rsidP="00766791">
      <w:pPr>
        <w:spacing w:line="360" w:lineRule="auto"/>
        <w:ind w:left="851" w:right="822"/>
        <w:jc w:val="both"/>
        <w:rPr>
          <w:rFonts w:ascii="Palatino Linotype" w:hAnsi="Palatino Linotype"/>
          <w:b/>
          <w:i/>
          <w:sz w:val="22"/>
          <w:u w:val="single"/>
        </w:rPr>
      </w:pPr>
      <w:r w:rsidRPr="00AC562A">
        <w:rPr>
          <w:rFonts w:ascii="Palatino Linotype" w:hAnsi="Palatino Linotype"/>
          <w:b/>
          <w:i/>
          <w:sz w:val="22"/>
          <w:u w:val="single"/>
        </w:rPr>
        <w:t xml:space="preserve">Subsecretaría de Movilidad </w:t>
      </w:r>
    </w:p>
    <w:p w:rsidR="00766791" w:rsidRPr="00AC562A" w:rsidRDefault="00766791" w:rsidP="00766791">
      <w:pPr>
        <w:spacing w:line="360" w:lineRule="auto"/>
        <w:ind w:left="851" w:right="822"/>
        <w:jc w:val="both"/>
        <w:rPr>
          <w:rFonts w:ascii="Palatino Linotype" w:hAnsi="Palatino Linotype"/>
          <w:i/>
          <w:sz w:val="22"/>
        </w:rPr>
      </w:pPr>
    </w:p>
    <w:p w:rsidR="00766791" w:rsidRPr="00AC562A" w:rsidRDefault="00766791" w:rsidP="00766791">
      <w:pPr>
        <w:spacing w:line="360" w:lineRule="auto"/>
        <w:ind w:left="851" w:right="822"/>
        <w:jc w:val="both"/>
        <w:rPr>
          <w:rFonts w:ascii="Palatino Linotype" w:hAnsi="Palatino Linotype"/>
          <w:i/>
          <w:sz w:val="22"/>
        </w:rPr>
      </w:pPr>
      <w:r w:rsidRPr="00AC562A">
        <w:rPr>
          <w:rFonts w:ascii="Palatino Linotype" w:hAnsi="Palatino Linotype"/>
          <w:i/>
          <w:sz w:val="22"/>
        </w:rPr>
        <w:t xml:space="preserve">“Envío un cordial saludo, a su vez, por instrucciones del Mtro. Carlos Preza Millán, Subsecretario de Movilidad; de conformidad con lo dispuesto por los artículos 8 y 16 de la Constitución Política de los Estados Unidos Mexicanos; 78 y 143 de la Constitución Política del Estado Libre y Soberano de México; 32 de la Ley Orgánica de la Administración Pública del Estado de México; 1, 2, 3, 8 y 11 del Reglamento Interior de la Secretaría de Movilidad; así como, las facultades establecidas en el Manual General de Organización de esta Secretaría; en atención a la solicitud de información 314/SMOV/IP/2022, respectivamente, en el Sistema de Acceso a la Información Mexiquense (SAIMEX); mediante el cual señala &lt;&lt; Con fundamento en el artículo 6to Constitucional y demás relativos y aplicables, solicito la siguiente información: ¿Cuál es el número de registro como permisionario y/o concesionario del servicio de arrastre, salvamento guarda, custodia y depósito de vehículos para la empresa Servicio de Grúas Sultepec SA de CV Y GENESIS,el número de registro y si tal registro es como permisionario o concesionario. ¿Cuáles son las zonas de operación de estas Grúas. respecto del numero de registro que corresponda? La información antes mencionada no atenta contra lo estipulado en la LGTAIP y no se está solicitando información de tipo confidencial por lo que la presente solicitud está conforme a derecho....&gt;&gt; (sic) al respecto le informo que, de conformidad con los artículos 143 de la Constitución Política del Estado Libre y Soberano de México; así como, de acuerdo al marco jurídico que regula la prestación del Servicio Público Auxiliar de Depósitos para Guarda y Custodia Vehicular, que en cuanto a la solicitud de información, esta autoridad informa que, después de una búsqueda </w:t>
      </w:r>
      <w:r w:rsidRPr="00AC562A">
        <w:rPr>
          <w:rFonts w:ascii="Palatino Linotype" w:hAnsi="Palatino Linotype"/>
          <w:i/>
          <w:sz w:val="22"/>
        </w:rPr>
        <w:lastRenderedPageBreak/>
        <w:t xml:space="preserve">minuciosa dentro del archivo documental que obra en esta Subsecretaría, no se localizó antecedente alguno de autorización, permiso o concesión para la prestación de dicho servicio, otorgada a dicha empresa, por lo cual existe un impedimento material para atender de forma favorable su petición. </w:t>
      </w:r>
    </w:p>
    <w:p w:rsidR="00766791" w:rsidRPr="00AC562A" w:rsidRDefault="00766791" w:rsidP="00766791">
      <w:pPr>
        <w:spacing w:line="360" w:lineRule="auto"/>
        <w:ind w:left="851" w:right="822"/>
        <w:jc w:val="both"/>
        <w:rPr>
          <w:rFonts w:ascii="Palatino Linotype" w:hAnsi="Palatino Linotype"/>
          <w:i/>
          <w:sz w:val="22"/>
        </w:rPr>
      </w:pPr>
    </w:p>
    <w:p w:rsidR="00766791" w:rsidRPr="00AC562A" w:rsidRDefault="00766791" w:rsidP="00766791">
      <w:pPr>
        <w:spacing w:line="360" w:lineRule="auto"/>
        <w:ind w:left="851" w:right="822"/>
        <w:jc w:val="both"/>
        <w:rPr>
          <w:rFonts w:ascii="Palatino Linotype" w:hAnsi="Palatino Linotype"/>
          <w:i/>
          <w:sz w:val="22"/>
        </w:rPr>
      </w:pPr>
      <w:r w:rsidRPr="00AC562A">
        <w:rPr>
          <w:rFonts w:ascii="Palatino Linotype" w:hAnsi="Palatino Linotype"/>
          <w:i/>
          <w:sz w:val="22"/>
        </w:rPr>
        <w:t>Así mismo se le informa que de conformidad a lo señalado en el artículo 7.36 del Código Administrativo del Estado de México; 25 y 26 del Reglamento Interior de la Secretaría de Movilidad, todas las concesiones y permisos para la prestación de los Servicios Auxiliares de Grúas de Salvamento y Arrastres, deben ser inscritos y materializados ante el Registro Estatal de Transporte Público y solo una consulta en éste podría dar certeza de las concesiones y permisos otorgados, así como el expediente que lo acredite, sin que esta Subsecretaría tenga facultades sobre dicho Registro.</w:t>
      </w:r>
    </w:p>
    <w:p w:rsidR="00766791" w:rsidRPr="00AC562A" w:rsidRDefault="00766791" w:rsidP="00766791">
      <w:pPr>
        <w:spacing w:line="360" w:lineRule="auto"/>
        <w:ind w:left="851" w:right="822"/>
        <w:jc w:val="both"/>
        <w:rPr>
          <w:rFonts w:ascii="Palatino Linotype" w:hAnsi="Palatino Linotype"/>
          <w:i/>
          <w:sz w:val="22"/>
        </w:rPr>
      </w:pPr>
    </w:p>
    <w:p w:rsidR="00766791" w:rsidRPr="00AC562A" w:rsidRDefault="00766791" w:rsidP="00766791">
      <w:pPr>
        <w:spacing w:line="360" w:lineRule="auto"/>
        <w:ind w:left="851" w:right="822"/>
        <w:jc w:val="both"/>
        <w:rPr>
          <w:rFonts w:ascii="Palatino Linotype" w:hAnsi="Palatino Linotype"/>
          <w:i/>
          <w:sz w:val="22"/>
        </w:rPr>
      </w:pPr>
      <w:r w:rsidRPr="00AC562A">
        <w:rPr>
          <w:rFonts w:ascii="Palatino Linotype" w:hAnsi="Palatino Linotype"/>
          <w:i/>
          <w:sz w:val="22"/>
        </w:rPr>
        <w:t xml:space="preserve">Sin más por el momento, me reitero a sus apreciables órdenes.” </w:t>
      </w:r>
    </w:p>
    <w:p w:rsidR="00766791" w:rsidRPr="00AC562A" w:rsidRDefault="00766791" w:rsidP="00766791">
      <w:pPr>
        <w:spacing w:line="360" w:lineRule="auto"/>
        <w:ind w:left="851" w:right="822"/>
        <w:jc w:val="both"/>
        <w:rPr>
          <w:rFonts w:ascii="Palatino Linotype" w:hAnsi="Palatino Linotype"/>
          <w:b/>
          <w:i/>
          <w:sz w:val="22"/>
          <w:u w:val="single"/>
        </w:rPr>
      </w:pPr>
    </w:p>
    <w:p w:rsidR="00766791" w:rsidRPr="00AC562A" w:rsidRDefault="00766791" w:rsidP="00766791">
      <w:pPr>
        <w:spacing w:line="360" w:lineRule="auto"/>
        <w:ind w:left="851" w:right="822"/>
        <w:jc w:val="both"/>
        <w:rPr>
          <w:rFonts w:ascii="Palatino Linotype" w:hAnsi="Palatino Linotype"/>
          <w:b/>
          <w:i/>
          <w:sz w:val="22"/>
          <w:u w:val="single"/>
        </w:rPr>
      </w:pPr>
      <w:r w:rsidRPr="00AC562A">
        <w:rPr>
          <w:rFonts w:ascii="Palatino Linotype" w:hAnsi="Palatino Linotype"/>
          <w:b/>
          <w:i/>
          <w:sz w:val="22"/>
          <w:u w:val="single"/>
        </w:rPr>
        <w:t xml:space="preserve">Dirección General del Registro Estatal de Transporte Público </w:t>
      </w:r>
    </w:p>
    <w:p w:rsidR="00766791" w:rsidRPr="00AC562A" w:rsidRDefault="00766791" w:rsidP="00766791">
      <w:pPr>
        <w:spacing w:line="360" w:lineRule="auto"/>
        <w:ind w:left="851" w:right="822"/>
        <w:jc w:val="both"/>
        <w:rPr>
          <w:rFonts w:ascii="Palatino Linotype" w:hAnsi="Palatino Linotype"/>
          <w:i/>
          <w:sz w:val="22"/>
        </w:rPr>
      </w:pPr>
    </w:p>
    <w:p w:rsidR="00766791" w:rsidRPr="00AC562A" w:rsidRDefault="00766791" w:rsidP="00766791">
      <w:pPr>
        <w:spacing w:line="360" w:lineRule="auto"/>
        <w:ind w:left="851" w:right="822"/>
        <w:jc w:val="both"/>
        <w:rPr>
          <w:rFonts w:ascii="Palatino Linotype" w:hAnsi="Palatino Linotype"/>
          <w:i/>
          <w:sz w:val="22"/>
        </w:rPr>
      </w:pPr>
      <w:r w:rsidRPr="00AC562A">
        <w:rPr>
          <w:rFonts w:ascii="Palatino Linotype" w:hAnsi="Palatino Linotype"/>
          <w:i/>
          <w:sz w:val="22"/>
        </w:rPr>
        <w:t xml:space="preserve">“Con fundamento en los artículos 6 de la Constitución Política de los Estados Unidos Mexicanos, 78 y 143 de la Constitución Política del Estado Libre y Soberano de México; 1, 3, 15, 19 fracción XVI y 32 fracción XVIII de la Ley Orgánica de la Administración Pública, 1.1 fracción VI del Código Administrativo, ambos del Estado de México; 1, 4, 7, 8, 11, 12, 17, 21, 59, 92, 150, 160 y 161 de la Ley de Transparencia y Acceso a la Información Pública del Estado de México y Municipios; 1, 2, 3 fracciones VII y XI; 25 del Reglamento Interior de la Secretaría de Movilidad y en aras de un libre acceso a la información pública gubernamental, doy respuesta a su solicitud con número de folio 00314/SMOV/IP/2022, presentada </w:t>
      </w:r>
      <w:r w:rsidRPr="00AC562A">
        <w:rPr>
          <w:rFonts w:ascii="Palatino Linotype" w:hAnsi="Palatino Linotype"/>
          <w:i/>
          <w:sz w:val="22"/>
        </w:rPr>
        <w:lastRenderedPageBreak/>
        <w:t xml:space="preserve">ante el Instituto de Transparencia, Acceso a la Información Pública y Protección de Datos Personales del Estado de México y Municipios, donde se señala: “Con fundamento en el artículo 6to Constitucional y demás relativos y aplicables, solicito la siguiente información: ¿Cuál es el número de registro como permisionario y/o concesionario del servicio de arrastre, salvamento guarda, custodia y depósito de vehículos para la empresa Servicio de Grúas Sultepec SA de CV Y GENESIS,el número de registro y si tal registro es como permisionario o concesionario. ¿Cuáles son las zonas de operación de estas Grúas. respecto del numero de registro que corresponda? La información antes mencionada no atenta contra lo estipulado en la LGTAIP y no se está solicitando información de tipo confidencial por lo que la presente solicitud está conforme a derecho.” [Sic]. </w:t>
      </w:r>
    </w:p>
    <w:p w:rsidR="00766791" w:rsidRPr="00AC562A" w:rsidRDefault="00766791" w:rsidP="00766791">
      <w:pPr>
        <w:spacing w:line="360" w:lineRule="auto"/>
        <w:ind w:left="851" w:right="822"/>
        <w:jc w:val="both"/>
        <w:rPr>
          <w:rFonts w:ascii="Palatino Linotype" w:hAnsi="Palatino Linotype"/>
          <w:i/>
          <w:sz w:val="22"/>
        </w:rPr>
      </w:pPr>
    </w:p>
    <w:p w:rsidR="00766791" w:rsidRPr="00AC562A" w:rsidRDefault="00766791" w:rsidP="00766791">
      <w:pPr>
        <w:spacing w:line="360" w:lineRule="auto"/>
        <w:ind w:left="851" w:right="822"/>
        <w:jc w:val="both"/>
        <w:rPr>
          <w:rFonts w:ascii="Palatino Linotype" w:hAnsi="Palatino Linotype"/>
          <w:i/>
          <w:sz w:val="22"/>
        </w:rPr>
      </w:pPr>
      <w:r w:rsidRPr="00AC562A">
        <w:rPr>
          <w:rFonts w:ascii="Palatino Linotype" w:hAnsi="Palatino Linotype"/>
          <w:i/>
          <w:sz w:val="22"/>
        </w:rPr>
        <w:t xml:space="preserve">Al respecto, es importante invocar el artículo 143 de la Constitución Política del Estado Libre y Soberano de México, que indica, las autoridades administrativas únicamente pueden hacer lo que la ley expresamente les confiere, ergo, de conformidad con el artículo 25 del Reglamento Interior de la Secretaría de Movilidad, esta Dirección General del Registro Estatal de Transporte Público únicamente tiene atribuciones para integrar y custodiar la información que con motivo del otorgamiento de concesiones y/o permisos se genere para la prestación del servicio de transporte público. </w:t>
      </w:r>
    </w:p>
    <w:p w:rsidR="00766791" w:rsidRPr="00AC562A" w:rsidRDefault="00766791" w:rsidP="00766791">
      <w:pPr>
        <w:spacing w:line="360" w:lineRule="auto"/>
        <w:ind w:left="851" w:right="822"/>
        <w:jc w:val="both"/>
        <w:rPr>
          <w:rFonts w:ascii="Palatino Linotype" w:hAnsi="Palatino Linotype"/>
          <w:i/>
          <w:sz w:val="22"/>
        </w:rPr>
      </w:pPr>
    </w:p>
    <w:p w:rsidR="00766791" w:rsidRPr="00AC562A" w:rsidRDefault="00766791" w:rsidP="00766791">
      <w:pPr>
        <w:spacing w:line="360" w:lineRule="auto"/>
        <w:ind w:left="851" w:right="822"/>
        <w:jc w:val="both"/>
        <w:rPr>
          <w:rFonts w:ascii="Palatino Linotype" w:hAnsi="Palatino Linotype"/>
          <w:i/>
          <w:sz w:val="22"/>
        </w:rPr>
      </w:pPr>
      <w:r w:rsidRPr="00AC562A">
        <w:rPr>
          <w:rFonts w:ascii="Palatino Linotype" w:hAnsi="Palatino Linotype"/>
          <w:i/>
          <w:sz w:val="22"/>
        </w:rPr>
        <w:t xml:space="preserve">En ese contexto, en observancia de las atribuciones conferidas a esta Dirección General del Registro Estatal de Transporte Público, así como las funciones asignadas en carácter de Sujeto Habilitado, ergo en concordancia de lo dispuesto en el párrafo segundo del precepto 12 de la Ley de Transparencia y Acceso a la Información Pública del Estado de México y Municipios, que indica: “Los sujetos obligados sólo proporcionarán la información pública que se les requiera y que obre en sus archivos </w:t>
      </w:r>
      <w:r w:rsidRPr="00AC562A">
        <w:rPr>
          <w:rFonts w:ascii="Palatino Linotype" w:hAnsi="Palatino Linotype"/>
          <w:i/>
          <w:sz w:val="22"/>
        </w:rPr>
        <w:lastRenderedPageBreak/>
        <w:t xml:space="preserve">y en el estado en que ésta se encuentre.”, hago de su conocimiento que se realizó una búsqueda en los archivos digitales del Registro Estatal de Transporte Público, de la denominada Servicio de Grúas Sultepec SA de CV Y GENESIS, sin encontrar antecedente, por lo que no es posible proporcionar los datos requeridos. </w:t>
      </w:r>
    </w:p>
    <w:p w:rsidR="00766791" w:rsidRPr="00AC562A" w:rsidRDefault="00766791" w:rsidP="00766791">
      <w:pPr>
        <w:spacing w:line="360" w:lineRule="auto"/>
        <w:ind w:left="851" w:right="822"/>
        <w:jc w:val="both"/>
        <w:rPr>
          <w:rFonts w:ascii="Palatino Linotype" w:hAnsi="Palatino Linotype"/>
          <w:i/>
          <w:sz w:val="22"/>
        </w:rPr>
      </w:pPr>
    </w:p>
    <w:p w:rsidR="00766791" w:rsidRPr="00AC562A" w:rsidRDefault="00766791" w:rsidP="00766791">
      <w:pPr>
        <w:spacing w:line="360" w:lineRule="auto"/>
        <w:ind w:left="851" w:right="822"/>
        <w:jc w:val="both"/>
        <w:rPr>
          <w:rFonts w:ascii="Palatino Linotype" w:hAnsi="Palatino Linotype"/>
          <w:i/>
          <w:sz w:val="22"/>
        </w:rPr>
      </w:pPr>
      <w:r w:rsidRPr="00AC562A">
        <w:rPr>
          <w:rFonts w:ascii="Palatino Linotype" w:hAnsi="Palatino Linotype"/>
          <w:i/>
          <w:sz w:val="22"/>
        </w:rPr>
        <w:t>Sin más por el momento envío un cordial saludo.”</w:t>
      </w:r>
    </w:p>
    <w:p w:rsidR="004D2304" w:rsidRPr="00AC562A" w:rsidRDefault="004D2304" w:rsidP="004D2304">
      <w:pPr>
        <w:spacing w:line="360" w:lineRule="auto"/>
        <w:ind w:right="567"/>
        <w:jc w:val="both"/>
        <w:rPr>
          <w:rFonts w:ascii="Palatino Linotype" w:hAnsi="Palatino Linotype"/>
          <w:i/>
        </w:rPr>
      </w:pPr>
    </w:p>
    <w:p w:rsidR="004D2304" w:rsidRPr="00AC562A" w:rsidRDefault="004D2304" w:rsidP="004D2304">
      <w:pPr>
        <w:pStyle w:val="Prrafodelista"/>
        <w:numPr>
          <w:ilvl w:val="0"/>
          <w:numId w:val="1"/>
        </w:numPr>
        <w:spacing w:line="360" w:lineRule="auto"/>
        <w:ind w:left="0" w:firstLine="0"/>
        <w:jc w:val="both"/>
        <w:rPr>
          <w:rFonts w:ascii="Palatino Linotype" w:eastAsiaTheme="minorEastAsia" w:hAnsi="Palatino Linotype" w:cs="Arial"/>
          <w:i/>
          <w:sz w:val="24"/>
          <w:lang w:val="es-ES_tradnl" w:eastAsia="es-ES"/>
        </w:rPr>
      </w:pPr>
      <w:r w:rsidRPr="00AC562A">
        <w:rPr>
          <w:rFonts w:ascii="Palatino Linotype" w:eastAsia="Calibri" w:hAnsi="Palatino Linotype" w:cs="Arial"/>
          <w:sz w:val="24"/>
          <w:lang w:val="es-AR" w:eastAsia="es-ES"/>
        </w:rPr>
        <w:t xml:space="preserve">Derivado de la respuesta, el </w:t>
      </w:r>
      <w:r w:rsidR="00F23912" w:rsidRPr="00AC562A">
        <w:rPr>
          <w:rFonts w:ascii="Palatino Linotype" w:eastAsia="Calibri" w:hAnsi="Palatino Linotype" w:cs="Arial"/>
          <w:sz w:val="24"/>
          <w:lang w:val="es-AR" w:eastAsia="es-ES"/>
        </w:rPr>
        <w:t>tres (03) de agosto</w:t>
      </w:r>
      <w:r w:rsidRPr="00AC562A">
        <w:rPr>
          <w:rFonts w:ascii="Palatino Linotype" w:eastAsia="Calibri" w:hAnsi="Palatino Linotype" w:cs="Arial"/>
          <w:sz w:val="24"/>
          <w:lang w:val="es-AR" w:eastAsia="es-ES"/>
        </w:rPr>
        <w:t xml:space="preserve"> de dos mil veintidós</w:t>
      </w:r>
      <w:r w:rsidRPr="00AC562A">
        <w:rPr>
          <w:rFonts w:ascii="Palatino Linotype" w:hAnsi="Palatino Linotype" w:cs="Arial"/>
          <w:sz w:val="24"/>
          <w:lang w:val="es-ES" w:eastAsia="es-ES"/>
        </w:rPr>
        <w:t xml:space="preserve">, </w:t>
      </w:r>
      <w:r w:rsidRPr="00AC562A">
        <w:rPr>
          <w:rFonts w:ascii="Palatino Linotype" w:eastAsiaTheme="minorEastAsia" w:hAnsi="Palatino Linotype"/>
          <w:b/>
          <w:sz w:val="24"/>
          <w:lang w:val="es-ES_tradnl" w:eastAsia="es-ES"/>
        </w:rPr>
        <w:t>EL RECURRENTE</w:t>
      </w:r>
      <w:r w:rsidRPr="00AC562A">
        <w:rPr>
          <w:rFonts w:ascii="Palatino Linotype" w:hAnsi="Palatino Linotype" w:cs="Arial"/>
          <w:sz w:val="24"/>
          <w:lang w:val="es-ES" w:eastAsia="es-ES"/>
        </w:rPr>
        <w:t xml:space="preserve"> interpuso el recurso de revisión, en contra de la respuesta, señalando como:</w:t>
      </w:r>
      <w:bookmarkStart w:id="1" w:name="_Toc462307683"/>
      <w:bookmarkStart w:id="2" w:name="_Toc472427085"/>
      <w:bookmarkStart w:id="3" w:name="_Toc472500652"/>
    </w:p>
    <w:p w:rsidR="004D2304" w:rsidRPr="00AC562A" w:rsidRDefault="004D2304" w:rsidP="004D2304">
      <w:pPr>
        <w:spacing w:line="360" w:lineRule="auto"/>
        <w:ind w:left="567" w:right="567"/>
        <w:contextualSpacing/>
        <w:rPr>
          <w:rFonts w:ascii="Palatino Linotype" w:eastAsiaTheme="minorEastAsia" w:hAnsi="Palatino Linotype" w:cs="Arial"/>
          <w:i/>
          <w:lang w:val="es-ES_tradnl" w:eastAsia="es-ES"/>
        </w:rPr>
      </w:pPr>
    </w:p>
    <w:p w:rsidR="004D2304" w:rsidRPr="00AC562A" w:rsidRDefault="004D2304" w:rsidP="004D2304">
      <w:pPr>
        <w:spacing w:line="360" w:lineRule="auto"/>
        <w:ind w:left="567" w:right="567"/>
        <w:contextualSpacing/>
        <w:jc w:val="both"/>
        <w:rPr>
          <w:rFonts w:ascii="Palatino Linotype" w:hAnsi="Palatino Linotype"/>
          <w:i/>
          <w:color w:val="000000"/>
        </w:rPr>
      </w:pPr>
      <w:r w:rsidRPr="00AC562A">
        <w:rPr>
          <w:rFonts w:ascii="Palatino Linotype" w:eastAsiaTheme="minorEastAsia" w:hAnsi="Palatino Linotype"/>
          <w:b/>
          <w:lang w:val="es-ES_tradnl" w:eastAsia="es-ES"/>
        </w:rPr>
        <w:t>Acto impugnado</w:t>
      </w:r>
      <w:r w:rsidRPr="00AC562A">
        <w:rPr>
          <w:rFonts w:ascii="Palatino Linotype" w:eastAsiaTheme="minorEastAsia" w:hAnsi="Palatino Linotype"/>
          <w:b/>
          <w:i/>
          <w:lang w:val="es-ES_tradnl" w:eastAsia="es-ES"/>
        </w:rPr>
        <w:t>:</w:t>
      </w:r>
      <w:r w:rsidRPr="00AC562A">
        <w:rPr>
          <w:rFonts w:ascii="Palatino Linotype" w:hAnsi="Palatino Linotype"/>
          <w:i/>
          <w:color w:val="000000"/>
        </w:rPr>
        <w:t xml:space="preserve"> “</w:t>
      </w:r>
      <w:r w:rsidR="00F23912" w:rsidRPr="00AC562A">
        <w:rPr>
          <w:rFonts w:ascii="Palatino Linotype" w:hAnsi="Palatino Linotype"/>
          <w:i/>
          <w:color w:val="000000"/>
        </w:rPr>
        <w:t>la respuesta entregada</w:t>
      </w:r>
      <w:r w:rsidRPr="00AC562A">
        <w:rPr>
          <w:rFonts w:ascii="Palatino Linotype" w:hAnsi="Palatino Linotype"/>
          <w:i/>
          <w:color w:val="000000"/>
        </w:rPr>
        <w:t>" (Sic)</w:t>
      </w:r>
    </w:p>
    <w:p w:rsidR="004D2304" w:rsidRPr="00AC562A" w:rsidRDefault="004D2304" w:rsidP="004D2304">
      <w:pPr>
        <w:spacing w:line="360" w:lineRule="auto"/>
        <w:ind w:left="567" w:right="567"/>
        <w:contextualSpacing/>
        <w:jc w:val="both"/>
        <w:rPr>
          <w:rFonts w:ascii="Palatino Linotype" w:eastAsia="Calibri" w:hAnsi="Palatino Linotype" w:cs="Arial"/>
          <w:b/>
          <w:i/>
          <w:lang w:val="es-ES" w:eastAsia="es-ES"/>
        </w:rPr>
      </w:pPr>
    </w:p>
    <w:p w:rsidR="004D2304" w:rsidRPr="00AC562A" w:rsidRDefault="004D2304" w:rsidP="004D2304">
      <w:pPr>
        <w:spacing w:line="360" w:lineRule="auto"/>
        <w:ind w:left="567" w:right="567"/>
        <w:contextualSpacing/>
        <w:jc w:val="both"/>
        <w:rPr>
          <w:rFonts w:ascii="Palatino Linotype" w:eastAsia="Calibri" w:hAnsi="Palatino Linotype" w:cs="Arial"/>
          <w:b/>
          <w:lang w:val="es-ES" w:eastAsia="es-ES"/>
        </w:rPr>
      </w:pPr>
      <w:r w:rsidRPr="00AC562A">
        <w:rPr>
          <w:rFonts w:ascii="Palatino Linotype" w:eastAsia="Calibri" w:hAnsi="Palatino Linotype" w:cs="Arial"/>
          <w:b/>
          <w:lang w:val="es-ES" w:eastAsia="es-ES"/>
        </w:rPr>
        <w:t xml:space="preserve">Razones o motivos de inconformidad: </w:t>
      </w:r>
      <w:r w:rsidRPr="00AC562A">
        <w:rPr>
          <w:rFonts w:ascii="Palatino Linotype" w:hAnsi="Palatino Linotype"/>
          <w:i/>
          <w:color w:val="000000"/>
        </w:rPr>
        <w:t>“</w:t>
      </w:r>
      <w:r w:rsidR="00F23912" w:rsidRPr="00AC562A">
        <w:rPr>
          <w:rFonts w:ascii="Palatino Linotype" w:hAnsi="Palatino Linotype"/>
          <w:i/>
          <w:color w:val="000000"/>
        </w:rPr>
        <w:t>niegan la información cuan do mi vehciulo esta en ese corralon como dicen que no existe</w:t>
      </w:r>
      <w:r w:rsidRPr="00AC562A">
        <w:rPr>
          <w:rFonts w:ascii="Palatino Linotype" w:hAnsi="Palatino Linotype"/>
          <w:i/>
          <w:color w:val="000000"/>
        </w:rPr>
        <w:t>" (Sic)</w:t>
      </w:r>
    </w:p>
    <w:bookmarkEnd w:id="1"/>
    <w:bookmarkEnd w:id="2"/>
    <w:bookmarkEnd w:id="3"/>
    <w:p w:rsidR="004D2304" w:rsidRPr="00AC562A" w:rsidRDefault="004D2304" w:rsidP="004D2304">
      <w:pPr>
        <w:spacing w:line="360" w:lineRule="auto"/>
        <w:jc w:val="both"/>
        <w:rPr>
          <w:rFonts w:ascii="Palatino Linotype" w:eastAsia="Calibri" w:hAnsi="Palatino Linotype" w:cs="Arial"/>
          <w:lang w:val="es-AR" w:eastAsia="es-ES"/>
        </w:rPr>
      </w:pPr>
    </w:p>
    <w:p w:rsidR="004D2304" w:rsidRPr="00AC562A" w:rsidRDefault="004D2304" w:rsidP="004D2304">
      <w:pPr>
        <w:pStyle w:val="Prrafodelista"/>
        <w:numPr>
          <w:ilvl w:val="0"/>
          <w:numId w:val="1"/>
        </w:numPr>
        <w:spacing w:line="360" w:lineRule="auto"/>
        <w:ind w:left="0" w:firstLine="0"/>
        <w:jc w:val="both"/>
        <w:rPr>
          <w:rFonts w:ascii="Palatino Linotype" w:eastAsia="Calibri" w:hAnsi="Palatino Linotype" w:cs="Arial"/>
          <w:sz w:val="24"/>
          <w:lang w:val="es-AR" w:eastAsia="es-ES"/>
        </w:rPr>
      </w:pPr>
      <w:r w:rsidRPr="00AC562A">
        <w:rPr>
          <w:rFonts w:ascii="Palatino Linotype" w:hAnsi="Palatino Linotype" w:cs="Arial"/>
          <w:sz w:val="24"/>
          <w:lang w:val="es-ES" w:eastAsia="es-ES"/>
        </w:rPr>
        <w:t xml:space="preserve">Se registró el recurso de revisión bajo el número de expediente </w:t>
      </w:r>
      <w:r w:rsidRPr="00AC562A">
        <w:rPr>
          <w:rFonts w:ascii="Palatino Linotype" w:eastAsiaTheme="minorEastAsia" w:hAnsi="Palatino Linotype" w:cs="Arial"/>
          <w:bCs/>
          <w:sz w:val="24"/>
          <w:lang w:val="es-ES_tradnl" w:eastAsia="es-ES"/>
        </w:rPr>
        <w:t xml:space="preserve">al rubro indicado, asimismo con fundamento en lo dispuesto por el </w:t>
      </w:r>
      <w:r w:rsidRPr="00AC562A">
        <w:rPr>
          <w:rFonts w:ascii="Palatino Linotype" w:eastAsia="Calibri" w:hAnsi="Palatino Linotype" w:cs="Arial"/>
          <w:sz w:val="24"/>
          <w:lang w:val="es-ES" w:eastAsia="es-ES"/>
        </w:rPr>
        <w:t xml:space="preserve">artículo 185 fracción I de la </w:t>
      </w:r>
      <w:r w:rsidRPr="00AC562A">
        <w:rPr>
          <w:rFonts w:ascii="Palatino Linotype" w:eastAsia="Calibri" w:hAnsi="Palatino Linotype" w:cs="Arial"/>
          <w:b/>
          <w:sz w:val="24"/>
          <w:lang w:val="es-ES" w:eastAsia="es-ES"/>
        </w:rPr>
        <w:t xml:space="preserve">Ley de Transparencia y Acceso a la Información Pública del Estado de México y Municipios </w:t>
      </w:r>
      <w:r w:rsidRPr="00AC562A">
        <w:rPr>
          <w:rFonts w:ascii="Palatino Linotype" w:hAnsi="Palatino Linotype" w:cs="Arial"/>
          <w:sz w:val="24"/>
          <w:lang w:val="es-ES" w:eastAsia="es-ES"/>
        </w:rPr>
        <w:t xml:space="preserve">se turnó a la </w:t>
      </w:r>
      <w:r w:rsidRPr="00AC562A">
        <w:rPr>
          <w:rFonts w:ascii="Palatino Linotype" w:hAnsi="Palatino Linotype" w:cs="Arial"/>
          <w:b/>
          <w:sz w:val="24"/>
          <w:lang w:val="es-ES" w:eastAsia="es-ES"/>
        </w:rPr>
        <w:t xml:space="preserve">Comisionada María del Rosario Mejía Ayala, </w:t>
      </w:r>
      <w:r w:rsidRPr="00AC562A">
        <w:rPr>
          <w:rFonts w:ascii="Palatino Linotype" w:hAnsi="Palatino Linotype" w:cs="Arial"/>
          <w:sz w:val="24"/>
          <w:lang w:val="es-ES" w:eastAsia="es-ES"/>
        </w:rPr>
        <w:t xml:space="preserve">con el objeto de </w:t>
      </w:r>
      <w:r w:rsidRPr="00AC562A">
        <w:rPr>
          <w:rFonts w:ascii="Palatino Linotype" w:hAnsi="Palatino Linotype" w:cs="Arial"/>
          <w:sz w:val="24"/>
          <w:lang w:eastAsia="es-ES"/>
        </w:rPr>
        <w:t xml:space="preserve">su análisis. </w:t>
      </w:r>
    </w:p>
    <w:p w:rsidR="004D2304" w:rsidRPr="00AC562A" w:rsidRDefault="004D2304" w:rsidP="004D2304">
      <w:pPr>
        <w:spacing w:line="360" w:lineRule="auto"/>
        <w:contextualSpacing/>
        <w:jc w:val="both"/>
        <w:rPr>
          <w:rFonts w:ascii="Palatino Linotype" w:eastAsia="Calibri" w:hAnsi="Palatino Linotype" w:cs="Arial"/>
          <w:lang w:val="es-AR" w:eastAsia="es-ES"/>
        </w:rPr>
      </w:pPr>
    </w:p>
    <w:p w:rsidR="004D2304" w:rsidRPr="00AC562A" w:rsidRDefault="004D2304" w:rsidP="004D2304">
      <w:pPr>
        <w:pStyle w:val="Prrafodelista"/>
        <w:numPr>
          <w:ilvl w:val="0"/>
          <w:numId w:val="1"/>
        </w:numPr>
        <w:spacing w:line="360" w:lineRule="auto"/>
        <w:ind w:left="0" w:firstLine="0"/>
        <w:jc w:val="both"/>
        <w:rPr>
          <w:rFonts w:ascii="Palatino Linotype" w:eastAsiaTheme="minorEastAsia" w:hAnsi="Palatino Linotype"/>
          <w:i/>
          <w:color w:val="000000"/>
          <w:sz w:val="24"/>
          <w:lang w:val="es-ES_tradnl" w:eastAsia="es-ES"/>
        </w:rPr>
      </w:pPr>
      <w:r w:rsidRPr="00AC562A">
        <w:rPr>
          <w:rFonts w:ascii="Palatino Linotype" w:eastAsia="Calibri" w:hAnsi="Palatino Linotype" w:cs="Arial"/>
          <w:sz w:val="24"/>
          <w:lang w:val="es-ES" w:eastAsia="es-ES"/>
        </w:rPr>
        <w:t xml:space="preserve">El Comisionado Ponente con fundamento en lo dispuesto por el artículo 185 fracción II de la ley de la materia, a través del acuerdo de admisión de fecha ocho (08) de agosto de dos mil veintidós, puso a disposición de las partes el expediente </w:t>
      </w:r>
      <w:r w:rsidRPr="00AC562A">
        <w:rPr>
          <w:rFonts w:ascii="Palatino Linotype" w:eastAsia="Calibri" w:hAnsi="Palatino Linotype" w:cs="Arial"/>
          <w:sz w:val="24"/>
          <w:lang w:val="es-ES" w:eastAsia="es-ES"/>
        </w:rPr>
        <w:lastRenderedPageBreak/>
        <w:t xml:space="preserve">electrónico </w:t>
      </w:r>
      <w:r w:rsidRPr="00AC562A">
        <w:rPr>
          <w:rFonts w:ascii="Palatino Linotype" w:eastAsia="Calibri" w:hAnsi="Palatino Linotype" w:cs="Arial"/>
          <w:sz w:val="24"/>
          <w:lang w:val="es-ES_tradnl" w:eastAsia="es-ES"/>
        </w:rPr>
        <w:t xml:space="preserve">vía </w:t>
      </w:r>
      <w:r w:rsidRPr="00AC562A">
        <w:rPr>
          <w:rFonts w:ascii="Palatino Linotype" w:eastAsia="Calibri" w:hAnsi="Palatino Linotype" w:cs="Arial"/>
          <w:b/>
          <w:sz w:val="24"/>
          <w:lang w:val="es-ES" w:eastAsia="es-ES"/>
        </w:rPr>
        <w:t xml:space="preserve">SAIMEX </w:t>
      </w:r>
      <w:r w:rsidRPr="00AC562A">
        <w:rPr>
          <w:rFonts w:ascii="Palatino Linotype" w:eastAsia="Calibri" w:hAnsi="Palatino Linotype" w:cs="Arial"/>
          <w:sz w:val="24"/>
          <w:lang w:val="es-ES" w:eastAsia="es-ES"/>
        </w:rPr>
        <w:t xml:space="preserve">a efecto de que en un plazo máximo de siete días manifestaran lo que a derecho convinieran, ofrecieran pruebas y alegatos según corresponda al caso concreto, de esta forma para que el </w:t>
      </w:r>
      <w:r w:rsidRPr="00AC562A">
        <w:rPr>
          <w:rFonts w:ascii="Palatino Linotype" w:eastAsia="Calibri" w:hAnsi="Palatino Linotype" w:cs="Arial"/>
          <w:b/>
          <w:sz w:val="24"/>
          <w:lang w:val="es-ES" w:eastAsia="es-ES"/>
        </w:rPr>
        <w:t>SUJETO OBLIGADO</w:t>
      </w:r>
      <w:r w:rsidRPr="00AC562A">
        <w:rPr>
          <w:rFonts w:ascii="Palatino Linotype" w:eastAsia="Calibri" w:hAnsi="Palatino Linotype" w:cs="Arial"/>
          <w:sz w:val="24"/>
          <w:lang w:val="es-ES" w:eastAsia="es-ES"/>
        </w:rPr>
        <w:t xml:space="preserve"> presentara el informe justificado procedente. </w:t>
      </w:r>
    </w:p>
    <w:p w:rsidR="004D2304" w:rsidRPr="00AC562A" w:rsidRDefault="004D2304" w:rsidP="004D2304">
      <w:pPr>
        <w:pStyle w:val="Prrafodelista"/>
        <w:rPr>
          <w:rFonts w:ascii="Palatino Linotype" w:eastAsia="Calibri" w:hAnsi="Palatino Linotype" w:cs="Arial"/>
          <w:sz w:val="24"/>
          <w:lang w:val="es-ES" w:eastAsia="es-ES"/>
        </w:rPr>
      </w:pPr>
    </w:p>
    <w:p w:rsidR="004D2304" w:rsidRPr="00AC562A" w:rsidRDefault="004D2304" w:rsidP="004D2304">
      <w:pPr>
        <w:pStyle w:val="Prrafodelista"/>
        <w:numPr>
          <w:ilvl w:val="0"/>
          <w:numId w:val="1"/>
        </w:numPr>
        <w:spacing w:line="360" w:lineRule="auto"/>
        <w:ind w:left="0" w:firstLine="0"/>
        <w:jc w:val="both"/>
        <w:rPr>
          <w:rFonts w:ascii="Palatino Linotype" w:eastAsiaTheme="minorEastAsia" w:hAnsi="Palatino Linotype"/>
          <w:i/>
          <w:color w:val="000000"/>
          <w:sz w:val="24"/>
          <w:lang w:val="es-ES_tradnl" w:eastAsia="es-ES"/>
        </w:rPr>
      </w:pPr>
      <w:r w:rsidRPr="00AC562A">
        <w:rPr>
          <w:rFonts w:ascii="Palatino Linotype" w:eastAsia="Calibri" w:hAnsi="Palatino Linotype" w:cs="Arial"/>
          <w:sz w:val="24"/>
          <w:lang w:val="es-ES" w:eastAsia="es-ES"/>
        </w:rPr>
        <w:t>En este caso, el particular no realizó manifestaciones; por su parte el SUJETO OBLIGADO remitió inform</w:t>
      </w:r>
      <w:r w:rsidR="00F23912" w:rsidRPr="00AC562A">
        <w:rPr>
          <w:rFonts w:ascii="Palatino Linotype" w:eastAsia="Calibri" w:hAnsi="Palatino Linotype" w:cs="Arial"/>
          <w:sz w:val="24"/>
          <w:lang w:val="es-ES" w:eastAsia="es-ES"/>
        </w:rPr>
        <w:t>e justificado en fecha diecisiete (17</w:t>
      </w:r>
      <w:r w:rsidRPr="00AC562A">
        <w:rPr>
          <w:rFonts w:ascii="Palatino Linotype" w:eastAsia="Calibri" w:hAnsi="Palatino Linotype" w:cs="Arial"/>
          <w:sz w:val="24"/>
          <w:lang w:val="es-ES" w:eastAsia="es-ES"/>
        </w:rPr>
        <w:t>) de agosto de dos mil veintidós, mismo que fue puesto a la vista del particular el día veintinueve (29) de septiembre del mismo año</w:t>
      </w:r>
      <w:r w:rsidR="00F23912" w:rsidRPr="00AC562A">
        <w:rPr>
          <w:rFonts w:ascii="Palatino Linotype" w:eastAsia="Calibri" w:hAnsi="Palatino Linotype" w:cs="Arial"/>
          <w:sz w:val="24"/>
          <w:lang w:val="es-ES" w:eastAsia="es-ES"/>
        </w:rPr>
        <w:t xml:space="preserve"> y que consta de los archivos que se describen a continuación</w:t>
      </w:r>
      <w:r w:rsidRPr="00AC562A">
        <w:rPr>
          <w:rFonts w:ascii="Palatino Linotype" w:eastAsia="Calibri" w:hAnsi="Palatino Linotype" w:cs="Arial"/>
          <w:sz w:val="24"/>
          <w:lang w:val="es-ES" w:eastAsia="es-ES"/>
        </w:rPr>
        <w:t>:</w:t>
      </w:r>
    </w:p>
    <w:p w:rsidR="004D2304" w:rsidRPr="00AC562A" w:rsidRDefault="004D2304" w:rsidP="004D2304">
      <w:pPr>
        <w:pStyle w:val="Prrafodelista"/>
        <w:rPr>
          <w:rFonts w:ascii="Palatino Linotype" w:eastAsiaTheme="minorEastAsia" w:hAnsi="Palatino Linotype"/>
          <w:i/>
          <w:color w:val="000000"/>
          <w:sz w:val="24"/>
          <w:lang w:val="es-ES_tradnl" w:eastAsia="es-ES"/>
        </w:rPr>
      </w:pPr>
    </w:p>
    <w:p w:rsidR="004D2304" w:rsidRPr="00AC562A" w:rsidRDefault="00AC562A" w:rsidP="00F23912">
      <w:pPr>
        <w:pStyle w:val="Prrafodelista"/>
        <w:numPr>
          <w:ilvl w:val="0"/>
          <w:numId w:val="4"/>
        </w:numPr>
        <w:spacing w:line="360" w:lineRule="auto"/>
        <w:rPr>
          <w:rFonts w:ascii="Palatino Linotype" w:hAnsi="Palatino Linotype"/>
          <w:szCs w:val="22"/>
        </w:rPr>
      </w:pPr>
      <w:hyperlink r:id="rId8" w:history="1">
        <w:r w:rsidR="00F23912" w:rsidRPr="00AC562A">
          <w:rPr>
            <w:rStyle w:val="Hipervnculo"/>
            <w:rFonts w:ascii="Palatino Linotype" w:hAnsi="Palatino Linotype" w:cs="Arial"/>
            <w:b/>
            <w:bCs/>
            <w:color w:val="auto"/>
            <w:szCs w:val="22"/>
          </w:rPr>
          <w:t>Informe Justificado RR 13118.pdf</w:t>
        </w:r>
      </w:hyperlink>
      <w:r w:rsidR="00F23912" w:rsidRPr="00AC562A">
        <w:rPr>
          <w:rFonts w:ascii="Palatino Linotype" w:hAnsi="Palatino Linotype"/>
          <w:szCs w:val="22"/>
        </w:rPr>
        <w:t xml:space="preserve">: oficio CCT/UT/0354/2022 de fecha dieciséis de agosto de dos mil veintidós, suscrito por el Titular de la Unidad de Transparencia mediante el cual confirmo su respuesta. </w:t>
      </w:r>
    </w:p>
    <w:p w:rsidR="00F23912" w:rsidRPr="00AC562A" w:rsidRDefault="00F23912" w:rsidP="00F23912">
      <w:pPr>
        <w:pStyle w:val="Prrafodelista"/>
        <w:spacing w:line="360" w:lineRule="auto"/>
        <w:rPr>
          <w:rFonts w:ascii="Palatino Linotype" w:hAnsi="Palatino Linotype"/>
          <w:szCs w:val="22"/>
        </w:rPr>
      </w:pPr>
    </w:p>
    <w:p w:rsidR="00F23912" w:rsidRPr="00AC562A" w:rsidRDefault="00AC562A" w:rsidP="007E3525">
      <w:pPr>
        <w:pStyle w:val="Prrafodelista"/>
        <w:numPr>
          <w:ilvl w:val="0"/>
          <w:numId w:val="4"/>
        </w:numPr>
        <w:spacing w:line="360" w:lineRule="auto"/>
        <w:jc w:val="both"/>
        <w:rPr>
          <w:rFonts w:ascii="Palatino Linotype" w:hAnsi="Palatino Linotype"/>
          <w:szCs w:val="22"/>
        </w:rPr>
      </w:pPr>
      <w:hyperlink r:id="rId9" w:history="1">
        <w:r w:rsidR="00F23912" w:rsidRPr="00AC562A">
          <w:rPr>
            <w:rStyle w:val="Hipervnculo"/>
            <w:rFonts w:ascii="Palatino Linotype" w:hAnsi="Palatino Linotype" w:cs="Arial"/>
            <w:b/>
            <w:bCs/>
            <w:color w:val="auto"/>
            <w:szCs w:val="22"/>
          </w:rPr>
          <w:t>Respuesta DGRETP RR 13118.pdf</w:t>
        </w:r>
      </w:hyperlink>
      <w:r w:rsidR="00F23912" w:rsidRPr="00AC562A">
        <w:rPr>
          <w:rFonts w:ascii="Palatino Linotype" w:hAnsi="Palatino Linotype"/>
          <w:szCs w:val="22"/>
        </w:rPr>
        <w:t xml:space="preserve">: oficio </w:t>
      </w:r>
      <w:r w:rsidR="007E3525" w:rsidRPr="00AC562A">
        <w:rPr>
          <w:rFonts w:ascii="Palatino Linotype" w:hAnsi="Palatino Linotype"/>
          <w:szCs w:val="22"/>
        </w:rPr>
        <w:t>DGRETP/22000007000000L/2022/0881 de fecha ocho (08) de agosto de dos mil veintidós, suscrito por el Director General a través del cual confirmo su respuesta y señaló:</w:t>
      </w:r>
      <w:r w:rsidR="007E3525" w:rsidRPr="00AC562A">
        <w:rPr>
          <w:rFonts w:ascii="Palatino Linotype" w:hAnsi="Palatino Linotype"/>
          <w:i/>
          <w:szCs w:val="22"/>
        </w:rPr>
        <w:t xml:space="preserve"> “Por lo que en observancia de las atribuciones que por ley se ostentan y para una mayor referencia, se agregan al presente las pantallas de la búsqueda efectuadas en los archivos digitales del Registro Estatal de Transporte Público de las denominación “Servicio de Grúas Sultepec SA de CV Y GENESIS”, bajo el parámetro denominado: “POR TITULAR O PROPIETARIO”.</w:t>
      </w:r>
    </w:p>
    <w:p w:rsidR="00F23912" w:rsidRPr="00AC562A" w:rsidRDefault="00F23912" w:rsidP="004D2304">
      <w:pPr>
        <w:spacing w:line="360" w:lineRule="auto"/>
        <w:rPr>
          <w:rFonts w:ascii="Palatino Linotype" w:eastAsiaTheme="minorEastAsia" w:hAnsi="Palatino Linotype"/>
          <w:lang w:val="es-ES_tradnl" w:eastAsia="es-ES"/>
        </w:rPr>
      </w:pPr>
    </w:p>
    <w:p w:rsidR="004D2304" w:rsidRPr="00AC562A" w:rsidRDefault="007E3525" w:rsidP="004D2304">
      <w:pPr>
        <w:pStyle w:val="Prrafodelista"/>
        <w:numPr>
          <w:ilvl w:val="0"/>
          <w:numId w:val="1"/>
        </w:numPr>
        <w:spacing w:line="360" w:lineRule="auto"/>
        <w:ind w:left="0" w:firstLine="0"/>
        <w:jc w:val="both"/>
        <w:rPr>
          <w:rFonts w:ascii="Palatino Linotype" w:eastAsiaTheme="minorEastAsia" w:hAnsi="Palatino Linotype"/>
          <w:i/>
          <w:color w:val="000000"/>
          <w:sz w:val="24"/>
          <w:lang w:val="es-ES_tradnl" w:eastAsia="es-ES"/>
        </w:rPr>
      </w:pPr>
      <w:r w:rsidRPr="00AC562A">
        <w:rPr>
          <w:rFonts w:ascii="Palatino Linotype" w:eastAsiaTheme="minorEastAsia" w:hAnsi="Palatino Linotype"/>
          <w:sz w:val="24"/>
          <w:lang w:val="es-ES_tradnl" w:eastAsia="es-ES"/>
        </w:rPr>
        <w:t xml:space="preserve">En fecha doce (12) de diciembre de dos mil veintidós, se notificó el acuerdo de </w:t>
      </w:r>
      <w:r w:rsidR="004D2304" w:rsidRPr="00AC562A">
        <w:rPr>
          <w:rFonts w:ascii="Palatino Linotype" w:eastAsiaTheme="minorEastAsia" w:hAnsi="Palatino Linotype"/>
          <w:sz w:val="24"/>
          <w:lang w:val="es-ES_tradnl" w:eastAsia="es-ES"/>
        </w:rPr>
        <w:t>ampliación de plazo para emitir resolución.</w:t>
      </w:r>
    </w:p>
    <w:p w:rsidR="004D2304" w:rsidRPr="00AC562A" w:rsidRDefault="004D2304" w:rsidP="004D2304">
      <w:pPr>
        <w:pStyle w:val="Prrafodelista"/>
        <w:spacing w:line="360" w:lineRule="auto"/>
        <w:ind w:left="0"/>
        <w:jc w:val="both"/>
        <w:rPr>
          <w:rFonts w:ascii="Palatino Linotype" w:eastAsiaTheme="minorEastAsia" w:hAnsi="Palatino Linotype"/>
          <w:i/>
          <w:color w:val="000000"/>
          <w:sz w:val="24"/>
          <w:lang w:val="es-ES_tradnl" w:eastAsia="es-ES"/>
        </w:rPr>
      </w:pPr>
    </w:p>
    <w:p w:rsidR="004D2304" w:rsidRPr="00AC562A" w:rsidRDefault="004D2304" w:rsidP="004D2304">
      <w:pPr>
        <w:pStyle w:val="Prrafodelista"/>
        <w:numPr>
          <w:ilvl w:val="0"/>
          <w:numId w:val="1"/>
        </w:numPr>
        <w:spacing w:line="360" w:lineRule="auto"/>
        <w:ind w:left="0" w:firstLine="0"/>
        <w:jc w:val="both"/>
        <w:rPr>
          <w:rFonts w:ascii="Palatino Linotype" w:eastAsiaTheme="minorEastAsia" w:hAnsi="Palatino Linotype"/>
          <w:i/>
          <w:color w:val="000000"/>
          <w:sz w:val="28"/>
          <w:lang w:val="es-ES_tradnl" w:eastAsia="es-ES"/>
        </w:rPr>
      </w:pPr>
      <w:r w:rsidRPr="00AC562A">
        <w:rPr>
          <w:rFonts w:ascii="Palatino Linotype" w:hAnsi="Palatino Linotype"/>
          <w:sz w:val="24"/>
        </w:rPr>
        <w:lastRenderedPageBreak/>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4D2304" w:rsidRPr="00AC562A" w:rsidRDefault="004D2304" w:rsidP="004D2304">
      <w:pPr>
        <w:spacing w:line="360" w:lineRule="auto"/>
        <w:rPr>
          <w:rFonts w:ascii="Palatino Linotype" w:hAnsi="Palatino Linotype"/>
        </w:rPr>
      </w:pPr>
    </w:p>
    <w:p w:rsidR="004D2304" w:rsidRPr="00AC562A" w:rsidRDefault="004D2304" w:rsidP="004D2304">
      <w:pPr>
        <w:numPr>
          <w:ilvl w:val="0"/>
          <w:numId w:val="1"/>
        </w:numPr>
        <w:spacing w:line="360" w:lineRule="auto"/>
        <w:ind w:left="0" w:firstLine="0"/>
        <w:contextualSpacing/>
        <w:jc w:val="both"/>
        <w:rPr>
          <w:rFonts w:ascii="Palatino Linotype" w:eastAsia="MS Mincho" w:hAnsi="Palatino Linotype"/>
          <w:b/>
        </w:rPr>
      </w:pPr>
      <w:r w:rsidRPr="00AC562A">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4D2304" w:rsidRPr="00AC562A" w:rsidRDefault="004D2304" w:rsidP="004D2304">
      <w:pPr>
        <w:spacing w:line="360" w:lineRule="auto"/>
        <w:rPr>
          <w:rFonts w:ascii="Palatino Linotype" w:hAnsi="Palatino Linotype"/>
        </w:rPr>
      </w:pPr>
    </w:p>
    <w:p w:rsidR="004D2304" w:rsidRPr="00AC562A" w:rsidRDefault="004D2304" w:rsidP="004D2304">
      <w:pPr>
        <w:numPr>
          <w:ilvl w:val="0"/>
          <w:numId w:val="1"/>
        </w:numPr>
        <w:spacing w:line="360" w:lineRule="auto"/>
        <w:ind w:left="0" w:firstLine="0"/>
        <w:contextualSpacing/>
        <w:jc w:val="both"/>
        <w:rPr>
          <w:rFonts w:ascii="Palatino Linotype" w:eastAsia="MS Mincho" w:hAnsi="Palatino Linotype"/>
          <w:b/>
        </w:rPr>
      </w:pPr>
      <w:r w:rsidRPr="00AC562A">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4D2304" w:rsidRPr="00AC562A" w:rsidRDefault="004D2304" w:rsidP="004D2304">
      <w:pPr>
        <w:spacing w:line="360" w:lineRule="auto"/>
        <w:rPr>
          <w:rFonts w:ascii="Palatino Linotype" w:hAnsi="Palatino Linotype"/>
        </w:rPr>
      </w:pPr>
    </w:p>
    <w:p w:rsidR="004D2304" w:rsidRPr="00AC562A" w:rsidRDefault="004D2304" w:rsidP="004D2304">
      <w:pPr>
        <w:numPr>
          <w:ilvl w:val="0"/>
          <w:numId w:val="1"/>
        </w:numPr>
        <w:spacing w:line="360" w:lineRule="auto"/>
        <w:ind w:left="0" w:firstLine="0"/>
        <w:contextualSpacing/>
        <w:jc w:val="both"/>
        <w:rPr>
          <w:rFonts w:ascii="Palatino Linotype" w:eastAsia="MS Mincho" w:hAnsi="Palatino Linotype"/>
          <w:b/>
        </w:rPr>
      </w:pPr>
      <w:r w:rsidRPr="00AC562A">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4D2304" w:rsidRPr="00AC562A" w:rsidRDefault="004D2304" w:rsidP="004D2304">
      <w:pPr>
        <w:spacing w:line="360" w:lineRule="auto"/>
        <w:rPr>
          <w:rFonts w:ascii="Palatino Linotype" w:hAnsi="Palatino Linotype"/>
        </w:rPr>
      </w:pPr>
    </w:p>
    <w:p w:rsidR="004D2304" w:rsidRPr="00AC562A" w:rsidRDefault="004D2304" w:rsidP="004D2304">
      <w:pPr>
        <w:numPr>
          <w:ilvl w:val="0"/>
          <w:numId w:val="1"/>
        </w:numPr>
        <w:spacing w:line="360" w:lineRule="auto"/>
        <w:ind w:left="0" w:firstLine="0"/>
        <w:contextualSpacing/>
        <w:jc w:val="both"/>
        <w:rPr>
          <w:rFonts w:ascii="Palatino Linotype" w:eastAsia="MS Mincho" w:hAnsi="Palatino Linotype"/>
          <w:b/>
        </w:rPr>
      </w:pPr>
      <w:r w:rsidRPr="00AC562A">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rsidR="004D2304" w:rsidRPr="00AC562A" w:rsidRDefault="004D2304" w:rsidP="004D2304">
      <w:pPr>
        <w:spacing w:line="360" w:lineRule="auto"/>
        <w:rPr>
          <w:rFonts w:ascii="Palatino Linotype" w:hAnsi="Palatino Linotype"/>
        </w:rPr>
      </w:pPr>
    </w:p>
    <w:p w:rsidR="004D2304" w:rsidRPr="00AC562A" w:rsidRDefault="004D2304" w:rsidP="004D2304">
      <w:pPr>
        <w:pStyle w:val="Prrafodelista"/>
        <w:numPr>
          <w:ilvl w:val="0"/>
          <w:numId w:val="3"/>
        </w:numPr>
        <w:spacing w:line="360" w:lineRule="auto"/>
        <w:jc w:val="both"/>
        <w:rPr>
          <w:rFonts w:ascii="Palatino Linotype" w:hAnsi="Palatino Linotype"/>
          <w:sz w:val="24"/>
        </w:rPr>
      </w:pPr>
      <w:r w:rsidRPr="00AC562A">
        <w:rPr>
          <w:rFonts w:ascii="Palatino Linotype" w:hAnsi="Palatino Linotype"/>
          <w:sz w:val="24"/>
        </w:rPr>
        <w:t xml:space="preserve">Complejidad del Asunto: La complejidad de la prueba, la pluralidad de sujetos procesales, el tiempo transcurrido, las características y contexto del recurso. </w:t>
      </w:r>
    </w:p>
    <w:p w:rsidR="004D2304" w:rsidRPr="00AC562A" w:rsidRDefault="004D2304" w:rsidP="004D2304">
      <w:pPr>
        <w:pStyle w:val="Prrafodelista"/>
        <w:spacing w:line="360" w:lineRule="auto"/>
        <w:ind w:left="927"/>
        <w:jc w:val="both"/>
        <w:rPr>
          <w:rFonts w:ascii="Palatino Linotype" w:hAnsi="Palatino Linotype"/>
          <w:sz w:val="24"/>
        </w:rPr>
      </w:pPr>
    </w:p>
    <w:p w:rsidR="004D2304" w:rsidRPr="00AC562A" w:rsidRDefault="004D2304" w:rsidP="004D2304">
      <w:pPr>
        <w:pStyle w:val="Prrafodelista"/>
        <w:numPr>
          <w:ilvl w:val="0"/>
          <w:numId w:val="3"/>
        </w:numPr>
        <w:spacing w:line="360" w:lineRule="auto"/>
        <w:jc w:val="both"/>
        <w:rPr>
          <w:rFonts w:ascii="Palatino Linotype" w:hAnsi="Palatino Linotype"/>
          <w:sz w:val="24"/>
        </w:rPr>
      </w:pPr>
      <w:r w:rsidRPr="00AC562A">
        <w:rPr>
          <w:rFonts w:ascii="Palatino Linotype" w:hAnsi="Palatino Linotype"/>
          <w:sz w:val="24"/>
        </w:rPr>
        <w:t>Actividad Procesal del interesado. Acciones u omisiones del interesado.</w:t>
      </w:r>
    </w:p>
    <w:p w:rsidR="004D2304" w:rsidRPr="00AC562A" w:rsidRDefault="004D2304" w:rsidP="004D2304">
      <w:pPr>
        <w:spacing w:line="360" w:lineRule="auto"/>
        <w:jc w:val="both"/>
        <w:rPr>
          <w:rFonts w:ascii="Palatino Linotype" w:hAnsi="Palatino Linotype"/>
        </w:rPr>
      </w:pPr>
    </w:p>
    <w:p w:rsidR="004D2304" w:rsidRPr="00AC562A" w:rsidRDefault="004D2304" w:rsidP="004D2304">
      <w:pPr>
        <w:pStyle w:val="Prrafodelista"/>
        <w:numPr>
          <w:ilvl w:val="0"/>
          <w:numId w:val="3"/>
        </w:numPr>
        <w:spacing w:line="360" w:lineRule="auto"/>
        <w:jc w:val="both"/>
        <w:rPr>
          <w:rFonts w:ascii="Palatino Linotype" w:hAnsi="Palatino Linotype"/>
          <w:sz w:val="24"/>
        </w:rPr>
      </w:pPr>
      <w:r w:rsidRPr="00AC562A">
        <w:rPr>
          <w:rFonts w:ascii="Palatino Linotype" w:hAnsi="Palatino Linotype"/>
          <w:sz w:val="24"/>
        </w:rPr>
        <w:t>Conducta de la Autoridad: Las Acciones u omisiones realizadas en el procedimiento. Así como si la autoridad actuó con la debida diligencia.</w:t>
      </w:r>
    </w:p>
    <w:p w:rsidR="004D2304" w:rsidRPr="00AC562A" w:rsidRDefault="004D2304" w:rsidP="004D2304">
      <w:pPr>
        <w:pStyle w:val="Prrafodelista"/>
        <w:spacing w:line="360" w:lineRule="auto"/>
        <w:rPr>
          <w:rFonts w:ascii="Palatino Linotype" w:hAnsi="Palatino Linotype"/>
          <w:sz w:val="24"/>
        </w:rPr>
      </w:pPr>
    </w:p>
    <w:p w:rsidR="004D2304" w:rsidRPr="00AC562A" w:rsidRDefault="004D2304" w:rsidP="004D2304">
      <w:pPr>
        <w:spacing w:line="360" w:lineRule="auto"/>
        <w:ind w:left="567"/>
        <w:jc w:val="both"/>
        <w:rPr>
          <w:rFonts w:ascii="Palatino Linotype" w:hAnsi="Palatino Linotype"/>
        </w:rPr>
      </w:pPr>
      <w:r w:rsidRPr="00AC562A">
        <w:rPr>
          <w:rFonts w:ascii="Palatino Linotype" w:hAnsi="Palatino Linotype"/>
        </w:rPr>
        <w:t>d) La afectación generada en la situación jurídica de la persona involucrada en el proceso: Violación a sus derechos humanos.</w:t>
      </w:r>
    </w:p>
    <w:p w:rsidR="004D2304" w:rsidRPr="00AC562A" w:rsidRDefault="004D2304" w:rsidP="004D2304">
      <w:pPr>
        <w:spacing w:line="360" w:lineRule="auto"/>
        <w:rPr>
          <w:rFonts w:ascii="Palatino Linotype" w:hAnsi="Palatino Linotype"/>
        </w:rPr>
      </w:pPr>
    </w:p>
    <w:p w:rsidR="004D2304" w:rsidRPr="00AC562A" w:rsidRDefault="004D2304" w:rsidP="004D2304">
      <w:pPr>
        <w:numPr>
          <w:ilvl w:val="0"/>
          <w:numId w:val="1"/>
        </w:numPr>
        <w:spacing w:line="360" w:lineRule="auto"/>
        <w:ind w:left="0" w:firstLine="0"/>
        <w:contextualSpacing/>
        <w:jc w:val="both"/>
        <w:rPr>
          <w:rFonts w:ascii="Palatino Linotype" w:eastAsia="MS Mincho" w:hAnsi="Palatino Linotype"/>
          <w:b/>
        </w:rPr>
      </w:pPr>
      <w:r w:rsidRPr="00AC562A">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4D2304" w:rsidRPr="00AC562A" w:rsidRDefault="004D2304" w:rsidP="004D2304">
      <w:pPr>
        <w:spacing w:line="360" w:lineRule="auto"/>
        <w:contextualSpacing/>
        <w:jc w:val="both"/>
        <w:rPr>
          <w:rFonts w:ascii="Palatino Linotype" w:eastAsia="MS Mincho" w:hAnsi="Palatino Linotype"/>
          <w:b/>
        </w:rPr>
      </w:pPr>
    </w:p>
    <w:p w:rsidR="004D2304" w:rsidRPr="00AC562A" w:rsidRDefault="004D2304" w:rsidP="004D2304">
      <w:pPr>
        <w:numPr>
          <w:ilvl w:val="0"/>
          <w:numId w:val="1"/>
        </w:numPr>
        <w:spacing w:line="360" w:lineRule="auto"/>
        <w:ind w:left="0" w:firstLine="0"/>
        <w:contextualSpacing/>
        <w:jc w:val="both"/>
        <w:rPr>
          <w:rFonts w:ascii="Palatino Linotype" w:eastAsia="MS Mincho" w:hAnsi="Palatino Linotype"/>
          <w:b/>
        </w:rPr>
      </w:pPr>
      <w:r w:rsidRPr="00AC562A">
        <w:rPr>
          <w:rFonts w:ascii="Palatino Linotype" w:hAnsi="Palatino Linotype"/>
        </w:rPr>
        <w:t xml:space="preserve">Argumento que encuentra sustento en la jurisprudencia P./J. 32/92 emitida por el Pleno de la Suprema Corte de Justicia de la Nación de rubro </w:t>
      </w:r>
      <w:r w:rsidRPr="00AC562A">
        <w:rPr>
          <w:rFonts w:ascii="Palatino Linotype" w:hAnsi="Palatino Linotype"/>
          <w:i/>
        </w:rPr>
        <w:t xml:space="preserve">“TÉRMINOS </w:t>
      </w:r>
      <w:r w:rsidRPr="00AC562A">
        <w:rPr>
          <w:rFonts w:ascii="Palatino Linotype" w:hAnsi="Palatino Linotype"/>
          <w:i/>
        </w:rPr>
        <w:lastRenderedPageBreak/>
        <w:t>PROCESALES. PARA DETERMINAR SI UN FUNCIONARIO JUDICIAL ACTUÓ INDEBIDAMENTE POR NO RESPETARLOS SE DEBE ATENDER AL PRESUPUESTO QUE CONSIDERÓ EL LEGISLADOR AL FIJARLOS Y LAS CARACTERÍSTICAS DEL CASO.”</w:t>
      </w:r>
      <w:r w:rsidRPr="00AC562A">
        <w:rPr>
          <w:rFonts w:ascii="Palatino Linotype" w:hAnsi="Palatino Linotype"/>
        </w:rPr>
        <w:t>, visible en la Gaceta del Seminario Judicial de la Federación con el registro digital 205635.</w:t>
      </w:r>
    </w:p>
    <w:p w:rsidR="004D2304" w:rsidRPr="00AC562A" w:rsidRDefault="004D2304" w:rsidP="004D2304">
      <w:pPr>
        <w:spacing w:line="360" w:lineRule="auto"/>
        <w:rPr>
          <w:rFonts w:ascii="Palatino Linotype" w:hAnsi="Palatino Linotype"/>
        </w:rPr>
      </w:pPr>
    </w:p>
    <w:p w:rsidR="004D2304" w:rsidRPr="00AC562A" w:rsidRDefault="004D2304" w:rsidP="004D2304">
      <w:pPr>
        <w:numPr>
          <w:ilvl w:val="0"/>
          <w:numId w:val="1"/>
        </w:numPr>
        <w:spacing w:line="360" w:lineRule="auto"/>
        <w:ind w:left="0" w:firstLine="0"/>
        <w:contextualSpacing/>
        <w:jc w:val="both"/>
        <w:rPr>
          <w:rFonts w:ascii="Palatino Linotype" w:eastAsia="MS Mincho" w:hAnsi="Palatino Linotype"/>
          <w:b/>
        </w:rPr>
      </w:pPr>
      <w:r w:rsidRPr="00AC562A">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4D2304" w:rsidRPr="00AC562A" w:rsidRDefault="004D2304" w:rsidP="004D2304">
      <w:pPr>
        <w:spacing w:line="360" w:lineRule="auto"/>
        <w:rPr>
          <w:rFonts w:ascii="Palatino Linotype" w:hAnsi="Palatino Linotype"/>
        </w:rPr>
      </w:pPr>
    </w:p>
    <w:p w:rsidR="004D2304" w:rsidRPr="00AC562A" w:rsidRDefault="004D2304" w:rsidP="004D2304">
      <w:pPr>
        <w:numPr>
          <w:ilvl w:val="0"/>
          <w:numId w:val="1"/>
        </w:numPr>
        <w:spacing w:line="360" w:lineRule="auto"/>
        <w:ind w:left="0" w:firstLine="0"/>
        <w:contextualSpacing/>
        <w:jc w:val="both"/>
        <w:rPr>
          <w:rFonts w:ascii="Palatino Linotype" w:eastAsia="MS Mincho" w:hAnsi="Palatino Linotype"/>
          <w:b/>
        </w:rPr>
      </w:pPr>
      <w:r w:rsidRPr="00AC562A">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rsidR="004D2304" w:rsidRPr="00AC562A" w:rsidRDefault="004D2304" w:rsidP="004D2304">
      <w:pPr>
        <w:spacing w:line="360" w:lineRule="auto"/>
        <w:rPr>
          <w:rFonts w:ascii="Palatino Linotype" w:hAnsi="Palatino Linotype"/>
        </w:rPr>
      </w:pPr>
    </w:p>
    <w:p w:rsidR="004D2304" w:rsidRPr="00AC562A" w:rsidRDefault="004D2304" w:rsidP="004D2304">
      <w:pPr>
        <w:numPr>
          <w:ilvl w:val="0"/>
          <w:numId w:val="1"/>
        </w:numPr>
        <w:spacing w:line="360" w:lineRule="auto"/>
        <w:ind w:left="0" w:firstLine="0"/>
        <w:contextualSpacing/>
        <w:jc w:val="both"/>
        <w:rPr>
          <w:rFonts w:ascii="Palatino Linotype" w:eastAsia="MS Mincho" w:hAnsi="Palatino Linotype"/>
          <w:b/>
        </w:rPr>
      </w:pPr>
      <w:r w:rsidRPr="00AC562A">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rsidR="004D2304" w:rsidRPr="00AC562A" w:rsidRDefault="004D2304" w:rsidP="004D2304">
      <w:pPr>
        <w:spacing w:line="360" w:lineRule="auto"/>
        <w:jc w:val="both"/>
        <w:rPr>
          <w:rFonts w:ascii="Palatino Linotype" w:hAnsi="Palatino Linotype"/>
        </w:rPr>
      </w:pPr>
    </w:p>
    <w:p w:rsidR="004D2304" w:rsidRPr="00AC562A" w:rsidRDefault="004D2304" w:rsidP="004D2304">
      <w:pPr>
        <w:spacing w:line="360" w:lineRule="auto"/>
        <w:ind w:left="851" w:right="822"/>
        <w:jc w:val="both"/>
        <w:rPr>
          <w:rFonts w:ascii="Palatino Linotype" w:hAnsi="Palatino Linotype"/>
        </w:rPr>
      </w:pPr>
      <w:r w:rsidRPr="00AC562A">
        <w:rPr>
          <w:rFonts w:ascii="Palatino Linotype" w:hAnsi="Palatino Linotype"/>
        </w:rPr>
        <w:lastRenderedPageBreak/>
        <w:t xml:space="preserve"> </w:t>
      </w:r>
      <w:r w:rsidRPr="00AC562A">
        <w:rPr>
          <w:rFonts w:ascii="Palatino Linotype" w:hAnsi="Palatino Linotype"/>
          <w:i/>
        </w:rPr>
        <w:t>“PLAZO RAZONABLE PARA RESOLVER. DIMENSIÓN Y EFECTOS DE ESTE CONCEPTO CUANDO SE ADUCE EXCESIVA CARGA DE TRABAJO.”</w:t>
      </w:r>
      <w:r w:rsidRPr="00AC562A">
        <w:rPr>
          <w:rFonts w:ascii="Palatino Linotype" w:hAnsi="Palatino Linotype"/>
        </w:rPr>
        <w:t xml:space="preserve"> consultable en el Seminario Judicial de la Federación y su gaceta, con el registro digital 2002351.</w:t>
      </w:r>
    </w:p>
    <w:p w:rsidR="004D2304" w:rsidRPr="00AC562A" w:rsidRDefault="004D2304" w:rsidP="004D2304">
      <w:pPr>
        <w:spacing w:line="360" w:lineRule="auto"/>
        <w:ind w:left="851" w:right="822"/>
        <w:jc w:val="both"/>
        <w:rPr>
          <w:rFonts w:ascii="Palatino Linotype" w:hAnsi="Palatino Linotype"/>
          <w:b/>
        </w:rPr>
      </w:pPr>
    </w:p>
    <w:p w:rsidR="004D2304" w:rsidRPr="00AC562A" w:rsidRDefault="004D2304" w:rsidP="004D2304">
      <w:pPr>
        <w:spacing w:line="360" w:lineRule="auto"/>
        <w:ind w:left="851" w:right="822"/>
        <w:jc w:val="both"/>
        <w:rPr>
          <w:rFonts w:ascii="Palatino Linotype" w:hAnsi="Palatino Linotype"/>
        </w:rPr>
      </w:pPr>
      <w:r w:rsidRPr="00AC562A">
        <w:rPr>
          <w:rFonts w:ascii="Palatino Linotype" w:hAnsi="Palatino Linotype"/>
          <w:i/>
        </w:rPr>
        <w:t>“PLAZO RAZONABLE PARA RESOLVER. CONCEPTO Y ELEMENTOS QUE LO INTEGRAN A LA LUZ DEL DERECHO INTERNACIONAL DE LOS DERECHOS HUMANOS.”</w:t>
      </w:r>
      <w:r w:rsidRPr="00AC562A">
        <w:rPr>
          <w:rFonts w:ascii="Palatino Linotype" w:hAnsi="Palatino Linotype"/>
        </w:rPr>
        <w:t>, visible en el Seminario Judicial de la Federación y su gaceta, con el registro digital 2002350.</w:t>
      </w:r>
    </w:p>
    <w:p w:rsidR="007E3525" w:rsidRPr="00AC562A" w:rsidRDefault="007E3525" w:rsidP="004D2304">
      <w:pPr>
        <w:spacing w:line="360" w:lineRule="auto"/>
        <w:ind w:left="851" w:right="822"/>
        <w:jc w:val="both"/>
        <w:rPr>
          <w:rFonts w:ascii="Palatino Linotype" w:hAnsi="Palatino Linotype"/>
        </w:rPr>
      </w:pPr>
    </w:p>
    <w:p w:rsidR="004D2304" w:rsidRPr="00AC562A" w:rsidRDefault="004D2304" w:rsidP="004D2304">
      <w:pPr>
        <w:pStyle w:val="Prrafodelista"/>
        <w:numPr>
          <w:ilvl w:val="0"/>
          <w:numId w:val="1"/>
        </w:numPr>
        <w:spacing w:line="360" w:lineRule="auto"/>
        <w:ind w:left="0" w:right="113" w:firstLine="0"/>
        <w:jc w:val="both"/>
        <w:rPr>
          <w:rFonts w:ascii="Palatino Linotype" w:hAnsi="Palatino Linotype"/>
          <w:sz w:val="24"/>
        </w:rPr>
      </w:pPr>
      <w:r w:rsidRPr="00AC562A">
        <w:rPr>
          <w:rFonts w:ascii="Palatino Linotype" w:hAnsi="Palatino Linotype"/>
          <w:sz w:val="24"/>
        </w:rPr>
        <w:t xml:space="preserve">Por ello, este Organismo Garante comprometido con la tutela de los derechos humanos confiados, señala que este exceso de plazo legal para resolver el presente asunto, resulta de carácter excepcional. </w:t>
      </w:r>
    </w:p>
    <w:p w:rsidR="007E3525" w:rsidRPr="00AC562A" w:rsidRDefault="007E3525" w:rsidP="007E3525">
      <w:pPr>
        <w:pStyle w:val="Prrafodelista"/>
        <w:spacing w:line="360" w:lineRule="auto"/>
        <w:ind w:left="0" w:right="113"/>
        <w:jc w:val="both"/>
        <w:rPr>
          <w:rFonts w:ascii="Palatino Linotype" w:hAnsi="Palatino Linotype"/>
          <w:sz w:val="24"/>
        </w:rPr>
      </w:pPr>
    </w:p>
    <w:p w:rsidR="001223A4" w:rsidRPr="00AC562A" w:rsidRDefault="007E3525" w:rsidP="001223A4">
      <w:pPr>
        <w:pStyle w:val="Prrafodelista"/>
        <w:numPr>
          <w:ilvl w:val="0"/>
          <w:numId w:val="1"/>
        </w:numPr>
        <w:spacing w:line="360" w:lineRule="auto"/>
        <w:ind w:left="0" w:right="113" w:firstLine="0"/>
        <w:jc w:val="both"/>
        <w:rPr>
          <w:rFonts w:ascii="Palatino Linotype" w:hAnsi="Palatino Linotype"/>
          <w:sz w:val="24"/>
        </w:rPr>
      </w:pPr>
      <w:r w:rsidRPr="00AC562A">
        <w:rPr>
          <w:rFonts w:ascii="Palatino Linotype" w:hAnsi="Palatino Linotype"/>
          <w:sz w:val="24"/>
        </w:rPr>
        <w:t>En fecha doce (12) de enero de dos mil veintidós, se notificó el acuerdo mediante el cual se decretó el acuerdo de cierre de instrucci</w:t>
      </w:r>
      <w:r w:rsidR="001223A4" w:rsidRPr="00AC562A">
        <w:rPr>
          <w:rFonts w:ascii="Palatino Linotype" w:hAnsi="Palatino Linotype"/>
          <w:sz w:val="24"/>
        </w:rPr>
        <w:t>ón.</w:t>
      </w:r>
    </w:p>
    <w:p w:rsidR="001223A4" w:rsidRPr="00AC562A" w:rsidRDefault="001223A4" w:rsidP="001223A4">
      <w:pPr>
        <w:pStyle w:val="Prrafodelista"/>
        <w:rPr>
          <w:rFonts w:ascii="Palatino Linotype" w:hAnsi="Palatino Linotype"/>
          <w:sz w:val="24"/>
        </w:rPr>
      </w:pPr>
    </w:p>
    <w:p w:rsidR="001223A4" w:rsidRPr="00AC562A" w:rsidRDefault="001223A4" w:rsidP="001223A4">
      <w:pPr>
        <w:pStyle w:val="Prrafodelista"/>
        <w:spacing w:line="360" w:lineRule="auto"/>
        <w:ind w:left="0" w:right="113"/>
        <w:jc w:val="both"/>
        <w:rPr>
          <w:rFonts w:ascii="Palatino Linotype" w:hAnsi="Palatino Linotype"/>
          <w:sz w:val="24"/>
        </w:rPr>
      </w:pPr>
    </w:p>
    <w:p w:rsidR="001223A4" w:rsidRPr="00AC562A" w:rsidRDefault="001223A4" w:rsidP="001223A4">
      <w:pPr>
        <w:keepNext/>
        <w:keepLines/>
        <w:tabs>
          <w:tab w:val="left" w:pos="3747"/>
        </w:tabs>
        <w:spacing w:line="360" w:lineRule="auto"/>
        <w:outlineLvl w:val="0"/>
        <w:rPr>
          <w:rFonts w:ascii="Palatino Linotype" w:eastAsiaTheme="majorEastAsia" w:hAnsi="Palatino Linotype" w:cstheme="majorBidi"/>
          <w:b/>
        </w:rPr>
      </w:pPr>
      <w:bookmarkStart w:id="4" w:name="_Toc66992242"/>
    </w:p>
    <w:p w:rsidR="004D2304" w:rsidRPr="00AC562A" w:rsidRDefault="004D2304" w:rsidP="004D2304">
      <w:pPr>
        <w:keepNext/>
        <w:keepLines/>
        <w:spacing w:line="360" w:lineRule="auto"/>
        <w:jc w:val="center"/>
        <w:outlineLvl w:val="0"/>
        <w:rPr>
          <w:rFonts w:ascii="Palatino Linotype" w:eastAsiaTheme="majorEastAsia" w:hAnsi="Palatino Linotype" w:cstheme="majorBidi"/>
        </w:rPr>
      </w:pPr>
      <w:r w:rsidRPr="00AC562A">
        <w:rPr>
          <w:rFonts w:ascii="Palatino Linotype" w:eastAsiaTheme="majorEastAsia" w:hAnsi="Palatino Linotype" w:cstheme="majorBidi"/>
          <w:b/>
        </w:rPr>
        <w:t>CONSIDERANDO</w:t>
      </w:r>
      <w:bookmarkEnd w:id="4"/>
      <w:r w:rsidRPr="00AC562A">
        <w:rPr>
          <w:rFonts w:ascii="Palatino Linotype" w:eastAsiaTheme="majorEastAsia" w:hAnsi="Palatino Linotype" w:cstheme="majorBidi"/>
          <w:b/>
        </w:rPr>
        <w:t xml:space="preserve"> </w:t>
      </w:r>
    </w:p>
    <w:p w:rsidR="004D2304" w:rsidRPr="00AC562A" w:rsidRDefault="004D2304" w:rsidP="004D2304">
      <w:pPr>
        <w:spacing w:line="360" w:lineRule="auto"/>
        <w:rPr>
          <w:rFonts w:ascii="Palatino Linotype" w:eastAsiaTheme="minorEastAsia" w:hAnsi="Palatino Linotype"/>
        </w:rPr>
      </w:pPr>
    </w:p>
    <w:p w:rsidR="004D2304" w:rsidRPr="00AC562A" w:rsidRDefault="004D2304" w:rsidP="004D2304">
      <w:pPr>
        <w:keepNext/>
        <w:keepLines/>
        <w:spacing w:line="360" w:lineRule="auto"/>
        <w:outlineLvl w:val="1"/>
        <w:rPr>
          <w:rFonts w:ascii="Palatino Linotype" w:eastAsiaTheme="majorEastAsia" w:hAnsi="Palatino Linotype" w:cstheme="majorBidi"/>
          <w:b/>
        </w:rPr>
      </w:pPr>
      <w:bookmarkStart w:id="5" w:name="_Toc66992243"/>
      <w:r w:rsidRPr="00AC562A">
        <w:rPr>
          <w:rFonts w:ascii="Palatino Linotype" w:eastAsiaTheme="majorEastAsia" w:hAnsi="Palatino Linotype" w:cstheme="majorBidi"/>
          <w:b/>
        </w:rPr>
        <w:lastRenderedPageBreak/>
        <w:t>PRIMERO. De la competencia</w:t>
      </w:r>
      <w:bookmarkEnd w:id="5"/>
    </w:p>
    <w:p w:rsidR="004D2304" w:rsidRPr="00AC562A" w:rsidRDefault="004D2304" w:rsidP="004D2304">
      <w:pPr>
        <w:keepNext/>
        <w:keepLines/>
        <w:spacing w:line="360" w:lineRule="auto"/>
        <w:outlineLvl w:val="1"/>
        <w:rPr>
          <w:rFonts w:ascii="Palatino Linotype" w:eastAsiaTheme="majorEastAsia" w:hAnsi="Palatino Linotype" w:cstheme="majorBidi"/>
          <w:b/>
          <w:bCs/>
          <w:spacing w:val="60"/>
        </w:rPr>
      </w:pPr>
    </w:p>
    <w:p w:rsidR="004D2304" w:rsidRPr="00AC562A" w:rsidRDefault="004D2304" w:rsidP="004D2304">
      <w:pPr>
        <w:numPr>
          <w:ilvl w:val="0"/>
          <w:numId w:val="1"/>
        </w:numPr>
        <w:spacing w:line="360" w:lineRule="auto"/>
        <w:ind w:left="0" w:firstLine="0"/>
        <w:contextualSpacing/>
        <w:jc w:val="both"/>
        <w:rPr>
          <w:rFonts w:ascii="Palatino Linotype" w:eastAsia="Calibri" w:hAnsi="Palatino Linotype"/>
          <w:lang w:eastAsia="es-ES"/>
        </w:rPr>
      </w:pPr>
      <w:r w:rsidRPr="00AC562A">
        <w:rPr>
          <w:rFonts w:ascii="Palatino Linotype" w:eastAsia="Calibri" w:hAnsi="Palatino Linotype"/>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de la </w:t>
      </w:r>
      <w:r w:rsidRPr="00AC562A">
        <w:rPr>
          <w:rFonts w:ascii="Palatino Linotype" w:eastAsia="Calibri" w:hAnsi="Palatino Linotype"/>
          <w:b/>
          <w:lang w:val="es-ES" w:eastAsia="es-ES"/>
        </w:rPr>
        <w:t>Constitución Política de los Estados Unidos Mexicanos</w:t>
      </w:r>
      <w:r w:rsidRPr="00AC562A">
        <w:rPr>
          <w:rFonts w:ascii="Palatino Linotype" w:eastAsia="Calibri" w:hAnsi="Palatino Linotype"/>
          <w:lang w:val="es-ES" w:eastAsia="es-ES"/>
        </w:rPr>
        <w:t xml:space="preserve">; 5, </w:t>
      </w:r>
      <w:r w:rsidRPr="00AC562A">
        <w:rPr>
          <w:rFonts w:ascii="Palatino Linotype" w:eastAsia="Calibri" w:hAnsi="Palatino Linotype"/>
          <w:lang w:eastAsia="es-ES"/>
        </w:rPr>
        <w:t xml:space="preserve">párrafos trigésimo, trigésimo primero y trigésimo segundo, fracciones I, II, III, IV y V de la </w:t>
      </w:r>
      <w:r w:rsidRPr="00AC562A">
        <w:rPr>
          <w:rFonts w:ascii="Palatino Linotype" w:eastAsia="Calibri" w:hAnsi="Palatino Linotype"/>
          <w:b/>
          <w:lang w:eastAsia="es-ES"/>
        </w:rPr>
        <w:t>Constitución Política del Estado Libre y Soberano de México</w:t>
      </w:r>
      <w:r w:rsidRPr="00AC562A">
        <w:rPr>
          <w:rFonts w:ascii="Palatino Linotype" w:eastAsia="Calibri" w:hAnsi="Palatino Linotype"/>
          <w:b/>
          <w:lang w:val="es-ES" w:eastAsia="es-ES"/>
        </w:rPr>
        <w:t>;</w:t>
      </w:r>
      <w:r w:rsidRPr="00AC562A">
        <w:rPr>
          <w:rFonts w:ascii="Palatino Linotype" w:eastAsia="Calibri" w:hAnsi="Palatino Linotype"/>
          <w:lang w:val="es-ES" w:eastAsia="es-ES"/>
        </w:rPr>
        <w:t xml:space="preserve"> 1, 3 fracción I, 82, 97, 98, 119, 123, 124, 127, 128 y 133 </w:t>
      </w:r>
      <w:r w:rsidRPr="00AC562A">
        <w:rPr>
          <w:rFonts w:ascii="Palatino Linotype" w:eastAsia="Calibri" w:hAnsi="Palatino Linotype"/>
          <w:b/>
          <w:lang w:eastAsia="es-ES"/>
        </w:rPr>
        <w:t>Ley de Protección de Datos Personales en Posesión de Sujetos Obligados del Estado de México y Municipios</w:t>
      </w:r>
      <w:r w:rsidRPr="00AC562A">
        <w:rPr>
          <w:rFonts w:ascii="Palatino Linotype" w:eastAsia="Calibri" w:hAnsi="Palatino Linotype"/>
          <w:lang w:val="es-ES" w:eastAsia="es-ES"/>
        </w:rPr>
        <w:t xml:space="preserve">; y 10, 7, 9 fracciones I y XXIV, y 11 del </w:t>
      </w:r>
      <w:r w:rsidRPr="00AC562A">
        <w:rPr>
          <w:rFonts w:ascii="Palatino Linotype" w:eastAsia="Calibri" w:hAnsi="Palatino Linotype"/>
          <w:b/>
          <w:lang w:val="es-ES" w:eastAsia="es-ES"/>
        </w:rPr>
        <w:t>Reglamento Interior del Instituto de Transparencia, Acceso a la Información Pública y Protección de Datos Personales del Estado de México y Municipios.</w:t>
      </w:r>
    </w:p>
    <w:p w:rsidR="004D2304" w:rsidRPr="00AC562A" w:rsidRDefault="004D2304" w:rsidP="004D2304">
      <w:pPr>
        <w:spacing w:line="360" w:lineRule="auto"/>
        <w:contextualSpacing/>
        <w:jc w:val="both"/>
        <w:rPr>
          <w:rFonts w:ascii="Palatino Linotype" w:eastAsiaTheme="minorEastAsia" w:hAnsi="Palatino Linotype"/>
          <w:lang w:val="es-ES_tradnl" w:eastAsia="es-ES"/>
        </w:rPr>
      </w:pPr>
    </w:p>
    <w:p w:rsidR="004D2304" w:rsidRPr="00AC562A" w:rsidRDefault="004D2304" w:rsidP="004D2304">
      <w:pPr>
        <w:keepNext/>
        <w:keepLines/>
        <w:spacing w:line="360" w:lineRule="auto"/>
        <w:outlineLvl w:val="1"/>
        <w:rPr>
          <w:rFonts w:ascii="Palatino Linotype" w:eastAsiaTheme="majorEastAsia" w:hAnsi="Palatino Linotype" w:cstheme="majorBidi"/>
          <w:b/>
          <w:szCs w:val="26"/>
        </w:rPr>
      </w:pPr>
      <w:bookmarkStart w:id="6" w:name="_Toc90654865"/>
      <w:r w:rsidRPr="00AC562A">
        <w:rPr>
          <w:rFonts w:ascii="Palatino Linotype" w:eastAsiaTheme="majorEastAsia" w:hAnsi="Palatino Linotype" w:cstheme="majorBidi"/>
          <w:b/>
          <w:szCs w:val="26"/>
        </w:rPr>
        <w:t>SEGUNDO. De la oportunidad y procedencia.</w:t>
      </w:r>
      <w:bookmarkEnd w:id="6"/>
    </w:p>
    <w:p w:rsidR="004D2304" w:rsidRPr="00AC562A" w:rsidRDefault="004D2304" w:rsidP="004D2304">
      <w:pPr>
        <w:spacing w:line="360" w:lineRule="auto"/>
        <w:rPr>
          <w:rFonts w:ascii="Palatino Linotype" w:eastAsiaTheme="minorEastAsia" w:hAnsi="Palatino Linotype"/>
        </w:rPr>
      </w:pPr>
    </w:p>
    <w:p w:rsidR="004D2304" w:rsidRPr="00AC562A" w:rsidRDefault="004D2304" w:rsidP="004D2304">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C562A">
        <w:rPr>
          <w:rFonts w:ascii="Palatino Linotype" w:eastAsia="Calibri" w:hAnsi="Palatino Linotype" w:cs="Arial"/>
          <w:lang w:val="es-ES_tradnl" w:eastAsia="es-ES"/>
        </w:rPr>
        <w:t xml:space="preserve">El medio de impugnación fue presentado a través del </w:t>
      </w:r>
      <w:r w:rsidRPr="00AC562A">
        <w:rPr>
          <w:rFonts w:ascii="Palatino Linotype" w:eastAsia="Calibri" w:hAnsi="Palatino Linotype" w:cs="Arial"/>
          <w:b/>
          <w:lang w:val="es-ES_tradnl" w:eastAsia="es-ES"/>
        </w:rPr>
        <w:t>SAIMEX,</w:t>
      </w:r>
      <w:r w:rsidRPr="00AC562A">
        <w:rPr>
          <w:rFonts w:ascii="Palatino Linotype" w:eastAsia="Calibri" w:hAnsi="Palatino Linotype" w:cs="Arial"/>
          <w:lang w:val="es-ES_tradnl" w:eastAsia="es-ES"/>
        </w:rPr>
        <w:t xml:space="preserve"> en el formato previamente aprobado para tal efecto y dentro del plazo legal de quince días hábiles otorgados; siendo así que el </w:t>
      </w:r>
      <w:r w:rsidRPr="00AC562A">
        <w:rPr>
          <w:rFonts w:ascii="Palatino Linotype" w:eastAsia="Calibri" w:hAnsi="Palatino Linotype" w:cs="Arial"/>
          <w:b/>
          <w:lang w:val="es-ES_tradnl" w:eastAsia="es-ES"/>
        </w:rPr>
        <w:t>SUJETO OBLIGADO</w:t>
      </w:r>
      <w:r w:rsidRPr="00AC562A">
        <w:rPr>
          <w:rFonts w:ascii="Palatino Linotype" w:eastAsia="Calibri" w:hAnsi="Palatino Linotype" w:cs="Arial"/>
          <w:lang w:val="es-ES_tradnl" w:eastAsia="es-ES"/>
        </w:rPr>
        <w:t xml:space="preserve"> entregó respuesta a la solicitud el día </w:t>
      </w:r>
      <w:r w:rsidR="001223A4" w:rsidRPr="00AC562A">
        <w:rPr>
          <w:rFonts w:ascii="Palatino Linotype" w:eastAsia="Calibri" w:hAnsi="Palatino Linotype" w:cs="Arial"/>
          <w:lang w:val="es-ES_tradnl" w:eastAsia="es-ES"/>
        </w:rPr>
        <w:t>siete (07</w:t>
      </w:r>
      <w:r w:rsidRPr="00AC562A">
        <w:rPr>
          <w:rFonts w:ascii="Palatino Linotype" w:eastAsia="Calibri" w:hAnsi="Palatino Linotype" w:cs="Arial"/>
          <w:lang w:val="es-ES_tradnl" w:eastAsia="es-ES"/>
        </w:rPr>
        <w:t xml:space="preserve">) de julio  de dos mil veintidós, </w:t>
      </w:r>
      <w:r w:rsidRPr="00AC562A">
        <w:rPr>
          <w:rFonts w:ascii="Palatino Linotype" w:eastAsiaTheme="minorEastAsia" w:hAnsi="Palatino Linotype" w:cs="Arial"/>
          <w:lang w:val="es-ES_tradnl" w:eastAsia="es-ES"/>
        </w:rPr>
        <w:t xml:space="preserve">de tal forma que el plazo para interponer el recurso de revisión transcurrió del </w:t>
      </w:r>
      <w:r w:rsidR="001223A4" w:rsidRPr="00AC562A">
        <w:rPr>
          <w:rFonts w:ascii="Palatino Linotype" w:eastAsiaTheme="minorEastAsia" w:hAnsi="Palatino Linotype" w:cs="Arial"/>
          <w:lang w:val="es-ES_tradnl" w:eastAsia="es-ES"/>
        </w:rPr>
        <w:t>ocho (08) de julio al once (11) de agosto</w:t>
      </w:r>
      <w:r w:rsidRPr="00AC562A">
        <w:rPr>
          <w:rFonts w:ascii="Palatino Linotype" w:eastAsiaTheme="minorEastAsia" w:hAnsi="Palatino Linotype" w:cs="Arial"/>
          <w:lang w:val="es-ES_tradnl" w:eastAsia="es-ES"/>
        </w:rPr>
        <w:t xml:space="preserve">  de dos mil veintidós; en consecuencia, el RECURRENTE presentó su inconformidad el día </w:t>
      </w:r>
      <w:r w:rsidR="001223A4" w:rsidRPr="00AC562A">
        <w:rPr>
          <w:rFonts w:ascii="Palatino Linotype" w:eastAsiaTheme="minorEastAsia" w:hAnsi="Palatino Linotype" w:cs="Arial"/>
          <w:lang w:val="es-ES_tradnl" w:eastAsia="es-ES"/>
        </w:rPr>
        <w:t>tres (03) de agosto</w:t>
      </w:r>
      <w:r w:rsidRPr="00AC562A">
        <w:rPr>
          <w:rFonts w:ascii="Palatino Linotype" w:eastAsiaTheme="minorEastAsia" w:hAnsi="Palatino Linotype" w:cs="Arial"/>
          <w:lang w:val="es-ES_tradnl" w:eastAsia="es-ES"/>
        </w:rPr>
        <w:t xml:space="preserve">  de dos mil veintidós, por lo que, está dentro de los márgenes temporales previstos en el artículo 178 de la </w:t>
      </w:r>
      <w:r w:rsidRPr="00AC562A">
        <w:rPr>
          <w:rFonts w:ascii="Palatino Linotype" w:eastAsiaTheme="minorEastAsia" w:hAnsi="Palatino Linotype" w:cs="Arial"/>
          <w:b/>
          <w:lang w:val="es-ES_tradnl" w:eastAsia="es-ES"/>
        </w:rPr>
        <w:t xml:space="preserve">Ley de Transparencia y Acceso a la Información Pública del Estado de México y Municipios </w:t>
      </w:r>
      <w:r w:rsidRPr="00AC562A">
        <w:rPr>
          <w:rFonts w:ascii="Palatino Linotype" w:eastAsiaTheme="minorEastAsia" w:hAnsi="Palatino Linotype" w:cs="Arial"/>
          <w:lang w:val="es-ES_tradnl" w:eastAsia="es-ES"/>
        </w:rPr>
        <w:t>vigente.</w:t>
      </w:r>
    </w:p>
    <w:p w:rsidR="004D2304" w:rsidRPr="00AC562A" w:rsidRDefault="004D2304" w:rsidP="004D2304">
      <w:pPr>
        <w:spacing w:line="360" w:lineRule="auto"/>
        <w:ind w:right="49"/>
        <w:contextualSpacing/>
        <w:jc w:val="both"/>
        <w:rPr>
          <w:rFonts w:ascii="Palatino Linotype" w:eastAsiaTheme="minorEastAsia" w:hAnsi="Palatino Linotype"/>
          <w:lang w:val="es-ES_tradnl" w:eastAsia="es-ES"/>
        </w:rPr>
      </w:pPr>
    </w:p>
    <w:p w:rsidR="004D2304" w:rsidRPr="00AC562A" w:rsidRDefault="004D2304" w:rsidP="004D2304">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C562A">
        <w:rPr>
          <w:rFonts w:ascii="Palatino Linotype" w:eastAsia="Calibri" w:hAnsi="Palatino Linotype" w:cs="Arial"/>
          <w:lang w:val="es-ES_tradnl" w:eastAsia="es-ES"/>
        </w:rPr>
        <w:lastRenderedPageBreak/>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7" w:name="_Toc452722829"/>
      <w:bookmarkStart w:id="8" w:name="_Toc454373811"/>
      <w:bookmarkStart w:id="9" w:name="_Toc476675991"/>
    </w:p>
    <w:p w:rsidR="004D2304" w:rsidRPr="00AC562A" w:rsidRDefault="004D2304" w:rsidP="004D2304">
      <w:pPr>
        <w:spacing w:line="360" w:lineRule="auto"/>
        <w:ind w:right="49"/>
        <w:contextualSpacing/>
        <w:jc w:val="both"/>
        <w:rPr>
          <w:rFonts w:ascii="Palatino Linotype" w:eastAsiaTheme="minorEastAsia" w:hAnsi="Palatino Linotype"/>
          <w:lang w:val="es-ES_tradnl" w:eastAsia="es-ES"/>
        </w:rPr>
      </w:pPr>
    </w:p>
    <w:p w:rsidR="004D2304" w:rsidRPr="00AC562A" w:rsidRDefault="004D2304" w:rsidP="004D2304">
      <w:pPr>
        <w:keepNext/>
        <w:keepLines/>
        <w:spacing w:line="360" w:lineRule="auto"/>
        <w:ind w:right="48"/>
        <w:outlineLvl w:val="0"/>
        <w:rPr>
          <w:rFonts w:ascii="Palatino Linotype" w:eastAsia="MS Gothic" w:hAnsi="Palatino Linotype" w:cstheme="majorBidi"/>
          <w:b/>
          <w:lang w:val="es-ES_tradnl" w:eastAsia="es-ES"/>
        </w:rPr>
      </w:pPr>
      <w:bookmarkStart w:id="10" w:name="_Toc70417465"/>
      <w:bookmarkStart w:id="11" w:name="_Toc80812774"/>
      <w:bookmarkStart w:id="12" w:name="_Toc90654866"/>
      <w:r w:rsidRPr="00AC562A">
        <w:rPr>
          <w:rFonts w:ascii="Palatino Linotype" w:eastAsia="MS Gothic" w:hAnsi="Palatino Linotype" w:cstheme="majorBidi"/>
          <w:b/>
          <w:lang w:val="es-ES_tradnl" w:eastAsia="es-ES"/>
        </w:rPr>
        <w:t>TERCERO. Planteamiento de la Litis</w:t>
      </w:r>
      <w:bookmarkEnd w:id="10"/>
      <w:bookmarkEnd w:id="11"/>
      <w:bookmarkEnd w:id="12"/>
    </w:p>
    <w:p w:rsidR="004D2304" w:rsidRPr="00AC562A" w:rsidRDefault="004D2304" w:rsidP="004D2304">
      <w:pPr>
        <w:spacing w:line="360" w:lineRule="auto"/>
        <w:ind w:right="49"/>
        <w:contextualSpacing/>
        <w:jc w:val="both"/>
        <w:rPr>
          <w:rFonts w:ascii="Palatino Linotype" w:eastAsiaTheme="minorEastAsia" w:hAnsi="Palatino Linotype"/>
          <w:sz w:val="28"/>
          <w:lang w:val="es-ES_tradnl" w:eastAsia="es-ES"/>
        </w:rPr>
      </w:pPr>
    </w:p>
    <w:p w:rsidR="004D2304" w:rsidRPr="00AC562A" w:rsidRDefault="004D2304" w:rsidP="004D2304">
      <w:pPr>
        <w:pStyle w:val="Prrafodelista"/>
        <w:numPr>
          <w:ilvl w:val="0"/>
          <w:numId w:val="1"/>
        </w:numPr>
        <w:tabs>
          <w:tab w:val="left" w:pos="0"/>
        </w:tabs>
        <w:spacing w:line="360" w:lineRule="auto"/>
        <w:ind w:left="0" w:right="49" w:firstLine="0"/>
        <w:jc w:val="both"/>
        <w:rPr>
          <w:rFonts w:ascii="Palatino Linotype" w:eastAsiaTheme="minorEastAsia" w:hAnsi="Palatino Linotype"/>
          <w:i/>
          <w:lang w:val="es-ES_tradnl" w:eastAsia="es-ES"/>
        </w:rPr>
      </w:pPr>
      <w:r w:rsidRPr="00AC562A">
        <w:rPr>
          <w:rFonts w:ascii="Palatino Linotype" w:eastAsia="MS Gothic" w:hAnsi="Palatino Linotype"/>
          <w:sz w:val="24"/>
        </w:rPr>
        <w:t>El particular solicitó</w:t>
      </w:r>
      <w:r w:rsidRPr="00AC562A">
        <w:rPr>
          <w:rFonts w:ascii="Palatino Linotype" w:eastAsia="Calibri" w:hAnsi="Palatino Linotype" w:cs="Tahoma"/>
          <w:iCs/>
          <w:sz w:val="24"/>
          <w:lang w:val="es-ES" w:eastAsia="es-ES_tradnl"/>
        </w:rPr>
        <w:t xml:space="preserve"> </w:t>
      </w:r>
      <w:r w:rsidR="001223A4" w:rsidRPr="00AC562A">
        <w:rPr>
          <w:rFonts w:ascii="Palatino Linotype" w:eastAsia="Calibri" w:hAnsi="Palatino Linotype" w:cs="Tahoma"/>
          <w:iCs/>
          <w:sz w:val="24"/>
          <w:lang w:val="es-ES" w:eastAsia="es-ES_tradnl"/>
        </w:rPr>
        <w:t xml:space="preserve">el número de registro como permisionario y/o </w:t>
      </w:r>
      <w:r w:rsidRPr="00AC562A">
        <w:rPr>
          <w:rFonts w:ascii="Palatino Linotype" w:eastAsia="Calibri" w:hAnsi="Palatino Linotype" w:cs="Tahoma"/>
          <w:iCs/>
          <w:sz w:val="24"/>
          <w:lang w:val="es-ES" w:eastAsia="es-ES_tradnl"/>
        </w:rPr>
        <w:t xml:space="preserve"> </w:t>
      </w:r>
      <w:r w:rsidR="001223A4" w:rsidRPr="00AC562A">
        <w:rPr>
          <w:rFonts w:ascii="Palatino Linotype" w:eastAsia="Calibri" w:hAnsi="Palatino Linotype" w:cs="Tahoma"/>
          <w:iCs/>
          <w:sz w:val="24"/>
          <w:lang w:val="es-ES" w:eastAsia="es-ES_tradnl"/>
        </w:rPr>
        <w:t xml:space="preserve">concesionario del servicio de arrastre, salvamento guardia, custodia y depósito de vehículos para la empresa Servicio de Grúas Sultepec SA de CV Y GENESIS, y si el número de registro es como permisionario o concesionario; así como las zonas de operación de las grúas. </w:t>
      </w:r>
    </w:p>
    <w:p w:rsidR="004D2304" w:rsidRPr="00AC562A" w:rsidRDefault="004D2304" w:rsidP="004D2304">
      <w:pPr>
        <w:pStyle w:val="Prrafodelista"/>
        <w:tabs>
          <w:tab w:val="left" w:pos="0"/>
        </w:tabs>
        <w:spacing w:line="360" w:lineRule="auto"/>
        <w:ind w:left="0" w:right="49"/>
        <w:jc w:val="both"/>
        <w:rPr>
          <w:rFonts w:ascii="Palatino Linotype" w:eastAsiaTheme="minorEastAsia" w:hAnsi="Palatino Linotype"/>
          <w:i/>
          <w:lang w:val="es-ES_tradnl" w:eastAsia="es-ES"/>
        </w:rPr>
      </w:pPr>
    </w:p>
    <w:p w:rsidR="004D2304" w:rsidRPr="00AC562A" w:rsidRDefault="004D2304" w:rsidP="004D2304">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C562A">
        <w:rPr>
          <w:rFonts w:ascii="Palatino Linotype" w:hAnsi="Palatino Linotype"/>
          <w:iCs/>
          <w:color w:val="000000"/>
        </w:rPr>
        <w:t xml:space="preserve">En respuesta, el SUJETO OBLIGADO </w:t>
      </w:r>
      <w:r w:rsidR="002B6DCC" w:rsidRPr="00AC562A">
        <w:rPr>
          <w:rFonts w:ascii="Palatino Linotype" w:hAnsi="Palatino Linotype"/>
          <w:iCs/>
          <w:color w:val="000000"/>
        </w:rPr>
        <w:t xml:space="preserve">manifestó, de forma medular, </w:t>
      </w:r>
      <w:r w:rsidR="001223A4" w:rsidRPr="00AC562A">
        <w:rPr>
          <w:rFonts w:ascii="Palatino Linotype" w:hAnsi="Palatino Linotype"/>
          <w:iCs/>
          <w:color w:val="000000"/>
        </w:rPr>
        <w:t>que después de una búsqueda en sus archivos, no localizó la información solicitada</w:t>
      </w:r>
      <w:r w:rsidRPr="00AC562A">
        <w:rPr>
          <w:rFonts w:ascii="Palatino Linotype" w:hAnsi="Palatino Linotype"/>
          <w:color w:val="000000"/>
        </w:rPr>
        <w:t>.</w:t>
      </w:r>
      <w:r w:rsidR="001223A4" w:rsidRPr="00AC562A">
        <w:rPr>
          <w:rFonts w:ascii="Palatino Linotype" w:hAnsi="Palatino Linotype"/>
          <w:color w:val="000000"/>
        </w:rPr>
        <w:t xml:space="preserve"> Derivado de la respuesta, el particular interpuso recurso de revisión mediante el cual manifestó como motivos de inconformidad “</w:t>
      </w:r>
      <w:r w:rsidR="001223A4" w:rsidRPr="00AC562A">
        <w:rPr>
          <w:rFonts w:ascii="Palatino Linotype" w:hAnsi="Palatino Linotype"/>
          <w:i/>
          <w:color w:val="000000"/>
        </w:rPr>
        <w:t>niegan la información cuan do mi vehciulo esta en ese corralon como dicen que no existe</w:t>
      </w:r>
      <w:r w:rsidR="001223A4" w:rsidRPr="00AC562A">
        <w:rPr>
          <w:rFonts w:ascii="Palatino Linotype" w:hAnsi="Palatino Linotype"/>
          <w:color w:val="000000"/>
        </w:rPr>
        <w:t>”</w:t>
      </w:r>
      <w:r w:rsidR="00AB6137" w:rsidRPr="00AC562A">
        <w:rPr>
          <w:rFonts w:ascii="Palatino Linotype" w:hAnsi="Palatino Linotype"/>
          <w:color w:val="000000"/>
        </w:rPr>
        <w:t>.</w:t>
      </w:r>
    </w:p>
    <w:p w:rsidR="004D2304" w:rsidRPr="00AC562A" w:rsidRDefault="004D2304" w:rsidP="004D2304">
      <w:pPr>
        <w:spacing w:line="360" w:lineRule="auto"/>
        <w:ind w:right="49"/>
        <w:contextualSpacing/>
        <w:jc w:val="both"/>
        <w:rPr>
          <w:rFonts w:ascii="Palatino Linotype" w:eastAsiaTheme="minorEastAsia" w:hAnsi="Palatino Linotype"/>
          <w:lang w:val="es-ES_tradnl" w:eastAsia="es-ES"/>
        </w:rPr>
      </w:pPr>
    </w:p>
    <w:p w:rsidR="004D2304" w:rsidRPr="00AC562A" w:rsidRDefault="004D2304" w:rsidP="004D2304">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C562A">
        <w:rPr>
          <w:rFonts w:ascii="Palatino Linotype" w:eastAsia="MS Gothic" w:hAnsi="Palatino Linotype"/>
        </w:rPr>
        <w:t>En consecuencia, la Litis del presente asunto corresponde en resolver si el SUJETO OBLIGADO atendió la solicitud con apego a los principios establecidos en el artículo 11 de la Ley de Transparencia Local, si con la entrega de los documentos en respuesta se garantiza que la información sea congruente.</w:t>
      </w:r>
    </w:p>
    <w:p w:rsidR="004D2304" w:rsidRPr="00AC562A" w:rsidRDefault="004D2304" w:rsidP="004D2304">
      <w:pPr>
        <w:spacing w:line="360" w:lineRule="auto"/>
        <w:ind w:right="49"/>
        <w:contextualSpacing/>
        <w:jc w:val="both"/>
        <w:rPr>
          <w:rFonts w:ascii="Palatino Linotype" w:eastAsiaTheme="minorEastAsia" w:hAnsi="Palatino Linotype"/>
          <w:lang w:val="es-ES_tradnl" w:eastAsia="es-ES"/>
        </w:rPr>
      </w:pPr>
    </w:p>
    <w:p w:rsidR="004D2304" w:rsidRPr="00AC562A" w:rsidRDefault="004D2304" w:rsidP="004D2304">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C562A">
        <w:rPr>
          <w:rFonts w:ascii="Palatino Linotype" w:eastAsia="MS Gothic" w:hAnsi="Palatino Linotype"/>
        </w:rPr>
        <w:lastRenderedPageBreak/>
        <w:t xml:space="preserve">Así mismo determinar si se actualiza la causal de procedencia prevista en la fracción I  del artículo 179 de la Ley de Transparencia y Acceso a la Información Pública del Estado de México y sus Municipios, que establecen la negativa de la información solicitada. </w:t>
      </w:r>
    </w:p>
    <w:p w:rsidR="004D2304" w:rsidRPr="00AC562A" w:rsidRDefault="004D2304" w:rsidP="004D2304">
      <w:pPr>
        <w:spacing w:line="360" w:lineRule="auto"/>
        <w:ind w:right="49"/>
        <w:contextualSpacing/>
        <w:jc w:val="both"/>
        <w:rPr>
          <w:rFonts w:ascii="Palatino Linotype" w:eastAsia="MS Gothic" w:hAnsi="Palatino Linotype"/>
        </w:rPr>
      </w:pPr>
    </w:p>
    <w:p w:rsidR="004D2304" w:rsidRPr="00AC562A" w:rsidRDefault="004D2304" w:rsidP="004D2304">
      <w:pPr>
        <w:keepNext/>
        <w:keepLines/>
        <w:spacing w:line="360" w:lineRule="auto"/>
        <w:ind w:right="48"/>
        <w:outlineLvl w:val="0"/>
        <w:rPr>
          <w:rFonts w:ascii="Palatino Linotype" w:eastAsia="MS Gothic" w:hAnsi="Palatino Linotype" w:cstheme="majorBidi"/>
          <w:b/>
          <w:lang w:val="es-ES_tradnl" w:eastAsia="es-ES"/>
        </w:rPr>
      </w:pPr>
      <w:bookmarkStart w:id="13" w:name="_Toc70417466"/>
      <w:bookmarkStart w:id="14" w:name="_Toc80812775"/>
      <w:bookmarkStart w:id="15" w:name="_Toc90654867"/>
      <w:r w:rsidRPr="00AC562A">
        <w:rPr>
          <w:rFonts w:ascii="Palatino Linotype" w:eastAsia="MS Gothic" w:hAnsi="Palatino Linotype" w:cstheme="majorBidi"/>
          <w:b/>
          <w:lang w:val="es-ES_tradnl" w:eastAsia="es-ES"/>
        </w:rPr>
        <w:t>CUARTO. Del estudio y resolución del recurso de revisión.</w:t>
      </w:r>
      <w:bookmarkEnd w:id="13"/>
      <w:bookmarkEnd w:id="14"/>
      <w:bookmarkEnd w:id="15"/>
    </w:p>
    <w:p w:rsidR="002B6DCC" w:rsidRPr="00AC562A" w:rsidRDefault="002B6DCC" w:rsidP="004D2304">
      <w:pPr>
        <w:keepNext/>
        <w:keepLines/>
        <w:spacing w:line="360" w:lineRule="auto"/>
        <w:ind w:right="48"/>
        <w:outlineLvl w:val="0"/>
        <w:rPr>
          <w:rFonts w:ascii="Palatino Linotype" w:eastAsia="MS Gothic" w:hAnsi="Palatino Linotype" w:cstheme="majorBidi"/>
          <w:b/>
          <w:lang w:val="es-ES_tradnl" w:eastAsia="es-ES"/>
        </w:rPr>
      </w:pPr>
    </w:p>
    <w:p w:rsidR="002B6DCC" w:rsidRPr="00AC562A" w:rsidRDefault="0044050D" w:rsidP="0044050D">
      <w:pPr>
        <w:pStyle w:val="Prrafodelista"/>
        <w:keepNext/>
        <w:keepLines/>
        <w:spacing w:line="360" w:lineRule="auto"/>
        <w:ind w:left="1080"/>
        <w:jc w:val="both"/>
        <w:outlineLvl w:val="1"/>
        <w:rPr>
          <w:rFonts w:ascii="Palatino Linotype" w:eastAsia="MS Gothic" w:hAnsi="Palatino Linotype"/>
          <w:b/>
          <w:sz w:val="24"/>
          <w:lang w:val="es-ES_tradnl" w:eastAsia="es-ES"/>
        </w:rPr>
      </w:pPr>
      <w:bookmarkStart w:id="16" w:name="_Toc498528948"/>
      <w:bookmarkStart w:id="17" w:name="_Toc71234379"/>
      <w:bookmarkStart w:id="18" w:name="_Toc71239557"/>
      <w:bookmarkStart w:id="19" w:name="_Toc80812776"/>
      <w:bookmarkStart w:id="20" w:name="_Toc83301639"/>
      <w:r w:rsidRPr="00AC562A">
        <w:rPr>
          <w:rFonts w:ascii="Palatino Linotype" w:eastAsia="MS Gothic" w:hAnsi="Palatino Linotype"/>
          <w:b/>
          <w:sz w:val="24"/>
          <w:lang w:val="es-ES_tradnl" w:eastAsia="es-ES"/>
        </w:rPr>
        <w:t xml:space="preserve">I. </w:t>
      </w:r>
      <w:r w:rsidR="002B6DCC" w:rsidRPr="00AC562A">
        <w:rPr>
          <w:rFonts w:ascii="Palatino Linotype" w:eastAsia="MS Gothic" w:hAnsi="Palatino Linotype"/>
          <w:b/>
          <w:sz w:val="24"/>
          <w:lang w:val="es-ES_tradnl" w:eastAsia="es-ES"/>
        </w:rPr>
        <w:t>De</w:t>
      </w:r>
      <w:bookmarkEnd w:id="16"/>
      <w:r w:rsidR="002B6DCC" w:rsidRPr="00AC562A">
        <w:rPr>
          <w:rFonts w:ascii="Palatino Linotype" w:eastAsia="MS Gothic" w:hAnsi="Palatino Linotype"/>
          <w:b/>
          <w:sz w:val="24"/>
          <w:lang w:val="es-ES_tradnl" w:eastAsia="es-ES"/>
        </w:rPr>
        <w:t>l derecho de acceso a la información.</w:t>
      </w:r>
      <w:bookmarkEnd w:id="17"/>
      <w:bookmarkEnd w:id="18"/>
      <w:bookmarkEnd w:id="19"/>
      <w:bookmarkEnd w:id="20"/>
    </w:p>
    <w:p w:rsidR="002B6DCC" w:rsidRPr="00AC562A" w:rsidRDefault="002B6DCC" w:rsidP="002B6DCC">
      <w:pPr>
        <w:spacing w:line="360" w:lineRule="auto"/>
        <w:ind w:right="49"/>
        <w:contextualSpacing/>
        <w:jc w:val="both"/>
        <w:rPr>
          <w:rFonts w:ascii="Palatino Linotype" w:eastAsiaTheme="minorEastAsia" w:hAnsi="Palatino Linotype"/>
          <w:lang w:val="es-ES_tradnl" w:eastAsia="es-ES"/>
        </w:rPr>
      </w:pPr>
    </w:p>
    <w:p w:rsidR="002B6DCC" w:rsidRPr="00AC562A" w:rsidRDefault="002B6DCC" w:rsidP="0044050D">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C562A">
        <w:rPr>
          <w:rFonts w:ascii="Palatino Linotype" w:eastAsiaTheme="minorEastAsia" w:hAnsi="Palatino Linotype"/>
          <w:lang w:val="es-ES_tradnl" w:eastAsia="es-ES"/>
        </w:rPr>
        <w:t>E</w:t>
      </w:r>
      <w:r w:rsidRPr="00AC562A">
        <w:rPr>
          <w:rFonts w:ascii="Palatino Linotype" w:hAnsi="Palatino Linotype" w:cs="Arial"/>
          <w:color w:val="000000"/>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AC562A">
        <w:rPr>
          <w:rFonts w:ascii="Palatino Linotype" w:hAnsi="Palatino Linotype" w:cs="Arial"/>
          <w:color w:val="000000"/>
          <w:lang w:val="es-ES_tradnl" w:eastAsia="es-ES"/>
        </w:rPr>
        <w:t xml:space="preserve">. </w:t>
      </w:r>
    </w:p>
    <w:p w:rsidR="002B6DCC" w:rsidRPr="00AC562A" w:rsidRDefault="002B6DCC" w:rsidP="0044050D">
      <w:pPr>
        <w:spacing w:line="360" w:lineRule="auto"/>
        <w:ind w:right="49"/>
        <w:contextualSpacing/>
        <w:jc w:val="both"/>
        <w:rPr>
          <w:rFonts w:ascii="Palatino Linotype" w:eastAsiaTheme="minorEastAsia" w:hAnsi="Palatino Linotype"/>
          <w:lang w:val="es-ES_tradnl" w:eastAsia="es-ES"/>
        </w:rPr>
      </w:pPr>
    </w:p>
    <w:p w:rsidR="002B6DCC" w:rsidRPr="00AC562A" w:rsidRDefault="002B6DCC" w:rsidP="0044050D">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C562A">
        <w:rPr>
          <w:rFonts w:ascii="Palatino Linotype" w:hAnsi="Palatino Linotype"/>
          <w:lang w:val="es-ES_tradnl" w:eastAsia="es-ES"/>
        </w:rPr>
        <w:t xml:space="preserve">Definiendo el Derecho de Acceso a la Información Pública como: </w:t>
      </w:r>
      <w:r w:rsidRPr="00AC562A">
        <w:rPr>
          <w:rFonts w:ascii="Palatino Linotype" w:eastAsiaTheme="minorEastAsia" w:hAnsi="Palatino Linotype"/>
          <w:i/>
          <w:color w:val="000000"/>
          <w:lang w:val="es-ES_tradnl" w:eastAsia="es-ES"/>
        </w:rPr>
        <w:t>La igualdad de oportunidades para recibir, buscar e impartir información</w:t>
      </w:r>
      <w:r w:rsidRPr="00AC562A">
        <w:rPr>
          <w:rFonts w:ascii="Palatino Linotype" w:eastAsiaTheme="minorEastAsia" w:hAnsi="Palatino Linotype"/>
          <w:i/>
          <w:vertAlign w:val="superscript"/>
          <w:lang w:val="es-ES_tradnl" w:eastAsia="es-ES"/>
        </w:rPr>
        <w:footnoteReference w:id="1"/>
      </w:r>
      <w:r w:rsidRPr="00AC562A">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AC562A">
        <w:rPr>
          <w:rFonts w:ascii="Palatino Linotype" w:eastAsiaTheme="minorEastAsia" w:hAnsi="Palatino Linotype"/>
          <w:i/>
          <w:vertAlign w:val="superscript"/>
          <w:lang w:val="es-ES_tradnl" w:eastAsia="es-ES"/>
        </w:rPr>
        <w:footnoteReference w:id="2"/>
      </w:r>
      <w:r w:rsidRPr="00AC562A">
        <w:rPr>
          <w:rFonts w:ascii="Palatino Linotype" w:eastAsiaTheme="minorEastAsia" w:hAnsi="Palatino Linotype"/>
          <w:color w:val="000000"/>
          <w:lang w:val="es-ES_tradnl" w:eastAsia="es-ES"/>
        </w:rPr>
        <w:t>que se constituye como una herramienta fundamental para ejercer</w:t>
      </w:r>
      <w:r w:rsidRPr="00AC562A">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w:t>
      </w:r>
      <w:r w:rsidRPr="00AC562A">
        <w:rPr>
          <w:rFonts w:ascii="Palatino Linotype" w:eastAsiaTheme="minorEastAsia" w:hAnsi="Palatino Linotype"/>
          <w:i/>
          <w:color w:val="000000"/>
          <w:lang w:val="es-ES_tradnl" w:eastAsia="es-ES"/>
        </w:rPr>
        <w:lastRenderedPageBreak/>
        <w:t>funciones públicas,</w:t>
      </w:r>
      <w:r w:rsidRPr="00AC562A">
        <w:rPr>
          <w:rFonts w:ascii="Palatino Linotype" w:eastAsiaTheme="minorEastAsia" w:hAnsi="Palatino Linotype"/>
          <w:i/>
          <w:vertAlign w:val="superscript"/>
          <w:lang w:val="es-ES_tradnl" w:eastAsia="es-ES"/>
        </w:rPr>
        <w:footnoteReference w:id="3"/>
      </w:r>
      <w:r w:rsidRPr="00AC562A">
        <w:rPr>
          <w:rFonts w:ascii="Palatino Linotype" w:eastAsiaTheme="minorEastAsia" w:hAnsi="Palatino Linotype"/>
          <w:color w:val="000000"/>
          <w:lang w:val="es-ES_tradnl" w:eastAsia="es-ES"/>
        </w:rPr>
        <w:t>fomentando</w:t>
      </w:r>
      <w:r w:rsidRPr="00AC562A">
        <w:rPr>
          <w:rFonts w:ascii="Palatino Linotype" w:eastAsiaTheme="minorEastAsia" w:hAnsi="Palatino Linotype"/>
          <w:i/>
          <w:color w:val="000000"/>
          <w:lang w:val="es-ES_tradnl" w:eastAsia="es-ES"/>
        </w:rPr>
        <w:t xml:space="preserve"> la transparencia de las actividades estatales y </w:t>
      </w:r>
      <w:r w:rsidRPr="00AC562A">
        <w:rPr>
          <w:rFonts w:ascii="Palatino Linotype" w:eastAsiaTheme="minorEastAsia" w:hAnsi="Palatino Linotype"/>
          <w:color w:val="000000"/>
          <w:lang w:val="es-ES_tradnl" w:eastAsia="es-ES"/>
        </w:rPr>
        <w:t>promoviendo</w:t>
      </w:r>
      <w:r w:rsidRPr="00AC562A">
        <w:rPr>
          <w:rFonts w:ascii="Palatino Linotype" w:eastAsiaTheme="minorEastAsia" w:hAnsi="Palatino Linotype"/>
          <w:i/>
          <w:color w:val="000000"/>
          <w:lang w:val="es-ES_tradnl" w:eastAsia="es-ES"/>
        </w:rPr>
        <w:t xml:space="preserve"> la responsabilidad de los funcionarios sobre su gestión pública,</w:t>
      </w:r>
      <w:r w:rsidRPr="00AC562A">
        <w:rPr>
          <w:rFonts w:ascii="Palatino Linotype" w:eastAsiaTheme="minorEastAsia" w:hAnsi="Palatino Linotype"/>
          <w:i/>
          <w:vertAlign w:val="superscript"/>
          <w:lang w:val="es-ES_tradnl" w:eastAsia="es-ES"/>
        </w:rPr>
        <w:footnoteReference w:id="4"/>
      </w:r>
      <w:r w:rsidRPr="00AC562A">
        <w:rPr>
          <w:rFonts w:ascii="Palatino Linotype" w:eastAsiaTheme="minorEastAsia" w:hAnsi="Palatino Linotype"/>
          <w:color w:val="000000"/>
          <w:lang w:val="es-ES_tradnl" w:eastAsia="es-ES"/>
        </w:rPr>
        <w:t>que permite</w:t>
      </w:r>
      <w:r w:rsidRPr="00AC562A">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rsidR="002B6DCC" w:rsidRPr="00AC562A" w:rsidRDefault="002B6DCC" w:rsidP="0044050D">
      <w:pPr>
        <w:spacing w:line="360" w:lineRule="auto"/>
        <w:ind w:right="49"/>
        <w:contextualSpacing/>
        <w:jc w:val="both"/>
        <w:rPr>
          <w:rFonts w:ascii="Palatino Linotype" w:eastAsiaTheme="minorEastAsia" w:hAnsi="Palatino Linotype"/>
          <w:lang w:val="es-ES_tradnl" w:eastAsia="es-ES"/>
        </w:rPr>
      </w:pPr>
    </w:p>
    <w:p w:rsidR="002B6DCC" w:rsidRPr="00AC562A" w:rsidRDefault="002B6DCC" w:rsidP="0044050D">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C562A">
        <w:rPr>
          <w:rFonts w:ascii="Palatino Linotype" w:hAnsi="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rsidR="002B6DCC" w:rsidRPr="00AC562A" w:rsidRDefault="002B6DCC" w:rsidP="0044050D">
      <w:pPr>
        <w:spacing w:line="360" w:lineRule="auto"/>
        <w:ind w:right="49"/>
        <w:contextualSpacing/>
        <w:jc w:val="both"/>
        <w:rPr>
          <w:rFonts w:ascii="Palatino Linotype" w:hAnsi="Palatino Linotype"/>
          <w:lang w:val="es-ES_tradnl" w:eastAsia="es-ES"/>
        </w:rPr>
      </w:pPr>
    </w:p>
    <w:p w:rsidR="002B6DCC" w:rsidRPr="00AC562A" w:rsidRDefault="002B6DCC" w:rsidP="002B6DCC">
      <w:pPr>
        <w:spacing w:line="360" w:lineRule="auto"/>
        <w:ind w:left="567" w:right="567"/>
        <w:contextualSpacing/>
        <w:jc w:val="both"/>
        <w:rPr>
          <w:rFonts w:ascii="Palatino Linotype" w:hAnsi="Palatino Linotype"/>
          <w:i/>
          <w:sz w:val="22"/>
          <w:lang w:val="es-ES_tradnl" w:eastAsia="es-ES"/>
        </w:rPr>
      </w:pPr>
      <w:r w:rsidRPr="00AC562A">
        <w:rPr>
          <w:rFonts w:ascii="Palatino Linotype" w:hAnsi="Palatino Linotype"/>
          <w:i/>
          <w:sz w:val="22"/>
          <w:lang w:val="es-ES_tradnl" w:eastAsia="es-ES"/>
        </w:rPr>
        <w:t>“</w:t>
      </w:r>
      <w:r w:rsidRPr="00AC562A">
        <w:rPr>
          <w:rFonts w:ascii="Palatino Linotype" w:hAnsi="Palatino Linotype"/>
          <w:b/>
          <w:i/>
          <w:sz w:val="22"/>
          <w:lang w:val="es-ES_tradnl" w:eastAsia="es-ES"/>
        </w:rPr>
        <w:t>Artículo 1.-</w:t>
      </w:r>
      <w:r w:rsidRPr="00AC562A">
        <w:rPr>
          <w:rFonts w:ascii="Palatino Linotype" w:hAnsi="Palatino Linotype"/>
          <w:i/>
          <w:sz w:val="22"/>
          <w:lang w:val="es-ES_tradnl" w:eastAsia="es-ES"/>
        </w:rPr>
        <w:t xml:space="preserve"> </w:t>
      </w:r>
    </w:p>
    <w:p w:rsidR="002B6DCC" w:rsidRPr="00AC562A" w:rsidRDefault="002B6DCC" w:rsidP="002B6DCC">
      <w:pPr>
        <w:spacing w:line="360" w:lineRule="auto"/>
        <w:ind w:left="567" w:right="567"/>
        <w:contextualSpacing/>
        <w:jc w:val="both"/>
        <w:rPr>
          <w:rFonts w:ascii="Palatino Linotype" w:hAnsi="Palatino Linotype"/>
          <w:i/>
          <w:sz w:val="22"/>
          <w:lang w:val="es-ES_tradnl" w:eastAsia="es-ES"/>
        </w:rPr>
      </w:pPr>
      <w:r w:rsidRPr="00AC562A">
        <w:rPr>
          <w:rFonts w:ascii="Palatino Linotype" w:hAnsi="Palatino Linotype"/>
          <w:i/>
          <w:sz w:val="22"/>
          <w:lang w:val="es-ES_tradnl" w:eastAsia="es-ES"/>
        </w:rPr>
        <w:t>(…)</w:t>
      </w:r>
    </w:p>
    <w:p w:rsidR="002B6DCC" w:rsidRPr="00AC562A" w:rsidRDefault="002B6DCC" w:rsidP="002B6DCC">
      <w:pPr>
        <w:spacing w:line="360" w:lineRule="auto"/>
        <w:ind w:left="567" w:right="567"/>
        <w:contextualSpacing/>
        <w:jc w:val="both"/>
        <w:rPr>
          <w:rFonts w:ascii="Palatino Linotype" w:hAnsi="Palatino Linotype"/>
          <w:i/>
          <w:sz w:val="22"/>
        </w:rPr>
      </w:pPr>
      <w:r w:rsidRPr="00AC562A">
        <w:rPr>
          <w:rFonts w:ascii="Palatino Linotype" w:hAnsi="Palatino Linotype"/>
          <w:i/>
          <w:sz w:val="22"/>
          <w:lang w:val="es-ES_tradnl" w:eastAsia="es-ES"/>
        </w:rPr>
        <w:t>Todas las</w:t>
      </w:r>
      <w:r w:rsidRPr="00AC562A">
        <w:rPr>
          <w:rFonts w:ascii="Palatino Linotype" w:hAnsi="Palatino Linotype"/>
          <w:sz w:val="22"/>
          <w:lang w:val="es-ES_tradnl" w:eastAsia="es-ES"/>
        </w:rPr>
        <w:t xml:space="preserve"> </w:t>
      </w:r>
      <w:r w:rsidRPr="00AC562A">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2B6DCC" w:rsidRPr="00AC562A" w:rsidRDefault="002B6DCC" w:rsidP="002B6DCC">
      <w:pPr>
        <w:spacing w:line="360" w:lineRule="auto"/>
        <w:ind w:left="567" w:right="567"/>
        <w:contextualSpacing/>
        <w:jc w:val="both"/>
        <w:rPr>
          <w:rFonts w:ascii="Palatino Linotype" w:hAnsi="Palatino Linotype"/>
          <w:sz w:val="22"/>
          <w:lang w:val="es-ES_tradnl" w:eastAsia="es-ES"/>
        </w:rPr>
      </w:pPr>
      <w:r w:rsidRPr="00AC562A">
        <w:rPr>
          <w:rFonts w:ascii="Palatino Linotype" w:hAnsi="Palatino Linotype"/>
          <w:i/>
          <w:sz w:val="22"/>
        </w:rPr>
        <w:t>(…)</w:t>
      </w:r>
      <w:r w:rsidRPr="00AC562A">
        <w:rPr>
          <w:rFonts w:ascii="Palatino Linotype" w:hAnsi="Palatino Linotype"/>
          <w:sz w:val="22"/>
          <w:lang w:val="es-ES_tradnl" w:eastAsia="es-ES"/>
        </w:rPr>
        <w:t>”.</w:t>
      </w:r>
    </w:p>
    <w:p w:rsidR="002B6DCC" w:rsidRPr="00AC562A" w:rsidRDefault="002B6DCC" w:rsidP="002B6DCC">
      <w:pPr>
        <w:spacing w:line="360" w:lineRule="auto"/>
        <w:ind w:left="567" w:right="567"/>
        <w:contextualSpacing/>
        <w:jc w:val="both"/>
        <w:rPr>
          <w:rFonts w:ascii="Palatino Linotype" w:hAnsi="Palatino Linotype"/>
          <w:b/>
          <w:sz w:val="22"/>
          <w:lang w:val="es-ES_tradnl" w:eastAsia="es-ES"/>
        </w:rPr>
      </w:pPr>
      <w:r w:rsidRPr="00AC562A">
        <w:rPr>
          <w:rFonts w:ascii="Palatino Linotype" w:hAnsi="Palatino Linotype"/>
          <w:b/>
          <w:i/>
          <w:sz w:val="22"/>
        </w:rPr>
        <w:t>(Énfasis Añadido)</w:t>
      </w:r>
    </w:p>
    <w:p w:rsidR="002B6DCC" w:rsidRPr="00AC562A" w:rsidRDefault="002B6DCC" w:rsidP="002B6DCC">
      <w:pPr>
        <w:spacing w:line="360" w:lineRule="auto"/>
        <w:ind w:right="49"/>
        <w:contextualSpacing/>
        <w:jc w:val="both"/>
        <w:rPr>
          <w:rFonts w:ascii="Palatino Linotype" w:eastAsiaTheme="minorEastAsia" w:hAnsi="Palatino Linotype"/>
          <w:lang w:val="es-ES_tradnl" w:eastAsia="es-ES"/>
        </w:rPr>
      </w:pPr>
    </w:p>
    <w:p w:rsidR="002B6DCC" w:rsidRPr="00AC562A" w:rsidRDefault="002B6DCC" w:rsidP="0044050D">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C562A">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rsidR="002B6DCC" w:rsidRPr="00AC562A" w:rsidRDefault="002B6DCC" w:rsidP="0044050D">
      <w:pPr>
        <w:spacing w:line="360" w:lineRule="auto"/>
        <w:ind w:right="49"/>
        <w:contextualSpacing/>
        <w:jc w:val="both"/>
        <w:rPr>
          <w:rFonts w:ascii="Palatino Linotype" w:eastAsiaTheme="minorEastAsia" w:hAnsi="Palatino Linotype"/>
          <w:lang w:val="es-ES_tradnl" w:eastAsia="es-ES"/>
        </w:rPr>
      </w:pPr>
    </w:p>
    <w:p w:rsidR="002B6DCC" w:rsidRPr="00AC562A" w:rsidRDefault="002B6DCC" w:rsidP="0044050D">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C562A">
        <w:rPr>
          <w:rFonts w:ascii="Palatino Linotype" w:eastAsiaTheme="minorEastAsia" w:hAnsi="Palatino Linotype"/>
          <w:lang w:val="es-ES_tradnl" w:eastAsia="es-ES"/>
        </w:rPr>
        <w:t xml:space="preserve">Así, conforme a la Constitución Política de las Estado Unidos Mexicanos </w:t>
      </w:r>
      <w:r w:rsidRPr="00AC562A">
        <w:rPr>
          <w:rFonts w:ascii="Palatino Linotype" w:eastAsia="Calibri" w:hAnsi="Palatino Linotype"/>
          <w:lang w:val="es-ES_tradnl" w:eastAsia="es-ES"/>
        </w:rPr>
        <w:t>y la Constitución Política del Estado Libre y Soberano de México respectivamente</w:t>
      </w:r>
      <w:r w:rsidRPr="00AC562A">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rsidR="002B6DCC" w:rsidRPr="00AC562A" w:rsidRDefault="002B6DCC" w:rsidP="002B6DCC">
      <w:pPr>
        <w:spacing w:line="360" w:lineRule="auto"/>
        <w:ind w:right="49"/>
        <w:contextualSpacing/>
        <w:jc w:val="both"/>
        <w:rPr>
          <w:rFonts w:ascii="Palatino Linotype" w:eastAsiaTheme="minorEastAsia" w:hAnsi="Palatino Linotype"/>
          <w:lang w:val="es-ES_tradnl" w:eastAsia="es-ES"/>
        </w:rPr>
      </w:pPr>
    </w:p>
    <w:p w:rsidR="002B6DCC" w:rsidRPr="00AC562A" w:rsidRDefault="002B6DCC" w:rsidP="002B6DCC">
      <w:pPr>
        <w:spacing w:line="360" w:lineRule="auto"/>
        <w:ind w:left="567" w:right="567"/>
        <w:jc w:val="center"/>
        <w:rPr>
          <w:rFonts w:ascii="Palatino Linotype" w:eastAsiaTheme="minorEastAsia" w:hAnsi="Palatino Linotype" w:cs="Arial"/>
          <w:b/>
          <w:bCs/>
          <w:i/>
          <w:sz w:val="22"/>
          <w:lang w:val="es-ES_tradnl" w:eastAsia="es-ES"/>
        </w:rPr>
      </w:pPr>
      <w:r w:rsidRPr="00AC562A">
        <w:rPr>
          <w:rFonts w:ascii="Palatino Linotype" w:eastAsiaTheme="minorEastAsia" w:hAnsi="Palatino Linotype" w:cs="Arial"/>
          <w:b/>
          <w:bCs/>
          <w:i/>
          <w:sz w:val="22"/>
          <w:lang w:val="es-ES_tradnl" w:eastAsia="es-ES"/>
        </w:rPr>
        <w:t>Constitución Política de los Estados Unidos Mexicanos</w:t>
      </w:r>
    </w:p>
    <w:p w:rsidR="002B6DCC" w:rsidRPr="00AC562A" w:rsidRDefault="002B6DCC" w:rsidP="002B6DCC">
      <w:pPr>
        <w:spacing w:line="360" w:lineRule="auto"/>
        <w:ind w:left="567" w:right="567"/>
        <w:jc w:val="both"/>
        <w:rPr>
          <w:rFonts w:ascii="Palatino Linotype" w:eastAsiaTheme="minorEastAsia" w:hAnsi="Palatino Linotype" w:cs="Arial"/>
          <w:b/>
          <w:bCs/>
          <w:i/>
          <w:sz w:val="22"/>
          <w:lang w:val="es-ES_tradnl" w:eastAsia="es-ES"/>
        </w:rPr>
      </w:pPr>
      <w:r w:rsidRPr="00AC562A">
        <w:rPr>
          <w:rFonts w:ascii="Palatino Linotype" w:eastAsiaTheme="minorEastAsia" w:hAnsi="Palatino Linotype" w:cs="Arial"/>
          <w:b/>
          <w:bCs/>
          <w:i/>
          <w:sz w:val="22"/>
          <w:lang w:val="es-ES_tradnl" w:eastAsia="es-ES"/>
        </w:rPr>
        <w:t>“Artículo 6.</w:t>
      </w:r>
      <w:r w:rsidRPr="00AC562A">
        <w:rPr>
          <w:rFonts w:ascii="Palatino Linotype" w:eastAsiaTheme="minorEastAsia" w:hAnsi="Palatino Linotype" w:cs="Arial"/>
          <w:bCs/>
          <w:i/>
          <w:sz w:val="22"/>
          <w:lang w:val="es-ES_tradnl" w:eastAsia="es-ES"/>
        </w:rPr>
        <w:t xml:space="preserve"> …</w:t>
      </w:r>
    </w:p>
    <w:p w:rsidR="002B6DCC" w:rsidRPr="00AC562A" w:rsidRDefault="002B6DCC" w:rsidP="002B6DCC">
      <w:pPr>
        <w:spacing w:line="360" w:lineRule="auto"/>
        <w:ind w:left="567" w:right="567"/>
        <w:jc w:val="both"/>
        <w:rPr>
          <w:rFonts w:ascii="Palatino Linotype" w:eastAsiaTheme="minorEastAsia" w:hAnsi="Palatino Linotype" w:cs="Arial"/>
          <w:bCs/>
          <w:i/>
          <w:sz w:val="22"/>
          <w:lang w:val="es-ES_tradnl" w:eastAsia="es-ES"/>
        </w:rPr>
      </w:pPr>
      <w:r w:rsidRPr="00AC562A">
        <w:rPr>
          <w:rFonts w:ascii="Palatino Linotype" w:eastAsiaTheme="minorEastAsia" w:hAnsi="Palatino Linotype" w:cs="Arial"/>
          <w:bCs/>
          <w:i/>
          <w:sz w:val="22"/>
          <w:lang w:val="es-ES_tradnl" w:eastAsia="es-ES"/>
        </w:rPr>
        <w:t>…</w:t>
      </w:r>
    </w:p>
    <w:p w:rsidR="002B6DCC" w:rsidRPr="00AC562A" w:rsidRDefault="002B6DCC" w:rsidP="002B6DCC">
      <w:pPr>
        <w:spacing w:line="360" w:lineRule="auto"/>
        <w:ind w:left="567" w:right="567"/>
        <w:jc w:val="both"/>
        <w:rPr>
          <w:rFonts w:ascii="Palatino Linotype" w:eastAsiaTheme="minorEastAsia" w:hAnsi="Palatino Linotype" w:cs="Arial"/>
          <w:bCs/>
          <w:i/>
          <w:sz w:val="22"/>
          <w:lang w:val="es-ES_tradnl" w:eastAsia="es-ES"/>
        </w:rPr>
      </w:pPr>
      <w:r w:rsidRPr="00AC562A">
        <w:rPr>
          <w:rFonts w:ascii="Palatino Linotype" w:eastAsiaTheme="minorEastAsia" w:hAnsi="Palatino Linotype" w:cs="Arial"/>
          <w:bCs/>
          <w:i/>
          <w:sz w:val="22"/>
          <w:lang w:val="es-ES_tradnl" w:eastAsia="es-ES"/>
        </w:rPr>
        <w:t>Para efectos de lo dispuesto en el presente artículo se observará lo siguiente:</w:t>
      </w:r>
    </w:p>
    <w:p w:rsidR="002B6DCC" w:rsidRPr="00AC562A" w:rsidRDefault="002B6DCC" w:rsidP="002B6DCC">
      <w:pPr>
        <w:spacing w:line="360" w:lineRule="auto"/>
        <w:ind w:left="567" w:right="567"/>
        <w:jc w:val="both"/>
        <w:rPr>
          <w:rFonts w:ascii="Palatino Linotype" w:eastAsiaTheme="minorEastAsia" w:hAnsi="Palatino Linotype" w:cs="Arial"/>
          <w:b/>
          <w:bCs/>
          <w:i/>
          <w:sz w:val="22"/>
          <w:lang w:val="es-ES_tradnl" w:eastAsia="es-ES"/>
        </w:rPr>
      </w:pPr>
      <w:r w:rsidRPr="00AC562A">
        <w:rPr>
          <w:rFonts w:ascii="Palatino Linotype" w:eastAsiaTheme="minorEastAsia" w:hAnsi="Palatino Linotype" w:cs="Arial"/>
          <w:b/>
          <w:bCs/>
          <w:i/>
          <w:sz w:val="22"/>
          <w:lang w:val="es-ES_tradnl" w:eastAsia="es-ES"/>
        </w:rPr>
        <w:t>A</w:t>
      </w:r>
      <w:r w:rsidRPr="00AC562A">
        <w:rPr>
          <w:rFonts w:ascii="Palatino Linotype" w:eastAsiaTheme="minorEastAsia" w:hAnsi="Palatino Linotype" w:cs="Arial"/>
          <w:bCs/>
          <w:i/>
          <w:sz w:val="22"/>
          <w:lang w:val="es-ES_tradnl" w:eastAsia="es-ES"/>
        </w:rPr>
        <w:t xml:space="preserve">. </w:t>
      </w:r>
      <w:r w:rsidRPr="00AC562A">
        <w:rPr>
          <w:rFonts w:ascii="Palatino Linotype" w:eastAsiaTheme="minorEastAsia" w:hAnsi="Palatino Linotype" w:cs="Arial"/>
          <w:b/>
          <w:bCs/>
          <w:i/>
          <w:sz w:val="22"/>
          <w:lang w:val="es-ES_tradnl" w:eastAsia="es-ES"/>
        </w:rPr>
        <w:t>Para el ejercicio del derecho de acceso a la información</w:t>
      </w:r>
      <w:r w:rsidRPr="00AC562A">
        <w:rPr>
          <w:rFonts w:ascii="Palatino Linotype" w:eastAsiaTheme="minorEastAsia" w:hAnsi="Palatino Linotype" w:cs="Arial"/>
          <w:bCs/>
          <w:i/>
          <w:sz w:val="22"/>
          <w:lang w:val="es-ES_tradnl" w:eastAsia="es-ES"/>
        </w:rPr>
        <w:t xml:space="preserve">, la Federación y </w:t>
      </w:r>
      <w:r w:rsidRPr="00AC562A">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rsidR="002B6DCC" w:rsidRPr="00AC562A" w:rsidRDefault="002B6DCC" w:rsidP="002B6DCC">
      <w:pPr>
        <w:spacing w:line="360" w:lineRule="auto"/>
        <w:ind w:left="567" w:right="567"/>
        <w:jc w:val="both"/>
        <w:rPr>
          <w:rFonts w:ascii="Palatino Linotype" w:eastAsiaTheme="minorEastAsia" w:hAnsi="Palatino Linotype" w:cs="Arial"/>
          <w:bCs/>
          <w:i/>
          <w:sz w:val="22"/>
          <w:lang w:val="es-ES_tradnl" w:eastAsia="es-ES"/>
        </w:rPr>
      </w:pPr>
      <w:r w:rsidRPr="00AC562A">
        <w:rPr>
          <w:rFonts w:ascii="Palatino Linotype" w:eastAsiaTheme="minorEastAsia" w:hAnsi="Palatino Linotype" w:cs="Arial"/>
          <w:b/>
          <w:bCs/>
          <w:i/>
          <w:sz w:val="22"/>
          <w:lang w:val="es-ES_tradnl" w:eastAsia="es-ES"/>
        </w:rPr>
        <w:t xml:space="preserve">I. </w:t>
      </w:r>
      <w:r w:rsidRPr="00AC562A">
        <w:rPr>
          <w:rFonts w:ascii="Palatino Linotype" w:eastAsiaTheme="minorEastAsia" w:hAnsi="Palatino Linotype" w:cs="Arial"/>
          <w:b/>
          <w:bCs/>
          <w:i/>
          <w:sz w:val="22"/>
          <w:lang w:val="es-ES_tradnl" w:eastAsia="es-ES"/>
        </w:rPr>
        <w:tab/>
        <w:t>Toda la información en posesión de cualquier</w:t>
      </w:r>
      <w:r w:rsidRPr="00AC562A">
        <w:rPr>
          <w:rFonts w:ascii="Palatino Linotype" w:eastAsiaTheme="minorEastAsia" w:hAnsi="Palatino Linotype" w:cs="Arial"/>
          <w:bCs/>
          <w:i/>
          <w:sz w:val="22"/>
          <w:lang w:val="es-ES_tradnl" w:eastAsia="es-ES"/>
        </w:rPr>
        <w:t xml:space="preserve"> </w:t>
      </w:r>
      <w:r w:rsidRPr="00AC562A">
        <w:rPr>
          <w:rFonts w:ascii="Palatino Linotype" w:eastAsiaTheme="minorEastAsia" w:hAnsi="Palatino Linotype" w:cs="Arial"/>
          <w:b/>
          <w:bCs/>
          <w:i/>
          <w:sz w:val="22"/>
          <w:lang w:val="es-ES_tradnl" w:eastAsia="es-ES"/>
        </w:rPr>
        <w:t>autoridad</w:t>
      </w:r>
      <w:r w:rsidRPr="00AC562A">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AC562A">
        <w:rPr>
          <w:rFonts w:ascii="Palatino Linotype" w:eastAsiaTheme="minorEastAsia" w:hAnsi="Palatino Linotype" w:cs="Arial"/>
          <w:b/>
          <w:bCs/>
          <w:i/>
          <w:sz w:val="22"/>
          <w:lang w:val="es-ES_tradnl" w:eastAsia="es-ES"/>
        </w:rPr>
        <w:t>municipal</w:t>
      </w:r>
      <w:r w:rsidRPr="00AC562A">
        <w:rPr>
          <w:rFonts w:ascii="Palatino Linotype" w:eastAsiaTheme="minorEastAsia" w:hAnsi="Palatino Linotype" w:cs="Arial"/>
          <w:bCs/>
          <w:i/>
          <w:sz w:val="22"/>
          <w:lang w:val="es-ES_tradnl" w:eastAsia="es-ES"/>
        </w:rPr>
        <w:t xml:space="preserve">, </w:t>
      </w:r>
      <w:r w:rsidRPr="00AC562A">
        <w:rPr>
          <w:rFonts w:ascii="Palatino Linotype" w:eastAsiaTheme="minorEastAsia" w:hAnsi="Palatino Linotype" w:cs="Arial"/>
          <w:b/>
          <w:bCs/>
          <w:i/>
          <w:sz w:val="22"/>
          <w:lang w:val="es-ES_tradnl" w:eastAsia="es-ES"/>
        </w:rPr>
        <w:t>es pública</w:t>
      </w:r>
      <w:r w:rsidRPr="00AC562A">
        <w:rPr>
          <w:rFonts w:ascii="Palatino Linotype" w:eastAsiaTheme="minorEastAsia" w:hAnsi="Palatino Linotype" w:cs="Arial"/>
          <w:bCs/>
          <w:i/>
          <w:sz w:val="22"/>
          <w:lang w:val="es-ES_tradnl" w:eastAsia="es-ES"/>
        </w:rPr>
        <w:t xml:space="preserve"> y sólo podrá ser reservada temporalmente por razones de interés público y seguridad nacional, en los términos que fijen las leyes. </w:t>
      </w:r>
      <w:r w:rsidRPr="00AC562A">
        <w:rPr>
          <w:rFonts w:ascii="Palatino Linotype" w:eastAsiaTheme="minorEastAsia" w:hAnsi="Palatino Linotype" w:cs="Arial"/>
          <w:b/>
          <w:bCs/>
          <w:i/>
          <w:sz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AC562A">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2B6DCC" w:rsidRPr="00AC562A" w:rsidRDefault="002B6DCC" w:rsidP="002B6DCC">
      <w:pPr>
        <w:pStyle w:val="Prrafodelista"/>
        <w:tabs>
          <w:tab w:val="left" w:pos="567"/>
        </w:tabs>
        <w:spacing w:line="360" w:lineRule="auto"/>
        <w:ind w:left="567" w:right="567"/>
        <w:jc w:val="both"/>
        <w:rPr>
          <w:rFonts w:ascii="Palatino Linotype" w:hAnsi="Palatino Linotype" w:cs="Arial"/>
          <w:b/>
          <w:bCs/>
          <w:i/>
        </w:rPr>
      </w:pPr>
      <w:r w:rsidRPr="00AC562A">
        <w:rPr>
          <w:rFonts w:ascii="Palatino Linotype" w:hAnsi="Palatino Linotype" w:cs="Arial"/>
          <w:b/>
          <w:bCs/>
          <w:i/>
        </w:rPr>
        <w:t>(Énfasis añadido)</w:t>
      </w:r>
    </w:p>
    <w:p w:rsidR="002B6DCC" w:rsidRPr="00AC562A" w:rsidRDefault="002B6DCC" w:rsidP="002B6DCC">
      <w:pPr>
        <w:pStyle w:val="Prrafodelista"/>
        <w:tabs>
          <w:tab w:val="left" w:pos="567"/>
        </w:tabs>
        <w:spacing w:line="360" w:lineRule="auto"/>
        <w:ind w:left="567" w:right="567"/>
        <w:jc w:val="both"/>
        <w:rPr>
          <w:rFonts w:ascii="Palatino Linotype" w:hAnsi="Palatino Linotype" w:cs="Arial"/>
          <w:b/>
          <w:bCs/>
          <w:i/>
        </w:rPr>
      </w:pPr>
    </w:p>
    <w:p w:rsidR="002B6DCC" w:rsidRPr="00AC562A" w:rsidRDefault="002B6DCC" w:rsidP="002B6DCC">
      <w:pPr>
        <w:spacing w:line="360" w:lineRule="auto"/>
        <w:ind w:left="567" w:right="567"/>
        <w:jc w:val="center"/>
        <w:rPr>
          <w:rFonts w:ascii="Palatino Linotype" w:eastAsiaTheme="minorEastAsia" w:hAnsi="Palatino Linotype" w:cs="Arial"/>
          <w:b/>
          <w:bCs/>
          <w:i/>
          <w:sz w:val="22"/>
          <w:lang w:val="es-ES_tradnl" w:eastAsia="es-ES"/>
        </w:rPr>
      </w:pPr>
      <w:r w:rsidRPr="00AC562A">
        <w:rPr>
          <w:rFonts w:ascii="Palatino Linotype" w:eastAsiaTheme="minorEastAsia" w:hAnsi="Palatino Linotype" w:cs="Arial"/>
          <w:b/>
          <w:bCs/>
          <w:i/>
          <w:sz w:val="22"/>
          <w:lang w:val="es-ES_tradnl" w:eastAsia="es-ES"/>
        </w:rPr>
        <w:t>Constitución Política del Estado Libre y Soberano de México</w:t>
      </w:r>
    </w:p>
    <w:p w:rsidR="002B6DCC" w:rsidRPr="00AC562A" w:rsidRDefault="002B6DCC" w:rsidP="002B6DCC">
      <w:pPr>
        <w:spacing w:line="360" w:lineRule="auto"/>
        <w:ind w:left="567" w:right="567"/>
        <w:jc w:val="both"/>
        <w:rPr>
          <w:rFonts w:ascii="Palatino Linotype" w:eastAsiaTheme="minorEastAsia" w:hAnsi="Palatino Linotype" w:cs="Arial"/>
          <w:bCs/>
          <w:i/>
          <w:sz w:val="22"/>
          <w:lang w:val="es-ES_tradnl" w:eastAsia="es-ES"/>
        </w:rPr>
      </w:pPr>
      <w:r w:rsidRPr="00AC562A">
        <w:rPr>
          <w:rFonts w:ascii="Palatino Linotype" w:eastAsiaTheme="minorEastAsia" w:hAnsi="Palatino Linotype" w:cs="Arial"/>
          <w:b/>
          <w:bCs/>
          <w:i/>
          <w:sz w:val="22"/>
          <w:lang w:val="es-ES_tradnl" w:eastAsia="es-ES"/>
        </w:rPr>
        <w:t>“Artículo 5</w:t>
      </w:r>
      <w:r w:rsidRPr="00AC562A">
        <w:rPr>
          <w:rFonts w:ascii="Palatino Linotype" w:eastAsiaTheme="minorEastAsia" w:hAnsi="Palatino Linotype" w:cs="Arial"/>
          <w:bCs/>
          <w:i/>
          <w:sz w:val="22"/>
          <w:lang w:val="es-ES_tradnl" w:eastAsia="es-ES"/>
        </w:rPr>
        <w:t>.- …</w:t>
      </w:r>
    </w:p>
    <w:p w:rsidR="002B6DCC" w:rsidRPr="00AC562A" w:rsidRDefault="002B6DCC" w:rsidP="002B6DCC">
      <w:pPr>
        <w:spacing w:line="360" w:lineRule="auto"/>
        <w:ind w:left="567" w:right="567"/>
        <w:jc w:val="both"/>
        <w:rPr>
          <w:rFonts w:ascii="Palatino Linotype" w:eastAsiaTheme="minorEastAsia" w:hAnsi="Palatino Linotype" w:cs="Arial"/>
          <w:bCs/>
          <w:i/>
          <w:sz w:val="22"/>
          <w:lang w:val="es-ES_tradnl" w:eastAsia="es-ES"/>
        </w:rPr>
      </w:pPr>
      <w:r w:rsidRPr="00AC562A">
        <w:rPr>
          <w:rFonts w:ascii="Palatino Linotype" w:eastAsiaTheme="minorEastAsia" w:hAnsi="Palatino Linotype" w:cs="Arial"/>
          <w:bCs/>
          <w:i/>
          <w:sz w:val="22"/>
          <w:lang w:val="es-ES_tradnl" w:eastAsia="es-ES"/>
        </w:rPr>
        <w:t>…</w:t>
      </w:r>
    </w:p>
    <w:p w:rsidR="002B6DCC" w:rsidRPr="00AC562A" w:rsidRDefault="002B6DCC" w:rsidP="002B6DCC">
      <w:pPr>
        <w:spacing w:line="360" w:lineRule="auto"/>
        <w:ind w:left="567" w:right="567"/>
        <w:jc w:val="both"/>
        <w:rPr>
          <w:rFonts w:ascii="Palatino Linotype" w:eastAsiaTheme="minorEastAsia" w:hAnsi="Palatino Linotype" w:cs="Arial"/>
          <w:bCs/>
          <w:i/>
          <w:sz w:val="22"/>
          <w:lang w:val="es-ES_tradnl" w:eastAsia="es-ES"/>
        </w:rPr>
      </w:pPr>
      <w:r w:rsidRPr="00AC562A">
        <w:rPr>
          <w:rFonts w:ascii="Palatino Linotype" w:eastAsiaTheme="minorEastAsia" w:hAnsi="Palatino Linotype" w:cs="Arial"/>
          <w:b/>
          <w:bCs/>
          <w:i/>
          <w:sz w:val="22"/>
          <w:lang w:val="es-ES_tradnl" w:eastAsia="es-ES"/>
        </w:rPr>
        <w:t>El derecho a la información será garantizado por el Estado. La ley establecerá las previsiones que permitan asegurar la protección, el respeto y la difusión de este derecho</w:t>
      </w:r>
      <w:r w:rsidRPr="00AC562A">
        <w:rPr>
          <w:rFonts w:ascii="Palatino Linotype" w:eastAsiaTheme="minorEastAsia" w:hAnsi="Palatino Linotype" w:cs="Arial"/>
          <w:bCs/>
          <w:i/>
          <w:sz w:val="22"/>
          <w:lang w:val="es-ES_tradnl" w:eastAsia="es-ES"/>
        </w:rPr>
        <w:t>.</w:t>
      </w:r>
    </w:p>
    <w:p w:rsidR="002B6DCC" w:rsidRPr="00AC562A" w:rsidRDefault="002B6DCC" w:rsidP="002B6DCC">
      <w:pPr>
        <w:spacing w:line="360" w:lineRule="auto"/>
        <w:ind w:left="567" w:right="567"/>
        <w:jc w:val="both"/>
        <w:rPr>
          <w:rFonts w:ascii="Palatino Linotype" w:eastAsiaTheme="minorEastAsia" w:hAnsi="Palatino Linotype" w:cs="Arial"/>
          <w:bCs/>
          <w:i/>
          <w:sz w:val="22"/>
          <w:lang w:val="es-ES_tradnl" w:eastAsia="es-ES"/>
        </w:rPr>
      </w:pPr>
      <w:r w:rsidRPr="00AC562A">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2B6DCC" w:rsidRPr="00AC562A" w:rsidRDefault="002B6DCC" w:rsidP="002B6DCC">
      <w:pPr>
        <w:spacing w:line="360" w:lineRule="auto"/>
        <w:ind w:left="567" w:right="567"/>
        <w:jc w:val="both"/>
        <w:rPr>
          <w:rFonts w:ascii="Palatino Linotype" w:eastAsiaTheme="minorEastAsia" w:hAnsi="Palatino Linotype" w:cs="Arial"/>
          <w:bCs/>
          <w:i/>
          <w:sz w:val="22"/>
          <w:lang w:val="es-ES_tradnl" w:eastAsia="es-ES"/>
        </w:rPr>
      </w:pPr>
      <w:r w:rsidRPr="00AC562A">
        <w:rPr>
          <w:rFonts w:ascii="Palatino Linotype" w:eastAsiaTheme="minorEastAsia" w:hAnsi="Palatino Linotype" w:cs="Arial"/>
          <w:b/>
          <w:bCs/>
          <w:i/>
          <w:sz w:val="22"/>
          <w:lang w:val="es-ES_tradnl" w:eastAsia="es-ES"/>
        </w:rPr>
        <w:t>Este derecho se regirá por los principios y bases siguientes</w:t>
      </w:r>
      <w:r w:rsidRPr="00AC562A">
        <w:rPr>
          <w:rFonts w:ascii="Palatino Linotype" w:eastAsiaTheme="minorEastAsia" w:hAnsi="Palatino Linotype" w:cs="Arial"/>
          <w:bCs/>
          <w:i/>
          <w:sz w:val="22"/>
          <w:lang w:val="es-ES_tradnl" w:eastAsia="es-ES"/>
        </w:rPr>
        <w:t>:</w:t>
      </w:r>
    </w:p>
    <w:p w:rsidR="002B6DCC" w:rsidRPr="00AC562A" w:rsidRDefault="002B6DCC" w:rsidP="002B6DCC">
      <w:pPr>
        <w:spacing w:line="360" w:lineRule="auto"/>
        <w:ind w:left="567" w:right="567"/>
        <w:jc w:val="both"/>
        <w:rPr>
          <w:rFonts w:ascii="Palatino Linotype" w:eastAsiaTheme="minorEastAsia" w:hAnsi="Palatino Linotype" w:cs="Arial"/>
          <w:bCs/>
          <w:i/>
          <w:sz w:val="22"/>
          <w:lang w:val="es-ES_tradnl" w:eastAsia="es-ES"/>
        </w:rPr>
      </w:pPr>
      <w:r w:rsidRPr="00AC562A">
        <w:rPr>
          <w:rFonts w:ascii="Palatino Linotype" w:eastAsiaTheme="minorEastAsia" w:hAnsi="Palatino Linotype" w:cs="Arial"/>
          <w:b/>
          <w:bCs/>
          <w:i/>
          <w:sz w:val="22"/>
          <w:lang w:val="es-ES_tradnl" w:eastAsia="es-ES"/>
        </w:rPr>
        <w:t>I. Toda la información en posesión de cualquier autoridad, entidad, órgano y organismos de los</w:t>
      </w:r>
      <w:r w:rsidRPr="00AC562A">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AC562A">
        <w:rPr>
          <w:rFonts w:ascii="Palatino Linotype" w:eastAsiaTheme="minorEastAsia" w:hAnsi="Palatino Linotype" w:cs="Arial"/>
          <w:b/>
          <w:bCs/>
          <w:i/>
          <w:sz w:val="22"/>
          <w:lang w:val="es-ES_tradnl" w:eastAsia="es-ES"/>
        </w:rPr>
        <w:t>municipales</w:t>
      </w:r>
      <w:r w:rsidRPr="00AC562A">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AC562A">
        <w:rPr>
          <w:rFonts w:ascii="Palatino Linotype" w:eastAsiaTheme="minorEastAsia" w:hAnsi="Palatino Linotype" w:cs="Arial"/>
          <w:b/>
          <w:bCs/>
          <w:i/>
          <w:sz w:val="22"/>
          <w:lang w:val="es-ES_tradnl" w:eastAsia="es-ES"/>
        </w:rPr>
        <w:t>es pública</w:t>
      </w:r>
      <w:r w:rsidRPr="00AC562A">
        <w:rPr>
          <w:rFonts w:ascii="Palatino Linotype" w:eastAsiaTheme="minorEastAsia" w:hAnsi="Palatino Linotype" w:cs="Arial"/>
          <w:bCs/>
          <w:i/>
          <w:sz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AC562A">
        <w:rPr>
          <w:rFonts w:ascii="Palatino Linotype" w:eastAsiaTheme="minorEastAsia" w:hAnsi="Palatino Linotype" w:cs="Arial"/>
          <w:b/>
          <w:bCs/>
          <w:i/>
          <w:sz w:val="22"/>
          <w:lang w:val="es-ES_tradnl" w:eastAsia="es-ES"/>
        </w:rPr>
        <w:t>En la interpretación de este derecho deberá prevalecer el principio de máxima publicidad</w:t>
      </w:r>
      <w:r w:rsidRPr="00AC562A">
        <w:rPr>
          <w:rFonts w:ascii="Palatino Linotype" w:eastAsiaTheme="minorEastAsia" w:hAnsi="Palatino Linotype" w:cs="Arial"/>
          <w:bCs/>
          <w:i/>
          <w:sz w:val="22"/>
          <w:lang w:val="es-ES_tradnl" w:eastAsia="es-ES"/>
        </w:rPr>
        <w:t xml:space="preserve">. </w:t>
      </w:r>
      <w:r w:rsidRPr="00AC562A">
        <w:rPr>
          <w:rFonts w:ascii="Palatino Linotype" w:eastAsiaTheme="minorEastAsia" w:hAnsi="Palatino Linotype" w:cs="Arial"/>
          <w:b/>
          <w:bCs/>
          <w:i/>
          <w:sz w:val="22"/>
          <w:lang w:val="es-ES_tradnl" w:eastAsia="es-ES"/>
        </w:rPr>
        <w:t>Los sujetos obligados deberán documentar todo acto que derive del ejercicio de sus facultades, competencias o funciones</w:t>
      </w:r>
      <w:r w:rsidRPr="00AC562A">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2B6DCC" w:rsidRPr="00AC562A" w:rsidRDefault="002B6DCC" w:rsidP="002B6DCC">
      <w:pPr>
        <w:pStyle w:val="Prrafodelista"/>
        <w:tabs>
          <w:tab w:val="left" w:pos="567"/>
        </w:tabs>
        <w:spacing w:line="360" w:lineRule="auto"/>
        <w:ind w:left="567" w:right="567"/>
        <w:jc w:val="both"/>
        <w:rPr>
          <w:rFonts w:ascii="Palatino Linotype" w:hAnsi="Palatino Linotype" w:cs="Arial"/>
          <w:b/>
          <w:bCs/>
          <w:i/>
        </w:rPr>
      </w:pPr>
      <w:r w:rsidRPr="00AC562A">
        <w:rPr>
          <w:rFonts w:ascii="Palatino Linotype" w:hAnsi="Palatino Linotype" w:cs="Arial"/>
          <w:b/>
          <w:bCs/>
          <w:i/>
        </w:rPr>
        <w:t>(Énfasis añadido)</w:t>
      </w:r>
    </w:p>
    <w:p w:rsidR="002B6DCC" w:rsidRPr="00AC562A" w:rsidRDefault="002B6DCC" w:rsidP="002B6DCC">
      <w:pPr>
        <w:spacing w:line="360" w:lineRule="auto"/>
        <w:ind w:right="49"/>
        <w:contextualSpacing/>
        <w:jc w:val="both"/>
        <w:rPr>
          <w:rFonts w:ascii="Palatino Linotype" w:eastAsiaTheme="minorEastAsia" w:hAnsi="Palatino Linotype"/>
          <w:lang w:val="es-ES_tradnl" w:eastAsia="es-ES"/>
        </w:rPr>
      </w:pPr>
    </w:p>
    <w:p w:rsidR="002B6DCC" w:rsidRPr="00AC562A" w:rsidRDefault="002B6DCC" w:rsidP="0044050D">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C562A">
        <w:rPr>
          <w:rFonts w:ascii="Palatino Linotype" w:eastAsiaTheme="minorEastAsia" w:hAnsi="Palatino Linotype" w:cs="Arial"/>
          <w:lang w:val="es-ES_tradnl" w:eastAsia="es-ES"/>
        </w:rPr>
        <w:lastRenderedPageBreak/>
        <w:t xml:space="preserve">Según el artículo 150 de la Ley de Transparencia del Estado, la solicitud es la garantía primaria del Derecho de Acceso a la Información, además, establece que se regirá </w:t>
      </w:r>
      <w:r w:rsidRPr="00AC562A">
        <w:rPr>
          <w:rFonts w:ascii="Palatino Linotype" w:eastAsiaTheme="minorEastAsia" w:hAnsi="Palatino Linotype" w:cs="Arial"/>
          <w:i/>
          <w:lang w:val="es-ES_tradnl" w:eastAsia="es-ES"/>
        </w:rPr>
        <w:t>por los principios de simplicidad, rapidez gratuidad del procedimiento, auxilio y orientación a los particulares</w:t>
      </w:r>
      <w:r w:rsidRPr="00AC562A">
        <w:rPr>
          <w:rFonts w:ascii="Palatino Linotype" w:eastAsiaTheme="minorEastAsia" w:hAnsi="Palatino Linotype" w:cs="Arial"/>
          <w:lang w:val="es-ES_tradnl" w:eastAsia="es-ES"/>
        </w:rPr>
        <w:t>, contemplando el derecho de las personas con discapacidad y hablantes de lengua indígena.</w:t>
      </w:r>
    </w:p>
    <w:p w:rsidR="002B6DCC" w:rsidRPr="00AC562A" w:rsidRDefault="002B6DCC" w:rsidP="0044050D">
      <w:pPr>
        <w:spacing w:line="360" w:lineRule="auto"/>
        <w:ind w:right="49"/>
        <w:contextualSpacing/>
        <w:jc w:val="both"/>
        <w:rPr>
          <w:rFonts w:ascii="Palatino Linotype" w:eastAsiaTheme="minorEastAsia" w:hAnsi="Palatino Linotype"/>
          <w:lang w:val="es-ES_tradnl" w:eastAsia="es-ES"/>
        </w:rPr>
      </w:pPr>
    </w:p>
    <w:p w:rsidR="002B6DCC" w:rsidRPr="00AC562A" w:rsidRDefault="002B6DCC" w:rsidP="0044050D">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C562A">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AC562A">
        <w:rPr>
          <w:rFonts w:ascii="Palatino Linotype" w:eastAsiaTheme="minorEastAsia" w:hAnsi="Palatino Linotype" w:cs="Arial"/>
          <w:i/>
          <w:lang w:val="es-ES_tradnl" w:eastAsia="es-ES"/>
        </w:rPr>
        <w:t>solicitudes de acceso a la información</w:t>
      </w:r>
      <w:r w:rsidRPr="00AC562A">
        <w:rPr>
          <w:rFonts w:ascii="Palatino Linotype" w:eastAsiaTheme="minorEastAsia" w:hAnsi="Palatino Linotype" w:cs="Arial"/>
          <w:lang w:val="es-ES_tradnl" w:eastAsia="es-ES"/>
        </w:rPr>
        <w:t>.</w:t>
      </w:r>
    </w:p>
    <w:p w:rsidR="002B6DCC" w:rsidRPr="00AC562A" w:rsidRDefault="002B6DCC" w:rsidP="0044050D">
      <w:pPr>
        <w:spacing w:line="360" w:lineRule="auto"/>
        <w:ind w:right="49"/>
        <w:contextualSpacing/>
        <w:jc w:val="both"/>
        <w:rPr>
          <w:rFonts w:ascii="Palatino Linotype" w:eastAsiaTheme="minorEastAsia" w:hAnsi="Palatino Linotype"/>
          <w:lang w:val="es-ES_tradnl" w:eastAsia="es-ES"/>
        </w:rPr>
      </w:pPr>
    </w:p>
    <w:p w:rsidR="002B6DCC" w:rsidRPr="00AC562A" w:rsidRDefault="002B6DCC" w:rsidP="0044050D">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C562A">
        <w:rPr>
          <w:rFonts w:ascii="Palatino Linotype" w:eastAsiaTheme="minorEastAsia" w:hAnsi="Palatino Linotype" w:cs="Arial"/>
          <w:lang w:val="es-ES_tradnl" w:eastAsia="es-ES"/>
        </w:rPr>
        <w:t>Así entonces, se procede analizar, en primer lugar, si el SUJETO OBLIGADO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toda la información solicitada.</w:t>
      </w:r>
    </w:p>
    <w:p w:rsidR="0044050D" w:rsidRPr="00AC562A" w:rsidRDefault="0044050D" w:rsidP="0044050D">
      <w:pPr>
        <w:pStyle w:val="Ttulo1"/>
        <w:spacing w:line="360" w:lineRule="auto"/>
        <w:ind w:left="851"/>
        <w:rPr>
          <w:rFonts w:ascii="Palatino Linotype" w:hAnsi="Palatino Linotype"/>
          <w:b/>
          <w:color w:val="000000" w:themeColor="text1"/>
          <w:sz w:val="24"/>
          <w:szCs w:val="24"/>
        </w:rPr>
      </w:pPr>
      <w:r w:rsidRPr="00AC562A">
        <w:rPr>
          <w:rFonts w:ascii="Palatino Linotype" w:hAnsi="Palatino Linotype"/>
          <w:b/>
          <w:color w:val="000000" w:themeColor="text1"/>
          <w:sz w:val="24"/>
          <w:szCs w:val="24"/>
        </w:rPr>
        <w:t xml:space="preserve">II. De la suplencia de la queja. </w:t>
      </w:r>
    </w:p>
    <w:p w:rsidR="0044050D" w:rsidRPr="00AC562A" w:rsidRDefault="0044050D" w:rsidP="0044050D">
      <w:pPr>
        <w:numPr>
          <w:ilvl w:val="0"/>
          <w:numId w:val="1"/>
        </w:numPr>
        <w:spacing w:before="240" w:after="240" w:line="360" w:lineRule="auto"/>
        <w:ind w:left="0" w:firstLine="0"/>
        <w:contextualSpacing/>
        <w:jc w:val="both"/>
        <w:rPr>
          <w:rFonts w:ascii="Palatino Linotype" w:hAnsi="Palatino Linotype"/>
          <w:b/>
          <w:color w:val="000000" w:themeColor="text1"/>
        </w:rPr>
      </w:pPr>
      <w:r w:rsidRPr="00AC562A">
        <w:rPr>
          <w:rFonts w:ascii="Palatino Linotype" w:hAnsi="Palatino Linotype" w:cs="Arial"/>
        </w:rPr>
        <w:t>Precisado lo anterior, y a efecto de llevar a buen término la resolución emitida</w:t>
      </w:r>
      <w:r w:rsidRPr="00AC562A">
        <w:rPr>
          <w:rFonts w:ascii="Palatino Linotype" w:hAnsi="Palatino Linotype"/>
          <w:i/>
          <w:color w:val="000000"/>
        </w:rPr>
        <w:t xml:space="preserve">, </w:t>
      </w:r>
      <w:r w:rsidRPr="00AC562A">
        <w:rPr>
          <w:rFonts w:ascii="Palatino Linotype" w:eastAsia="Calibri" w:hAnsi="Palatino Linotype" w:cs="Arial"/>
          <w:bCs/>
          <w:color w:val="000000"/>
        </w:rPr>
        <w:t xml:space="preserve">se observa que se requiere acceso al  </w:t>
      </w:r>
      <w:r w:rsidRPr="00AC562A">
        <w:rPr>
          <w:rFonts w:ascii="Palatino Linotype" w:eastAsia="Calibri" w:hAnsi="Palatino Linotype" w:cs="Arial"/>
          <w:bCs/>
          <w:i/>
          <w:color w:val="000000"/>
        </w:rPr>
        <w:t>“…¿Cuál es el número de registro como permisionario y/o concesionario del servicio de arrastre, salvamento guarda, custodia y depósito de vehículos para la empresa Servicio de Grúas Sultepec SA de CV Y GENESIS,el número de registro y si tal registro es como permisionario o concesionario. ¿Cuáles son las zonas de operación de estas Grúas. respecto del numero de registro que corresponda?..</w:t>
      </w:r>
      <w:r w:rsidRPr="00AC562A">
        <w:rPr>
          <w:rFonts w:ascii="Palatino Linotype" w:hAnsi="Palatino Linotype"/>
          <w:i/>
          <w:color w:val="000000" w:themeColor="text1"/>
        </w:rPr>
        <w:t>.”</w:t>
      </w:r>
      <w:r w:rsidRPr="00AC562A">
        <w:rPr>
          <w:rFonts w:ascii="Palatino Linotype" w:hAnsi="Palatino Linotype"/>
          <w:b/>
          <w:i/>
          <w:color w:val="000000" w:themeColor="text1"/>
        </w:rPr>
        <w:t xml:space="preserve">, </w:t>
      </w:r>
      <w:r w:rsidRPr="00AC562A">
        <w:rPr>
          <w:rFonts w:ascii="Palatino Linotype" w:hAnsi="Palatino Linotype"/>
          <w:color w:val="000000" w:themeColor="text1"/>
        </w:rPr>
        <w:t xml:space="preserve">no obstante, se advierte que  </w:t>
      </w:r>
      <w:r w:rsidRPr="00AC562A">
        <w:rPr>
          <w:rFonts w:ascii="Palatino Linotype" w:eastAsia="Calibri" w:hAnsi="Palatino Linotype" w:cs="Arial"/>
          <w:bCs/>
          <w:color w:val="000000"/>
        </w:rPr>
        <w:t xml:space="preserve">la solicitud de información es  imprecisa por no referir con sucintamente  la información solicitada, así es necesario precisar que </w:t>
      </w:r>
      <w:r w:rsidRPr="00AC562A">
        <w:rPr>
          <w:rFonts w:ascii="Palatino Linotype" w:eastAsia="MS Mincho" w:hAnsi="Palatino Linotype"/>
        </w:rPr>
        <w:t xml:space="preserve">el particular al no ser experto en la materia, </w:t>
      </w:r>
      <w:r w:rsidRPr="00AC562A">
        <w:rPr>
          <w:rFonts w:ascii="Palatino Linotype" w:eastAsia="MS Mincho" w:hAnsi="Palatino Linotype"/>
        </w:rPr>
        <w:lastRenderedPageBreak/>
        <w:t>eventualmente pudiera no indicar correctamente la información que desea obtener, y siendo que este Órgano Garante, tiene la obligación de garantizar el acceso a la información en la medida de lo posible, atendiendo a la suplencia de la deficiencia, sin cambiar los hechos expuestos por el peticionario conforme a la facultad que otorga la Ley de Transparencia y Acceso a la Información Pública del Estado de México y Municipios en los artículos 13 y 181 cuarto párrafo, los cuales contienen lo siguiente:</w:t>
      </w:r>
    </w:p>
    <w:p w:rsidR="0044050D" w:rsidRPr="00AC562A" w:rsidRDefault="0044050D" w:rsidP="0044050D">
      <w:pPr>
        <w:tabs>
          <w:tab w:val="left" w:pos="5430"/>
        </w:tabs>
        <w:spacing w:before="240" w:after="240" w:line="360" w:lineRule="auto"/>
        <w:ind w:left="567" w:right="616"/>
        <w:contextualSpacing/>
        <w:jc w:val="both"/>
        <w:rPr>
          <w:rFonts w:ascii="Palatino Linotype" w:eastAsia="MS Mincho" w:hAnsi="Palatino Linotype"/>
        </w:rPr>
      </w:pPr>
      <w:r w:rsidRPr="00AC562A">
        <w:rPr>
          <w:rFonts w:ascii="Palatino Linotype" w:eastAsia="MS Mincho" w:hAnsi="Palatino Linotype"/>
        </w:rPr>
        <w:tab/>
      </w:r>
    </w:p>
    <w:p w:rsidR="0044050D" w:rsidRPr="00AC562A" w:rsidRDefault="0044050D" w:rsidP="0044050D">
      <w:pPr>
        <w:autoSpaceDE w:val="0"/>
        <w:autoSpaceDN w:val="0"/>
        <w:adjustRightInd w:val="0"/>
        <w:spacing w:line="360" w:lineRule="auto"/>
        <w:ind w:left="567" w:right="616"/>
        <w:jc w:val="both"/>
        <w:rPr>
          <w:rFonts w:ascii="Palatino Linotype" w:eastAsia="MS Mincho" w:hAnsi="Palatino Linotype" w:cs="Bookman Old Style"/>
          <w:i/>
        </w:rPr>
      </w:pPr>
      <w:r w:rsidRPr="00AC562A">
        <w:rPr>
          <w:rFonts w:ascii="Palatino Linotype" w:eastAsia="MS Mincho" w:hAnsi="Palatino Linotype" w:cs="Bookman Old Style,Bold"/>
          <w:b/>
          <w:bCs/>
          <w:i/>
        </w:rPr>
        <w:t xml:space="preserve">“Artículo 13. </w:t>
      </w:r>
      <w:r w:rsidRPr="00AC562A">
        <w:rPr>
          <w:rFonts w:ascii="Palatino Linotype" w:eastAsia="MS Mincho" w:hAnsi="Palatino Linotype" w:cs="Bookman Old Style"/>
          <w:i/>
        </w:rPr>
        <w:t xml:space="preserve">El Instituto, en el ámbito de sus atribuciones, deberá </w:t>
      </w:r>
      <w:r w:rsidRPr="00AC562A">
        <w:rPr>
          <w:rFonts w:ascii="Palatino Linotype" w:eastAsia="MS Mincho" w:hAnsi="Palatino Linotype" w:cs="Bookman Old Style"/>
          <w:b/>
          <w:i/>
        </w:rPr>
        <w:t xml:space="preserve">suplir cualquier deficiencia </w:t>
      </w:r>
      <w:r w:rsidRPr="00AC562A">
        <w:rPr>
          <w:rFonts w:ascii="Palatino Linotype" w:eastAsia="MS Mincho" w:hAnsi="Palatino Linotype" w:cs="Bookman Old Style"/>
          <w:i/>
        </w:rPr>
        <w:t>para garantizar el ejercicio del derecho de acceso a la información.”</w:t>
      </w:r>
    </w:p>
    <w:p w:rsidR="0044050D" w:rsidRPr="00AC562A" w:rsidRDefault="0044050D" w:rsidP="0044050D">
      <w:pPr>
        <w:autoSpaceDE w:val="0"/>
        <w:autoSpaceDN w:val="0"/>
        <w:adjustRightInd w:val="0"/>
        <w:spacing w:line="360" w:lineRule="auto"/>
        <w:ind w:left="567" w:right="616"/>
        <w:jc w:val="both"/>
        <w:rPr>
          <w:rFonts w:ascii="Palatino Linotype" w:eastAsia="MS Mincho" w:hAnsi="Palatino Linotype" w:cs="Bookman Old Style"/>
          <w:i/>
        </w:rPr>
      </w:pPr>
    </w:p>
    <w:p w:rsidR="0044050D" w:rsidRPr="00AC562A" w:rsidRDefault="0044050D" w:rsidP="0044050D">
      <w:pPr>
        <w:autoSpaceDE w:val="0"/>
        <w:autoSpaceDN w:val="0"/>
        <w:adjustRightInd w:val="0"/>
        <w:spacing w:line="360" w:lineRule="auto"/>
        <w:ind w:left="567" w:right="616"/>
        <w:jc w:val="both"/>
        <w:rPr>
          <w:rFonts w:ascii="Palatino Linotype" w:eastAsia="MS Mincho" w:hAnsi="Palatino Linotype"/>
          <w:i/>
          <w:color w:val="000000"/>
        </w:rPr>
      </w:pPr>
      <w:r w:rsidRPr="00AC562A">
        <w:rPr>
          <w:rFonts w:ascii="Palatino Linotype" w:eastAsia="MS Mincho" w:hAnsi="Palatino Linotype"/>
          <w:i/>
          <w:color w:val="000000"/>
        </w:rPr>
        <w:t>“</w:t>
      </w:r>
      <w:r w:rsidRPr="00AC562A">
        <w:rPr>
          <w:rFonts w:ascii="Palatino Linotype" w:eastAsia="MS Mincho" w:hAnsi="Palatino Linotype"/>
          <w:b/>
          <w:i/>
          <w:color w:val="000000"/>
        </w:rPr>
        <w:t>Artículo 181</w:t>
      </w:r>
    </w:p>
    <w:p w:rsidR="0044050D" w:rsidRPr="00AC562A" w:rsidRDefault="0044050D" w:rsidP="0044050D">
      <w:pPr>
        <w:autoSpaceDE w:val="0"/>
        <w:autoSpaceDN w:val="0"/>
        <w:adjustRightInd w:val="0"/>
        <w:spacing w:line="360" w:lineRule="auto"/>
        <w:ind w:left="567" w:right="616"/>
        <w:jc w:val="both"/>
        <w:rPr>
          <w:rFonts w:ascii="Palatino Linotype" w:eastAsia="MS Mincho" w:hAnsi="Palatino Linotype"/>
          <w:i/>
          <w:color w:val="000000"/>
        </w:rPr>
      </w:pPr>
      <w:r w:rsidRPr="00AC562A">
        <w:rPr>
          <w:rFonts w:ascii="Palatino Linotype" w:eastAsia="MS Mincho" w:hAnsi="Palatino Linotype"/>
          <w:i/>
          <w:color w:val="000000"/>
        </w:rPr>
        <w:t>…</w:t>
      </w:r>
    </w:p>
    <w:p w:rsidR="0044050D" w:rsidRPr="00AC562A" w:rsidRDefault="0044050D" w:rsidP="0044050D">
      <w:pPr>
        <w:autoSpaceDE w:val="0"/>
        <w:autoSpaceDN w:val="0"/>
        <w:adjustRightInd w:val="0"/>
        <w:spacing w:line="360" w:lineRule="auto"/>
        <w:ind w:left="567" w:right="616"/>
        <w:jc w:val="both"/>
        <w:rPr>
          <w:rFonts w:ascii="Palatino Linotype" w:eastAsia="MS Mincho" w:hAnsi="Palatino Linotype" w:cs="Bookman Old Style"/>
          <w:i/>
        </w:rPr>
      </w:pPr>
      <w:r w:rsidRPr="00AC562A">
        <w:rPr>
          <w:rFonts w:ascii="Palatino Linotype" w:eastAsia="MS Mincho" w:hAnsi="Palatino Linotype" w:cs="Bookman Old Style"/>
          <w:i/>
        </w:rPr>
        <w:t xml:space="preserve">Durante el procedimiento deberá aplicarse la </w:t>
      </w:r>
      <w:r w:rsidRPr="00AC562A">
        <w:rPr>
          <w:rFonts w:ascii="Palatino Linotype" w:eastAsia="MS Mincho" w:hAnsi="Palatino Linotype" w:cs="Bookman Old Style"/>
          <w:b/>
          <w:i/>
        </w:rPr>
        <w:t>suplencia de la queja a favor del recurrente</w:t>
      </w:r>
      <w:r w:rsidRPr="00AC562A">
        <w:rPr>
          <w:rFonts w:ascii="Palatino Linotype" w:eastAsia="MS Mincho" w:hAnsi="Palatino Linotype" w:cs="Bookman Old Style"/>
          <w:i/>
        </w:rPr>
        <w:t>, sin cambiar los hechos expuestos, asegurándose de que las partes puedan presentar, de manera oral o escrita, los argumentos que funden y motiven sus pretensiones</w:t>
      </w:r>
    </w:p>
    <w:p w:rsidR="0044050D" w:rsidRPr="00AC562A" w:rsidRDefault="0044050D" w:rsidP="0044050D">
      <w:pPr>
        <w:autoSpaceDE w:val="0"/>
        <w:autoSpaceDN w:val="0"/>
        <w:adjustRightInd w:val="0"/>
        <w:spacing w:line="360" w:lineRule="auto"/>
        <w:ind w:left="851" w:right="567"/>
        <w:jc w:val="both"/>
        <w:rPr>
          <w:rFonts w:ascii="Palatino Linotype" w:eastAsia="MS Mincho" w:hAnsi="Palatino Linotype"/>
          <w:i/>
          <w:color w:val="000000"/>
        </w:rPr>
      </w:pPr>
      <w:r w:rsidRPr="00AC562A">
        <w:rPr>
          <w:rFonts w:ascii="Palatino Linotype" w:eastAsia="MS Mincho" w:hAnsi="Palatino Linotype"/>
          <w:i/>
          <w:color w:val="000000"/>
        </w:rPr>
        <w:t>…</w:t>
      </w:r>
    </w:p>
    <w:p w:rsidR="0044050D" w:rsidRPr="00AC562A" w:rsidRDefault="0044050D" w:rsidP="0044050D">
      <w:pPr>
        <w:numPr>
          <w:ilvl w:val="0"/>
          <w:numId w:val="1"/>
        </w:numPr>
        <w:spacing w:before="240" w:after="240" w:line="360" w:lineRule="auto"/>
        <w:ind w:left="0" w:right="49" w:firstLine="0"/>
        <w:contextualSpacing/>
        <w:jc w:val="both"/>
        <w:rPr>
          <w:rFonts w:ascii="Palatino Linotype" w:eastAsia="MS Mincho" w:hAnsi="Palatino Linotype"/>
        </w:rPr>
      </w:pPr>
      <w:r w:rsidRPr="00AC562A">
        <w:rPr>
          <w:rFonts w:ascii="Palatino Linotype" w:eastAsia="MS Mincho" w:hAnsi="Palatino Linotype"/>
        </w:rPr>
        <w:t xml:space="preserve">Es así que en aras de tutelar la correcta aplicación de la ley, y términos de los artículos 13 y párrafo cuarto del artículo 181 de la Ley de Transparencia Local  y con la finalidad de corregir cualquier afectación al derecho de acceso a la información, se debe analizar el fondo del asunto para establecer si existe una afectación real que en su caso haya sufrido el recurrente, lo que sería imposible si se declarara improcedente por la carencia de líneas refutantes que cubran los elementos mínimos requeridos de la </w:t>
      </w:r>
      <w:r w:rsidRPr="00AC562A">
        <w:rPr>
          <w:rFonts w:ascii="Palatino Linotype" w:eastAsia="MS Mincho" w:hAnsi="Palatino Linotype"/>
          <w:i/>
        </w:rPr>
        <w:t>causa petendi, (</w:t>
      </w:r>
      <w:r w:rsidRPr="00AC562A">
        <w:rPr>
          <w:rFonts w:ascii="Palatino Linotype" w:eastAsia="MS Mincho" w:hAnsi="Palatino Linotype"/>
        </w:rPr>
        <w:t>causa de pedir</w:t>
      </w:r>
      <w:r w:rsidRPr="00AC562A">
        <w:rPr>
          <w:rFonts w:ascii="Palatino Linotype" w:eastAsia="MS Mincho" w:hAnsi="Palatino Linotype"/>
          <w:i/>
        </w:rPr>
        <w:t xml:space="preserve">) </w:t>
      </w:r>
      <w:r w:rsidRPr="00AC562A">
        <w:rPr>
          <w:rFonts w:ascii="Palatino Linotype" w:eastAsia="MS Mincho" w:hAnsi="Palatino Linotype"/>
        </w:rPr>
        <w:t xml:space="preserve">aunado a que existe jurisprudencia que no obliga a </w:t>
      </w:r>
      <w:r w:rsidRPr="00AC562A">
        <w:rPr>
          <w:rFonts w:ascii="Palatino Linotype" w:eastAsia="MS Mincho" w:hAnsi="Palatino Linotype"/>
        </w:rPr>
        <w:lastRenderedPageBreak/>
        <w:t>los particulares a cubrir tales parámetros en las materias que admitan la suplencia de la queja deficiente</w:t>
      </w:r>
      <w:r w:rsidRPr="00AC562A">
        <w:rPr>
          <w:rFonts w:ascii="Palatino Linotype" w:hAnsi="Palatino Linotype"/>
          <w:vertAlign w:val="superscript"/>
        </w:rPr>
        <w:footnoteReference w:id="5"/>
      </w:r>
      <w:r w:rsidRPr="00AC562A">
        <w:rPr>
          <w:rFonts w:ascii="Palatino Linotype" w:eastAsia="MS Mincho" w:hAnsi="Palatino Linotype"/>
        </w:rPr>
        <w:t xml:space="preserve">. </w:t>
      </w:r>
    </w:p>
    <w:p w:rsidR="0044050D" w:rsidRPr="00AC562A" w:rsidRDefault="0044050D" w:rsidP="0044050D">
      <w:pPr>
        <w:spacing w:before="240" w:after="240" w:line="360" w:lineRule="auto"/>
        <w:ind w:right="49"/>
        <w:contextualSpacing/>
        <w:jc w:val="both"/>
        <w:rPr>
          <w:rFonts w:ascii="Palatino Linotype" w:eastAsia="MS Mincho" w:hAnsi="Palatino Linotype"/>
        </w:rPr>
      </w:pPr>
    </w:p>
    <w:p w:rsidR="0044050D" w:rsidRPr="00AC562A" w:rsidRDefault="0044050D" w:rsidP="0044050D">
      <w:pPr>
        <w:numPr>
          <w:ilvl w:val="0"/>
          <w:numId w:val="1"/>
        </w:numPr>
        <w:spacing w:before="240" w:after="240" w:line="360" w:lineRule="auto"/>
        <w:ind w:left="0" w:right="49" w:firstLine="0"/>
        <w:contextualSpacing/>
        <w:jc w:val="both"/>
        <w:rPr>
          <w:rFonts w:ascii="Palatino Linotype" w:eastAsia="MS Mincho" w:hAnsi="Palatino Linotype"/>
          <w:b/>
          <w:lang w:val="es-ES_tradnl"/>
        </w:rPr>
      </w:pPr>
      <w:r w:rsidRPr="00AC562A">
        <w:rPr>
          <w:rFonts w:ascii="Palatino Linotype" w:hAnsi="Palatino Linotype" w:cs="Arial"/>
          <w:color w:val="000000"/>
        </w:rPr>
        <w:t xml:space="preserve">Por lo que retomando lo solicitado por el particular en cuanto se aprecia que requiere información sobre </w:t>
      </w:r>
      <w:r w:rsidRPr="00AC562A">
        <w:rPr>
          <w:rFonts w:ascii="Palatino Linotype" w:hAnsi="Palatino Linotype" w:cs="Arial"/>
          <w:bCs/>
          <w:i/>
          <w:color w:val="000000"/>
        </w:rPr>
        <w:t xml:space="preserve">“…la empresa Servicio de Grúas Sultepec SA de CV Y GENESIS...”, </w:t>
      </w:r>
      <w:r w:rsidRPr="00AC562A">
        <w:rPr>
          <w:rFonts w:ascii="Palatino Linotype" w:hAnsi="Palatino Linotype" w:cs="Arial"/>
          <w:bCs/>
          <w:color w:val="000000"/>
        </w:rPr>
        <w:t xml:space="preserve">se advierte que el nombre </w:t>
      </w:r>
      <w:r w:rsidR="0049594D" w:rsidRPr="00AC562A">
        <w:rPr>
          <w:rFonts w:ascii="Palatino Linotype" w:hAnsi="Palatino Linotype" w:cs="Arial"/>
          <w:bCs/>
          <w:color w:val="000000"/>
        </w:rPr>
        <w:t xml:space="preserve">de la empresa de grúas no es preciso, que como se abordara más adelante, se refiere a dos empresas de grúas y no a una sola. </w:t>
      </w:r>
    </w:p>
    <w:p w:rsidR="002B6DCC" w:rsidRPr="00AC562A" w:rsidRDefault="002B6DCC" w:rsidP="002B6DCC">
      <w:pPr>
        <w:spacing w:line="360" w:lineRule="auto"/>
        <w:ind w:right="49"/>
        <w:contextualSpacing/>
        <w:jc w:val="both"/>
        <w:rPr>
          <w:rFonts w:ascii="Palatino Linotype" w:eastAsiaTheme="minorEastAsia" w:hAnsi="Palatino Linotype" w:cs="Arial"/>
          <w:lang w:val="es-ES_tradnl" w:eastAsia="es-ES"/>
        </w:rPr>
      </w:pPr>
    </w:p>
    <w:p w:rsidR="002B6DCC" w:rsidRPr="00AC562A" w:rsidRDefault="0044050D" w:rsidP="0044050D">
      <w:pPr>
        <w:pStyle w:val="Ttulo1"/>
        <w:spacing w:before="0" w:line="360" w:lineRule="auto"/>
        <w:ind w:left="851"/>
        <w:rPr>
          <w:rFonts w:ascii="Palatino Linotype" w:hAnsi="Palatino Linotype"/>
          <w:b/>
          <w:color w:val="auto"/>
          <w:sz w:val="24"/>
          <w:szCs w:val="24"/>
        </w:rPr>
      </w:pPr>
      <w:bookmarkStart w:id="21" w:name="_Toc80812777"/>
      <w:bookmarkStart w:id="22" w:name="_Toc83301641"/>
      <w:r w:rsidRPr="00AC562A">
        <w:rPr>
          <w:rFonts w:ascii="Palatino Linotype" w:hAnsi="Palatino Linotype"/>
          <w:b/>
          <w:color w:val="auto"/>
          <w:sz w:val="24"/>
          <w:szCs w:val="24"/>
        </w:rPr>
        <w:t xml:space="preserve">III. </w:t>
      </w:r>
      <w:r w:rsidR="002B6DCC" w:rsidRPr="00AC562A">
        <w:rPr>
          <w:rFonts w:ascii="Palatino Linotype" w:hAnsi="Palatino Linotype"/>
          <w:b/>
          <w:color w:val="auto"/>
          <w:sz w:val="24"/>
          <w:szCs w:val="24"/>
        </w:rPr>
        <w:t>De la información solicitada y la respuesta del Sujeto Obligado.</w:t>
      </w:r>
      <w:bookmarkEnd w:id="21"/>
      <w:bookmarkEnd w:id="22"/>
    </w:p>
    <w:p w:rsidR="004D2304" w:rsidRPr="00AC562A" w:rsidRDefault="004D2304" w:rsidP="004D2304">
      <w:pPr>
        <w:spacing w:line="360" w:lineRule="auto"/>
        <w:ind w:right="49"/>
        <w:contextualSpacing/>
        <w:jc w:val="both"/>
        <w:rPr>
          <w:rFonts w:ascii="Palatino Linotype" w:eastAsiaTheme="minorEastAsia" w:hAnsi="Palatino Linotype"/>
          <w:lang w:val="es-ES_tradnl" w:eastAsia="es-ES"/>
        </w:rPr>
      </w:pPr>
    </w:p>
    <w:p w:rsidR="004D2304" w:rsidRPr="00AC562A" w:rsidRDefault="004D2304" w:rsidP="004D2304">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C562A">
        <w:rPr>
          <w:rFonts w:ascii="Palatino Linotype" w:eastAsia="Cambria" w:hAnsi="Palatino Linotype" w:cs="Arial"/>
        </w:rPr>
        <w:t xml:space="preserve">Se procede analizar el contenido íntegro de las actuaciones que obran en el expediente electrónico, y así este Órgano Garante dicte la resolución correspondiente, apegándose en todo momento al principio de máxima publicidad de acuerdo con lo establecido en el artículo 8 de la </w:t>
      </w:r>
      <w:r w:rsidRPr="00AC562A">
        <w:rPr>
          <w:rFonts w:ascii="Palatino Linotype" w:eastAsia="Calibri" w:hAnsi="Palatino Linotype" w:cs="Arial"/>
          <w:lang w:val="es-ES"/>
        </w:rPr>
        <w:t>Ley de Transparencia y Acceso a la Información Pública del Estado de México y Municipios</w:t>
      </w:r>
      <w:r w:rsidRPr="00AC562A">
        <w:rPr>
          <w:rFonts w:ascii="Palatino Linotype" w:hAnsi="Palatino Linotype" w:cs="Arial"/>
          <w:lang w:val="es-ES"/>
        </w:rPr>
        <w:t>.</w:t>
      </w:r>
    </w:p>
    <w:p w:rsidR="004D2304" w:rsidRPr="00AC562A" w:rsidRDefault="004D2304" w:rsidP="004D2304">
      <w:pPr>
        <w:spacing w:line="360" w:lineRule="auto"/>
        <w:ind w:right="49"/>
        <w:contextualSpacing/>
        <w:jc w:val="both"/>
        <w:rPr>
          <w:rFonts w:ascii="Palatino Linotype" w:eastAsiaTheme="minorEastAsia" w:hAnsi="Palatino Linotype"/>
          <w:lang w:val="es-ES_tradnl" w:eastAsia="es-ES"/>
        </w:rPr>
      </w:pPr>
    </w:p>
    <w:p w:rsidR="004D2304" w:rsidRPr="00AC562A" w:rsidRDefault="004D2304" w:rsidP="004D2304">
      <w:pPr>
        <w:numPr>
          <w:ilvl w:val="0"/>
          <w:numId w:val="1"/>
        </w:numPr>
        <w:spacing w:line="360" w:lineRule="auto"/>
        <w:ind w:left="0" w:right="49" w:firstLine="0"/>
        <w:contextualSpacing/>
        <w:jc w:val="both"/>
        <w:rPr>
          <w:rFonts w:ascii="Palatino Linotype" w:eastAsiaTheme="minorEastAsia" w:hAnsi="Palatino Linotype"/>
          <w:sz w:val="28"/>
          <w:lang w:val="es-ES_tradnl" w:eastAsia="es-ES"/>
        </w:rPr>
      </w:pPr>
      <w:r w:rsidRPr="00AC562A">
        <w:rPr>
          <w:rFonts w:ascii="Palatino Linotype" w:eastAsia="Calibri" w:hAnsi="Palatino Linotype" w:cs="Tahoma"/>
          <w:bCs/>
          <w:szCs w:val="22"/>
          <w:lang w:eastAsia="en-US"/>
        </w:rPr>
        <w:t xml:space="preserve">En ese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w:t>
      </w:r>
      <w:r w:rsidRPr="00AC562A">
        <w:rPr>
          <w:rFonts w:ascii="Palatino Linotype" w:eastAsia="Calibri" w:hAnsi="Palatino Linotype" w:cs="Tahoma"/>
          <w:bCs/>
          <w:szCs w:val="22"/>
          <w:lang w:eastAsia="en-US"/>
        </w:rPr>
        <w:lastRenderedPageBreak/>
        <w:t>que se establezcan en los tratados internacionales de los que el Estado mexicano sea parte:</w:t>
      </w:r>
    </w:p>
    <w:p w:rsidR="004D2304" w:rsidRPr="00AC562A" w:rsidRDefault="004D2304" w:rsidP="004D2304">
      <w:pPr>
        <w:spacing w:line="360" w:lineRule="auto"/>
        <w:ind w:right="49"/>
        <w:contextualSpacing/>
        <w:jc w:val="both"/>
        <w:rPr>
          <w:rFonts w:ascii="Palatino Linotype" w:eastAsiaTheme="minorEastAsia" w:hAnsi="Palatino Linotype"/>
          <w:sz w:val="28"/>
          <w:lang w:val="es-ES_tradnl" w:eastAsia="es-ES"/>
        </w:rPr>
      </w:pPr>
    </w:p>
    <w:p w:rsidR="004D2304" w:rsidRPr="00AC562A" w:rsidRDefault="004D2304" w:rsidP="004D2304">
      <w:pPr>
        <w:spacing w:line="360" w:lineRule="auto"/>
        <w:ind w:left="851" w:right="822"/>
        <w:contextualSpacing/>
        <w:jc w:val="both"/>
        <w:rPr>
          <w:rFonts w:ascii="Palatino Linotype" w:hAnsi="Palatino Linotype"/>
          <w:i/>
          <w:sz w:val="22"/>
        </w:rPr>
      </w:pPr>
      <w:r w:rsidRPr="00AC562A">
        <w:rPr>
          <w:rFonts w:ascii="Palatino Linotype" w:hAnsi="Palatino Linotype"/>
          <w:i/>
          <w:sz w:val="22"/>
        </w:rPr>
        <w:t xml:space="preserve">Artículo 4. El derecho humano de acceso a la información pública es la prerrogativa de las personas para buscar, difundir, investigar, recabar, recibir y solicitar información pública, sin necesidad de acreditar personalidad ni interés jurídico. </w:t>
      </w:r>
    </w:p>
    <w:p w:rsidR="004D2304" w:rsidRPr="00AC562A" w:rsidRDefault="004D2304" w:rsidP="004D2304">
      <w:pPr>
        <w:spacing w:line="360" w:lineRule="auto"/>
        <w:ind w:left="851" w:right="822"/>
        <w:contextualSpacing/>
        <w:jc w:val="both"/>
        <w:rPr>
          <w:rFonts w:ascii="Palatino Linotype" w:hAnsi="Palatino Linotype"/>
          <w:i/>
          <w:sz w:val="22"/>
        </w:rPr>
      </w:pPr>
      <w:r w:rsidRPr="00AC562A">
        <w:rPr>
          <w:rFonts w:ascii="Palatino Linotype" w:hAnsi="Palatino Linotype"/>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4D2304" w:rsidRPr="00AC562A" w:rsidRDefault="004D2304" w:rsidP="004D2304">
      <w:pPr>
        <w:tabs>
          <w:tab w:val="left" w:pos="2127"/>
        </w:tabs>
        <w:spacing w:line="360" w:lineRule="auto"/>
        <w:ind w:left="851" w:right="822"/>
        <w:contextualSpacing/>
        <w:jc w:val="both"/>
        <w:rPr>
          <w:rFonts w:ascii="Palatino Linotype" w:hAnsi="Palatino Linotype"/>
          <w:i/>
          <w:sz w:val="22"/>
        </w:rPr>
      </w:pPr>
      <w:r w:rsidRPr="00AC562A">
        <w:rPr>
          <w:rFonts w:ascii="Palatino Linotype" w:hAnsi="Palatino Linotype"/>
          <w:i/>
          <w:sz w:val="22"/>
        </w:rPr>
        <w:t>Los sujetos obligados deben poner en práctica, políticas y programas de acceso a la información que se apeguen a criterios de publicidad, veracidad, oportunidad, precisión y suficiencia en beneficio de los solicitantes.</w:t>
      </w:r>
    </w:p>
    <w:p w:rsidR="004D2304" w:rsidRPr="00AC562A" w:rsidRDefault="004D2304" w:rsidP="004D2304">
      <w:pPr>
        <w:spacing w:line="360" w:lineRule="auto"/>
        <w:ind w:right="49"/>
        <w:contextualSpacing/>
        <w:jc w:val="both"/>
        <w:rPr>
          <w:rFonts w:ascii="Palatino Linotype" w:eastAsiaTheme="minorEastAsia" w:hAnsi="Palatino Linotype"/>
          <w:lang w:val="es-ES_tradnl" w:eastAsia="es-ES"/>
        </w:rPr>
      </w:pPr>
    </w:p>
    <w:p w:rsidR="004D2304" w:rsidRPr="00AC562A" w:rsidRDefault="004D2304" w:rsidP="004D2304">
      <w:pPr>
        <w:pStyle w:val="Prrafodelista"/>
        <w:numPr>
          <w:ilvl w:val="0"/>
          <w:numId w:val="1"/>
        </w:numPr>
        <w:spacing w:line="360" w:lineRule="auto"/>
        <w:ind w:left="0" w:right="-93" w:firstLine="0"/>
        <w:jc w:val="both"/>
        <w:rPr>
          <w:rFonts w:ascii="Palatino Linotype" w:eastAsia="Calibri" w:hAnsi="Palatino Linotype" w:cs="Tahoma"/>
          <w:bCs/>
          <w:sz w:val="24"/>
          <w:szCs w:val="22"/>
          <w:lang w:eastAsia="en-US"/>
        </w:rPr>
      </w:pPr>
      <w:r w:rsidRPr="00AC562A">
        <w:rPr>
          <w:rFonts w:ascii="Palatino Linotype" w:eastAsia="Calibri" w:hAnsi="Palatino Linotype" w:cs="Tahoma"/>
          <w:bCs/>
          <w:sz w:val="24"/>
          <w:szCs w:val="22"/>
          <w:lang w:eastAsia="en-US"/>
        </w:rPr>
        <w:t>De lo anterior, se deduce que la información generada, obtenida, adquirida, transmitida, administrada o en posesión de los Sujetos Obligados, será accesible a cualquier persona, privilegiando el principio de máxima publicidad de la información.</w:t>
      </w:r>
    </w:p>
    <w:p w:rsidR="004D2304" w:rsidRPr="00AC562A" w:rsidRDefault="004D2304" w:rsidP="004D2304">
      <w:pPr>
        <w:pStyle w:val="Prrafodelista"/>
        <w:spacing w:line="360" w:lineRule="auto"/>
        <w:ind w:left="0" w:right="-93"/>
        <w:jc w:val="both"/>
        <w:rPr>
          <w:rFonts w:ascii="Palatino Linotype" w:eastAsia="Calibri" w:hAnsi="Palatino Linotype" w:cs="Tahoma"/>
          <w:bCs/>
          <w:sz w:val="24"/>
          <w:szCs w:val="22"/>
          <w:lang w:eastAsia="en-US"/>
        </w:rPr>
      </w:pPr>
    </w:p>
    <w:p w:rsidR="004D2304" w:rsidRPr="00AC562A" w:rsidRDefault="004D2304" w:rsidP="004D2304">
      <w:pPr>
        <w:pStyle w:val="Prrafodelista"/>
        <w:numPr>
          <w:ilvl w:val="0"/>
          <w:numId w:val="1"/>
        </w:numPr>
        <w:spacing w:line="360" w:lineRule="auto"/>
        <w:ind w:left="0" w:right="-93" w:firstLine="0"/>
        <w:jc w:val="both"/>
        <w:rPr>
          <w:rFonts w:ascii="Palatino Linotype" w:eastAsia="Calibri" w:hAnsi="Palatino Linotype" w:cs="Tahoma"/>
          <w:bCs/>
          <w:sz w:val="24"/>
          <w:szCs w:val="22"/>
          <w:lang w:eastAsia="en-US"/>
        </w:rPr>
      </w:pPr>
      <w:r w:rsidRPr="00AC562A">
        <w:rPr>
          <w:rFonts w:ascii="Palatino Linotype" w:eastAsia="Calibri" w:hAnsi="Palatino Linotype" w:cs="Tahoma"/>
          <w:bCs/>
          <w:sz w:val="24"/>
          <w:szCs w:val="22"/>
          <w:lang w:eastAsia="en-US"/>
        </w:rPr>
        <w:t xml:space="preserve">Asimismo, el artículo 24 de la Ley de la materia, dispone que los Sujetos Obligados sólo proporcionarán la información pública que generen, administren o posean en el ejercicio de sus atribuciones; por consiguiente, la información pública se </w:t>
      </w:r>
      <w:r w:rsidRPr="00AC562A">
        <w:rPr>
          <w:rFonts w:ascii="Palatino Linotype" w:eastAsia="Calibri" w:hAnsi="Palatino Linotype" w:cs="Tahoma"/>
          <w:bCs/>
          <w:sz w:val="24"/>
          <w:szCs w:val="22"/>
          <w:lang w:eastAsia="en-US"/>
        </w:rPr>
        <w:lastRenderedPageBreak/>
        <w:t>encuentra a disposición de cualquier persona, lo que implica que es deber de los sujetos obligados, garantizar el derecho de acceso a la información pública.</w:t>
      </w:r>
    </w:p>
    <w:p w:rsidR="004D2304" w:rsidRPr="00AC562A" w:rsidRDefault="004D2304" w:rsidP="004D2304">
      <w:pPr>
        <w:spacing w:line="360" w:lineRule="auto"/>
        <w:ind w:right="49"/>
        <w:contextualSpacing/>
        <w:jc w:val="both"/>
        <w:rPr>
          <w:rFonts w:ascii="Palatino Linotype" w:hAnsi="Palatino Linotype"/>
          <w:color w:val="000000"/>
          <w:lang w:val="es-ES_tradnl"/>
        </w:rPr>
      </w:pPr>
    </w:p>
    <w:p w:rsidR="002B6DCC" w:rsidRPr="00AC562A" w:rsidRDefault="004D2304" w:rsidP="002B6DCC">
      <w:pPr>
        <w:pStyle w:val="Prrafodelista"/>
        <w:numPr>
          <w:ilvl w:val="0"/>
          <w:numId w:val="1"/>
        </w:numPr>
        <w:tabs>
          <w:tab w:val="left" w:pos="0"/>
        </w:tabs>
        <w:spacing w:line="360" w:lineRule="auto"/>
        <w:ind w:left="0" w:right="49" w:firstLine="0"/>
        <w:jc w:val="both"/>
        <w:rPr>
          <w:rFonts w:ascii="Palatino Linotype" w:eastAsiaTheme="minorEastAsia" w:hAnsi="Palatino Linotype"/>
          <w:i/>
          <w:lang w:val="es-ES_tradnl" w:eastAsia="es-ES"/>
        </w:rPr>
      </w:pPr>
      <w:r w:rsidRPr="00AC562A">
        <w:rPr>
          <w:rFonts w:ascii="Palatino Linotype" w:hAnsi="Palatino Linotype"/>
          <w:color w:val="000000"/>
          <w:sz w:val="24"/>
          <w:lang w:val="es-ES_tradnl"/>
        </w:rPr>
        <w:t xml:space="preserve">Establecido lo anterior, debemos precisar que el particular solicitó </w:t>
      </w:r>
      <w:r w:rsidR="002B6DCC" w:rsidRPr="00AC562A">
        <w:rPr>
          <w:rFonts w:ascii="Palatino Linotype" w:eastAsia="Calibri" w:hAnsi="Palatino Linotype" w:cs="Tahoma"/>
          <w:iCs/>
          <w:sz w:val="24"/>
          <w:lang w:val="es-ES" w:eastAsia="es-ES_tradnl"/>
        </w:rPr>
        <w:t xml:space="preserve">el número de registro como permisionario y/o  concesionario del servicio de arrastre, salvamento guardia, custodia y depósito de vehículos para la empresa Servicio de Grúas Sultepec SA de CV Y GENESIS, y si el número de registro es como permisionario o concesionario; así como las zonas de operación de las grúas. </w:t>
      </w:r>
    </w:p>
    <w:p w:rsidR="002B6DCC" w:rsidRPr="00AC562A" w:rsidRDefault="002B6DCC" w:rsidP="002B6DCC">
      <w:pPr>
        <w:pStyle w:val="Prrafodelista"/>
        <w:tabs>
          <w:tab w:val="left" w:pos="0"/>
        </w:tabs>
        <w:spacing w:line="360" w:lineRule="auto"/>
        <w:ind w:left="0" w:right="49"/>
        <w:jc w:val="both"/>
        <w:rPr>
          <w:rFonts w:ascii="Palatino Linotype" w:eastAsiaTheme="minorEastAsia" w:hAnsi="Palatino Linotype"/>
          <w:i/>
          <w:lang w:val="es-ES_tradnl" w:eastAsia="es-ES"/>
        </w:rPr>
      </w:pPr>
    </w:p>
    <w:p w:rsidR="004D2304" w:rsidRPr="00AC562A" w:rsidRDefault="002B6DCC" w:rsidP="002B6DCC">
      <w:pPr>
        <w:pStyle w:val="Prrafodelista"/>
        <w:numPr>
          <w:ilvl w:val="0"/>
          <w:numId w:val="1"/>
        </w:numPr>
        <w:tabs>
          <w:tab w:val="left" w:pos="0"/>
        </w:tabs>
        <w:spacing w:line="360" w:lineRule="auto"/>
        <w:ind w:left="0" w:right="49" w:firstLine="0"/>
        <w:jc w:val="both"/>
        <w:rPr>
          <w:rFonts w:ascii="Palatino Linotype" w:eastAsiaTheme="minorEastAsia" w:hAnsi="Palatino Linotype"/>
          <w:i/>
          <w:sz w:val="24"/>
          <w:lang w:val="es-ES_tradnl" w:eastAsia="es-ES"/>
        </w:rPr>
      </w:pPr>
      <w:r w:rsidRPr="00AC562A">
        <w:rPr>
          <w:rFonts w:ascii="Palatino Linotype" w:hAnsi="Palatino Linotype"/>
          <w:iCs/>
          <w:color w:val="000000"/>
          <w:sz w:val="24"/>
        </w:rPr>
        <w:t>E</w:t>
      </w:r>
      <w:r w:rsidR="008E5AD4" w:rsidRPr="00AC562A">
        <w:rPr>
          <w:rFonts w:ascii="Palatino Linotype" w:hAnsi="Palatino Linotype"/>
          <w:iCs/>
          <w:color w:val="000000"/>
          <w:sz w:val="24"/>
        </w:rPr>
        <w:t xml:space="preserve">n este caso, es necesario traer a contexto </w:t>
      </w:r>
      <w:r w:rsidR="0012293D" w:rsidRPr="00AC562A">
        <w:rPr>
          <w:rFonts w:ascii="Palatino Linotype" w:hAnsi="Palatino Linotype"/>
          <w:iCs/>
          <w:color w:val="000000"/>
          <w:sz w:val="24"/>
        </w:rPr>
        <w:t xml:space="preserve">el </w:t>
      </w:r>
      <w:r w:rsidR="006E1583" w:rsidRPr="00AC562A">
        <w:rPr>
          <w:rFonts w:ascii="Palatino Linotype" w:hAnsi="Palatino Linotype"/>
          <w:iCs/>
          <w:color w:val="000000"/>
          <w:sz w:val="24"/>
        </w:rPr>
        <w:t xml:space="preserve">artículo 3 del </w:t>
      </w:r>
      <w:r w:rsidR="0012293D" w:rsidRPr="00AC562A">
        <w:rPr>
          <w:rFonts w:ascii="Palatino Linotype" w:hAnsi="Palatino Linotype"/>
          <w:iCs/>
          <w:color w:val="000000"/>
          <w:sz w:val="24"/>
        </w:rPr>
        <w:t xml:space="preserve">Reglamento de la Interior de la Secretaría de Movilidad  </w:t>
      </w:r>
      <w:r w:rsidR="006E1583" w:rsidRPr="00AC562A">
        <w:rPr>
          <w:rFonts w:ascii="Palatino Linotype" w:hAnsi="Palatino Linotype"/>
          <w:iCs/>
          <w:color w:val="000000"/>
          <w:sz w:val="24"/>
        </w:rPr>
        <w:t>que establece:</w:t>
      </w:r>
    </w:p>
    <w:p w:rsidR="006E1583" w:rsidRPr="00AC562A" w:rsidRDefault="006E1583" w:rsidP="006E1583">
      <w:pPr>
        <w:pStyle w:val="Prrafodelista"/>
        <w:tabs>
          <w:tab w:val="left" w:pos="0"/>
        </w:tabs>
        <w:spacing w:line="360" w:lineRule="auto"/>
        <w:ind w:left="0" w:right="49"/>
        <w:jc w:val="both"/>
        <w:rPr>
          <w:rFonts w:ascii="Palatino Linotype" w:eastAsiaTheme="minorEastAsia" w:hAnsi="Palatino Linotype"/>
          <w:i/>
          <w:sz w:val="24"/>
          <w:lang w:val="es-ES_tradnl" w:eastAsia="es-ES"/>
        </w:rPr>
      </w:pPr>
    </w:p>
    <w:p w:rsidR="006E1583" w:rsidRPr="00AC562A" w:rsidRDefault="006E1583" w:rsidP="006E1583">
      <w:pPr>
        <w:pStyle w:val="Prrafodelista"/>
        <w:tabs>
          <w:tab w:val="left" w:pos="851"/>
        </w:tabs>
        <w:spacing w:line="360" w:lineRule="auto"/>
        <w:ind w:left="851" w:right="822"/>
        <w:jc w:val="both"/>
        <w:rPr>
          <w:rFonts w:ascii="Palatino Linotype" w:hAnsi="Palatino Linotype"/>
          <w:i/>
        </w:rPr>
      </w:pPr>
      <w:r w:rsidRPr="00AC562A">
        <w:rPr>
          <w:rFonts w:ascii="Palatino Linotype" w:hAnsi="Palatino Linotype"/>
          <w:i/>
        </w:rPr>
        <w:t xml:space="preserve">Artículo 3. Al frente de la Secretaría estará una persona titular quien, para el desahogo de los asuntos de su competencia, se auxiliará de las unidades administrativas siguientes: </w:t>
      </w:r>
    </w:p>
    <w:p w:rsidR="006E1583" w:rsidRPr="00AC562A" w:rsidRDefault="006E1583" w:rsidP="006E1583">
      <w:pPr>
        <w:pStyle w:val="Prrafodelista"/>
        <w:tabs>
          <w:tab w:val="left" w:pos="851"/>
        </w:tabs>
        <w:spacing w:line="360" w:lineRule="auto"/>
        <w:ind w:left="851" w:right="822"/>
        <w:jc w:val="both"/>
        <w:rPr>
          <w:rFonts w:ascii="Palatino Linotype" w:hAnsi="Palatino Linotype"/>
          <w:i/>
        </w:rPr>
      </w:pPr>
    </w:p>
    <w:p w:rsidR="006E1583" w:rsidRPr="00AC562A" w:rsidRDefault="006E1583" w:rsidP="006E1583">
      <w:pPr>
        <w:pStyle w:val="Prrafodelista"/>
        <w:tabs>
          <w:tab w:val="left" w:pos="851"/>
        </w:tabs>
        <w:spacing w:line="360" w:lineRule="auto"/>
        <w:ind w:left="851" w:right="822"/>
        <w:jc w:val="both"/>
        <w:rPr>
          <w:rFonts w:ascii="Palatino Linotype" w:hAnsi="Palatino Linotype"/>
          <w:b/>
          <w:i/>
        </w:rPr>
      </w:pPr>
      <w:r w:rsidRPr="00AC562A">
        <w:rPr>
          <w:rFonts w:ascii="Palatino Linotype" w:hAnsi="Palatino Linotype"/>
          <w:b/>
          <w:i/>
        </w:rPr>
        <w:t xml:space="preserve">I. Subsecretaría de Movilidad: </w:t>
      </w:r>
    </w:p>
    <w:p w:rsidR="006E1583" w:rsidRPr="00AC562A" w:rsidRDefault="006E1583" w:rsidP="006E1583">
      <w:pPr>
        <w:pStyle w:val="Prrafodelista"/>
        <w:tabs>
          <w:tab w:val="left" w:pos="851"/>
        </w:tabs>
        <w:spacing w:line="360" w:lineRule="auto"/>
        <w:ind w:left="851" w:right="822"/>
        <w:jc w:val="both"/>
        <w:rPr>
          <w:rFonts w:ascii="Palatino Linotype" w:hAnsi="Palatino Linotype"/>
          <w:i/>
        </w:rPr>
      </w:pPr>
      <w:r w:rsidRPr="00AC562A">
        <w:rPr>
          <w:rFonts w:ascii="Palatino Linotype" w:hAnsi="Palatino Linotype"/>
          <w:i/>
        </w:rPr>
        <w:t xml:space="preserve">a) Dirección General de Movilidad Zona I; </w:t>
      </w:r>
    </w:p>
    <w:p w:rsidR="006E1583" w:rsidRPr="00AC562A" w:rsidRDefault="006E1583" w:rsidP="006E1583">
      <w:pPr>
        <w:pStyle w:val="Prrafodelista"/>
        <w:tabs>
          <w:tab w:val="left" w:pos="851"/>
        </w:tabs>
        <w:spacing w:line="360" w:lineRule="auto"/>
        <w:ind w:left="851" w:right="822"/>
        <w:jc w:val="both"/>
        <w:rPr>
          <w:rFonts w:ascii="Palatino Linotype" w:hAnsi="Palatino Linotype"/>
          <w:i/>
        </w:rPr>
      </w:pPr>
      <w:r w:rsidRPr="00AC562A">
        <w:rPr>
          <w:rFonts w:ascii="Palatino Linotype" w:hAnsi="Palatino Linotype"/>
          <w:i/>
        </w:rPr>
        <w:t xml:space="preserve">b) Dirección General de Movilidad Zona II; </w:t>
      </w:r>
    </w:p>
    <w:p w:rsidR="006E1583" w:rsidRPr="00AC562A" w:rsidRDefault="006E1583" w:rsidP="006E1583">
      <w:pPr>
        <w:pStyle w:val="Prrafodelista"/>
        <w:tabs>
          <w:tab w:val="left" w:pos="851"/>
        </w:tabs>
        <w:spacing w:line="360" w:lineRule="auto"/>
        <w:ind w:left="851" w:right="822"/>
        <w:jc w:val="both"/>
        <w:rPr>
          <w:rFonts w:ascii="Palatino Linotype" w:hAnsi="Palatino Linotype"/>
          <w:i/>
        </w:rPr>
      </w:pPr>
      <w:r w:rsidRPr="00AC562A">
        <w:rPr>
          <w:rFonts w:ascii="Palatino Linotype" w:hAnsi="Palatino Linotype"/>
          <w:i/>
        </w:rPr>
        <w:t xml:space="preserve">c) Dirección General de Movilidad Zona III; </w:t>
      </w:r>
    </w:p>
    <w:p w:rsidR="006E1583" w:rsidRPr="00AC562A" w:rsidRDefault="006E1583" w:rsidP="006E1583">
      <w:pPr>
        <w:pStyle w:val="Prrafodelista"/>
        <w:tabs>
          <w:tab w:val="left" w:pos="851"/>
        </w:tabs>
        <w:spacing w:line="360" w:lineRule="auto"/>
        <w:ind w:left="851" w:right="822"/>
        <w:jc w:val="both"/>
        <w:rPr>
          <w:rFonts w:ascii="Palatino Linotype" w:hAnsi="Palatino Linotype"/>
          <w:i/>
        </w:rPr>
      </w:pPr>
      <w:r w:rsidRPr="00AC562A">
        <w:rPr>
          <w:rFonts w:ascii="Palatino Linotype" w:hAnsi="Palatino Linotype"/>
          <w:i/>
        </w:rPr>
        <w:t xml:space="preserve">d) Dirección General de Movilidad Zona IV; </w:t>
      </w:r>
    </w:p>
    <w:p w:rsidR="006E1583" w:rsidRPr="00AC562A" w:rsidRDefault="006E1583" w:rsidP="006E1583">
      <w:pPr>
        <w:pStyle w:val="Prrafodelista"/>
        <w:tabs>
          <w:tab w:val="left" w:pos="851"/>
        </w:tabs>
        <w:spacing w:line="360" w:lineRule="auto"/>
        <w:ind w:left="851" w:right="822"/>
        <w:jc w:val="both"/>
        <w:rPr>
          <w:rFonts w:ascii="Palatino Linotype" w:hAnsi="Palatino Linotype"/>
          <w:i/>
        </w:rPr>
      </w:pPr>
      <w:r w:rsidRPr="00AC562A">
        <w:rPr>
          <w:rFonts w:ascii="Palatino Linotype" w:hAnsi="Palatino Linotype"/>
          <w:i/>
        </w:rPr>
        <w:t xml:space="preserve">e) Unidades de Movilidad Urbana; </w:t>
      </w:r>
    </w:p>
    <w:p w:rsidR="006E1583" w:rsidRPr="00AC562A" w:rsidRDefault="006E1583" w:rsidP="006E1583">
      <w:pPr>
        <w:pStyle w:val="Prrafodelista"/>
        <w:tabs>
          <w:tab w:val="left" w:pos="851"/>
        </w:tabs>
        <w:spacing w:line="360" w:lineRule="auto"/>
        <w:ind w:left="851" w:right="822"/>
        <w:jc w:val="both"/>
        <w:rPr>
          <w:rFonts w:ascii="Palatino Linotype" w:hAnsi="Palatino Linotype"/>
          <w:i/>
        </w:rPr>
      </w:pPr>
      <w:r w:rsidRPr="00AC562A">
        <w:rPr>
          <w:rFonts w:ascii="Palatino Linotype" w:hAnsi="Palatino Linotype"/>
          <w:i/>
        </w:rPr>
        <w:t xml:space="preserve">f) Delegaciones Regionales de Movilidad; </w:t>
      </w:r>
    </w:p>
    <w:p w:rsidR="006E1583" w:rsidRPr="00AC562A" w:rsidRDefault="006E1583" w:rsidP="006E1583">
      <w:pPr>
        <w:pStyle w:val="Prrafodelista"/>
        <w:tabs>
          <w:tab w:val="left" w:pos="851"/>
        </w:tabs>
        <w:spacing w:line="360" w:lineRule="auto"/>
        <w:ind w:left="851" w:right="822"/>
        <w:jc w:val="both"/>
        <w:rPr>
          <w:rFonts w:ascii="Palatino Linotype" w:hAnsi="Palatino Linotype"/>
          <w:i/>
        </w:rPr>
      </w:pPr>
      <w:r w:rsidRPr="00AC562A">
        <w:rPr>
          <w:rFonts w:ascii="Palatino Linotype" w:hAnsi="Palatino Linotype"/>
          <w:i/>
        </w:rPr>
        <w:t xml:space="preserve">g) Subdelegaciones de Movilidad; </w:t>
      </w:r>
    </w:p>
    <w:p w:rsidR="006E1583" w:rsidRPr="00AC562A" w:rsidRDefault="006E1583" w:rsidP="006E1583">
      <w:pPr>
        <w:pStyle w:val="Prrafodelista"/>
        <w:tabs>
          <w:tab w:val="left" w:pos="851"/>
        </w:tabs>
        <w:spacing w:line="360" w:lineRule="auto"/>
        <w:ind w:left="851" w:right="822"/>
        <w:jc w:val="both"/>
        <w:rPr>
          <w:rFonts w:ascii="Palatino Linotype" w:hAnsi="Palatino Linotype"/>
          <w:i/>
        </w:rPr>
      </w:pPr>
      <w:r w:rsidRPr="00AC562A">
        <w:rPr>
          <w:rFonts w:ascii="Palatino Linotype" w:hAnsi="Palatino Linotype"/>
          <w:i/>
        </w:rPr>
        <w:t xml:space="preserve">II. Dirección General de Vialidad; </w:t>
      </w:r>
    </w:p>
    <w:p w:rsidR="006E1583" w:rsidRPr="00AC562A" w:rsidRDefault="006E1583" w:rsidP="006E1583">
      <w:pPr>
        <w:pStyle w:val="Prrafodelista"/>
        <w:tabs>
          <w:tab w:val="left" w:pos="851"/>
        </w:tabs>
        <w:spacing w:line="360" w:lineRule="auto"/>
        <w:ind w:left="851" w:right="822"/>
        <w:jc w:val="both"/>
        <w:rPr>
          <w:rFonts w:ascii="Palatino Linotype" w:hAnsi="Palatino Linotype"/>
          <w:i/>
        </w:rPr>
      </w:pPr>
      <w:r w:rsidRPr="00AC562A">
        <w:rPr>
          <w:rFonts w:ascii="Palatino Linotype" w:hAnsi="Palatino Linotype"/>
          <w:i/>
        </w:rPr>
        <w:t xml:space="preserve">III. Dirección General de Asuntos Jurídicos e Igualdad de Género: </w:t>
      </w:r>
    </w:p>
    <w:p w:rsidR="006E1583" w:rsidRPr="00AC562A" w:rsidRDefault="006E1583" w:rsidP="006E1583">
      <w:pPr>
        <w:pStyle w:val="Prrafodelista"/>
        <w:tabs>
          <w:tab w:val="left" w:pos="851"/>
        </w:tabs>
        <w:spacing w:line="360" w:lineRule="auto"/>
        <w:ind w:left="851" w:right="822"/>
        <w:jc w:val="both"/>
        <w:rPr>
          <w:rFonts w:ascii="Palatino Linotype" w:hAnsi="Palatino Linotype"/>
          <w:i/>
        </w:rPr>
      </w:pPr>
      <w:r w:rsidRPr="00AC562A">
        <w:rPr>
          <w:rFonts w:ascii="Palatino Linotype" w:hAnsi="Palatino Linotype"/>
          <w:i/>
        </w:rPr>
        <w:lastRenderedPageBreak/>
        <w:t xml:space="preserve">a) Dirección Consultiva; </w:t>
      </w:r>
    </w:p>
    <w:p w:rsidR="006E1583" w:rsidRPr="00AC562A" w:rsidRDefault="006E1583" w:rsidP="006E1583">
      <w:pPr>
        <w:pStyle w:val="Prrafodelista"/>
        <w:tabs>
          <w:tab w:val="left" w:pos="851"/>
        </w:tabs>
        <w:spacing w:line="360" w:lineRule="auto"/>
        <w:ind w:left="851" w:right="822"/>
        <w:jc w:val="both"/>
        <w:rPr>
          <w:rFonts w:ascii="Palatino Linotype" w:hAnsi="Palatino Linotype"/>
          <w:i/>
        </w:rPr>
      </w:pPr>
      <w:r w:rsidRPr="00AC562A">
        <w:rPr>
          <w:rFonts w:ascii="Palatino Linotype" w:hAnsi="Palatino Linotype"/>
          <w:i/>
        </w:rPr>
        <w:t xml:space="preserve">b) Dirección de lo Contencioso; </w:t>
      </w:r>
    </w:p>
    <w:p w:rsidR="006E1583" w:rsidRPr="00AC562A" w:rsidRDefault="006E1583" w:rsidP="006E1583">
      <w:pPr>
        <w:pStyle w:val="Prrafodelista"/>
        <w:tabs>
          <w:tab w:val="left" w:pos="851"/>
        </w:tabs>
        <w:spacing w:line="360" w:lineRule="auto"/>
        <w:ind w:left="851" w:right="822"/>
        <w:jc w:val="both"/>
        <w:rPr>
          <w:rFonts w:ascii="Palatino Linotype" w:hAnsi="Palatino Linotype"/>
          <w:i/>
        </w:rPr>
      </w:pPr>
      <w:r w:rsidRPr="00AC562A">
        <w:rPr>
          <w:rFonts w:ascii="Palatino Linotype" w:hAnsi="Palatino Linotype"/>
          <w:i/>
        </w:rPr>
        <w:t xml:space="preserve">c) Dirección de Asuntos Jurídicos; </w:t>
      </w:r>
    </w:p>
    <w:p w:rsidR="006E1583" w:rsidRPr="00AC562A" w:rsidRDefault="006E1583" w:rsidP="006E1583">
      <w:pPr>
        <w:pStyle w:val="Prrafodelista"/>
        <w:tabs>
          <w:tab w:val="left" w:pos="851"/>
        </w:tabs>
        <w:spacing w:line="360" w:lineRule="auto"/>
        <w:ind w:left="851" w:right="822"/>
        <w:jc w:val="both"/>
        <w:rPr>
          <w:rFonts w:ascii="Palatino Linotype" w:hAnsi="Palatino Linotype"/>
          <w:i/>
        </w:rPr>
      </w:pPr>
      <w:r w:rsidRPr="00AC562A">
        <w:rPr>
          <w:rFonts w:ascii="Palatino Linotype" w:hAnsi="Palatino Linotype"/>
          <w:i/>
        </w:rPr>
        <w:t xml:space="preserve">d) Dirección de Procesos Jurisdiccionales en Materia Federal; </w:t>
      </w:r>
    </w:p>
    <w:p w:rsidR="006E1583" w:rsidRPr="00AC562A" w:rsidRDefault="006E1583" w:rsidP="006E1583">
      <w:pPr>
        <w:pStyle w:val="Prrafodelista"/>
        <w:tabs>
          <w:tab w:val="left" w:pos="851"/>
        </w:tabs>
        <w:spacing w:line="360" w:lineRule="auto"/>
        <w:ind w:left="851" w:right="822"/>
        <w:jc w:val="both"/>
        <w:rPr>
          <w:rFonts w:ascii="Palatino Linotype" w:hAnsi="Palatino Linotype"/>
          <w:b/>
          <w:i/>
        </w:rPr>
      </w:pPr>
      <w:r w:rsidRPr="00AC562A">
        <w:rPr>
          <w:rFonts w:ascii="Palatino Linotype" w:hAnsi="Palatino Linotype"/>
          <w:b/>
          <w:i/>
        </w:rPr>
        <w:t xml:space="preserve">IV. Dirección General del Registro Estatal de Transporte Público: </w:t>
      </w:r>
    </w:p>
    <w:p w:rsidR="006E1583" w:rsidRPr="00AC562A" w:rsidRDefault="006E1583" w:rsidP="006E1583">
      <w:pPr>
        <w:pStyle w:val="Prrafodelista"/>
        <w:tabs>
          <w:tab w:val="left" w:pos="851"/>
        </w:tabs>
        <w:spacing w:line="360" w:lineRule="auto"/>
        <w:ind w:left="851" w:right="822"/>
        <w:jc w:val="both"/>
        <w:rPr>
          <w:rFonts w:ascii="Palatino Linotype" w:hAnsi="Palatino Linotype"/>
          <w:i/>
        </w:rPr>
      </w:pPr>
      <w:r w:rsidRPr="00AC562A">
        <w:rPr>
          <w:rFonts w:ascii="Palatino Linotype" w:hAnsi="Palatino Linotype"/>
          <w:i/>
        </w:rPr>
        <w:t xml:space="preserve">a) Dirección del Registro de Licencias y Operadores; </w:t>
      </w:r>
    </w:p>
    <w:p w:rsidR="006E1583" w:rsidRPr="00AC562A" w:rsidRDefault="006E1583" w:rsidP="006E1583">
      <w:pPr>
        <w:pStyle w:val="Prrafodelista"/>
        <w:tabs>
          <w:tab w:val="left" w:pos="851"/>
        </w:tabs>
        <w:spacing w:line="360" w:lineRule="auto"/>
        <w:ind w:left="851" w:right="822"/>
        <w:jc w:val="both"/>
        <w:rPr>
          <w:rFonts w:ascii="Palatino Linotype" w:hAnsi="Palatino Linotype"/>
          <w:i/>
        </w:rPr>
      </w:pPr>
      <w:r w:rsidRPr="00AC562A">
        <w:rPr>
          <w:rFonts w:ascii="Palatino Linotype" w:hAnsi="Palatino Linotype"/>
          <w:i/>
        </w:rPr>
        <w:t>b) Dirección del Registro Estatal de Transporte Público;</w:t>
      </w:r>
    </w:p>
    <w:p w:rsidR="006E1583" w:rsidRPr="00AC562A" w:rsidRDefault="006E1583" w:rsidP="006E1583">
      <w:pPr>
        <w:pStyle w:val="Prrafodelista"/>
        <w:tabs>
          <w:tab w:val="left" w:pos="851"/>
        </w:tabs>
        <w:spacing w:line="360" w:lineRule="auto"/>
        <w:ind w:left="851" w:right="822"/>
        <w:jc w:val="both"/>
        <w:rPr>
          <w:rFonts w:ascii="Palatino Linotype" w:hAnsi="Palatino Linotype"/>
          <w:b/>
          <w:i/>
        </w:rPr>
      </w:pPr>
      <w:r w:rsidRPr="00AC562A">
        <w:rPr>
          <w:rFonts w:ascii="Palatino Linotype" w:hAnsi="Palatino Linotype"/>
          <w:b/>
          <w:i/>
        </w:rPr>
        <w:t xml:space="preserve">c) Subdirección de Concesiones y Permisos; </w:t>
      </w:r>
    </w:p>
    <w:p w:rsidR="006E1583" w:rsidRPr="00AC562A" w:rsidRDefault="006E1583" w:rsidP="006E1583">
      <w:pPr>
        <w:pStyle w:val="Prrafodelista"/>
        <w:tabs>
          <w:tab w:val="left" w:pos="851"/>
        </w:tabs>
        <w:spacing w:line="360" w:lineRule="auto"/>
        <w:ind w:left="851" w:right="822"/>
        <w:jc w:val="both"/>
        <w:rPr>
          <w:rFonts w:ascii="Palatino Linotype" w:hAnsi="Palatino Linotype"/>
          <w:i/>
        </w:rPr>
      </w:pPr>
      <w:r w:rsidRPr="00AC562A">
        <w:rPr>
          <w:rFonts w:ascii="Palatino Linotype" w:hAnsi="Palatino Linotype"/>
          <w:i/>
        </w:rPr>
        <w:t xml:space="preserve">d) Subdirección de Registro y Control; </w:t>
      </w:r>
    </w:p>
    <w:p w:rsidR="006E1583" w:rsidRPr="00AC562A" w:rsidRDefault="006E1583" w:rsidP="006E1583">
      <w:pPr>
        <w:pStyle w:val="Prrafodelista"/>
        <w:tabs>
          <w:tab w:val="left" w:pos="851"/>
        </w:tabs>
        <w:spacing w:line="360" w:lineRule="auto"/>
        <w:ind w:left="851" w:right="822"/>
        <w:jc w:val="both"/>
        <w:rPr>
          <w:rFonts w:ascii="Palatino Linotype" w:hAnsi="Palatino Linotype"/>
          <w:i/>
        </w:rPr>
      </w:pPr>
      <w:r w:rsidRPr="00AC562A">
        <w:rPr>
          <w:rFonts w:ascii="Palatino Linotype" w:hAnsi="Palatino Linotype"/>
          <w:i/>
        </w:rPr>
        <w:t xml:space="preserve">V. Coordinación Administrativa y de Gestión Documental; </w:t>
      </w:r>
    </w:p>
    <w:p w:rsidR="006E1583" w:rsidRPr="00AC562A" w:rsidRDefault="006E1583" w:rsidP="006E1583">
      <w:pPr>
        <w:pStyle w:val="Prrafodelista"/>
        <w:tabs>
          <w:tab w:val="left" w:pos="851"/>
        </w:tabs>
        <w:spacing w:line="360" w:lineRule="auto"/>
        <w:ind w:left="851" w:right="822"/>
        <w:jc w:val="both"/>
        <w:rPr>
          <w:rFonts w:ascii="Palatino Linotype" w:hAnsi="Palatino Linotype"/>
          <w:i/>
        </w:rPr>
      </w:pPr>
      <w:r w:rsidRPr="00AC562A">
        <w:rPr>
          <w:rFonts w:ascii="Palatino Linotype" w:hAnsi="Palatino Linotype"/>
          <w:i/>
        </w:rPr>
        <w:t xml:space="preserve">VI. Coordinación de Estudios y Proyectos Estratégicos: </w:t>
      </w:r>
    </w:p>
    <w:p w:rsidR="006E1583" w:rsidRPr="00AC562A" w:rsidRDefault="006E1583" w:rsidP="006E1583">
      <w:pPr>
        <w:pStyle w:val="Prrafodelista"/>
        <w:tabs>
          <w:tab w:val="left" w:pos="851"/>
        </w:tabs>
        <w:spacing w:line="360" w:lineRule="auto"/>
        <w:ind w:left="851" w:right="822"/>
        <w:jc w:val="both"/>
        <w:rPr>
          <w:rFonts w:ascii="Palatino Linotype" w:hAnsi="Palatino Linotype"/>
          <w:i/>
        </w:rPr>
      </w:pPr>
      <w:r w:rsidRPr="00AC562A">
        <w:rPr>
          <w:rFonts w:ascii="Palatino Linotype" w:hAnsi="Palatino Linotype"/>
          <w:i/>
        </w:rPr>
        <w:t xml:space="preserve">a) Dirección de Reciclaje de Vehículos, y </w:t>
      </w:r>
    </w:p>
    <w:p w:rsidR="006E1583" w:rsidRPr="00AC562A" w:rsidRDefault="006E1583" w:rsidP="006E1583">
      <w:pPr>
        <w:pStyle w:val="Prrafodelista"/>
        <w:tabs>
          <w:tab w:val="left" w:pos="851"/>
        </w:tabs>
        <w:spacing w:line="360" w:lineRule="auto"/>
        <w:ind w:left="851" w:right="822"/>
        <w:jc w:val="both"/>
        <w:rPr>
          <w:rFonts w:ascii="Palatino Linotype" w:eastAsiaTheme="minorEastAsia" w:hAnsi="Palatino Linotype"/>
          <w:i/>
          <w:sz w:val="24"/>
          <w:lang w:val="es-ES_tradnl" w:eastAsia="es-ES"/>
        </w:rPr>
      </w:pPr>
      <w:r w:rsidRPr="00AC562A">
        <w:rPr>
          <w:rFonts w:ascii="Palatino Linotype" w:hAnsi="Palatino Linotype"/>
          <w:i/>
        </w:rPr>
        <w:t>VII. Coordinación de Informática</w:t>
      </w:r>
    </w:p>
    <w:p w:rsidR="004D2304" w:rsidRPr="00AC562A" w:rsidRDefault="004D2304" w:rsidP="004D2304">
      <w:pPr>
        <w:pStyle w:val="Prrafodelista"/>
        <w:tabs>
          <w:tab w:val="left" w:pos="0"/>
        </w:tabs>
        <w:spacing w:line="360" w:lineRule="auto"/>
        <w:ind w:left="0" w:right="49"/>
        <w:jc w:val="both"/>
        <w:rPr>
          <w:rFonts w:ascii="Palatino Linotype" w:eastAsiaTheme="minorEastAsia" w:hAnsi="Palatino Linotype"/>
          <w:i/>
          <w:lang w:val="es-ES_tradnl" w:eastAsia="es-ES"/>
        </w:rPr>
      </w:pPr>
    </w:p>
    <w:p w:rsidR="006E1583" w:rsidRPr="00AC562A" w:rsidRDefault="006E1583" w:rsidP="004D2304">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C562A">
        <w:rPr>
          <w:rFonts w:ascii="Palatino Linotype" w:eastAsiaTheme="minorEastAsia" w:hAnsi="Palatino Linotype"/>
          <w:lang w:val="es-ES_tradnl" w:eastAsia="es-ES"/>
        </w:rPr>
        <w:t>Como se desprende del precepto legal señalado, la Secretaría de Movilidad para el desahogo de sus asuntos se auxilia de diversas unidades administrativas, entre las que se encuentra la Subsecretaría de Movilidad y la Dirección General del Registro Estatal de Transporte Público, las cuales tienen, de acuerdo a su Reglamento anterior, las siguientes atribuciones:</w:t>
      </w:r>
    </w:p>
    <w:p w:rsidR="00781551" w:rsidRPr="00AC562A" w:rsidRDefault="00500A0D" w:rsidP="00500A0D">
      <w:pPr>
        <w:spacing w:line="360" w:lineRule="auto"/>
        <w:ind w:left="851" w:right="822"/>
        <w:contextualSpacing/>
        <w:jc w:val="center"/>
        <w:rPr>
          <w:rFonts w:ascii="Palatino Linotype" w:hAnsi="Palatino Linotype"/>
          <w:b/>
          <w:i/>
          <w:sz w:val="22"/>
        </w:rPr>
      </w:pPr>
      <w:r w:rsidRPr="00AC562A">
        <w:rPr>
          <w:rFonts w:ascii="Palatino Linotype" w:hAnsi="Palatino Linotype"/>
          <w:b/>
          <w:i/>
          <w:sz w:val="22"/>
        </w:rPr>
        <w:t>“</w:t>
      </w:r>
      <w:r w:rsidR="00781551" w:rsidRPr="00AC562A">
        <w:rPr>
          <w:rFonts w:ascii="Palatino Linotype" w:hAnsi="Palatino Linotype"/>
          <w:b/>
          <w:i/>
          <w:sz w:val="22"/>
        </w:rPr>
        <w:t>Sección Primera</w:t>
      </w:r>
    </w:p>
    <w:p w:rsidR="00781551" w:rsidRPr="00AC562A" w:rsidRDefault="00781551" w:rsidP="00500A0D">
      <w:pPr>
        <w:spacing w:line="360" w:lineRule="auto"/>
        <w:ind w:left="851" w:right="822"/>
        <w:contextualSpacing/>
        <w:jc w:val="center"/>
        <w:rPr>
          <w:rFonts w:ascii="Palatino Linotype" w:hAnsi="Palatino Linotype"/>
          <w:b/>
          <w:i/>
          <w:sz w:val="22"/>
        </w:rPr>
      </w:pPr>
      <w:r w:rsidRPr="00AC562A">
        <w:rPr>
          <w:rFonts w:ascii="Palatino Linotype" w:hAnsi="Palatino Linotype"/>
          <w:b/>
          <w:i/>
          <w:sz w:val="22"/>
        </w:rPr>
        <w:t>De las atribuciones de la persona titular de la Subsecretaría de Movilidad</w:t>
      </w:r>
    </w:p>
    <w:p w:rsidR="00781551" w:rsidRPr="00AC562A" w:rsidRDefault="00781551" w:rsidP="00500A0D">
      <w:pPr>
        <w:spacing w:line="360" w:lineRule="auto"/>
        <w:ind w:left="851" w:right="822"/>
        <w:contextualSpacing/>
        <w:jc w:val="both"/>
        <w:rPr>
          <w:rFonts w:ascii="Palatino Linotype" w:hAnsi="Palatino Linotype"/>
          <w:i/>
          <w:sz w:val="22"/>
        </w:rPr>
      </w:pPr>
      <w:r w:rsidRPr="00AC562A">
        <w:rPr>
          <w:rFonts w:ascii="Palatino Linotype" w:hAnsi="Palatino Linotype"/>
          <w:b/>
          <w:i/>
          <w:sz w:val="22"/>
        </w:rPr>
        <w:t>Artículo 8.</w:t>
      </w:r>
      <w:r w:rsidRPr="00AC562A">
        <w:rPr>
          <w:rFonts w:ascii="Palatino Linotype" w:hAnsi="Palatino Linotype"/>
          <w:i/>
          <w:sz w:val="22"/>
        </w:rPr>
        <w:t xml:space="preserve"> La persona titular de la Subsecretaría de Movilidad tendrá las atribuciones siguientes: </w:t>
      </w:r>
    </w:p>
    <w:p w:rsidR="006E1583" w:rsidRPr="00AC562A" w:rsidRDefault="00781551" w:rsidP="00500A0D">
      <w:pPr>
        <w:spacing w:line="360" w:lineRule="auto"/>
        <w:ind w:left="851" w:right="822"/>
        <w:contextualSpacing/>
        <w:jc w:val="both"/>
        <w:rPr>
          <w:rFonts w:ascii="Palatino Linotype" w:hAnsi="Palatino Linotype"/>
          <w:b/>
          <w:i/>
          <w:sz w:val="22"/>
        </w:rPr>
      </w:pPr>
      <w:r w:rsidRPr="00AC562A">
        <w:rPr>
          <w:rFonts w:ascii="Palatino Linotype" w:hAnsi="Palatino Linotype"/>
          <w:b/>
          <w:i/>
          <w:sz w:val="22"/>
        </w:rPr>
        <w:t>I. Planear, coordinar, controlar y evaluar las funciones encomendadas a las unidades administrativas bajo su adscripción, vigilando el cumplimiento de sus programas y objetivos;</w:t>
      </w:r>
    </w:p>
    <w:p w:rsidR="00500A0D" w:rsidRPr="00AC562A" w:rsidRDefault="00781551" w:rsidP="00500A0D">
      <w:pPr>
        <w:spacing w:line="360" w:lineRule="auto"/>
        <w:ind w:left="851" w:right="822"/>
        <w:contextualSpacing/>
        <w:jc w:val="both"/>
        <w:rPr>
          <w:rFonts w:ascii="Palatino Linotype" w:hAnsi="Palatino Linotype"/>
          <w:i/>
          <w:sz w:val="22"/>
        </w:rPr>
      </w:pPr>
      <w:r w:rsidRPr="00AC562A">
        <w:rPr>
          <w:rFonts w:ascii="Palatino Linotype" w:hAnsi="Palatino Linotype"/>
          <w:i/>
          <w:sz w:val="22"/>
        </w:rPr>
        <w:lastRenderedPageBreak/>
        <w:t xml:space="preserve">II. Validar y someter a la aprobación de la persona titular de la Secretaría los lineamientos, criterios y procedimientos de carácter técnico que rijan a las unidades administrativas bajo su adscripción; </w:t>
      </w:r>
    </w:p>
    <w:p w:rsidR="00500A0D" w:rsidRPr="00AC562A" w:rsidRDefault="00781551" w:rsidP="00500A0D">
      <w:pPr>
        <w:spacing w:line="360" w:lineRule="auto"/>
        <w:ind w:left="851" w:right="822"/>
        <w:contextualSpacing/>
        <w:jc w:val="both"/>
        <w:rPr>
          <w:rFonts w:ascii="Palatino Linotype" w:hAnsi="Palatino Linotype"/>
          <w:i/>
          <w:sz w:val="22"/>
        </w:rPr>
      </w:pPr>
      <w:r w:rsidRPr="00AC562A">
        <w:rPr>
          <w:rFonts w:ascii="Palatino Linotype" w:hAnsi="Palatino Linotype"/>
          <w:i/>
          <w:sz w:val="22"/>
        </w:rPr>
        <w:t xml:space="preserve">III. Acordar con la persona titular de la Secretaría el despacho de los asuntos a su cargo que requieran de su intervención; </w:t>
      </w:r>
    </w:p>
    <w:p w:rsidR="00500A0D" w:rsidRPr="00AC562A" w:rsidRDefault="00781551" w:rsidP="00500A0D">
      <w:pPr>
        <w:spacing w:line="360" w:lineRule="auto"/>
        <w:ind w:left="851" w:right="822"/>
        <w:contextualSpacing/>
        <w:jc w:val="both"/>
        <w:rPr>
          <w:rFonts w:ascii="Palatino Linotype" w:hAnsi="Palatino Linotype"/>
          <w:i/>
          <w:sz w:val="22"/>
        </w:rPr>
      </w:pPr>
      <w:r w:rsidRPr="00AC562A">
        <w:rPr>
          <w:rFonts w:ascii="Palatino Linotype" w:hAnsi="Palatino Linotype"/>
          <w:i/>
          <w:sz w:val="22"/>
        </w:rPr>
        <w:t xml:space="preserve">IV. Proponer a la persona titular de la Secretaría los proyectos de programas anuales de actividades y los anteproyectos de ingresos y de egresos que le correspondan; </w:t>
      </w:r>
    </w:p>
    <w:p w:rsidR="00500A0D" w:rsidRPr="00AC562A" w:rsidRDefault="00781551" w:rsidP="00500A0D">
      <w:pPr>
        <w:spacing w:line="360" w:lineRule="auto"/>
        <w:ind w:left="851" w:right="822"/>
        <w:contextualSpacing/>
        <w:jc w:val="both"/>
        <w:rPr>
          <w:rFonts w:ascii="Palatino Linotype" w:hAnsi="Palatino Linotype"/>
          <w:i/>
          <w:sz w:val="22"/>
        </w:rPr>
      </w:pPr>
      <w:r w:rsidRPr="00AC562A">
        <w:rPr>
          <w:rFonts w:ascii="Palatino Linotype" w:hAnsi="Palatino Linotype"/>
          <w:i/>
          <w:sz w:val="22"/>
        </w:rPr>
        <w:t xml:space="preserve">V. Elaborar los dictámenes, estudios, opiniones, informes y demás documentos que le solicite la persona titular de la Secretaría y aquellos que le correspondan en razón de sus atribuciones; </w:t>
      </w:r>
    </w:p>
    <w:p w:rsidR="00500A0D" w:rsidRPr="00AC562A" w:rsidRDefault="00781551" w:rsidP="00500A0D">
      <w:pPr>
        <w:spacing w:line="360" w:lineRule="auto"/>
        <w:ind w:left="851" w:right="822"/>
        <w:contextualSpacing/>
        <w:jc w:val="both"/>
        <w:rPr>
          <w:rFonts w:ascii="Palatino Linotype" w:hAnsi="Palatino Linotype"/>
          <w:i/>
          <w:sz w:val="22"/>
        </w:rPr>
      </w:pPr>
      <w:r w:rsidRPr="00AC562A">
        <w:rPr>
          <w:rFonts w:ascii="Palatino Linotype" w:hAnsi="Palatino Linotype"/>
          <w:i/>
          <w:sz w:val="22"/>
        </w:rPr>
        <w:t xml:space="preserve">VI. Suscribir los documentos relativos al ejercicio de sus atribuciones y aquellos que le sean señalados por delegación o los que le correspondan por suplencia; </w:t>
      </w:r>
    </w:p>
    <w:p w:rsidR="00500A0D" w:rsidRPr="00AC562A" w:rsidRDefault="00781551" w:rsidP="00500A0D">
      <w:pPr>
        <w:spacing w:line="360" w:lineRule="auto"/>
        <w:ind w:left="851" w:right="822"/>
        <w:contextualSpacing/>
        <w:jc w:val="both"/>
        <w:rPr>
          <w:rFonts w:ascii="Palatino Linotype" w:hAnsi="Palatino Linotype"/>
          <w:i/>
          <w:sz w:val="22"/>
        </w:rPr>
      </w:pPr>
      <w:r w:rsidRPr="00AC562A">
        <w:rPr>
          <w:rFonts w:ascii="Palatino Linotype" w:hAnsi="Palatino Linotype"/>
          <w:i/>
          <w:sz w:val="22"/>
        </w:rPr>
        <w:t xml:space="preserve">VII. Ejercer directamente, cuando las necesidades del servicio así lo requieran, las funciones asignadas a las unidades administrativas bajo su adscripción; </w:t>
      </w:r>
    </w:p>
    <w:p w:rsidR="00500A0D" w:rsidRPr="00AC562A" w:rsidRDefault="00781551" w:rsidP="00500A0D">
      <w:pPr>
        <w:spacing w:line="360" w:lineRule="auto"/>
        <w:ind w:left="851" w:right="822"/>
        <w:contextualSpacing/>
        <w:jc w:val="both"/>
        <w:rPr>
          <w:rFonts w:ascii="Palatino Linotype" w:hAnsi="Palatino Linotype"/>
          <w:i/>
          <w:sz w:val="22"/>
        </w:rPr>
      </w:pPr>
      <w:r w:rsidRPr="00AC562A">
        <w:rPr>
          <w:rFonts w:ascii="Palatino Linotype" w:hAnsi="Palatino Linotype"/>
          <w:i/>
          <w:sz w:val="22"/>
        </w:rPr>
        <w:t xml:space="preserve">VIII. Someter a la consideración de la persona titular de la Secretaría el nombramiento, licencia, promoción y remoción de las personas titulares de las unidades administrativas bajo su adscripción; </w:t>
      </w:r>
    </w:p>
    <w:p w:rsidR="00500A0D" w:rsidRPr="00AC562A" w:rsidRDefault="00781551" w:rsidP="00500A0D">
      <w:pPr>
        <w:spacing w:line="360" w:lineRule="auto"/>
        <w:ind w:left="851" w:right="822"/>
        <w:contextualSpacing/>
        <w:jc w:val="both"/>
        <w:rPr>
          <w:rFonts w:ascii="Palatino Linotype" w:hAnsi="Palatino Linotype"/>
          <w:i/>
          <w:sz w:val="22"/>
        </w:rPr>
      </w:pPr>
      <w:r w:rsidRPr="00AC562A">
        <w:rPr>
          <w:rFonts w:ascii="Palatino Linotype" w:hAnsi="Palatino Linotype"/>
          <w:i/>
          <w:sz w:val="22"/>
        </w:rPr>
        <w:t xml:space="preserve">IX. Interpretar, para efectos administrativos, las disposiciones en materia de transporte público e informar lo conducente a las unidades administrativas bajo su adscripción; </w:t>
      </w:r>
    </w:p>
    <w:p w:rsidR="00500A0D" w:rsidRPr="00AC562A" w:rsidRDefault="00781551" w:rsidP="00500A0D">
      <w:pPr>
        <w:spacing w:line="360" w:lineRule="auto"/>
        <w:ind w:left="851" w:right="822"/>
        <w:contextualSpacing/>
        <w:jc w:val="both"/>
        <w:rPr>
          <w:rFonts w:ascii="Palatino Linotype" w:hAnsi="Palatino Linotype"/>
          <w:b/>
          <w:i/>
          <w:sz w:val="22"/>
        </w:rPr>
      </w:pPr>
      <w:r w:rsidRPr="00AC562A">
        <w:rPr>
          <w:rFonts w:ascii="Palatino Linotype" w:hAnsi="Palatino Linotype"/>
          <w:b/>
          <w:i/>
          <w:sz w:val="22"/>
        </w:rPr>
        <w:t xml:space="preserve">X. Suscribir los documentos relacionados con el otorgamiento de concesiones, permisos, autorizaciones de bases, lanzaderas y derroteros, modificaciones de alargamientos y enlaces de los mismos, así como con las autorizaciones de emplacamiento, previo acuerdo con la persona Titular de la Secretaría; </w:t>
      </w:r>
    </w:p>
    <w:p w:rsidR="00500A0D" w:rsidRPr="00AC562A" w:rsidRDefault="00781551" w:rsidP="00500A0D">
      <w:pPr>
        <w:spacing w:line="360" w:lineRule="auto"/>
        <w:ind w:left="851" w:right="822"/>
        <w:contextualSpacing/>
        <w:jc w:val="both"/>
        <w:rPr>
          <w:rFonts w:ascii="Palatino Linotype" w:hAnsi="Palatino Linotype"/>
          <w:i/>
          <w:sz w:val="22"/>
        </w:rPr>
      </w:pPr>
      <w:r w:rsidRPr="00AC562A">
        <w:rPr>
          <w:rFonts w:ascii="Palatino Linotype" w:hAnsi="Palatino Linotype"/>
          <w:i/>
          <w:sz w:val="22"/>
        </w:rPr>
        <w:t xml:space="preserve">XI. Aplicar, en el ámbito de su competencia, las normas técnicas que expida la Secretaría; </w:t>
      </w:r>
    </w:p>
    <w:p w:rsidR="00500A0D" w:rsidRPr="00AC562A" w:rsidRDefault="00781551" w:rsidP="00500A0D">
      <w:pPr>
        <w:spacing w:line="360" w:lineRule="auto"/>
        <w:ind w:left="851" w:right="822"/>
        <w:contextualSpacing/>
        <w:jc w:val="both"/>
        <w:rPr>
          <w:rFonts w:ascii="Palatino Linotype" w:hAnsi="Palatino Linotype"/>
          <w:i/>
          <w:sz w:val="22"/>
        </w:rPr>
      </w:pPr>
      <w:r w:rsidRPr="00AC562A">
        <w:rPr>
          <w:rFonts w:ascii="Palatino Linotype" w:hAnsi="Palatino Linotype"/>
          <w:i/>
          <w:sz w:val="22"/>
        </w:rPr>
        <w:lastRenderedPageBreak/>
        <w:t xml:space="preserve">XII. Representar a la persona titular de la Secretaría y desempeñar las comisiones que este le encomiende e informarle respecto de su cumplimiento; </w:t>
      </w:r>
    </w:p>
    <w:p w:rsidR="00500A0D" w:rsidRPr="00AC562A" w:rsidRDefault="00781551" w:rsidP="00500A0D">
      <w:pPr>
        <w:spacing w:line="360" w:lineRule="auto"/>
        <w:ind w:left="851" w:right="822"/>
        <w:contextualSpacing/>
        <w:jc w:val="both"/>
        <w:rPr>
          <w:rFonts w:ascii="Palatino Linotype" w:hAnsi="Palatino Linotype"/>
          <w:b/>
          <w:i/>
          <w:sz w:val="22"/>
        </w:rPr>
      </w:pPr>
      <w:r w:rsidRPr="00AC562A">
        <w:rPr>
          <w:rFonts w:ascii="Palatino Linotype" w:hAnsi="Palatino Linotype"/>
          <w:b/>
          <w:i/>
          <w:sz w:val="22"/>
        </w:rPr>
        <w:t xml:space="preserve">XIII. Acordar con la persona titular de la Secretaría el otorgamiento de concesiones, permisos y autorizaciones para la prestación del servicio público de transporte en sus diversas modalidades o relacionadas con el y de las autorizaciones para la operación de los talleres de inspección y servicio; </w:t>
      </w:r>
    </w:p>
    <w:p w:rsidR="00500A0D" w:rsidRPr="00AC562A" w:rsidRDefault="00781551" w:rsidP="00500A0D">
      <w:pPr>
        <w:spacing w:line="360" w:lineRule="auto"/>
        <w:ind w:left="851" w:right="822"/>
        <w:contextualSpacing/>
        <w:jc w:val="both"/>
        <w:rPr>
          <w:rFonts w:ascii="Palatino Linotype" w:hAnsi="Palatino Linotype"/>
          <w:i/>
          <w:sz w:val="22"/>
        </w:rPr>
      </w:pPr>
      <w:r w:rsidRPr="00AC562A">
        <w:rPr>
          <w:rFonts w:ascii="Palatino Linotype" w:hAnsi="Palatino Linotype"/>
          <w:i/>
          <w:sz w:val="22"/>
        </w:rPr>
        <w:t xml:space="preserve">XIV. Validar y proponer a la persona titular de la Secretaría programas, proyectos, políticas y presupuestos para el desarrollo del transporte público en el Estado y vigilar su cumplimiento; </w:t>
      </w:r>
    </w:p>
    <w:p w:rsidR="00500A0D" w:rsidRPr="00AC562A" w:rsidRDefault="00781551" w:rsidP="00500A0D">
      <w:pPr>
        <w:spacing w:line="360" w:lineRule="auto"/>
        <w:ind w:left="851" w:right="822"/>
        <w:contextualSpacing/>
        <w:jc w:val="both"/>
        <w:rPr>
          <w:rFonts w:ascii="Palatino Linotype" w:hAnsi="Palatino Linotype"/>
          <w:i/>
          <w:sz w:val="22"/>
        </w:rPr>
      </w:pPr>
      <w:r w:rsidRPr="00AC562A">
        <w:rPr>
          <w:rFonts w:ascii="Palatino Linotype" w:hAnsi="Palatino Linotype"/>
          <w:i/>
          <w:sz w:val="22"/>
        </w:rPr>
        <w:t xml:space="preserve">XV. Coordinar las acciones de verificación e inspección en la prestación del servicio público de transporte de pasajeros, así como de las condiciones físicas de los equipos, instalaciones y servicios complementarios; </w:t>
      </w:r>
    </w:p>
    <w:p w:rsidR="00500A0D" w:rsidRPr="00AC562A" w:rsidRDefault="00781551" w:rsidP="00500A0D">
      <w:pPr>
        <w:spacing w:line="360" w:lineRule="auto"/>
        <w:ind w:left="851" w:right="822"/>
        <w:contextualSpacing/>
        <w:jc w:val="both"/>
        <w:rPr>
          <w:rFonts w:ascii="Palatino Linotype" w:hAnsi="Palatino Linotype"/>
          <w:i/>
          <w:sz w:val="22"/>
        </w:rPr>
      </w:pPr>
      <w:r w:rsidRPr="00AC562A">
        <w:rPr>
          <w:rFonts w:ascii="Palatino Linotype" w:hAnsi="Palatino Linotype"/>
          <w:i/>
          <w:sz w:val="22"/>
        </w:rPr>
        <w:t xml:space="preserve">XVI. Realizar el seguimiento a las acciones que en materia de transporte público se deriven de los acuerdos y convenios suscritos por el Gobierno del Estado de México con los gobiernos Federal, de la Ciudad de México, de otras entidades federativas y municipios; </w:t>
      </w:r>
    </w:p>
    <w:p w:rsidR="00500A0D" w:rsidRPr="00AC562A" w:rsidRDefault="00500A0D" w:rsidP="00500A0D">
      <w:pPr>
        <w:spacing w:line="360" w:lineRule="auto"/>
        <w:ind w:left="851" w:right="822"/>
        <w:contextualSpacing/>
        <w:jc w:val="both"/>
        <w:rPr>
          <w:rFonts w:ascii="Palatino Linotype" w:hAnsi="Palatino Linotype"/>
          <w:i/>
          <w:sz w:val="22"/>
        </w:rPr>
      </w:pPr>
      <w:r w:rsidRPr="00AC562A">
        <w:rPr>
          <w:rFonts w:ascii="Palatino Linotype" w:hAnsi="Palatino Linotype"/>
          <w:i/>
          <w:sz w:val="22"/>
        </w:rPr>
        <w:t>…”</w:t>
      </w:r>
    </w:p>
    <w:p w:rsidR="00500A0D" w:rsidRPr="00AC562A" w:rsidRDefault="00500A0D" w:rsidP="00500A0D">
      <w:pPr>
        <w:spacing w:line="360" w:lineRule="auto"/>
        <w:ind w:left="851" w:right="822"/>
        <w:contextualSpacing/>
        <w:jc w:val="both"/>
        <w:rPr>
          <w:rFonts w:ascii="Palatino Linotype" w:hAnsi="Palatino Linotype"/>
          <w:i/>
          <w:sz w:val="22"/>
        </w:rPr>
      </w:pPr>
      <w:r w:rsidRPr="00AC562A">
        <w:rPr>
          <w:rFonts w:ascii="Palatino Linotype" w:hAnsi="Palatino Linotype"/>
          <w:i/>
          <w:sz w:val="22"/>
        </w:rPr>
        <w:t>Énfasis añadido</w:t>
      </w:r>
    </w:p>
    <w:p w:rsidR="00500A0D" w:rsidRPr="00AC562A" w:rsidRDefault="00500A0D" w:rsidP="00500A0D">
      <w:pPr>
        <w:spacing w:line="360" w:lineRule="auto"/>
        <w:ind w:left="851" w:right="822"/>
        <w:contextualSpacing/>
        <w:jc w:val="both"/>
        <w:rPr>
          <w:rFonts w:ascii="Palatino Linotype" w:hAnsi="Palatino Linotype"/>
          <w:i/>
          <w:sz w:val="22"/>
        </w:rPr>
      </w:pPr>
    </w:p>
    <w:p w:rsidR="00500A0D" w:rsidRPr="00AC562A" w:rsidRDefault="00FD650B" w:rsidP="00500A0D">
      <w:pPr>
        <w:spacing w:line="360" w:lineRule="auto"/>
        <w:ind w:left="851" w:right="822"/>
        <w:contextualSpacing/>
        <w:jc w:val="center"/>
        <w:rPr>
          <w:rFonts w:ascii="Palatino Linotype" w:hAnsi="Palatino Linotype"/>
          <w:b/>
          <w:i/>
          <w:sz w:val="22"/>
        </w:rPr>
      </w:pPr>
      <w:r w:rsidRPr="00AC562A">
        <w:rPr>
          <w:rFonts w:ascii="Palatino Linotype" w:hAnsi="Palatino Linotype"/>
          <w:b/>
          <w:i/>
          <w:sz w:val="22"/>
        </w:rPr>
        <w:t>“</w:t>
      </w:r>
      <w:r w:rsidR="00500A0D" w:rsidRPr="00AC562A">
        <w:rPr>
          <w:rFonts w:ascii="Palatino Linotype" w:hAnsi="Palatino Linotype"/>
          <w:b/>
          <w:i/>
          <w:sz w:val="22"/>
        </w:rPr>
        <w:t>Sección Primera</w:t>
      </w:r>
    </w:p>
    <w:p w:rsidR="00500A0D" w:rsidRPr="00AC562A" w:rsidRDefault="00500A0D" w:rsidP="00500A0D">
      <w:pPr>
        <w:spacing w:line="360" w:lineRule="auto"/>
        <w:ind w:left="851" w:right="822"/>
        <w:contextualSpacing/>
        <w:jc w:val="center"/>
        <w:rPr>
          <w:rFonts w:ascii="Palatino Linotype" w:hAnsi="Palatino Linotype"/>
          <w:b/>
          <w:i/>
          <w:sz w:val="22"/>
        </w:rPr>
      </w:pPr>
      <w:r w:rsidRPr="00AC562A">
        <w:rPr>
          <w:rFonts w:ascii="Palatino Linotype" w:hAnsi="Palatino Linotype"/>
          <w:b/>
          <w:i/>
          <w:sz w:val="22"/>
        </w:rPr>
        <w:t>De la Subsecretaría de Movilidad</w:t>
      </w:r>
    </w:p>
    <w:p w:rsidR="00500A0D" w:rsidRPr="00AC562A" w:rsidRDefault="00500A0D" w:rsidP="00500A0D">
      <w:pPr>
        <w:spacing w:line="360" w:lineRule="auto"/>
        <w:ind w:left="851" w:right="822"/>
        <w:contextualSpacing/>
        <w:jc w:val="both"/>
        <w:rPr>
          <w:rFonts w:ascii="Palatino Linotype" w:hAnsi="Palatino Linotype"/>
          <w:i/>
          <w:sz w:val="22"/>
        </w:rPr>
      </w:pPr>
      <w:r w:rsidRPr="00AC562A">
        <w:rPr>
          <w:rFonts w:ascii="Palatino Linotype" w:hAnsi="Palatino Linotype"/>
          <w:b/>
          <w:i/>
          <w:sz w:val="22"/>
        </w:rPr>
        <w:t>Artículo 11.</w:t>
      </w:r>
      <w:r w:rsidRPr="00AC562A">
        <w:rPr>
          <w:rFonts w:ascii="Palatino Linotype" w:hAnsi="Palatino Linotype"/>
          <w:i/>
          <w:sz w:val="22"/>
        </w:rPr>
        <w:t xml:space="preserve"> A la Subsecretaría le corresponde planear, coordinar, dirigir, controlar y evaluar la operatividad del servicio de transporte público y mixto en el Estado, con apego a las leyes, reglamentos y demás ordenamientos jurídicos aplicables.</w:t>
      </w:r>
      <w:r w:rsidR="00FD650B" w:rsidRPr="00AC562A">
        <w:rPr>
          <w:rFonts w:ascii="Palatino Linotype" w:hAnsi="Palatino Linotype"/>
          <w:i/>
          <w:sz w:val="22"/>
        </w:rPr>
        <w:t>”</w:t>
      </w:r>
    </w:p>
    <w:p w:rsidR="00500A0D" w:rsidRPr="00AC562A" w:rsidRDefault="00500A0D" w:rsidP="00500A0D">
      <w:pPr>
        <w:spacing w:line="360" w:lineRule="auto"/>
        <w:ind w:left="851" w:right="822"/>
        <w:contextualSpacing/>
        <w:jc w:val="both"/>
        <w:rPr>
          <w:rFonts w:ascii="Palatino Linotype" w:hAnsi="Palatino Linotype"/>
          <w:i/>
          <w:sz w:val="20"/>
        </w:rPr>
      </w:pPr>
    </w:p>
    <w:p w:rsidR="00500A0D" w:rsidRPr="00AC562A" w:rsidRDefault="00FD650B" w:rsidP="00500A0D">
      <w:pPr>
        <w:spacing w:line="360" w:lineRule="auto"/>
        <w:ind w:left="851" w:right="822"/>
        <w:contextualSpacing/>
        <w:jc w:val="center"/>
        <w:rPr>
          <w:rFonts w:ascii="Palatino Linotype" w:hAnsi="Palatino Linotype"/>
          <w:b/>
          <w:i/>
          <w:sz w:val="22"/>
        </w:rPr>
      </w:pPr>
      <w:r w:rsidRPr="00AC562A">
        <w:rPr>
          <w:rFonts w:ascii="Palatino Linotype" w:hAnsi="Palatino Linotype"/>
          <w:b/>
          <w:i/>
          <w:sz w:val="22"/>
        </w:rPr>
        <w:t>“</w:t>
      </w:r>
      <w:r w:rsidR="00500A0D" w:rsidRPr="00AC562A">
        <w:rPr>
          <w:rFonts w:ascii="Palatino Linotype" w:hAnsi="Palatino Linotype"/>
          <w:b/>
          <w:i/>
          <w:sz w:val="22"/>
        </w:rPr>
        <w:t>Sección Quinta</w:t>
      </w:r>
    </w:p>
    <w:p w:rsidR="00500A0D" w:rsidRPr="00AC562A" w:rsidRDefault="00500A0D" w:rsidP="00500A0D">
      <w:pPr>
        <w:spacing w:line="360" w:lineRule="auto"/>
        <w:ind w:left="851" w:right="822"/>
        <w:contextualSpacing/>
        <w:jc w:val="center"/>
        <w:rPr>
          <w:rFonts w:ascii="Palatino Linotype" w:hAnsi="Palatino Linotype"/>
          <w:b/>
          <w:i/>
          <w:sz w:val="22"/>
        </w:rPr>
      </w:pPr>
      <w:r w:rsidRPr="00AC562A">
        <w:rPr>
          <w:rFonts w:ascii="Palatino Linotype" w:hAnsi="Palatino Linotype"/>
          <w:b/>
          <w:i/>
          <w:sz w:val="22"/>
        </w:rPr>
        <w:lastRenderedPageBreak/>
        <w:t>De la Dirección General del Registro Estatal de Transporte Público</w:t>
      </w:r>
    </w:p>
    <w:p w:rsidR="00500A0D" w:rsidRPr="00AC562A" w:rsidRDefault="00500A0D" w:rsidP="00500A0D">
      <w:pPr>
        <w:spacing w:line="360" w:lineRule="auto"/>
        <w:ind w:left="851" w:right="822"/>
        <w:contextualSpacing/>
        <w:jc w:val="both"/>
        <w:rPr>
          <w:rFonts w:ascii="Palatino Linotype" w:hAnsi="Palatino Linotype"/>
          <w:i/>
          <w:sz w:val="22"/>
        </w:rPr>
      </w:pPr>
      <w:r w:rsidRPr="00AC562A">
        <w:rPr>
          <w:rFonts w:ascii="Palatino Linotype" w:hAnsi="Palatino Linotype"/>
          <w:i/>
          <w:sz w:val="22"/>
        </w:rPr>
        <w:t xml:space="preserve">Artículo 25. Corresponden a la Dirección General del Registro Estatal de Transporte Público las atribuciones siguientes: </w:t>
      </w:r>
    </w:p>
    <w:p w:rsidR="00500A0D" w:rsidRPr="00AC562A" w:rsidRDefault="00500A0D" w:rsidP="00500A0D">
      <w:pPr>
        <w:spacing w:line="360" w:lineRule="auto"/>
        <w:ind w:left="851" w:right="822"/>
        <w:contextualSpacing/>
        <w:jc w:val="both"/>
        <w:rPr>
          <w:rFonts w:ascii="Palatino Linotype" w:hAnsi="Palatino Linotype"/>
          <w:i/>
          <w:sz w:val="22"/>
        </w:rPr>
      </w:pPr>
      <w:r w:rsidRPr="00AC562A">
        <w:rPr>
          <w:rFonts w:ascii="Palatino Linotype" w:hAnsi="Palatino Linotype"/>
          <w:i/>
          <w:sz w:val="22"/>
        </w:rPr>
        <w:t xml:space="preserve">I. Dirigir y coordinar los trámites de licencias y permisos en sus diferentes clases y tipos, para conducir vehículos de servicio público y particular; </w:t>
      </w:r>
    </w:p>
    <w:p w:rsidR="00500A0D" w:rsidRPr="00AC562A" w:rsidRDefault="00500A0D" w:rsidP="00500A0D">
      <w:pPr>
        <w:spacing w:line="360" w:lineRule="auto"/>
        <w:ind w:left="851" w:right="822"/>
        <w:contextualSpacing/>
        <w:jc w:val="both"/>
        <w:rPr>
          <w:rFonts w:ascii="Palatino Linotype" w:hAnsi="Palatino Linotype"/>
          <w:b/>
          <w:i/>
          <w:sz w:val="22"/>
        </w:rPr>
      </w:pPr>
      <w:r w:rsidRPr="00AC562A">
        <w:rPr>
          <w:rFonts w:ascii="Palatino Linotype" w:hAnsi="Palatino Linotype"/>
          <w:b/>
          <w:i/>
          <w:sz w:val="22"/>
        </w:rPr>
        <w:t xml:space="preserve">II. Contribuir con las demás unidades administrativas competentes de la Secretaría, en el otorgamiento, revocación, rescate, terminación, modificación y registro de las concesiones, permisos y autorizaciones para la prestación del servicio público de transporte de pasajeros y de carga; </w:t>
      </w:r>
    </w:p>
    <w:p w:rsidR="00500A0D" w:rsidRPr="00AC562A" w:rsidRDefault="00500A0D" w:rsidP="00500A0D">
      <w:pPr>
        <w:spacing w:line="360" w:lineRule="auto"/>
        <w:ind w:left="851" w:right="822"/>
        <w:contextualSpacing/>
        <w:jc w:val="both"/>
        <w:rPr>
          <w:rFonts w:ascii="Palatino Linotype" w:hAnsi="Palatino Linotype"/>
          <w:i/>
          <w:sz w:val="22"/>
        </w:rPr>
      </w:pPr>
      <w:r w:rsidRPr="00AC562A">
        <w:rPr>
          <w:rFonts w:ascii="Palatino Linotype" w:hAnsi="Palatino Linotype"/>
          <w:i/>
          <w:sz w:val="22"/>
        </w:rPr>
        <w:t xml:space="preserve">III. Diseñar, aprobar y expedir los formatos y documentación relativa al control vehicular del transporte público, placas de matriculación, tarjetas de circulación, permisos, licencias de servicio público en sus modalidades, licencias de servicio particular y permisos; </w:t>
      </w:r>
    </w:p>
    <w:p w:rsidR="00500A0D" w:rsidRPr="00AC562A" w:rsidRDefault="00500A0D" w:rsidP="00500A0D">
      <w:pPr>
        <w:spacing w:line="360" w:lineRule="auto"/>
        <w:ind w:left="851" w:right="822"/>
        <w:contextualSpacing/>
        <w:jc w:val="both"/>
        <w:rPr>
          <w:rFonts w:ascii="Palatino Linotype" w:hAnsi="Palatino Linotype"/>
          <w:i/>
          <w:sz w:val="22"/>
        </w:rPr>
      </w:pPr>
      <w:r w:rsidRPr="00AC562A">
        <w:rPr>
          <w:rFonts w:ascii="Palatino Linotype" w:hAnsi="Palatino Linotype"/>
          <w:i/>
          <w:sz w:val="22"/>
        </w:rPr>
        <w:t xml:space="preserve">IV. Diseñar, aprobar y expedir las placas de matriculación, calcomanías, tarjetas de circulación y demás elementos de identificación de los vehículos automotores destinados a prestar un servicio a la población por parte de organismos y dependencias federales, estatales o municipales; </w:t>
      </w:r>
    </w:p>
    <w:p w:rsidR="00500A0D" w:rsidRPr="00AC562A" w:rsidRDefault="00500A0D" w:rsidP="00500A0D">
      <w:pPr>
        <w:spacing w:line="360" w:lineRule="auto"/>
        <w:ind w:left="851" w:right="822"/>
        <w:contextualSpacing/>
        <w:jc w:val="both"/>
        <w:rPr>
          <w:rFonts w:ascii="Palatino Linotype" w:hAnsi="Palatino Linotype"/>
          <w:i/>
          <w:sz w:val="22"/>
        </w:rPr>
      </w:pPr>
      <w:r w:rsidRPr="00AC562A">
        <w:rPr>
          <w:rFonts w:ascii="Palatino Linotype" w:hAnsi="Palatino Linotype"/>
          <w:i/>
          <w:sz w:val="22"/>
        </w:rPr>
        <w:t xml:space="preserve">V. Suministrar oportunamente las formas valoradas, placas de matriculación, tarjetas de circulación, licencias, permisos y demás documentación oficial referente al servicio público de transporte; </w:t>
      </w:r>
    </w:p>
    <w:p w:rsidR="00500A0D" w:rsidRPr="00AC562A" w:rsidRDefault="00500A0D" w:rsidP="00500A0D">
      <w:pPr>
        <w:spacing w:line="360" w:lineRule="auto"/>
        <w:ind w:left="851" w:right="822"/>
        <w:contextualSpacing/>
        <w:jc w:val="both"/>
        <w:rPr>
          <w:rFonts w:ascii="Palatino Linotype" w:hAnsi="Palatino Linotype"/>
          <w:i/>
          <w:sz w:val="22"/>
        </w:rPr>
      </w:pPr>
      <w:r w:rsidRPr="00AC562A">
        <w:rPr>
          <w:rFonts w:ascii="Palatino Linotype" w:hAnsi="Palatino Linotype"/>
          <w:i/>
          <w:sz w:val="22"/>
        </w:rPr>
        <w:t xml:space="preserve">VI. Normar y dictaminar los trámites de control vehicular del servicio público de transporte y los relacionados con vehículos automotores destinados a prestar un servicio a la población por parte de organismos y dependencias federales, estatales y municipales; </w:t>
      </w:r>
    </w:p>
    <w:p w:rsidR="00500A0D" w:rsidRPr="00AC562A" w:rsidRDefault="00500A0D" w:rsidP="00500A0D">
      <w:pPr>
        <w:spacing w:line="360" w:lineRule="auto"/>
        <w:ind w:left="851" w:right="822"/>
        <w:contextualSpacing/>
        <w:jc w:val="both"/>
        <w:rPr>
          <w:rFonts w:ascii="Palatino Linotype" w:hAnsi="Palatino Linotype"/>
          <w:i/>
          <w:sz w:val="22"/>
        </w:rPr>
      </w:pPr>
      <w:r w:rsidRPr="00AC562A">
        <w:rPr>
          <w:rFonts w:ascii="Palatino Linotype" w:hAnsi="Palatino Linotype"/>
          <w:i/>
          <w:sz w:val="22"/>
        </w:rPr>
        <w:t xml:space="preserve">VII. Llevar el control de la contratación, cobertura y vigencia del seguro de responsabilidad a favor de las personas usuarias o terceras; </w:t>
      </w:r>
    </w:p>
    <w:p w:rsidR="00500A0D" w:rsidRPr="00AC562A" w:rsidRDefault="00500A0D" w:rsidP="00500A0D">
      <w:pPr>
        <w:spacing w:line="360" w:lineRule="auto"/>
        <w:ind w:left="851" w:right="822"/>
        <w:contextualSpacing/>
        <w:jc w:val="both"/>
        <w:rPr>
          <w:rFonts w:ascii="Palatino Linotype" w:hAnsi="Palatino Linotype"/>
          <w:i/>
          <w:sz w:val="22"/>
        </w:rPr>
      </w:pPr>
      <w:r w:rsidRPr="00AC562A">
        <w:rPr>
          <w:rFonts w:ascii="Palatino Linotype" w:hAnsi="Palatino Linotype"/>
          <w:i/>
          <w:sz w:val="22"/>
        </w:rPr>
        <w:lastRenderedPageBreak/>
        <w:t xml:space="preserve">VIII. Tramitar ante la Dirección General de Asuntos Jurídicos e Igualdad de Género, los procedimientos administrativos de reclamo de las personas usuarias del servicio que sufran daño por siniestros, cuando no reciban la debida atención por parte de los concesionarios o permisionarios para el pago de las indemnizaciones correspondientes; </w:t>
      </w:r>
    </w:p>
    <w:p w:rsidR="00500A0D" w:rsidRPr="00AC562A" w:rsidRDefault="00500A0D" w:rsidP="00500A0D">
      <w:pPr>
        <w:spacing w:line="360" w:lineRule="auto"/>
        <w:ind w:left="851" w:right="822"/>
        <w:contextualSpacing/>
        <w:jc w:val="both"/>
        <w:rPr>
          <w:rFonts w:ascii="Palatino Linotype" w:hAnsi="Palatino Linotype"/>
          <w:i/>
          <w:sz w:val="22"/>
        </w:rPr>
      </w:pPr>
      <w:r w:rsidRPr="00AC562A">
        <w:rPr>
          <w:rFonts w:ascii="Palatino Linotype" w:hAnsi="Palatino Linotype"/>
          <w:i/>
          <w:sz w:val="22"/>
        </w:rPr>
        <w:t xml:space="preserve">IX. Emitir los lineamientos que deberán cumplir las Direcciones Generales de Movilidad respecto al cambio de elementos de la concesión, permiso o autorización; </w:t>
      </w:r>
    </w:p>
    <w:p w:rsidR="00500A0D" w:rsidRPr="00AC562A" w:rsidRDefault="00500A0D" w:rsidP="00500A0D">
      <w:pPr>
        <w:spacing w:line="360" w:lineRule="auto"/>
        <w:ind w:left="851" w:right="822"/>
        <w:contextualSpacing/>
        <w:jc w:val="both"/>
        <w:rPr>
          <w:rFonts w:ascii="Palatino Linotype" w:hAnsi="Palatino Linotype"/>
          <w:b/>
          <w:i/>
          <w:sz w:val="22"/>
        </w:rPr>
      </w:pPr>
      <w:r w:rsidRPr="00AC562A">
        <w:rPr>
          <w:rFonts w:ascii="Palatino Linotype" w:hAnsi="Palatino Linotype"/>
          <w:b/>
          <w:i/>
          <w:sz w:val="22"/>
        </w:rPr>
        <w:t>X. Recibir, tramitar y resolver los procedimientos administrativos que se deriven de actos relacionados con concesiones, permisos o autorizaciones, cuando de estos surjan conflictos relativos a las funciones y atribuciones de la Dirección del Registro de Transporte Público;</w:t>
      </w:r>
    </w:p>
    <w:p w:rsidR="00500A0D" w:rsidRPr="00AC562A" w:rsidRDefault="00500A0D" w:rsidP="00500A0D">
      <w:pPr>
        <w:spacing w:line="360" w:lineRule="auto"/>
        <w:ind w:left="851" w:right="822"/>
        <w:contextualSpacing/>
        <w:jc w:val="both"/>
        <w:rPr>
          <w:rFonts w:ascii="Palatino Linotype" w:hAnsi="Palatino Linotype"/>
          <w:i/>
          <w:sz w:val="22"/>
        </w:rPr>
      </w:pPr>
      <w:r w:rsidRPr="00AC562A">
        <w:rPr>
          <w:rFonts w:ascii="Palatino Linotype" w:hAnsi="Palatino Linotype"/>
          <w:i/>
          <w:sz w:val="22"/>
        </w:rPr>
        <w:t xml:space="preserve">XI. Coordinar sus funciones con las direcciones generales, en materia de concesiones y permisos de servicio público de transporte, a fin de otorgar el emplacamiento correspondiente; </w:t>
      </w:r>
    </w:p>
    <w:p w:rsidR="00500A0D" w:rsidRPr="00AC562A" w:rsidRDefault="00500A0D" w:rsidP="00500A0D">
      <w:pPr>
        <w:spacing w:line="360" w:lineRule="auto"/>
        <w:ind w:left="851" w:right="822"/>
        <w:contextualSpacing/>
        <w:jc w:val="both"/>
        <w:rPr>
          <w:rFonts w:ascii="Palatino Linotype" w:hAnsi="Palatino Linotype"/>
          <w:i/>
          <w:sz w:val="22"/>
        </w:rPr>
      </w:pPr>
      <w:r w:rsidRPr="00AC562A">
        <w:rPr>
          <w:rFonts w:ascii="Palatino Linotype" w:hAnsi="Palatino Linotype"/>
          <w:i/>
          <w:sz w:val="22"/>
        </w:rPr>
        <w:t xml:space="preserve">XII. Realizar, verificar y controlar el almacenamiento, surtimiento y consumo del inventario de bienes en sus almacenes, con las comprobaciones físicas establecidas en la normatividad vigente; </w:t>
      </w:r>
    </w:p>
    <w:p w:rsidR="00500A0D" w:rsidRPr="00AC562A" w:rsidRDefault="00500A0D" w:rsidP="00500A0D">
      <w:pPr>
        <w:spacing w:line="360" w:lineRule="auto"/>
        <w:ind w:left="851" w:right="822"/>
        <w:contextualSpacing/>
        <w:jc w:val="both"/>
        <w:rPr>
          <w:rFonts w:ascii="Palatino Linotype" w:hAnsi="Palatino Linotype"/>
          <w:b/>
          <w:i/>
          <w:sz w:val="22"/>
        </w:rPr>
      </w:pPr>
      <w:r w:rsidRPr="00AC562A">
        <w:rPr>
          <w:rFonts w:ascii="Palatino Linotype" w:hAnsi="Palatino Linotype"/>
          <w:b/>
          <w:i/>
          <w:sz w:val="22"/>
        </w:rPr>
        <w:t xml:space="preserve">XIII. Dirigir y coordinar las funciones del Registro Estatal de Transporte Público; </w:t>
      </w:r>
    </w:p>
    <w:p w:rsidR="00FD650B" w:rsidRPr="00AC562A" w:rsidRDefault="00FD650B" w:rsidP="00500A0D">
      <w:pPr>
        <w:spacing w:line="360" w:lineRule="auto"/>
        <w:ind w:left="851" w:right="822"/>
        <w:contextualSpacing/>
        <w:jc w:val="both"/>
        <w:rPr>
          <w:rFonts w:ascii="Palatino Linotype" w:hAnsi="Palatino Linotype"/>
          <w:b/>
          <w:i/>
          <w:sz w:val="22"/>
        </w:rPr>
      </w:pPr>
      <w:r w:rsidRPr="00AC562A">
        <w:rPr>
          <w:rFonts w:ascii="Palatino Linotype" w:hAnsi="Palatino Linotype"/>
          <w:b/>
          <w:i/>
          <w:sz w:val="22"/>
        </w:rPr>
        <w:t>…”</w:t>
      </w:r>
    </w:p>
    <w:p w:rsidR="00500A0D" w:rsidRPr="00AC562A" w:rsidRDefault="00500A0D" w:rsidP="00500A0D">
      <w:pPr>
        <w:spacing w:line="360" w:lineRule="auto"/>
        <w:ind w:left="851" w:right="822"/>
        <w:contextualSpacing/>
        <w:jc w:val="both"/>
        <w:rPr>
          <w:rFonts w:ascii="Palatino Linotype" w:hAnsi="Palatino Linotype"/>
          <w:i/>
          <w:sz w:val="18"/>
        </w:rPr>
      </w:pPr>
    </w:p>
    <w:p w:rsidR="006E1583" w:rsidRPr="00AC562A" w:rsidRDefault="00211B73" w:rsidP="004D2304">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C562A">
        <w:rPr>
          <w:rFonts w:ascii="Palatino Linotype" w:eastAsiaTheme="minorEastAsia" w:hAnsi="Palatino Linotype"/>
          <w:lang w:val="es-ES_tradnl" w:eastAsia="es-ES"/>
        </w:rPr>
        <w:t xml:space="preserve">Derivado de los </w:t>
      </w:r>
      <w:r w:rsidR="00FD650B" w:rsidRPr="00AC562A">
        <w:rPr>
          <w:rFonts w:ascii="Palatino Linotype" w:eastAsiaTheme="minorEastAsia" w:hAnsi="Palatino Linotype"/>
          <w:lang w:val="es-ES_tradnl" w:eastAsia="es-ES"/>
        </w:rPr>
        <w:t>preceptos</w:t>
      </w:r>
      <w:r w:rsidRPr="00AC562A">
        <w:rPr>
          <w:rFonts w:ascii="Palatino Linotype" w:eastAsiaTheme="minorEastAsia" w:hAnsi="Palatino Linotype"/>
          <w:lang w:val="es-ES_tradnl" w:eastAsia="es-ES"/>
        </w:rPr>
        <w:t xml:space="preserve"> legales señalados, podemos advertir que las Unidades Administrativas que de acuerdo a sus atribuciones pueden contar con la información solicitada son la Subsecretaría de Movilidad y la Dirección General del Registro Estatal de Transporte P</w:t>
      </w:r>
      <w:r w:rsidR="00FD650B" w:rsidRPr="00AC562A">
        <w:rPr>
          <w:rFonts w:ascii="Palatino Linotype" w:eastAsiaTheme="minorEastAsia" w:hAnsi="Palatino Linotype"/>
          <w:lang w:val="es-ES_tradnl" w:eastAsia="es-ES"/>
        </w:rPr>
        <w:t>úblico; en ese contexto, debemos recordar que el Sujeto Obligado manifestó en respuesta lo siguiente:</w:t>
      </w:r>
    </w:p>
    <w:p w:rsidR="00FD650B" w:rsidRPr="00AC562A" w:rsidRDefault="00FD650B" w:rsidP="00FD650B">
      <w:pPr>
        <w:spacing w:line="360" w:lineRule="auto"/>
        <w:ind w:right="49"/>
        <w:contextualSpacing/>
        <w:jc w:val="both"/>
        <w:rPr>
          <w:rFonts w:ascii="Palatino Linotype" w:eastAsiaTheme="minorEastAsia" w:hAnsi="Palatino Linotype"/>
          <w:lang w:val="es-ES_tradnl" w:eastAsia="es-ES"/>
        </w:rPr>
      </w:pPr>
    </w:p>
    <w:p w:rsidR="00FD650B" w:rsidRPr="00AC562A" w:rsidRDefault="00FD650B" w:rsidP="00FD650B">
      <w:pPr>
        <w:spacing w:line="360" w:lineRule="auto"/>
        <w:ind w:right="49"/>
        <w:contextualSpacing/>
        <w:jc w:val="center"/>
        <w:rPr>
          <w:rFonts w:ascii="Palatino Linotype" w:eastAsiaTheme="minorEastAsia" w:hAnsi="Palatino Linotype"/>
          <w:lang w:val="es-ES_tradnl" w:eastAsia="es-ES"/>
        </w:rPr>
      </w:pPr>
      <w:r w:rsidRPr="00AC562A">
        <w:rPr>
          <w:noProof/>
        </w:rPr>
        <w:lastRenderedPageBreak/>
        <w:drawing>
          <wp:inline distT="0" distB="0" distL="0" distR="0" wp14:anchorId="230AEC82" wp14:editId="30792B8D">
            <wp:extent cx="4616400" cy="54673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678" t="14448" r="32331" b="9771"/>
                    <a:stretch/>
                  </pic:blipFill>
                  <pic:spPr bwMode="auto">
                    <a:xfrm>
                      <a:off x="0" y="0"/>
                      <a:ext cx="4634349" cy="5488608"/>
                    </a:xfrm>
                    <a:prstGeom prst="rect">
                      <a:avLst/>
                    </a:prstGeom>
                    <a:ln>
                      <a:noFill/>
                    </a:ln>
                    <a:extLst>
                      <a:ext uri="{53640926-AAD7-44D8-BBD7-CCE9431645EC}">
                        <a14:shadowObscured xmlns:a14="http://schemas.microsoft.com/office/drawing/2010/main"/>
                      </a:ext>
                    </a:extLst>
                  </pic:spPr>
                </pic:pic>
              </a:graphicData>
            </a:graphic>
          </wp:inline>
        </w:drawing>
      </w:r>
    </w:p>
    <w:p w:rsidR="00FD650B" w:rsidRPr="00AC562A" w:rsidRDefault="00FD650B" w:rsidP="00FD650B">
      <w:pPr>
        <w:spacing w:line="360" w:lineRule="auto"/>
        <w:ind w:right="49"/>
        <w:contextualSpacing/>
        <w:jc w:val="center"/>
        <w:rPr>
          <w:rFonts w:ascii="Palatino Linotype" w:eastAsiaTheme="minorEastAsia" w:hAnsi="Palatino Linotype"/>
          <w:lang w:val="es-ES_tradnl" w:eastAsia="es-ES"/>
        </w:rPr>
      </w:pPr>
      <w:r w:rsidRPr="00AC562A">
        <w:rPr>
          <w:noProof/>
        </w:rPr>
        <w:lastRenderedPageBreak/>
        <w:drawing>
          <wp:inline distT="0" distB="0" distL="0" distR="0" wp14:anchorId="424B3DE0" wp14:editId="000306F2">
            <wp:extent cx="5304277" cy="60864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511" t="16512" r="32498" b="10064"/>
                    <a:stretch/>
                  </pic:blipFill>
                  <pic:spPr bwMode="auto">
                    <a:xfrm>
                      <a:off x="0" y="0"/>
                      <a:ext cx="5315656" cy="6099532"/>
                    </a:xfrm>
                    <a:prstGeom prst="rect">
                      <a:avLst/>
                    </a:prstGeom>
                    <a:ln>
                      <a:noFill/>
                    </a:ln>
                    <a:extLst>
                      <a:ext uri="{53640926-AAD7-44D8-BBD7-CCE9431645EC}">
                        <a14:shadowObscured xmlns:a14="http://schemas.microsoft.com/office/drawing/2010/main"/>
                      </a:ext>
                    </a:extLst>
                  </pic:spPr>
                </pic:pic>
              </a:graphicData>
            </a:graphic>
          </wp:inline>
        </w:drawing>
      </w:r>
    </w:p>
    <w:p w:rsidR="00FD650B" w:rsidRPr="00AC562A" w:rsidRDefault="00FD650B" w:rsidP="00FD650B">
      <w:pPr>
        <w:spacing w:line="360" w:lineRule="auto"/>
        <w:ind w:right="49"/>
        <w:contextualSpacing/>
        <w:jc w:val="center"/>
        <w:rPr>
          <w:rFonts w:ascii="Palatino Linotype" w:eastAsiaTheme="minorEastAsia" w:hAnsi="Palatino Linotype"/>
          <w:lang w:val="es-ES_tradnl" w:eastAsia="es-ES"/>
        </w:rPr>
      </w:pPr>
    </w:p>
    <w:p w:rsidR="00FD650B" w:rsidRPr="00AC562A" w:rsidRDefault="00FD650B" w:rsidP="00FD650B">
      <w:pPr>
        <w:spacing w:line="360" w:lineRule="auto"/>
        <w:ind w:right="49"/>
        <w:contextualSpacing/>
        <w:jc w:val="center"/>
        <w:rPr>
          <w:rFonts w:ascii="Palatino Linotype" w:eastAsiaTheme="minorEastAsia" w:hAnsi="Palatino Linotype"/>
          <w:lang w:val="es-ES_tradnl" w:eastAsia="es-ES"/>
        </w:rPr>
      </w:pPr>
      <w:r w:rsidRPr="00AC562A">
        <w:rPr>
          <w:noProof/>
        </w:rPr>
        <w:lastRenderedPageBreak/>
        <w:drawing>
          <wp:inline distT="0" distB="0" distL="0" distR="0" wp14:anchorId="431AC728" wp14:editId="1D19E179">
            <wp:extent cx="4519050" cy="45815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511" t="24179" r="32498" b="10949"/>
                    <a:stretch/>
                  </pic:blipFill>
                  <pic:spPr bwMode="auto">
                    <a:xfrm>
                      <a:off x="0" y="0"/>
                      <a:ext cx="4531374" cy="4594019"/>
                    </a:xfrm>
                    <a:prstGeom prst="rect">
                      <a:avLst/>
                    </a:prstGeom>
                    <a:ln>
                      <a:noFill/>
                    </a:ln>
                    <a:extLst>
                      <a:ext uri="{53640926-AAD7-44D8-BBD7-CCE9431645EC}">
                        <a14:shadowObscured xmlns:a14="http://schemas.microsoft.com/office/drawing/2010/main"/>
                      </a:ext>
                    </a:extLst>
                  </pic:spPr>
                </pic:pic>
              </a:graphicData>
            </a:graphic>
          </wp:inline>
        </w:drawing>
      </w:r>
    </w:p>
    <w:p w:rsidR="00FD650B" w:rsidRPr="00AC562A" w:rsidRDefault="00FD650B" w:rsidP="00FD650B">
      <w:pPr>
        <w:spacing w:line="360" w:lineRule="auto"/>
        <w:ind w:right="49"/>
        <w:contextualSpacing/>
        <w:jc w:val="center"/>
        <w:rPr>
          <w:rFonts w:ascii="Palatino Linotype" w:eastAsiaTheme="minorEastAsia" w:hAnsi="Palatino Linotype"/>
          <w:lang w:val="es-ES_tradnl" w:eastAsia="es-ES"/>
        </w:rPr>
      </w:pPr>
    </w:p>
    <w:p w:rsidR="00C96E98" w:rsidRPr="00AC562A" w:rsidRDefault="00FD650B" w:rsidP="00072B2D">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C562A">
        <w:rPr>
          <w:rFonts w:ascii="Palatino Linotype" w:eastAsiaTheme="minorEastAsia" w:hAnsi="Palatino Linotype"/>
          <w:lang w:val="es-ES_tradnl" w:eastAsia="es-ES"/>
        </w:rPr>
        <w:t>Subsecuentemente, el Sujeto Obligado confirmo su respuesta a tr</w:t>
      </w:r>
      <w:r w:rsidR="00C96E98" w:rsidRPr="00AC562A">
        <w:rPr>
          <w:rFonts w:ascii="Palatino Linotype" w:eastAsiaTheme="minorEastAsia" w:hAnsi="Palatino Linotype"/>
          <w:lang w:val="es-ES_tradnl" w:eastAsia="es-ES"/>
        </w:rPr>
        <w:t>avés de informe justificado, sin embargo, se puede advertir que realizó una búsqueda del nombre de la empresa como “Servicio de Grúas Sultepec SA de CV Y GENESIS, es decir, que realizó la búsqueda de la empresa tal y como la señaló el particular en su solicitud:</w:t>
      </w:r>
    </w:p>
    <w:p w:rsidR="00C96E98" w:rsidRPr="00AC562A" w:rsidRDefault="00C96E98" w:rsidP="00C96E98">
      <w:pPr>
        <w:spacing w:line="360" w:lineRule="auto"/>
        <w:ind w:right="49"/>
        <w:contextualSpacing/>
        <w:jc w:val="both"/>
        <w:rPr>
          <w:rFonts w:ascii="Palatino Linotype" w:eastAsiaTheme="minorEastAsia" w:hAnsi="Palatino Linotype"/>
          <w:lang w:val="es-ES_tradnl" w:eastAsia="es-ES"/>
        </w:rPr>
      </w:pPr>
    </w:p>
    <w:p w:rsidR="00C96E98" w:rsidRPr="00AC562A" w:rsidRDefault="00C96E98" w:rsidP="00C96E98">
      <w:pPr>
        <w:spacing w:line="360" w:lineRule="auto"/>
        <w:ind w:right="49"/>
        <w:contextualSpacing/>
        <w:jc w:val="center"/>
        <w:rPr>
          <w:rFonts w:ascii="Palatino Linotype" w:eastAsiaTheme="minorEastAsia" w:hAnsi="Palatino Linotype"/>
          <w:lang w:val="es-ES_tradnl" w:eastAsia="es-ES"/>
        </w:rPr>
      </w:pPr>
      <w:r w:rsidRPr="00AC562A">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547573</wp:posOffset>
                </wp:positionH>
                <wp:positionV relativeFrom="paragraph">
                  <wp:posOffset>1794915</wp:posOffset>
                </wp:positionV>
                <wp:extent cx="2266545" cy="233463"/>
                <wp:effectExtent l="19050" t="19050" r="19685" b="14605"/>
                <wp:wrapNone/>
                <wp:docPr id="5" name="Rectángulo redondeado 5"/>
                <wp:cNvGraphicFramePr/>
                <a:graphic xmlns:a="http://schemas.openxmlformats.org/drawingml/2006/main">
                  <a:graphicData uri="http://schemas.microsoft.com/office/word/2010/wordprocessingShape">
                    <wps:wsp>
                      <wps:cNvSpPr/>
                      <wps:spPr>
                        <a:xfrm>
                          <a:off x="0" y="0"/>
                          <a:ext cx="2266545" cy="233463"/>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D65C09" id="Rectángulo redondeado 5" o:spid="_x0000_s1026" style="position:absolute;margin-left:43.1pt;margin-top:141.35pt;width:178.45pt;height:18.4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" filled="f" strokecolor="red" strokeweight="3pt">
                <v:stroke joinstyle="miter"/>
              </v:roundrect>
            </w:pict>
          </mc:Fallback>
        </mc:AlternateContent>
      </w:r>
      <w:r w:rsidRPr="00AC562A">
        <w:rPr>
          <w:noProof/>
        </w:rPr>
        <w:drawing>
          <wp:inline distT="0" distB="0" distL="0" distR="0" wp14:anchorId="4C84F6E9" wp14:editId="197A6EEB">
            <wp:extent cx="5257543" cy="2451370"/>
            <wp:effectExtent l="0" t="0" r="635"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020" t="13853" r="22757" b="40370"/>
                    <a:stretch/>
                  </pic:blipFill>
                  <pic:spPr bwMode="auto">
                    <a:xfrm>
                      <a:off x="0" y="0"/>
                      <a:ext cx="5280402" cy="2462028"/>
                    </a:xfrm>
                    <a:prstGeom prst="rect">
                      <a:avLst/>
                    </a:prstGeom>
                    <a:ln>
                      <a:noFill/>
                    </a:ln>
                    <a:extLst>
                      <a:ext uri="{53640926-AAD7-44D8-BBD7-CCE9431645EC}">
                        <a14:shadowObscured xmlns:a14="http://schemas.microsoft.com/office/drawing/2010/main"/>
                      </a:ext>
                    </a:extLst>
                  </pic:spPr>
                </pic:pic>
              </a:graphicData>
            </a:graphic>
          </wp:inline>
        </w:drawing>
      </w:r>
    </w:p>
    <w:p w:rsidR="00C96E98" w:rsidRPr="00AC562A" w:rsidRDefault="00C96E98" w:rsidP="00C96E98">
      <w:pPr>
        <w:spacing w:line="360" w:lineRule="auto"/>
        <w:ind w:right="49"/>
        <w:contextualSpacing/>
        <w:jc w:val="center"/>
        <w:rPr>
          <w:rFonts w:ascii="Palatino Linotype" w:eastAsiaTheme="minorEastAsia" w:hAnsi="Palatino Linotype"/>
          <w:lang w:val="es-ES_tradnl" w:eastAsia="es-ES"/>
        </w:rPr>
      </w:pPr>
    </w:p>
    <w:p w:rsidR="00C96E98" w:rsidRPr="00AC562A" w:rsidRDefault="003E3F38" w:rsidP="00072B2D">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C562A">
        <w:rPr>
          <w:rFonts w:ascii="Palatino Linotype" w:eastAsiaTheme="minorEastAsia" w:hAnsi="Palatino Linotype"/>
          <w:lang w:val="es-ES_tradnl" w:eastAsia="es-ES"/>
        </w:rPr>
        <w:t xml:space="preserve">En ese contexto, </w:t>
      </w:r>
      <w:r w:rsidR="00A250F1" w:rsidRPr="00AC562A">
        <w:rPr>
          <w:rFonts w:ascii="Palatino Linotype" w:eastAsiaTheme="minorEastAsia" w:hAnsi="Palatino Linotype"/>
          <w:lang w:val="es-ES_tradnl" w:eastAsia="es-ES"/>
        </w:rPr>
        <w:t>como ya se refirió en párrafos anteriores, el particular no es un experto, por lo que este órgano Garante se dio a la tarea de realizar una búsqueda de las empresas de grúas de forma individual y se encontró con la siguiente información:</w:t>
      </w:r>
    </w:p>
    <w:p w:rsidR="00A250F1" w:rsidRPr="00AC562A" w:rsidRDefault="00A250F1" w:rsidP="00A250F1">
      <w:pPr>
        <w:spacing w:line="360" w:lineRule="auto"/>
        <w:ind w:right="49"/>
        <w:contextualSpacing/>
        <w:jc w:val="both"/>
        <w:rPr>
          <w:rFonts w:ascii="Palatino Linotype" w:eastAsiaTheme="minorEastAsia" w:hAnsi="Palatino Linotype"/>
          <w:lang w:val="es-ES_tradnl" w:eastAsia="es-ES"/>
        </w:rPr>
      </w:pPr>
    </w:p>
    <w:p w:rsidR="00A250F1" w:rsidRPr="00AC562A" w:rsidRDefault="006A6836" w:rsidP="00A250F1">
      <w:pPr>
        <w:spacing w:line="360" w:lineRule="auto"/>
        <w:ind w:right="49"/>
        <w:contextualSpacing/>
        <w:jc w:val="center"/>
        <w:rPr>
          <w:rFonts w:ascii="Palatino Linotype" w:eastAsiaTheme="minorEastAsia" w:hAnsi="Palatino Linotype"/>
          <w:lang w:val="es-ES_tradnl" w:eastAsia="es-ES"/>
        </w:rPr>
      </w:pPr>
      <w:r w:rsidRPr="00AC562A">
        <w:rPr>
          <w:noProof/>
        </w:rPr>
        <mc:AlternateContent>
          <mc:Choice Requires="wps">
            <w:drawing>
              <wp:anchor distT="0" distB="0" distL="114300" distR="114300" simplePos="0" relativeHeight="251660288" behindDoc="0" locked="0" layoutInCell="1" allowOverlap="1">
                <wp:simplePos x="0" y="0"/>
                <wp:positionH relativeFrom="column">
                  <wp:posOffset>1219253</wp:posOffset>
                </wp:positionH>
                <wp:positionV relativeFrom="paragraph">
                  <wp:posOffset>2095405</wp:posOffset>
                </wp:positionV>
                <wp:extent cx="3171217" cy="914400"/>
                <wp:effectExtent l="19050" t="19050" r="10160" b="19050"/>
                <wp:wrapNone/>
                <wp:docPr id="7" name="Rectángulo redondeado 7"/>
                <wp:cNvGraphicFramePr/>
                <a:graphic xmlns:a="http://schemas.openxmlformats.org/drawingml/2006/main">
                  <a:graphicData uri="http://schemas.microsoft.com/office/word/2010/wordprocessingShape">
                    <wps:wsp>
                      <wps:cNvSpPr/>
                      <wps:spPr>
                        <a:xfrm>
                          <a:off x="0" y="0"/>
                          <a:ext cx="3171217" cy="9144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5C2201F" id="Rectángulo redondeado 7" o:spid="_x0000_s1026" style="position:absolute;margin-left:96pt;margin-top:165pt;width:249.7pt;height:1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" filled="f" strokecolor="red" strokeweight="3pt">
                <v:stroke joinstyle="miter"/>
              </v:roundrect>
            </w:pict>
          </mc:Fallback>
        </mc:AlternateContent>
      </w:r>
      <w:r w:rsidR="00A250F1" w:rsidRPr="00AC562A">
        <w:rPr>
          <w:noProof/>
        </w:rPr>
        <w:drawing>
          <wp:inline distT="0" distB="0" distL="0" distR="0" wp14:anchorId="089078DC" wp14:editId="2B546B99">
            <wp:extent cx="3842426" cy="3044149"/>
            <wp:effectExtent l="0" t="0" r="571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955" t="10541" r="51042" b="24184"/>
                    <a:stretch/>
                  </pic:blipFill>
                  <pic:spPr bwMode="auto">
                    <a:xfrm>
                      <a:off x="0" y="0"/>
                      <a:ext cx="3862938" cy="3060399"/>
                    </a:xfrm>
                    <a:prstGeom prst="rect">
                      <a:avLst/>
                    </a:prstGeom>
                    <a:ln>
                      <a:noFill/>
                    </a:ln>
                    <a:extLst>
                      <a:ext uri="{53640926-AAD7-44D8-BBD7-CCE9431645EC}">
                        <a14:shadowObscured xmlns:a14="http://schemas.microsoft.com/office/drawing/2010/main"/>
                      </a:ext>
                    </a:extLst>
                  </pic:spPr>
                </pic:pic>
              </a:graphicData>
            </a:graphic>
          </wp:inline>
        </w:drawing>
      </w:r>
    </w:p>
    <w:p w:rsidR="006A6836" w:rsidRPr="00AC562A" w:rsidRDefault="006A6836" w:rsidP="00A250F1">
      <w:pPr>
        <w:spacing w:line="360" w:lineRule="auto"/>
        <w:ind w:right="49"/>
        <w:contextualSpacing/>
        <w:jc w:val="center"/>
        <w:rPr>
          <w:rFonts w:ascii="Palatino Linotype" w:eastAsiaTheme="minorEastAsia" w:hAnsi="Palatino Linotype"/>
          <w:lang w:val="es-ES_tradnl" w:eastAsia="es-ES"/>
        </w:rPr>
      </w:pPr>
    </w:p>
    <w:p w:rsidR="00C96E98" w:rsidRPr="00AC562A" w:rsidRDefault="006A6836" w:rsidP="006A6836">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C562A">
        <w:rPr>
          <w:rFonts w:ascii="Palatino Linotype" w:eastAsiaTheme="minorEastAsia" w:hAnsi="Palatino Linotype"/>
          <w:lang w:val="es-ES_tradnl" w:eastAsia="es-ES"/>
        </w:rPr>
        <w:lastRenderedPageBreak/>
        <w:t xml:space="preserve">Aunado a ello, se advierte en el link </w:t>
      </w:r>
      <w:hyperlink r:id="rId15" w:history="1">
        <w:r w:rsidRPr="00AC562A">
          <w:rPr>
            <w:rStyle w:val="Hipervnculo"/>
            <w:rFonts w:ascii="Palatino Linotype" w:eastAsiaTheme="minorEastAsia" w:hAnsi="Palatino Linotype"/>
            <w:lang w:val="es-ES_tradnl" w:eastAsia="es-ES"/>
          </w:rPr>
          <w:t>https://smovilidad.edomex.gob.mx/sites/smovilidad.edomex.gob.mx/files/files/pdf/Edicto%2029.pdf</w:t>
        </w:r>
      </w:hyperlink>
      <w:r w:rsidRPr="00AC562A">
        <w:rPr>
          <w:rFonts w:ascii="Palatino Linotype" w:eastAsiaTheme="minorEastAsia" w:hAnsi="Palatino Linotype"/>
          <w:lang w:val="es-ES_tradnl" w:eastAsia="es-ES"/>
        </w:rPr>
        <w:t xml:space="preserve"> de la página del Sujeto Obligado la siguiente información:</w:t>
      </w:r>
    </w:p>
    <w:p w:rsidR="006A6836" w:rsidRPr="00AC562A" w:rsidRDefault="006A6836" w:rsidP="006A6836">
      <w:pPr>
        <w:spacing w:line="360" w:lineRule="auto"/>
        <w:ind w:left="360" w:right="49"/>
        <w:contextualSpacing/>
        <w:jc w:val="both"/>
        <w:rPr>
          <w:rFonts w:ascii="Palatino Linotype" w:eastAsiaTheme="minorEastAsia" w:hAnsi="Palatino Linotype"/>
          <w:lang w:val="es-ES_tradnl" w:eastAsia="es-ES"/>
        </w:rPr>
      </w:pPr>
    </w:p>
    <w:p w:rsidR="006A6836" w:rsidRPr="00AC562A" w:rsidRDefault="00840983" w:rsidP="006A6836">
      <w:pPr>
        <w:spacing w:line="360" w:lineRule="auto"/>
        <w:ind w:left="360" w:right="49"/>
        <w:contextualSpacing/>
        <w:jc w:val="both"/>
        <w:rPr>
          <w:rFonts w:ascii="Palatino Linotype" w:eastAsiaTheme="minorEastAsia" w:hAnsi="Palatino Linotype"/>
          <w:lang w:val="es-ES_tradnl" w:eastAsia="es-ES"/>
        </w:rPr>
      </w:pPr>
      <w:r w:rsidRPr="00AC562A">
        <w:rPr>
          <w:rFonts w:ascii="Palatino Linotype" w:eastAsiaTheme="minorEastAsia" w:hAnsi="Palatino Linotype"/>
          <w:noProof/>
        </w:rPr>
        <mc:AlternateContent>
          <mc:Choice Requires="wps">
            <w:drawing>
              <wp:anchor distT="0" distB="0" distL="114300" distR="114300" simplePos="0" relativeHeight="251661312" behindDoc="0" locked="0" layoutInCell="1" allowOverlap="1">
                <wp:simplePos x="0" y="0"/>
                <wp:positionH relativeFrom="column">
                  <wp:posOffset>1170616</wp:posOffset>
                </wp:positionH>
                <wp:positionV relativeFrom="paragraph">
                  <wp:posOffset>240273</wp:posOffset>
                </wp:positionV>
                <wp:extent cx="1643380" cy="1779689"/>
                <wp:effectExtent l="19050" t="19050" r="13970" b="11430"/>
                <wp:wrapNone/>
                <wp:docPr id="9" name="Rectángulo redondeado 9"/>
                <wp:cNvGraphicFramePr/>
                <a:graphic xmlns:a="http://schemas.openxmlformats.org/drawingml/2006/main">
                  <a:graphicData uri="http://schemas.microsoft.com/office/word/2010/wordprocessingShape">
                    <wps:wsp>
                      <wps:cNvSpPr/>
                      <wps:spPr>
                        <a:xfrm>
                          <a:off x="0" y="0"/>
                          <a:ext cx="1643380" cy="1779689"/>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128D08" id="Rectángulo redondeado 9" o:spid="_x0000_s1026" style="position:absolute;margin-left:92.15pt;margin-top:18.9pt;width:129.4pt;height:140.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" filled="f" strokecolor="red" strokeweight="3pt">
                <v:stroke joinstyle="miter"/>
              </v:roundrect>
            </w:pict>
          </mc:Fallback>
        </mc:AlternateContent>
      </w:r>
      <w:r w:rsidR="006A6836" w:rsidRPr="00AC562A">
        <w:rPr>
          <w:noProof/>
        </w:rPr>
        <w:drawing>
          <wp:inline distT="0" distB="0" distL="0" distR="0" wp14:anchorId="5D0E7F54" wp14:editId="08E1EF92">
            <wp:extent cx="5389123" cy="2090284"/>
            <wp:effectExtent l="0" t="0" r="254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0695" t="51797" r="9172" b="22304"/>
                    <a:stretch/>
                  </pic:blipFill>
                  <pic:spPr bwMode="auto">
                    <a:xfrm>
                      <a:off x="0" y="0"/>
                      <a:ext cx="5433060" cy="2107326"/>
                    </a:xfrm>
                    <a:prstGeom prst="rect">
                      <a:avLst/>
                    </a:prstGeom>
                    <a:ln>
                      <a:noFill/>
                    </a:ln>
                    <a:extLst>
                      <a:ext uri="{53640926-AAD7-44D8-BBD7-CCE9431645EC}">
                        <a14:shadowObscured xmlns:a14="http://schemas.microsoft.com/office/drawing/2010/main"/>
                      </a:ext>
                    </a:extLst>
                  </pic:spPr>
                </pic:pic>
              </a:graphicData>
            </a:graphic>
          </wp:inline>
        </w:drawing>
      </w:r>
    </w:p>
    <w:p w:rsidR="00840983" w:rsidRPr="00AC562A" w:rsidRDefault="00840983" w:rsidP="006A6836">
      <w:pPr>
        <w:spacing w:line="360" w:lineRule="auto"/>
        <w:ind w:left="360" w:right="49"/>
        <w:contextualSpacing/>
        <w:jc w:val="both"/>
        <w:rPr>
          <w:rFonts w:ascii="Palatino Linotype" w:eastAsiaTheme="minorEastAsia" w:hAnsi="Palatino Linotype"/>
          <w:lang w:val="es-ES_tradnl" w:eastAsia="es-ES"/>
        </w:rPr>
      </w:pPr>
      <w:r w:rsidRPr="00AC562A">
        <w:rPr>
          <w:rFonts w:ascii="Palatino Linotype" w:eastAsiaTheme="minorEastAsia" w:hAnsi="Palatino Linotype"/>
          <w:noProof/>
        </w:rPr>
        <mc:AlternateContent>
          <mc:Choice Requires="wps">
            <w:drawing>
              <wp:anchor distT="0" distB="0" distL="114300" distR="114300" simplePos="0" relativeHeight="251663360" behindDoc="0" locked="0" layoutInCell="1" allowOverlap="1" wp14:anchorId="24BFD713" wp14:editId="6EAAC832">
                <wp:simplePos x="0" y="0"/>
                <wp:positionH relativeFrom="column">
                  <wp:posOffset>1180343</wp:posOffset>
                </wp:positionH>
                <wp:positionV relativeFrom="paragraph">
                  <wp:posOffset>245867</wp:posOffset>
                </wp:positionV>
                <wp:extent cx="1643380" cy="1702340"/>
                <wp:effectExtent l="19050" t="19050" r="13970" b="12700"/>
                <wp:wrapNone/>
                <wp:docPr id="12" name="Rectángulo redondeado 12"/>
                <wp:cNvGraphicFramePr/>
                <a:graphic xmlns:a="http://schemas.openxmlformats.org/drawingml/2006/main">
                  <a:graphicData uri="http://schemas.microsoft.com/office/word/2010/wordprocessingShape">
                    <wps:wsp>
                      <wps:cNvSpPr/>
                      <wps:spPr>
                        <a:xfrm>
                          <a:off x="0" y="0"/>
                          <a:ext cx="1643380" cy="1702340"/>
                        </a:xfrm>
                        <a:prstGeom prst="round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7D507C" id="Rectángulo redondeado 12" o:spid="_x0000_s1026" style="position:absolute;margin-left:92.95pt;margin-top:19.35pt;width:129.4pt;height:134.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" filled="f" strokecolor="red" strokeweight="3pt">
                <v:stroke joinstyle="miter"/>
              </v:roundrect>
            </w:pict>
          </mc:Fallback>
        </mc:AlternateContent>
      </w:r>
    </w:p>
    <w:p w:rsidR="00840983" w:rsidRPr="00AC562A" w:rsidRDefault="00840983" w:rsidP="006A6836">
      <w:pPr>
        <w:spacing w:line="360" w:lineRule="auto"/>
        <w:ind w:left="360" w:right="49"/>
        <w:contextualSpacing/>
        <w:jc w:val="both"/>
        <w:rPr>
          <w:rFonts w:ascii="Palatino Linotype" w:eastAsiaTheme="minorEastAsia" w:hAnsi="Palatino Linotype"/>
          <w:lang w:val="es-ES_tradnl" w:eastAsia="es-ES"/>
        </w:rPr>
      </w:pPr>
      <w:r w:rsidRPr="00AC562A">
        <w:rPr>
          <w:noProof/>
        </w:rPr>
        <w:drawing>
          <wp:inline distT="0" distB="0" distL="0" distR="0" wp14:anchorId="70B30D16" wp14:editId="3432C8B7">
            <wp:extent cx="5337132" cy="1575880"/>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1839" t="28307" r="9379" b="46085"/>
                    <a:stretch/>
                  </pic:blipFill>
                  <pic:spPr bwMode="auto">
                    <a:xfrm>
                      <a:off x="0" y="0"/>
                      <a:ext cx="5386220" cy="1590374"/>
                    </a:xfrm>
                    <a:prstGeom prst="rect">
                      <a:avLst/>
                    </a:prstGeom>
                    <a:ln>
                      <a:noFill/>
                    </a:ln>
                    <a:extLst>
                      <a:ext uri="{53640926-AAD7-44D8-BBD7-CCE9431645EC}">
                        <a14:shadowObscured xmlns:a14="http://schemas.microsoft.com/office/drawing/2010/main"/>
                      </a:ext>
                    </a:extLst>
                  </pic:spPr>
                </pic:pic>
              </a:graphicData>
            </a:graphic>
          </wp:inline>
        </w:drawing>
      </w:r>
    </w:p>
    <w:p w:rsidR="00840983" w:rsidRPr="00AC562A" w:rsidRDefault="00840983" w:rsidP="006A6836">
      <w:pPr>
        <w:spacing w:line="360" w:lineRule="auto"/>
        <w:ind w:left="360" w:right="49"/>
        <w:contextualSpacing/>
        <w:jc w:val="both"/>
        <w:rPr>
          <w:rFonts w:ascii="Palatino Linotype" w:eastAsiaTheme="minorEastAsia" w:hAnsi="Palatino Linotype"/>
          <w:lang w:val="es-ES_tradnl" w:eastAsia="es-ES"/>
        </w:rPr>
      </w:pPr>
    </w:p>
    <w:p w:rsidR="003E5D5A" w:rsidRPr="00AC562A" w:rsidRDefault="003E5D5A" w:rsidP="003E5D5A">
      <w:pPr>
        <w:spacing w:line="360" w:lineRule="auto"/>
        <w:ind w:left="851" w:right="822"/>
        <w:contextualSpacing/>
        <w:jc w:val="both"/>
        <w:rPr>
          <w:rFonts w:ascii="Palatino Linotype" w:eastAsiaTheme="minorEastAsia" w:hAnsi="Palatino Linotype"/>
          <w:i/>
          <w:sz w:val="22"/>
          <w:lang w:val="es-ES_tradnl" w:eastAsia="es-ES"/>
        </w:rPr>
      </w:pPr>
    </w:p>
    <w:p w:rsidR="00C96E98" w:rsidRPr="00AC562A" w:rsidRDefault="00840983" w:rsidP="00072B2D">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C562A">
        <w:rPr>
          <w:rFonts w:ascii="Palatino Linotype" w:eastAsiaTheme="minorEastAsia" w:hAnsi="Palatino Linotype"/>
          <w:lang w:val="es-ES_tradnl" w:eastAsia="es-ES"/>
        </w:rPr>
        <w:t xml:space="preserve">Como se puede observar en las imágenes insertadas, se aprecia la existencia de las empresas de grúas “Servicio de Grúas Sultepec S.A de C.V.” y “Prospectiva Trascendental y Génesis del Desarrollo, S.A de C.V.”, es decir, que son dos empresas de grúas de grúas diferentes. </w:t>
      </w:r>
    </w:p>
    <w:p w:rsidR="00840983" w:rsidRPr="00AC562A" w:rsidRDefault="00840983" w:rsidP="00840983">
      <w:pPr>
        <w:spacing w:line="360" w:lineRule="auto"/>
        <w:ind w:right="49"/>
        <w:contextualSpacing/>
        <w:jc w:val="both"/>
        <w:rPr>
          <w:rFonts w:ascii="Palatino Linotype" w:eastAsiaTheme="minorEastAsia" w:hAnsi="Palatino Linotype"/>
          <w:lang w:val="es-ES_tradnl" w:eastAsia="es-ES"/>
        </w:rPr>
      </w:pPr>
    </w:p>
    <w:p w:rsidR="00840983" w:rsidRPr="00AC562A" w:rsidRDefault="00840983" w:rsidP="00072B2D">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C562A">
        <w:rPr>
          <w:rFonts w:ascii="Palatino Linotype" w:eastAsiaTheme="minorEastAsia" w:hAnsi="Palatino Linotype"/>
          <w:lang w:val="es-ES_tradnl" w:eastAsia="es-ES"/>
        </w:rPr>
        <w:lastRenderedPageBreak/>
        <w:t>En ese contexto, el Sujeto Obligado debe realizar una búsqueda exhaustiva y razonable de la información, con base al artículo 162 de la Ley de Transparencia y Acceso a la Información Pública del Estado de México y Municipios que establece:</w:t>
      </w:r>
    </w:p>
    <w:p w:rsidR="00840983" w:rsidRPr="00AC562A" w:rsidRDefault="00840983" w:rsidP="00840983">
      <w:pPr>
        <w:spacing w:line="360" w:lineRule="auto"/>
        <w:ind w:right="49"/>
        <w:contextualSpacing/>
        <w:jc w:val="both"/>
        <w:rPr>
          <w:rFonts w:ascii="Palatino Linotype" w:eastAsiaTheme="minorEastAsia" w:hAnsi="Palatino Linotype"/>
          <w:lang w:val="es-ES_tradnl" w:eastAsia="es-ES"/>
        </w:rPr>
      </w:pPr>
    </w:p>
    <w:p w:rsidR="00840983" w:rsidRPr="00AC562A" w:rsidRDefault="00840983" w:rsidP="00840983">
      <w:pPr>
        <w:spacing w:line="360" w:lineRule="auto"/>
        <w:ind w:left="851" w:right="822"/>
        <w:contextualSpacing/>
        <w:jc w:val="both"/>
        <w:rPr>
          <w:i/>
        </w:rPr>
      </w:pPr>
      <w:r w:rsidRPr="00AC562A">
        <w:rPr>
          <w:i/>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840983" w:rsidRPr="00AC562A" w:rsidRDefault="00840983" w:rsidP="00840983">
      <w:pPr>
        <w:spacing w:line="360" w:lineRule="auto"/>
        <w:ind w:right="49"/>
        <w:contextualSpacing/>
        <w:jc w:val="both"/>
        <w:rPr>
          <w:rFonts w:ascii="Palatino Linotype" w:eastAsiaTheme="minorEastAsia" w:hAnsi="Palatino Linotype"/>
          <w:lang w:val="es-ES_tradnl" w:eastAsia="es-ES"/>
        </w:rPr>
      </w:pPr>
    </w:p>
    <w:p w:rsidR="0090050D" w:rsidRPr="00AC562A" w:rsidRDefault="0090050D" w:rsidP="0090050D">
      <w:pPr>
        <w:numPr>
          <w:ilvl w:val="0"/>
          <w:numId w:val="1"/>
        </w:numPr>
        <w:spacing w:line="360" w:lineRule="auto"/>
        <w:ind w:left="0" w:right="49" w:firstLine="0"/>
        <w:jc w:val="both"/>
        <w:rPr>
          <w:rFonts w:ascii="Palatino Linotype" w:eastAsia="MS Gothic" w:hAnsi="Palatino Linotype" w:cstheme="majorBidi"/>
          <w:iCs/>
          <w:lang w:eastAsia="es-ES"/>
        </w:rPr>
      </w:pPr>
      <w:r w:rsidRPr="00AC562A">
        <w:rPr>
          <w:rFonts w:ascii="Palatino Linotype" w:hAnsi="Palatino Linotype"/>
        </w:rPr>
        <w:t xml:space="preserve">Ahora bien, de acuerdo a la Ley de Transparencia vigente en la entidad, se entiende que la información pública es toda aquella que sea generada, obtenida, adquirida, transformada, administrada o en posesión de los </w:t>
      </w:r>
      <w:r w:rsidRPr="00AC562A">
        <w:rPr>
          <w:rFonts w:ascii="Palatino Linotype" w:hAnsi="Palatino Linotype"/>
          <w:b/>
        </w:rPr>
        <w:t>SUJETOS OBLIGADOS</w:t>
      </w:r>
      <w:r w:rsidRPr="00AC562A">
        <w:rPr>
          <w:rFonts w:ascii="Palatino Linotype" w:hAnsi="Palatino Linotype"/>
        </w:rPr>
        <w:t>, misma que debe ser accesible de manera permanente a cualquier persona, siempre privilegiando el principio de máxima publicidad, como se prevé su artículo 4, segundo párrafo:</w:t>
      </w:r>
    </w:p>
    <w:p w:rsidR="0090050D" w:rsidRPr="00AC562A" w:rsidRDefault="0090050D" w:rsidP="0090050D">
      <w:pPr>
        <w:spacing w:line="360" w:lineRule="auto"/>
        <w:jc w:val="both"/>
        <w:rPr>
          <w:rFonts w:ascii="Palatino Linotype" w:hAnsi="Palatino Linotype" w:cs="Arial"/>
          <w:lang w:val="es-ES" w:eastAsia="es-ES"/>
        </w:rPr>
      </w:pPr>
    </w:p>
    <w:p w:rsidR="0090050D" w:rsidRPr="00AC562A" w:rsidRDefault="0090050D" w:rsidP="0090050D">
      <w:pPr>
        <w:spacing w:after="160" w:line="360" w:lineRule="auto"/>
        <w:ind w:left="851" w:right="822"/>
        <w:jc w:val="both"/>
        <w:rPr>
          <w:rFonts w:ascii="Palatino Linotype" w:hAnsi="Palatino Linotype"/>
          <w:i/>
          <w:lang w:val="es-ES" w:eastAsia="en-US"/>
        </w:rPr>
      </w:pPr>
      <w:r w:rsidRPr="00AC562A">
        <w:rPr>
          <w:rFonts w:ascii="Palatino Linotype" w:hAnsi="Palatino Linotype"/>
          <w:i/>
          <w:lang w:val="es-ES" w:eastAsia="en-US"/>
        </w:rPr>
        <w:t>“</w:t>
      </w:r>
      <w:r w:rsidRPr="00AC562A">
        <w:rPr>
          <w:rFonts w:ascii="Palatino Linotype" w:hAnsi="Palatino Linotype"/>
          <w:b/>
          <w:i/>
          <w:lang w:val="es-ES" w:eastAsia="en-US"/>
        </w:rPr>
        <w:t>Artículo 4.</w:t>
      </w:r>
      <w:r w:rsidRPr="00AC562A">
        <w:rPr>
          <w:rFonts w:ascii="Palatino Linotype" w:hAnsi="Palatino Linotype"/>
          <w:i/>
          <w:lang w:val="es-ES" w:eastAsia="en-US"/>
        </w:rPr>
        <w:t xml:space="preserve"> </w:t>
      </w:r>
    </w:p>
    <w:p w:rsidR="0090050D" w:rsidRPr="00AC562A" w:rsidRDefault="0090050D" w:rsidP="0090050D">
      <w:pPr>
        <w:spacing w:after="160" w:line="360" w:lineRule="auto"/>
        <w:ind w:left="851" w:right="822"/>
        <w:jc w:val="both"/>
        <w:rPr>
          <w:rFonts w:ascii="Palatino Linotype" w:hAnsi="Palatino Linotype"/>
          <w:i/>
          <w:lang w:val="es-ES" w:eastAsia="en-US"/>
        </w:rPr>
      </w:pPr>
      <w:r w:rsidRPr="00AC562A">
        <w:rPr>
          <w:rFonts w:ascii="Palatino Linotype" w:hAnsi="Palatino Linotype"/>
          <w:i/>
          <w:lang w:val="es-ES" w:eastAsia="en-US"/>
        </w:rPr>
        <w:t>(…)</w:t>
      </w:r>
    </w:p>
    <w:p w:rsidR="0090050D" w:rsidRPr="00AC562A" w:rsidRDefault="0090050D" w:rsidP="0090050D">
      <w:pPr>
        <w:spacing w:after="160" w:line="360" w:lineRule="auto"/>
        <w:ind w:left="851" w:right="822"/>
        <w:jc w:val="both"/>
        <w:rPr>
          <w:rFonts w:ascii="Palatino Linotype" w:hAnsi="Palatino Linotype"/>
          <w:i/>
          <w:lang w:val="es-ES" w:eastAsia="en-US"/>
        </w:rPr>
      </w:pPr>
      <w:r w:rsidRPr="00AC562A">
        <w:rPr>
          <w:rFonts w:ascii="Palatino Linotype" w:hAnsi="Palatino Linotype"/>
          <w:b/>
          <w:i/>
          <w:lang w:val="es-ES" w:eastAsia="en-US"/>
        </w:rPr>
        <w:t>Toda la información generada, obtenida, adquirida, transformada, administrada o en posesión de los sujetos obligados es pública y accesible de manera permanente a cualquier persona,</w:t>
      </w:r>
      <w:r w:rsidRPr="00AC562A">
        <w:rPr>
          <w:rFonts w:ascii="Palatino Linotype" w:hAnsi="Palatino Linotype"/>
          <w:i/>
          <w:lang w:val="es-ES" w:eastAsia="en-US"/>
        </w:rPr>
        <w:t xml:space="preserve"> en los términos y condiciones que se establezcan en los tratados internacionales de los que el Estado mexicano sea parte, en la Ley General, la presente Ley y demás disposiciones de la materia, privilegiando el </w:t>
      </w:r>
      <w:r w:rsidRPr="00AC562A">
        <w:rPr>
          <w:rFonts w:ascii="Palatino Linotype" w:hAnsi="Palatino Linotype"/>
          <w:b/>
          <w:i/>
          <w:lang w:val="es-ES" w:eastAsia="en-US"/>
        </w:rPr>
        <w:t xml:space="preserve">principio de máxima </w:t>
      </w:r>
      <w:r w:rsidRPr="00AC562A">
        <w:rPr>
          <w:rFonts w:ascii="Palatino Linotype" w:hAnsi="Palatino Linotype"/>
          <w:b/>
          <w:i/>
          <w:lang w:val="es-ES" w:eastAsia="en-US"/>
        </w:rPr>
        <w:lastRenderedPageBreak/>
        <w:t>publicidad</w:t>
      </w:r>
      <w:r w:rsidRPr="00AC562A">
        <w:rPr>
          <w:rFonts w:ascii="Palatino Linotype" w:hAnsi="Palatino Linotype"/>
          <w:i/>
          <w:lang w:val="es-ES" w:eastAsia="en-US"/>
        </w:rPr>
        <w:t xml:space="preserve"> de la información. Solo podrá ser clasificada excepcionalmente como reservada temporalmente por razones de interés público, en los términos de las causas legítimas y estrictamente necesarias previstas por esta Ley.”</w:t>
      </w:r>
    </w:p>
    <w:p w:rsidR="0090050D" w:rsidRPr="00AC562A" w:rsidRDefault="0090050D" w:rsidP="0090050D">
      <w:pPr>
        <w:spacing w:after="160" w:line="360" w:lineRule="auto"/>
        <w:ind w:left="851" w:right="822"/>
        <w:jc w:val="both"/>
        <w:rPr>
          <w:rFonts w:ascii="Palatino Linotype" w:hAnsi="Palatino Linotype"/>
          <w:i/>
          <w:lang w:val="es-ES" w:eastAsia="en-US"/>
        </w:rPr>
      </w:pPr>
      <w:r w:rsidRPr="00AC562A">
        <w:rPr>
          <w:rFonts w:ascii="Palatino Linotype" w:hAnsi="Palatino Linotype"/>
          <w:i/>
          <w:lang w:val="es-ES" w:eastAsia="en-US"/>
        </w:rPr>
        <w:t>(…)</w:t>
      </w:r>
    </w:p>
    <w:p w:rsidR="0090050D" w:rsidRPr="00AC562A" w:rsidRDefault="0090050D" w:rsidP="0090050D">
      <w:pPr>
        <w:spacing w:after="160" w:line="360" w:lineRule="auto"/>
        <w:ind w:left="851" w:right="822"/>
        <w:jc w:val="both"/>
        <w:rPr>
          <w:rFonts w:ascii="Palatino Linotype" w:hAnsi="Palatino Linotype"/>
          <w:i/>
          <w:lang w:val="es-ES" w:eastAsia="en-US"/>
        </w:rPr>
      </w:pPr>
      <w:r w:rsidRPr="00AC562A">
        <w:rPr>
          <w:rFonts w:ascii="Palatino Linotype" w:hAnsi="Palatino Linotype"/>
          <w:i/>
          <w:lang w:val="es-ES" w:eastAsia="en-US"/>
        </w:rPr>
        <w:t>(Énfasis añadido)</w:t>
      </w:r>
    </w:p>
    <w:p w:rsidR="0090050D" w:rsidRPr="00AC562A" w:rsidRDefault="0090050D" w:rsidP="0090050D">
      <w:pPr>
        <w:spacing w:line="360" w:lineRule="auto"/>
        <w:jc w:val="both"/>
        <w:rPr>
          <w:rFonts w:ascii="Palatino Linotype" w:hAnsi="Palatino Linotype" w:cs="Arial"/>
          <w:lang w:val="es-ES" w:eastAsia="es-ES"/>
        </w:rPr>
      </w:pPr>
    </w:p>
    <w:p w:rsidR="0090050D" w:rsidRPr="00AC562A" w:rsidRDefault="0090050D" w:rsidP="0090050D">
      <w:pPr>
        <w:numPr>
          <w:ilvl w:val="0"/>
          <w:numId w:val="1"/>
        </w:numPr>
        <w:spacing w:after="160" w:line="360" w:lineRule="auto"/>
        <w:ind w:left="0" w:firstLine="0"/>
        <w:jc w:val="both"/>
        <w:rPr>
          <w:rFonts w:ascii="Palatino Linotype" w:hAnsi="Palatino Linotype" w:cs="Arial"/>
          <w:lang w:val="es-ES" w:eastAsia="es-ES"/>
        </w:rPr>
      </w:pPr>
      <w:r w:rsidRPr="00AC562A">
        <w:rPr>
          <w:rFonts w:ascii="Palatino Linotype" w:eastAsia="Calibri" w:hAnsi="Palatino Linotype" w:cs="Arial"/>
          <w:lang w:eastAsia="en-US"/>
        </w:rPr>
        <w:t xml:space="preserve">En ese sentido, no debe de pasar de vista para el </w:t>
      </w:r>
      <w:r w:rsidRPr="00AC562A">
        <w:rPr>
          <w:rFonts w:ascii="Palatino Linotype" w:eastAsia="Calibri" w:hAnsi="Palatino Linotype" w:cs="Arial"/>
          <w:b/>
          <w:lang w:eastAsia="en-US"/>
        </w:rPr>
        <w:t>SUJETO OBLIGADO</w:t>
      </w:r>
      <w:r w:rsidRPr="00AC562A">
        <w:rPr>
          <w:rFonts w:ascii="Palatino Linotype" w:eastAsia="Calibri" w:hAnsi="Palatino Linotype" w:cs="Arial"/>
          <w:lang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rsidR="0090050D" w:rsidRPr="00AC562A" w:rsidRDefault="0090050D" w:rsidP="0090050D">
      <w:pPr>
        <w:spacing w:line="360" w:lineRule="auto"/>
        <w:jc w:val="both"/>
        <w:rPr>
          <w:rFonts w:ascii="Palatino Linotype" w:hAnsi="Palatino Linotype" w:cs="Arial"/>
          <w:lang w:val="es-ES" w:eastAsia="es-ES"/>
        </w:rPr>
      </w:pPr>
    </w:p>
    <w:p w:rsidR="0090050D" w:rsidRPr="00AC562A" w:rsidRDefault="0090050D" w:rsidP="0090050D">
      <w:pPr>
        <w:spacing w:after="160" w:line="360" w:lineRule="auto"/>
        <w:ind w:left="567" w:right="567"/>
        <w:jc w:val="both"/>
        <w:rPr>
          <w:rFonts w:ascii="Palatino Linotype" w:eastAsia="Calibri" w:hAnsi="Palatino Linotype"/>
          <w:i/>
          <w:lang w:eastAsia="en-US"/>
        </w:rPr>
      </w:pPr>
      <w:r w:rsidRPr="00AC562A">
        <w:rPr>
          <w:rFonts w:ascii="Palatino Linotype" w:eastAsia="Calibri" w:hAnsi="Palatino Linotype"/>
          <w:i/>
          <w:lang w:eastAsia="en-US"/>
        </w:rPr>
        <w:t>“</w:t>
      </w:r>
      <w:r w:rsidRPr="00AC562A">
        <w:rPr>
          <w:rFonts w:ascii="Palatino Linotype" w:eastAsia="Calibri" w:hAnsi="Palatino Linotype"/>
          <w:b/>
          <w:i/>
          <w:lang w:eastAsia="en-US"/>
        </w:rPr>
        <w:t>Artículo 8.</w:t>
      </w:r>
      <w:r w:rsidRPr="00AC562A">
        <w:rPr>
          <w:rFonts w:ascii="Palatino Linotype" w:eastAsia="Calibri" w:hAnsi="Palatino Linotype"/>
          <w:i/>
          <w:lang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rsidR="0090050D" w:rsidRPr="00AC562A" w:rsidRDefault="0090050D" w:rsidP="0090050D">
      <w:pPr>
        <w:spacing w:after="160" w:line="360" w:lineRule="auto"/>
        <w:ind w:left="567" w:right="567"/>
        <w:jc w:val="both"/>
        <w:rPr>
          <w:rFonts w:ascii="Palatino Linotype" w:eastAsia="Calibri" w:hAnsi="Palatino Linotype"/>
          <w:i/>
          <w:lang w:eastAsia="en-US"/>
        </w:rPr>
      </w:pPr>
      <w:r w:rsidRPr="00AC562A">
        <w:rPr>
          <w:rFonts w:ascii="Palatino Linotype" w:eastAsia="Calibri" w:hAnsi="Palatino Linotype"/>
          <w:b/>
          <w:i/>
          <w:lang w:eastAsia="en-US"/>
        </w:rPr>
        <w:t>En la aplicación e interpretación de la presente Ley deberá prevalecer el principio de máxima publicidad,</w:t>
      </w:r>
      <w:r w:rsidRPr="00AC562A">
        <w:rPr>
          <w:rFonts w:ascii="Palatino Linotype" w:eastAsia="Calibri" w:hAnsi="Palatino Linotype"/>
          <w:i/>
          <w:lang w:eastAsia="en-US"/>
        </w:rPr>
        <w:t xml:space="preserve"> conforme a lo dispuesto en la Constitución Federal, en los tratados internacionales de los que el Estado mexicano sea parte, la Ley General, la Constitución Local, así como en las resoluciones y sentencias </w:t>
      </w:r>
      <w:r w:rsidRPr="00AC562A">
        <w:rPr>
          <w:rFonts w:ascii="Palatino Linotype" w:eastAsia="Calibri" w:hAnsi="Palatino Linotype"/>
          <w:i/>
          <w:lang w:eastAsia="en-US"/>
        </w:rPr>
        <w:lastRenderedPageBreak/>
        <w:t>vinculantes que emitan los órganos nacionales e internacionales especializados, favoreciendo en todo tiempo a las personas la protección más amplia, atendiendo al principio pro persona.</w:t>
      </w:r>
    </w:p>
    <w:p w:rsidR="0090050D" w:rsidRPr="00AC562A" w:rsidRDefault="0090050D" w:rsidP="0090050D">
      <w:pPr>
        <w:spacing w:after="160" w:line="360" w:lineRule="auto"/>
        <w:ind w:left="567" w:right="567"/>
        <w:jc w:val="both"/>
        <w:rPr>
          <w:rFonts w:ascii="Palatino Linotype" w:eastAsia="Calibri" w:hAnsi="Palatino Linotype"/>
          <w:i/>
          <w:lang w:eastAsia="en-US"/>
        </w:rPr>
      </w:pPr>
      <w:r w:rsidRPr="00AC562A">
        <w:rPr>
          <w:rFonts w:ascii="Palatino Linotype" w:eastAsia="Calibri" w:hAnsi="Palatino Linotype"/>
          <w:i/>
          <w:lang w:eastAsia="en-US"/>
        </w:rPr>
        <w:t>Para el caso de la interpretación se podrá tomar en cuenta los criterios, determinaciones y opiniones de los organismos nacionales e internacionales, en materia de transparencia y el derecho de acceso a la información.</w:t>
      </w:r>
    </w:p>
    <w:p w:rsidR="0090050D" w:rsidRPr="00AC562A" w:rsidRDefault="0090050D" w:rsidP="0090050D">
      <w:pPr>
        <w:spacing w:after="160" w:line="360" w:lineRule="auto"/>
        <w:ind w:left="567" w:right="567"/>
        <w:jc w:val="both"/>
        <w:rPr>
          <w:rFonts w:ascii="Palatino Linotype" w:eastAsia="Calibri" w:hAnsi="Palatino Linotype"/>
          <w:i/>
          <w:lang w:eastAsia="en-US"/>
        </w:rPr>
      </w:pPr>
      <w:r w:rsidRPr="00AC562A">
        <w:rPr>
          <w:rFonts w:ascii="Palatino Linotype" w:eastAsia="Calibri" w:hAnsi="Palatino Linotype"/>
          <w:i/>
          <w:lang w:eastAsia="en-US"/>
        </w:rPr>
        <w:t>(Énfasis añadido)</w:t>
      </w:r>
    </w:p>
    <w:p w:rsidR="0090050D" w:rsidRPr="00AC562A" w:rsidRDefault="0090050D" w:rsidP="0090050D">
      <w:pPr>
        <w:tabs>
          <w:tab w:val="left" w:pos="851"/>
        </w:tabs>
        <w:spacing w:line="360" w:lineRule="auto"/>
        <w:ind w:right="616"/>
        <w:contextualSpacing/>
        <w:jc w:val="both"/>
        <w:rPr>
          <w:rFonts w:ascii="Palatino Linotype" w:hAnsi="Palatino Linotype" w:cs="Arial"/>
          <w:i/>
          <w:lang w:eastAsia="en-US"/>
        </w:rPr>
      </w:pPr>
    </w:p>
    <w:p w:rsidR="0090050D" w:rsidRPr="00AC562A" w:rsidRDefault="0090050D" w:rsidP="0090050D">
      <w:pPr>
        <w:numPr>
          <w:ilvl w:val="0"/>
          <w:numId w:val="1"/>
        </w:numPr>
        <w:tabs>
          <w:tab w:val="left" w:pos="284"/>
        </w:tabs>
        <w:spacing w:before="240" w:after="240" w:line="360" w:lineRule="auto"/>
        <w:ind w:left="0" w:right="51" w:firstLine="0"/>
        <w:contextualSpacing/>
        <w:jc w:val="both"/>
        <w:rPr>
          <w:rFonts w:ascii="Palatino Linotype" w:eastAsia="MS Mincho" w:hAnsi="Palatino Linotype"/>
          <w:color w:val="000000"/>
          <w:lang w:eastAsia="es-ES"/>
        </w:rPr>
      </w:pPr>
      <w:r w:rsidRPr="00AC562A">
        <w:rPr>
          <w:rFonts w:ascii="Palatino Linotype" w:eastAsia="MS Mincho" w:hAnsi="Palatino Linotype"/>
          <w:color w:val="000000"/>
          <w:lang w:val="es-ES_tradnl" w:eastAsia="es-ES"/>
        </w:rPr>
        <w:t>Aunado a ello, la Ley de Transparencia, establecen de manera literal lo siguiente:</w:t>
      </w:r>
    </w:p>
    <w:p w:rsidR="0090050D" w:rsidRPr="00AC562A" w:rsidRDefault="0090050D" w:rsidP="0090050D">
      <w:pPr>
        <w:tabs>
          <w:tab w:val="left" w:pos="284"/>
          <w:tab w:val="left" w:pos="426"/>
        </w:tabs>
        <w:spacing w:before="240" w:after="240" w:line="360" w:lineRule="auto"/>
        <w:ind w:right="51"/>
        <w:contextualSpacing/>
        <w:jc w:val="both"/>
        <w:rPr>
          <w:rFonts w:ascii="Palatino Linotype" w:eastAsia="MS Mincho" w:hAnsi="Palatino Linotype"/>
          <w:color w:val="000000"/>
          <w:lang w:val="es-ES" w:eastAsia="es-ES"/>
        </w:rPr>
      </w:pPr>
    </w:p>
    <w:p w:rsidR="0090050D" w:rsidRPr="00AC562A" w:rsidRDefault="0090050D" w:rsidP="0090050D">
      <w:pPr>
        <w:tabs>
          <w:tab w:val="left" w:pos="284"/>
          <w:tab w:val="left" w:pos="426"/>
        </w:tabs>
        <w:spacing w:before="240" w:after="240" w:line="360" w:lineRule="auto"/>
        <w:ind w:left="567" w:right="607"/>
        <w:contextualSpacing/>
        <w:jc w:val="both"/>
        <w:rPr>
          <w:rFonts w:ascii="Palatino Linotype" w:eastAsia="MS Mincho" w:hAnsi="Palatino Linotype"/>
          <w:i/>
          <w:color w:val="000000"/>
          <w:lang w:val="es-ES_tradnl" w:eastAsia="es-ES"/>
        </w:rPr>
      </w:pPr>
      <w:r w:rsidRPr="00AC562A">
        <w:rPr>
          <w:rFonts w:ascii="Palatino Linotype" w:eastAsia="MS Mincho" w:hAnsi="Palatino Linotype"/>
          <w:b/>
          <w:i/>
          <w:color w:val="000000"/>
          <w:lang w:val="es-ES_tradnl" w:eastAsia="es-ES"/>
        </w:rPr>
        <w:t>Artículo 3.</w:t>
      </w:r>
      <w:r w:rsidRPr="00AC562A">
        <w:rPr>
          <w:rFonts w:ascii="Palatino Linotype" w:eastAsia="MS Mincho" w:hAnsi="Palatino Linotype"/>
          <w:i/>
          <w:color w:val="000000"/>
          <w:lang w:val="es-ES_tradnl" w:eastAsia="es-ES"/>
        </w:rPr>
        <w:t xml:space="preserve"> Para los efectos de la presente Ley se entenderá por:</w:t>
      </w:r>
    </w:p>
    <w:p w:rsidR="0090050D" w:rsidRPr="00AC562A" w:rsidRDefault="0090050D" w:rsidP="0090050D">
      <w:pPr>
        <w:tabs>
          <w:tab w:val="left" w:pos="284"/>
          <w:tab w:val="left" w:pos="426"/>
        </w:tabs>
        <w:spacing w:before="240" w:after="240" w:line="360" w:lineRule="auto"/>
        <w:ind w:left="567" w:right="607"/>
        <w:contextualSpacing/>
        <w:jc w:val="both"/>
        <w:rPr>
          <w:rFonts w:ascii="Palatino Linotype" w:eastAsia="MS Mincho" w:hAnsi="Palatino Linotype"/>
          <w:i/>
          <w:color w:val="000000"/>
          <w:lang w:val="es-ES_tradnl" w:eastAsia="es-ES"/>
        </w:rPr>
      </w:pPr>
      <w:r w:rsidRPr="00AC562A">
        <w:rPr>
          <w:rFonts w:ascii="Palatino Linotype" w:eastAsia="MS Mincho" w:hAnsi="Palatino Linotype"/>
          <w:i/>
          <w:color w:val="000000"/>
          <w:lang w:val="es-ES_tradnl" w:eastAsia="es-ES"/>
        </w:rPr>
        <w:t>(…)</w:t>
      </w:r>
    </w:p>
    <w:p w:rsidR="0090050D" w:rsidRPr="00AC562A" w:rsidRDefault="0090050D" w:rsidP="0090050D">
      <w:pPr>
        <w:tabs>
          <w:tab w:val="left" w:pos="284"/>
          <w:tab w:val="left" w:pos="426"/>
        </w:tabs>
        <w:spacing w:before="240" w:after="240" w:line="360" w:lineRule="auto"/>
        <w:ind w:left="567" w:right="607"/>
        <w:contextualSpacing/>
        <w:jc w:val="both"/>
        <w:rPr>
          <w:rFonts w:ascii="Palatino Linotype" w:eastAsia="MS Mincho" w:hAnsi="Palatino Linotype"/>
          <w:i/>
          <w:color w:val="000000"/>
          <w:lang w:val="es-ES_tradnl" w:eastAsia="es-ES"/>
        </w:rPr>
      </w:pPr>
      <w:r w:rsidRPr="00AC562A">
        <w:rPr>
          <w:rFonts w:ascii="Palatino Linotype" w:eastAsia="MS Mincho" w:hAnsi="Palatino Linotype"/>
          <w:b/>
          <w:i/>
          <w:color w:val="000000"/>
          <w:lang w:val="es-ES_tradnl" w:eastAsia="es-ES"/>
        </w:rPr>
        <w:t>XI.</w:t>
      </w:r>
      <w:r w:rsidRPr="00AC562A">
        <w:rPr>
          <w:rFonts w:ascii="Palatino Linotype" w:eastAsia="MS Mincho" w:hAnsi="Palatino Linotype"/>
          <w:i/>
          <w:color w:val="000000"/>
          <w:lang w:val="es-ES_tradnl" w:eastAsia="es-ES"/>
        </w:rPr>
        <w:t xml:space="preserve"> </w:t>
      </w:r>
      <w:r w:rsidRPr="00AC562A">
        <w:rPr>
          <w:rFonts w:ascii="Palatino Linotype" w:eastAsia="MS Mincho" w:hAnsi="Palatino Linotype"/>
          <w:b/>
          <w:i/>
          <w:color w:val="000000"/>
          <w:lang w:val="es-ES_tradnl" w:eastAsia="es-ES"/>
        </w:rPr>
        <w:t>Documento:</w:t>
      </w:r>
      <w:r w:rsidRPr="00AC562A">
        <w:rPr>
          <w:rFonts w:ascii="Palatino Linotype" w:eastAsia="MS Mincho" w:hAnsi="Palatino Linotype"/>
          <w:i/>
          <w:color w:val="000000"/>
          <w:lang w:val="es-ES_tradnl" w:eastAsia="es-ES"/>
        </w:rPr>
        <w:t xml:space="preserve"> Los expedientes, reportes, estudios, actas, resoluciones, oficios, correspondencia, acuerdos, directivas, directrices, circulares, contratos, convenios, instructivos, notas, memorandos, estadísticas o bien, </w:t>
      </w:r>
      <w:r w:rsidRPr="00AC562A">
        <w:rPr>
          <w:rFonts w:ascii="Palatino Linotype" w:eastAsia="MS Mincho" w:hAnsi="Palatino Linotype"/>
          <w:b/>
          <w:i/>
          <w:color w:val="000000"/>
          <w:lang w:val="es-ES_tradnl" w:eastAsia="es-ES"/>
        </w:rPr>
        <w:t>cualquier otro registro</w:t>
      </w:r>
      <w:r w:rsidRPr="00AC562A">
        <w:rPr>
          <w:rFonts w:ascii="Palatino Linotype" w:eastAsia="MS Mincho" w:hAnsi="Palatino Linotype"/>
          <w:i/>
          <w:color w:val="000000"/>
          <w:lang w:val="es-ES_tradnl" w:eastAsia="es-E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90050D" w:rsidRPr="00AC562A" w:rsidRDefault="0090050D" w:rsidP="0090050D">
      <w:pPr>
        <w:tabs>
          <w:tab w:val="left" w:pos="284"/>
          <w:tab w:val="left" w:pos="426"/>
        </w:tabs>
        <w:spacing w:before="240" w:after="240" w:line="360" w:lineRule="auto"/>
        <w:ind w:left="567" w:right="607"/>
        <w:contextualSpacing/>
        <w:jc w:val="both"/>
        <w:rPr>
          <w:rFonts w:ascii="Palatino Linotype" w:eastAsia="MS Mincho" w:hAnsi="Palatino Linotype"/>
          <w:i/>
          <w:color w:val="000000"/>
          <w:lang w:val="es-ES_tradnl" w:eastAsia="es-ES"/>
        </w:rPr>
      </w:pPr>
    </w:p>
    <w:p w:rsidR="0090050D" w:rsidRPr="00AC562A" w:rsidRDefault="0090050D" w:rsidP="0090050D">
      <w:pPr>
        <w:tabs>
          <w:tab w:val="left" w:pos="284"/>
          <w:tab w:val="left" w:pos="426"/>
        </w:tabs>
        <w:spacing w:before="240" w:after="240" w:line="360" w:lineRule="auto"/>
        <w:ind w:left="567" w:right="607"/>
        <w:contextualSpacing/>
        <w:jc w:val="both"/>
        <w:rPr>
          <w:rFonts w:ascii="Palatino Linotype" w:eastAsia="MS Mincho" w:hAnsi="Palatino Linotype"/>
          <w:i/>
          <w:color w:val="000000"/>
          <w:lang w:val="es-ES_tradnl" w:eastAsia="es-ES"/>
        </w:rPr>
      </w:pPr>
      <w:r w:rsidRPr="00AC562A">
        <w:rPr>
          <w:rFonts w:ascii="Palatino Linotype" w:eastAsia="MS Mincho" w:hAnsi="Palatino Linotype"/>
          <w:i/>
          <w:color w:val="000000"/>
          <w:lang w:val="es-ES_tradnl" w:eastAsia="es-ES"/>
        </w:rPr>
        <w:t xml:space="preserve">(Énfasis añadido) </w:t>
      </w:r>
    </w:p>
    <w:p w:rsidR="0090050D" w:rsidRPr="00AC562A" w:rsidRDefault="0090050D" w:rsidP="0090050D">
      <w:pPr>
        <w:tabs>
          <w:tab w:val="left" w:pos="284"/>
          <w:tab w:val="left" w:pos="426"/>
        </w:tabs>
        <w:spacing w:before="240" w:after="240" w:line="360" w:lineRule="auto"/>
        <w:ind w:right="51"/>
        <w:contextualSpacing/>
        <w:jc w:val="both"/>
        <w:rPr>
          <w:rFonts w:ascii="Palatino Linotype" w:eastAsia="MS Mincho" w:hAnsi="Palatino Linotype"/>
          <w:color w:val="000000"/>
          <w:lang w:eastAsia="es-ES"/>
        </w:rPr>
      </w:pPr>
    </w:p>
    <w:p w:rsidR="0090050D" w:rsidRPr="00AC562A" w:rsidRDefault="0090050D" w:rsidP="0090050D">
      <w:pPr>
        <w:numPr>
          <w:ilvl w:val="0"/>
          <w:numId w:val="1"/>
        </w:numPr>
        <w:tabs>
          <w:tab w:val="left" w:pos="0"/>
        </w:tabs>
        <w:spacing w:before="240" w:after="240" w:line="360" w:lineRule="auto"/>
        <w:ind w:left="0" w:right="51" w:firstLine="0"/>
        <w:contextualSpacing/>
        <w:jc w:val="both"/>
        <w:rPr>
          <w:rFonts w:ascii="Palatino Linotype" w:eastAsia="MS Mincho" w:hAnsi="Palatino Linotype"/>
          <w:color w:val="000000"/>
          <w:lang w:eastAsia="es-ES"/>
        </w:rPr>
      </w:pPr>
      <w:r w:rsidRPr="00AC562A">
        <w:rPr>
          <w:rFonts w:ascii="Palatino Linotype" w:eastAsia="MS Mincho" w:hAnsi="Palatino Linotype"/>
          <w:color w:val="000000"/>
          <w:lang w:eastAsia="es-ES"/>
        </w:rPr>
        <w:lastRenderedPageBreak/>
        <w:t>En tal contexto</w:t>
      </w:r>
      <w:r w:rsidRPr="00AC562A">
        <w:rPr>
          <w:rFonts w:ascii="Palatino Linotype" w:eastAsia="MS Mincho" w:hAnsi="Palatino Linotype"/>
          <w:color w:val="000000"/>
          <w:lang w:val="es-ES_tradnl" w:eastAsia="es-ES"/>
        </w:rPr>
        <w:t xml:space="preserve">, el derecho de acceso a la información pública consiste en el </w:t>
      </w:r>
      <w:r w:rsidRPr="00AC562A">
        <w:rPr>
          <w:rFonts w:ascii="Palatino Linotype" w:eastAsia="MS Mincho" w:hAnsi="Palatino Linotype"/>
          <w:b/>
          <w:color w:val="000000"/>
          <w:u w:val="single"/>
          <w:lang w:val="es-ES_tradnl" w:eastAsia="es-ES"/>
        </w:rPr>
        <w:t>acceso a documentos</w:t>
      </w:r>
      <w:r w:rsidRPr="00AC562A">
        <w:rPr>
          <w:rFonts w:ascii="Palatino Linotype" w:eastAsia="MS Mincho" w:hAnsi="Palatino Linotype"/>
          <w:color w:val="000000"/>
          <w:lang w:val="es-ES_tradnl" w:eastAsia="es-ES"/>
        </w:rPr>
        <w:t xml:space="preserve"> generados, poseídos o administrados por la autoridad con antelación a que fuera presentada la solicitud de acceso a la información pública.</w:t>
      </w:r>
    </w:p>
    <w:p w:rsidR="0090050D" w:rsidRPr="00AC562A" w:rsidRDefault="0090050D" w:rsidP="0090050D">
      <w:pPr>
        <w:tabs>
          <w:tab w:val="left" w:pos="0"/>
        </w:tabs>
        <w:spacing w:before="240" w:after="240" w:line="360" w:lineRule="auto"/>
        <w:ind w:right="51"/>
        <w:contextualSpacing/>
        <w:jc w:val="both"/>
        <w:rPr>
          <w:rFonts w:ascii="Palatino Linotype" w:eastAsia="MS Mincho" w:hAnsi="Palatino Linotype"/>
          <w:color w:val="000000"/>
          <w:lang w:val="es-ES" w:eastAsia="es-ES"/>
        </w:rPr>
      </w:pPr>
    </w:p>
    <w:p w:rsidR="0090050D" w:rsidRPr="00AC562A" w:rsidRDefault="0090050D" w:rsidP="0090050D">
      <w:pPr>
        <w:numPr>
          <w:ilvl w:val="0"/>
          <w:numId w:val="1"/>
        </w:numPr>
        <w:tabs>
          <w:tab w:val="left" w:pos="0"/>
        </w:tabs>
        <w:spacing w:before="240" w:after="240" w:line="360" w:lineRule="auto"/>
        <w:ind w:left="0" w:right="51" w:firstLine="0"/>
        <w:contextualSpacing/>
        <w:jc w:val="both"/>
        <w:rPr>
          <w:rFonts w:ascii="Palatino Linotype" w:eastAsia="MS Mincho" w:hAnsi="Palatino Linotype"/>
          <w:color w:val="000000"/>
          <w:lang w:val="es-ES" w:eastAsia="es-ES"/>
        </w:rPr>
      </w:pPr>
      <w:r w:rsidRPr="00AC562A">
        <w:rPr>
          <w:rFonts w:ascii="Palatino Linotype" w:eastAsia="MS Mincho" w:hAnsi="Palatino Linotype"/>
          <w:color w:val="000000"/>
          <w:lang w:val="es-ES_tradnl" w:eastAsia="es-ES"/>
        </w:rPr>
        <w:t xml:space="preserve">Así, el </w:t>
      </w:r>
      <w:r w:rsidRPr="00AC562A">
        <w:rPr>
          <w:rFonts w:ascii="Palatino Linotype" w:eastAsia="MS Mincho" w:hAnsi="Palatino Linotype"/>
          <w:color w:val="000000"/>
          <w:lang w:val="es-ES" w:eastAsia="es-ES"/>
        </w:rPr>
        <w:t>Criterio</w:t>
      </w:r>
      <w:r w:rsidRPr="00AC562A">
        <w:rPr>
          <w:rFonts w:ascii="Palatino Linotype" w:eastAsia="MS Mincho" w:hAnsi="Palatino Linotype"/>
          <w:color w:val="000000"/>
          <w:lang w:val="es-ES_tradnl" w:eastAsia="es-ES"/>
        </w:rPr>
        <w:t xml:space="preserve"> </w:t>
      </w:r>
      <w:r w:rsidRPr="00AC562A">
        <w:rPr>
          <w:rFonts w:ascii="Palatino Linotype" w:eastAsia="MS Mincho" w:hAnsi="Palatino Linotype"/>
          <w:color w:val="000000"/>
          <w:lang w:val="es-ES" w:eastAsia="es-ES"/>
        </w:rPr>
        <w:t>028-10</w:t>
      </w:r>
      <w:r w:rsidRPr="00AC562A">
        <w:rPr>
          <w:rFonts w:ascii="Palatino Linotype" w:eastAsia="MS Mincho" w:hAnsi="Palatino Linotype"/>
          <w:color w:val="000000"/>
          <w:lang w:val="es-ES_tradnl" w:eastAsia="es-ES"/>
        </w:rPr>
        <w:t xml:space="preserve"> </w:t>
      </w:r>
      <w:r w:rsidRPr="00AC562A">
        <w:rPr>
          <w:rFonts w:ascii="Palatino Linotype" w:eastAsia="MS Mincho" w:hAnsi="Palatino Linotype"/>
          <w:color w:val="000000"/>
          <w:lang w:val="es-ES" w:eastAsia="es-ES"/>
        </w:rPr>
        <w:t>emitido por</w:t>
      </w:r>
      <w:r w:rsidRPr="00AC562A">
        <w:rPr>
          <w:rFonts w:ascii="Palatino Linotype" w:eastAsia="MS Mincho" w:hAnsi="Palatino Linotype"/>
          <w:color w:val="000000"/>
          <w:lang w:val="es-ES_tradnl" w:eastAsia="es-ES"/>
        </w:rPr>
        <w:t xml:space="preserve"> el Pleno del entonces llamado </w:t>
      </w:r>
      <w:r w:rsidRPr="00AC562A">
        <w:rPr>
          <w:rFonts w:ascii="Palatino Linotype" w:eastAsia="MS Mincho" w:hAnsi="Palatino Linotype"/>
          <w:color w:val="000000"/>
          <w:lang w:val="es-ES" w:eastAsia="es-ES"/>
        </w:rPr>
        <w:t>Instituto Federal de Acceso a la Información y Protección de Datos, ahora Instituto Nacional de Transparencia, Acceso a la Información y Protección de Datos Personales est</w:t>
      </w:r>
      <w:r w:rsidRPr="00AC562A">
        <w:rPr>
          <w:rFonts w:ascii="Palatino Linotype" w:eastAsia="MS Mincho" w:hAnsi="Palatino Linotype"/>
          <w:color w:val="000000"/>
          <w:lang w:val="es-ES_tradnl" w:eastAsia="es-ES"/>
        </w:rPr>
        <w:t xml:space="preserve">ablece que se deberá garantizar </w:t>
      </w:r>
      <w:r w:rsidRPr="00AC562A">
        <w:rPr>
          <w:rFonts w:ascii="Palatino Linotype" w:eastAsia="MS Mincho" w:hAnsi="Palatino Linotype"/>
          <w:color w:val="000000"/>
          <w:lang w:val="es-ES" w:eastAsia="es-ES"/>
        </w:rPr>
        <w:t xml:space="preserve">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y lo anterior sin importar que </w:t>
      </w:r>
      <w:r w:rsidRPr="00AC562A">
        <w:rPr>
          <w:rFonts w:ascii="Palatino Linotype" w:eastAsia="MS Mincho" w:hAnsi="Palatino Linotype"/>
          <w:color w:val="000000"/>
          <w:lang w:val="es-ES_tradnl" w:eastAsia="es-ES"/>
        </w:rPr>
        <w:t xml:space="preserve"> </w:t>
      </w:r>
      <w:r w:rsidRPr="00AC562A">
        <w:rPr>
          <w:rFonts w:ascii="Palatino Linotype" w:eastAsia="MS Mincho" w:hAnsi="Palatino Linotype"/>
          <w:color w:val="000000"/>
          <w:lang w:val="es-ES" w:eastAsia="es-ES"/>
        </w:rPr>
        <w:t>particular lleve a cabo una solicitud de información sin identificar de forma precisa la do</w:t>
      </w:r>
      <w:r w:rsidRPr="00AC562A">
        <w:rPr>
          <w:rFonts w:ascii="Palatino Linotype" w:eastAsia="MS Mincho" w:hAnsi="Palatino Linotype"/>
          <w:color w:val="000000"/>
          <w:lang w:val="es-ES_tradnl" w:eastAsia="es-ES"/>
        </w:rPr>
        <w:t xml:space="preserve">cumentación a la que requiere acceso, como a continuación se observa: </w:t>
      </w:r>
    </w:p>
    <w:p w:rsidR="0090050D" w:rsidRPr="00AC562A" w:rsidRDefault="0090050D" w:rsidP="0090050D">
      <w:pPr>
        <w:tabs>
          <w:tab w:val="left" w:pos="284"/>
          <w:tab w:val="left" w:pos="426"/>
        </w:tabs>
        <w:spacing w:before="240" w:after="240" w:line="360" w:lineRule="auto"/>
        <w:ind w:right="51"/>
        <w:contextualSpacing/>
        <w:jc w:val="both"/>
        <w:rPr>
          <w:rFonts w:ascii="Palatino Linotype" w:eastAsia="MS Mincho" w:hAnsi="Palatino Linotype"/>
          <w:color w:val="000000"/>
          <w:lang w:val="es-ES" w:eastAsia="es-ES"/>
        </w:rPr>
      </w:pPr>
    </w:p>
    <w:p w:rsidR="0090050D" w:rsidRPr="00AC562A" w:rsidRDefault="0090050D" w:rsidP="0090050D">
      <w:pPr>
        <w:tabs>
          <w:tab w:val="left" w:pos="284"/>
          <w:tab w:val="left" w:pos="851"/>
        </w:tabs>
        <w:spacing w:before="240" w:after="240" w:line="360" w:lineRule="auto"/>
        <w:ind w:left="851" w:right="822"/>
        <w:contextualSpacing/>
        <w:jc w:val="both"/>
        <w:rPr>
          <w:rFonts w:ascii="Palatino Linotype" w:eastAsia="MS Mincho" w:hAnsi="Palatino Linotype"/>
          <w:i/>
          <w:iCs/>
          <w:color w:val="000000"/>
          <w:lang w:val="es-ES_tradnl" w:eastAsia="es-ES"/>
        </w:rPr>
      </w:pPr>
      <w:r w:rsidRPr="00AC562A">
        <w:rPr>
          <w:rFonts w:ascii="Palatino Linotype" w:eastAsia="MS Mincho" w:hAnsi="Palatino Linotype"/>
          <w:b/>
          <w:bCs/>
          <w:i/>
          <w:iCs/>
          <w:color w:val="000000"/>
          <w:lang w:val="es-ES_tradnl" w:eastAsia="es-ES"/>
        </w:rPr>
        <w:t>“Cuando en una solicitud de información no se identifique un documento en específico, si ésta tiene una expresión documental, el sujeto obligado deberá entregar al particular el documento en específico.</w:t>
      </w:r>
      <w:r w:rsidRPr="00AC562A">
        <w:rPr>
          <w:rFonts w:ascii="Palatino Linotype" w:eastAsia="MS Mincho" w:hAnsi="Palatino Linotype"/>
          <w:i/>
          <w:iCs/>
          <w:color w:val="000000"/>
          <w:lang w:val="es-ES_tradnl" w:eastAsia="es-ES"/>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w:t>
      </w:r>
      <w:r w:rsidRPr="00AC562A">
        <w:rPr>
          <w:rFonts w:ascii="Palatino Linotype" w:eastAsia="MS Mincho" w:hAnsi="Palatino Linotype"/>
          <w:i/>
          <w:iCs/>
          <w:color w:val="000000"/>
          <w:lang w:val="es-ES_tradnl" w:eastAsia="es-ES"/>
        </w:rPr>
        <w:lastRenderedPageBreak/>
        <w:t>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90050D" w:rsidRPr="00AC562A" w:rsidRDefault="0090050D" w:rsidP="0090050D">
      <w:pPr>
        <w:tabs>
          <w:tab w:val="left" w:pos="284"/>
          <w:tab w:val="left" w:pos="426"/>
        </w:tabs>
        <w:spacing w:before="240" w:after="240" w:line="360" w:lineRule="auto"/>
        <w:ind w:right="51"/>
        <w:contextualSpacing/>
        <w:jc w:val="both"/>
        <w:rPr>
          <w:rFonts w:ascii="Palatino Linotype" w:eastAsia="MS Mincho" w:hAnsi="Palatino Linotype"/>
          <w:i/>
          <w:iCs/>
          <w:color w:val="000000"/>
          <w:lang w:val="es-ES_tradnl" w:eastAsia="es-ES"/>
        </w:rPr>
      </w:pPr>
    </w:p>
    <w:p w:rsidR="0090050D" w:rsidRPr="00AC562A" w:rsidRDefault="0090050D" w:rsidP="0090050D">
      <w:pPr>
        <w:numPr>
          <w:ilvl w:val="0"/>
          <w:numId w:val="1"/>
        </w:numPr>
        <w:tabs>
          <w:tab w:val="left" w:pos="0"/>
        </w:tabs>
        <w:spacing w:before="240" w:after="240" w:line="360" w:lineRule="auto"/>
        <w:ind w:left="0" w:right="51" w:firstLine="0"/>
        <w:contextualSpacing/>
        <w:jc w:val="both"/>
        <w:rPr>
          <w:rFonts w:ascii="Palatino Linotype" w:eastAsia="MS Mincho" w:hAnsi="Palatino Linotype"/>
          <w:color w:val="000000"/>
          <w:lang w:val="es-ES_tradnl" w:eastAsia="es-ES"/>
        </w:rPr>
      </w:pPr>
      <w:r w:rsidRPr="00AC562A">
        <w:rPr>
          <w:rFonts w:ascii="Palatino Linotype" w:eastAsia="MS Mincho" w:hAnsi="Palatino Linotype"/>
          <w:color w:val="000000"/>
          <w:lang w:val="es-ES" w:eastAsia="es-ES"/>
        </w:rPr>
        <w:t xml:space="preserve">Robustece lo anterior </w:t>
      </w:r>
      <w:r w:rsidRPr="00AC562A">
        <w:rPr>
          <w:rFonts w:ascii="Palatino Linotype" w:eastAsia="MS Mincho" w:hAnsi="Palatino Linotype"/>
          <w:color w:val="000000"/>
          <w:lang w:val="es-ES_tradnl" w:eastAsia="es-ES"/>
        </w:rPr>
        <w:t>el criterio orientador 16/17 emitido de igual forma por el Instituto Nacional de Transparencia, Acceso a la Información y Protección de Datos Personales que a la literalidad prevé:</w:t>
      </w:r>
    </w:p>
    <w:p w:rsidR="0090050D" w:rsidRPr="00AC562A" w:rsidRDefault="0090050D" w:rsidP="0090050D">
      <w:pPr>
        <w:tabs>
          <w:tab w:val="left" w:pos="284"/>
          <w:tab w:val="left" w:pos="426"/>
        </w:tabs>
        <w:spacing w:before="240" w:after="240" w:line="360" w:lineRule="auto"/>
        <w:ind w:right="51"/>
        <w:contextualSpacing/>
        <w:jc w:val="both"/>
        <w:rPr>
          <w:rFonts w:ascii="Palatino Linotype" w:eastAsia="MS Mincho" w:hAnsi="Palatino Linotype"/>
          <w:color w:val="000000"/>
          <w:lang w:val="es-ES_tradnl" w:eastAsia="es-ES"/>
        </w:rPr>
      </w:pPr>
    </w:p>
    <w:p w:rsidR="0090050D" w:rsidRPr="00AC562A" w:rsidRDefault="0090050D" w:rsidP="0090050D">
      <w:pPr>
        <w:tabs>
          <w:tab w:val="left" w:pos="284"/>
          <w:tab w:val="left" w:pos="851"/>
        </w:tabs>
        <w:spacing w:before="240" w:after="240" w:line="360" w:lineRule="auto"/>
        <w:ind w:left="851" w:right="822"/>
        <w:contextualSpacing/>
        <w:jc w:val="both"/>
        <w:rPr>
          <w:rFonts w:ascii="Palatino Linotype" w:eastAsia="MS Mincho" w:hAnsi="Palatino Linotype"/>
          <w:i/>
          <w:color w:val="000000"/>
          <w:lang w:val="es-ES_tradnl" w:eastAsia="es-ES"/>
        </w:rPr>
      </w:pPr>
      <w:r w:rsidRPr="00AC562A">
        <w:rPr>
          <w:rFonts w:ascii="Palatino Linotype" w:eastAsia="MS Mincho" w:hAnsi="Palatino Linotype"/>
          <w:b/>
          <w:i/>
          <w:color w:val="000000"/>
          <w:lang w:val="es-ES_tradnl" w:eastAsia="es-ES"/>
        </w:rPr>
        <w:t>“Expresión documental</w:t>
      </w:r>
      <w:r w:rsidRPr="00AC562A">
        <w:rPr>
          <w:rFonts w:ascii="Palatino Linotype" w:eastAsia="MS Mincho" w:hAnsi="Palatino Linotype"/>
          <w:i/>
          <w:color w:val="000000"/>
          <w:lang w:val="es-ES_tradnl" w:eastAsia="es-ES"/>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90050D" w:rsidRPr="00AC562A" w:rsidRDefault="0090050D" w:rsidP="0090050D">
      <w:pPr>
        <w:tabs>
          <w:tab w:val="left" w:pos="284"/>
          <w:tab w:val="left" w:pos="851"/>
        </w:tabs>
        <w:spacing w:before="240" w:after="240" w:line="360" w:lineRule="auto"/>
        <w:ind w:left="851" w:right="822"/>
        <w:contextualSpacing/>
        <w:jc w:val="both"/>
        <w:rPr>
          <w:rFonts w:ascii="Palatino Linotype" w:eastAsia="MS Mincho" w:hAnsi="Palatino Linotype"/>
          <w:i/>
          <w:color w:val="000000"/>
          <w:lang w:val="es-ES_tradnl" w:eastAsia="es-ES"/>
        </w:rPr>
      </w:pPr>
    </w:p>
    <w:p w:rsidR="0090050D" w:rsidRPr="00AC562A" w:rsidRDefault="0090050D" w:rsidP="0090050D">
      <w:pPr>
        <w:tabs>
          <w:tab w:val="left" w:pos="284"/>
          <w:tab w:val="left" w:pos="851"/>
        </w:tabs>
        <w:spacing w:before="240" w:after="240" w:line="360" w:lineRule="auto"/>
        <w:ind w:left="851" w:right="822"/>
        <w:contextualSpacing/>
        <w:jc w:val="both"/>
        <w:rPr>
          <w:rFonts w:ascii="Palatino Linotype" w:eastAsia="MS Mincho" w:hAnsi="Palatino Linotype"/>
          <w:i/>
          <w:color w:val="000000"/>
          <w:lang w:val="es-ES_tradnl" w:eastAsia="es-ES"/>
        </w:rPr>
      </w:pPr>
      <w:r w:rsidRPr="00AC562A">
        <w:rPr>
          <w:rFonts w:ascii="Palatino Linotype" w:eastAsia="MS Mincho" w:hAnsi="Palatino Linotype"/>
          <w:i/>
          <w:color w:val="000000"/>
          <w:lang w:val="es-ES_tradnl" w:eastAsia="es-ES"/>
        </w:rPr>
        <w:t>Resoluciones:</w:t>
      </w:r>
    </w:p>
    <w:p w:rsidR="0090050D" w:rsidRPr="00AC562A" w:rsidRDefault="0090050D" w:rsidP="0090050D">
      <w:pPr>
        <w:tabs>
          <w:tab w:val="left" w:pos="284"/>
          <w:tab w:val="left" w:pos="851"/>
        </w:tabs>
        <w:spacing w:before="240" w:after="240" w:line="360" w:lineRule="auto"/>
        <w:ind w:left="851" w:right="822"/>
        <w:contextualSpacing/>
        <w:jc w:val="both"/>
        <w:rPr>
          <w:rFonts w:ascii="Palatino Linotype" w:eastAsia="MS Mincho" w:hAnsi="Palatino Linotype"/>
          <w:i/>
          <w:color w:val="000000"/>
          <w:lang w:val="es-ES_tradnl" w:eastAsia="es-ES"/>
        </w:rPr>
      </w:pPr>
    </w:p>
    <w:p w:rsidR="0090050D" w:rsidRPr="00AC562A" w:rsidRDefault="0090050D" w:rsidP="0090050D">
      <w:pPr>
        <w:tabs>
          <w:tab w:val="left" w:pos="284"/>
          <w:tab w:val="left" w:pos="851"/>
        </w:tabs>
        <w:spacing w:before="240" w:after="240" w:line="360" w:lineRule="auto"/>
        <w:ind w:left="851" w:right="822"/>
        <w:contextualSpacing/>
        <w:jc w:val="both"/>
        <w:rPr>
          <w:rFonts w:ascii="Palatino Linotype" w:eastAsia="MS Mincho" w:hAnsi="Palatino Linotype"/>
          <w:i/>
          <w:color w:val="000000"/>
          <w:lang w:val="es-ES_tradnl" w:eastAsia="es-ES"/>
        </w:rPr>
      </w:pPr>
      <w:r w:rsidRPr="00AC562A">
        <w:rPr>
          <w:rFonts w:ascii="Palatino Linotype" w:eastAsia="MS Mincho" w:hAnsi="Palatino Linotype"/>
          <w:i/>
          <w:color w:val="000000"/>
          <w:lang w:val="es-ES_tradnl" w:eastAsia="es-ES"/>
        </w:rPr>
        <w:t>•</w:t>
      </w:r>
      <w:r w:rsidRPr="00AC562A">
        <w:rPr>
          <w:rFonts w:ascii="Palatino Linotype" w:eastAsia="MS Mincho" w:hAnsi="Palatino Linotype"/>
          <w:i/>
          <w:color w:val="000000"/>
          <w:lang w:val="es-ES_tradnl" w:eastAsia="es-ES"/>
        </w:rPr>
        <w:tab/>
        <w:t>RRA 0774/16. Secretaría de Salud. 31 de agosto de 2016. Por unanimidad. Comisionada Ponente María Patricia Kurczyn Villalobos.</w:t>
      </w:r>
    </w:p>
    <w:p w:rsidR="0090050D" w:rsidRPr="00AC562A" w:rsidRDefault="0090050D" w:rsidP="0090050D">
      <w:pPr>
        <w:tabs>
          <w:tab w:val="left" w:pos="284"/>
          <w:tab w:val="left" w:pos="851"/>
        </w:tabs>
        <w:spacing w:before="240" w:after="240" w:line="360" w:lineRule="auto"/>
        <w:ind w:left="851" w:right="822"/>
        <w:contextualSpacing/>
        <w:jc w:val="both"/>
        <w:rPr>
          <w:rFonts w:ascii="Palatino Linotype" w:eastAsia="MS Mincho" w:hAnsi="Palatino Linotype"/>
          <w:i/>
          <w:color w:val="000000"/>
          <w:lang w:val="es-ES_tradnl" w:eastAsia="es-ES"/>
        </w:rPr>
      </w:pPr>
      <w:r w:rsidRPr="00AC562A">
        <w:rPr>
          <w:rFonts w:ascii="Palatino Linotype" w:eastAsia="MS Mincho" w:hAnsi="Palatino Linotype"/>
          <w:i/>
          <w:color w:val="000000"/>
          <w:lang w:val="es-ES_tradnl" w:eastAsia="es-ES"/>
        </w:rPr>
        <w:lastRenderedPageBreak/>
        <w:t>•</w:t>
      </w:r>
      <w:r w:rsidRPr="00AC562A">
        <w:rPr>
          <w:rFonts w:ascii="Palatino Linotype" w:eastAsia="MS Mincho" w:hAnsi="Palatino Linotype"/>
          <w:i/>
          <w:color w:val="000000"/>
          <w:lang w:val="es-ES_tradnl" w:eastAsia="es-ES"/>
        </w:rPr>
        <w:tab/>
        <w:t xml:space="preserve">RRA 0143/17. Universidad Autónoma Agraria Antonio Narro. 22 de febrero de 2017. Por unanimidad. Comisionado Ponente Oscar Mauricio Guerra Ford. </w:t>
      </w:r>
    </w:p>
    <w:p w:rsidR="0090050D" w:rsidRPr="00AC562A" w:rsidRDefault="0090050D" w:rsidP="0090050D">
      <w:pPr>
        <w:tabs>
          <w:tab w:val="left" w:pos="284"/>
          <w:tab w:val="left" w:pos="851"/>
        </w:tabs>
        <w:spacing w:before="240" w:after="240" w:line="360" w:lineRule="auto"/>
        <w:ind w:left="851" w:right="822"/>
        <w:contextualSpacing/>
        <w:jc w:val="both"/>
        <w:rPr>
          <w:rFonts w:ascii="Palatino Linotype" w:eastAsia="MS Mincho" w:hAnsi="Palatino Linotype"/>
          <w:i/>
          <w:color w:val="000000"/>
          <w:lang w:val="es-ES_tradnl" w:eastAsia="es-ES"/>
        </w:rPr>
      </w:pPr>
      <w:r w:rsidRPr="00AC562A">
        <w:rPr>
          <w:rFonts w:ascii="Palatino Linotype" w:eastAsia="MS Mincho" w:hAnsi="Palatino Linotype"/>
          <w:i/>
          <w:color w:val="000000"/>
          <w:lang w:val="es-ES_tradnl" w:eastAsia="es-ES"/>
        </w:rPr>
        <w:t>•</w:t>
      </w:r>
      <w:r w:rsidRPr="00AC562A">
        <w:rPr>
          <w:rFonts w:ascii="Palatino Linotype" w:eastAsia="MS Mincho" w:hAnsi="Palatino Linotype"/>
          <w:i/>
          <w:color w:val="000000"/>
          <w:lang w:val="es-ES_tradnl" w:eastAsia="es-ES"/>
        </w:rPr>
        <w:tab/>
        <w:t>RRA 0540/17. Secretaría de Economía. 08 de marzo del 2017. Por unanimidad. Comisionado Ponente Francisco Javier Acuña Llamas”</w:t>
      </w:r>
    </w:p>
    <w:p w:rsidR="0090050D" w:rsidRPr="00AC562A" w:rsidRDefault="0090050D" w:rsidP="0090050D">
      <w:pPr>
        <w:spacing w:line="360" w:lineRule="auto"/>
        <w:ind w:right="49"/>
        <w:contextualSpacing/>
        <w:jc w:val="both"/>
        <w:rPr>
          <w:rFonts w:ascii="Palatino Linotype" w:eastAsiaTheme="minorEastAsia" w:hAnsi="Palatino Linotype"/>
          <w:lang w:val="es-ES_tradnl" w:eastAsia="es-ES"/>
        </w:rPr>
      </w:pPr>
    </w:p>
    <w:p w:rsidR="0090050D" w:rsidRPr="00AC562A" w:rsidRDefault="0090050D" w:rsidP="0090050D">
      <w:pPr>
        <w:numPr>
          <w:ilvl w:val="0"/>
          <w:numId w:val="1"/>
        </w:numPr>
        <w:spacing w:line="360" w:lineRule="auto"/>
        <w:ind w:left="0" w:right="49" w:firstLine="0"/>
        <w:contextualSpacing/>
        <w:jc w:val="both"/>
        <w:rPr>
          <w:rFonts w:ascii="Palatino Linotype" w:eastAsiaTheme="minorEastAsia" w:hAnsi="Palatino Linotype"/>
          <w:lang w:val="es-ES_tradnl"/>
        </w:rPr>
      </w:pPr>
      <w:r w:rsidRPr="00AC562A">
        <w:rPr>
          <w:rFonts w:ascii="Palatino Linotype" w:hAnsi="Palatino Linotype" w:cs="Tahoma"/>
        </w:rPr>
        <w:t xml:space="preserve">Es así que con fundamento en el artículo 186, fracción III, de la Ley de Transparencia y Acceso a la Información Pública del Estado de México y Municipios, este Instituto considera procedente </w:t>
      </w:r>
      <w:r w:rsidRPr="00AC562A">
        <w:rPr>
          <w:rFonts w:ascii="Palatino Linotype" w:hAnsi="Palatino Linotype" w:cs="Tahoma"/>
          <w:b/>
        </w:rPr>
        <w:t xml:space="preserve">REVOCAR </w:t>
      </w:r>
      <w:r w:rsidRPr="00AC562A">
        <w:rPr>
          <w:rFonts w:ascii="Palatino Linotype" w:hAnsi="Palatino Linotype" w:cs="Tahoma"/>
        </w:rPr>
        <w:t xml:space="preserve">la respuesta otorgada por el Sujeto Obligado, a efecto de que, previa búsqueda exhaustiva y razonable </w:t>
      </w:r>
      <w:r w:rsidRPr="00AC562A">
        <w:rPr>
          <w:rFonts w:ascii="Palatino Linotype" w:hAnsi="Palatino Linotype" w:cs="Tahoma"/>
          <w:lang w:val="es-ES"/>
        </w:rPr>
        <w:t>ponga a disposición del ahora Recurrente</w:t>
      </w:r>
      <w:r w:rsidRPr="00AC562A">
        <w:rPr>
          <w:rFonts w:ascii="Palatino Linotype" w:hAnsi="Palatino Linotype" w:cs="Tahoma"/>
          <w:b/>
          <w:bCs/>
          <w:lang w:val="es-ES"/>
        </w:rPr>
        <w:t xml:space="preserve">, </w:t>
      </w:r>
      <w:r w:rsidRPr="00AC562A">
        <w:rPr>
          <w:rFonts w:ascii="Palatino Linotype" w:hAnsi="Palatino Linotype" w:cs="Tahoma"/>
          <w:lang w:val="es-ES"/>
        </w:rPr>
        <w:t xml:space="preserve">en </w:t>
      </w:r>
      <w:r w:rsidRPr="00AC562A">
        <w:rPr>
          <w:rFonts w:ascii="Palatino Linotype" w:hAnsi="Palatino Linotype" w:cs="Tahoma"/>
        </w:rPr>
        <w:t>su caso</w:t>
      </w:r>
      <w:r w:rsidRPr="00AC562A">
        <w:rPr>
          <w:rFonts w:ascii="Palatino Linotype" w:hAnsi="Palatino Linotype" w:cs="Tahoma"/>
          <w:lang w:val="es-ES"/>
        </w:rPr>
        <w:t>, en versión pública, de los documentos donde conste lo siguiente:</w:t>
      </w:r>
    </w:p>
    <w:p w:rsidR="0090050D" w:rsidRPr="00AC562A" w:rsidRDefault="0090050D" w:rsidP="0090050D">
      <w:pPr>
        <w:spacing w:line="360" w:lineRule="auto"/>
        <w:jc w:val="both"/>
        <w:rPr>
          <w:rFonts w:ascii="Palatino Linotype" w:hAnsi="Palatino Linotype" w:cs="Tahoma"/>
          <w:lang w:val="es-ES"/>
        </w:rPr>
      </w:pPr>
    </w:p>
    <w:p w:rsidR="0090050D" w:rsidRPr="00AC562A" w:rsidRDefault="0090050D" w:rsidP="0090050D">
      <w:pPr>
        <w:pStyle w:val="Prrafodelista"/>
        <w:spacing w:line="360" w:lineRule="auto"/>
        <w:ind w:left="567" w:right="822"/>
        <w:jc w:val="both"/>
        <w:rPr>
          <w:rFonts w:ascii="Palatino Linotype" w:eastAsiaTheme="minorEastAsia" w:hAnsi="Palatino Linotype"/>
          <w:i/>
          <w:lang w:val="es-ES_tradnl" w:eastAsia="es-ES"/>
        </w:rPr>
      </w:pPr>
      <w:r w:rsidRPr="00AC562A">
        <w:rPr>
          <w:rFonts w:ascii="Palatino Linotype" w:hAnsi="Palatino Linotype" w:cs="Tahoma"/>
          <w:b/>
          <w:sz w:val="24"/>
        </w:rPr>
        <w:t>a)</w:t>
      </w:r>
      <w:r w:rsidRPr="00AC562A">
        <w:rPr>
          <w:rFonts w:ascii="Palatino Linotype" w:hAnsi="Palatino Linotype" w:cs="Tahoma"/>
          <w:sz w:val="24"/>
        </w:rPr>
        <w:t xml:space="preserve"> </w:t>
      </w:r>
      <w:r w:rsidRPr="00AC562A">
        <w:rPr>
          <w:rFonts w:ascii="Palatino Linotype" w:eastAsia="Calibri" w:hAnsi="Palatino Linotype" w:cs="Tahoma"/>
          <w:iCs/>
          <w:sz w:val="24"/>
          <w:lang w:val="es-ES" w:eastAsia="es-ES_tradnl"/>
        </w:rPr>
        <w:t xml:space="preserve">Número de registro </w:t>
      </w:r>
      <w:r w:rsidR="00ED0988" w:rsidRPr="00AC562A">
        <w:rPr>
          <w:rFonts w:ascii="Palatino Linotype" w:eastAsia="Calibri" w:hAnsi="Palatino Linotype" w:cs="Tahoma"/>
          <w:iCs/>
          <w:sz w:val="24"/>
          <w:lang w:val="es-ES" w:eastAsia="es-ES_tradnl"/>
        </w:rPr>
        <w:t xml:space="preserve">y zonas de operación </w:t>
      </w:r>
      <w:r w:rsidRPr="00AC562A">
        <w:rPr>
          <w:rFonts w:ascii="Palatino Linotype" w:eastAsia="Calibri" w:hAnsi="Palatino Linotype" w:cs="Tahoma"/>
          <w:iCs/>
          <w:sz w:val="24"/>
          <w:lang w:val="es-ES" w:eastAsia="es-ES_tradnl"/>
        </w:rPr>
        <w:t xml:space="preserve">como permisionario y/o  concesionario del servicio de arrastre, salvamento guardia, custodia y depósito de vehículos para la empresa </w:t>
      </w:r>
      <w:r w:rsidR="00ED0988" w:rsidRPr="00AC562A">
        <w:rPr>
          <w:rFonts w:ascii="Palatino Linotype" w:eastAsia="Calibri" w:hAnsi="Palatino Linotype" w:cs="Tahoma"/>
          <w:iCs/>
          <w:sz w:val="24"/>
          <w:lang w:val="es-ES_tradnl" w:eastAsia="es-ES_tradnl"/>
        </w:rPr>
        <w:t>“Servicio de Grúas Sultepec S.A de C.V.” y “Prospectiva Trascendental y Génesis del Desarrollo, S.A de C.V.”</w:t>
      </w:r>
      <w:r w:rsidR="00ED0988" w:rsidRPr="00AC562A">
        <w:rPr>
          <w:rFonts w:ascii="Palatino Linotype" w:eastAsia="Calibri" w:hAnsi="Palatino Linotype" w:cs="Tahoma"/>
          <w:iCs/>
          <w:sz w:val="24"/>
          <w:lang w:val="es-ES" w:eastAsia="es-ES_tradnl"/>
        </w:rPr>
        <w:t>.</w:t>
      </w:r>
    </w:p>
    <w:p w:rsidR="004D2304" w:rsidRPr="00AC562A" w:rsidRDefault="004D2304" w:rsidP="004D2304">
      <w:pPr>
        <w:spacing w:line="360" w:lineRule="auto"/>
        <w:ind w:right="49"/>
        <w:contextualSpacing/>
        <w:jc w:val="both"/>
        <w:rPr>
          <w:rFonts w:ascii="Palatino Linotype" w:hAnsi="Palatino Linotype" w:cs="Arial"/>
          <w:color w:val="000000"/>
        </w:rPr>
      </w:pPr>
    </w:p>
    <w:p w:rsidR="00ED0988" w:rsidRPr="00AC562A" w:rsidRDefault="00ED0988" w:rsidP="00ED0988">
      <w:pPr>
        <w:numPr>
          <w:ilvl w:val="0"/>
          <w:numId w:val="1"/>
        </w:numPr>
        <w:spacing w:line="360" w:lineRule="auto"/>
        <w:ind w:left="0" w:right="49" w:firstLine="0"/>
        <w:contextualSpacing/>
        <w:jc w:val="both"/>
        <w:rPr>
          <w:rFonts w:ascii="Palatino Linotype" w:hAnsi="Palatino Linotype" w:cs="Arial"/>
          <w:szCs w:val="28"/>
        </w:rPr>
      </w:pPr>
      <w:r w:rsidRPr="00AC562A">
        <w:rPr>
          <w:rFonts w:ascii="Palatino Linotype" w:hAnsi="Palatino Linotype" w:cs="Arial"/>
          <w:szCs w:val="28"/>
        </w:rPr>
        <w:t xml:space="preserve">Ahora bien, atendiendo a que la información que se ordena entregar, pudiera contener información susceptible de clasificarse, el Sujeto Obligado deberá observar lo establecido en el Considerando Quinto de la presente resolución. </w:t>
      </w:r>
    </w:p>
    <w:p w:rsidR="00ED0988" w:rsidRPr="00AC562A" w:rsidRDefault="00ED0988" w:rsidP="00ED0988">
      <w:pPr>
        <w:pStyle w:val="Prrafodelista"/>
        <w:spacing w:line="360" w:lineRule="auto"/>
        <w:ind w:left="0"/>
        <w:jc w:val="both"/>
        <w:rPr>
          <w:rFonts w:ascii="Palatino Linotype" w:hAnsi="Palatino Linotype" w:cs="Arial"/>
          <w:sz w:val="24"/>
          <w:szCs w:val="28"/>
        </w:rPr>
      </w:pPr>
    </w:p>
    <w:p w:rsidR="00ED0988" w:rsidRPr="00AC562A" w:rsidRDefault="00ED0988" w:rsidP="00ED0988">
      <w:pPr>
        <w:spacing w:line="360" w:lineRule="auto"/>
        <w:ind w:right="49"/>
        <w:contextualSpacing/>
        <w:jc w:val="both"/>
        <w:rPr>
          <w:rFonts w:ascii="Palatino Linotype" w:hAnsi="Palatino Linotype"/>
          <w:b/>
          <w:color w:val="000000" w:themeColor="text1"/>
        </w:rPr>
      </w:pPr>
      <w:r w:rsidRPr="00AC562A">
        <w:rPr>
          <w:rFonts w:ascii="Palatino Linotype" w:hAnsi="Palatino Linotype"/>
          <w:b/>
          <w:color w:val="000000" w:themeColor="text1"/>
          <w:lang w:eastAsia="es-ES_tradnl"/>
        </w:rPr>
        <w:t xml:space="preserve">QUINTO. </w:t>
      </w:r>
      <w:r w:rsidRPr="00AC562A">
        <w:rPr>
          <w:rFonts w:ascii="Palatino Linotype" w:hAnsi="Palatino Linotype"/>
          <w:b/>
          <w:color w:val="000000" w:themeColor="text1"/>
        </w:rPr>
        <w:t xml:space="preserve"> </w:t>
      </w:r>
      <w:bookmarkStart w:id="23" w:name="_Toc80889843"/>
      <w:bookmarkStart w:id="24" w:name="_Toc81384826"/>
      <w:r w:rsidRPr="00AC562A">
        <w:rPr>
          <w:rFonts w:ascii="Palatino Linotype" w:hAnsi="Palatino Linotype" w:cs="Arial"/>
          <w:b/>
          <w:color w:val="000000"/>
          <w:lang w:val="es-ES_tradnl"/>
        </w:rPr>
        <w:t>De la versión pública</w:t>
      </w:r>
      <w:bookmarkEnd w:id="23"/>
      <w:bookmarkEnd w:id="24"/>
      <w:r w:rsidRPr="00AC562A">
        <w:rPr>
          <w:rFonts w:ascii="Palatino Linotype" w:hAnsi="Palatino Linotype" w:cs="Arial"/>
          <w:b/>
          <w:color w:val="000000"/>
          <w:lang w:val="es-ES_tradnl"/>
        </w:rPr>
        <w:t>.</w:t>
      </w:r>
    </w:p>
    <w:p w:rsidR="00ED0988" w:rsidRPr="00AC562A" w:rsidRDefault="00ED0988" w:rsidP="00ED0988">
      <w:pPr>
        <w:spacing w:line="360" w:lineRule="auto"/>
        <w:ind w:right="49"/>
        <w:contextualSpacing/>
        <w:jc w:val="both"/>
        <w:rPr>
          <w:rFonts w:ascii="Palatino Linotype" w:eastAsiaTheme="minorEastAsia" w:hAnsi="Palatino Linotype"/>
          <w:lang w:eastAsia="es-ES"/>
        </w:rPr>
      </w:pPr>
    </w:p>
    <w:p w:rsidR="00ED0988" w:rsidRPr="00AC562A" w:rsidRDefault="00ED0988" w:rsidP="00ED0988">
      <w:pPr>
        <w:pStyle w:val="Ttulo1"/>
        <w:numPr>
          <w:ilvl w:val="0"/>
          <w:numId w:val="8"/>
        </w:numPr>
        <w:spacing w:before="0" w:line="360" w:lineRule="auto"/>
        <w:rPr>
          <w:rFonts w:ascii="Palatino Linotype" w:hAnsi="Palatino Linotype" w:cs="Times New Roman"/>
          <w:b/>
          <w:color w:val="000000" w:themeColor="text1"/>
          <w:sz w:val="24"/>
          <w:szCs w:val="24"/>
          <w:lang w:eastAsia="es-ES_tradnl"/>
        </w:rPr>
      </w:pPr>
      <w:bookmarkStart w:id="25" w:name="_Toc48135362"/>
      <w:bookmarkStart w:id="26" w:name="_Toc82017070"/>
      <w:bookmarkStart w:id="27" w:name="_Toc82537188"/>
      <w:bookmarkStart w:id="28" w:name="_Toc83830735"/>
      <w:bookmarkStart w:id="29" w:name="_Toc85112355"/>
      <w:r w:rsidRPr="00AC562A">
        <w:rPr>
          <w:rFonts w:ascii="Palatino Linotype" w:hAnsi="Palatino Linotype" w:cs="Times New Roman"/>
          <w:b/>
          <w:color w:val="000000" w:themeColor="text1"/>
          <w:sz w:val="24"/>
          <w:szCs w:val="24"/>
          <w:lang w:eastAsia="es-ES_tradnl"/>
        </w:rPr>
        <w:lastRenderedPageBreak/>
        <w:t>Nociones generales.</w:t>
      </w:r>
      <w:bookmarkEnd w:id="25"/>
      <w:bookmarkEnd w:id="26"/>
      <w:bookmarkEnd w:id="27"/>
      <w:bookmarkEnd w:id="28"/>
      <w:bookmarkEnd w:id="29"/>
      <w:r w:rsidRPr="00AC562A">
        <w:rPr>
          <w:rFonts w:ascii="Palatino Linotype" w:hAnsi="Palatino Linotype" w:cs="Times New Roman"/>
          <w:b/>
          <w:color w:val="000000" w:themeColor="text1"/>
          <w:sz w:val="24"/>
          <w:szCs w:val="24"/>
          <w:lang w:eastAsia="es-ES_tradnl"/>
        </w:rPr>
        <w:t xml:space="preserve"> </w:t>
      </w:r>
    </w:p>
    <w:p w:rsidR="00ED0988" w:rsidRPr="00AC562A" w:rsidRDefault="00ED0988" w:rsidP="00ED0988">
      <w:pPr>
        <w:pStyle w:val="Prrafodelista"/>
        <w:spacing w:line="360" w:lineRule="auto"/>
        <w:ind w:left="0" w:right="49"/>
        <w:jc w:val="both"/>
        <w:rPr>
          <w:rFonts w:ascii="Palatino Linotype" w:hAnsi="Palatino Linotype" w:cs="Arial"/>
          <w:color w:val="000000"/>
          <w:sz w:val="24"/>
        </w:rPr>
      </w:pPr>
    </w:p>
    <w:p w:rsidR="00ED0988" w:rsidRPr="00AC562A" w:rsidRDefault="00ED0988" w:rsidP="00ED0988">
      <w:pPr>
        <w:pStyle w:val="Prrafodelista"/>
        <w:numPr>
          <w:ilvl w:val="0"/>
          <w:numId w:val="1"/>
        </w:numPr>
        <w:spacing w:line="360" w:lineRule="auto"/>
        <w:ind w:left="0" w:right="49" w:firstLine="0"/>
        <w:jc w:val="both"/>
        <w:rPr>
          <w:rFonts w:ascii="Palatino Linotype" w:hAnsi="Palatino Linotype" w:cs="Arial"/>
          <w:color w:val="000000"/>
          <w:sz w:val="24"/>
        </w:rPr>
      </w:pPr>
      <w:r w:rsidRPr="00AC562A">
        <w:rPr>
          <w:rFonts w:ascii="Palatino Linotype" w:hAnsi="Palatino Linotype" w:cs="Arial"/>
          <w:color w:val="000000"/>
          <w:sz w:val="24"/>
        </w:rPr>
        <w:t>Debe destacarse que, debido a la naturaleza de la información solicitada</w:t>
      </w:r>
      <w:r w:rsidRPr="00AC562A">
        <w:rPr>
          <w:rFonts w:ascii="Palatino Linotype" w:hAnsi="Palatino Linotype" w:cs="Arial"/>
          <w:b/>
          <w:color w:val="000000"/>
          <w:sz w:val="24"/>
        </w:rPr>
        <w:t xml:space="preserve">, </w:t>
      </w:r>
      <w:r w:rsidRPr="00AC562A">
        <w:rPr>
          <w:rFonts w:ascii="Palatino Linotype" w:hAnsi="Palatino Linotype" w:cs="Arial"/>
          <w:color w:val="000000"/>
          <w:sz w:val="24"/>
        </w:rPr>
        <w:t xml:space="preserve">eventualmente pudiera obrar datos personales susceptibles de protegerse, el </w:t>
      </w:r>
      <w:r w:rsidRPr="00AC562A">
        <w:rPr>
          <w:rFonts w:ascii="Palatino Linotype" w:hAnsi="Palatino Linotype" w:cs="Arial"/>
          <w:b/>
          <w:bCs/>
          <w:color w:val="000000"/>
          <w:sz w:val="24"/>
        </w:rPr>
        <w:t xml:space="preserve">Sujeto Obligado </w:t>
      </w:r>
      <w:r w:rsidRPr="00AC562A">
        <w:rPr>
          <w:rFonts w:ascii="Palatino Linotype" w:hAnsi="Palatino Linotype" w:cs="Arial"/>
          <w:color w:val="000000"/>
          <w:sz w:val="24"/>
        </w:rPr>
        <w:t xml:space="preserve">deberá de hacer la adecuada versión pública, protegiendo los datos que no son susceptibles de ser proporcionados. </w:t>
      </w:r>
    </w:p>
    <w:p w:rsidR="00ED0988" w:rsidRPr="00AC562A" w:rsidRDefault="00ED0988" w:rsidP="00ED0988">
      <w:pPr>
        <w:pStyle w:val="Prrafodelista"/>
        <w:spacing w:line="360" w:lineRule="auto"/>
        <w:ind w:left="0" w:right="49"/>
        <w:jc w:val="both"/>
        <w:rPr>
          <w:rFonts w:ascii="Palatino Linotype" w:hAnsi="Palatino Linotype" w:cs="Arial"/>
          <w:color w:val="000000"/>
          <w:sz w:val="24"/>
        </w:rPr>
      </w:pPr>
    </w:p>
    <w:p w:rsidR="00ED0988" w:rsidRPr="00AC562A" w:rsidRDefault="00ED0988" w:rsidP="00ED0988">
      <w:pPr>
        <w:numPr>
          <w:ilvl w:val="0"/>
          <w:numId w:val="1"/>
        </w:numPr>
        <w:spacing w:line="360" w:lineRule="auto"/>
        <w:ind w:left="0" w:right="49" w:firstLine="0"/>
        <w:contextualSpacing/>
        <w:jc w:val="both"/>
        <w:rPr>
          <w:rFonts w:ascii="Palatino Linotype" w:hAnsi="Palatino Linotype" w:cs="Arial"/>
          <w:color w:val="000000"/>
        </w:rPr>
      </w:pPr>
      <w:r w:rsidRPr="00AC562A">
        <w:rPr>
          <w:rFonts w:ascii="Palatino Linotype" w:hAnsi="Palatino Linotype" w:cs="Arial"/>
          <w:color w:val="000000"/>
        </w:rPr>
        <w:t xml:space="preserve">No pasa desapercibido para este Órgano Garante que los </w:t>
      </w:r>
      <w:r w:rsidRPr="00AC562A">
        <w:rPr>
          <w:rFonts w:ascii="Palatino Linotype" w:hAnsi="Palatino Linotype" w:cs="Arial"/>
          <w:b/>
          <w:bCs/>
          <w:color w:val="000000"/>
        </w:rPr>
        <w:t xml:space="preserve">Sujetos Obligados </w:t>
      </w:r>
      <w:r w:rsidRPr="00AC562A">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ED0988" w:rsidRPr="00AC562A" w:rsidRDefault="00ED0988" w:rsidP="00ED0988">
      <w:pPr>
        <w:spacing w:line="360" w:lineRule="auto"/>
        <w:ind w:right="49"/>
        <w:contextualSpacing/>
        <w:jc w:val="both"/>
        <w:rPr>
          <w:rFonts w:ascii="Palatino Linotype" w:hAnsi="Palatino Linotype" w:cs="Arial"/>
          <w:color w:val="000000"/>
        </w:rPr>
      </w:pPr>
    </w:p>
    <w:tbl>
      <w:tblPr>
        <w:tblStyle w:val="Tablanormal1"/>
        <w:tblW w:w="0" w:type="auto"/>
        <w:tblLook w:val="04A0" w:firstRow="1" w:lastRow="0" w:firstColumn="1" w:lastColumn="0" w:noHBand="0" w:noVBand="1"/>
      </w:tblPr>
      <w:tblGrid>
        <w:gridCol w:w="1838"/>
        <w:gridCol w:w="6990"/>
      </w:tblGrid>
      <w:tr w:rsidR="00ED0988" w:rsidRPr="00AC562A" w:rsidTr="00270A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ED0988" w:rsidRPr="00AC562A" w:rsidRDefault="00ED0988" w:rsidP="00270A55">
            <w:pPr>
              <w:spacing w:line="360" w:lineRule="auto"/>
              <w:rPr>
                <w:rFonts w:ascii="Palatino Linotype" w:hAnsi="Palatino Linotype"/>
                <w:bCs w:val="0"/>
                <w:sz w:val="22"/>
              </w:rPr>
            </w:pPr>
            <w:r w:rsidRPr="00AC562A">
              <w:rPr>
                <w:rFonts w:ascii="Palatino Linotype" w:hAnsi="Palatino Linotype" w:cstheme="majorBidi"/>
                <w:bCs w:val="0"/>
                <w:sz w:val="22"/>
              </w:rPr>
              <w:t>a) Requisitos previos.</w:t>
            </w:r>
          </w:p>
        </w:tc>
        <w:tc>
          <w:tcPr>
            <w:tcW w:w="6990" w:type="dxa"/>
            <w:hideMark/>
          </w:tcPr>
          <w:p w:rsidR="00ED0988" w:rsidRPr="00AC562A" w:rsidRDefault="00ED0988" w:rsidP="00270A55">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2"/>
              </w:rPr>
            </w:pPr>
            <w:r w:rsidRPr="00AC562A">
              <w:rPr>
                <w:rFonts w:ascii="Palatino Linotype" w:hAnsi="Palatino Linotype" w:cs="Arial"/>
                <w:b w:val="0"/>
                <w:bCs w:val="0"/>
                <w:color w:val="000000"/>
                <w:sz w:val="22"/>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ED0988" w:rsidRPr="00AC562A" w:rsidRDefault="00ED0988" w:rsidP="00270A55">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2"/>
              </w:rPr>
            </w:pPr>
            <w:r w:rsidRPr="00AC562A">
              <w:rPr>
                <w:rFonts w:ascii="Palatino Linotype" w:hAnsi="Palatino Linotype" w:cs="Arial"/>
                <w:b w:val="0"/>
                <w:bCs w:val="0"/>
                <w:color w:val="000000"/>
                <w:sz w:val="22"/>
              </w:rPr>
              <w:t>Al hacerlo tienen que precisar de qué información se trata, señalando el supuesto de clasificación (confidencialidad o reserva).</w:t>
            </w:r>
          </w:p>
          <w:p w:rsidR="00ED0988" w:rsidRPr="00AC562A" w:rsidRDefault="00ED0988" w:rsidP="00270A55">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2"/>
              </w:rPr>
            </w:pPr>
            <w:r w:rsidRPr="00AC562A">
              <w:rPr>
                <w:rFonts w:ascii="Palatino Linotype" w:hAnsi="Palatino Linotype" w:cs="Arial"/>
                <w:b w:val="0"/>
                <w:bCs w:val="0"/>
                <w:color w:val="000000"/>
                <w:sz w:val="22"/>
              </w:rPr>
              <w:t>Además, se debe señalar el procedimiento, de los tres que establecen los artículos 132 y 106 de la Ley Estatal y General, respectivamente.</w:t>
            </w:r>
          </w:p>
          <w:p w:rsidR="00ED0988" w:rsidRPr="00AC562A" w:rsidRDefault="00ED0988" w:rsidP="00270A55">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2"/>
              </w:rPr>
            </w:pPr>
            <w:r w:rsidRPr="00AC562A">
              <w:rPr>
                <w:rFonts w:ascii="Palatino Linotype" w:hAnsi="Palatino Linotype" w:cs="Arial"/>
                <w:b w:val="0"/>
                <w:bCs w:val="0"/>
                <w:color w:val="000000"/>
                <w:sz w:val="22"/>
              </w:rPr>
              <w:t xml:space="preserve">El último de estos requisitos previos consiste en que no se pueden emitir acuerdos de carácter general ni particular, esto es, </w:t>
            </w:r>
            <w:r w:rsidRPr="00AC562A">
              <w:rPr>
                <w:rFonts w:ascii="Palatino Linotype" w:hAnsi="Palatino Linotype" w:cs="Arial"/>
                <w:b w:val="0"/>
                <w:bCs w:val="0"/>
                <w:color w:val="000000"/>
                <w:sz w:val="22"/>
                <w:u w:val="single"/>
              </w:rPr>
              <w:t xml:space="preserve">no se puede </w:t>
            </w:r>
            <w:r w:rsidRPr="00AC562A">
              <w:rPr>
                <w:rFonts w:ascii="Palatino Linotype" w:hAnsi="Palatino Linotype" w:cs="Arial"/>
                <w:b w:val="0"/>
                <w:bCs w:val="0"/>
                <w:color w:val="000000"/>
                <w:sz w:val="22"/>
                <w:u w:val="single"/>
              </w:rPr>
              <w:lastRenderedPageBreak/>
              <w:t>hacer un acuerdo para clasificar de manera general todos los documentos de un expediente o área, sin</w:t>
            </w:r>
            <w:r w:rsidRPr="00AC562A">
              <w:rPr>
                <w:rFonts w:ascii="Palatino Linotype" w:hAnsi="Palatino Linotype" w:cs="Arial"/>
                <w:b w:val="0"/>
                <w:bCs w:val="0"/>
                <w:color w:val="000000"/>
                <w:sz w:val="22"/>
              </w:rPr>
              <w:t xml:space="preserve"> individualizar su análisis y tampoco se puede hacer un acuerdo por cada dato que se vaya a clasificar dentro de un documento con diez datos, por ejemplo, susceptibles de ser clasificados.</w:t>
            </w:r>
          </w:p>
        </w:tc>
      </w:tr>
      <w:tr w:rsidR="00ED0988" w:rsidRPr="00AC562A" w:rsidTr="00270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ED0988" w:rsidRPr="00AC562A" w:rsidRDefault="00ED0988" w:rsidP="00270A55">
            <w:pPr>
              <w:spacing w:line="360" w:lineRule="auto"/>
              <w:rPr>
                <w:rFonts w:ascii="Palatino Linotype" w:hAnsi="Palatino Linotype"/>
                <w:bCs w:val="0"/>
                <w:sz w:val="22"/>
              </w:rPr>
            </w:pPr>
            <w:r w:rsidRPr="00AC562A">
              <w:rPr>
                <w:rFonts w:ascii="Palatino Linotype" w:hAnsi="Palatino Linotype" w:cstheme="majorBidi"/>
                <w:bCs w:val="0"/>
                <w:sz w:val="22"/>
              </w:rPr>
              <w:lastRenderedPageBreak/>
              <w:t>b) Supuestos de clasificación.</w:t>
            </w:r>
          </w:p>
        </w:tc>
        <w:tc>
          <w:tcPr>
            <w:tcW w:w="6990" w:type="dxa"/>
            <w:hideMark/>
          </w:tcPr>
          <w:p w:rsidR="00ED0988" w:rsidRPr="00AC562A" w:rsidRDefault="00ED0988" w:rsidP="00270A5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AC562A">
              <w:rPr>
                <w:rFonts w:ascii="Palatino Linotype" w:hAnsi="Palatino Linotype" w:cs="Arial"/>
                <w:color w:val="000000"/>
                <w:sz w:val="22"/>
              </w:rPr>
              <w:t>Las disposiciones constitucionales y legales en la materia establecen los dos supuestos generales para clasificar la información: por reserva y por confidencialidad.</w:t>
            </w:r>
          </w:p>
          <w:p w:rsidR="00ED0988" w:rsidRPr="00AC562A" w:rsidRDefault="00ED0988" w:rsidP="00270A5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AC562A">
              <w:rPr>
                <w:rFonts w:ascii="Palatino Linotype" w:hAnsi="Palatino Linotype" w:cs="Arial"/>
                <w:color w:val="000000"/>
                <w:sz w:val="22"/>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ED0988" w:rsidRPr="00AC562A" w:rsidRDefault="00ED0988" w:rsidP="00270A55">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2"/>
              </w:rPr>
            </w:pPr>
            <w:r w:rsidRPr="00AC562A">
              <w:rPr>
                <w:rFonts w:ascii="Palatino Linotype" w:hAnsi="Palatino Linotype" w:cs="Arial"/>
                <w:color w:val="000000"/>
                <w:sz w:val="22"/>
              </w:rPr>
              <w:t xml:space="preserve">El </w:t>
            </w:r>
            <w:r w:rsidRPr="00AC562A">
              <w:rPr>
                <w:rFonts w:ascii="Palatino Linotype" w:hAnsi="Palatino Linotype" w:cs="Arial"/>
                <w:b/>
                <w:color w:val="000000"/>
                <w:sz w:val="22"/>
              </w:rPr>
              <w:t>Sujeto Obligado</w:t>
            </w:r>
            <w:r w:rsidRPr="00AC562A">
              <w:rPr>
                <w:rFonts w:ascii="Palatino Linotype" w:hAnsi="Palatino Linotype" w:cs="Arial"/>
                <w:color w:val="000000"/>
                <w:sz w:val="22"/>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ED0988" w:rsidRPr="00AC562A" w:rsidTr="00270A55">
        <w:tc>
          <w:tcPr>
            <w:cnfStyle w:val="001000000000" w:firstRow="0" w:lastRow="0" w:firstColumn="1" w:lastColumn="0" w:oddVBand="0" w:evenVBand="0" w:oddHBand="0" w:evenHBand="0" w:firstRowFirstColumn="0" w:firstRowLastColumn="0" w:lastRowFirstColumn="0" w:lastRowLastColumn="0"/>
            <w:tcW w:w="1838" w:type="dxa"/>
            <w:hideMark/>
          </w:tcPr>
          <w:p w:rsidR="00ED0988" w:rsidRPr="00AC562A" w:rsidRDefault="00ED0988" w:rsidP="00270A55">
            <w:pPr>
              <w:spacing w:line="360" w:lineRule="auto"/>
              <w:rPr>
                <w:rFonts w:ascii="Palatino Linotype" w:hAnsi="Palatino Linotype"/>
                <w:bCs w:val="0"/>
                <w:sz w:val="22"/>
              </w:rPr>
            </w:pPr>
            <w:r w:rsidRPr="00AC562A">
              <w:rPr>
                <w:rFonts w:ascii="Palatino Linotype" w:hAnsi="Palatino Linotype" w:cstheme="majorBidi"/>
                <w:bCs w:val="0"/>
                <w:sz w:val="22"/>
              </w:rPr>
              <w:t>c) Formalidades para emitir el acuerdo de clasificación.</w:t>
            </w:r>
          </w:p>
        </w:tc>
        <w:tc>
          <w:tcPr>
            <w:tcW w:w="6990" w:type="dxa"/>
            <w:hideMark/>
          </w:tcPr>
          <w:p w:rsidR="00ED0988" w:rsidRPr="00AC562A" w:rsidRDefault="00ED0988" w:rsidP="00270A5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rPr>
            </w:pPr>
            <w:r w:rsidRPr="00AC562A">
              <w:rPr>
                <w:rFonts w:ascii="Palatino Linotype" w:hAnsi="Palatino Linotype" w:cs="Arial"/>
                <w:color w:val="000000"/>
                <w:sz w:val="22"/>
              </w:rPr>
              <w:t xml:space="preserve">El Comité de Transparencia, según lo dispuesto en los artículos cuenta con las facultades para aprobar, modificar o revocar la clasificación de la información que haya propuesto. </w:t>
            </w:r>
          </w:p>
          <w:p w:rsidR="00ED0988" w:rsidRPr="00AC562A" w:rsidRDefault="00ED0988" w:rsidP="00270A5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rPr>
            </w:pPr>
            <w:r w:rsidRPr="00AC562A">
              <w:rPr>
                <w:rFonts w:ascii="Palatino Linotype" w:hAnsi="Palatino Linotype" w:cs="Arial"/>
                <w:color w:val="000000"/>
                <w:sz w:val="22"/>
              </w:rPr>
              <w:t xml:space="preserve">Es necesario que </w:t>
            </w:r>
            <w:r w:rsidRPr="00AC562A">
              <w:rPr>
                <w:rFonts w:ascii="Palatino Linotype" w:hAnsi="Palatino Linotype" w:cs="Arial"/>
                <w:b/>
                <w:color w:val="000000"/>
                <w:sz w:val="22"/>
                <w:u w:val="single"/>
              </w:rPr>
              <w:t>el acto reúna con los requisitos elementales</w:t>
            </w:r>
            <w:r w:rsidRPr="00AC562A">
              <w:rPr>
                <w:rFonts w:ascii="Palatino Linotype" w:hAnsi="Palatino Linotype" w:cs="Arial"/>
                <w:color w:val="000000"/>
                <w:sz w:val="22"/>
              </w:rPr>
              <w:t>, entre ellos, que la autoridad que va a emitir el acto de autoridad sea la legalmente facultada para ello.</w:t>
            </w:r>
          </w:p>
          <w:p w:rsidR="00ED0988" w:rsidRPr="00AC562A" w:rsidRDefault="00ED0988" w:rsidP="00270A55">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2"/>
              </w:rPr>
            </w:pPr>
            <w:r w:rsidRPr="00AC562A">
              <w:rPr>
                <w:rFonts w:ascii="Palatino Linotype" w:hAnsi="Palatino Linotype" w:cs="Arial"/>
                <w:color w:val="000000"/>
                <w:sz w:val="22"/>
              </w:rPr>
              <w:lastRenderedPageBreak/>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ED0988" w:rsidRPr="00AC562A" w:rsidTr="00270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ED0988" w:rsidRPr="00AC562A" w:rsidRDefault="00ED0988" w:rsidP="00270A55">
            <w:pPr>
              <w:spacing w:line="360" w:lineRule="auto"/>
              <w:rPr>
                <w:rFonts w:ascii="Palatino Linotype" w:hAnsi="Palatino Linotype"/>
                <w:b w:val="0"/>
                <w:sz w:val="22"/>
              </w:rPr>
            </w:pPr>
          </w:p>
          <w:p w:rsidR="00ED0988" w:rsidRPr="00AC562A" w:rsidRDefault="00ED0988" w:rsidP="00270A55">
            <w:pPr>
              <w:spacing w:line="360" w:lineRule="auto"/>
              <w:jc w:val="both"/>
              <w:rPr>
                <w:rFonts w:ascii="Palatino Linotype" w:hAnsi="Palatino Linotype"/>
                <w:bCs w:val="0"/>
                <w:sz w:val="22"/>
              </w:rPr>
            </w:pPr>
            <w:r w:rsidRPr="00AC562A">
              <w:rPr>
                <w:rFonts w:ascii="Palatino Linotype" w:hAnsi="Palatino Linotype" w:cs="Arial"/>
                <w:bCs w:val="0"/>
                <w:color w:val="000000"/>
                <w:sz w:val="22"/>
              </w:rPr>
              <w:t xml:space="preserve">d) Requisitos de fondo del acuerdo de clasificación. </w:t>
            </w:r>
          </w:p>
        </w:tc>
        <w:tc>
          <w:tcPr>
            <w:tcW w:w="6990" w:type="dxa"/>
            <w:hideMark/>
          </w:tcPr>
          <w:p w:rsidR="00ED0988" w:rsidRPr="00AC562A" w:rsidRDefault="00ED0988" w:rsidP="00270A5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AC562A">
              <w:rPr>
                <w:rFonts w:ascii="Palatino Linotype" w:hAnsi="Palatino Linotype" w:cs="Arial"/>
                <w:color w:val="000000"/>
                <w:sz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AC562A">
              <w:rPr>
                <w:rFonts w:ascii="Palatino Linotype" w:hAnsi="Palatino Linotype" w:cs="Arial"/>
                <w:b/>
                <w:color w:val="000000"/>
                <w:sz w:val="22"/>
              </w:rPr>
              <w:t>Sujetos Obligados</w:t>
            </w:r>
            <w:r w:rsidRPr="00AC562A">
              <w:rPr>
                <w:rFonts w:ascii="Palatino Linotype" w:hAnsi="Palatino Linotype" w:cs="Arial"/>
                <w:color w:val="000000"/>
                <w:sz w:val="22"/>
              </w:rPr>
              <w:t xml:space="preserve">, por lo que deberán fundar y motivar debidamente la clasificación. </w:t>
            </w:r>
          </w:p>
          <w:p w:rsidR="00ED0988" w:rsidRPr="00AC562A" w:rsidRDefault="00ED0988" w:rsidP="00270A5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AC562A">
              <w:rPr>
                <w:rFonts w:ascii="Palatino Linotype" w:hAnsi="Palatino Linotype" w:cs="Arial"/>
                <w:color w:val="000000"/>
                <w:sz w:val="22"/>
              </w:rPr>
              <w:t xml:space="preserve">De lo anterior, se desprende que para una correcta </w:t>
            </w:r>
            <w:r w:rsidRPr="00AC562A">
              <w:rPr>
                <w:rFonts w:ascii="Palatino Linotype" w:hAnsi="Palatino Linotype" w:cs="Arial"/>
                <w:b/>
                <w:color w:val="000000"/>
                <w:sz w:val="22"/>
              </w:rPr>
              <w:t>clasificación total o parcial</w:t>
            </w:r>
            <w:r w:rsidRPr="00AC562A">
              <w:rPr>
                <w:rFonts w:ascii="Palatino Linotype" w:hAnsi="Palatino Linotype" w:cs="Arial"/>
                <w:color w:val="000000"/>
                <w:sz w:val="22"/>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ED0988" w:rsidRPr="00AC562A" w:rsidRDefault="00ED0988" w:rsidP="00270A5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AC562A">
              <w:rPr>
                <w:rFonts w:ascii="Palatino Linotype" w:hAnsi="Palatino Linotype" w:cs="Arial"/>
                <w:color w:val="000000"/>
                <w:sz w:val="22"/>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w:t>
            </w:r>
            <w:r w:rsidRPr="00AC562A">
              <w:rPr>
                <w:rFonts w:ascii="Palatino Linotype" w:hAnsi="Palatino Linotype" w:cs="Arial"/>
                <w:color w:val="000000"/>
                <w:sz w:val="22"/>
              </w:rPr>
              <w:lastRenderedPageBreak/>
              <w:t>afectada pueda impugnar la decisión, permitiéndole una real y auténtica defensa.</w:t>
            </w:r>
          </w:p>
          <w:p w:rsidR="00ED0988" w:rsidRPr="00AC562A" w:rsidRDefault="00ED0988" w:rsidP="00270A5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AC562A">
              <w:rPr>
                <w:rFonts w:ascii="Palatino Linotype" w:hAnsi="Palatino Linotype" w:cs="Arial"/>
                <w:color w:val="000000"/>
                <w:sz w:val="22"/>
              </w:rPr>
              <w:t>En ese mismo sentido, el numeral trigésimo tercero fracción V de los Lineamientos Generales, precisa que para motivar la clasificación se deben acreditar las circunstancias de tiempo, modo y lugar.</w:t>
            </w:r>
          </w:p>
          <w:p w:rsidR="00ED0988" w:rsidRPr="00AC562A" w:rsidRDefault="00ED0988" w:rsidP="00270A5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AC562A">
              <w:rPr>
                <w:rFonts w:ascii="Palatino Linotype" w:hAnsi="Palatino Linotype" w:cs="Arial"/>
                <w:color w:val="000000"/>
                <w:sz w:val="22"/>
              </w:rPr>
              <w:t xml:space="preserve">Ahora bien, </w:t>
            </w:r>
            <w:r w:rsidRPr="00AC562A">
              <w:rPr>
                <w:rFonts w:ascii="Palatino Linotype" w:hAnsi="Palatino Linotype" w:cs="Arial"/>
                <w:b/>
                <w:color w:val="000000"/>
                <w:sz w:val="22"/>
                <w:u w:val="single"/>
              </w:rPr>
              <w:t>para cada caso además de fundar y motivar</w:t>
            </w:r>
            <w:r w:rsidRPr="00AC562A">
              <w:rPr>
                <w:rFonts w:ascii="Palatino Linotype" w:hAnsi="Palatino Linotype" w:cs="Arial"/>
                <w:color w:val="000000"/>
                <w:sz w:val="22"/>
              </w:rPr>
              <w:t xml:space="preserve">, se debe identificar con claridad que datos contenidos en las documentales que son susceptibles de suprimirse, por ejemplo; </w:t>
            </w:r>
            <w:r w:rsidRPr="00AC562A">
              <w:rPr>
                <w:rFonts w:ascii="Palatino Linotype" w:hAnsi="Palatino Linotype" w:cs="Arial"/>
                <w:color w:val="000000"/>
                <w:sz w:val="22"/>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ED0988" w:rsidRPr="00AC562A" w:rsidTr="00270A55">
        <w:tc>
          <w:tcPr>
            <w:cnfStyle w:val="001000000000" w:firstRow="0" w:lastRow="0" w:firstColumn="1" w:lastColumn="0" w:oddVBand="0" w:evenVBand="0" w:oddHBand="0" w:evenHBand="0" w:firstRowFirstColumn="0" w:firstRowLastColumn="0" w:lastRowFirstColumn="0" w:lastRowLastColumn="0"/>
            <w:tcW w:w="1838" w:type="dxa"/>
          </w:tcPr>
          <w:p w:rsidR="00ED0988" w:rsidRPr="00AC562A" w:rsidRDefault="00ED0988" w:rsidP="00270A55">
            <w:pPr>
              <w:spacing w:line="360" w:lineRule="auto"/>
              <w:ind w:right="49"/>
              <w:jc w:val="both"/>
              <w:rPr>
                <w:rFonts w:ascii="Palatino Linotype" w:hAnsi="Palatino Linotype" w:cs="Arial"/>
                <w:bCs w:val="0"/>
                <w:sz w:val="22"/>
              </w:rPr>
            </w:pPr>
            <w:r w:rsidRPr="00AC562A">
              <w:rPr>
                <w:rFonts w:ascii="Palatino Linotype" w:eastAsia="MS Gothic" w:hAnsi="Palatino Linotype"/>
                <w:b w:val="0"/>
                <w:sz w:val="22"/>
              </w:rPr>
              <w:lastRenderedPageBreak/>
              <w:t>e</w:t>
            </w:r>
            <w:r w:rsidRPr="00AC562A">
              <w:rPr>
                <w:rFonts w:ascii="Palatino Linotype" w:eastAsia="MS Gothic" w:hAnsi="Palatino Linotype"/>
                <w:bCs w:val="0"/>
                <w:sz w:val="22"/>
              </w:rPr>
              <w:t xml:space="preserve">) Condiciones especiales de la clasificación de la información como confidencial. </w:t>
            </w:r>
          </w:p>
        </w:tc>
        <w:tc>
          <w:tcPr>
            <w:tcW w:w="6990" w:type="dxa"/>
            <w:hideMark/>
          </w:tcPr>
          <w:p w:rsidR="00ED0988" w:rsidRPr="00AC562A" w:rsidRDefault="00ED0988" w:rsidP="00270A5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rPr>
            </w:pPr>
            <w:r w:rsidRPr="00AC562A">
              <w:rPr>
                <w:rFonts w:ascii="Palatino Linotype" w:hAnsi="Palatino Linotype" w:cs="Arial"/>
                <w:color w:val="000000"/>
                <w:sz w:val="22"/>
              </w:rPr>
              <w:t xml:space="preserve">Los artículos 148 y 120 de la Ley Estatal y de la Ley General, respectivamente, establecen que aun tratándose de datos personales, se podrán proporcionar, incluso sin solicitar el consentimiento de su titular. </w:t>
            </w:r>
          </w:p>
          <w:p w:rsidR="00ED0988" w:rsidRPr="00AC562A" w:rsidRDefault="00ED0988" w:rsidP="00270A5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rPr>
            </w:pPr>
            <w:r w:rsidRPr="00AC562A">
              <w:rPr>
                <w:rFonts w:ascii="Palatino Linotype" w:hAnsi="Palatino Linotype" w:cs="Arial"/>
                <w:color w:val="000000"/>
                <w:sz w:val="22"/>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ED0988" w:rsidRPr="00AC562A" w:rsidRDefault="00ED0988" w:rsidP="00270A55">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2"/>
              </w:rPr>
            </w:pPr>
            <w:r w:rsidRPr="00AC562A">
              <w:rPr>
                <w:rFonts w:ascii="Palatino Linotype" w:hAnsi="Palatino Linotype" w:cs="Arial"/>
                <w:color w:val="000000"/>
                <w:sz w:val="22"/>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ED0988" w:rsidRPr="00AC562A" w:rsidRDefault="00ED0988" w:rsidP="00ED0988">
      <w:pPr>
        <w:spacing w:line="360" w:lineRule="auto"/>
        <w:ind w:right="49"/>
        <w:contextualSpacing/>
        <w:jc w:val="both"/>
        <w:rPr>
          <w:rFonts w:ascii="Palatino Linotype" w:hAnsi="Palatino Linotype" w:cs="Arial"/>
          <w:color w:val="000000"/>
        </w:rPr>
      </w:pPr>
    </w:p>
    <w:p w:rsidR="00ED0988" w:rsidRPr="00AC562A" w:rsidRDefault="00ED0988" w:rsidP="00ED0988">
      <w:pPr>
        <w:pStyle w:val="Prrafodelista"/>
        <w:numPr>
          <w:ilvl w:val="0"/>
          <w:numId w:val="1"/>
        </w:numPr>
        <w:shd w:val="clear" w:color="auto" w:fill="FFFFFF"/>
        <w:spacing w:line="360" w:lineRule="auto"/>
        <w:ind w:left="0" w:firstLine="0"/>
        <w:jc w:val="both"/>
        <w:rPr>
          <w:rFonts w:ascii="Palatino Linotype" w:hAnsi="Palatino Linotype" w:cs="Arial"/>
          <w:sz w:val="24"/>
        </w:rPr>
      </w:pPr>
      <w:r w:rsidRPr="00AC562A">
        <w:rPr>
          <w:rFonts w:ascii="Palatino Linotype" w:hAnsi="Palatino Linotype" w:cs="Arial"/>
          <w:sz w:val="24"/>
          <w:lang w:eastAsia="en-US"/>
        </w:rPr>
        <w:lastRenderedPageBreak/>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ED0988" w:rsidRPr="00AC562A" w:rsidRDefault="00ED0988" w:rsidP="00ED0988">
      <w:pPr>
        <w:spacing w:line="360" w:lineRule="auto"/>
        <w:ind w:right="49"/>
        <w:contextualSpacing/>
        <w:jc w:val="both"/>
        <w:rPr>
          <w:rFonts w:ascii="Palatino Linotype" w:hAnsi="Palatino Linotype" w:cs="Arial"/>
          <w:color w:val="000000"/>
        </w:rPr>
      </w:pPr>
    </w:p>
    <w:p w:rsidR="004D2304" w:rsidRPr="00AC562A" w:rsidRDefault="004D2304" w:rsidP="00ED0988">
      <w:pPr>
        <w:numPr>
          <w:ilvl w:val="0"/>
          <w:numId w:val="1"/>
        </w:numPr>
        <w:spacing w:line="360" w:lineRule="auto"/>
        <w:ind w:left="0" w:right="49" w:firstLine="0"/>
        <w:contextualSpacing/>
        <w:jc w:val="both"/>
        <w:rPr>
          <w:rFonts w:ascii="Palatino Linotype" w:hAnsi="Palatino Linotype"/>
          <w:color w:val="000000"/>
          <w:lang w:val="es-ES_tradnl"/>
        </w:rPr>
      </w:pPr>
      <w:r w:rsidRPr="00AC562A">
        <w:rPr>
          <w:rFonts w:ascii="Palatino Linotype" w:eastAsia="Calibri" w:hAnsi="Palatino Linotype"/>
        </w:rPr>
        <w:t xml:space="preserve">Por lo anteriormente expuesto y fundado, este </w:t>
      </w:r>
      <w:r w:rsidRPr="00AC562A">
        <w:rPr>
          <w:rFonts w:ascii="Palatino Linotype" w:eastAsia="Calibri" w:hAnsi="Palatino Linotype"/>
          <w:b/>
          <w:bCs/>
        </w:rPr>
        <w:t>ÓRGANO GARANTE</w:t>
      </w:r>
      <w:r w:rsidRPr="00AC562A">
        <w:rPr>
          <w:rFonts w:ascii="Palatino Linotype" w:eastAsia="Calibri" w:hAnsi="Palatino Linotype"/>
        </w:rPr>
        <w:t xml:space="preserve"> emite los siguientes:</w:t>
      </w:r>
    </w:p>
    <w:p w:rsidR="004D2304" w:rsidRPr="00AC562A" w:rsidRDefault="004D2304" w:rsidP="004D2304">
      <w:pPr>
        <w:spacing w:line="360" w:lineRule="auto"/>
        <w:ind w:right="49"/>
        <w:contextualSpacing/>
        <w:jc w:val="both"/>
        <w:rPr>
          <w:rFonts w:ascii="Palatino Linotype" w:hAnsi="Palatino Linotype"/>
          <w:color w:val="000000"/>
          <w:lang w:val="es-ES_tradnl"/>
        </w:rPr>
      </w:pPr>
    </w:p>
    <w:p w:rsidR="004D2304" w:rsidRPr="00AC562A" w:rsidRDefault="004D2304" w:rsidP="004D2304">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30" w:name="_Toc528153792"/>
      <w:bookmarkStart w:id="31" w:name="_Toc71158406"/>
      <w:bookmarkStart w:id="32" w:name="_Toc90654868"/>
      <w:r w:rsidRPr="00AC562A">
        <w:rPr>
          <w:rFonts w:ascii="Palatino Linotype" w:eastAsiaTheme="majorEastAsia" w:hAnsi="Palatino Linotype" w:cstheme="majorBidi"/>
          <w:b/>
          <w:color w:val="000000" w:themeColor="text1"/>
          <w:lang w:eastAsia="en-US"/>
        </w:rPr>
        <w:t>R E S O L U T I V O S</w:t>
      </w:r>
      <w:bookmarkEnd w:id="30"/>
      <w:bookmarkEnd w:id="31"/>
      <w:bookmarkEnd w:id="32"/>
    </w:p>
    <w:p w:rsidR="004D2304" w:rsidRPr="00AC562A" w:rsidRDefault="004D2304" w:rsidP="004D2304">
      <w:pPr>
        <w:keepNext/>
        <w:keepLines/>
        <w:spacing w:line="360" w:lineRule="auto"/>
        <w:jc w:val="center"/>
        <w:outlineLvl w:val="0"/>
        <w:rPr>
          <w:rFonts w:ascii="Palatino Linotype" w:eastAsiaTheme="majorEastAsia" w:hAnsi="Palatino Linotype" w:cstheme="majorBidi"/>
          <w:b/>
          <w:color w:val="000000" w:themeColor="text1"/>
          <w:lang w:eastAsia="en-US"/>
        </w:rPr>
      </w:pPr>
    </w:p>
    <w:bookmarkEnd w:id="7"/>
    <w:bookmarkEnd w:id="8"/>
    <w:bookmarkEnd w:id="9"/>
    <w:p w:rsidR="00ED0988" w:rsidRPr="00AC562A" w:rsidRDefault="00ED0988" w:rsidP="00ED0988">
      <w:pPr>
        <w:spacing w:line="360" w:lineRule="auto"/>
        <w:ind w:right="48"/>
        <w:jc w:val="both"/>
        <w:rPr>
          <w:rFonts w:ascii="Palatino Linotype" w:hAnsi="Palatino Linotype" w:cs="Arial"/>
          <w:bCs/>
          <w:szCs w:val="20"/>
          <w:lang w:eastAsia="es-ES"/>
        </w:rPr>
      </w:pPr>
      <w:r w:rsidRPr="00AC562A">
        <w:rPr>
          <w:rFonts w:ascii="Palatino Linotype" w:hAnsi="Palatino Linotype" w:cs="Arial"/>
          <w:b/>
          <w:szCs w:val="20"/>
          <w:lang w:eastAsia="es-ES"/>
        </w:rPr>
        <w:t xml:space="preserve">PRIMERO. </w:t>
      </w:r>
      <w:r w:rsidRPr="00AC562A">
        <w:rPr>
          <w:rFonts w:ascii="Palatino Linotype" w:hAnsi="Palatino Linotype" w:cs="Arial"/>
          <w:szCs w:val="20"/>
          <w:lang w:eastAsia="es-ES"/>
        </w:rPr>
        <w:t>Resultan fundadas las</w:t>
      </w:r>
      <w:r w:rsidRPr="00AC562A">
        <w:rPr>
          <w:rFonts w:ascii="Palatino Linotype" w:hAnsi="Palatino Linotype" w:cs="Arial"/>
          <w:b/>
          <w:szCs w:val="20"/>
          <w:lang w:eastAsia="es-ES"/>
        </w:rPr>
        <w:t xml:space="preserve"> </w:t>
      </w:r>
      <w:r w:rsidRPr="00AC562A">
        <w:rPr>
          <w:rFonts w:ascii="Palatino Linotype" w:hAnsi="Palatino Linotype" w:cs="Arial"/>
          <w:szCs w:val="20"/>
          <w:lang w:val="es-ES" w:eastAsia="es-ES"/>
        </w:rPr>
        <w:t xml:space="preserve">razones o motivos de inconformidad hechos valer </w:t>
      </w:r>
      <w:r w:rsidRPr="00AC562A">
        <w:rPr>
          <w:rFonts w:ascii="Palatino Linotype" w:eastAsia="Calibri" w:hAnsi="Palatino Linotype" w:cs="Arial"/>
          <w:szCs w:val="20"/>
          <w:lang w:val="es-ES" w:eastAsia="es-ES"/>
        </w:rPr>
        <w:t xml:space="preserve">en el recurso de revisión </w:t>
      </w:r>
      <w:r w:rsidRPr="00AC562A">
        <w:rPr>
          <w:rFonts w:ascii="Palatino Linotype" w:hAnsi="Palatino Linotype" w:cs="Arial"/>
          <w:b/>
          <w:bCs/>
          <w:szCs w:val="20"/>
          <w:lang w:eastAsia="es-ES"/>
        </w:rPr>
        <w:t xml:space="preserve">13118/INFOEM/IP/RR/2021, </w:t>
      </w:r>
      <w:r w:rsidRPr="00AC562A">
        <w:rPr>
          <w:rFonts w:ascii="Palatino Linotype" w:hAnsi="Palatino Linotype" w:cs="Arial"/>
          <w:bCs/>
          <w:szCs w:val="20"/>
          <w:lang w:eastAsia="es-ES"/>
        </w:rPr>
        <w:t xml:space="preserve">en términos del </w:t>
      </w:r>
      <w:r w:rsidRPr="00AC562A">
        <w:rPr>
          <w:rFonts w:ascii="Palatino Linotype" w:hAnsi="Palatino Linotype" w:cs="Arial"/>
          <w:b/>
          <w:bCs/>
          <w:szCs w:val="20"/>
          <w:lang w:eastAsia="es-ES"/>
        </w:rPr>
        <w:t>Considerando</w:t>
      </w:r>
      <w:r w:rsidRPr="00AC562A">
        <w:rPr>
          <w:rFonts w:ascii="Palatino Linotype" w:hAnsi="Palatino Linotype" w:cs="Arial"/>
          <w:bCs/>
          <w:szCs w:val="20"/>
          <w:lang w:eastAsia="es-ES"/>
        </w:rPr>
        <w:t xml:space="preserve"> </w:t>
      </w:r>
      <w:r w:rsidRPr="00AC562A">
        <w:rPr>
          <w:rFonts w:ascii="Palatino Linotype" w:hAnsi="Palatino Linotype" w:cs="Arial"/>
          <w:b/>
          <w:bCs/>
          <w:szCs w:val="20"/>
          <w:lang w:eastAsia="es-ES"/>
        </w:rPr>
        <w:t xml:space="preserve">CUARTO   </w:t>
      </w:r>
      <w:r w:rsidRPr="00AC562A">
        <w:rPr>
          <w:rFonts w:ascii="Palatino Linotype" w:hAnsi="Palatino Linotype" w:cs="Arial"/>
          <w:bCs/>
          <w:szCs w:val="20"/>
          <w:lang w:eastAsia="es-ES"/>
        </w:rPr>
        <w:t>de la presente resolución.</w:t>
      </w:r>
    </w:p>
    <w:p w:rsidR="00ED0988" w:rsidRPr="00AC562A" w:rsidRDefault="00ED0988" w:rsidP="00ED0988">
      <w:pPr>
        <w:spacing w:line="360" w:lineRule="auto"/>
        <w:ind w:right="48"/>
        <w:jc w:val="both"/>
        <w:rPr>
          <w:rFonts w:ascii="Palatino Linotype" w:hAnsi="Palatino Linotype" w:cs="Arial"/>
          <w:bCs/>
          <w:szCs w:val="20"/>
          <w:lang w:eastAsia="es-ES"/>
        </w:rPr>
      </w:pPr>
    </w:p>
    <w:p w:rsidR="00ED0988" w:rsidRPr="00AC562A" w:rsidRDefault="00ED0988" w:rsidP="00ED0988">
      <w:pPr>
        <w:spacing w:line="360" w:lineRule="auto"/>
        <w:ind w:right="48"/>
        <w:jc w:val="both"/>
        <w:rPr>
          <w:rFonts w:ascii="Palatino Linotype" w:hAnsi="Palatino Linotype" w:cs="Arial"/>
          <w:bCs/>
          <w:szCs w:val="20"/>
          <w:lang w:eastAsia="es-ES"/>
        </w:rPr>
      </w:pPr>
      <w:bookmarkStart w:id="33" w:name="_Toc477891768"/>
      <w:bookmarkStart w:id="34" w:name="_Toc477891858"/>
      <w:bookmarkStart w:id="35" w:name="_Toc481576259"/>
      <w:bookmarkStart w:id="36" w:name="_Toc492590391"/>
      <w:bookmarkStart w:id="37" w:name="_Toc462653937"/>
      <w:bookmarkStart w:id="38" w:name="_Toc453696502"/>
      <w:bookmarkStart w:id="39" w:name="_Toc454301155"/>
      <w:r w:rsidRPr="00AC562A">
        <w:rPr>
          <w:rFonts w:ascii="Palatino Linotype" w:hAnsi="Palatino Linotype"/>
          <w:b/>
          <w:szCs w:val="20"/>
          <w:lang w:eastAsia="es-ES"/>
        </w:rPr>
        <w:t>SEGUNDO.</w:t>
      </w:r>
      <w:r w:rsidRPr="00AC562A">
        <w:rPr>
          <w:rFonts w:ascii="Palatino Linotype" w:eastAsia="DengXian Light" w:hAnsi="Palatino Linotype"/>
          <w:color w:val="2F5496"/>
          <w:sz w:val="36"/>
          <w:szCs w:val="26"/>
          <w:lang w:eastAsia="es-ES"/>
        </w:rPr>
        <w:t xml:space="preserve"> </w:t>
      </w:r>
      <w:bookmarkEnd w:id="33"/>
      <w:bookmarkEnd w:id="34"/>
      <w:bookmarkEnd w:id="35"/>
      <w:bookmarkEnd w:id="36"/>
      <w:bookmarkEnd w:id="37"/>
      <w:bookmarkEnd w:id="38"/>
      <w:bookmarkEnd w:id="39"/>
      <w:r w:rsidRPr="00AC562A">
        <w:rPr>
          <w:rFonts w:ascii="Palatino Linotype" w:eastAsia="Calibri" w:hAnsi="Palatino Linotype" w:cs="Arial"/>
          <w:szCs w:val="20"/>
          <w:lang w:val="es-ES" w:eastAsia="es-ES"/>
        </w:rPr>
        <w:t>Se</w:t>
      </w:r>
      <w:r w:rsidRPr="00AC562A">
        <w:rPr>
          <w:rFonts w:ascii="Palatino Linotype" w:eastAsia="Calibri" w:hAnsi="Palatino Linotype" w:cs="Arial"/>
          <w:b/>
          <w:szCs w:val="20"/>
          <w:lang w:val="es-ES" w:eastAsia="es-ES"/>
        </w:rPr>
        <w:t xml:space="preserve"> REVOCA </w:t>
      </w:r>
      <w:r w:rsidRPr="00AC562A">
        <w:rPr>
          <w:rFonts w:ascii="Palatino Linotype" w:eastAsia="Calibri" w:hAnsi="Palatino Linotype" w:cs="Arial"/>
          <w:szCs w:val="20"/>
          <w:lang w:val="es-ES" w:eastAsia="es-ES"/>
        </w:rPr>
        <w:t xml:space="preserve">la respuesta emitida por la </w:t>
      </w:r>
      <w:r w:rsidRPr="00AC562A">
        <w:rPr>
          <w:rFonts w:ascii="Palatino Linotype" w:eastAsia="Calibri" w:hAnsi="Palatino Linotype" w:cs="Tahoma"/>
          <w:b/>
          <w:szCs w:val="22"/>
          <w:lang w:eastAsia="en-US"/>
        </w:rPr>
        <w:t>Secretaria de Movilidad</w:t>
      </w:r>
      <w:r w:rsidRPr="00AC562A">
        <w:rPr>
          <w:rFonts w:ascii="Palatino Linotype" w:eastAsia="Calibri" w:hAnsi="Palatino Linotype" w:cs="Arial"/>
          <w:szCs w:val="20"/>
          <w:lang w:val="es-ES" w:eastAsia="es-ES"/>
        </w:rPr>
        <w:t xml:space="preserve"> y se</w:t>
      </w:r>
      <w:r w:rsidRPr="00AC562A">
        <w:rPr>
          <w:rFonts w:ascii="Palatino Linotype" w:eastAsia="Calibri" w:hAnsi="Palatino Linotype" w:cs="Arial"/>
          <w:b/>
          <w:szCs w:val="20"/>
          <w:lang w:val="es-ES" w:eastAsia="es-ES"/>
        </w:rPr>
        <w:t xml:space="preserve"> ORDENA </w:t>
      </w:r>
      <w:r w:rsidRPr="00AC562A">
        <w:rPr>
          <w:rFonts w:ascii="Palatino Linotype" w:hAnsi="Palatino Linotype" w:cs="Arial"/>
          <w:szCs w:val="20"/>
          <w:lang w:val="es-ES" w:eastAsia="es-ES"/>
        </w:rPr>
        <w:t xml:space="preserve">entregar vía Sistema de Accesos a la Información Mexiquense (SAIMEX) y correo electrónico, de ser procedente en versión pública, la siguiente </w:t>
      </w:r>
      <w:r w:rsidRPr="00AC562A">
        <w:rPr>
          <w:rFonts w:ascii="Palatino Linotype" w:hAnsi="Palatino Linotype" w:cs="Arial"/>
          <w:bCs/>
          <w:szCs w:val="20"/>
          <w:lang w:eastAsia="es-ES"/>
        </w:rPr>
        <w:t>información:</w:t>
      </w:r>
    </w:p>
    <w:p w:rsidR="00ED0988" w:rsidRPr="00AC562A" w:rsidRDefault="00ED0988" w:rsidP="00ED0988">
      <w:pPr>
        <w:spacing w:line="360" w:lineRule="auto"/>
        <w:jc w:val="both"/>
        <w:rPr>
          <w:rFonts w:ascii="Palatino Linotype" w:hAnsi="Palatino Linotype" w:cs="Tahoma"/>
          <w:lang w:val="es-ES" w:eastAsia="es-ES"/>
        </w:rPr>
      </w:pPr>
    </w:p>
    <w:p w:rsidR="00ED0988" w:rsidRPr="00AC562A" w:rsidRDefault="00ED0988" w:rsidP="00ED0988">
      <w:pPr>
        <w:spacing w:line="360" w:lineRule="auto"/>
        <w:ind w:left="567"/>
        <w:contextualSpacing/>
        <w:jc w:val="both"/>
        <w:rPr>
          <w:rFonts w:ascii="Palatino Linotype" w:hAnsi="Palatino Linotype" w:cs="Tahoma"/>
          <w:b/>
          <w:i/>
          <w:lang w:val="es-ES_tradnl" w:eastAsia="es-ES"/>
        </w:rPr>
      </w:pPr>
      <w:r w:rsidRPr="00AC562A">
        <w:rPr>
          <w:rFonts w:ascii="Palatino Linotype" w:hAnsi="Palatino Linotype" w:cs="Tahoma"/>
          <w:b/>
          <w:lang w:eastAsia="es-ES"/>
        </w:rPr>
        <w:t xml:space="preserve">a) </w:t>
      </w:r>
      <w:r w:rsidRPr="00AC562A">
        <w:rPr>
          <w:rFonts w:ascii="Palatino Linotype" w:hAnsi="Palatino Linotype" w:cs="Tahoma"/>
          <w:b/>
          <w:iCs/>
          <w:lang w:val="es-ES" w:eastAsia="es-ES"/>
        </w:rPr>
        <w:t xml:space="preserve">Número de registro y zonas de operación como permisionario y/o  concesionario del servicio de arrastre, salvamento guardia, custodia y depósito de vehículos para la empresa </w:t>
      </w:r>
      <w:r w:rsidRPr="00AC562A">
        <w:rPr>
          <w:rFonts w:ascii="Palatino Linotype" w:hAnsi="Palatino Linotype" w:cs="Tahoma"/>
          <w:b/>
          <w:iCs/>
          <w:lang w:val="es-ES_tradnl" w:eastAsia="es-ES"/>
        </w:rPr>
        <w:t>“Servicio de Grúas Sultepec S.A de C.V.” y “Prospectiva Trascendental y Génesis del Desarrollo, S.A de C.V.”</w:t>
      </w:r>
      <w:r w:rsidRPr="00AC562A">
        <w:rPr>
          <w:rFonts w:ascii="Palatino Linotype" w:hAnsi="Palatino Linotype" w:cs="Tahoma"/>
          <w:b/>
          <w:iCs/>
          <w:lang w:val="es-ES" w:eastAsia="es-ES"/>
        </w:rPr>
        <w:t>.</w:t>
      </w:r>
    </w:p>
    <w:p w:rsidR="00ED0988" w:rsidRPr="00AC562A" w:rsidRDefault="00ED0988" w:rsidP="00ED0988">
      <w:pPr>
        <w:spacing w:line="360" w:lineRule="auto"/>
        <w:ind w:left="567"/>
        <w:contextualSpacing/>
        <w:jc w:val="both"/>
        <w:rPr>
          <w:rFonts w:ascii="Palatino Linotype" w:hAnsi="Palatino Linotype" w:cs="Tahoma"/>
          <w:lang w:eastAsia="es-ES"/>
        </w:rPr>
      </w:pPr>
    </w:p>
    <w:p w:rsidR="00ED0988" w:rsidRPr="00AC562A" w:rsidRDefault="00ED0988" w:rsidP="00ED0988">
      <w:pPr>
        <w:spacing w:line="360" w:lineRule="auto"/>
        <w:jc w:val="both"/>
        <w:rPr>
          <w:rFonts w:ascii="Palatino Linotype" w:eastAsia="Calibri" w:hAnsi="Palatino Linotype" w:cs="Arial"/>
          <w:szCs w:val="20"/>
          <w:lang w:eastAsia="es-ES"/>
        </w:rPr>
      </w:pPr>
      <w:r w:rsidRPr="00AC562A">
        <w:rPr>
          <w:rFonts w:ascii="Palatino Linotype" w:eastAsia="Calibri" w:hAnsi="Palatino Linotype" w:cs="Arial"/>
          <w:szCs w:val="20"/>
          <w:lang w:eastAsia="es-ES"/>
        </w:rPr>
        <w:t xml:space="preserve">Para efectos de lo anterior se deberá emitir el Acuerdo del Comité de Transparencia en términos de los artículos 49 fracción VIII y 132 fracción II de la Ley de Transparencia </w:t>
      </w:r>
      <w:r w:rsidRPr="00AC562A">
        <w:rPr>
          <w:rFonts w:ascii="Palatino Linotype" w:eastAsia="Calibri" w:hAnsi="Palatino Linotype" w:cs="Arial"/>
          <w:szCs w:val="20"/>
          <w:lang w:eastAsia="es-ES"/>
        </w:rPr>
        <w:lastRenderedPageBreak/>
        <w:t>y Acceso a la Información Pública del Estado de México y Municipios, en el que funde y motive las razones sobre los datos que se supriman o eliminen dentro del soporte documental respectivo objeto de las versiones públicas que se formulen.</w:t>
      </w:r>
    </w:p>
    <w:p w:rsidR="00ED0988" w:rsidRPr="00AC562A" w:rsidRDefault="00ED0988" w:rsidP="00ED0988">
      <w:pPr>
        <w:spacing w:line="360" w:lineRule="auto"/>
        <w:jc w:val="both"/>
        <w:rPr>
          <w:rFonts w:ascii="Palatino Linotype" w:hAnsi="Palatino Linotype" w:cs="Tahoma"/>
          <w:lang w:eastAsia="es-ES"/>
        </w:rPr>
      </w:pPr>
    </w:p>
    <w:p w:rsidR="00ED0988" w:rsidRPr="00AC562A" w:rsidRDefault="00ED0988" w:rsidP="00ED0988">
      <w:pPr>
        <w:tabs>
          <w:tab w:val="left" w:pos="8080"/>
        </w:tabs>
        <w:spacing w:line="360" w:lineRule="auto"/>
        <w:ind w:right="48"/>
        <w:contextualSpacing/>
        <w:jc w:val="both"/>
        <w:rPr>
          <w:rFonts w:ascii="Palatino Linotype" w:eastAsia="Palatino Linotype" w:hAnsi="Palatino Linotype" w:cs="Palatino Linotype"/>
          <w:b/>
          <w:szCs w:val="20"/>
          <w:lang w:eastAsia="es-ES"/>
        </w:rPr>
      </w:pPr>
      <w:r w:rsidRPr="00AC562A">
        <w:rPr>
          <w:rFonts w:ascii="Palatino Linotype" w:eastAsia="Palatino Linotype" w:hAnsi="Palatino Linotype" w:cs="Palatino Linotype"/>
          <w:b/>
          <w:szCs w:val="20"/>
          <w:lang w:eastAsia="es-ES"/>
        </w:rPr>
        <w:t xml:space="preserve">TERCERO. Notifíquese </w:t>
      </w:r>
      <w:r w:rsidRPr="00AC562A">
        <w:rPr>
          <w:rFonts w:ascii="Palatino Linotype" w:eastAsia="Palatino Linotype" w:hAnsi="Palatino Linotype" w:cs="Palatino Linotype"/>
          <w:szCs w:val="20"/>
          <w:lang w:eastAsia="es-ES"/>
        </w:rPr>
        <w:t xml:space="preserve">al Titular de la Unidad de Transparencia del </w:t>
      </w:r>
      <w:r w:rsidRPr="00AC562A">
        <w:rPr>
          <w:rFonts w:ascii="Palatino Linotype" w:eastAsia="Palatino Linotype" w:hAnsi="Palatino Linotype" w:cs="Palatino Linotype"/>
          <w:b/>
          <w:szCs w:val="20"/>
          <w:lang w:eastAsia="es-ES"/>
        </w:rPr>
        <w:t>SUJETO OBLIGADO</w:t>
      </w:r>
      <w:r w:rsidRPr="00AC562A">
        <w:rPr>
          <w:rFonts w:ascii="Palatino Linotype" w:eastAsia="Palatino Linotype" w:hAnsi="Palatino Linotype" w:cs="Palatino Linotype"/>
          <w:szCs w:val="20"/>
          <w:lang w:eastAsia="es-ES"/>
        </w:rPr>
        <w:t xml:space="preserve">, para que conforme a los artículos 186 último párrafo, 189 párrafo segundo y 199 de la Ley de Transparencia y Acceso a la Información Pública del Estado de México y Municipios, </w:t>
      </w:r>
      <w:r w:rsidRPr="00AC562A">
        <w:rPr>
          <w:rFonts w:ascii="Palatino Linotype" w:hAnsi="Palatino Linotype"/>
          <w:color w:val="222222"/>
          <w:szCs w:val="20"/>
          <w:shd w:val="clear" w:color="auto" w:fill="FFFFFF"/>
          <w:lang w:eastAsia="es-ES"/>
        </w:rPr>
        <w:t>vigente, dé cumplimiento a lo ordenado dentro del plazo de diez días hábiles, debiendo rendir a este Instituto el informe de cumplimiento de la resolución en un plazo de tres días hábiles posteriores.</w:t>
      </w:r>
    </w:p>
    <w:p w:rsidR="00ED0988" w:rsidRPr="00AC562A" w:rsidRDefault="00ED0988" w:rsidP="00ED0988">
      <w:pPr>
        <w:shd w:val="clear" w:color="auto" w:fill="FFFFFF"/>
        <w:tabs>
          <w:tab w:val="left" w:pos="4020"/>
        </w:tabs>
        <w:spacing w:line="360" w:lineRule="auto"/>
        <w:ind w:right="48"/>
        <w:jc w:val="both"/>
        <w:rPr>
          <w:rFonts w:ascii="Palatino Linotype" w:hAnsi="Palatino Linotype" w:cs="Arial"/>
          <w:b/>
          <w:szCs w:val="20"/>
          <w:lang w:eastAsia="es-ES"/>
        </w:rPr>
      </w:pPr>
      <w:r w:rsidRPr="00AC562A">
        <w:rPr>
          <w:rFonts w:ascii="Palatino Linotype" w:hAnsi="Palatino Linotype" w:cs="Arial"/>
          <w:b/>
          <w:szCs w:val="20"/>
          <w:lang w:eastAsia="es-ES"/>
        </w:rPr>
        <w:tab/>
      </w:r>
    </w:p>
    <w:p w:rsidR="00ED0988" w:rsidRPr="00AC562A" w:rsidRDefault="00ED0988" w:rsidP="00ED0988">
      <w:pPr>
        <w:shd w:val="clear" w:color="auto" w:fill="FFFFFF"/>
        <w:spacing w:line="360" w:lineRule="auto"/>
        <w:ind w:right="48"/>
        <w:jc w:val="both"/>
        <w:rPr>
          <w:rFonts w:ascii="Palatino Linotype" w:hAnsi="Palatino Linotype"/>
          <w:szCs w:val="20"/>
          <w:lang w:eastAsia="es-ES"/>
        </w:rPr>
      </w:pPr>
      <w:r w:rsidRPr="00AC562A">
        <w:rPr>
          <w:rFonts w:ascii="Palatino Linotype" w:hAnsi="Palatino Linotype" w:cs="Arial"/>
          <w:b/>
          <w:szCs w:val="20"/>
          <w:lang w:eastAsia="es-ES"/>
        </w:rPr>
        <w:t xml:space="preserve">CUARTO. </w:t>
      </w:r>
      <w:r w:rsidRPr="00AC562A">
        <w:rPr>
          <w:rFonts w:ascii="Palatino Linotype" w:hAnsi="Palatino Linotype"/>
          <w:b/>
          <w:bCs/>
          <w:szCs w:val="20"/>
          <w:lang w:val="es-ES" w:eastAsia="es-ES"/>
        </w:rPr>
        <w:t>Notifíquese al RECURRENTE</w:t>
      </w:r>
      <w:r w:rsidRPr="00AC562A">
        <w:rPr>
          <w:rFonts w:ascii="Palatino Linotype" w:hAnsi="Palatino Linotype"/>
          <w:szCs w:val="20"/>
          <w:lang w:eastAsia="es-ES"/>
        </w:rPr>
        <w:t xml:space="preserve"> la presente resolución.</w:t>
      </w:r>
    </w:p>
    <w:p w:rsidR="00ED0988" w:rsidRPr="00AC562A" w:rsidRDefault="00ED0988" w:rsidP="00ED0988">
      <w:pPr>
        <w:shd w:val="clear" w:color="auto" w:fill="FFFFFF"/>
        <w:spacing w:line="360" w:lineRule="auto"/>
        <w:ind w:right="48"/>
        <w:jc w:val="both"/>
        <w:rPr>
          <w:rFonts w:ascii="Palatino Linotype" w:hAnsi="Palatino Linotype"/>
          <w:b/>
          <w:color w:val="FF0000"/>
          <w:szCs w:val="20"/>
          <w:lang w:eastAsia="es-ES"/>
        </w:rPr>
      </w:pPr>
    </w:p>
    <w:p w:rsidR="00ED0988" w:rsidRPr="00AC562A" w:rsidRDefault="00ED0988" w:rsidP="00ED0988">
      <w:pPr>
        <w:spacing w:line="360" w:lineRule="auto"/>
        <w:ind w:right="48"/>
        <w:jc w:val="both"/>
        <w:rPr>
          <w:rFonts w:ascii="Palatino Linotype" w:eastAsia="MS Mincho" w:hAnsi="Palatino Linotype"/>
          <w:szCs w:val="20"/>
          <w:lang w:val="es-ES" w:eastAsia="es-ES"/>
        </w:rPr>
      </w:pPr>
      <w:r w:rsidRPr="00AC562A">
        <w:rPr>
          <w:rFonts w:ascii="Palatino Linotype" w:eastAsia="MS Mincho" w:hAnsi="Palatino Linotype"/>
          <w:b/>
          <w:szCs w:val="20"/>
          <w:lang w:eastAsia="es-ES"/>
        </w:rPr>
        <w:t>QUINTO.</w:t>
      </w:r>
      <w:r w:rsidRPr="00AC562A">
        <w:rPr>
          <w:rFonts w:ascii="Palatino Linotype" w:eastAsia="MS Mincho" w:hAnsi="Palatino Linotype"/>
          <w:szCs w:val="20"/>
          <w:lang w:eastAsia="es-ES"/>
        </w:rPr>
        <w:t xml:space="preserve"> </w:t>
      </w:r>
      <w:r w:rsidRPr="00AC562A">
        <w:rPr>
          <w:rFonts w:ascii="Palatino Linotype" w:eastAsia="MS Mincho" w:hAnsi="Palatino Linotype"/>
          <w:szCs w:val="20"/>
          <w:lang w:val="es-ES" w:eastAsia="es-ES"/>
        </w:rPr>
        <w:t xml:space="preserve">Se hace del conocimiento del </w:t>
      </w:r>
      <w:r w:rsidRPr="00AC562A">
        <w:rPr>
          <w:rFonts w:ascii="Palatino Linotype" w:hAnsi="Palatino Linotype"/>
          <w:b/>
          <w:szCs w:val="20"/>
          <w:lang w:eastAsia="es-ES"/>
        </w:rPr>
        <w:t>RECURRENTE</w:t>
      </w:r>
      <w:r w:rsidRPr="00AC562A">
        <w:rPr>
          <w:rFonts w:ascii="Palatino Linotype" w:hAnsi="Palatino Linotype"/>
          <w:szCs w:val="20"/>
          <w:lang w:eastAsia="es-ES"/>
        </w:rPr>
        <w:t xml:space="preserve"> </w:t>
      </w:r>
      <w:r w:rsidRPr="00AC562A">
        <w:rPr>
          <w:rFonts w:ascii="Palatino Linotype" w:eastAsia="MS Mincho" w:hAnsi="Palatino Linotype"/>
          <w:szCs w:val="20"/>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AC562A">
        <w:rPr>
          <w:rFonts w:ascii="Palatino Linotype" w:eastAsia="MS Mincho" w:hAnsi="Palatino Linotype"/>
          <w:bCs/>
          <w:szCs w:val="20"/>
          <w:lang w:val="es-ES" w:eastAsia="es-ES"/>
        </w:rPr>
        <w:t>vía juicio de amparo</w:t>
      </w:r>
      <w:r w:rsidRPr="00AC562A">
        <w:rPr>
          <w:rFonts w:ascii="Palatino Linotype" w:eastAsia="MS Mincho" w:hAnsi="Palatino Linotype"/>
          <w:szCs w:val="20"/>
          <w:lang w:val="es-ES" w:eastAsia="es-ES"/>
        </w:rPr>
        <w:t> en los términos de las leyes aplicables.</w:t>
      </w:r>
    </w:p>
    <w:p w:rsidR="00ED0988" w:rsidRPr="00AC562A" w:rsidRDefault="00ED0988" w:rsidP="00ED0988">
      <w:pPr>
        <w:spacing w:line="360" w:lineRule="auto"/>
        <w:ind w:right="48"/>
        <w:jc w:val="both"/>
        <w:rPr>
          <w:rFonts w:ascii="Palatino Linotype" w:hAnsi="Palatino Linotype"/>
          <w:color w:val="000000"/>
          <w:szCs w:val="20"/>
          <w:shd w:val="clear" w:color="auto" w:fill="FFFFFF"/>
          <w:lang w:eastAsia="es-ES"/>
        </w:rPr>
      </w:pPr>
    </w:p>
    <w:p w:rsidR="00ED0988" w:rsidRPr="00AC562A" w:rsidRDefault="00ED0988" w:rsidP="00ED0988">
      <w:pPr>
        <w:spacing w:line="360" w:lineRule="auto"/>
        <w:ind w:right="48"/>
        <w:jc w:val="both"/>
        <w:rPr>
          <w:rFonts w:ascii="Palatino Linotype" w:eastAsia="Calibri" w:hAnsi="Palatino Linotype" w:cs="Arial"/>
          <w:bCs/>
          <w:szCs w:val="20"/>
          <w:lang w:eastAsia="es-ES"/>
        </w:rPr>
      </w:pPr>
      <w:r w:rsidRPr="00AC562A">
        <w:rPr>
          <w:rFonts w:ascii="Palatino Linotype" w:hAnsi="Palatino Linotype"/>
          <w:b/>
          <w:color w:val="000000"/>
          <w:szCs w:val="20"/>
          <w:shd w:val="clear" w:color="auto" w:fill="FFFFFF"/>
          <w:lang w:eastAsia="es-ES"/>
        </w:rPr>
        <w:t xml:space="preserve">SEXTO. </w:t>
      </w:r>
      <w:r w:rsidRPr="00AC562A">
        <w:rPr>
          <w:rFonts w:ascii="Palatino Linotype" w:eastAsia="Calibri" w:hAnsi="Palatino Linotype" w:cs="Arial"/>
          <w:bCs/>
          <w:szCs w:val="20"/>
          <w:lang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4D2304" w:rsidRPr="00AC562A" w:rsidRDefault="004D2304" w:rsidP="004D2304">
      <w:pPr>
        <w:spacing w:line="360" w:lineRule="auto"/>
        <w:ind w:right="48"/>
        <w:jc w:val="both"/>
        <w:rPr>
          <w:rFonts w:ascii="Palatino Linotype" w:hAnsi="Palatino Linotype"/>
        </w:rPr>
      </w:pPr>
    </w:p>
    <w:p w:rsidR="000D2B1B" w:rsidRDefault="000D2B1B" w:rsidP="000D2B1B">
      <w:pPr>
        <w:spacing w:before="240" w:after="240" w:line="360" w:lineRule="auto"/>
        <w:jc w:val="both"/>
        <w:rPr>
          <w:rFonts w:ascii="Palatino Linotype" w:hAnsi="Palatino Linotype"/>
        </w:rPr>
      </w:pPr>
      <w:r w:rsidRPr="00AC562A">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SEGUNDA SESIÓN ORDINARIA CELEBRADA EL DIECIOCHO (18) DE ENERO DE DOS MIL VEINTITRÉS, ANTE EL SECRETARIO TÉCNICO DEL PLENO ALEXIS TAPIA RAMÍREZ.</w:t>
      </w:r>
      <w:bookmarkStart w:id="40" w:name="_GoBack"/>
      <w:bookmarkEnd w:id="40"/>
      <w:r w:rsidRPr="00624AAD">
        <w:rPr>
          <w:rFonts w:ascii="Palatino Linotype" w:hAnsi="Palatino Linotype"/>
        </w:rPr>
        <w:t xml:space="preserve"> </w:t>
      </w:r>
    </w:p>
    <w:p w:rsidR="004D2304" w:rsidRPr="006A2B89" w:rsidRDefault="004D2304" w:rsidP="004D2304">
      <w:pPr>
        <w:keepNext/>
        <w:keepLines/>
        <w:spacing w:line="360" w:lineRule="auto"/>
        <w:outlineLvl w:val="1"/>
        <w:rPr>
          <w:rFonts w:ascii="Palatino Linotype" w:hAnsi="Palatino Linotype"/>
        </w:rPr>
      </w:pPr>
    </w:p>
    <w:p w:rsidR="004D2304" w:rsidRPr="006A2B89" w:rsidRDefault="004D2304" w:rsidP="004D2304">
      <w:pPr>
        <w:keepNext/>
        <w:keepLines/>
        <w:spacing w:line="360" w:lineRule="auto"/>
        <w:outlineLvl w:val="1"/>
        <w:rPr>
          <w:rFonts w:ascii="Palatino Linotype" w:hAnsi="Palatino Linotype"/>
        </w:rPr>
      </w:pPr>
    </w:p>
    <w:p w:rsidR="004D2304" w:rsidRPr="006A2B89" w:rsidRDefault="004D2304" w:rsidP="004D2304">
      <w:pPr>
        <w:keepNext/>
        <w:keepLines/>
        <w:spacing w:line="360" w:lineRule="auto"/>
        <w:outlineLvl w:val="1"/>
        <w:rPr>
          <w:rFonts w:ascii="Palatino Linotype" w:hAnsi="Palatino Linotype"/>
        </w:rPr>
      </w:pPr>
    </w:p>
    <w:p w:rsidR="004D2304" w:rsidRPr="006A2B89" w:rsidRDefault="004D2304" w:rsidP="004D2304">
      <w:pPr>
        <w:keepNext/>
        <w:keepLines/>
        <w:spacing w:line="360" w:lineRule="auto"/>
        <w:outlineLvl w:val="1"/>
        <w:rPr>
          <w:rFonts w:ascii="Palatino Linotype" w:hAnsi="Palatino Linotype"/>
        </w:rPr>
      </w:pPr>
    </w:p>
    <w:p w:rsidR="004D2304" w:rsidRPr="006A2B89" w:rsidRDefault="004D2304" w:rsidP="004D2304">
      <w:pPr>
        <w:spacing w:line="360" w:lineRule="auto"/>
        <w:rPr>
          <w:rFonts w:ascii="Palatino Linotype" w:hAnsi="Palatino Linotype"/>
        </w:rPr>
      </w:pPr>
    </w:p>
    <w:p w:rsidR="004D2304" w:rsidRDefault="004D2304" w:rsidP="004D2304"/>
    <w:p w:rsidR="00E54ABE" w:rsidRDefault="00E54ABE"/>
    <w:sectPr w:rsidR="00E54ABE" w:rsidSect="0052284B">
      <w:headerReference w:type="even" r:id="rId18"/>
      <w:headerReference w:type="default" r:id="rId19"/>
      <w:footerReference w:type="default" r:id="rId20"/>
      <w:headerReference w:type="first" r:id="rId21"/>
      <w:footerReference w:type="first" r:id="rId22"/>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51F6" w:rsidRDefault="00B751F6" w:rsidP="004D2304">
      <w:r>
        <w:separator/>
      </w:r>
    </w:p>
  </w:endnote>
  <w:endnote w:type="continuationSeparator" w:id="0">
    <w:p w:rsidR="00B751F6" w:rsidRDefault="00B751F6" w:rsidP="004D2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DengXian Light">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284B" w:rsidRDefault="009834AF">
    <w:pPr>
      <w:pStyle w:val="Piedepgina"/>
      <w:jc w:val="right"/>
    </w:pPr>
    <w:r>
      <w:rPr>
        <w:lang w:val="es-ES"/>
      </w:rPr>
      <w:t xml:space="preserve">Página </w:t>
    </w:r>
    <w:r>
      <w:rPr>
        <w:b/>
        <w:bCs/>
      </w:rPr>
      <w:fldChar w:fldCharType="begin"/>
    </w:r>
    <w:r>
      <w:rPr>
        <w:b/>
        <w:bCs/>
      </w:rPr>
      <w:instrText>PAGE</w:instrText>
    </w:r>
    <w:r>
      <w:rPr>
        <w:b/>
        <w:bCs/>
      </w:rPr>
      <w:fldChar w:fldCharType="separate"/>
    </w:r>
    <w:r w:rsidR="00AC562A">
      <w:rPr>
        <w:b/>
        <w:bCs/>
        <w:noProof/>
      </w:rPr>
      <w:t>32</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C562A">
      <w:rPr>
        <w:b/>
        <w:bCs/>
        <w:noProof/>
      </w:rPr>
      <w:t>45</w:t>
    </w:r>
    <w:r>
      <w:rPr>
        <w:b/>
        <w:bCs/>
      </w:rPr>
      <w:fldChar w:fldCharType="end"/>
    </w:r>
  </w:p>
  <w:p w:rsidR="0052284B" w:rsidRDefault="00AC562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284B" w:rsidRDefault="009834AF">
    <w:pPr>
      <w:pStyle w:val="Piedepgina"/>
      <w:jc w:val="right"/>
    </w:pPr>
    <w:r>
      <w:rPr>
        <w:lang w:val="es-ES"/>
      </w:rPr>
      <w:t xml:space="preserve">Página </w:t>
    </w:r>
    <w:r>
      <w:rPr>
        <w:b/>
        <w:bCs/>
      </w:rPr>
      <w:fldChar w:fldCharType="begin"/>
    </w:r>
    <w:r>
      <w:rPr>
        <w:b/>
        <w:bCs/>
      </w:rPr>
      <w:instrText>PAGE</w:instrText>
    </w:r>
    <w:r>
      <w:rPr>
        <w:b/>
        <w:bCs/>
      </w:rPr>
      <w:fldChar w:fldCharType="separate"/>
    </w:r>
    <w:r w:rsidR="00AC562A">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C562A">
      <w:rPr>
        <w:b/>
        <w:bCs/>
        <w:noProof/>
      </w:rPr>
      <w:t>45</w:t>
    </w:r>
    <w:r>
      <w:rPr>
        <w:b/>
        <w:bCs/>
      </w:rPr>
      <w:fldChar w:fldCharType="end"/>
    </w:r>
  </w:p>
  <w:p w:rsidR="0052284B" w:rsidRDefault="00AC562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51F6" w:rsidRDefault="00B751F6" w:rsidP="004D2304">
      <w:r>
        <w:separator/>
      </w:r>
    </w:p>
  </w:footnote>
  <w:footnote w:type="continuationSeparator" w:id="0">
    <w:p w:rsidR="00B751F6" w:rsidRDefault="00B751F6" w:rsidP="004D2304">
      <w:r>
        <w:continuationSeparator/>
      </w:r>
    </w:p>
  </w:footnote>
  <w:footnote w:id="1">
    <w:p w:rsidR="002B6DCC" w:rsidRDefault="002B6DCC" w:rsidP="002B6DCC">
      <w:pPr>
        <w:pStyle w:val="Textonotapie"/>
      </w:pPr>
      <w:r>
        <w:rPr>
          <w:rStyle w:val="Refdenotaalpie"/>
        </w:rPr>
        <w:footnoteRef/>
      </w:r>
      <w:r>
        <w:t xml:space="preserve"> Convención Americana sobre Derechos Humanos. Artículo 13.</w:t>
      </w:r>
    </w:p>
  </w:footnote>
  <w:footnote w:id="2">
    <w:p w:rsidR="002B6DCC" w:rsidRDefault="002B6DCC" w:rsidP="002B6DCC">
      <w:pPr>
        <w:pStyle w:val="Textonotapie"/>
      </w:pPr>
      <w:r>
        <w:rPr>
          <w:rStyle w:val="Refdenotaalpie"/>
        </w:rPr>
        <w:footnoteRef/>
      </w:r>
      <w:r>
        <w:t xml:space="preserve"> Constitución Política de los Estados Unidos Mexicanos. Artículo sexto, sección A, fracción I.</w:t>
      </w:r>
    </w:p>
  </w:footnote>
  <w:footnote w:id="3">
    <w:p w:rsidR="002B6DCC" w:rsidRDefault="002B6DCC" w:rsidP="002B6DCC">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2B6DCC" w:rsidRDefault="002B6DCC" w:rsidP="002B6DCC">
      <w:pPr>
        <w:pStyle w:val="Textonotapie"/>
      </w:pPr>
      <w:r>
        <w:rPr>
          <w:rStyle w:val="Refdenotaalpie"/>
        </w:rPr>
        <w:footnoteRef/>
      </w:r>
      <w:r>
        <w:t xml:space="preserve"> Ibídem. Parr. 87.</w:t>
      </w:r>
    </w:p>
  </w:footnote>
  <w:footnote w:id="5">
    <w:p w:rsidR="0044050D" w:rsidRDefault="0044050D" w:rsidP="0044050D">
      <w:pPr>
        <w:pStyle w:val="Textonotapie"/>
        <w:jc w:val="both"/>
      </w:pPr>
      <w:r>
        <w:rPr>
          <w:rStyle w:val="Refdenotaalpie"/>
        </w:rPr>
        <w:footnoteRef/>
      </w:r>
      <w:r>
        <w:t xml:space="preserve"> </w:t>
      </w:r>
      <w:r w:rsidRPr="00394AFF">
        <w:t xml:space="preserve">Referencias que tienen sustento bajo analogía con la jurisprudencia publicada en el Semanario Judicial de la Federación con número de registro 2010038 (V Región) 2º. J/1 (10ª) identificada con el rubro </w:t>
      </w:r>
      <w:r w:rsidRPr="00394AFF">
        <w:rPr>
          <w:b/>
          <w:bCs/>
        </w:rPr>
        <w:t>CONCEPTOS O AGRAVIOS INOPERANTES. QUÉ DEBE ENTENDERSE POR "RAZONAMIENTO" COMO COMPONENTE DE LA CAUSA DE PEDIR PARA QUE PROCEDA SU ESTUDIO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284B" w:rsidRDefault="00AC562A">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style="position:absolute;margin-left:0;margin-top:0;width:589.8pt;height:768pt;z-index:-251659776;mso-wrap-edited:f;mso-position-horizontal:center;mso-position-horizontal-relative:margin;mso-position-vertical:center;mso-position-vertical-relative:margin"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52284B" w:rsidRPr="005C106F" w:rsidTr="0052284B">
      <w:trPr>
        <w:trHeight w:val="1435"/>
      </w:trPr>
      <w:tc>
        <w:tcPr>
          <w:tcW w:w="2268" w:type="dxa"/>
          <w:shd w:val="clear" w:color="auto" w:fill="auto"/>
        </w:tcPr>
        <w:p w:rsidR="0052284B" w:rsidRPr="005C106F" w:rsidRDefault="00AC562A" w:rsidP="0052284B">
          <w:pPr>
            <w:tabs>
              <w:tab w:val="right" w:pos="4273"/>
            </w:tabs>
            <w:rPr>
              <w:rFonts w:ascii="Garamond" w:eastAsia="Calibri" w:hAnsi="Garamond"/>
              <w:sz w:val="16"/>
              <w:szCs w:val="16"/>
              <w:lang w:eastAsia="en-US"/>
            </w:rPr>
          </w:pPr>
        </w:p>
      </w:tc>
      <w:tc>
        <w:tcPr>
          <w:tcW w:w="6946" w:type="dxa"/>
          <w:shd w:val="clear" w:color="auto" w:fill="auto"/>
        </w:tcPr>
        <w:p w:rsidR="0052284B" w:rsidRDefault="00AC562A" w:rsidP="0052284B"/>
        <w:tbl>
          <w:tblPr>
            <w:tblW w:w="6662" w:type="dxa"/>
            <w:tblInd w:w="40" w:type="dxa"/>
            <w:tblLayout w:type="fixed"/>
            <w:tblLook w:val="0420" w:firstRow="1" w:lastRow="0" w:firstColumn="0" w:lastColumn="0" w:noHBand="0" w:noVBand="1"/>
          </w:tblPr>
          <w:tblGrid>
            <w:gridCol w:w="2551"/>
            <w:gridCol w:w="4111"/>
          </w:tblGrid>
          <w:tr w:rsidR="0052284B" w:rsidTr="0052284B">
            <w:trPr>
              <w:trHeight w:val="150"/>
            </w:trPr>
            <w:tc>
              <w:tcPr>
                <w:tcW w:w="2551" w:type="dxa"/>
                <w:shd w:val="clear" w:color="auto" w:fill="auto"/>
              </w:tcPr>
              <w:p w:rsidR="0052284B" w:rsidRPr="00020E73" w:rsidRDefault="009834AF" w:rsidP="0052284B">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52284B" w:rsidRPr="00020E73" w:rsidRDefault="004D2304" w:rsidP="0052284B">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13118</w:t>
                </w:r>
                <w:r w:rsidR="009834AF">
                  <w:rPr>
                    <w:rFonts w:ascii="Palatino Linotype" w:eastAsia="Calibri" w:hAnsi="Palatino Linotype" w:cs="Tahoma"/>
                    <w:bCs/>
                    <w:sz w:val="22"/>
                    <w:szCs w:val="22"/>
                    <w:lang w:eastAsia="en-US"/>
                  </w:rPr>
                  <w:t>/INFOEM/IP/RR/2022</w:t>
                </w:r>
                <w:r w:rsidR="009834AF" w:rsidRPr="009E7B0A">
                  <w:rPr>
                    <w:rFonts w:ascii="Palatino Linotype" w:eastAsia="Calibri" w:hAnsi="Palatino Linotype" w:cs="Tahoma"/>
                    <w:b/>
                    <w:bCs/>
                    <w:sz w:val="22"/>
                    <w:szCs w:val="22"/>
                    <w:lang w:eastAsia="en-US"/>
                  </w:rPr>
                  <w:t xml:space="preserve"> </w:t>
                </w:r>
              </w:p>
            </w:tc>
          </w:tr>
          <w:tr w:rsidR="0052284B" w:rsidTr="0052284B">
            <w:trPr>
              <w:trHeight w:val="295"/>
            </w:trPr>
            <w:tc>
              <w:tcPr>
                <w:tcW w:w="2551" w:type="dxa"/>
                <w:shd w:val="clear" w:color="auto" w:fill="auto"/>
              </w:tcPr>
              <w:p w:rsidR="0052284B" w:rsidRPr="00020E73" w:rsidRDefault="009834AF" w:rsidP="0052284B">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52284B" w:rsidRPr="00020E73" w:rsidRDefault="004D2304" w:rsidP="0052284B">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 xml:space="preserve">Secretaría de Movilidad </w:t>
                </w:r>
                <w:r w:rsidR="009834AF">
                  <w:rPr>
                    <w:rFonts w:ascii="Palatino Linotype" w:eastAsia="Calibri" w:hAnsi="Palatino Linotype" w:cs="Tahoma"/>
                    <w:sz w:val="22"/>
                    <w:szCs w:val="22"/>
                    <w:lang w:eastAsia="en-US"/>
                  </w:rPr>
                  <w:t xml:space="preserve"> </w:t>
                </w:r>
              </w:p>
            </w:tc>
          </w:tr>
          <w:tr w:rsidR="0052284B" w:rsidTr="0052284B">
            <w:trPr>
              <w:trHeight w:val="295"/>
            </w:trPr>
            <w:tc>
              <w:tcPr>
                <w:tcW w:w="2551" w:type="dxa"/>
                <w:shd w:val="clear" w:color="auto" w:fill="auto"/>
              </w:tcPr>
              <w:p w:rsidR="0052284B" w:rsidRPr="00020E73" w:rsidRDefault="009834AF" w:rsidP="0052284B">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Comisionado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52284B" w:rsidRPr="00EC0FA8" w:rsidRDefault="009834AF" w:rsidP="0052284B">
                <w:pPr>
                  <w:tabs>
                    <w:tab w:val="right" w:pos="8838"/>
                  </w:tabs>
                  <w:ind w:left="-108" w:right="171"/>
                  <w:jc w:val="both"/>
                  <w:rPr>
                    <w:rFonts w:ascii="Palatino Linotype" w:eastAsia="Calibri" w:hAnsi="Palatino Linotype" w:cs="Tahoma"/>
                    <w:sz w:val="22"/>
                    <w:szCs w:val="22"/>
                    <w:lang w:val="es-ES" w:eastAsia="en-US"/>
                  </w:rPr>
                </w:pPr>
                <w:r w:rsidRPr="00EC0FA8">
                  <w:rPr>
                    <w:rFonts w:ascii="Palatino Linotype" w:eastAsia="Calibri" w:hAnsi="Palatino Linotype" w:cs="Tahoma"/>
                    <w:sz w:val="22"/>
                    <w:szCs w:val="22"/>
                    <w:lang w:val="es-ES" w:eastAsia="en-US"/>
                  </w:rPr>
                  <w:t>María del Rosario Mejía Ayala</w:t>
                </w:r>
              </w:p>
            </w:tc>
          </w:tr>
        </w:tbl>
        <w:p w:rsidR="0052284B" w:rsidRPr="005C106F" w:rsidRDefault="00AC562A" w:rsidP="0052284B">
          <w:pPr>
            <w:tabs>
              <w:tab w:val="right" w:pos="8838"/>
            </w:tabs>
            <w:ind w:left="-28"/>
            <w:jc w:val="both"/>
            <w:rPr>
              <w:rFonts w:ascii="Arial" w:eastAsia="Calibri" w:hAnsi="Arial" w:cs="Arial"/>
              <w:b/>
              <w:sz w:val="22"/>
              <w:szCs w:val="22"/>
              <w:lang w:eastAsia="en-US"/>
            </w:rPr>
          </w:pPr>
        </w:p>
      </w:tc>
    </w:tr>
  </w:tbl>
  <w:p w:rsidR="0052284B" w:rsidRPr="00443C6B" w:rsidRDefault="00AC562A" w:rsidP="0052284B">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style="position:absolute;margin-left:-68.8pt;margin-top:-120.5pt;width:589.8pt;height:768pt;z-index:-251658752;mso-wrap-edited:f;mso-position-horizontal-relative:margin;mso-position-vertical-relative:margin"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52284B" w:rsidRPr="00330DA7" w:rsidTr="0052284B">
      <w:trPr>
        <w:trHeight w:val="1435"/>
      </w:trPr>
      <w:tc>
        <w:tcPr>
          <w:tcW w:w="2268" w:type="dxa"/>
          <w:shd w:val="clear" w:color="auto" w:fill="auto"/>
        </w:tcPr>
        <w:p w:rsidR="0052284B" w:rsidRPr="00330DA7" w:rsidRDefault="00AC562A" w:rsidP="0052284B">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52284B" w:rsidRPr="00330DA7" w:rsidTr="0052284B">
            <w:trPr>
              <w:trHeight w:val="144"/>
            </w:trPr>
            <w:tc>
              <w:tcPr>
                <w:tcW w:w="2444" w:type="dxa"/>
                <w:shd w:val="clear" w:color="auto" w:fill="auto"/>
              </w:tcPr>
              <w:p w:rsidR="0052284B" w:rsidRPr="00020E73" w:rsidRDefault="009834AF" w:rsidP="0052284B">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52284B" w:rsidRPr="00020E73" w:rsidRDefault="004D2304" w:rsidP="0052284B">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13118</w:t>
                </w:r>
                <w:r w:rsidR="009834AF">
                  <w:rPr>
                    <w:rFonts w:ascii="Palatino Linotype" w:eastAsia="Calibri" w:hAnsi="Palatino Linotype" w:cs="Tahoma"/>
                    <w:sz w:val="22"/>
                    <w:szCs w:val="22"/>
                    <w:lang w:eastAsia="en-US"/>
                  </w:rPr>
                  <w:t>/INFOEM/IP/RR/2022</w:t>
                </w:r>
                <w:r w:rsidR="009834AF">
                  <w:rPr>
                    <w:rFonts w:ascii="Palatino Linotype" w:eastAsia="Calibri" w:hAnsi="Palatino Linotype" w:cs="Tahoma"/>
                    <w:b/>
                    <w:bCs/>
                    <w:sz w:val="22"/>
                    <w:szCs w:val="22"/>
                    <w:lang w:eastAsia="en-US"/>
                  </w:rPr>
                  <w:t xml:space="preserve"> </w:t>
                </w:r>
              </w:p>
            </w:tc>
          </w:tr>
          <w:tr w:rsidR="0052284B" w:rsidRPr="00330DA7" w:rsidTr="0052284B">
            <w:trPr>
              <w:trHeight w:val="144"/>
            </w:trPr>
            <w:tc>
              <w:tcPr>
                <w:tcW w:w="2444" w:type="dxa"/>
                <w:shd w:val="clear" w:color="auto" w:fill="auto"/>
              </w:tcPr>
              <w:p w:rsidR="0052284B" w:rsidRPr="00020E73" w:rsidRDefault="009834AF" w:rsidP="0052284B">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52284B" w:rsidRPr="00020E73" w:rsidRDefault="00AC562A" w:rsidP="0052284B">
                <w:pPr>
                  <w:tabs>
                    <w:tab w:val="left" w:pos="3122"/>
                    <w:tab w:val="right" w:pos="8838"/>
                  </w:tabs>
                  <w:ind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XXX XXXX XXXXXX</w:t>
                </w:r>
              </w:p>
            </w:tc>
          </w:tr>
          <w:tr w:rsidR="0052284B" w:rsidRPr="00330DA7" w:rsidTr="0052284B">
            <w:trPr>
              <w:trHeight w:val="283"/>
            </w:trPr>
            <w:tc>
              <w:tcPr>
                <w:tcW w:w="2444" w:type="dxa"/>
                <w:shd w:val="clear" w:color="auto" w:fill="auto"/>
              </w:tcPr>
              <w:p w:rsidR="0052284B" w:rsidRPr="00020E73" w:rsidRDefault="009834AF" w:rsidP="0052284B">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52284B" w:rsidRPr="009E7B0A" w:rsidRDefault="004D2304" w:rsidP="0052284B">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Secretaría de Movilidad</w:t>
                </w:r>
              </w:p>
            </w:tc>
          </w:tr>
          <w:tr w:rsidR="0052284B" w:rsidRPr="00330DA7" w:rsidTr="0052284B">
            <w:trPr>
              <w:trHeight w:val="283"/>
            </w:trPr>
            <w:tc>
              <w:tcPr>
                <w:tcW w:w="2444" w:type="dxa"/>
                <w:shd w:val="clear" w:color="auto" w:fill="auto"/>
              </w:tcPr>
              <w:p w:rsidR="0052284B" w:rsidRPr="00020E73" w:rsidRDefault="009834AF" w:rsidP="0052284B">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Comisionado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52284B" w:rsidRPr="00EC0FA8" w:rsidRDefault="009834AF" w:rsidP="0052284B">
                <w:pPr>
                  <w:tabs>
                    <w:tab w:val="right" w:pos="8838"/>
                  </w:tabs>
                  <w:ind w:left="-74" w:right="-105"/>
                  <w:jc w:val="both"/>
                  <w:rPr>
                    <w:rFonts w:ascii="Palatino Linotype" w:eastAsia="Calibri" w:hAnsi="Palatino Linotype" w:cs="Tahoma"/>
                    <w:sz w:val="22"/>
                    <w:szCs w:val="22"/>
                    <w:lang w:val="es-ES" w:eastAsia="en-US"/>
                  </w:rPr>
                </w:pPr>
                <w:r w:rsidRPr="00EC0FA8">
                  <w:rPr>
                    <w:rFonts w:ascii="Palatino Linotype" w:eastAsia="Calibri" w:hAnsi="Palatino Linotype" w:cs="Tahoma"/>
                    <w:sz w:val="22"/>
                    <w:szCs w:val="22"/>
                    <w:lang w:val="es-ES" w:eastAsia="en-US"/>
                  </w:rPr>
                  <w:t>María del Rosario Mejía Ayala</w:t>
                </w:r>
              </w:p>
            </w:tc>
          </w:tr>
        </w:tbl>
        <w:p w:rsidR="0052284B" w:rsidRPr="00330DA7" w:rsidRDefault="00AC562A" w:rsidP="0052284B">
          <w:pPr>
            <w:tabs>
              <w:tab w:val="right" w:pos="8838"/>
            </w:tabs>
            <w:ind w:left="-28"/>
            <w:jc w:val="both"/>
            <w:rPr>
              <w:rFonts w:ascii="Arial" w:eastAsia="Calibri" w:hAnsi="Arial" w:cs="Arial"/>
              <w:b/>
              <w:sz w:val="22"/>
              <w:szCs w:val="22"/>
              <w:lang w:eastAsia="en-US"/>
            </w:rPr>
          </w:pPr>
        </w:p>
      </w:tc>
    </w:tr>
  </w:tbl>
  <w:p w:rsidR="0052284B" w:rsidRPr="00827FA0" w:rsidRDefault="00AC562A" w:rsidP="0052284B">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style="position:absolute;margin-left:-68.8pt;margin-top:-117.6pt;width:589.8pt;height:768pt;z-index:-251657728;mso-wrap-edited:f;mso-position-horizontal-relative:margin;mso-position-vertical-relative:margin"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284176"/>
    <w:multiLevelType w:val="hybridMultilevel"/>
    <w:tmpl w:val="0CB00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C1C69B9"/>
    <w:multiLevelType w:val="hybridMultilevel"/>
    <w:tmpl w:val="5A305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4317490"/>
    <w:multiLevelType w:val="hybridMultilevel"/>
    <w:tmpl w:val="C8D88A20"/>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6CD14D80"/>
    <w:multiLevelType w:val="hybridMultilevel"/>
    <w:tmpl w:val="ADF66C26"/>
    <w:lvl w:ilvl="0" w:tplc="5108FE22">
      <w:start w:val="1"/>
      <w:numFmt w:val="decimal"/>
      <w:lvlText w:val="%1."/>
      <w:lvlJc w:val="left"/>
      <w:pPr>
        <w:ind w:left="360" w:hanging="360"/>
      </w:pPr>
      <w:rPr>
        <w:rFonts w:eastAsia="Calibri"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43204EE"/>
    <w:multiLevelType w:val="hybridMultilevel"/>
    <w:tmpl w:val="CF00BBA6"/>
    <w:lvl w:ilvl="0" w:tplc="4A029FF2">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5"/>
  </w:num>
  <w:num w:numId="2">
    <w:abstractNumId w:val="0"/>
  </w:num>
  <w:num w:numId="3">
    <w:abstractNumId w:val="7"/>
  </w:num>
  <w:num w:numId="4">
    <w:abstractNumId w:val="2"/>
  </w:num>
  <w:num w:numId="5">
    <w:abstractNumId w:val="4"/>
  </w:num>
  <w:num w:numId="6">
    <w:abstractNumId w:val="3"/>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304"/>
    <w:rsid w:val="00072B2D"/>
    <w:rsid w:val="000D2B1B"/>
    <w:rsid w:val="001223A4"/>
    <w:rsid w:val="0012293D"/>
    <w:rsid w:val="00211B73"/>
    <w:rsid w:val="002B6DCC"/>
    <w:rsid w:val="003E3F38"/>
    <w:rsid w:val="003E5D5A"/>
    <w:rsid w:val="0044050D"/>
    <w:rsid w:val="0049594D"/>
    <w:rsid w:val="004D2304"/>
    <w:rsid w:val="00500A0D"/>
    <w:rsid w:val="00515F15"/>
    <w:rsid w:val="006A378C"/>
    <w:rsid w:val="006A6836"/>
    <w:rsid w:val="006E1583"/>
    <w:rsid w:val="00766791"/>
    <w:rsid w:val="00781551"/>
    <w:rsid w:val="007E3525"/>
    <w:rsid w:val="00840983"/>
    <w:rsid w:val="008E5AD4"/>
    <w:rsid w:val="0090050D"/>
    <w:rsid w:val="009834AF"/>
    <w:rsid w:val="00A250F1"/>
    <w:rsid w:val="00AB6137"/>
    <w:rsid w:val="00AC562A"/>
    <w:rsid w:val="00B751F6"/>
    <w:rsid w:val="00C96E98"/>
    <w:rsid w:val="00CB6A3E"/>
    <w:rsid w:val="00D212C0"/>
    <w:rsid w:val="00E54ABE"/>
    <w:rsid w:val="00ED0988"/>
    <w:rsid w:val="00F23912"/>
    <w:rsid w:val="00FD65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CE4638D9-94D8-449A-8848-FAA3B95EA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2304"/>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2B6DCC"/>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2304"/>
    <w:pPr>
      <w:tabs>
        <w:tab w:val="center" w:pos="4419"/>
        <w:tab w:val="right" w:pos="8838"/>
      </w:tabs>
    </w:pPr>
  </w:style>
  <w:style w:type="character" w:customStyle="1" w:styleId="EncabezadoCar">
    <w:name w:val="Encabezado Car"/>
    <w:basedOn w:val="Fuentedeprrafopredeter"/>
    <w:link w:val="Encabezado"/>
    <w:uiPriority w:val="99"/>
    <w:rsid w:val="004D2304"/>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4D2304"/>
    <w:pPr>
      <w:tabs>
        <w:tab w:val="center" w:pos="4419"/>
        <w:tab w:val="right" w:pos="8838"/>
      </w:tabs>
    </w:pPr>
  </w:style>
  <w:style w:type="character" w:customStyle="1" w:styleId="PiedepginaCar">
    <w:name w:val="Pie de página Car"/>
    <w:basedOn w:val="Fuentedeprrafopredeter"/>
    <w:link w:val="Piedepgina"/>
    <w:uiPriority w:val="99"/>
    <w:rsid w:val="004D2304"/>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D2304"/>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4D2304"/>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4D2304"/>
    <w:rPr>
      <w:color w:val="0563C1"/>
      <w:u w:val="single"/>
    </w:rPr>
  </w:style>
  <w:style w:type="paragraph" w:customStyle="1" w:styleId="Default">
    <w:name w:val="Default"/>
    <w:rsid w:val="004D2304"/>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
    <w:rsid w:val="002B6DCC"/>
    <w:rPr>
      <w:rFonts w:asciiTheme="majorHAnsi" w:eastAsiaTheme="majorEastAsia" w:hAnsiTheme="majorHAnsi" w:cstheme="majorBidi"/>
      <w:color w:val="2E74B5" w:themeColor="accent1" w:themeShade="BF"/>
      <w:sz w:val="32"/>
      <w:szCs w:val="32"/>
      <w:lang w:eastAsia="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2B6DCC"/>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2B6DCC"/>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B6DCC"/>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2B6DCC"/>
    <w:rPr>
      <w:rFonts w:ascii="Times New Roman" w:eastAsia="Times New Roman" w:hAnsi="Times New Roman" w:cs="Times New Roman"/>
      <w:sz w:val="20"/>
      <w:szCs w:val="20"/>
      <w:lang w:eastAsia="es-MX"/>
    </w:rPr>
  </w:style>
  <w:style w:type="table" w:styleId="Tablanormal1">
    <w:name w:val="Plain Table 1"/>
    <w:basedOn w:val="Tablanormal"/>
    <w:uiPriority w:val="41"/>
    <w:rsid w:val="00ED0988"/>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2760698">
      <w:bodyDiv w:val="1"/>
      <w:marLeft w:val="0"/>
      <w:marRight w:val="0"/>
      <w:marTop w:val="0"/>
      <w:marBottom w:val="0"/>
      <w:divBdr>
        <w:top w:val="none" w:sz="0" w:space="0" w:color="auto"/>
        <w:left w:val="none" w:sz="0" w:space="0" w:color="auto"/>
        <w:bottom w:val="none" w:sz="0" w:space="0" w:color="auto"/>
        <w:right w:val="none" w:sz="0" w:space="0" w:color="auto"/>
      </w:divBdr>
    </w:div>
    <w:div w:id="1899240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540758.page"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saimex.org.mx/saimex/solicitud/downloadAttach/1505847.page" TargetMode="Externa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smovilidad.edomex.gob.mx/sites/smovilidad.edomex.gob.mx/files/files/pdf/Edicto%2029.pdf"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saimex.org.mx/saimex/solicitud/downloadAttach/1540759.page" TargetMode="External"/><Relationship Id="rId14" Type="http://schemas.openxmlformats.org/officeDocument/2006/relationships/image" Target="media/image5.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45</Pages>
  <Words>9337</Words>
  <Characters>51355</Characters>
  <Application>Microsoft Office Word</Application>
  <DocSecurity>0</DocSecurity>
  <Lines>427</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USUARIO</cp:lastModifiedBy>
  <cp:revision>5</cp:revision>
  <dcterms:created xsi:type="dcterms:W3CDTF">2023-01-12T19:13:00Z</dcterms:created>
  <dcterms:modified xsi:type="dcterms:W3CDTF">2023-02-08T22:13:00Z</dcterms:modified>
</cp:coreProperties>
</file>