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117E2682"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71366">
        <w:rPr>
          <w:rFonts w:ascii="Palatino Linotype" w:eastAsia="Times New Roman" w:hAnsi="Palatino Linotype" w:cs="Arial"/>
          <w:color w:val="000000"/>
          <w:sz w:val="24"/>
          <w:szCs w:val="24"/>
          <w:lang w:eastAsia="es-MX"/>
        </w:rPr>
        <w:t xml:space="preserve">quince de marzo de dos mil veintitrés. </w:t>
      </w:r>
      <w:r w:rsidR="002C2CEE">
        <w:rPr>
          <w:rFonts w:ascii="Palatino Linotype" w:eastAsia="Times New Roman" w:hAnsi="Palatino Linotype" w:cs="Arial"/>
          <w:color w:val="000000"/>
          <w:sz w:val="24"/>
          <w:szCs w:val="24"/>
          <w:lang w:eastAsia="es-MX"/>
        </w:rPr>
        <w:t xml:space="preserve"> </w:t>
      </w:r>
      <w:r w:rsidR="00AD3604">
        <w:rPr>
          <w:rFonts w:ascii="Palatino Linotype" w:eastAsia="Times New Roman" w:hAnsi="Palatino Linotype" w:cs="Arial"/>
          <w:color w:val="000000"/>
          <w:sz w:val="24"/>
          <w:szCs w:val="24"/>
          <w:lang w:eastAsia="es-MX"/>
        </w:rPr>
        <w:t xml:space="preserve"> </w:t>
      </w:r>
      <w:r w:rsidR="008C5595">
        <w:rPr>
          <w:rFonts w:ascii="Palatino Linotype" w:eastAsia="Times New Roman" w:hAnsi="Palatino Linotype" w:cs="Arial"/>
          <w:color w:val="000000"/>
          <w:sz w:val="24"/>
          <w:szCs w:val="24"/>
          <w:lang w:eastAsia="es-MX"/>
        </w:rPr>
        <w:t xml:space="preserve"> </w:t>
      </w:r>
      <w:r w:rsidR="000C1477">
        <w:rPr>
          <w:rFonts w:ascii="Palatino Linotype" w:eastAsia="Times New Roman" w:hAnsi="Palatino Linotype" w:cs="Arial"/>
          <w:color w:val="000000"/>
          <w:sz w:val="24"/>
          <w:szCs w:val="24"/>
          <w:lang w:eastAsia="es-MX"/>
        </w:rPr>
        <w:t xml:space="preserve">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379B9E72" w14:textId="6429DA54" w:rsidR="002C2CEE" w:rsidRPr="002C2CEE"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2C2CEE">
        <w:rPr>
          <w:rFonts w:ascii="Palatino Linotype" w:hAnsi="Palatino Linotype" w:cs="Arial"/>
          <w:b/>
          <w:bCs/>
          <w:sz w:val="24"/>
        </w:rPr>
        <w:t>13425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2C2CEE">
        <w:rPr>
          <w:rFonts w:ascii="Palatino Linotype" w:hAnsi="Palatino Linotype" w:cs="Arial"/>
          <w:sz w:val="24"/>
        </w:rPr>
        <w:t xml:space="preserve">la </w:t>
      </w:r>
      <w:r w:rsidR="002C2CEE">
        <w:rPr>
          <w:rFonts w:ascii="Palatino Linotype" w:hAnsi="Palatino Linotype" w:cs="Arial"/>
          <w:b/>
          <w:bCs/>
          <w:sz w:val="24"/>
        </w:rPr>
        <w:t xml:space="preserve">C. </w:t>
      </w:r>
      <w:r w:rsidR="00CA2820">
        <w:rPr>
          <w:rFonts w:ascii="Palatino Linotype" w:hAnsi="Palatino Linotype" w:cs="Arial"/>
          <w:b/>
          <w:bCs/>
          <w:sz w:val="24"/>
        </w:rPr>
        <w:t>XXXXXXXXXXXXXXXX</w:t>
      </w:r>
      <w:r w:rsidR="002C2CEE">
        <w:rPr>
          <w:rFonts w:ascii="Palatino Linotype" w:hAnsi="Palatino Linotype" w:cs="Arial"/>
          <w:b/>
          <w:bCs/>
          <w:sz w:val="24"/>
        </w:rPr>
        <w:t xml:space="preserve">, </w:t>
      </w:r>
      <w:r w:rsidR="002C2CEE">
        <w:rPr>
          <w:rFonts w:ascii="Palatino Linotype" w:hAnsi="Palatino Linotype" w:cs="Arial"/>
          <w:sz w:val="24"/>
        </w:rPr>
        <w:t xml:space="preserve">en lo sucesivo </w:t>
      </w:r>
      <w:r w:rsidR="002C2CEE">
        <w:rPr>
          <w:rFonts w:ascii="Palatino Linotype" w:hAnsi="Palatino Linotype" w:cs="Arial"/>
          <w:b/>
          <w:bCs/>
          <w:sz w:val="24"/>
        </w:rPr>
        <w:t xml:space="preserve">La Recurrente, </w:t>
      </w:r>
      <w:r w:rsidR="002C2CEE">
        <w:rPr>
          <w:rFonts w:ascii="Palatino Linotype" w:hAnsi="Palatino Linotype" w:cs="Arial"/>
          <w:sz w:val="24"/>
        </w:rPr>
        <w:t xml:space="preserve">en contra de la respuesta del </w:t>
      </w:r>
      <w:r w:rsidR="002C2CEE">
        <w:rPr>
          <w:rFonts w:ascii="Palatino Linotype" w:hAnsi="Palatino Linotype" w:cs="Arial"/>
          <w:b/>
          <w:bCs/>
          <w:sz w:val="24"/>
        </w:rPr>
        <w:t xml:space="preserve">Poder Legislativo, </w:t>
      </w:r>
      <w:r w:rsidR="002C2CEE">
        <w:rPr>
          <w:rFonts w:ascii="Palatino Linotype" w:hAnsi="Palatino Linotype" w:cs="Arial"/>
          <w:sz w:val="24"/>
        </w:rPr>
        <w:t xml:space="preserve">en lo subsecuente </w:t>
      </w:r>
      <w:r w:rsidR="002C2CEE">
        <w:rPr>
          <w:rFonts w:ascii="Palatino Linotype" w:hAnsi="Palatino Linotype" w:cs="Arial"/>
          <w:b/>
          <w:bCs/>
          <w:sz w:val="24"/>
        </w:rPr>
        <w:t xml:space="preserve">El Sujeto Obligado, </w:t>
      </w:r>
      <w:r w:rsidR="002C2CEE">
        <w:rPr>
          <w:rFonts w:ascii="Palatino Linotype" w:hAnsi="Palatino Linotype" w:cs="Arial"/>
          <w:sz w:val="24"/>
        </w:rPr>
        <w:t xml:space="preserve">se procede a dictar la presente resolución. </w:t>
      </w:r>
    </w:p>
    <w:p w14:paraId="53B5F943" w14:textId="77777777" w:rsidR="002C2CEE" w:rsidRDefault="002C2CEE" w:rsidP="00B433C9">
      <w:pPr>
        <w:tabs>
          <w:tab w:val="left" w:pos="1701"/>
        </w:tabs>
        <w:spacing w:before="240" w:line="360" w:lineRule="auto"/>
        <w:jc w:val="both"/>
        <w:rPr>
          <w:rFonts w:ascii="Palatino Linotype" w:hAnsi="Palatino Linotype" w:cs="Arial"/>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B56F8B6" w14:textId="4ED3C9FF" w:rsidR="002C2CEE" w:rsidRPr="002C2CEE"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Con fecha</w:t>
      </w:r>
      <w:r w:rsidR="00AD3604">
        <w:rPr>
          <w:rFonts w:ascii="Palatino Linotype" w:hAnsi="Palatino Linotype" w:cs="Arial"/>
          <w:sz w:val="24"/>
        </w:rPr>
        <w:t xml:space="preserve"> </w:t>
      </w:r>
      <w:r w:rsidR="002C2CEE">
        <w:rPr>
          <w:rFonts w:ascii="Palatino Linotype" w:hAnsi="Palatino Linotype" w:cs="Arial"/>
          <w:sz w:val="24"/>
        </w:rPr>
        <w:t xml:space="preserve">uno de agosto de dos mil veintidós, </w:t>
      </w:r>
      <w:r w:rsidR="002C2CEE">
        <w:rPr>
          <w:rFonts w:ascii="Palatino Linotype" w:hAnsi="Palatino Linotype" w:cs="Arial"/>
          <w:b/>
          <w:bCs/>
          <w:sz w:val="24"/>
        </w:rPr>
        <w:t xml:space="preserve">La Recurrente, </w:t>
      </w:r>
      <w:r w:rsidR="002C2CEE">
        <w:rPr>
          <w:rFonts w:ascii="Palatino Linotype" w:hAnsi="Palatino Linotype" w:cs="Arial"/>
          <w:sz w:val="24"/>
        </w:rPr>
        <w:t xml:space="preserve">presentó a través del Sistema de Acceso a la Información Mexiquense </w:t>
      </w:r>
      <w:r w:rsidR="002C2CEE">
        <w:rPr>
          <w:rFonts w:ascii="Palatino Linotype" w:hAnsi="Palatino Linotype" w:cs="Arial"/>
          <w:b/>
          <w:sz w:val="24"/>
        </w:rPr>
        <w:t xml:space="preserve">(SAIMEX) </w:t>
      </w:r>
      <w:r w:rsidR="002C2CEE">
        <w:rPr>
          <w:rFonts w:ascii="Palatino Linotype" w:hAnsi="Palatino Linotype" w:cs="Arial"/>
          <w:sz w:val="24"/>
        </w:rPr>
        <w:t xml:space="preserve">ante </w:t>
      </w:r>
      <w:r w:rsidR="002C2CEE">
        <w:rPr>
          <w:rFonts w:ascii="Palatino Linotype" w:hAnsi="Palatino Linotype" w:cs="Arial"/>
          <w:b/>
          <w:sz w:val="24"/>
        </w:rPr>
        <w:t>El Sujeto Obligado</w:t>
      </w:r>
      <w:r w:rsidR="002C2CEE">
        <w:rPr>
          <w:rFonts w:ascii="Palatino Linotype" w:hAnsi="Palatino Linotype" w:cs="Arial"/>
          <w:sz w:val="24"/>
        </w:rPr>
        <w:t xml:space="preserve">, solicitud de acceso a la información pública, registrada bajo el número de expediente </w:t>
      </w:r>
      <w:r w:rsidR="002C2CEE">
        <w:rPr>
          <w:rFonts w:ascii="Palatino Linotype" w:hAnsi="Palatino Linotype" w:cs="Arial"/>
          <w:b/>
          <w:bCs/>
          <w:sz w:val="24"/>
        </w:rPr>
        <w:t xml:space="preserve">00428/PLEGISLA/IP/2022, </w:t>
      </w:r>
      <w:r w:rsidR="002C2CEE">
        <w:rPr>
          <w:rFonts w:ascii="Palatino Linotype" w:hAnsi="Palatino Linotype" w:cs="Arial"/>
          <w:sz w:val="24"/>
        </w:rPr>
        <w:t>mediante la cual solicitó información en el tenor siguiente:</w:t>
      </w:r>
    </w:p>
    <w:p w14:paraId="50AE6FF6" w14:textId="183FF89F" w:rsidR="002C2CEE" w:rsidRPr="002C2CEE" w:rsidRDefault="002C2CEE" w:rsidP="002C2CEE">
      <w:pPr>
        <w:pStyle w:val="Citas"/>
        <w:rPr>
          <w:b/>
          <w:bCs/>
          <w:sz w:val="24"/>
        </w:rPr>
      </w:pPr>
      <w:r>
        <w:t xml:space="preserve">“Solicito copia simple de todos los oficios signados por la auditora superior Dr. Miroslava Carrillo Martínez, desde que asumió el cargo. Solicito copia simple el libro de gobierno o documento similar, físico o electrónico, utilizado para el control y seguimiento de los oficios de la auditora superior desde que asumió el cargo” </w:t>
      </w:r>
      <w:r>
        <w:rPr>
          <w:b/>
          <w:bCs/>
        </w:rPr>
        <w:t>(Sic)</w:t>
      </w:r>
    </w:p>
    <w:p w14:paraId="5052F81F" w14:textId="77777777" w:rsidR="002C2CEE" w:rsidRDefault="002C2CEE" w:rsidP="00B433C9">
      <w:pPr>
        <w:spacing w:before="240" w:line="360" w:lineRule="auto"/>
        <w:jc w:val="both"/>
        <w:rPr>
          <w:rFonts w:ascii="Palatino Linotype" w:hAnsi="Palatino Linotype" w:cs="Arial"/>
          <w:sz w:val="24"/>
        </w:rPr>
      </w:pP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 xml:space="preserve">Modalidad de entrega: </w:t>
      </w:r>
      <w:r>
        <w:rPr>
          <w:rFonts w:ascii="Palatino Linotype" w:hAnsi="Palatino Linotype" w:cs="Arial"/>
          <w:sz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2CA46B2" w14:textId="143293EB" w:rsidR="002C2CEE"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2C2CEE">
        <w:rPr>
          <w:rFonts w:ascii="Palatino Linotype" w:hAnsi="Palatino Linotype" w:cs="Arial"/>
          <w:sz w:val="24"/>
          <w:szCs w:val="24"/>
        </w:rPr>
        <w:t xml:space="preserve">quince de agosto de los corrientes, </w:t>
      </w:r>
      <w:r w:rsidR="002C2CEE">
        <w:rPr>
          <w:rFonts w:ascii="Palatino Linotype" w:hAnsi="Palatino Linotype" w:cs="Arial"/>
          <w:b/>
          <w:bCs/>
          <w:sz w:val="24"/>
          <w:szCs w:val="24"/>
        </w:rPr>
        <w:t xml:space="preserve">El Sujeto Obligado </w:t>
      </w:r>
      <w:r w:rsidR="002C2CEE">
        <w:rPr>
          <w:rFonts w:ascii="Palatino Linotype" w:hAnsi="Palatino Linotype" w:cs="Arial"/>
          <w:sz w:val="24"/>
          <w:szCs w:val="24"/>
        </w:rPr>
        <w:t>dio respuesta a la solicitud de información en los siguientes términos:</w:t>
      </w:r>
    </w:p>
    <w:p w14:paraId="73615DD5" w14:textId="4B3B765E" w:rsidR="002C2CEE" w:rsidRPr="002C2CEE" w:rsidRDefault="002C2CEE" w:rsidP="002C2CEE">
      <w:pPr>
        <w:pStyle w:val="Citas"/>
      </w:pPr>
      <w:r w:rsidRPr="002C2CEE">
        <w:t>“En respuesta a la solicitud recibida, nos permitimos hacer de su conocimiento que con fundamento en el artículo 53, Fracciones: II, V y VI de la Ley de Transparencia y Acceso a la Información Pública del Estado de México y Municipios, le contestamos que:</w:t>
      </w:r>
    </w:p>
    <w:p w14:paraId="4338C43F" w14:textId="3B33D472" w:rsidR="002C2CEE" w:rsidRPr="002C2CEE" w:rsidRDefault="002C2CEE" w:rsidP="002C2CEE">
      <w:pPr>
        <w:pStyle w:val="Citas"/>
        <w:rPr>
          <w:b/>
          <w:bCs/>
        </w:rPr>
      </w:pPr>
      <w:r w:rsidRPr="002C2CEE">
        <w:t>Se emite respuesta</w:t>
      </w:r>
      <w:r>
        <w:t xml:space="preserve">” </w:t>
      </w:r>
      <w:r>
        <w:rPr>
          <w:b/>
          <w:bCs/>
        </w:rPr>
        <w:t>(Sic)</w:t>
      </w:r>
    </w:p>
    <w:p w14:paraId="009433EA" w14:textId="77777777" w:rsidR="002C2CEE" w:rsidRPr="002C2CEE" w:rsidRDefault="002C2CEE" w:rsidP="00123898">
      <w:pPr>
        <w:spacing w:before="240" w:line="360" w:lineRule="auto"/>
        <w:jc w:val="both"/>
        <w:rPr>
          <w:rFonts w:ascii="Palatino Linotype" w:hAnsi="Palatino Linotype" w:cs="Arial"/>
          <w:sz w:val="24"/>
          <w:szCs w:val="24"/>
        </w:rPr>
      </w:pPr>
    </w:p>
    <w:p w14:paraId="3BE0AEEF" w14:textId="64D32345" w:rsidR="00544216" w:rsidRPr="00544216" w:rsidRDefault="008C5595"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544216">
        <w:rPr>
          <w:rFonts w:ascii="Palatino Linotype" w:hAnsi="Palatino Linotype" w:cs="Arial"/>
          <w:sz w:val="24"/>
          <w:szCs w:val="24"/>
        </w:rPr>
        <w:t>los</w:t>
      </w:r>
      <w:r>
        <w:rPr>
          <w:rFonts w:ascii="Palatino Linotype" w:hAnsi="Palatino Linotype" w:cs="Arial"/>
          <w:sz w:val="24"/>
          <w:szCs w:val="24"/>
        </w:rPr>
        <w:t xml:space="preserve"> documento</w:t>
      </w:r>
      <w:r w:rsidR="00544216">
        <w:rPr>
          <w:rFonts w:ascii="Palatino Linotype" w:hAnsi="Palatino Linotype" w:cs="Arial"/>
          <w:sz w:val="24"/>
          <w:szCs w:val="24"/>
        </w:rPr>
        <w:t>s</w:t>
      </w:r>
      <w:r>
        <w:rPr>
          <w:rFonts w:ascii="Palatino Linotype" w:hAnsi="Palatino Linotype" w:cs="Arial"/>
          <w:sz w:val="24"/>
          <w:szCs w:val="24"/>
        </w:rPr>
        <w:t xml:space="preserve"> electrónico</w:t>
      </w:r>
      <w:r w:rsidR="00544216">
        <w:rPr>
          <w:rFonts w:ascii="Palatino Linotype" w:hAnsi="Palatino Linotype" w:cs="Arial"/>
          <w:sz w:val="24"/>
          <w:szCs w:val="24"/>
        </w:rPr>
        <w:t xml:space="preserve">s </w:t>
      </w:r>
      <w:r w:rsidR="002C2CEE">
        <w:rPr>
          <w:rFonts w:ascii="Palatino Linotype" w:hAnsi="Palatino Linotype" w:cs="Arial"/>
          <w:b/>
          <w:bCs/>
          <w:sz w:val="24"/>
          <w:szCs w:val="24"/>
        </w:rPr>
        <w:t xml:space="preserve">“Respuesta 428.pdf”, “RESPUESTA 428- OSFEM.pdf”, “OFICIOS AUDITORA SUPERIOR 2020.pdf”, “OFICIOS AUDITORA SUPERIOR 2021.pdf”, “OFICIOS AUDITORA SUPERIOR 2022.pdf” </w:t>
      </w:r>
      <w:r w:rsidR="002C2CEE">
        <w:rPr>
          <w:rFonts w:ascii="Palatino Linotype" w:hAnsi="Palatino Linotype" w:cs="Arial"/>
          <w:sz w:val="24"/>
          <w:szCs w:val="24"/>
        </w:rPr>
        <w:t xml:space="preserve">y </w:t>
      </w:r>
      <w:r w:rsidR="002C2CEE">
        <w:rPr>
          <w:rFonts w:ascii="Palatino Linotype" w:hAnsi="Palatino Linotype" w:cs="Arial"/>
          <w:b/>
          <w:bCs/>
          <w:sz w:val="24"/>
          <w:szCs w:val="24"/>
        </w:rPr>
        <w:t xml:space="preserve">“Acta de la </w:t>
      </w:r>
      <w:r w:rsidR="009B4F25">
        <w:rPr>
          <w:rFonts w:ascii="Palatino Linotype" w:hAnsi="Palatino Linotype" w:cs="Arial"/>
          <w:b/>
          <w:bCs/>
          <w:sz w:val="24"/>
          <w:szCs w:val="24"/>
        </w:rPr>
        <w:t xml:space="preserve">03a. Sesión ordinaria del CT 2022.pdf”, </w:t>
      </w:r>
      <w:r w:rsidR="00544216">
        <w:rPr>
          <w:rFonts w:ascii="Palatino Linotype" w:hAnsi="Palatino Linotype" w:cs="Arial"/>
          <w:sz w:val="24"/>
          <w:szCs w:val="24"/>
        </w:rPr>
        <w:t xml:space="preserve">mismos que se tienen por reproducidos en virtud de que serán materia de análisis en el considerando respectivo. </w:t>
      </w:r>
    </w:p>
    <w:p w14:paraId="457FEB66" w14:textId="77777777" w:rsidR="008C5595" w:rsidRDefault="008C5595" w:rsidP="00123898">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0CCF3025" w14:textId="702081C6" w:rsidR="009B4F25" w:rsidRPr="009B4F25"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 xml:space="preserve">El Sujeto Obligado, </w:t>
      </w:r>
      <w:r w:rsidR="00C514C0">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9B4F25">
        <w:rPr>
          <w:rFonts w:ascii="Palatino Linotype" w:hAnsi="Palatino Linotype" w:cs="Arial"/>
          <w:sz w:val="24"/>
          <w:szCs w:val="24"/>
        </w:rPr>
        <w:t xml:space="preserve">diecinueve de agosto del presente, el cual fue registrado en el sistema electrónico con el expediente número </w:t>
      </w:r>
      <w:r w:rsidR="009B4F25">
        <w:rPr>
          <w:rFonts w:ascii="Palatino Linotype" w:hAnsi="Palatino Linotype" w:cs="Arial"/>
          <w:b/>
          <w:bCs/>
          <w:sz w:val="24"/>
          <w:szCs w:val="24"/>
        </w:rPr>
        <w:t xml:space="preserve">13425/INFOEM/IP/RR/2022, </w:t>
      </w:r>
      <w:r w:rsidR="009B4F25">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2F9F5700" w:rsidR="00B433C9" w:rsidRPr="00712E3A" w:rsidRDefault="00B433C9" w:rsidP="005C57BA">
      <w:pPr>
        <w:pStyle w:val="Citas"/>
        <w:tabs>
          <w:tab w:val="left" w:pos="3750"/>
        </w:tabs>
        <w:rPr>
          <w:b/>
        </w:rPr>
      </w:pPr>
      <w:r w:rsidRPr="009B4F25">
        <w:t>“</w:t>
      </w:r>
      <w:r w:rsidR="009B4F25" w:rsidRPr="009B4F25">
        <w:t>Cambio de modalidad de entrega de la información</w:t>
      </w:r>
      <w:r w:rsidR="00F516E3" w:rsidRPr="009B4F25">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22FDCBFA" w:rsidR="00B433C9" w:rsidRPr="00712E3A" w:rsidRDefault="00B433C9" w:rsidP="00E725D5">
      <w:pPr>
        <w:pStyle w:val="Citas"/>
      </w:pPr>
      <w:r w:rsidRPr="009B4F25">
        <w:t>“</w:t>
      </w:r>
      <w:r w:rsidR="009B4F25" w:rsidRPr="009B4F25">
        <w:t xml:space="preserve">El sujeto obligado señala que no se cuenta con la información digitalizada y solo se tiene en forma documental, no obstante la Ley de Archivos y Administración de Documentos del Estado de México y Municipios señala en su articulo 11 "Artículo 11. Los Sujetos Obligados deberán: XI. Aplicar métodos y medidas para la organización, protección y conservación de los Documentos de Archivo, considerando el estado que guardan y el espacio para su almacenamiento; así como procurar el resguardo digital de dichos documentos, de conformidad con la Ley General, la Ley de Gobierno Digital del Estado de México y Municipios, la presente Ley y las demás disposiciones jurídicas aplicables." De lo anterior se entiende que el OSFEM debe tener un resguardo digital de los oficios solicitados, para los ejercicios fiscales requeridos, pudiendo en todo momento, escanearlos con las características técnicas adecuadas y comprimirlos en archivos zip para su entrega; sin embargo, antes de agotar dicha opción, prefieren trasladar al ciudadano la obligación de digitalizar sus documentos, trasladarse físicamente a sus oficinas y lidiar con 78,068 fojas útiles. De igual forma, la entrega la información en una modalidad diversa a la solicitada puede constituir un obstáculo material para el ejercicio de mi derecho de acceso a la información, determinando de manera unilateral el cambio de modalidad </w:t>
      </w:r>
      <w:r w:rsidR="009B4F25" w:rsidRPr="009B4F25">
        <w:lastRenderedPageBreak/>
        <w:t>a consulta directa pudiendo cambiarlo a otro - correo electrónico y habilitar ligas en la nube con la información requerida, dicha opción se encuentra disponible en la interfaz del SAIMEX y se prefiere a su modalidad seleccionada</w:t>
      </w:r>
      <w:r w:rsidRPr="009B4F25">
        <w:t>”</w:t>
      </w:r>
      <w:r w:rsidRPr="00712E3A">
        <w:t xml:space="preserve"> </w:t>
      </w:r>
      <w:r w:rsidR="00F516E3">
        <w:rPr>
          <w:b/>
        </w:rPr>
        <w:t>(Sic)</w:t>
      </w:r>
    </w:p>
    <w:p w14:paraId="4E536BD8" w14:textId="77777777" w:rsidR="00544216" w:rsidRDefault="00544216" w:rsidP="00B433C9">
      <w:pPr>
        <w:spacing w:before="240" w:line="360" w:lineRule="auto"/>
        <w:jc w:val="both"/>
        <w:rPr>
          <w:rFonts w:ascii="Palatino Linotype" w:hAnsi="Palatino Linotype" w:cs="Arial"/>
          <w:b/>
          <w:sz w:val="28"/>
        </w:rPr>
      </w:pPr>
    </w:p>
    <w:p w14:paraId="454F7370" w14:textId="4063C398"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41475660"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5A0B05">
        <w:rPr>
          <w:rFonts w:ascii="Palatino Linotype" w:hAnsi="Palatino Linotype" w:cs="Arial"/>
          <w:sz w:val="24"/>
          <w:szCs w:val="24"/>
        </w:rPr>
        <w:t>presidente</w:t>
      </w:r>
      <w:r w:rsidR="00411E6F">
        <w:rPr>
          <w:rFonts w:ascii="Palatino Linotype" w:hAnsi="Palatino Linotype" w:cs="Arial"/>
          <w:sz w:val="24"/>
          <w:szCs w:val="24"/>
        </w:rPr>
        <w:t xml:space="preserv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9B4F25">
        <w:rPr>
          <w:rFonts w:ascii="Palatino Linotype" w:hAnsi="Palatino Linotype" w:cs="Arial"/>
          <w:b/>
          <w:bCs/>
          <w:sz w:val="24"/>
          <w:szCs w:val="24"/>
        </w:rPr>
        <w:t xml:space="preserve">veintitrés de agosto de los corrientes, </w:t>
      </w:r>
      <w:r w:rsidR="00544216">
        <w:rPr>
          <w:rFonts w:ascii="Palatino Linotype" w:hAnsi="Palatino Linotype" w:cs="Arial"/>
          <w:sz w:val="24"/>
          <w:szCs w:val="24"/>
        </w:rPr>
        <w:t>d</w:t>
      </w:r>
      <w:r w:rsidR="002642D3">
        <w:rPr>
          <w:rFonts w:ascii="Palatino Linotype" w:hAnsi="Palatino Linotype" w:cs="Arial"/>
          <w:sz w:val="24"/>
          <w:szCs w:val="24"/>
        </w:rPr>
        <w:t>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25EE836" w14:textId="50A6BE39" w:rsidR="009B4F25" w:rsidRPr="009B4F25" w:rsidRDefault="009B4F25" w:rsidP="00764DB2">
      <w:pPr>
        <w:spacing w:after="0" w:line="360" w:lineRule="auto"/>
        <w:jc w:val="both"/>
        <w:rPr>
          <w:rFonts w:ascii="Palatino Linotype" w:hAnsi="Palatino Linotype" w:cs="Arial"/>
          <w:b/>
          <w:bCs/>
          <w:sz w:val="24"/>
          <w:szCs w:val="24"/>
        </w:rPr>
      </w:pPr>
      <w:r>
        <w:rPr>
          <w:rFonts w:ascii="Palatino Linotype" w:hAnsi="Palatino Linotype" w:cs="Arial"/>
          <w:sz w:val="24"/>
          <w:szCs w:val="24"/>
        </w:rPr>
        <w:t>En</w:t>
      </w:r>
      <w:r w:rsidR="00764DB2">
        <w:rPr>
          <w:rFonts w:ascii="Palatino Linotype" w:hAnsi="Palatino Linotype" w:cs="Arial"/>
          <w:sz w:val="24"/>
          <w:szCs w:val="24"/>
        </w:rPr>
        <w:t xml:space="preserve"> la etapa de instrucción, de las constancias que obran en el expediente electrónico del recurso de revisión se advierte que </w:t>
      </w:r>
      <w:r w:rsidR="00764DB2">
        <w:rPr>
          <w:rFonts w:ascii="Palatino Linotype" w:hAnsi="Palatino Linotype" w:cs="Arial"/>
          <w:b/>
          <w:bCs/>
          <w:sz w:val="24"/>
          <w:szCs w:val="24"/>
        </w:rPr>
        <w:t xml:space="preserve">El Sujeto Obligado </w:t>
      </w:r>
      <w:r w:rsidR="00764DB2">
        <w:rPr>
          <w:rFonts w:ascii="Palatino Linotype" w:hAnsi="Palatino Linotype" w:cs="Arial"/>
          <w:sz w:val="24"/>
          <w:szCs w:val="24"/>
        </w:rPr>
        <w:t>rindió su informe justificado en fecha</w:t>
      </w:r>
      <w:r>
        <w:rPr>
          <w:rFonts w:ascii="Palatino Linotype" w:hAnsi="Palatino Linotype" w:cs="Arial"/>
          <w:sz w:val="24"/>
          <w:szCs w:val="24"/>
        </w:rPr>
        <w:t xml:space="preserve"> </w:t>
      </w:r>
      <w:r>
        <w:rPr>
          <w:rFonts w:ascii="Palatino Linotype" w:hAnsi="Palatino Linotype" w:cs="Arial"/>
          <w:b/>
          <w:bCs/>
          <w:sz w:val="24"/>
          <w:szCs w:val="24"/>
        </w:rPr>
        <w:t xml:space="preserve">veinticuatro de agosto de dos mil veintidós.  </w:t>
      </w:r>
    </w:p>
    <w:p w14:paraId="338A0DE1" w14:textId="21BC5EDC" w:rsidR="009B4F25" w:rsidRDefault="009B4F25" w:rsidP="009B4F25">
      <w:pPr>
        <w:spacing w:before="240" w:line="360" w:lineRule="auto"/>
        <w:jc w:val="both"/>
        <w:rPr>
          <w:rFonts w:ascii="Palatino Linotype" w:hAnsi="Palatino Linotype" w:cs="Arial"/>
          <w:sz w:val="24"/>
          <w:szCs w:val="24"/>
        </w:rPr>
      </w:pPr>
      <w:r>
        <w:rPr>
          <w:rFonts w:ascii="Palatino Linotype" w:hAnsi="Palatino Linotype" w:cs="Arial"/>
          <w:sz w:val="24"/>
          <w:szCs w:val="24"/>
        </w:rPr>
        <w:t>Por otra parte</w:t>
      </w:r>
      <w:r w:rsidRPr="0036654D">
        <w:rPr>
          <w:rFonts w:ascii="Palatino Linotype" w:hAnsi="Palatino Linotype" w:cs="Arial"/>
          <w:sz w:val="24"/>
          <w:szCs w:val="24"/>
        </w:rPr>
        <w:t>, en fecha</w:t>
      </w:r>
      <w:r>
        <w:rPr>
          <w:rFonts w:ascii="Palatino Linotype" w:hAnsi="Palatino Linotype" w:cs="Arial"/>
          <w:sz w:val="24"/>
          <w:szCs w:val="24"/>
        </w:rPr>
        <w:t xml:space="preserve"> </w:t>
      </w:r>
      <w:r w:rsidR="00155DE2">
        <w:rPr>
          <w:rFonts w:ascii="Palatino Linotype" w:hAnsi="Palatino Linotype" w:cs="Arial"/>
          <w:b/>
          <w:bCs/>
          <w:sz w:val="24"/>
          <w:szCs w:val="24"/>
        </w:rPr>
        <w:t>veinticinco</w:t>
      </w:r>
      <w:r>
        <w:rPr>
          <w:rFonts w:ascii="Palatino Linotype" w:hAnsi="Palatino Linotype" w:cs="Arial"/>
          <w:b/>
          <w:bCs/>
          <w:sz w:val="24"/>
          <w:szCs w:val="24"/>
        </w:rPr>
        <w:t xml:space="preserve"> de noviembre de dos mil veintidós,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5243360C"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7D44DF"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w:t>
      </w:r>
      <w:bookmarkStart w:id="0" w:name="_GoBack"/>
      <w:bookmarkEnd w:id="0"/>
      <w:r w:rsidRPr="001F3B43">
        <w:rPr>
          <w:rFonts w:ascii="Palatino Linotype" w:hAnsi="Palatino Linotype" w:cstheme="majorHAnsi"/>
          <w:sz w:val="24"/>
          <w:szCs w:val="24"/>
        </w:rPr>
        <w:t xml:space="preserve">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BC8090A"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0F7901"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A21A4B"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25D77D8C"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56F83694"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0B52B9FD"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FB5D9CD"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7E7184D4"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01C6DA"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336938E"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C779D0"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299087D"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3E77AC7" w14:textId="77777777" w:rsidR="009B4F25" w:rsidRPr="001F3B43" w:rsidRDefault="009B4F25" w:rsidP="009B4F25">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525DF630" w14:textId="77777777" w:rsidR="009B4F25" w:rsidRPr="00B01D73" w:rsidRDefault="009B4F25" w:rsidP="009B4F25">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55DBBB55" w14:textId="261897C1" w:rsidR="009B4F25" w:rsidRPr="009B4F25" w:rsidRDefault="009B4F25" w:rsidP="009B4F25">
      <w:pPr>
        <w:spacing w:after="0" w:line="360" w:lineRule="auto"/>
        <w:jc w:val="both"/>
        <w:rPr>
          <w:rFonts w:ascii="Palatino Linotype" w:hAnsi="Palatino Linotype" w:cs="Arial"/>
          <w:b/>
          <w:bCs/>
          <w:sz w:val="24"/>
          <w:szCs w:val="24"/>
        </w:rPr>
      </w:pPr>
      <w:r>
        <w:rPr>
          <w:rFonts w:ascii="Palatino Linotype" w:hAnsi="Palatino Linotype" w:cs="Arial"/>
          <w:sz w:val="24"/>
          <w:szCs w:val="24"/>
        </w:rPr>
        <w:lastRenderedPageBreak/>
        <w:t>Ahora bien</w:t>
      </w:r>
      <w:r>
        <w:rPr>
          <w:rFonts w:ascii="Palatino Linotype" w:hAnsi="Palatino Linotype" w:cs="Arial"/>
          <w:b/>
          <w:bCs/>
          <w:sz w:val="24"/>
          <w:szCs w:val="24"/>
        </w:rPr>
        <w:t xml:space="preserve">, </w:t>
      </w:r>
      <w:r>
        <w:rPr>
          <w:rFonts w:ascii="Palatino Linotype" w:hAnsi="Palatino Linotype" w:cs="Arial"/>
          <w:sz w:val="24"/>
          <w:szCs w:val="24"/>
        </w:rPr>
        <w:t xml:space="preserve">dicho informe justificado se puso a la vista el </w:t>
      </w:r>
      <w:r>
        <w:rPr>
          <w:rFonts w:ascii="Palatino Linotype" w:hAnsi="Palatino Linotype" w:cs="Arial"/>
          <w:b/>
          <w:bCs/>
          <w:sz w:val="24"/>
          <w:szCs w:val="24"/>
        </w:rPr>
        <w:t xml:space="preserve">once de enero de dos mil veintitrés.  </w:t>
      </w:r>
    </w:p>
    <w:p w14:paraId="1D5E5376" w14:textId="77777777" w:rsidR="009B4F25" w:rsidRDefault="009B4F25" w:rsidP="00764DB2">
      <w:pPr>
        <w:spacing w:after="0" w:line="360" w:lineRule="auto"/>
        <w:jc w:val="both"/>
        <w:rPr>
          <w:rFonts w:ascii="Palatino Linotype" w:hAnsi="Palatino Linotype" w:cs="Arial"/>
          <w:sz w:val="24"/>
          <w:szCs w:val="24"/>
        </w:rPr>
      </w:pPr>
    </w:p>
    <w:p w14:paraId="592FBDF5" w14:textId="779E832C" w:rsidR="009B4F25" w:rsidRDefault="009B4F25" w:rsidP="009B4F25">
      <w:pPr>
        <w:pStyle w:val="Prrafodelista"/>
        <w:spacing w:line="360" w:lineRule="auto"/>
        <w:ind w:left="0"/>
        <w:jc w:val="both"/>
        <w:rPr>
          <w:rFonts w:ascii="Palatino Linotype" w:hAnsi="Palatino Linotype" w:cs="Arial"/>
        </w:rPr>
      </w:pPr>
      <w:r>
        <w:rPr>
          <w:rFonts w:ascii="Palatino Linotype" w:hAnsi="Palatino Linotype" w:cs="Arial"/>
          <w:b/>
          <w:sz w:val="28"/>
        </w:rPr>
        <w:t>SEXTO</w:t>
      </w:r>
      <w:r w:rsidRPr="00AC0CCC">
        <w:rPr>
          <w:rFonts w:ascii="Palatino Linotype" w:hAnsi="Palatino Linotype" w:cs="Arial"/>
          <w:b/>
          <w:sz w:val="28"/>
          <w:szCs w:val="28"/>
        </w:rPr>
        <w:t xml:space="preserve">. </w:t>
      </w:r>
      <w:r>
        <w:rPr>
          <w:rFonts w:ascii="Palatino Linotype" w:hAnsi="Palatino Linotype" w:cs="Arial"/>
          <w:b/>
          <w:sz w:val="28"/>
          <w:szCs w:val="28"/>
        </w:rPr>
        <w:t xml:space="preserve">Del cierre de instrucción. </w:t>
      </w:r>
    </w:p>
    <w:p w14:paraId="41D8CAB8" w14:textId="7741FB40" w:rsidR="00DF0E8B" w:rsidRDefault="00764DB2" w:rsidP="00DF0E8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4F5E75">
        <w:rPr>
          <w:rFonts w:ascii="Palatino Linotype" w:hAnsi="Palatino Linotype" w:cs="Arial"/>
          <w:b/>
          <w:bCs/>
          <w:sz w:val="24"/>
          <w:szCs w:val="24"/>
        </w:rPr>
        <w:t>catorce de marzo</w:t>
      </w:r>
      <w:r w:rsidR="009B4F25">
        <w:rPr>
          <w:rFonts w:ascii="Palatino Linotype" w:hAnsi="Palatino Linotype" w:cs="Arial"/>
          <w:b/>
          <w:bCs/>
          <w:sz w:val="24"/>
          <w:szCs w:val="24"/>
        </w:rPr>
        <w:t xml:space="preserve"> de dos mil veintitrés, </w:t>
      </w:r>
      <w:r w:rsidR="00DF0E8B">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C7357C5" w14:textId="77777777" w:rsidR="009B4F25" w:rsidRDefault="009B4F25" w:rsidP="007E4FA1">
      <w:pPr>
        <w:spacing w:before="240" w:line="360" w:lineRule="auto"/>
        <w:jc w:val="center"/>
        <w:rPr>
          <w:rFonts w:ascii="Palatino Linotype" w:hAnsi="Palatino Linotype" w:cs="Arial"/>
          <w:b/>
          <w:sz w:val="24"/>
        </w:rPr>
      </w:pPr>
    </w:p>
    <w:p w14:paraId="528DBAF8" w14:textId="45E9912D"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DE0292C" w14:textId="79253940" w:rsidR="00D508EB" w:rsidRDefault="009B4F25" w:rsidP="00D508E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00D508EB" w:rsidRPr="009510B5">
        <w:rPr>
          <w:rFonts w:ascii="Palatino Linotype" w:hAnsi="Palatino Linotype" w:cs="Arial"/>
          <w:b/>
        </w:rPr>
        <w:t xml:space="preserve">. </w:t>
      </w:r>
      <w:r w:rsidR="00D508EB" w:rsidRPr="009510B5">
        <w:rPr>
          <w:rFonts w:ascii="Palatino Linotype" w:hAnsi="Palatino Linotype" w:cs="Arial"/>
          <w:b/>
          <w:sz w:val="28"/>
          <w:szCs w:val="28"/>
        </w:rPr>
        <w:t>Del estudio de las causas de improcedencia y sobreseimiento</w:t>
      </w:r>
    </w:p>
    <w:p w14:paraId="4B98807C" w14:textId="77777777" w:rsidR="00D508EB" w:rsidRDefault="00D508EB" w:rsidP="00D508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FE85AA0" w14:textId="77777777" w:rsidR="00D508EB" w:rsidRDefault="00D508EB" w:rsidP="00D508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w:t>
      </w:r>
      <w:r>
        <w:rPr>
          <w:rFonts w:ascii="Palatino Linotype" w:hAnsi="Palatino Linotype" w:cs="Arial"/>
        </w:rPr>
        <w:lastRenderedPageBreak/>
        <w:t xml:space="preserve">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FE96059" w14:textId="77777777" w:rsidR="00D508EB" w:rsidRDefault="00D508EB" w:rsidP="00D508EB">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 xml:space="preserve">de notoria importancia el trabajo de interpretación que </w:t>
      </w:r>
      <w:r w:rsidRPr="00552846">
        <w:rPr>
          <w:rFonts w:ascii="Palatino Linotype" w:hAnsi="Palatino Linotype" w:cs="Arial"/>
          <w:sz w:val="24"/>
          <w:szCs w:val="24"/>
        </w:rPr>
        <w:lastRenderedPageBreak/>
        <w:t>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17222754" w14:textId="2B63F1A5" w:rsidR="00D508EB" w:rsidRDefault="00D508EB" w:rsidP="00D508EB">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sidR="00C514C0">
        <w:rPr>
          <w:rFonts w:ascii="Palatino Linotype" w:hAnsi="Palatino Linotype" w:cs="Arial"/>
          <w:sz w:val="24"/>
          <w:szCs w:val="24"/>
        </w:rPr>
        <w:t xml:space="preserve"> la</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7E2FCE48" w14:textId="1F3DD53A" w:rsidR="00983E64"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9B4F25">
        <w:rPr>
          <w:rFonts w:ascii="Palatino Linotype" w:hAnsi="Palatino Linotype"/>
          <w:b/>
          <w:bCs/>
          <w:sz w:val="24"/>
          <w:szCs w:val="24"/>
        </w:rPr>
        <w:t xml:space="preserve">00428/PLEGISLA/IP/2022 </w:t>
      </w:r>
      <w:r w:rsidR="009B4F25">
        <w:rPr>
          <w:rFonts w:ascii="Palatino Linotype" w:hAnsi="Palatino Linotype"/>
          <w:sz w:val="24"/>
          <w:szCs w:val="24"/>
        </w:rPr>
        <w:t xml:space="preserve">fueron formulados </w:t>
      </w:r>
      <w:r w:rsidR="009B4F25">
        <w:rPr>
          <w:rFonts w:ascii="Palatino Linotype" w:hAnsi="Palatino Linotype"/>
          <w:b/>
          <w:bCs/>
          <w:sz w:val="24"/>
          <w:szCs w:val="24"/>
        </w:rPr>
        <w:t xml:space="preserve">2 -dos- </w:t>
      </w:r>
      <w:r w:rsidR="009B4F25">
        <w:rPr>
          <w:rFonts w:ascii="Palatino Linotype" w:hAnsi="Palatino Linotype"/>
          <w:sz w:val="24"/>
          <w:szCs w:val="24"/>
        </w:rPr>
        <w:t>requerimientos respecto de los cuales se desprende</w:t>
      </w:r>
      <w:r w:rsidR="00983E64">
        <w:rPr>
          <w:rFonts w:ascii="Palatino Linotype" w:hAnsi="Palatino Linotype"/>
          <w:sz w:val="24"/>
          <w:szCs w:val="24"/>
        </w:rPr>
        <w:t>n las siguientes consideraciones:</w:t>
      </w:r>
    </w:p>
    <w:p w14:paraId="2229E2D8" w14:textId="297649A7" w:rsidR="00983E64" w:rsidRDefault="00983E64" w:rsidP="00983E64">
      <w:pPr>
        <w:pStyle w:val="Prrafodelista"/>
        <w:numPr>
          <w:ilvl w:val="0"/>
          <w:numId w:val="44"/>
        </w:numPr>
        <w:spacing w:before="240" w:line="360" w:lineRule="auto"/>
        <w:jc w:val="both"/>
        <w:rPr>
          <w:rFonts w:ascii="Palatino Linotype" w:hAnsi="Palatino Linotype"/>
        </w:rPr>
      </w:pPr>
      <w:r>
        <w:rPr>
          <w:rFonts w:ascii="Palatino Linotype" w:hAnsi="Palatino Linotype"/>
        </w:rPr>
        <w:t>Que en fecha treinta y uno de enero de dos mil veinte se designó a la C. Miroslava Carrillo Martínez como auditora superior de fiscalización, conforme al decreto 130 publicado en el Periódico Oficial “Gaceta del Gobierno del Estado Libre y Soberano de México”</w:t>
      </w:r>
    </w:p>
    <w:p w14:paraId="253C6CC2" w14:textId="02337C8D" w:rsidR="00983E64" w:rsidRDefault="00983E64" w:rsidP="00983E64">
      <w:pPr>
        <w:pStyle w:val="Prrafodelista"/>
        <w:numPr>
          <w:ilvl w:val="0"/>
          <w:numId w:val="44"/>
        </w:numPr>
        <w:spacing w:before="240" w:line="360" w:lineRule="auto"/>
        <w:jc w:val="both"/>
        <w:rPr>
          <w:rFonts w:ascii="Palatino Linotype" w:hAnsi="Palatino Linotype"/>
        </w:rPr>
      </w:pPr>
      <w:r>
        <w:rPr>
          <w:rFonts w:ascii="Palatino Linotype" w:hAnsi="Palatino Linotype"/>
        </w:rPr>
        <w:t xml:space="preserve">Que el derecho de acceso a la información se ejerció el uno de agosto de dos mil veintidós. </w:t>
      </w:r>
    </w:p>
    <w:p w14:paraId="6D4C1BE6" w14:textId="77777777" w:rsidR="00983E64" w:rsidRPr="00983E64" w:rsidRDefault="00983E64" w:rsidP="00983E64">
      <w:pPr>
        <w:pStyle w:val="Prrafodelista"/>
        <w:numPr>
          <w:ilvl w:val="0"/>
          <w:numId w:val="44"/>
        </w:numPr>
        <w:spacing w:before="240" w:line="360" w:lineRule="auto"/>
        <w:jc w:val="both"/>
        <w:rPr>
          <w:rFonts w:ascii="Palatino Linotype" w:hAnsi="Palatino Linotype"/>
        </w:rPr>
      </w:pPr>
      <w:r>
        <w:rPr>
          <w:rFonts w:ascii="Palatino Linotype" w:hAnsi="Palatino Linotype"/>
        </w:rPr>
        <w:t xml:space="preserve">Que mediante la solicitud de información </w:t>
      </w:r>
      <w:r>
        <w:rPr>
          <w:rFonts w:ascii="Palatino Linotype" w:hAnsi="Palatino Linotype"/>
          <w:b/>
          <w:bCs/>
        </w:rPr>
        <w:t xml:space="preserve">00428/PLEGISLA/IP/2022, </w:t>
      </w:r>
      <w:r>
        <w:rPr>
          <w:rFonts w:ascii="Palatino Linotype" w:hAnsi="Palatino Linotype"/>
        </w:rPr>
        <w:t xml:space="preserve">la particular señaló como elemento temporal </w:t>
      </w:r>
      <w:r>
        <w:rPr>
          <w:rFonts w:ascii="Palatino Linotype" w:hAnsi="Palatino Linotype"/>
          <w:b/>
          <w:bCs/>
          <w:i/>
          <w:iCs/>
        </w:rPr>
        <w:t xml:space="preserve">“desde que asumió el cargo”. </w:t>
      </w:r>
    </w:p>
    <w:p w14:paraId="0C3DD670" w14:textId="054E9DE1" w:rsidR="00983E64" w:rsidRDefault="005A2DBE" w:rsidP="00983E64">
      <w:pPr>
        <w:pStyle w:val="Prrafodelista"/>
        <w:numPr>
          <w:ilvl w:val="0"/>
          <w:numId w:val="44"/>
        </w:numPr>
        <w:spacing w:before="240" w:line="360" w:lineRule="auto"/>
        <w:jc w:val="both"/>
        <w:rPr>
          <w:rFonts w:ascii="Palatino Linotype" w:hAnsi="Palatino Linotype"/>
        </w:rPr>
      </w:pPr>
      <w:r>
        <w:rPr>
          <w:rFonts w:ascii="Palatino Linotype" w:hAnsi="Palatino Linotype"/>
        </w:rPr>
        <w:t>Que,</w:t>
      </w:r>
      <w:r w:rsidR="00983E64">
        <w:rPr>
          <w:rFonts w:ascii="Palatino Linotype" w:hAnsi="Palatino Linotype"/>
        </w:rPr>
        <w:t xml:space="preserve"> de una interpretación sistemática a dichas hipótesis </w:t>
      </w:r>
      <w:r w:rsidR="00EB34ED">
        <w:rPr>
          <w:rFonts w:ascii="Palatino Linotype" w:hAnsi="Palatino Linotype"/>
        </w:rPr>
        <w:t>fácticas, se arriba a la premisa de que</w:t>
      </w:r>
      <w:r w:rsidR="00983E64">
        <w:rPr>
          <w:rFonts w:ascii="Palatino Linotype" w:hAnsi="Palatino Linotype"/>
        </w:rPr>
        <w:t xml:space="preserve"> la temporalidad debe de ser delimitada del treinta y uno de </w:t>
      </w:r>
      <w:r w:rsidR="00983E64">
        <w:rPr>
          <w:rFonts w:ascii="Palatino Linotype" w:hAnsi="Palatino Linotype"/>
        </w:rPr>
        <w:lastRenderedPageBreak/>
        <w:t>enero de dos mil veinte al uno de agosto de dos mil veintidós</w:t>
      </w:r>
      <w:r>
        <w:rPr>
          <w:rFonts w:ascii="Palatino Linotype" w:hAnsi="Palatino Linotype"/>
        </w:rPr>
        <w:t xml:space="preserve">, al tratarse de la fecha de designación y fecha de la solicitud de información, respectivamente. </w:t>
      </w:r>
    </w:p>
    <w:p w14:paraId="7C987CDF" w14:textId="77777777" w:rsidR="009B4F25" w:rsidRDefault="009B4F25" w:rsidP="00D870AC">
      <w:pPr>
        <w:spacing w:before="240" w:line="360" w:lineRule="auto"/>
        <w:jc w:val="both"/>
        <w:rPr>
          <w:rFonts w:ascii="Palatino Linotype" w:hAnsi="Palatino Linotype"/>
          <w:sz w:val="24"/>
          <w:szCs w:val="24"/>
        </w:rPr>
      </w:pPr>
    </w:p>
    <w:p w14:paraId="50BC3667" w14:textId="4D464845" w:rsidR="00293C29" w:rsidRPr="0051062B" w:rsidRDefault="00EB34ED" w:rsidP="00293C29">
      <w:pPr>
        <w:spacing w:before="240" w:line="360" w:lineRule="auto"/>
        <w:jc w:val="both"/>
        <w:rPr>
          <w:rFonts w:ascii="Palatino Linotype" w:hAnsi="Palatino Linotype"/>
          <w:sz w:val="24"/>
          <w:szCs w:val="24"/>
        </w:rPr>
      </w:pPr>
      <w:r>
        <w:rPr>
          <w:rFonts w:ascii="Palatino Linotype" w:hAnsi="Palatino Linotype"/>
          <w:sz w:val="24"/>
          <w:szCs w:val="24"/>
        </w:rPr>
        <w:t>Dicha precisión</w:t>
      </w:r>
      <w:r w:rsidR="00421D09">
        <w:rPr>
          <w:rFonts w:ascii="Palatino Linotype" w:hAnsi="Palatino Linotype"/>
          <w:sz w:val="24"/>
          <w:szCs w:val="24"/>
        </w:rPr>
        <w:t xml:space="preserve">, </w:t>
      </w:r>
      <w:r w:rsidR="00293C29">
        <w:rPr>
          <w:rFonts w:ascii="Palatino Linotype" w:hAnsi="Palatino Linotype"/>
          <w:sz w:val="24"/>
          <w:szCs w:val="24"/>
        </w:rPr>
        <w:t xml:space="preserve">con fundamento </w:t>
      </w:r>
      <w:r w:rsidR="00293C29" w:rsidRPr="0051062B">
        <w:rPr>
          <w:rFonts w:ascii="Palatino Linotype" w:hAnsi="Palatino Linotype"/>
          <w:sz w:val="24"/>
          <w:szCs w:val="24"/>
        </w:rPr>
        <w:t xml:space="preserve">en los artículos 13 y 181 cuarto párrafo de la Ley en materia, los cuales a la letra rezan: </w:t>
      </w:r>
    </w:p>
    <w:p w14:paraId="5F80000F" w14:textId="77777777" w:rsidR="00293C29" w:rsidRPr="0051062B" w:rsidRDefault="00293C29" w:rsidP="00293C2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C8F15D7" w14:textId="77777777" w:rsidR="00293C29" w:rsidRPr="0051062B" w:rsidRDefault="00293C29" w:rsidP="00293C29">
      <w:pPr>
        <w:pStyle w:val="Citas"/>
        <w:rPr>
          <w:b/>
        </w:rPr>
      </w:pPr>
      <w:r w:rsidRPr="0051062B">
        <w:rPr>
          <w:b/>
        </w:rPr>
        <w:t xml:space="preserve">Artículo 181. … </w:t>
      </w:r>
    </w:p>
    <w:p w14:paraId="2845C381" w14:textId="77777777" w:rsidR="00293C29" w:rsidRDefault="00293C29" w:rsidP="00293C2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54CCC56" w14:textId="55232C77" w:rsidR="00C8471E" w:rsidRDefault="00C8471E" w:rsidP="00C8471E">
      <w:pPr>
        <w:spacing w:before="240" w:line="360" w:lineRule="auto"/>
        <w:jc w:val="both"/>
        <w:rPr>
          <w:rFonts w:ascii="Palatino Linotype" w:hAnsi="Palatino Linotype"/>
        </w:rPr>
      </w:pPr>
    </w:p>
    <w:p w14:paraId="31FFD0A3" w14:textId="0DD94ACD" w:rsidR="00636FD7" w:rsidRPr="0064392E" w:rsidRDefault="00636FD7" w:rsidP="00636FD7">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w:t>
      </w:r>
      <w:r w:rsidR="009D3C55">
        <w:rPr>
          <w:rFonts w:ascii="Palatino Linotype" w:hAnsi="Palatino Linotype"/>
          <w:sz w:val="24"/>
          <w:szCs w:val="24"/>
        </w:rPr>
        <w:t>el requerimiento formulado</w:t>
      </w:r>
      <w:r>
        <w:rPr>
          <w:rFonts w:ascii="Palatino Linotype" w:hAnsi="Palatino Linotype"/>
          <w:sz w:val="24"/>
          <w:szCs w:val="24"/>
        </w:rPr>
        <w:t xml:space="preserve">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6491A04E" w14:textId="7D1E4621" w:rsidR="005D29BF" w:rsidRDefault="00EB34ED" w:rsidP="00666CAF">
      <w:pPr>
        <w:pStyle w:val="Prrafodelista"/>
        <w:numPr>
          <w:ilvl w:val="0"/>
          <w:numId w:val="16"/>
        </w:numPr>
        <w:spacing w:before="240" w:line="360" w:lineRule="auto"/>
        <w:jc w:val="both"/>
        <w:rPr>
          <w:rFonts w:ascii="Palatino Linotype" w:hAnsi="Palatino Linotype"/>
        </w:rPr>
      </w:pPr>
      <w:r>
        <w:rPr>
          <w:rFonts w:ascii="Palatino Linotype" w:hAnsi="Palatino Linotype"/>
        </w:rPr>
        <w:t xml:space="preserve">Oficios signados por la auditora superior en turno, del periodo comprendido del treinta y uno de enero de dos mil veinte al uno de agosto de dos mil veintidós. </w:t>
      </w:r>
    </w:p>
    <w:p w14:paraId="0D755E8C" w14:textId="1300AAD9" w:rsidR="00EB34ED" w:rsidRPr="009D3C55" w:rsidRDefault="00EB34ED" w:rsidP="00666CAF">
      <w:pPr>
        <w:pStyle w:val="Prrafodelista"/>
        <w:numPr>
          <w:ilvl w:val="0"/>
          <w:numId w:val="16"/>
        </w:numPr>
        <w:spacing w:before="240" w:line="360" w:lineRule="auto"/>
        <w:jc w:val="both"/>
        <w:rPr>
          <w:rFonts w:ascii="Palatino Linotype" w:hAnsi="Palatino Linotype"/>
        </w:rPr>
      </w:pPr>
      <w:r>
        <w:rPr>
          <w:rFonts w:ascii="Palatino Linotype" w:hAnsi="Palatino Linotype"/>
        </w:rPr>
        <w:lastRenderedPageBreak/>
        <w:t xml:space="preserve">Libro de gobierno y/o equivalente utilizado para el control y seguimiento de los oficios signados por la auditora superior en turno, del periodo comprendido del treinta y uno de enero de dos mil veinte al uno de agosto de dos mil veintidós. </w:t>
      </w:r>
    </w:p>
    <w:p w14:paraId="6E0BF2CE" w14:textId="77777777" w:rsidR="00D508EB" w:rsidRDefault="00D508EB" w:rsidP="00421D09">
      <w:pPr>
        <w:spacing w:after="0" w:line="360" w:lineRule="auto"/>
        <w:jc w:val="both"/>
        <w:rPr>
          <w:rFonts w:ascii="Palatino Linotype" w:hAnsi="Palatino Linotype" w:cs="Arial"/>
          <w:sz w:val="24"/>
          <w:szCs w:val="24"/>
        </w:rPr>
      </w:pPr>
    </w:p>
    <w:p w14:paraId="46435527" w14:textId="77777777" w:rsidR="00EB34ED" w:rsidRDefault="00EB34ED" w:rsidP="00EB34ED">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026A2E5" w14:textId="77777777" w:rsidR="00EB34ED" w:rsidRPr="009535E0" w:rsidRDefault="00EB34ED" w:rsidP="00EB34ED">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543E9FC" w14:textId="77777777" w:rsidR="00EB34ED" w:rsidRPr="009535E0" w:rsidRDefault="00EB34ED" w:rsidP="00EB34E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7A015A1" w14:textId="77777777" w:rsidR="00EB34ED" w:rsidRPr="009535E0" w:rsidRDefault="00EB34ED" w:rsidP="00EB34ED">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12EE05" w14:textId="66EA6196" w:rsidR="00EB34ED" w:rsidRPr="00A94BBE" w:rsidRDefault="00EB34ED" w:rsidP="00EB34ED">
      <w:pPr>
        <w:pStyle w:val="INFOEM"/>
        <w:rPr>
          <w:b/>
        </w:rPr>
      </w:pPr>
      <w: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Pr>
          <w:b/>
        </w:rPr>
        <w:t xml:space="preserve">[Sic] </w:t>
      </w:r>
    </w:p>
    <w:p w14:paraId="76F8DAB9" w14:textId="01520E3C" w:rsidR="00EB34ED" w:rsidRDefault="00EB34ED" w:rsidP="00513F18">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13536" behindDoc="0" locked="0" layoutInCell="1" allowOverlap="1" wp14:anchorId="5F1C3500" wp14:editId="453BC592">
            <wp:simplePos x="0" y="0"/>
            <wp:positionH relativeFrom="column">
              <wp:posOffset>89535</wp:posOffset>
            </wp:positionH>
            <wp:positionV relativeFrom="paragraph">
              <wp:posOffset>116205</wp:posOffset>
            </wp:positionV>
            <wp:extent cx="5581650" cy="7349490"/>
            <wp:effectExtent l="19050" t="19050" r="19050" b="22860"/>
            <wp:wrapThrough wrapText="bothSides">
              <wp:wrapPolygon edited="0">
                <wp:start x="-74" y="-56"/>
                <wp:lineTo x="-74" y="21611"/>
                <wp:lineTo x="21600" y="21611"/>
                <wp:lineTo x="21600" y="-56"/>
                <wp:lineTo x="-74" y="-56"/>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73494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C2E0D86" w14:textId="299643C6" w:rsidR="00EB34ED" w:rsidRDefault="00EB34ED" w:rsidP="00513F18">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14560" behindDoc="0" locked="0" layoutInCell="1" allowOverlap="1" wp14:anchorId="355653AF" wp14:editId="20A4A094">
            <wp:simplePos x="0" y="0"/>
            <wp:positionH relativeFrom="column">
              <wp:posOffset>1891665</wp:posOffset>
            </wp:positionH>
            <wp:positionV relativeFrom="paragraph">
              <wp:posOffset>22860</wp:posOffset>
            </wp:positionV>
            <wp:extent cx="2162175" cy="2124075"/>
            <wp:effectExtent l="19050" t="19050" r="28575" b="28575"/>
            <wp:wrapThrough wrapText="bothSides">
              <wp:wrapPolygon edited="0">
                <wp:start x="-190" y="-194"/>
                <wp:lineTo x="-190" y="21697"/>
                <wp:lineTo x="21695" y="21697"/>
                <wp:lineTo x="21695" y="-194"/>
                <wp:lineTo x="-190" y="-194"/>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2124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E57EC5" w14:textId="77777777" w:rsidR="00EB34ED" w:rsidRDefault="00EB34ED" w:rsidP="00513F18">
      <w:pPr>
        <w:spacing w:line="360" w:lineRule="auto"/>
        <w:jc w:val="both"/>
        <w:rPr>
          <w:rFonts w:ascii="Palatino Linotype" w:hAnsi="Palatino Linotype" w:cs="Arial"/>
          <w:sz w:val="24"/>
          <w:szCs w:val="24"/>
        </w:rPr>
      </w:pPr>
    </w:p>
    <w:p w14:paraId="27284525" w14:textId="77777777" w:rsidR="00EB34ED" w:rsidRDefault="00EB34ED" w:rsidP="00513F18">
      <w:pPr>
        <w:spacing w:line="360" w:lineRule="auto"/>
        <w:jc w:val="both"/>
        <w:rPr>
          <w:rFonts w:ascii="Palatino Linotype" w:hAnsi="Palatino Linotype" w:cs="Arial"/>
          <w:sz w:val="24"/>
          <w:szCs w:val="24"/>
        </w:rPr>
      </w:pPr>
    </w:p>
    <w:p w14:paraId="1E8D4E44" w14:textId="77777777" w:rsidR="00EB34ED" w:rsidRDefault="00EB34ED" w:rsidP="00513F18">
      <w:pPr>
        <w:spacing w:line="360" w:lineRule="auto"/>
        <w:jc w:val="both"/>
        <w:rPr>
          <w:rFonts w:ascii="Palatino Linotype" w:hAnsi="Palatino Linotype" w:cs="Arial"/>
          <w:sz w:val="24"/>
          <w:szCs w:val="24"/>
        </w:rPr>
      </w:pPr>
    </w:p>
    <w:p w14:paraId="598B4AF8" w14:textId="77777777" w:rsidR="00EB34ED" w:rsidRDefault="00EB34ED" w:rsidP="00513F18">
      <w:pPr>
        <w:spacing w:line="360" w:lineRule="auto"/>
        <w:jc w:val="both"/>
        <w:rPr>
          <w:rFonts w:ascii="Palatino Linotype" w:hAnsi="Palatino Linotype" w:cs="Arial"/>
          <w:sz w:val="24"/>
          <w:szCs w:val="24"/>
        </w:rPr>
      </w:pPr>
    </w:p>
    <w:p w14:paraId="3318B033" w14:textId="77777777" w:rsidR="00EB34ED" w:rsidRDefault="00EB34ED" w:rsidP="00513F18">
      <w:pPr>
        <w:spacing w:line="360" w:lineRule="auto"/>
        <w:jc w:val="both"/>
        <w:rPr>
          <w:rFonts w:ascii="Palatino Linotype" w:hAnsi="Palatino Linotype" w:cs="Arial"/>
          <w:sz w:val="24"/>
          <w:szCs w:val="24"/>
        </w:rPr>
      </w:pPr>
    </w:p>
    <w:p w14:paraId="24340217" w14:textId="77777777" w:rsidR="00EB34ED" w:rsidRDefault="00EB34ED" w:rsidP="00513F18">
      <w:pPr>
        <w:spacing w:line="360" w:lineRule="auto"/>
        <w:jc w:val="both"/>
        <w:rPr>
          <w:rFonts w:ascii="Palatino Linotype" w:hAnsi="Palatino Linotype" w:cs="Arial"/>
          <w:sz w:val="24"/>
          <w:szCs w:val="24"/>
        </w:rPr>
      </w:pPr>
    </w:p>
    <w:p w14:paraId="1F039F7B" w14:textId="226FBDF9" w:rsidR="001F5597" w:rsidRDefault="00513F18" w:rsidP="00513F18">
      <w:pPr>
        <w:spacing w:line="360" w:lineRule="auto"/>
        <w:jc w:val="both"/>
        <w:rPr>
          <w:rFonts w:ascii="Palatino Linotype" w:hAnsi="Palatino Linotype" w:cs="Arial"/>
          <w:sz w:val="24"/>
          <w:szCs w:val="24"/>
        </w:rPr>
      </w:pPr>
      <w:r w:rsidRPr="008D595F">
        <w:rPr>
          <w:rFonts w:ascii="Palatino Linotype" w:hAnsi="Palatino Linotype" w:cs="Arial"/>
          <w:sz w:val="24"/>
          <w:szCs w:val="24"/>
        </w:rPr>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sidR="00EB34ED">
        <w:rPr>
          <w:rFonts w:ascii="Palatino Linotype" w:hAnsi="Palatino Linotype" w:cs="Arial"/>
          <w:sz w:val="24"/>
          <w:szCs w:val="24"/>
        </w:rPr>
        <w:t xml:space="preserve">el Órgano Superior de Fiscalización del Estado de México. </w:t>
      </w:r>
    </w:p>
    <w:p w14:paraId="4A1B29F6" w14:textId="6CD9A6F5" w:rsidR="00EB34ED" w:rsidRDefault="00EB34ED" w:rsidP="00513F18">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sentido, resulta oportuno traer a colación </w:t>
      </w:r>
      <w:r w:rsidR="00293FCF">
        <w:rPr>
          <w:rFonts w:ascii="Palatino Linotype" w:hAnsi="Palatino Linotype" w:cs="Arial"/>
          <w:sz w:val="24"/>
          <w:szCs w:val="24"/>
        </w:rPr>
        <w:t xml:space="preserve">el artículo 61, fracción XXXII de la Constitución Política del Estado Libre y Soberano de México, así como los numerales 10 y 13 de la Ley de Fiscalización Superior del Estado de México, porciones normativas que disponen a la literalidad lo siguiente: </w:t>
      </w:r>
      <w:r w:rsidR="00293FCF">
        <w:rPr>
          <w:rFonts w:ascii="Palatino Linotype" w:hAnsi="Palatino Linotype" w:cs="Arial"/>
          <w:sz w:val="24"/>
          <w:szCs w:val="24"/>
        </w:rPr>
        <w:tab/>
      </w:r>
    </w:p>
    <w:p w14:paraId="08FA06C5" w14:textId="6B006A6A" w:rsidR="00293FCF" w:rsidRPr="00293FCF" w:rsidRDefault="00293FCF" w:rsidP="00293FCF">
      <w:pPr>
        <w:pStyle w:val="Citas"/>
        <w:jc w:val="center"/>
        <w:rPr>
          <w:b/>
          <w:bCs/>
          <w:sz w:val="24"/>
          <w:szCs w:val="24"/>
        </w:rPr>
      </w:pPr>
      <w:r w:rsidRPr="00293FCF">
        <w:rPr>
          <w:b/>
          <w:bCs/>
          <w:sz w:val="24"/>
          <w:szCs w:val="24"/>
        </w:rPr>
        <w:t>CONSTITUCIÓN POLÍTICA DEL ESTADO LIBRE Y SOBERANO DE MÉXICO</w:t>
      </w:r>
    </w:p>
    <w:p w14:paraId="5A8C632F" w14:textId="4ADD8187" w:rsidR="00293FCF" w:rsidRPr="00293FCF" w:rsidRDefault="00293FCF" w:rsidP="00293FCF">
      <w:pPr>
        <w:pStyle w:val="Citas"/>
      </w:pPr>
      <w:r>
        <w:t>“</w:t>
      </w:r>
      <w:r w:rsidRPr="00293FCF">
        <w:t>Artículo 61.- Son facultades y obligaciones de la Legislatura:</w:t>
      </w:r>
    </w:p>
    <w:p w14:paraId="3EFA7F8D" w14:textId="7AD8C7AA" w:rsidR="00293FCF" w:rsidRPr="00293FCF" w:rsidRDefault="00293FCF" w:rsidP="00293FCF">
      <w:pPr>
        <w:pStyle w:val="Citas"/>
      </w:pPr>
      <w:r w:rsidRPr="00293FCF">
        <w:t>(…)</w:t>
      </w:r>
    </w:p>
    <w:p w14:paraId="6970B094" w14:textId="6ACFABAC" w:rsidR="00293FCF" w:rsidRPr="00293FCF" w:rsidRDefault="00293FCF" w:rsidP="00293FCF">
      <w:pPr>
        <w:pStyle w:val="Citas"/>
      </w:pPr>
      <w:r w:rsidRPr="00293FCF">
        <w:lastRenderedPageBreak/>
        <w:t xml:space="preserve">XXXII. Recibir, revisar, fiscalizar y calificar las cuentas públicas del Estado y de los Municipios, del año anterior, mismas que incluirán, en su caso, la información correspondiente a los Poderes Públicos, organismos autónomos, organismos auxiliares, fideicomisos públicos o privados y demás entes públicos que manejen recursos del Estado y Municipios. </w:t>
      </w:r>
      <w:r w:rsidRPr="00293FCF">
        <w:rPr>
          <w:b/>
          <w:bCs/>
          <w:u w:val="single"/>
        </w:rPr>
        <w:t>Para tal efecto, contará con un Órgano Superior de Fiscalización, dotado de autonomía técnica y de gestión en el ejercicio de sus atribuciones y para decidir sobre su organización interna, funcionamiento y resoluciones, en los términos que disponga la legislación aplicable</w:t>
      </w:r>
      <w:r w:rsidRPr="00293FCF">
        <w:t xml:space="preserve"> </w:t>
      </w:r>
    </w:p>
    <w:p w14:paraId="3BF9DB7F" w14:textId="189D0881" w:rsidR="00293FCF" w:rsidRPr="00293FCF" w:rsidRDefault="00293FCF" w:rsidP="00293FCF">
      <w:pPr>
        <w:pStyle w:val="Citas"/>
        <w:rPr>
          <w:b/>
          <w:bCs/>
        </w:rPr>
      </w:pPr>
      <w:r w:rsidRPr="00293FCF">
        <w:t>(…)</w:t>
      </w:r>
      <w:r>
        <w:t xml:space="preserve">” </w:t>
      </w:r>
      <w:r>
        <w:rPr>
          <w:b/>
          <w:bCs/>
        </w:rPr>
        <w:t>(Sic)</w:t>
      </w:r>
    </w:p>
    <w:p w14:paraId="35F1F99A" w14:textId="77777777" w:rsidR="005A2DBE" w:rsidRDefault="005A2DBE" w:rsidP="00293FCF">
      <w:pPr>
        <w:pStyle w:val="Citas"/>
        <w:jc w:val="center"/>
        <w:rPr>
          <w:b/>
          <w:bCs/>
        </w:rPr>
      </w:pPr>
    </w:p>
    <w:p w14:paraId="4BF0D27F" w14:textId="340B70C5" w:rsidR="00293FCF" w:rsidRPr="00293FCF" w:rsidRDefault="00293FCF" w:rsidP="00293FCF">
      <w:pPr>
        <w:pStyle w:val="Citas"/>
        <w:jc w:val="center"/>
        <w:rPr>
          <w:b/>
          <w:bCs/>
        </w:rPr>
      </w:pPr>
      <w:r w:rsidRPr="00293FCF">
        <w:rPr>
          <w:b/>
          <w:bCs/>
        </w:rPr>
        <w:t>LEY DE FISCALIZACIÓN SUPERIOR DEL ESTADO DE MÉXICO</w:t>
      </w:r>
    </w:p>
    <w:p w14:paraId="035D26D7" w14:textId="1940CEE9" w:rsidR="00293FCF" w:rsidRPr="00293FCF" w:rsidRDefault="00293FCF" w:rsidP="00293FCF">
      <w:pPr>
        <w:pStyle w:val="Citas"/>
      </w:pPr>
      <w:r>
        <w:t>“</w:t>
      </w:r>
      <w:r w:rsidRPr="00293FCF">
        <w:t>Artículo 10.-. El Órgano Superior estará a cargo de un Auditor Superior, que será designado y removido por las dos terceras partes de los miembros presentes de la Legislatura, a propuesta de la Junta de Coordinación Política</w:t>
      </w:r>
    </w:p>
    <w:p w14:paraId="02965E53" w14:textId="50A0E81F" w:rsidR="00293FCF" w:rsidRDefault="00293FCF" w:rsidP="00293FCF">
      <w:pPr>
        <w:pStyle w:val="Citas"/>
      </w:pPr>
      <w:r w:rsidRPr="00293FCF">
        <w:t xml:space="preserve">Artículo 13.- El Auditor Superior tendrá las siguientes atribuciones: </w:t>
      </w:r>
    </w:p>
    <w:p w14:paraId="47F5DE67" w14:textId="68DF0AE2" w:rsidR="00293FCF" w:rsidRPr="00293FCF" w:rsidRDefault="00293FCF" w:rsidP="00293FCF">
      <w:pPr>
        <w:pStyle w:val="Citas"/>
        <w:rPr>
          <w:b/>
          <w:bCs/>
        </w:rPr>
      </w:pPr>
      <w:r>
        <w:t xml:space="preserve">(…)” </w:t>
      </w:r>
      <w:r>
        <w:rPr>
          <w:b/>
          <w:bCs/>
        </w:rPr>
        <w:t>(Sic)</w:t>
      </w:r>
    </w:p>
    <w:p w14:paraId="38DA9D72" w14:textId="075EFF5E" w:rsidR="00293FCF" w:rsidRDefault="00293FCF" w:rsidP="00513F18">
      <w:pPr>
        <w:spacing w:line="360" w:lineRule="auto"/>
        <w:jc w:val="both"/>
        <w:rPr>
          <w:rFonts w:ascii="Palatino Linotype" w:hAnsi="Palatino Linotype" w:cs="Arial"/>
          <w:sz w:val="24"/>
          <w:szCs w:val="24"/>
        </w:rPr>
      </w:pPr>
    </w:p>
    <w:p w14:paraId="19F75B36" w14:textId="3E93F67B" w:rsidR="00293FCF" w:rsidRDefault="00A65B7E" w:rsidP="00B61C39">
      <w:pPr>
        <w:spacing w:line="360" w:lineRule="auto"/>
        <w:jc w:val="both"/>
        <w:rPr>
          <w:rFonts w:ascii="Palatino Linotype" w:hAnsi="Palatino Linotype" w:cs="Arial"/>
          <w:sz w:val="24"/>
          <w:szCs w:val="24"/>
        </w:rPr>
      </w:pPr>
      <w:r w:rsidRPr="00B61C39">
        <w:rPr>
          <w:rFonts w:ascii="Palatino Linotype" w:hAnsi="Palatino Linotype" w:cs="Arial"/>
          <w:sz w:val="24"/>
          <w:szCs w:val="24"/>
        </w:rPr>
        <w:t xml:space="preserve">Del análisis sistemático y armónico de la normatividad previamente plasmada se desprende que la </w:t>
      </w:r>
      <w:r w:rsidR="00293FCF">
        <w:rPr>
          <w:rFonts w:ascii="Palatino Linotype" w:hAnsi="Palatino Linotype" w:cs="Arial"/>
          <w:sz w:val="24"/>
          <w:szCs w:val="24"/>
        </w:rPr>
        <w:t>Auditora Superior de Fiscalización del Estado de México cuenta con numerosas facultades entre las cuales destacan las siguientes:</w:t>
      </w:r>
    </w:p>
    <w:p w14:paraId="4D63AD44" w14:textId="792912E7" w:rsidR="00293FCF" w:rsidRDefault="00293FCF" w:rsidP="00293FCF">
      <w:pPr>
        <w:pStyle w:val="Prrafodelista"/>
        <w:numPr>
          <w:ilvl w:val="0"/>
          <w:numId w:val="45"/>
        </w:numPr>
        <w:spacing w:line="360" w:lineRule="auto"/>
        <w:jc w:val="both"/>
        <w:rPr>
          <w:rFonts w:ascii="Palatino Linotype" w:hAnsi="Palatino Linotype" w:cs="Arial"/>
        </w:rPr>
      </w:pPr>
      <w:r>
        <w:rPr>
          <w:rFonts w:ascii="Palatino Linotype" w:hAnsi="Palatino Linotype" w:cs="Arial"/>
        </w:rPr>
        <w:t xml:space="preserve">Representación legal del </w:t>
      </w:r>
      <w:r w:rsidR="00204288">
        <w:rPr>
          <w:rFonts w:ascii="Palatino Linotype" w:hAnsi="Palatino Linotype" w:cs="Arial"/>
        </w:rPr>
        <w:t xml:space="preserve">Órgano Superior. </w:t>
      </w:r>
    </w:p>
    <w:p w14:paraId="37C73310" w14:textId="463C3272" w:rsidR="00204288" w:rsidRDefault="00204288" w:rsidP="00293FCF">
      <w:pPr>
        <w:pStyle w:val="Prrafodelista"/>
        <w:numPr>
          <w:ilvl w:val="0"/>
          <w:numId w:val="45"/>
        </w:numPr>
        <w:spacing w:line="360" w:lineRule="auto"/>
        <w:jc w:val="both"/>
        <w:rPr>
          <w:rFonts w:ascii="Palatino Linotype" w:hAnsi="Palatino Linotype" w:cs="Arial"/>
        </w:rPr>
      </w:pPr>
      <w:r>
        <w:rPr>
          <w:rFonts w:ascii="Palatino Linotype" w:hAnsi="Palatino Linotype" w:cs="Arial"/>
        </w:rPr>
        <w:lastRenderedPageBreak/>
        <w:t xml:space="preserve">Formular pliegos de observaciones y recomendaciones necesarias. </w:t>
      </w:r>
    </w:p>
    <w:p w14:paraId="0E6815E2" w14:textId="62DBF316" w:rsidR="00204288" w:rsidRDefault="00204288" w:rsidP="00293FCF">
      <w:pPr>
        <w:pStyle w:val="Prrafodelista"/>
        <w:numPr>
          <w:ilvl w:val="0"/>
          <w:numId w:val="45"/>
        </w:numPr>
        <w:spacing w:line="360" w:lineRule="auto"/>
        <w:jc w:val="both"/>
        <w:rPr>
          <w:rFonts w:ascii="Palatino Linotype" w:hAnsi="Palatino Linotype" w:cs="Arial"/>
        </w:rPr>
      </w:pPr>
      <w:r>
        <w:rPr>
          <w:rFonts w:ascii="Palatino Linotype" w:hAnsi="Palatino Linotype" w:cs="Arial"/>
        </w:rPr>
        <w:t xml:space="preserve">Elaborar plan operativo anual. </w:t>
      </w:r>
    </w:p>
    <w:p w14:paraId="2B0977D9" w14:textId="43A9950C" w:rsidR="00204288" w:rsidRDefault="00204288" w:rsidP="00293FCF">
      <w:pPr>
        <w:pStyle w:val="Prrafodelista"/>
        <w:numPr>
          <w:ilvl w:val="0"/>
          <w:numId w:val="45"/>
        </w:numPr>
        <w:spacing w:line="360" w:lineRule="auto"/>
        <w:jc w:val="both"/>
        <w:rPr>
          <w:rFonts w:ascii="Palatino Linotype" w:hAnsi="Palatino Linotype" w:cs="Arial"/>
        </w:rPr>
      </w:pPr>
      <w:r>
        <w:rPr>
          <w:rFonts w:ascii="Palatino Linotype" w:hAnsi="Palatino Linotype" w:cs="Arial"/>
        </w:rPr>
        <w:t>Nombrar y remover a servidores públicos</w:t>
      </w:r>
    </w:p>
    <w:p w14:paraId="5BC7C579" w14:textId="0DE3B85D" w:rsidR="00204288" w:rsidRPr="00293FCF" w:rsidRDefault="00204288" w:rsidP="00293FCF">
      <w:pPr>
        <w:pStyle w:val="Prrafodelista"/>
        <w:numPr>
          <w:ilvl w:val="0"/>
          <w:numId w:val="45"/>
        </w:numPr>
        <w:spacing w:line="360" w:lineRule="auto"/>
        <w:jc w:val="both"/>
        <w:rPr>
          <w:rFonts w:ascii="Palatino Linotype" w:hAnsi="Palatino Linotype" w:cs="Arial"/>
        </w:rPr>
      </w:pPr>
      <w:r>
        <w:rPr>
          <w:rFonts w:ascii="Palatino Linotype" w:hAnsi="Palatino Linotype" w:cs="Arial"/>
        </w:rPr>
        <w:t xml:space="preserve">Otros. </w:t>
      </w:r>
    </w:p>
    <w:p w14:paraId="6F4DAF11" w14:textId="77777777" w:rsidR="00293FCF" w:rsidRDefault="00293FCF" w:rsidP="00B61C39">
      <w:pPr>
        <w:spacing w:line="360" w:lineRule="auto"/>
        <w:jc w:val="both"/>
        <w:rPr>
          <w:rFonts w:ascii="Palatino Linotype" w:hAnsi="Palatino Linotype" w:cs="Arial"/>
          <w:sz w:val="24"/>
          <w:szCs w:val="24"/>
        </w:rPr>
      </w:pPr>
    </w:p>
    <w:p w14:paraId="6E66F330" w14:textId="7F95A438" w:rsidR="00204288" w:rsidRPr="00204288" w:rsidRDefault="00A02B9D" w:rsidP="008763E4">
      <w:pPr>
        <w:spacing w:line="360" w:lineRule="auto"/>
        <w:jc w:val="both"/>
        <w:rPr>
          <w:rFonts w:ascii="Palatino Linotype" w:hAnsi="Palatino Linotype"/>
          <w:bCs/>
          <w:sz w:val="24"/>
          <w:szCs w:val="24"/>
        </w:rPr>
      </w:pPr>
      <w:r w:rsidRPr="00A02B9D">
        <w:rPr>
          <w:rFonts w:ascii="Palatino Linotype" w:hAnsi="Palatino Linotype"/>
          <w:sz w:val="24"/>
          <w:szCs w:val="24"/>
        </w:rPr>
        <w:t xml:space="preserve">De ahí que deba arribarse a la premisa de que la información requerida es susceptible de ser generada, poseída y administrada por </w:t>
      </w:r>
      <w:r w:rsidRPr="00A02B9D">
        <w:rPr>
          <w:rFonts w:ascii="Palatino Linotype" w:hAnsi="Palatino Linotype"/>
          <w:b/>
          <w:sz w:val="24"/>
          <w:szCs w:val="24"/>
        </w:rPr>
        <w:t>El Sujeto Obligado</w:t>
      </w:r>
      <w:r w:rsidR="00204288">
        <w:rPr>
          <w:rFonts w:ascii="Palatino Linotype" w:hAnsi="Palatino Linotype"/>
          <w:b/>
          <w:sz w:val="24"/>
          <w:szCs w:val="24"/>
        </w:rPr>
        <w:t xml:space="preserve">, </w:t>
      </w:r>
      <w:r w:rsidR="00204288">
        <w:rPr>
          <w:rFonts w:ascii="Palatino Linotype" w:hAnsi="Palatino Linotype"/>
          <w:bCs/>
          <w:sz w:val="24"/>
          <w:szCs w:val="24"/>
        </w:rPr>
        <w:t xml:space="preserve">al tratarse de comunicaciones de carácter oficial vinculadas con el ejercicio de las atribuciones reservadas. </w:t>
      </w:r>
    </w:p>
    <w:p w14:paraId="0D05335E" w14:textId="2FE64710" w:rsidR="008763E4" w:rsidRDefault="00A02B9D" w:rsidP="008763E4">
      <w:pPr>
        <w:spacing w:line="360" w:lineRule="auto"/>
        <w:jc w:val="both"/>
        <w:rPr>
          <w:rFonts w:ascii="Palatino Linotype" w:hAnsi="Palatino Linotype" w:cs="Arial"/>
          <w:sz w:val="24"/>
          <w:szCs w:val="24"/>
        </w:rPr>
      </w:pPr>
      <w:r>
        <w:rPr>
          <w:rFonts w:ascii="Palatino Linotype" w:hAnsi="Palatino Linotype"/>
          <w:b/>
          <w:sz w:val="24"/>
          <w:szCs w:val="24"/>
        </w:rPr>
        <w:t xml:space="preserve"> </w:t>
      </w:r>
      <w:r w:rsidR="008763E4">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B90520D" w14:textId="77777777" w:rsidR="008763E4" w:rsidRDefault="008763E4" w:rsidP="008763E4">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AA87958" w14:textId="77777777" w:rsidR="008763E4" w:rsidRDefault="008763E4" w:rsidP="008763E4">
      <w:pPr>
        <w:pStyle w:val="Citas"/>
      </w:pPr>
      <w:r>
        <w:t xml:space="preserve">Artículo 19. Se presume que la información debe existir si se refiere a las facultades, competencias y funciones que los ordenamientos jurídicos aplicables otorgan a los sujetos obligados. </w:t>
      </w:r>
    </w:p>
    <w:p w14:paraId="7C43D66B" w14:textId="77777777" w:rsidR="008763E4" w:rsidRDefault="008763E4" w:rsidP="008763E4">
      <w:pPr>
        <w:pStyle w:val="Citas"/>
      </w:pPr>
      <w:r>
        <w:t xml:space="preserve">En los casos en que ciertas facultades, competencias o funciones no se hayan ejercido, se debe motivar la respuesta en función de las causas que motiven tal circunstancia. </w:t>
      </w:r>
    </w:p>
    <w:p w14:paraId="5185C294" w14:textId="77777777" w:rsidR="008763E4" w:rsidRPr="00407C65" w:rsidRDefault="008763E4" w:rsidP="008763E4">
      <w:pPr>
        <w:pStyle w:val="Citas"/>
        <w:rPr>
          <w:b/>
          <w:bCs/>
          <w:sz w:val="24"/>
          <w:szCs w:val="24"/>
        </w:rPr>
      </w:pPr>
      <w: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DB4D2BC" w14:textId="1001FF56" w:rsidR="008763E4" w:rsidRDefault="008763E4" w:rsidP="00B61C39">
      <w:pPr>
        <w:spacing w:line="360" w:lineRule="auto"/>
        <w:jc w:val="both"/>
        <w:rPr>
          <w:rFonts w:ascii="Palatino Linotype" w:hAnsi="Palatino Linotype" w:cs="Arial"/>
          <w:sz w:val="24"/>
          <w:szCs w:val="24"/>
        </w:rPr>
      </w:pPr>
    </w:p>
    <w:p w14:paraId="2156A45A" w14:textId="65BBB6B6" w:rsidR="00204288" w:rsidRDefault="008763E4" w:rsidP="008763E4">
      <w:pPr>
        <w:autoSpaceDE w:val="0"/>
        <w:autoSpaceDN w:val="0"/>
        <w:adjustRightInd w:val="0"/>
        <w:spacing w:before="240" w:line="360" w:lineRule="auto"/>
        <w:ind w:right="-18"/>
        <w:jc w:val="both"/>
        <w:rPr>
          <w:rFonts w:ascii="Palatino Linotype" w:hAnsi="Palatino Linotype"/>
          <w:bCs/>
          <w:iCs/>
          <w:sz w:val="24"/>
          <w:szCs w:val="24"/>
        </w:rPr>
      </w:pPr>
      <w:r>
        <w:rPr>
          <w:rFonts w:ascii="Palatino Linotype" w:hAnsi="Palatino Linotype"/>
          <w:bCs/>
          <w:iCs/>
          <w:sz w:val="24"/>
          <w:szCs w:val="24"/>
        </w:rPr>
        <w:t xml:space="preserve">Una vez sentado lo anterior, como se mencionó en el antecedente segundo, </w:t>
      </w:r>
      <w:r>
        <w:rPr>
          <w:rFonts w:ascii="Palatino Linotype" w:hAnsi="Palatino Linotype"/>
          <w:b/>
          <w:iCs/>
          <w:sz w:val="24"/>
          <w:szCs w:val="24"/>
        </w:rPr>
        <w:t xml:space="preserve">El Sujeto Obligado </w:t>
      </w:r>
      <w:r>
        <w:rPr>
          <w:rFonts w:ascii="Palatino Linotype" w:hAnsi="Palatino Linotype"/>
          <w:bCs/>
          <w:iCs/>
          <w:sz w:val="24"/>
          <w:szCs w:val="24"/>
        </w:rPr>
        <w:t xml:space="preserve">en fecha </w:t>
      </w:r>
      <w:r w:rsidR="00204288">
        <w:rPr>
          <w:rFonts w:ascii="Palatino Linotype" w:hAnsi="Palatino Linotype"/>
          <w:bCs/>
          <w:iCs/>
          <w:sz w:val="24"/>
          <w:szCs w:val="24"/>
        </w:rPr>
        <w:t>quince de agosto de dos mil veintidós, rindió su respuesta a la solicitud de información formulada por el particular, adjuntando para tal efecto lo siguiente:</w:t>
      </w:r>
    </w:p>
    <w:p w14:paraId="3BC34493" w14:textId="2A55D06B" w:rsidR="00204288" w:rsidRPr="00204288" w:rsidRDefault="00204288" w:rsidP="00204288">
      <w:pPr>
        <w:pStyle w:val="Prrafodelista"/>
        <w:numPr>
          <w:ilvl w:val="0"/>
          <w:numId w:val="46"/>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cs="Arial"/>
          <w:b/>
          <w:bCs/>
        </w:rPr>
        <w:t xml:space="preserve">“Respuesta 428.pdf”: </w:t>
      </w:r>
      <w:r>
        <w:rPr>
          <w:rFonts w:ascii="Palatino Linotype" w:hAnsi="Palatino Linotype" w:cs="Arial"/>
        </w:rPr>
        <w:t xml:space="preserve">Oficio número </w:t>
      </w:r>
      <w:r>
        <w:rPr>
          <w:rFonts w:ascii="Palatino Linotype" w:hAnsi="Palatino Linotype" w:cs="Arial"/>
          <w:b/>
          <w:bCs/>
        </w:rPr>
        <w:t xml:space="preserve">OSFEM/DJC/SPH/0123/2022 </w:t>
      </w:r>
      <w:r>
        <w:rPr>
          <w:rFonts w:ascii="Palatino Linotype" w:hAnsi="Palatino Linotype" w:cs="Arial"/>
        </w:rPr>
        <w:t xml:space="preserve">signado por el Servidor Público Habilitado de la Dirección Jurídica Consultiva y dirigido al Titular de la Unidad de Información, de fecha quince de agosto de dos mil veintidós, en lo medular refiere que los oficios requeridos ascienden a 78,068 (setenta y ocho mil sesenta y ocho) fojas, mismas que no se encuentran digitalizadas, por ello, se cambia la modalidad a consulta directa. Asimismo, refiere adjuntar archivo digital relativo al control y seguimiento de los oficios de la Auditora Superior en turno. </w:t>
      </w:r>
    </w:p>
    <w:p w14:paraId="6A4A10EA" w14:textId="3CF1FD58" w:rsidR="00204288" w:rsidRPr="00204288" w:rsidRDefault="00204288" w:rsidP="00204288">
      <w:pPr>
        <w:pStyle w:val="Prrafodelista"/>
        <w:numPr>
          <w:ilvl w:val="0"/>
          <w:numId w:val="46"/>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cs="Arial"/>
          <w:b/>
          <w:bCs/>
        </w:rPr>
        <w:t xml:space="preserve"> “RESPUESTA 428- OSFEM.pdf”: </w:t>
      </w:r>
      <w:r>
        <w:rPr>
          <w:rFonts w:ascii="Palatino Linotype" w:hAnsi="Palatino Linotype" w:cs="Arial"/>
        </w:rPr>
        <w:t xml:space="preserve">Oficio número </w:t>
      </w:r>
      <w:r>
        <w:rPr>
          <w:rFonts w:ascii="Palatino Linotype" w:hAnsi="Palatino Linotype" w:cs="Arial"/>
          <w:b/>
          <w:bCs/>
        </w:rPr>
        <w:t xml:space="preserve">UIPL/1224/2022 </w:t>
      </w:r>
      <w:r>
        <w:rPr>
          <w:rFonts w:ascii="Palatino Linotype" w:hAnsi="Palatino Linotype" w:cs="Arial"/>
        </w:rPr>
        <w:t xml:space="preserve">signado por el Titular de la Unidad de Transparencia y dirigido al solicitante de información, de fecha quince de agosto de dos mil veintidós, en síntesis, refiere adjuntar respuesta emitida por servidor público habilitado competente. </w:t>
      </w:r>
    </w:p>
    <w:p w14:paraId="798EB4FC" w14:textId="3541A248" w:rsidR="00204288" w:rsidRPr="00204288" w:rsidRDefault="00204288" w:rsidP="00204288">
      <w:pPr>
        <w:pStyle w:val="Prrafodelista"/>
        <w:numPr>
          <w:ilvl w:val="0"/>
          <w:numId w:val="46"/>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cs="Arial"/>
          <w:b/>
          <w:bCs/>
        </w:rPr>
        <w:lastRenderedPageBreak/>
        <w:t xml:space="preserve"> “OFICIOS AUDITORA SUPERIOR 2020.pdf”: </w:t>
      </w:r>
      <w:r w:rsidR="00C24B4F">
        <w:rPr>
          <w:rFonts w:ascii="Palatino Linotype" w:hAnsi="Palatino Linotype" w:cs="Arial"/>
        </w:rPr>
        <w:t xml:space="preserve">Relación de oficios relativos a la auditoría superior 2020 (139 al 385), refleja diversos campos tales como número progresivo, fecha, solicitante, destinatario, entidad y asunto. </w:t>
      </w:r>
    </w:p>
    <w:p w14:paraId="654F3EFB" w14:textId="1DE71B18" w:rsidR="00204288" w:rsidRPr="00204288" w:rsidRDefault="00204288" w:rsidP="00204288">
      <w:pPr>
        <w:pStyle w:val="Prrafodelista"/>
        <w:numPr>
          <w:ilvl w:val="0"/>
          <w:numId w:val="46"/>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cs="Arial"/>
          <w:b/>
          <w:bCs/>
        </w:rPr>
        <w:t xml:space="preserve"> “OFICIOS AUDITORA SUPERIOR 2021.pdf”: </w:t>
      </w:r>
      <w:r w:rsidR="00C24B4F">
        <w:rPr>
          <w:rFonts w:ascii="Palatino Linotype" w:hAnsi="Palatino Linotype" w:cs="Arial"/>
        </w:rPr>
        <w:t xml:space="preserve">Relación de oficios relativos a la auditoría superior 2021 (1 al 4126), refleja diversos campos tales como número progresivo, fecha, solicitante, destinatario, entidad y asunto, </w:t>
      </w:r>
    </w:p>
    <w:p w14:paraId="6838FE23" w14:textId="1D32D4F4" w:rsidR="00204288" w:rsidRPr="00204288" w:rsidRDefault="00204288" w:rsidP="00204288">
      <w:pPr>
        <w:pStyle w:val="Prrafodelista"/>
        <w:numPr>
          <w:ilvl w:val="0"/>
          <w:numId w:val="46"/>
        </w:numPr>
        <w:autoSpaceDE w:val="0"/>
        <w:autoSpaceDN w:val="0"/>
        <w:adjustRightInd w:val="0"/>
        <w:spacing w:before="240" w:line="360" w:lineRule="auto"/>
        <w:ind w:right="-18"/>
        <w:jc w:val="both"/>
        <w:rPr>
          <w:rFonts w:ascii="Palatino Linotype" w:hAnsi="Palatino Linotype"/>
          <w:b/>
          <w:iCs/>
        </w:rPr>
      </w:pPr>
      <w:r>
        <w:rPr>
          <w:rFonts w:ascii="Palatino Linotype" w:hAnsi="Palatino Linotype" w:cs="Arial"/>
          <w:b/>
          <w:bCs/>
        </w:rPr>
        <w:t xml:space="preserve"> “OFICIOS AUDITORA SUPERIOR 2022.pdf”: </w:t>
      </w:r>
      <w:r w:rsidR="00C24B4F">
        <w:rPr>
          <w:rFonts w:ascii="Palatino Linotype" w:hAnsi="Palatino Linotype" w:cs="Arial"/>
        </w:rPr>
        <w:t xml:space="preserve">Relación de oficios relativos a la auditoría superior 2022 (1 al </w:t>
      </w:r>
      <w:r w:rsidR="004600E8">
        <w:rPr>
          <w:rFonts w:ascii="Palatino Linotype" w:hAnsi="Palatino Linotype" w:cs="Arial"/>
        </w:rPr>
        <w:t xml:space="preserve">1492), refleja diversos campos tales como número progresivo, fecha, solicitante, destinatario, entidad y asunto. </w:t>
      </w:r>
    </w:p>
    <w:p w14:paraId="6D5D4718" w14:textId="1DCC9ADE" w:rsidR="00204288" w:rsidRPr="004600E8" w:rsidRDefault="00204288" w:rsidP="00204288">
      <w:pPr>
        <w:pStyle w:val="Prrafodelista"/>
        <w:numPr>
          <w:ilvl w:val="0"/>
          <w:numId w:val="46"/>
        </w:numPr>
        <w:autoSpaceDE w:val="0"/>
        <w:autoSpaceDN w:val="0"/>
        <w:adjustRightInd w:val="0"/>
        <w:spacing w:before="240" w:line="360" w:lineRule="auto"/>
        <w:ind w:right="-18"/>
        <w:jc w:val="both"/>
        <w:rPr>
          <w:rFonts w:ascii="Palatino Linotype" w:hAnsi="Palatino Linotype"/>
          <w:b/>
          <w:bCs/>
          <w:iCs/>
        </w:rPr>
      </w:pPr>
      <w:r>
        <w:rPr>
          <w:rFonts w:ascii="Palatino Linotype" w:hAnsi="Palatino Linotype" w:cs="Arial"/>
        </w:rPr>
        <w:t xml:space="preserve"> </w:t>
      </w:r>
      <w:r>
        <w:rPr>
          <w:rFonts w:ascii="Palatino Linotype" w:hAnsi="Palatino Linotype" w:cs="Arial"/>
          <w:b/>
          <w:bCs/>
        </w:rPr>
        <w:t>“Acta de la 03a. Sesión ordinaria del CT 2022.pdf”:</w:t>
      </w:r>
      <w:r w:rsidR="004600E8">
        <w:rPr>
          <w:rFonts w:ascii="Palatino Linotype" w:hAnsi="Palatino Linotype" w:cs="Arial"/>
          <w:b/>
          <w:bCs/>
        </w:rPr>
        <w:t xml:space="preserve"> </w:t>
      </w:r>
      <w:r w:rsidR="004600E8">
        <w:rPr>
          <w:rFonts w:ascii="Palatino Linotype" w:hAnsi="Palatino Linotype" w:cs="Arial"/>
        </w:rPr>
        <w:t xml:space="preserve">Acta de la Tercera Sesión Ordinaria del Comité de Transparencia del Poder Legislativo del Estado Libre y Soberano de México, de fecha doce de agosto de dos mil veintidós, con relación al orden del día se destaca el punto 11 consistente en </w:t>
      </w:r>
      <w:r w:rsidR="004600E8" w:rsidRPr="004600E8">
        <w:rPr>
          <w:rFonts w:ascii="Palatino Linotype" w:hAnsi="Palatino Linotype" w:cs="Arial"/>
          <w:b/>
          <w:bCs/>
        </w:rPr>
        <w:t>“</w:t>
      </w:r>
      <w:r w:rsidR="004600E8" w:rsidRPr="004600E8">
        <w:rPr>
          <w:rFonts w:ascii="Palatino Linotype" w:hAnsi="Palatino Linotype"/>
          <w:b/>
          <w:bCs/>
        </w:rPr>
        <w:t>Presentación, discusión y en su caso aprobación, de la solicitud de cambio de modalidad de entrega de la información con la cual se atenderá la solicitud de acceso a la información 00428/PLEGISLA/IP/2022, presentada por el servidor público habilitado del Órgano Superior de Fiscalización del Estado de México</w:t>
      </w:r>
      <w:r w:rsidR="004600E8">
        <w:rPr>
          <w:rFonts w:ascii="Palatino Linotype" w:hAnsi="Palatino Linotype"/>
          <w:b/>
          <w:bCs/>
        </w:rPr>
        <w:t xml:space="preserve">” </w:t>
      </w:r>
      <w:r w:rsidR="004600E8">
        <w:rPr>
          <w:rFonts w:ascii="Palatino Linotype" w:hAnsi="Palatino Linotype"/>
        </w:rPr>
        <w:t xml:space="preserve">mediante el cual se expone que la información requerida asciende a </w:t>
      </w:r>
      <w:r w:rsidR="004600E8">
        <w:rPr>
          <w:rFonts w:ascii="Palatino Linotype" w:hAnsi="Palatino Linotype" w:cs="Arial"/>
        </w:rPr>
        <w:t>78,068 (setenta y ocho mil sesenta y ocho) fojas, mismas que no se encuentran digitalizadas, por ello, se cambia la modalidad a consulta directa.</w:t>
      </w:r>
    </w:p>
    <w:p w14:paraId="64E5344C" w14:textId="07E8D368" w:rsidR="004600E8" w:rsidRDefault="004600E8" w:rsidP="004600E8">
      <w:pPr>
        <w:autoSpaceDE w:val="0"/>
        <w:autoSpaceDN w:val="0"/>
        <w:adjustRightInd w:val="0"/>
        <w:spacing w:before="240" w:line="360" w:lineRule="auto"/>
        <w:ind w:right="-18"/>
        <w:jc w:val="both"/>
        <w:rPr>
          <w:rFonts w:ascii="Palatino Linotype" w:hAnsi="Palatino Linotype"/>
          <w:b/>
          <w:bCs/>
          <w:iCs/>
        </w:rPr>
      </w:pPr>
    </w:p>
    <w:p w14:paraId="085BCB6E" w14:textId="77777777" w:rsidR="00CC1AF2" w:rsidRPr="00D12F4B" w:rsidRDefault="00CC1AF2" w:rsidP="00CC1AF2">
      <w:pPr>
        <w:spacing w:before="100" w:beforeAutospacing="1" w:after="100" w:afterAutospacing="1" w:line="360" w:lineRule="auto"/>
        <w:jc w:val="both"/>
        <w:rPr>
          <w:rFonts w:ascii="Palatino Linotype" w:hAnsi="Palatino Linotype"/>
          <w:sz w:val="24"/>
          <w:szCs w:val="24"/>
        </w:rPr>
      </w:pPr>
      <w:r>
        <w:rPr>
          <w:rFonts w:ascii="Palatino Linotype" w:hAnsi="Palatino Linotype" w:cs="Arial"/>
          <w:color w:val="000000" w:themeColor="text1"/>
          <w:sz w:val="24"/>
          <w:szCs w:val="24"/>
          <w:lang w:val="es-ES"/>
        </w:rPr>
        <w:lastRenderedPageBreak/>
        <w:t xml:space="preserve">Por otra parte, con relación al volumen de la información, no se omite comentar que, </w:t>
      </w:r>
      <w:r w:rsidRPr="00D12F4B">
        <w:rPr>
          <w:rFonts w:ascii="Palatino Linotype" w:hAnsi="Palatino Linotype"/>
          <w:sz w:val="24"/>
          <w:szCs w:val="24"/>
        </w:rPr>
        <w:t xml:space="preserve">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449800F2" w14:textId="77777777" w:rsidR="00CC1AF2" w:rsidRPr="00D12F4B" w:rsidRDefault="00CC1AF2" w:rsidP="00CC1AF2">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1669106B" w14:textId="77777777" w:rsidR="00CC1AF2" w:rsidRPr="003A41AE" w:rsidRDefault="00CC1AF2" w:rsidP="00CC1AF2">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57A79DCE" w14:textId="77777777" w:rsidR="00CC1AF2" w:rsidRDefault="00CC1AF2" w:rsidP="00CC1AF2">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D02076">
        <w:lastRenderedPageBreak/>
        <w:t xml:space="preserve">prevé una causal que permita al Instituto Federal de Acceso a la Información y Protección de Datos conocer, vía recurso revisión, al respecto. </w:t>
      </w:r>
    </w:p>
    <w:p w14:paraId="545DC5DF" w14:textId="77777777" w:rsidR="00CC1AF2" w:rsidRDefault="00CC1AF2" w:rsidP="00CC1AF2">
      <w:pPr>
        <w:pStyle w:val="Citas"/>
      </w:pPr>
      <w:r w:rsidRPr="00D02076">
        <w:t xml:space="preserve">Expedientes: </w:t>
      </w:r>
    </w:p>
    <w:p w14:paraId="2C7CD447" w14:textId="77777777" w:rsidR="00CC1AF2" w:rsidRDefault="00CC1AF2" w:rsidP="00CC1AF2">
      <w:pPr>
        <w:pStyle w:val="Citas"/>
        <w:numPr>
          <w:ilvl w:val="0"/>
          <w:numId w:val="42"/>
        </w:numPr>
      </w:pPr>
      <w:r w:rsidRPr="00D02076">
        <w:t xml:space="preserve">2440/07 Comisión Federal de Electricidad - Alonso Lujambio Irazábal </w:t>
      </w:r>
    </w:p>
    <w:p w14:paraId="4BE88095" w14:textId="77777777" w:rsidR="00CC1AF2" w:rsidRDefault="00CC1AF2" w:rsidP="00CC1AF2">
      <w:pPr>
        <w:pStyle w:val="Citas"/>
        <w:numPr>
          <w:ilvl w:val="0"/>
          <w:numId w:val="42"/>
        </w:numPr>
      </w:pPr>
      <w:r w:rsidRPr="00D02076">
        <w:t xml:space="preserve">0113/09 Instituto de Seguridad y Servicios Sociales de los Trabajadores del Estado – Alonso Lujambio Irazábal </w:t>
      </w:r>
    </w:p>
    <w:p w14:paraId="3199B756" w14:textId="77777777" w:rsidR="00CC1AF2" w:rsidRDefault="00CC1AF2" w:rsidP="00CC1AF2">
      <w:pPr>
        <w:pStyle w:val="Citas"/>
        <w:numPr>
          <w:ilvl w:val="0"/>
          <w:numId w:val="42"/>
        </w:numPr>
      </w:pPr>
      <w:r w:rsidRPr="00D02076">
        <w:t xml:space="preserve">1624/09 Instituto Nacional para la Educación de los Adultos - María Marván Laborde </w:t>
      </w:r>
    </w:p>
    <w:p w14:paraId="711B2499" w14:textId="77777777" w:rsidR="00CC1AF2" w:rsidRDefault="00CC1AF2" w:rsidP="00CC1AF2">
      <w:pPr>
        <w:pStyle w:val="Citas"/>
        <w:numPr>
          <w:ilvl w:val="0"/>
          <w:numId w:val="42"/>
        </w:numPr>
      </w:pPr>
      <w:r w:rsidRPr="00D02076">
        <w:t xml:space="preserve">2395/09 Secretaría de Economía - María Marván Laborde </w:t>
      </w:r>
    </w:p>
    <w:p w14:paraId="3957F0ED" w14:textId="77777777" w:rsidR="00CC1AF2" w:rsidRPr="00D02076" w:rsidRDefault="00CC1AF2" w:rsidP="00CC1AF2">
      <w:pPr>
        <w:pStyle w:val="Citas"/>
        <w:numPr>
          <w:ilvl w:val="0"/>
          <w:numId w:val="42"/>
        </w:numPr>
      </w:pPr>
      <w:r w:rsidRPr="00D02076">
        <w:t>0837/10 Administración Portuaria Integral de Veracruz, S.A. de C.V. – María Marván Laborde</w:t>
      </w:r>
      <w:r>
        <w:t>”</w:t>
      </w:r>
      <w:r w:rsidRPr="00D02076">
        <w:t xml:space="preserve"> </w:t>
      </w:r>
      <w:r>
        <w:rPr>
          <w:b/>
        </w:rPr>
        <w:t>[Sic]</w:t>
      </w:r>
    </w:p>
    <w:p w14:paraId="4BDEEA7F" w14:textId="77777777" w:rsidR="00CC1AF2" w:rsidRPr="00CC1AF2" w:rsidRDefault="00CC1AF2" w:rsidP="004600E8">
      <w:pPr>
        <w:autoSpaceDE w:val="0"/>
        <w:autoSpaceDN w:val="0"/>
        <w:adjustRightInd w:val="0"/>
        <w:spacing w:before="240" w:line="360" w:lineRule="auto"/>
        <w:ind w:right="-18"/>
        <w:jc w:val="both"/>
        <w:rPr>
          <w:rFonts w:ascii="Palatino Linotype" w:hAnsi="Palatino Linotype"/>
          <w:iCs/>
          <w:sz w:val="24"/>
          <w:szCs w:val="24"/>
        </w:rPr>
      </w:pPr>
    </w:p>
    <w:p w14:paraId="14693C14" w14:textId="21249C1F" w:rsidR="00CC1AF2" w:rsidRDefault="00564AD9" w:rsidP="00B61C39">
      <w:pPr>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rendida por </w:t>
      </w:r>
      <w:r>
        <w:rPr>
          <w:rFonts w:ascii="Palatino Linotype" w:hAnsi="Palatino Linotype" w:cs="Arial"/>
          <w:b/>
          <w:bCs/>
          <w:sz w:val="24"/>
          <w:szCs w:val="24"/>
        </w:rPr>
        <w:t xml:space="preserve">El Sujeto Obligado, </w:t>
      </w:r>
      <w:r w:rsidR="00CC1AF2">
        <w:rPr>
          <w:rFonts w:ascii="Palatino Linotype" w:hAnsi="Palatino Linotype" w:cs="Arial"/>
          <w:b/>
          <w:bCs/>
          <w:sz w:val="24"/>
          <w:szCs w:val="24"/>
        </w:rPr>
        <w:t>La</w:t>
      </w:r>
      <w:r>
        <w:rPr>
          <w:rFonts w:ascii="Palatino Linotype" w:hAnsi="Palatino Linotype" w:cs="Arial"/>
          <w:b/>
          <w:bCs/>
          <w:sz w:val="24"/>
          <w:szCs w:val="24"/>
        </w:rPr>
        <w:t xml:space="preserve"> Recurrente </w:t>
      </w:r>
      <w:r>
        <w:rPr>
          <w:rFonts w:ascii="Palatino Linotype" w:hAnsi="Palatino Linotype" w:cs="Arial"/>
          <w:sz w:val="24"/>
          <w:szCs w:val="24"/>
        </w:rPr>
        <w:t xml:space="preserve">interpuso recurso de revisión en fecha </w:t>
      </w:r>
      <w:r w:rsidR="00CC1AF2">
        <w:rPr>
          <w:rFonts w:ascii="Palatino Linotype" w:hAnsi="Palatino Linotype" w:cs="Arial"/>
          <w:sz w:val="24"/>
          <w:szCs w:val="24"/>
        </w:rPr>
        <w:t>diecinueve de agosto, admitiéndose el veintitrés de agosto, ambos de dos mil veintidós. Señalando como razones o motivos de inconformidad:</w:t>
      </w:r>
    </w:p>
    <w:p w14:paraId="148603B1" w14:textId="58BB86E4" w:rsidR="00CC1AF2" w:rsidRPr="00CC1AF2" w:rsidRDefault="00CC1AF2" w:rsidP="00CC1AF2">
      <w:pPr>
        <w:pStyle w:val="Citas"/>
        <w:rPr>
          <w:b/>
          <w:bCs/>
        </w:rPr>
      </w:pPr>
      <w:r>
        <w:t xml:space="preserve">“El sujeto obligado señala que no se cuenta con la información digitalizada y solo se tiene en forma documental, no obstante la Ley de Archivos y Administración de Documentos del Estado de México y Municipios señala en su articulo 11 "Artículo 11. Los Sujetos Obligados deberán: XI. Aplicar métodos y medidas para la organización, protección y conservación de los Documentos de Archivo, </w:t>
      </w:r>
      <w:r>
        <w:lastRenderedPageBreak/>
        <w:t xml:space="preserve">considerando el estado que guardan y el espacio para su almacenamiento; así como procurar el resguardo digital de dichos documentos, de conformidad con la Ley General, la Ley de Gobierno Digital del Estado de México y Municipios, la presente Ley y las demás disposiciones jurídicas aplicables." De lo anterior se entiende que el OSFEM debe tener un resguardo digital de los oficios solicitados, para los ejercicios fiscales requeridos, pudiendo en todo momento, escanearlos con las características técnicas adecuadas y comprimirlos en archivos zip para su entrega; sin embargo, antes de agotar dicha opción, prefieren trasladar al ciudadano la obligación de digitalizar sus documentos, trasladarse físicamente a sus oficinas y lidiar con 78,068 fojas útiles. De igual forma, la entrega la información en una modalidad diversa a la solicitada puede constituir un obstáculo material para el ejercicio de mi derecho de acceso a la información, determinando de manera unilateral el cambio de modalidad a consulta directa pudiendo cambiarlo a otro - correo electrónico y habilitar ligas en la nube con la información requerida, dicha opción se encuentra disponible en la interfaz del SAIMEX y se prefiere a su modalidad seleccionada” </w:t>
      </w:r>
      <w:r>
        <w:rPr>
          <w:b/>
          <w:bCs/>
        </w:rPr>
        <w:t>(Sic)</w:t>
      </w:r>
    </w:p>
    <w:p w14:paraId="169ACD06" w14:textId="4BB81354" w:rsidR="00CC1AF2" w:rsidRDefault="00CC1AF2" w:rsidP="00CC1AF2">
      <w:pPr>
        <w:pStyle w:val="Citas"/>
      </w:pPr>
    </w:p>
    <w:p w14:paraId="5AC37224" w14:textId="6D55AECD" w:rsidR="00BA6B85" w:rsidRPr="00BA6B85" w:rsidRDefault="00BA6B85" w:rsidP="00BA6B85">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de una interpretación literal y gramatical a los motivos de inconformidad aducidos por el particular se advierte que consiente el requerimiento </w:t>
      </w:r>
      <w:r>
        <w:rPr>
          <w:rFonts w:ascii="Palatino Linotype" w:hAnsi="Palatino Linotype"/>
          <w:b/>
          <w:bCs/>
          <w:sz w:val="24"/>
          <w:szCs w:val="24"/>
        </w:rPr>
        <w:t xml:space="preserve">2 -dos- (libro de gobierno y/o equivalente), </w:t>
      </w:r>
      <w:r>
        <w:rPr>
          <w:rFonts w:ascii="Palatino Linotype" w:hAnsi="Palatino Linotype"/>
          <w:sz w:val="24"/>
          <w:szCs w:val="24"/>
        </w:rPr>
        <w:t xml:space="preserve">al no inconformarse del contenido de la respuesta. </w:t>
      </w:r>
    </w:p>
    <w:p w14:paraId="0EFE8C3D" w14:textId="0B683E08" w:rsidR="00BA6B85" w:rsidRPr="00604859" w:rsidRDefault="00BA6B85" w:rsidP="00BA6B85">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Luego entonces, la parte de la solicitud sobre la que no se expresó inconformidad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Pr>
          <w:rFonts w:ascii="Palatino Linotype" w:hAnsi="Palatino Linotype"/>
          <w:sz w:val="24"/>
          <w:szCs w:val="24"/>
          <w:lang w:eastAsia="es-MX"/>
        </w:rPr>
        <w:t>la</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w:t>
      </w:r>
      <w:r w:rsidRPr="00604859">
        <w:rPr>
          <w:rFonts w:ascii="Palatino Linotype" w:hAnsi="Palatino Linotype" w:cs="Arial"/>
          <w:sz w:val="24"/>
          <w:szCs w:val="24"/>
          <w:lang w:eastAsia="es-MX"/>
        </w:rPr>
        <w:lastRenderedPageBreak/>
        <w:t xml:space="preserve">consentimiento </w:t>
      </w:r>
      <w:r>
        <w:rPr>
          <w:rFonts w:ascii="Palatino Linotype" w:hAnsi="Palatino Linotype" w:cs="Arial"/>
          <w:sz w:val="24"/>
          <w:szCs w:val="24"/>
          <w:lang w:eastAsia="es-MX"/>
        </w:rPr>
        <w:t xml:space="preserve">de </w:t>
      </w:r>
      <w:r>
        <w:rPr>
          <w:rFonts w:ascii="Palatino Linotype" w:hAnsi="Palatino Linotype" w:cs="Arial"/>
          <w:b/>
          <w:bCs/>
          <w:sz w:val="24"/>
          <w:szCs w:val="24"/>
          <w:lang w:eastAsia="es-MX"/>
        </w:rPr>
        <w:t xml:space="preserve">La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5656AC4B" w14:textId="77777777" w:rsidR="00BA6B85" w:rsidRPr="001300D8" w:rsidRDefault="00BA6B85" w:rsidP="00BA6B8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561C928F" w14:textId="77777777" w:rsidR="00BA6B85" w:rsidRPr="001300D8" w:rsidRDefault="00BA6B85" w:rsidP="00BA6B8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212F6592" w14:textId="77777777" w:rsidR="00BA6B85" w:rsidRPr="001300D8" w:rsidRDefault="00BA6B85" w:rsidP="00BA6B8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325861EA" w14:textId="77777777" w:rsidR="00BA6B85" w:rsidRPr="001300D8" w:rsidRDefault="00BA6B85" w:rsidP="00BA6B8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03B1199D" w14:textId="77777777" w:rsidR="00BA6B85" w:rsidRPr="001300D8" w:rsidRDefault="00BA6B85" w:rsidP="00BA6B8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3C305A14" w14:textId="77777777" w:rsidR="00BA6B85" w:rsidRPr="001300D8" w:rsidRDefault="00BA6B85" w:rsidP="00BA6B8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25FC7407" w14:textId="77777777" w:rsidR="00BA6B85" w:rsidRPr="001300D8" w:rsidRDefault="00BA6B85" w:rsidP="00BA6B8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60FC0450" w14:textId="77777777" w:rsidR="00BA6B85" w:rsidRPr="001300D8" w:rsidRDefault="00BA6B85" w:rsidP="00BA6B85">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3F3E4DC0" w14:textId="77777777" w:rsidR="00BA6B85" w:rsidRPr="001300D8" w:rsidRDefault="00BA6B85" w:rsidP="00BA6B85">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54398CAD" w14:textId="77777777" w:rsidR="00BA6B85" w:rsidRPr="001300D8" w:rsidRDefault="00BA6B85" w:rsidP="00BA6B85">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ED69F17" w14:textId="77777777" w:rsidR="00BA6B85" w:rsidRPr="001300D8" w:rsidRDefault="00BA6B85" w:rsidP="00BA6B85">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4AA211D1" w14:textId="77777777" w:rsidR="00BA6B85" w:rsidRPr="001300D8" w:rsidRDefault="00BA6B85" w:rsidP="00BA6B85">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46925E4F" w14:textId="77777777" w:rsidR="00BA6B85" w:rsidRPr="001300D8" w:rsidRDefault="00BA6B85" w:rsidP="00BA6B85">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7838DF4D" w14:textId="77777777" w:rsidR="00BA6B85" w:rsidRPr="001300D8" w:rsidRDefault="00BA6B85" w:rsidP="00BA6B85">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8DB8EAD" w14:textId="77777777" w:rsidR="00BA6B85" w:rsidRPr="001300D8" w:rsidRDefault="00BA6B85" w:rsidP="00BA6B85">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59FD4682" w14:textId="77777777" w:rsidR="00BA6B85" w:rsidRDefault="00BA6B85" w:rsidP="00BA6B85">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1300D8">
        <w:rPr>
          <w:rFonts w:ascii="Palatino Linotype" w:eastAsia="Times New Roman" w:hAnsi="Palatino Linotype" w:cs="Calibri"/>
          <w:b/>
          <w:i/>
          <w:color w:val="444444"/>
          <w:lang w:eastAsia="es-MX"/>
        </w:rPr>
        <w:t>[Sic]</w:t>
      </w:r>
    </w:p>
    <w:p w14:paraId="6486C3E3" w14:textId="77777777" w:rsidR="00BA6B85" w:rsidRDefault="00BA6B85" w:rsidP="00BA6B85">
      <w:pPr>
        <w:spacing w:after="0" w:line="360" w:lineRule="auto"/>
        <w:jc w:val="both"/>
        <w:rPr>
          <w:rFonts w:ascii="Palatino Linotype" w:hAnsi="Palatino Linotype" w:cs="Arial"/>
          <w:noProof/>
          <w:color w:val="000000"/>
          <w:sz w:val="24"/>
          <w:lang w:eastAsia="es-MX"/>
        </w:rPr>
      </w:pPr>
    </w:p>
    <w:p w14:paraId="2115D36D" w14:textId="77777777" w:rsidR="00BA6B85" w:rsidRDefault="00BA6B85" w:rsidP="00BA6B8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5D5CCF04" w14:textId="77777777" w:rsidR="00BA6B85" w:rsidRDefault="00BA6B85" w:rsidP="00BA6B85">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4C7EC52A" w14:textId="77777777" w:rsidR="00BA6B85" w:rsidRPr="0071419E" w:rsidRDefault="00BA6B85" w:rsidP="00BA6B85">
      <w:pPr>
        <w:pStyle w:val="Citas"/>
        <w:rPr>
          <w:strike/>
        </w:rPr>
      </w:pPr>
      <w:r>
        <w:lastRenderedPageBreak/>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365EA7A3" w14:textId="77777777" w:rsidR="00BA6B85" w:rsidRPr="00D83913" w:rsidRDefault="00BA6B85" w:rsidP="00BA6B85">
      <w:pPr>
        <w:pStyle w:val="Citas"/>
        <w:rPr>
          <w:b/>
          <w:bCs/>
        </w:rPr>
      </w:pPr>
      <w:r w:rsidRPr="00D83913">
        <w:rPr>
          <w:b/>
          <w:bCs/>
        </w:rPr>
        <w:t>Resoluciones</w:t>
      </w:r>
      <w:r>
        <w:rPr>
          <w:b/>
          <w:bCs/>
        </w:rPr>
        <w:t>:</w:t>
      </w:r>
    </w:p>
    <w:p w14:paraId="6851E7B6" w14:textId="77777777" w:rsidR="00BA6B85" w:rsidRPr="00D83913" w:rsidRDefault="00BA6B85" w:rsidP="00BA6B85">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2933269B" w14:textId="77777777" w:rsidR="00BA6B85" w:rsidRPr="009754D6" w:rsidRDefault="00CA2820" w:rsidP="00BA6B85">
      <w:pPr>
        <w:pStyle w:val="Citas"/>
        <w:rPr>
          <w:sz w:val="20"/>
        </w:rPr>
      </w:pPr>
      <w:hyperlink r:id="rId10" w:history="1">
        <w:r w:rsidR="00BA6B85" w:rsidRPr="009754D6">
          <w:rPr>
            <w:rStyle w:val="Hipervnculo"/>
          </w:rPr>
          <w:t>http://consultas.ifai.org.mx/descargar.php?r=./pdf/resoluciones/2018/&amp;a=RRA%204548.pdf</w:t>
        </w:r>
      </w:hyperlink>
    </w:p>
    <w:p w14:paraId="2A5CDAF5" w14:textId="77777777" w:rsidR="00BA6B85" w:rsidRPr="009754D6" w:rsidRDefault="00BA6B85" w:rsidP="00BA6B85">
      <w:pPr>
        <w:pStyle w:val="Citas"/>
        <w:rPr>
          <w:b/>
        </w:rPr>
      </w:pPr>
      <w:r w:rsidRPr="009754D6">
        <w:rPr>
          <w:b/>
        </w:rPr>
        <w:t xml:space="preserve">RRA 5097/18. </w:t>
      </w:r>
      <w:r w:rsidRPr="009754D6">
        <w:t>Secretaría de Hacienda y Crédito Público. 05 de septiembre de 2018. Por unanimidad. Comisionado Ponente Joel Salas Suárez.</w:t>
      </w:r>
    </w:p>
    <w:p w14:paraId="4748A9E4" w14:textId="77777777" w:rsidR="00BA6B85" w:rsidRPr="009754D6" w:rsidRDefault="00CA2820" w:rsidP="00BA6B85">
      <w:pPr>
        <w:pStyle w:val="Citas"/>
        <w:rPr>
          <w:sz w:val="20"/>
        </w:rPr>
      </w:pPr>
      <w:hyperlink r:id="rId11" w:history="1">
        <w:r w:rsidR="00BA6B85" w:rsidRPr="009754D6">
          <w:rPr>
            <w:rStyle w:val="Hipervnculo"/>
          </w:rPr>
          <w:t>http://consultas.ifai.org.mx/descargar.php?r=./pdf/resoluciones/2018/&amp;a=RRA%205097.pdf</w:t>
        </w:r>
      </w:hyperlink>
    </w:p>
    <w:p w14:paraId="49AA7535" w14:textId="77777777" w:rsidR="00BA6B85" w:rsidRPr="009754D6" w:rsidRDefault="00BA6B85" w:rsidP="00BA6B85">
      <w:pPr>
        <w:pStyle w:val="Citas"/>
        <w:rPr>
          <w:b/>
        </w:rPr>
      </w:pPr>
      <w:r w:rsidRPr="009754D6">
        <w:rPr>
          <w:b/>
        </w:rPr>
        <w:t xml:space="preserve">RRA 14270/19. </w:t>
      </w:r>
      <w:r w:rsidRPr="009754D6">
        <w:t>Registro Agrario Nacional. 22 de enero de 2020. Por unanimidad. Comisionado Ponente Francisco Javier Acuña Llamas.</w:t>
      </w:r>
    </w:p>
    <w:p w14:paraId="2B5F42E1" w14:textId="77777777" w:rsidR="00BA6B85" w:rsidRPr="00A35685" w:rsidRDefault="00CA2820" w:rsidP="00BA6B85">
      <w:pPr>
        <w:pStyle w:val="Citas"/>
        <w:rPr>
          <w:rStyle w:val="Hipervnculo"/>
          <w:b/>
          <w:bCs/>
          <w:color w:val="auto"/>
          <w:sz w:val="24"/>
          <w:szCs w:val="24"/>
          <w:u w:val="none"/>
          <w:lang w:val="en-US"/>
        </w:rPr>
      </w:pPr>
      <w:hyperlink r:id="rId12" w:history="1">
        <w:r w:rsidR="00BA6B85" w:rsidRPr="00A35685">
          <w:rPr>
            <w:rStyle w:val="Hipervnculo"/>
            <w:lang w:val="en-US"/>
          </w:rPr>
          <w:t>http://consultas.ifai.org.mx/descargar.php?r=./pdf/resoluciones/2019/&amp;a=RRA%2014270.pdf</w:t>
        </w:r>
      </w:hyperlink>
      <w:r w:rsidR="00BA6B85" w:rsidRPr="00A35685">
        <w:rPr>
          <w:rStyle w:val="Hipervnculo"/>
          <w:sz w:val="20"/>
          <w:lang w:val="en-US"/>
        </w:rPr>
        <w:t xml:space="preserve">” </w:t>
      </w:r>
      <w:r w:rsidR="00BA6B85" w:rsidRPr="00A35685">
        <w:rPr>
          <w:rStyle w:val="Hipervnculo"/>
          <w:i w:val="0"/>
          <w:iCs/>
          <w:sz w:val="24"/>
          <w:szCs w:val="24"/>
          <w:u w:val="none"/>
          <w:lang w:val="en-US"/>
        </w:rPr>
        <w:t xml:space="preserve"> </w:t>
      </w:r>
      <w:r w:rsidR="00BA6B85" w:rsidRPr="00A35685">
        <w:rPr>
          <w:rStyle w:val="Hipervnculo"/>
          <w:b/>
          <w:bCs/>
          <w:color w:val="auto"/>
          <w:sz w:val="24"/>
          <w:szCs w:val="24"/>
          <w:u w:val="none"/>
          <w:lang w:val="en-US"/>
        </w:rPr>
        <w:t>(Sic</w:t>
      </w:r>
      <w:r w:rsidR="00BA6B85">
        <w:rPr>
          <w:rStyle w:val="Hipervnculo"/>
          <w:b/>
          <w:bCs/>
          <w:color w:val="auto"/>
          <w:sz w:val="24"/>
          <w:szCs w:val="24"/>
          <w:u w:val="none"/>
          <w:lang w:val="en-US"/>
        </w:rPr>
        <w:t>)</w:t>
      </w:r>
    </w:p>
    <w:p w14:paraId="0095764D" w14:textId="77777777" w:rsidR="00BA6B85" w:rsidRPr="00A35685" w:rsidRDefault="00BA6B85" w:rsidP="00BA6B85">
      <w:pPr>
        <w:spacing w:before="240" w:line="360" w:lineRule="auto"/>
        <w:jc w:val="both"/>
        <w:rPr>
          <w:rFonts w:ascii="Palatino Linotype" w:hAnsi="Palatino Linotype"/>
          <w:sz w:val="24"/>
          <w:szCs w:val="24"/>
          <w:lang w:val="en-US"/>
        </w:rPr>
      </w:pPr>
    </w:p>
    <w:p w14:paraId="00E8232C" w14:textId="48879E7A" w:rsidR="00BA6B85" w:rsidRDefault="00BA6B85" w:rsidP="00BA6B85">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Cs/>
          <w:i w:val="0"/>
          <w:sz w:val="24"/>
          <w:szCs w:val="24"/>
        </w:rPr>
        <w:t>los motivos de inconformidad aducidos por</w:t>
      </w:r>
      <w:r w:rsidRPr="00535EDD">
        <w:rPr>
          <w:rFonts w:cs="Arial"/>
          <w:i w:val="0"/>
          <w:noProof/>
          <w:color w:val="000000"/>
          <w:sz w:val="24"/>
          <w:lang w:eastAsia="es-MX"/>
        </w:rPr>
        <w:t xml:space="preserve"> </w:t>
      </w:r>
      <w:r w:rsidR="00C514C0">
        <w:rPr>
          <w:rFonts w:cs="Arial"/>
          <w:b/>
          <w:i w:val="0"/>
          <w:noProof/>
          <w:color w:val="000000"/>
          <w:sz w:val="24"/>
          <w:lang w:eastAsia="es-MX"/>
        </w:rPr>
        <w:t>La</w:t>
      </w:r>
      <w:r w:rsidRPr="00535EDD">
        <w:rPr>
          <w:rFonts w:cs="Arial"/>
          <w:b/>
          <w:i w:val="0"/>
          <w:noProof/>
          <w:color w:val="000000"/>
          <w:sz w:val="24"/>
          <w:lang w:eastAsia="es-MX"/>
        </w:rPr>
        <w:t xml:space="preserve"> Recurrente, </w:t>
      </w:r>
      <w:r>
        <w:rPr>
          <w:rFonts w:cs="Arial"/>
          <w:i w:val="0"/>
          <w:noProof/>
          <w:color w:val="000000"/>
          <w:sz w:val="24"/>
          <w:lang w:eastAsia="es-MX"/>
        </w:rPr>
        <w:t>actualizan</w:t>
      </w:r>
      <w:r w:rsidRPr="00535EDD">
        <w:rPr>
          <w:rFonts w:cs="Arial"/>
          <w:i w:val="0"/>
          <w:noProof/>
          <w:color w:val="000000"/>
          <w:sz w:val="24"/>
          <w:lang w:eastAsia="es-MX"/>
        </w:rPr>
        <w:t xml:space="preserve"> las hipotesis normativas </w:t>
      </w:r>
      <w:r w:rsidRPr="00535EDD">
        <w:rPr>
          <w:rFonts w:cs="Arial"/>
          <w:i w:val="0"/>
          <w:noProof/>
          <w:color w:val="000000"/>
          <w:sz w:val="24"/>
          <w:lang w:eastAsia="es-MX"/>
        </w:rPr>
        <w:lastRenderedPageBreak/>
        <w:t>previstas en el artículo 179, fracciones I</w:t>
      </w:r>
      <w:r>
        <w:rPr>
          <w:rFonts w:cs="Arial"/>
          <w:i w:val="0"/>
          <w:noProof/>
          <w:color w:val="000000"/>
          <w:sz w:val="24"/>
          <w:lang w:eastAsia="es-MX"/>
        </w:rPr>
        <w:t xml:space="preserve"> y VIII de la Ley de Transparencia y Acceso a la Información Pública del Estado de Mexico y Municipios, cuyo contenido literal es el siguiente: </w:t>
      </w:r>
    </w:p>
    <w:p w14:paraId="6499EF21" w14:textId="77777777" w:rsidR="00BA6B85" w:rsidRDefault="00BA6B85" w:rsidP="00BA6B85">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077A769" w14:textId="77777777" w:rsidR="00BA6B85" w:rsidRDefault="00BA6B85" w:rsidP="00BA6B85">
      <w:pPr>
        <w:pStyle w:val="Citas"/>
      </w:pPr>
      <w:r>
        <w:t>I. La negativa a la información solicitada;</w:t>
      </w:r>
    </w:p>
    <w:p w14:paraId="095E06EB" w14:textId="77777777" w:rsidR="00BA6B85" w:rsidRDefault="00BA6B85" w:rsidP="00BA6B85">
      <w:pPr>
        <w:pStyle w:val="Citas"/>
      </w:pPr>
      <w:r>
        <w:t>(…)</w:t>
      </w:r>
    </w:p>
    <w:p w14:paraId="01AE2496" w14:textId="77777777" w:rsidR="00BA6B85" w:rsidRPr="00BA6B85" w:rsidRDefault="00BA6B85" w:rsidP="00BA6B85">
      <w:pPr>
        <w:pStyle w:val="Citas"/>
        <w:rPr>
          <w:b/>
          <w:bCs/>
          <w:u w:val="single"/>
        </w:rPr>
      </w:pPr>
      <w:r w:rsidRPr="00BA6B85">
        <w:rPr>
          <w:b/>
          <w:bCs/>
          <w:u w:val="single"/>
        </w:rPr>
        <w:t xml:space="preserve">VIII. La notificación, entrega o puesta a disposición de información en una modalidad o formato distinto al solicitado; </w:t>
      </w:r>
    </w:p>
    <w:p w14:paraId="57A918F8" w14:textId="78EB9B34" w:rsidR="00BA6B85" w:rsidRPr="005A12AE" w:rsidRDefault="00BA6B85" w:rsidP="00BA6B85">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9266E03" w14:textId="05D49A80" w:rsidR="00E96C74" w:rsidRDefault="00E96C74" w:rsidP="00E96C74">
      <w:pPr>
        <w:pStyle w:val="Citas"/>
        <w:ind w:left="0"/>
        <w:rPr>
          <w:b/>
          <w:bCs/>
        </w:rPr>
      </w:pPr>
    </w:p>
    <w:p w14:paraId="64C44540" w14:textId="39356457" w:rsidR="00BA6B85" w:rsidRDefault="00B44ADE" w:rsidP="00B44ADE">
      <w:pPr>
        <w:pStyle w:val="Citas"/>
        <w:tabs>
          <w:tab w:val="left" w:pos="7470"/>
        </w:tabs>
        <w:ind w:left="0" w:right="72"/>
        <w:rPr>
          <w:i w:val="0"/>
          <w:sz w:val="24"/>
          <w:szCs w:val="24"/>
        </w:rPr>
      </w:pPr>
      <w:r>
        <w:rPr>
          <w:i w:val="0"/>
          <w:sz w:val="24"/>
          <w:szCs w:val="24"/>
        </w:rPr>
        <w:t xml:space="preserve">Por otra parte, como fue referido en el antecedente quinto, </w:t>
      </w:r>
      <w:r w:rsidR="008056BC">
        <w:rPr>
          <w:i w:val="0"/>
          <w:sz w:val="24"/>
          <w:szCs w:val="24"/>
        </w:rPr>
        <w:t>en fecha</w:t>
      </w:r>
      <w:r w:rsidR="00BA6B85">
        <w:rPr>
          <w:i w:val="0"/>
          <w:sz w:val="24"/>
          <w:szCs w:val="24"/>
        </w:rPr>
        <w:t xml:space="preserve"> veinticuatro de agosto del presente, </w:t>
      </w:r>
      <w:r w:rsidR="00BA6B85">
        <w:rPr>
          <w:b/>
          <w:bCs/>
          <w:i w:val="0"/>
          <w:sz w:val="24"/>
          <w:szCs w:val="24"/>
        </w:rPr>
        <w:t xml:space="preserve">El Sujeto Obligado </w:t>
      </w:r>
      <w:r w:rsidR="00BA6B85">
        <w:rPr>
          <w:i w:val="0"/>
          <w:sz w:val="24"/>
          <w:szCs w:val="24"/>
        </w:rPr>
        <w:t>rindió su informe justificado</w:t>
      </w:r>
      <w:r w:rsidR="00BE6E8B">
        <w:rPr>
          <w:i w:val="0"/>
          <w:sz w:val="24"/>
          <w:szCs w:val="24"/>
        </w:rPr>
        <w:t xml:space="preserve"> </w:t>
      </w:r>
      <w:r w:rsidR="00BA6B85">
        <w:rPr>
          <w:i w:val="0"/>
          <w:sz w:val="24"/>
          <w:szCs w:val="24"/>
        </w:rPr>
        <w:t>y se nutre en los siguientes términos:</w:t>
      </w:r>
    </w:p>
    <w:p w14:paraId="198B02B4" w14:textId="4FB63A50" w:rsidR="00BA6B85" w:rsidRPr="00BA6B85" w:rsidRDefault="00BA6B85" w:rsidP="00BA6B85">
      <w:pPr>
        <w:pStyle w:val="Citas"/>
        <w:numPr>
          <w:ilvl w:val="0"/>
          <w:numId w:val="47"/>
        </w:numPr>
        <w:tabs>
          <w:tab w:val="left" w:pos="7470"/>
        </w:tabs>
        <w:ind w:right="72"/>
        <w:rPr>
          <w:i w:val="0"/>
          <w:sz w:val="24"/>
          <w:szCs w:val="24"/>
        </w:rPr>
      </w:pPr>
      <w:r>
        <w:rPr>
          <w:b/>
          <w:bCs/>
          <w:i w:val="0"/>
          <w:sz w:val="24"/>
          <w:szCs w:val="24"/>
        </w:rPr>
        <w:t>“Informe Justificado RR. 13425-2022 (sol. 428-2022).pdf”:</w:t>
      </w:r>
      <w:r w:rsidR="00CB251D">
        <w:rPr>
          <w:b/>
          <w:bCs/>
          <w:i w:val="0"/>
          <w:sz w:val="24"/>
          <w:szCs w:val="24"/>
        </w:rPr>
        <w:t xml:space="preserve"> </w:t>
      </w:r>
      <w:r w:rsidR="00CB251D">
        <w:rPr>
          <w:i w:val="0"/>
          <w:sz w:val="24"/>
          <w:szCs w:val="24"/>
        </w:rPr>
        <w:t xml:space="preserve">Oficio número </w:t>
      </w:r>
      <w:r w:rsidR="00CB251D">
        <w:rPr>
          <w:b/>
          <w:bCs/>
          <w:i w:val="0"/>
          <w:sz w:val="24"/>
          <w:szCs w:val="24"/>
        </w:rPr>
        <w:t xml:space="preserve">UIPL/1302/2022 </w:t>
      </w:r>
      <w:r w:rsidR="00CB251D">
        <w:rPr>
          <w:i w:val="0"/>
          <w:sz w:val="24"/>
          <w:szCs w:val="24"/>
        </w:rPr>
        <w:t xml:space="preserve">signado por el Titular de la Unidad de Información y dirigido al Comisionado Ponente, de fecha veinticuatro de agosto de dos mil veintidós, en </w:t>
      </w:r>
      <w:r w:rsidR="004F5E75">
        <w:rPr>
          <w:i w:val="0"/>
          <w:sz w:val="24"/>
          <w:szCs w:val="24"/>
        </w:rPr>
        <w:t>síntesis,</w:t>
      </w:r>
      <w:r w:rsidR="00CB251D">
        <w:rPr>
          <w:i w:val="0"/>
          <w:sz w:val="24"/>
          <w:szCs w:val="24"/>
        </w:rPr>
        <w:t xml:space="preserve"> ratifica la respuesta primigenia. </w:t>
      </w:r>
    </w:p>
    <w:p w14:paraId="4B94BA4D" w14:textId="0E54B01F" w:rsidR="00BA6B85" w:rsidRPr="00BA6B85" w:rsidRDefault="00BA6B85" w:rsidP="00BA6B85">
      <w:pPr>
        <w:pStyle w:val="Citas"/>
        <w:numPr>
          <w:ilvl w:val="0"/>
          <w:numId w:val="47"/>
        </w:numPr>
        <w:tabs>
          <w:tab w:val="left" w:pos="7470"/>
        </w:tabs>
        <w:ind w:right="72"/>
        <w:rPr>
          <w:i w:val="0"/>
          <w:sz w:val="24"/>
          <w:szCs w:val="24"/>
        </w:rPr>
      </w:pPr>
      <w:r>
        <w:rPr>
          <w:b/>
          <w:bCs/>
          <w:i w:val="0"/>
          <w:sz w:val="24"/>
          <w:szCs w:val="24"/>
        </w:rPr>
        <w:lastRenderedPageBreak/>
        <w:t xml:space="preserve">“Anexo 1 (RR. 13245-2022).pdf”: </w:t>
      </w:r>
      <w:r w:rsidR="00AD1FA2">
        <w:rPr>
          <w:i w:val="0"/>
          <w:sz w:val="24"/>
          <w:szCs w:val="24"/>
        </w:rPr>
        <w:t xml:space="preserve">Oficio número </w:t>
      </w:r>
      <w:r w:rsidR="00AD1FA2">
        <w:rPr>
          <w:b/>
          <w:bCs/>
          <w:i w:val="0"/>
          <w:sz w:val="24"/>
          <w:szCs w:val="24"/>
        </w:rPr>
        <w:t xml:space="preserve">OSFEM/DJC/SPH/0118/2022 </w:t>
      </w:r>
      <w:r w:rsidR="00AD1FA2">
        <w:rPr>
          <w:i w:val="0"/>
          <w:sz w:val="24"/>
          <w:szCs w:val="24"/>
        </w:rPr>
        <w:t xml:space="preserve">signado por el Servidor Público Habilitado de la Dirección Jurídica Consultiva y dirigido al Titular de la Unidad de Información del Poder Legislativo, de fecha diez de agosto de dos mil veintidós, en términos generales ratifica el cambio de modalidad. </w:t>
      </w:r>
    </w:p>
    <w:p w14:paraId="3B9491AE" w14:textId="60F6C2FD" w:rsidR="00BA6B85" w:rsidRPr="00BA6B85" w:rsidRDefault="00BA6B85" w:rsidP="00BA6B85">
      <w:pPr>
        <w:pStyle w:val="Citas"/>
        <w:numPr>
          <w:ilvl w:val="0"/>
          <w:numId w:val="47"/>
        </w:numPr>
        <w:tabs>
          <w:tab w:val="left" w:pos="7470"/>
        </w:tabs>
        <w:ind w:right="72"/>
        <w:rPr>
          <w:i w:val="0"/>
          <w:sz w:val="24"/>
          <w:szCs w:val="24"/>
        </w:rPr>
      </w:pPr>
      <w:r>
        <w:rPr>
          <w:b/>
          <w:bCs/>
          <w:i w:val="0"/>
          <w:sz w:val="24"/>
          <w:szCs w:val="24"/>
        </w:rPr>
        <w:t>“Anexo 2 (RR. 13245-2022).pdf”:</w:t>
      </w:r>
      <w:r w:rsidR="00AD1FA2">
        <w:rPr>
          <w:b/>
          <w:bCs/>
          <w:i w:val="0"/>
          <w:sz w:val="24"/>
          <w:szCs w:val="24"/>
        </w:rPr>
        <w:t xml:space="preserve"> </w:t>
      </w:r>
      <w:r w:rsidR="00AD1FA2">
        <w:rPr>
          <w:i w:val="0"/>
          <w:sz w:val="24"/>
          <w:szCs w:val="24"/>
        </w:rPr>
        <w:t xml:space="preserve">Oficio número </w:t>
      </w:r>
      <w:r w:rsidR="00AD1FA2">
        <w:rPr>
          <w:b/>
          <w:bCs/>
          <w:i w:val="0"/>
          <w:sz w:val="24"/>
          <w:szCs w:val="24"/>
        </w:rPr>
        <w:t xml:space="preserve">UIPL/1196/2022 </w:t>
      </w:r>
      <w:r w:rsidR="00AD1FA2">
        <w:rPr>
          <w:i w:val="0"/>
          <w:sz w:val="24"/>
          <w:szCs w:val="24"/>
        </w:rPr>
        <w:t xml:space="preserve">signado por el Titular de la Unidad de Información del Poder Legislativo y dirigido al Director General de informática del INFOEM, de fecha diez de agosto de dos mil veintidós, en términos generales solicita dictaminar sobre la capacidad o incapacidad del sistema SAIMEX para la carga de información consistente en 78,068 (setenta y ocho mil sesenta y ocho) fojas. </w:t>
      </w:r>
    </w:p>
    <w:p w14:paraId="7B28E219" w14:textId="6C26037C" w:rsidR="00BA6B85" w:rsidRPr="00BA6B85" w:rsidRDefault="00BA6B85" w:rsidP="00BA6B85">
      <w:pPr>
        <w:pStyle w:val="Citas"/>
        <w:numPr>
          <w:ilvl w:val="0"/>
          <w:numId w:val="47"/>
        </w:numPr>
        <w:tabs>
          <w:tab w:val="left" w:pos="7470"/>
        </w:tabs>
        <w:ind w:right="72"/>
        <w:rPr>
          <w:i w:val="0"/>
          <w:sz w:val="24"/>
          <w:szCs w:val="24"/>
        </w:rPr>
      </w:pPr>
      <w:r>
        <w:rPr>
          <w:b/>
          <w:bCs/>
          <w:i w:val="0"/>
          <w:sz w:val="24"/>
          <w:szCs w:val="24"/>
        </w:rPr>
        <w:t xml:space="preserve">“Anexo 3 (RR. 13425-2022).pdf”: </w:t>
      </w:r>
      <w:r w:rsidR="00AD1FA2">
        <w:rPr>
          <w:i w:val="0"/>
          <w:sz w:val="24"/>
          <w:szCs w:val="24"/>
        </w:rPr>
        <w:t xml:space="preserve">Oficio número </w:t>
      </w:r>
      <w:r w:rsidR="00AD1FA2">
        <w:rPr>
          <w:b/>
          <w:bCs/>
          <w:i w:val="0"/>
          <w:sz w:val="24"/>
          <w:szCs w:val="24"/>
        </w:rPr>
        <w:t xml:space="preserve">INFOEM/DGI/450/2022 </w:t>
      </w:r>
      <w:r w:rsidR="00AD1FA2">
        <w:rPr>
          <w:i w:val="0"/>
          <w:sz w:val="24"/>
          <w:szCs w:val="24"/>
        </w:rPr>
        <w:t xml:space="preserve">signado por el director general de informática y dirigido al Titular de la Unidad de Transparencia del Poder Legislativo, de fecha once de agosto de dos mil veintidós, en síntesis, refiere registro en la bitácora de incidencias, toda vez que la información asciende a 78,068 fojas (4.8 GB), lo cual sobrepasa las capacidades del sistema SAIMEX. </w:t>
      </w:r>
    </w:p>
    <w:p w14:paraId="695CFB4B" w14:textId="464F0C4A" w:rsidR="00AC5742" w:rsidRPr="00AC5742" w:rsidRDefault="00BA6B85" w:rsidP="00EC72D9">
      <w:pPr>
        <w:pStyle w:val="Citas"/>
        <w:numPr>
          <w:ilvl w:val="0"/>
          <w:numId w:val="47"/>
        </w:numPr>
        <w:tabs>
          <w:tab w:val="left" w:pos="7470"/>
        </w:tabs>
        <w:ind w:right="72"/>
        <w:rPr>
          <w:i w:val="0"/>
          <w:sz w:val="24"/>
          <w:szCs w:val="24"/>
        </w:rPr>
      </w:pPr>
      <w:r w:rsidRPr="00AC5742">
        <w:rPr>
          <w:b/>
          <w:bCs/>
          <w:i w:val="0"/>
          <w:sz w:val="24"/>
          <w:szCs w:val="24"/>
        </w:rPr>
        <w:t xml:space="preserve">“Anexo 4 (RR. 13245-2022).pdf”: </w:t>
      </w:r>
      <w:r w:rsidR="00AC5742" w:rsidRPr="00AC5742">
        <w:rPr>
          <w:i w:val="0"/>
          <w:iCs/>
          <w:sz w:val="24"/>
          <w:szCs w:val="24"/>
        </w:rPr>
        <w:t xml:space="preserve">Acta de la Tercera Sesión Ordinaria del Comité de Transparencia del Poder Legislativo del Estado Libre y Soberano de México, </w:t>
      </w:r>
      <w:r w:rsidR="00AC5742">
        <w:rPr>
          <w:i w:val="0"/>
          <w:iCs/>
          <w:sz w:val="24"/>
          <w:szCs w:val="24"/>
        </w:rPr>
        <w:t xml:space="preserve">remitida mediante respuesta primigenia y cuyo contenido fue descrito en párrafos anteriores. </w:t>
      </w:r>
    </w:p>
    <w:p w14:paraId="3FCC3A9D" w14:textId="77777777" w:rsidR="00D6193E" w:rsidRDefault="00BA6B85" w:rsidP="00D6193E">
      <w:pPr>
        <w:pStyle w:val="Citas"/>
        <w:numPr>
          <w:ilvl w:val="0"/>
          <w:numId w:val="47"/>
        </w:numPr>
        <w:tabs>
          <w:tab w:val="left" w:pos="7470"/>
        </w:tabs>
        <w:ind w:right="72"/>
        <w:rPr>
          <w:i w:val="0"/>
          <w:sz w:val="24"/>
          <w:szCs w:val="24"/>
        </w:rPr>
      </w:pPr>
      <w:r>
        <w:rPr>
          <w:b/>
          <w:bCs/>
          <w:i w:val="0"/>
          <w:sz w:val="24"/>
          <w:szCs w:val="24"/>
        </w:rPr>
        <w:lastRenderedPageBreak/>
        <w:t xml:space="preserve">“Anexo 5 (RR. 13245-2022).pdf”: </w:t>
      </w:r>
      <w:r w:rsidR="00AD1FA2">
        <w:rPr>
          <w:i w:val="0"/>
          <w:sz w:val="24"/>
          <w:szCs w:val="24"/>
        </w:rPr>
        <w:t xml:space="preserve">Oficio número </w:t>
      </w:r>
      <w:r w:rsidR="00AD1FA2">
        <w:rPr>
          <w:b/>
          <w:bCs/>
          <w:i w:val="0"/>
          <w:sz w:val="24"/>
          <w:szCs w:val="24"/>
        </w:rPr>
        <w:t>OSFEM/DJC/SPH/0128/2022</w:t>
      </w:r>
      <w:r w:rsidR="00AD1FA2">
        <w:rPr>
          <w:i w:val="0"/>
          <w:sz w:val="24"/>
          <w:szCs w:val="24"/>
        </w:rPr>
        <w:t xml:space="preserve"> signado por el Servidor Público Habilitado de la Dirección Jurídica Consultiva y dirigido al titular de la unidad de información del poder legislativo, de fecha veintitrés de agosto de dos mil veintidós, en lo medular </w:t>
      </w:r>
      <w:r w:rsidR="00CB251D">
        <w:rPr>
          <w:i w:val="0"/>
          <w:sz w:val="24"/>
          <w:szCs w:val="24"/>
        </w:rPr>
        <w:t xml:space="preserve">ratifica la respuesta primigenia y expone que desde su óptica la Ley de Gobierno Digital del Estado de México y Municipios no resulta aplicable al Poder Legislativo o sus unidades administrativas. </w:t>
      </w:r>
    </w:p>
    <w:p w14:paraId="3CF3F170" w14:textId="75823824" w:rsidR="00D6193E" w:rsidRPr="00D6193E" w:rsidRDefault="00D6193E" w:rsidP="00D6193E">
      <w:pPr>
        <w:spacing w:line="360" w:lineRule="auto"/>
        <w:contextualSpacing/>
        <w:jc w:val="both"/>
        <w:rPr>
          <w:rFonts w:ascii="Palatino Linotype" w:eastAsia="Palatino Linotype" w:hAnsi="Palatino Linotype" w:cs="Palatino Linotype"/>
          <w:sz w:val="24"/>
          <w:szCs w:val="24"/>
        </w:rPr>
      </w:pPr>
    </w:p>
    <w:p w14:paraId="5E52F8AD" w14:textId="77777777" w:rsidR="00D52C1F" w:rsidRPr="00D6193E" w:rsidRDefault="00D52C1F" w:rsidP="00D52C1F">
      <w:pPr>
        <w:spacing w:line="360" w:lineRule="auto"/>
        <w:contextualSpacing/>
        <w:jc w:val="both"/>
        <w:rPr>
          <w:rFonts w:ascii="Palatino Linotype" w:eastAsia="Palatino Linotype" w:hAnsi="Palatino Linotype" w:cs="Palatino Linotype"/>
          <w:sz w:val="24"/>
          <w:szCs w:val="24"/>
        </w:rPr>
      </w:pPr>
      <w:r w:rsidRPr="00D6193E">
        <w:rPr>
          <w:rFonts w:ascii="Palatino Linotype" w:eastAsia="Palatino Linotype" w:hAnsi="Palatino Linotype" w:cs="Palatino Linotype"/>
          <w:sz w:val="24"/>
          <w:szCs w:val="24"/>
        </w:rPr>
        <w:t xml:space="preserve">Una vez precisado lo anterior, es de señalar que si bien es cierto que en materia de transparencia se debe privilegiar el uso de las nuevas tecnologías de la información y comunicación; es decir, entregar la información en la modalidad señalada por los particulares en su solicitud, también lo es que, bajo tal premisa, el numeral 158 de la Ley de Transparencia estatal, señala que cuando lo determine </w:t>
      </w:r>
      <w:r>
        <w:rPr>
          <w:rFonts w:ascii="Palatino Linotype" w:eastAsia="Palatino Linotype" w:hAnsi="Palatino Linotype" w:cs="Palatino Linotype"/>
          <w:b/>
          <w:bCs/>
          <w:sz w:val="24"/>
          <w:szCs w:val="24"/>
        </w:rPr>
        <w:t>E</w:t>
      </w:r>
      <w:r w:rsidRPr="00D6193E">
        <w:rPr>
          <w:rFonts w:ascii="Palatino Linotype" w:eastAsia="Palatino Linotype" w:hAnsi="Palatino Linotype" w:cs="Palatino Linotype"/>
          <w:b/>
          <w:bCs/>
          <w:sz w:val="24"/>
          <w:szCs w:val="24"/>
        </w:rPr>
        <w:t>l Sujeto Obligado</w:t>
      </w:r>
      <w:r w:rsidRPr="00D6193E">
        <w:rPr>
          <w:rFonts w:ascii="Palatino Linotype" w:eastAsia="Palatino Linotype" w:hAnsi="Palatino Linotype" w:cs="Palatino Linotype"/>
          <w:sz w:val="24"/>
          <w:szCs w:val="24"/>
        </w:rPr>
        <w:t xml:space="preserve"> podrá solicitar el cambio de modalidad </w:t>
      </w:r>
      <w:r w:rsidRPr="00D6193E">
        <w:rPr>
          <w:rFonts w:ascii="Palatino Linotype" w:eastAsia="Palatino Linotype" w:hAnsi="Palatino Linotype" w:cs="Palatino Linotype"/>
          <w:i/>
          <w:iCs/>
          <w:sz w:val="24"/>
          <w:szCs w:val="24"/>
        </w:rPr>
        <w:t>in situ</w:t>
      </w:r>
      <w:r w:rsidRPr="00D6193E">
        <w:rPr>
          <w:rFonts w:ascii="Palatino Linotype" w:eastAsia="Palatino Linotype" w:hAnsi="Palatino Linotype" w:cs="Palatino Linotype"/>
          <w:sz w:val="24"/>
          <w:szCs w:val="24"/>
        </w:rPr>
        <w:t xml:space="preserve">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301ADFA9" w14:textId="77777777" w:rsidR="00D52C1F" w:rsidRPr="00D6193E" w:rsidRDefault="00D52C1F" w:rsidP="00D52C1F">
      <w:pPr>
        <w:spacing w:line="360" w:lineRule="auto"/>
        <w:contextualSpacing/>
        <w:jc w:val="both"/>
        <w:rPr>
          <w:rFonts w:ascii="Palatino Linotype" w:eastAsia="Palatino Linotype" w:hAnsi="Palatino Linotype" w:cs="Palatino Linotype"/>
          <w:sz w:val="24"/>
          <w:szCs w:val="24"/>
        </w:rPr>
      </w:pPr>
    </w:p>
    <w:p w14:paraId="120335EE" w14:textId="77777777" w:rsidR="00D52C1F" w:rsidRPr="00D6193E" w:rsidRDefault="00D52C1F" w:rsidP="00D52C1F">
      <w:pPr>
        <w:spacing w:line="360" w:lineRule="auto"/>
        <w:contextualSpacing/>
        <w:jc w:val="both"/>
        <w:rPr>
          <w:rFonts w:ascii="Palatino Linotype" w:eastAsia="Palatino Linotype" w:hAnsi="Palatino Linotype" w:cs="Palatino Linotype"/>
          <w:b/>
          <w:bCs/>
          <w:sz w:val="24"/>
          <w:szCs w:val="24"/>
        </w:rPr>
      </w:pPr>
      <w:r w:rsidRPr="00D6193E">
        <w:rPr>
          <w:rFonts w:ascii="Palatino Linotype" w:eastAsia="Palatino Linotype" w:hAnsi="Palatino Linotype" w:cs="Palatino Linotype"/>
          <w:sz w:val="24"/>
          <w:szCs w:val="24"/>
        </w:rPr>
        <w:t xml:space="preserve">En esa tesitura, </w:t>
      </w:r>
      <w:r>
        <w:rPr>
          <w:rFonts w:ascii="Palatino Linotype" w:eastAsia="Palatino Linotype" w:hAnsi="Palatino Linotype" w:cs="Palatino Linotype"/>
          <w:b/>
          <w:bCs/>
          <w:sz w:val="24"/>
          <w:szCs w:val="24"/>
        </w:rPr>
        <w:t>E</w:t>
      </w:r>
      <w:r w:rsidRPr="00D6193E">
        <w:rPr>
          <w:rFonts w:ascii="Palatino Linotype" w:eastAsia="Palatino Linotype" w:hAnsi="Palatino Linotype" w:cs="Palatino Linotype"/>
          <w:b/>
          <w:bCs/>
          <w:sz w:val="24"/>
          <w:szCs w:val="24"/>
        </w:rPr>
        <w:t>l Sujeto Obligado</w:t>
      </w:r>
      <w:r w:rsidRPr="00D6193E">
        <w:rPr>
          <w:rFonts w:ascii="Palatino Linotype" w:eastAsia="Palatino Linotype" w:hAnsi="Palatino Linotype" w:cs="Palatino Linotype"/>
          <w:sz w:val="24"/>
          <w:szCs w:val="24"/>
        </w:rPr>
        <w:t xml:space="preserve"> manifestó que el cambio de modalidad había sido aprobado por el Comité de Transparencia debido a que el volumen de información </w:t>
      </w:r>
      <w:r w:rsidRPr="00D6193E">
        <w:rPr>
          <w:rFonts w:ascii="Palatino Linotype" w:eastAsia="Palatino Linotype" w:hAnsi="Palatino Linotype" w:cs="Palatino Linotype"/>
          <w:sz w:val="24"/>
          <w:szCs w:val="24"/>
        </w:rPr>
        <w:lastRenderedPageBreak/>
        <w:t xml:space="preserve">supera las capacidades del </w:t>
      </w:r>
      <w:r w:rsidRPr="00D6193E">
        <w:rPr>
          <w:rFonts w:ascii="Palatino Linotype" w:eastAsia="Palatino Linotype" w:hAnsi="Palatino Linotype" w:cs="Palatino Linotype"/>
          <w:b/>
          <w:bCs/>
          <w:sz w:val="24"/>
          <w:szCs w:val="24"/>
        </w:rPr>
        <w:t>SAIMEX</w:t>
      </w:r>
      <w:r w:rsidRPr="00D6193E">
        <w:rPr>
          <w:rFonts w:ascii="Palatino Linotype" w:eastAsia="Palatino Linotype" w:hAnsi="Palatino Linotype" w:cs="Palatino Linotype"/>
          <w:sz w:val="24"/>
          <w:szCs w:val="24"/>
        </w:rPr>
        <w:t xml:space="preserve">, lo que se demostró mediante la respuesta de la Dirección General de Informática, en la que se registró la incidencia solicitada por </w:t>
      </w:r>
      <w:r>
        <w:rPr>
          <w:rFonts w:ascii="Palatino Linotype" w:eastAsia="Palatino Linotype" w:hAnsi="Palatino Linotype" w:cs="Palatino Linotype"/>
          <w:b/>
          <w:bCs/>
          <w:sz w:val="24"/>
          <w:szCs w:val="24"/>
        </w:rPr>
        <w:t>E</w:t>
      </w:r>
      <w:r w:rsidRPr="00D6193E">
        <w:rPr>
          <w:rFonts w:ascii="Palatino Linotype" w:eastAsia="Palatino Linotype" w:hAnsi="Palatino Linotype" w:cs="Palatino Linotype"/>
          <w:b/>
          <w:bCs/>
          <w:sz w:val="24"/>
          <w:szCs w:val="24"/>
        </w:rPr>
        <w:t>l Sujeto Obligado.</w:t>
      </w:r>
    </w:p>
    <w:p w14:paraId="2038B5A4" w14:textId="77777777" w:rsidR="00D52C1F" w:rsidRPr="00D6193E" w:rsidRDefault="00D52C1F" w:rsidP="00D52C1F">
      <w:pPr>
        <w:spacing w:line="360" w:lineRule="auto"/>
        <w:contextualSpacing/>
        <w:jc w:val="both"/>
        <w:rPr>
          <w:rFonts w:ascii="Palatino Linotype" w:eastAsia="Palatino Linotype" w:hAnsi="Palatino Linotype" w:cs="Palatino Linotype"/>
          <w:sz w:val="24"/>
          <w:szCs w:val="24"/>
        </w:rPr>
      </w:pPr>
    </w:p>
    <w:p w14:paraId="3A9D27AD" w14:textId="77777777" w:rsidR="00D52C1F" w:rsidRPr="00D6193E" w:rsidRDefault="00D52C1F" w:rsidP="00D52C1F">
      <w:pPr>
        <w:spacing w:line="360" w:lineRule="auto"/>
        <w:contextualSpacing/>
        <w:jc w:val="both"/>
        <w:rPr>
          <w:rFonts w:ascii="Palatino Linotype" w:eastAsia="Palatino Linotype" w:hAnsi="Palatino Linotype" w:cs="Palatino Linotype"/>
          <w:sz w:val="24"/>
          <w:szCs w:val="24"/>
        </w:rPr>
      </w:pPr>
      <w:r w:rsidRPr="00D6193E">
        <w:rPr>
          <w:rFonts w:ascii="Palatino Linotype" w:eastAsia="Palatino Linotype" w:hAnsi="Palatino Linotype" w:cs="Palatino Linotype"/>
          <w:sz w:val="24"/>
          <w:szCs w:val="24"/>
        </w:rPr>
        <w:t xml:space="preserve">Del mismo modo, se advierte que se actualizan los supuestos establecidos en el numeral 158 y 164 de la Ley de la materia, por lo que procede el cambio de modalidad de entrega vía </w:t>
      </w:r>
      <w:r w:rsidRPr="00D6193E">
        <w:rPr>
          <w:rFonts w:ascii="Palatino Linotype" w:eastAsia="Palatino Linotype" w:hAnsi="Palatino Linotype" w:cs="Palatino Linotype"/>
          <w:i/>
          <w:iCs/>
          <w:sz w:val="24"/>
          <w:szCs w:val="24"/>
        </w:rPr>
        <w:t>in situ</w:t>
      </w:r>
      <w:r w:rsidRPr="00D6193E">
        <w:rPr>
          <w:rFonts w:ascii="Palatino Linotype" w:eastAsia="Palatino Linotype" w:hAnsi="Palatino Linotype" w:cs="Palatino Linotype"/>
          <w:sz w:val="24"/>
          <w:szCs w:val="24"/>
        </w:rPr>
        <w:t xml:space="preserve">; asimismo, como ya se mencionó anteriormente, en la respuesta </w:t>
      </w:r>
      <w:r>
        <w:rPr>
          <w:rFonts w:ascii="Palatino Linotype" w:eastAsia="Palatino Linotype" w:hAnsi="Palatino Linotype" w:cs="Palatino Linotype"/>
          <w:b/>
          <w:bCs/>
          <w:sz w:val="24"/>
          <w:szCs w:val="24"/>
        </w:rPr>
        <w:t>E</w:t>
      </w:r>
      <w:r w:rsidRPr="00D6193E">
        <w:rPr>
          <w:rFonts w:ascii="Palatino Linotype" w:eastAsia="Palatino Linotype" w:hAnsi="Palatino Linotype" w:cs="Palatino Linotype"/>
          <w:b/>
          <w:bCs/>
          <w:sz w:val="24"/>
          <w:szCs w:val="24"/>
        </w:rPr>
        <w:t>l Sujeto Obligado</w:t>
      </w:r>
      <w:r w:rsidRPr="00D6193E">
        <w:rPr>
          <w:rFonts w:ascii="Palatino Linotype" w:eastAsia="Palatino Linotype" w:hAnsi="Palatino Linotype" w:cs="Palatino Linotype"/>
          <w:sz w:val="24"/>
          <w:szCs w:val="24"/>
        </w:rPr>
        <w:t xml:space="preserve"> informó a</w:t>
      </w:r>
      <w:r>
        <w:rPr>
          <w:rFonts w:ascii="Palatino Linotype" w:eastAsia="Palatino Linotype" w:hAnsi="Palatino Linotype" w:cs="Palatino Linotype"/>
          <w:sz w:val="24"/>
          <w:szCs w:val="24"/>
        </w:rPr>
        <w:t xml:space="preserve"> </w:t>
      </w:r>
      <w:r w:rsidRPr="00D6193E">
        <w:rPr>
          <w:rFonts w:ascii="Palatino Linotype" w:eastAsia="Palatino Linotype" w:hAnsi="Palatino Linotype" w:cs="Palatino Linotype"/>
          <w:b/>
          <w:bCs/>
          <w:sz w:val="24"/>
          <w:szCs w:val="24"/>
        </w:rPr>
        <w:t>La Recurrente</w:t>
      </w:r>
      <w:r w:rsidRPr="00D6193E">
        <w:rPr>
          <w:rFonts w:ascii="Palatino Linotype" w:eastAsia="Palatino Linotype" w:hAnsi="Palatino Linotype" w:cs="Palatino Linotype"/>
          <w:sz w:val="24"/>
          <w:szCs w:val="24"/>
        </w:rPr>
        <w:t xml:space="preserve"> el lugar, días y horas en las que podrá asistir para la consulta de la información, de conformidad con lo siguiente:</w:t>
      </w:r>
    </w:p>
    <w:p w14:paraId="3A07DC2F" w14:textId="77777777" w:rsidR="00D52C1F" w:rsidRPr="00227A85" w:rsidRDefault="00D52C1F" w:rsidP="00D52C1F">
      <w:pPr>
        <w:pStyle w:val="Citas"/>
      </w:pPr>
      <w:r>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5A96C3B9" w14:textId="77777777" w:rsidR="00D52C1F" w:rsidRPr="00227A85" w:rsidRDefault="00D52C1F" w:rsidP="00D52C1F">
      <w:pPr>
        <w:pStyle w:val="Citas"/>
      </w:pPr>
      <w:r w:rsidRPr="00227A85">
        <w:t>En todo caso, se facilitará su copia simple o certificada, así como su reproducción por cualquier medio disponible en las instalaciones del sujeto obligado o que, en su caso, aporte el solicitante.</w:t>
      </w:r>
    </w:p>
    <w:p w14:paraId="64DF8970" w14:textId="77777777" w:rsidR="00D52C1F" w:rsidRPr="00227A85" w:rsidRDefault="00D52C1F" w:rsidP="00D52C1F">
      <w:pPr>
        <w:pStyle w:val="Citas"/>
      </w:pPr>
      <w:r w:rsidRPr="00227A85">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6EA889D7" w14:textId="77777777" w:rsidR="00D52C1F" w:rsidRPr="00D6193E" w:rsidRDefault="00D52C1F" w:rsidP="00D52C1F">
      <w:pPr>
        <w:pStyle w:val="Citas"/>
        <w:rPr>
          <w:b/>
          <w:bCs/>
        </w:rPr>
      </w:pPr>
      <w:r w:rsidRPr="00227A85">
        <w:lastRenderedPageBreak/>
        <w:t>En cualquier caso, se deberá fundar y motivar la necesidad de ofrecer otras modalidades.</w:t>
      </w:r>
      <w:r>
        <w:t xml:space="preserve">” </w:t>
      </w:r>
      <w:r>
        <w:rPr>
          <w:b/>
          <w:bCs/>
        </w:rPr>
        <w:t>(Sic)</w:t>
      </w:r>
    </w:p>
    <w:p w14:paraId="52BCFC7C" w14:textId="77777777" w:rsidR="00D52C1F" w:rsidRDefault="00D52C1F" w:rsidP="00D52C1F">
      <w:pPr>
        <w:pStyle w:val="Citas"/>
        <w:tabs>
          <w:tab w:val="left" w:pos="7470"/>
        </w:tabs>
        <w:ind w:left="360" w:right="72"/>
        <w:rPr>
          <w:i w:val="0"/>
          <w:sz w:val="24"/>
          <w:szCs w:val="24"/>
          <w:lang w:val="es-ES_tradnl"/>
        </w:rPr>
      </w:pPr>
    </w:p>
    <w:p w14:paraId="372EF2CB" w14:textId="7CCE2E23" w:rsidR="00D52C1F" w:rsidRDefault="00D52C1F" w:rsidP="00D52C1F">
      <w:pPr>
        <w:spacing w:line="360" w:lineRule="auto"/>
        <w:contextualSpacing/>
        <w:jc w:val="both"/>
        <w:rPr>
          <w:rFonts w:ascii="Palatino Linotype" w:eastAsia="Palatino Linotype" w:hAnsi="Palatino Linotype" w:cs="Palatino Linotype"/>
          <w:sz w:val="24"/>
          <w:szCs w:val="24"/>
        </w:rPr>
      </w:pPr>
      <w:r w:rsidRPr="00D6193E">
        <w:rPr>
          <w:rFonts w:ascii="Palatino Linotype" w:eastAsia="Palatino Linotype" w:hAnsi="Palatino Linotype" w:cs="Palatino Linotype"/>
          <w:sz w:val="24"/>
          <w:szCs w:val="24"/>
        </w:rPr>
        <w:t xml:space="preserve">De tal modo que </w:t>
      </w:r>
      <w:r>
        <w:rPr>
          <w:rFonts w:ascii="Palatino Linotype" w:eastAsia="Palatino Linotype" w:hAnsi="Palatino Linotype" w:cs="Palatino Linotype"/>
          <w:b/>
          <w:bCs/>
          <w:sz w:val="24"/>
          <w:szCs w:val="24"/>
        </w:rPr>
        <w:t>E</w:t>
      </w:r>
      <w:r w:rsidRPr="00D6193E">
        <w:rPr>
          <w:rFonts w:ascii="Palatino Linotype" w:eastAsia="Palatino Linotype" w:hAnsi="Palatino Linotype" w:cs="Palatino Linotype"/>
          <w:b/>
          <w:bCs/>
          <w:sz w:val="24"/>
          <w:szCs w:val="24"/>
        </w:rPr>
        <w:t>l Sujeto Obligado</w:t>
      </w:r>
      <w:r w:rsidRPr="00D6193E">
        <w:rPr>
          <w:rFonts w:ascii="Palatino Linotype" w:eastAsia="Palatino Linotype" w:hAnsi="Palatino Linotype" w:cs="Palatino Linotype"/>
          <w:sz w:val="24"/>
          <w:szCs w:val="24"/>
        </w:rPr>
        <w:t xml:space="preserve"> se ciñó a los establecido en la normatividad, haciendo del conocimiento de</w:t>
      </w:r>
      <w:r>
        <w:rPr>
          <w:rFonts w:ascii="Palatino Linotype" w:eastAsia="Palatino Linotype" w:hAnsi="Palatino Linotype" w:cs="Palatino Linotype"/>
          <w:sz w:val="24"/>
          <w:szCs w:val="24"/>
        </w:rPr>
        <w:t xml:space="preserve"> </w:t>
      </w:r>
      <w:r w:rsidRPr="00C514C0">
        <w:rPr>
          <w:rFonts w:ascii="Palatino Linotype" w:eastAsia="Palatino Linotype" w:hAnsi="Palatino Linotype" w:cs="Palatino Linotype"/>
          <w:b/>
          <w:bCs/>
          <w:sz w:val="24"/>
          <w:szCs w:val="24"/>
        </w:rPr>
        <w:t>La Recurrente</w:t>
      </w:r>
      <w:r w:rsidRPr="00D6193E">
        <w:rPr>
          <w:rFonts w:ascii="Palatino Linotype" w:eastAsia="Palatino Linotype" w:hAnsi="Palatino Linotype" w:cs="Palatino Linotype"/>
          <w:sz w:val="24"/>
          <w:szCs w:val="24"/>
        </w:rPr>
        <w:t xml:space="preserve"> que no es posible hacer entrega de la información en la modalidad elegida en virtud de que se sobrepasan las capacidades del </w:t>
      </w:r>
      <w:r w:rsidRPr="00D6193E">
        <w:rPr>
          <w:rFonts w:ascii="Palatino Linotype" w:eastAsia="Palatino Linotype" w:hAnsi="Palatino Linotype" w:cs="Palatino Linotype"/>
          <w:b/>
          <w:bCs/>
          <w:sz w:val="24"/>
          <w:szCs w:val="24"/>
        </w:rPr>
        <w:t>SAIMEX</w:t>
      </w:r>
      <w:r w:rsidRPr="00D6193E">
        <w:rPr>
          <w:rFonts w:ascii="Palatino Linotype" w:eastAsia="Palatino Linotype" w:hAnsi="Palatino Linotype" w:cs="Palatino Linotype"/>
          <w:sz w:val="24"/>
          <w:szCs w:val="24"/>
        </w:rPr>
        <w:t xml:space="preserve">, lo cual fue aprobado por el Comité de Transparencia, por lo que se señaló el procedimiento, horario y lugar para realizar la consulta de la información; y por tanto resulta evidente que existe una imposibilidad técnica para entregar la información conforme lo solicitó </w:t>
      </w:r>
      <w:r w:rsidRPr="00D6193E">
        <w:rPr>
          <w:rFonts w:ascii="Palatino Linotype" w:eastAsia="Palatino Linotype" w:hAnsi="Palatino Linotype" w:cs="Palatino Linotype"/>
          <w:b/>
          <w:bCs/>
          <w:sz w:val="24"/>
          <w:szCs w:val="24"/>
        </w:rPr>
        <w:t>La Recurrente;</w:t>
      </w:r>
      <w:r w:rsidRPr="00D6193E">
        <w:rPr>
          <w:rFonts w:ascii="Palatino Linotype" w:eastAsia="Palatino Linotype" w:hAnsi="Palatino Linotype" w:cs="Palatino Linotype"/>
          <w:sz w:val="24"/>
          <w:szCs w:val="24"/>
        </w:rPr>
        <w:t xml:space="preserve"> empero, no se negó la entrega de la información, sino que, con el propósito de colmar el derecho de acceso a la información del particular, se puso a su disposición la información en consulta directa, con lo que se subsanó la imposibilidad técnica referida.</w:t>
      </w:r>
    </w:p>
    <w:p w14:paraId="0CCCFB5D" w14:textId="77777777" w:rsidR="00474B6B" w:rsidRPr="00D6193E" w:rsidRDefault="00474B6B" w:rsidP="00D52C1F">
      <w:pPr>
        <w:spacing w:line="360" w:lineRule="auto"/>
        <w:contextualSpacing/>
        <w:jc w:val="both"/>
        <w:rPr>
          <w:rFonts w:ascii="Palatino Linotype" w:eastAsia="Palatino Linotype" w:hAnsi="Palatino Linotype" w:cs="Palatino Linotype"/>
          <w:sz w:val="24"/>
          <w:szCs w:val="24"/>
        </w:rPr>
      </w:pPr>
    </w:p>
    <w:p w14:paraId="719973E9" w14:textId="77777777" w:rsidR="00D52C1F" w:rsidRPr="00D6193E" w:rsidRDefault="00D52C1F" w:rsidP="00D52C1F">
      <w:pPr>
        <w:spacing w:line="360" w:lineRule="auto"/>
        <w:contextualSpacing/>
        <w:jc w:val="both"/>
        <w:rPr>
          <w:rFonts w:ascii="Palatino Linotype" w:eastAsia="Palatino Linotype" w:hAnsi="Palatino Linotype" w:cs="Palatino Linotype"/>
          <w:sz w:val="24"/>
          <w:szCs w:val="24"/>
        </w:rPr>
      </w:pPr>
      <w:r w:rsidRPr="00D6193E">
        <w:rPr>
          <w:rFonts w:ascii="Palatino Linotype" w:eastAsia="Palatino Linotype" w:hAnsi="Palatino Linotype" w:cs="Palatino Linotype"/>
          <w:sz w:val="24"/>
          <w:szCs w:val="24"/>
        </w:rPr>
        <w:t xml:space="preserve">Igualmente, para robustecer lo anterior, es conveniente citar a continuación el Criterio </w:t>
      </w:r>
      <w:r w:rsidRPr="00D6193E">
        <w:rPr>
          <w:rFonts w:ascii="Palatino Linotype" w:eastAsia="Palatino Linotype" w:hAnsi="Palatino Linotype" w:cs="Palatino Linotype"/>
          <w:b/>
          <w:bCs/>
          <w:sz w:val="24"/>
          <w:szCs w:val="24"/>
        </w:rPr>
        <w:t>008/2013</w:t>
      </w:r>
      <w:r w:rsidRPr="00D6193E">
        <w:rPr>
          <w:rFonts w:ascii="Palatino Linotype" w:eastAsia="Palatino Linotype" w:hAnsi="Palatino Linotype" w:cs="Palatino Linotype"/>
          <w:sz w:val="24"/>
          <w:szCs w:val="24"/>
        </w:rPr>
        <w:t xml:space="preserve"> del hoy Instituto Nacional de Acceso a la Información y Protección de Datos Personales:</w:t>
      </w:r>
    </w:p>
    <w:p w14:paraId="5EA59B2B" w14:textId="77777777" w:rsidR="00D52C1F" w:rsidRPr="00D6193E" w:rsidRDefault="00D52C1F" w:rsidP="00D52C1F">
      <w:pPr>
        <w:pStyle w:val="Citas"/>
        <w:rPr>
          <w:b/>
          <w:bCs/>
        </w:rPr>
      </w:pPr>
      <w:r>
        <w:rPr>
          <w:b/>
          <w:bCs/>
        </w:rPr>
        <w:t>“</w:t>
      </w:r>
      <w:r w:rsidRPr="00D6193E">
        <w:rPr>
          <w:b/>
          <w:bCs/>
        </w:rPr>
        <w:t xml:space="preserve">CUANDO EXISTA IMPEDIMENTO JUSTIFICADO DE ATENDER LA MODALIDAD DE ENTREGA ELEGIDA POR EL SOLICITANTE, PROCEDE OFRECER TODAS LAS DEMÁS OPCIONES PREVISTAS EN LA LEY. </w:t>
      </w:r>
    </w:p>
    <w:p w14:paraId="123EB344" w14:textId="77777777" w:rsidR="00D52C1F" w:rsidRPr="00155DE2" w:rsidRDefault="00D52C1F" w:rsidP="00D52C1F">
      <w:pPr>
        <w:pStyle w:val="Citas"/>
        <w:rPr>
          <w:b/>
          <w:bCs/>
        </w:rPr>
      </w:pPr>
      <w:r w:rsidRPr="005142CE">
        <w:t xml:space="preserve">De conformidad con lo dispuesto en los artículos 42 y 44 de la </w:t>
      </w:r>
      <w:r w:rsidRPr="005142CE">
        <w:rPr>
          <w:iCs/>
        </w:rPr>
        <w:t>Ley Federal de Transparencia y Acceso a la Información Pública Gubernamental</w:t>
      </w:r>
      <w:r w:rsidRPr="005142CE">
        <w:t xml:space="preserve">, y 54 de su </w:t>
      </w:r>
      <w:r w:rsidRPr="005142CE">
        <w:lastRenderedPageBreak/>
        <w:t xml:space="preserve">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w:t>
      </w:r>
      <w:r w:rsidRPr="00155DE2">
        <w:t xml:space="preserve">documentos.” </w:t>
      </w:r>
      <w:r w:rsidRPr="00155DE2">
        <w:rPr>
          <w:b/>
          <w:bCs/>
        </w:rPr>
        <w:t>(Sic)</w:t>
      </w:r>
    </w:p>
    <w:p w14:paraId="0A6FE7BC" w14:textId="77777777" w:rsidR="00D52C1F" w:rsidRPr="00155DE2" w:rsidRDefault="00D52C1F" w:rsidP="00D52C1F">
      <w:pPr>
        <w:contextualSpacing/>
        <w:rPr>
          <w:rFonts w:eastAsia="Palatino Linotype" w:cs="Palatino Linotype"/>
          <w:szCs w:val="24"/>
        </w:rPr>
      </w:pPr>
    </w:p>
    <w:p w14:paraId="276152EF" w14:textId="74ACDB3A" w:rsidR="002973F2" w:rsidRPr="00155DE2" w:rsidRDefault="002973F2" w:rsidP="00641A28">
      <w:pPr>
        <w:spacing w:line="360" w:lineRule="auto"/>
        <w:contextualSpacing/>
        <w:jc w:val="both"/>
        <w:rPr>
          <w:rFonts w:ascii="Palatino Linotype" w:eastAsia="Palatino Linotype" w:hAnsi="Palatino Linotype" w:cs="Palatino Linotype"/>
          <w:sz w:val="24"/>
          <w:szCs w:val="24"/>
        </w:rPr>
      </w:pPr>
    </w:p>
    <w:p w14:paraId="35002306" w14:textId="4802AC6F" w:rsidR="00D52C1F" w:rsidRPr="00155DE2" w:rsidRDefault="00D52C1F" w:rsidP="00D52C1F">
      <w:pPr>
        <w:spacing w:line="360" w:lineRule="auto"/>
        <w:contextualSpacing/>
        <w:jc w:val="both"/>
        <w:rPr>
          <w:rFonts w:ascii="Palatino Linotype" w:eastAsia="Palatino Linotype" w:hAnsi="Palatino Linotype" w:cs="Palatino Linotype"/>
          <w:sz w:val="24"/>
          <w:szCs w:val="24"/>
        </w:rPr>
      </w:pPr>
      <w:r w:rsidRPr="00155DE2">
        <w:rPr>
          <w:rFonts w:ascii="Palatino Linotype" w:eastAsia="Palatino Linotype" w:hAnsi="Palatino Linotype" w:cs="Palatino Linotype"/>
          <w:sz w:val="24"/>
          <w:szCs w:val="24"/>
        </w:rPr>
        <w:t>De lo anterior</w:t>
      </w:r>
      <w:r w:rsidR="007C5959" w:rsidRPr="00155DE2">
        <w:rPr>
          <w:rFonts w:ascii="Palatino Linotype" w:eastAsia="Palatino Linotype" w:hAnsi="Palatino Linotype" w:cs="Palatino Linotype"/>
          <w:sz w:val="24"/>
          <w:szCs w:val="24"/>
        </w:rPr>
        <w:t xml:space="preserve">, tomando como parámetro de referencia el acta remitida mediante respuesta primigenia, </w:t>
      </w:r>
      <w:r w:rsidRPr="00155DE2">
        <w:rPr>
          <w:rFonts w:ascii="Palatino Linotype" w:eastAsia="Palatino Linotype" w:hAnsi="Palatino Linotype" w:cs="Palatino Linotype"/>
          <w:sz w:val="24"/>
          <w:szCs w:val="24"/>
        </w:rPr>
        <w:t xml:space="preserve">se desprende que no existe una negativa por parte del </w:t>
      </w:r>
      <w:r w:rsidRPr="00155DE2">
        <w:rPr>
          <w:rFonts w:ascii="Palatino Linotype" w:eastAsia="Palatino Linotype" w:hAnsi="Palatino Linotype" w:cs="Palatino Linotype"/>
          <w:b/>
          <w:bCs/>
          <w:sz w:val="24"/>
          <w:szCs w:val="24"/>
        </w:rPr>
        <w:t>Sujeto Obligado</w:t>
      </w:r>
      <w:r w:rsidRPr="00155DE2">
        <w:rPr>
          <w:rFonts w:ascii="Palatino Linotype" w:eastAsia="Palatino Linotype" w:hAnsi="Palatino Linotype" w:cs="Palatino Linotype"/>
          <w:sz w:val="24"/>
          <w:szCs w:val="24"/>
        </w:rPr>
        <w:t xml:space="preserve"> a entregar la información, puesto que, ante la imposibilidad demostrada de entregar la información vía </w:t>
      </w:r>
      <w:r w:rsidRPr="00155DE2">
        <w:rPr>
          <w:rFonts w:ascii="Palatino Linotype" w:eastAsia="Palatino Linotype" w:hAnsi="Palatino Linotype" w:cs="Palatino Linotype"/>
          <w:b/>
          <w:bCs/>
          <w:sz w:val="24"/>
          <w:szCs w:val="24"/>
        </w:rPr>
        <w:t>SAIMEX</w:t>
      </w:r>
      <w:r w:rsidRPr="00155DE2">
        <w:rPr>
          <w:rFonts w:ascii="Palatino Linotype" w:eastAsia="Palatino Linotype" w:hAnsi="Palatino Linotype" w:cs="Palatino Linotype"/>
          <w:sz w:val="24"/>
          <w:szCs w:val="24"/>
        </w:rPr>
        <w:t xml:space="preserve">, se efectuó el cambio de la modalidad de entrega conforme cumpliendo con los requisitos legales establecidos por la normatividad aplicable por lo que es procedente el cambio a consulta directa o in situ de la </w:t>
      </w:r>
      <w:r w:rsidRPr="00155DE2">
        <w:rPr>
          <w:rFonts w:ascii="Palatino Linotype" w:eastAsia="Palatino Linotype" w:hAnsi="Palatino Linotype" w:cs="Palatino Linotype"/>
          <w:sz w:val="24"/>
          <w:szCs w:val="24"/>
        </w:rPr>
        <w:lastRenderedPageBreak/>
        <w:t>información relativa a la solicitud referida en el Antecedente Primero de la presente resolución.</w:t>
      </w:r>
    </w:p>
    <w:p w14:paraId="32CBCBDE" w14:textId="77777777" w:rsidR="007C5959" w:rsidRPr="00155DE2" w:rsidRDefault="007C5959" w:rsidP="00D52C1F">
      <w:pPr>
        <w:spacing w:line="360" w:lineRule="auto"/>
        <w:contextualSpacing/>
        <w:jc w:val="both"/>
        <w:rPr>
          <w:rFonts w:ascii="Palatino Linotype" w:eastAsia="Palatino Linotype" w:hAnsi="Palatino Linotype" w:cs="Palatino Linotype"/>
          <w:sz w:val="24"/>
          <w:szCs w:val="24"/>
        </w:rPr>
      </w:pPr>
    </w:p>
    <w:p w14:paraId="519805AE" w14:textId="36E7028E" w:rsidR="007C5959" w:rsidRPr="00155DE2" w:rsidRDefault="007C5959" w:rsidP="007C5959">
      <w:pPr>
        <w:spacing w:after="0" w:line="360" w:lineRule="auto"/>
        <w:jc w:val="both"/>
        <w:rPr>
          <w:rFonts w:ascii="Palatino Linotype" w:eastAsia="Calibri" w:hAnsi="Palatino Linotype" w:cs="Times New Roman"/>
          <w:sz w:val="24"/>
          <w:szCs w:val="24"/>
          <w:lang w:val="es-ES" w:eastAsia="es-ES"/>
        </w:rPr>
      </w:pPr>
      <w:r w:rsidRPr="00155DE2">
        <w:rPr>
          <w:rFonts w:ascii="Palatino Linotype" w:hAnsi="Palatino Linotype"/>
          <w:b/>
          <w:bCs/>
          <w:sz w:val="24"/>
          <w:szCs w:val="24"/>
          <w:u w:val="single"/>
        </w:rPr>
        <w:t xml:space="preserve">Adicionalmente, es preciso señalar que la información requerida deberá </w:t>
      </w:r>
      <w:r w:rsidRPr="00155DE2">
        <w:rPr>
          <w:rFonts w:ascii="Palatino Linotype" w:eastAsia="Calibri" w:hAnsi="Palatino Linotype" w:cs="Times New Roman"/>
          <w:b/>
          <w:bCs/>
          <w:sz w:val="24"/>
          <w:szCs w:val="24"/>
          <w:u w:val="single"/>
          <w:lang w:val="es-ES" w:eastAsia="es-ES"/>
        </w:rPr>
        <w:t>estar disponible en la unidad de Transparencia durante un plazo mínimo de sesenta días hábiles contados a partir de que se notifique la presente resolución</w:t>
      </w:r>
      <w:r w:rsidRPr="00155DE2">
        <w:rPr>
          <w:rFonts w:ascii="Palatino Linotype" w:eastAsia="Calibri" w:hAnsi="Palatino Linotype" w:cs="Times New Roman"/>
          <w:sz w:val="24"/>
          <w:szCs w:val="24"/>
          <w:lang w:val="es-ES" w:eastAsia="es-ES"/>
        </w:rPr>
        <w:t xml:space="preserve">, de acuerdo a lo establecido en el artículo 166 de la Ley de Transparencia y Acceso a la Información Pública del Estado de México y Municipios que señala lo siguiente: </w:t>
      </w:r>
    </w:p>
    <w:p w14:paraId="48E62DF1" w14:textId="1CB94C78" w:rsidR="007C5959" w:rsidRPr="00155DE2" w:rsidRDefault="007C5959" w:rsidP="007C5959">
      <w:pPr>
        <w:pStyle w:val="Citas"/>
        <w:rPr>
          <w:lang w:val="es-ES" w:eastAsia="es-ES"/>
        </w:rPr>
      </w:pPr>
      <w:r w:rsidRPr="00155DE2">
        <w:rPr>
          <w:b/>
          <w:bCs/>
          <w:lang w:val="es-ES" w:eastAsia="es-ES"/>
        </w:rPr>
        <w:t>“Artículo 166.</w:t>
      </w:r>
      <w:r w:rsidRPr="00155DE2">
        <w:rPr>
          <w:lang w:val="es-ES" w:eastAsia="es-ES"/>
        </w:rPr>
        <w:t xml:space="preserve"> La obligación de acceso a la información pública se tendrá por cumplida cuando el solicitante tenga a su disposición la información requerida, o cuando realice la consulta de la misma en el lugar en el que ésta se localice. </w:t>
      </w:r>
    </w:p>
    <w:p w14:paraId="018D0677" w14:textId="77777777" w:rsidR="007C5959" w:rsidRPr="00155DE2" w:rsidRDefault="007C5959" w:rsidP="007C5959">
      <w:pPr>
        <w:pStyle w:val="Citas"/>
        <w:rPr>
          <w:lang w:val="es-ES" w:eastAsia="es-ES"/>
        </w:rPr>
      </w:pPr>
      <w:r w:rsidRPr="00155DE2">
        <w:rPr>
          <w:b/>
          <w:bCs/>
          <w:lang w:val="es-ES" w:eastAsia="es-ES"/>
        </w:rPr>
        <w:t>La Unidad de Transparencia tendrá disponible la información solicitada, durante un plazo mínimo de sesenta días hábiles</w:t>
      </w:r>
      <w:r w:rsidRPr="00155DE2">
        <w:rPr>
          <w:lang w:val="es-ES" w:eastAsia="es-ES"/>
        </w:rPr>
        <w:t xml:space="preserve">, contado a partir de que el solicitante hubiere realizado, en su caso, el pago respectivo, el cual deberá efectuarse en un plazo no mayor a treinta días hábiles. </w:t>
      </w:r>
    </w:p>
    <w:p w14:paraId="4F1AF275" w14:textId="77777777" w:rsidR="007C5959" w:rsidRPr="00155DE2" w:rsidRDefault="007C5959" w:rsidP="007C5959">
      <w:pPr>
        <w:pStyle w:val="Citas"/>
        <w:rPr>
          <w:lang w:val="es-ES" w:eastAsia="es-ES"/>
        </w:rPr>
      </w:pPr>
      <w:r w:rsidRPr="00155DE2">
        <w:rPr>
          <w:lang w:val="es-ES" w:eastAsia="es-E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07CD9EBF" w14:textId="77777777" w:rsidR="007C5959" w:rsidRPr="00155DE2" w:rsidRDefault="007C5959" w:rsidP="007C5959">
      <w:pPr>
        <w:pStyle w:val="Citas"/>
        <w:rPr>
          <w:lang w:val="es-ES" w:eastAsia="es-ES"/>
        </w:rPr>
      </w:pPr>
      <w:r w:rsidRPr="00155DE2">
        <w:rPr>
          <w:lang w:val="es-ES" w:eastAsia="es-ES"/>
        </w:rPr>
        <w:t xml:space="preserve">Cuando el sujeto obligado no entregue la respuesta a la solicitud dentro del plazo previsto en la Ley, la solicitud se entenderá negada y el solicitante podrá interponer el recurso de revisión previsto en este ordenamiento. </w:t>
      </w:r>
    </w:p>
    <w:p w14:paraId="764FAC46" w14:textId="77777777" w:rsidR="007C5959" w:rsidRPr="00155DE2" w:rsidRDefault="007C5959" w:rsidP="007C5959">
      <w:pPr>
        <w:pStyle w:val="Citas"/>
        <w:rPr>
          <w:lang w:val="es-ES" w:eastAsia="es-ES"/>
        </w:rPr>
      </w:pPr>
      <w:r w:rsidRPr="00155DE2">
        <w:rPr>
          <w:lang w:val="es-ES" w:eastAsia="es-ES"/>
        </w:rPr>
        <w:t>Una vez entregada la información, el solicitante acusará recibo por escrito, dándose por terminado el trámite de acceso a la información.</w:t>
      </w:r>
    </w:p>
    <w:p w14:paraId="28CD12B2" w14:textId="64518BB3" w:rsidR="00D52C1F" w:rsidRPr="00155DE2" w:rsidRDefault="007C5959" w:rsidP="00641A28">
      <w:pPr>
        <w:pStyle w:val="Citas"/>
        <w:rPr>
          <w:b/>
          <w:bCs/>
        </w:rPr>
      </w:pPr>
      <w:r w:rsidRPr="00155DE2">
        <w:lastRenderedPageBreak/>
        <w:t xml:space="preserve">Una vez entregada la información, el solicitante acusará recibo por escrito, dándose por terminado el trámite de acceso a la información.” </w:t>
      </w:r>
      <w:r w:rsidRPr="00155DE2">
        <w:rPr>
          <w:b/>
          <w:bCs/>
        </w:rPr>
        <w:t>(Sic)</w:t>
      </w:r>
    </w:p>
    <w:p w14:paraId="0CE5E4AE" w14:textId="77777777" w:rsidR="00BC13F7" w:rsidRPr="00155DE2" w:rsidRDefault="00BC13F7" w:rsidP="00BC13F7">
      <w:pPr>
        <w:spacing w:line="360" w:lineRule="auto"/>
        <w:contextualSpacing/>
        <w:jc w:val="both"/>
        <w:rPr>
          <w:rFonts w:ascii="Palatino Linotype" w:eastAsia="Palatino Linotype" w:hAnsi="Palatino Linotype" w:cs="Palatino Linotype"/>
          <w:bCs/>
          <w:sz w:val="24"/>
          <w:szCs w:val="24"/>
        </w:rPr>
      </w:pPr>
    </w:p>
    <w:p w14:paraId="25951BCB" w14:textId="0E52BEFE" w:rsidR="00763738" w:rsidRDefault="00BC13F7" w:rsidP="00BC13F7">
      <w:pPr>
        <w:spacing w:line="360" w:lineRule="auto"/>
        <w:contextualSpacing/>
        <w:jc w:val="both"/>
        <w:rPr>
          <w:rFonts w:ascii="Palatino Linotype" w:eastAsia="Palatino Linotype" w:hAnsi="Palatino Linotype" w:cs="Palatino Linotype"/>
          <w:b/>
          <w:bCs/>
          <w:sz w:val="24"/>
          <w:szCs w:val="24"/>
          <w:u w:val="single"/>
        </w:rPr>
      </w:pPr>
      <w:r w:rsidRPr="00155DE2">
        <w:rPr>
          <w:rFonts w:ascii="Palatino Linotype" w:eastAsia="Palatino Linotype" w:hAnsi="Palatino Linotype" w:cs="Palatino Linotype"/>
          <w:bCs/>
          <w:sz w:val="24"/>
          <w:szCs w:val="24"/>
        </w:rPr>
        <w:t>Si dentro del transcurso del término señalado, el Particular acude por la información, el Sujeto Obligado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0C34BAB0" w14:textId="77777777" w:rsidR="00BC13F7" w:rsidRDefault="00BC13F7" w:rsidP="00C514C0">
      <w:pPr>
        <w:spacing w:line="360" w:lineRule="auto"/>
        <w:contextualSpacing/>
        <w:jc w:val="both"/>
        <w:rPr>
          <w:rFonts w:ascii="Palatino Linotype" w:eastAsia="Palatino Linotype" w:hAnsi="Palatino Linotype" w:cs="Palatino Linotype"/>
          <w:b/>
          <w:bCs/>
          <w:sz w:val="24"/>
          <w:szCs w:val="24"/>
          <w:u w:val="single"/>
        </w:rPr>
      </w:pPr>
    </w:p>
    <w:p w14:paraId="6F378A48" w14:textId="17B03071" w:rsidR="00BA6B85" w:rsidRDefault="006B52F2" w:rsidP="00C514C0">
      <w:pPr>
        <w:spacing w:line="360" w:lineRule="auto"/>
        <w:contextualSpacing/>
        <w:jc w:val="both"/>
        <w:rPr>
          <w:rFonts w:ascii="Palatino Linotype" w:hAnsi="Palatino Linotype"/>
          <w:b/>
          <w:bCs/>
          <w:iCs/>
          <w:sz w:val="24"/>
          <w:szCs w:val="24"/>
          <w:u w:val="single"/>
        </w:rPr>
      </w:pPr>
      <w:r>
        <w:rPr>
          <w:rFonts w:ascii="Palatino Linotype" w:eastAsia="Palatino Linotype" w:hAnsi="Palatino Linotype" w:cs="Palatino Linotype"/>
          <w:b/>
          <w:bCs/>
          <w:sz w:val="24"/>
          <w:szCs w:val="24"/>
          <w:u w:val="single"/>
        </w:rPr>
        <w:t>Por otra parte, se arriba</w:t>
      </w:r>
      <w:r w:rsidR="00D6193E" w:rsidRPr="00D52C1F">
        <w:rPr>
          <w:rFonts w:ascii="Palatino Linotype" w:eastAsia="Palatino Linotype" w:hAnsi="Palatino Linotype" w:cs="Palatino Linotype"/>
          <w:b/>
          <w:bCs/>
          <w:sz w:val="24"/>
          <w:szCs w:val="24"/>
          <w:u w:val="single"/>
        </w:rPr>
        <w:t xml:space="preserve"> a la premisa de que mediante informe justificado se proporcionaron mayores elementos encauzados a fortalecer la fundamentación y motivación del cambio de modalidad, tales como las comunicaciones de carácter oficial mediante las cuales el Titular de la Dirección de informática del Órgano garante local </w:t>
      </w:r>
      <w:r w:rsidR="00C514C0" w:rsidRPr="00D52C1F">
        <w:rPr>
          <w:rFonts w:ascii="Palatino Linotype" w:eastAsia="Palatino Linotype" w:hAnsi="Palatino Linotype" w:cs="Palatino Linotype"/>
          <w:b/>
          <w:bCs/>
          <w:sz w:val="24"/>
          <w:szCs w:val="24"/>
          <w:u w:val="single"/>
        </w:rPr>
        <w:t xml:space="preserve">realizó un registro en la bitácora de incidencias, </w:t>
      </w:r>
      <w:r w:rsidR="00C514C0" w:rsidRPr="00D52C1F">
        <w:rPr>
          <w:rFonts w:ascii="Palatino Linotype" w:hAnsi="Palatino Linotype"/>
          <w:b/>
          <w:bCs/>
          <w:iCs/>
          <w:sz w:val="24"/>
          <w:szCs w:val="24"/>
          <w:u w:val="single"/>
        </w:rPr>
        <w:t>toda vez que la información asciende a 78,068 fojas (4.8 GB), lo cual sobrepasa las capacidades del sistema SAIMEX.</w:t>
      </w:r>
    </w:p>
    <w:p w14:paraId="2FFCA4CE" w14:textId="6E630CAB" w:rsidR="007C5959" w:rsidRDefault="007C5959" w:rsidP="00C514C0">
      <w:pPr>
        <w:spacing w:line="360" w:lineRule="auto"/>
        <w:contextualSpacing/>
        <w:jc w:val="both"/>
        <w:rPr>
          <w:b/>
          <w:bCs/>
          <w:sz w:val="24"/>
          <w:szCs w:val="24"/>
          <w:u w:val="single"/>
        </w:rPr>
      </w:pPr>
    </w:p>
    <w:p w14:paraId="5F09FFE1" w14:textId="77777777" w:rsidR="00D508EB" w:rsidRDefault="00D508EB" w:rsidP="00D508E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En este sentido, 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w:t>
      </w:r>
      <w:r>
        <w:rPr>
          <w:rFonts w:ascii="Palatino Linotype" w:hAnsi="Palatino Linotype" w:cs="Arial"/>
          <w:b/>
          <w:sz w:val="24"/>
          <w:szCs w:val="24"/>
        </w:rPr>
        <w:t xml:space="preserve"> </w:t>
      </w:r>
      <w:r>
        <w:rPr>
          <w:rFonts w:ascii="Palatino Linotype" w:hAnsi="Palatino Linotype" w:cs="Arial"/>
          <w:b/>
          <w:sz w:val="24"/>
          <w:szCs w:val="24"/>
        </w:rPr>
        <w:lastRenderedPageBreak/>
        <w:t xml:space="preserve">Recurrente </w:t>
      </w:r>
      <w:r>
        <w:rPr>
          <w:rFonts w:ascii="Palatino Linotype" w:hAnsi="Palatino Linotype" w:cs="Arial"/>
          <w:sz w:val="24"/>
          <w:szCs w:val="24"/>
        </w:rPr>
        <w:t xml:space="preserve">o que el </w:t>
      </w:r>
      <w:r>
        <w:rPr>
          <w:rFonts w:ascii="Palatino Linotype" w:hAnsi="Palatino Linotype" w:cs="Arial"/>
          <w:b/>
          <w:sz w:val="24"/>
          <w:szCs w:val="24"/>
        </w:rPr>
        <w:t xml:space="preserve">Sujeto Obligado </w:t>
      </w:r>
      <w:r>
        <w:rPr>
          <w:rFonts w:ascii="Palatino Linotype" w:hAnsi="Palatino Linotype" w:cs="Arial"/>
          <w:b/>
          <w:sz w:val="24"/>
          <w:szCs w:val="24"/>
          <w:u w:val="single"/>
        </w:rPr>
        <w:t xml:space="preserve">modifique el acto; </w:t>
      </w:r>
      <w:r>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DAA3807" w14:textId="77777777" w:rsidR="00D508EB" w:rsidRDefault="00D508EB" w:rsidP="00D508EB">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6341D7E" w14:textId="77777777" w:rsidR="00D508EB" w:rsidRDefault="00D508EB" w:rsidP="00D508EB">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385C200C" w14:textId="77777777" w:rsidR="00D508EB" w:rsidRDefault="00D508EB" w:rsidP="00D508EB">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41464BD1" w14:textId="77777777" w:rsidR="00D508EB" w:rsidRDefault="00D508EB" w:rsidP="00D508EB">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40D77A80" w14:textId="77777777" w:rsidR="00D508EB" w:rsidRDefault="00D508EB" w:rsidP="00D508EB">
      <w:pPr>
        <w:spacing w:line="360" w:lineRule="auto"/>
        <w:ind w:left="851" w:right="851"/>
        <w:jc w:val="both"/>
        <w:rPr>
          <w:rFonts w:ascii="Palatino Linotype" w:hAnsi="Palatino Linotype" w:cs="Arial"/>
          <w:i/>
        </w:rPr>
      </w:pPr>
      <w:r>
        <w:rPr>
          <w:rFonts w:ascii="Palatino Linotype" w:hAnsi="Palatino Linotype" w:cs="Arial"/>
          <w:i/>
        </w:rPr>
        <w:lastRenderedPageBreak/>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258357B8" w14:textId="77777777" w:rsidR="00D508EB" w:rsidRDefault="00D508EB" w:rsidP="00D508EB">
      <w:pPr>
        <w:ind w:right="141"/>
        <w:jc w:val="both"/>
        <w:rPr>
          <w:rFonts w:ascii="Palatino Linotype" w:hAnsi="Palatino Linotype" w:cs="Arial"/>
        </w:rPr>
      </w:pPr>
    </w:p>
    <w:p w14:paraId="3AC8F1CE" w14:textId="77777777" w:rsidR="00D508EB" w:rsidRDefault="00D508EB" w:rsidP="00D508E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49F13C02" w14:textId="77777777" w:rsidR="00D508EB" w:rsidRDefault="00D508EB" w:rsidP="00D508EB">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46980034" w14:textId="77777777" w:rsidR="00D508EB" w:rsidRDefault="00D508EB" w:rsidP="00D508EB">
      <w:pPr>
        <w:pStyle w:val="Prrafodelista"/>
        <w:numPr>
          <w:ilvl w:val="0"/>
          <w:numId w:val="43"/>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504C9ECF" w14:textId="77777777" w:rsidR="00D508EB" w:rsidRDefault="00D508EB" w:rsidP="00D508EB">
      <w:pPr>
        <w:pStyle w:val="Prrafodelista"/>
        <w:spacing w:line="360" w:lineRule="auto"/>
        <w:ind w:left="720" w:right="851"/>
        <w:jc w:val="both"/>
        <w:rPr>
          <w:rFonts w:ascii="Palatino Linotype" w:hAnsi="Palatino Linotype" w:cs="Arial"/>
          <w:b/>
        </w:rPr>
      </w:pPr>
    </w:p>
    <w:p w14:paraId="267555D3" w14:textId="77777777" w:rsidR="00D508EB" w:rsidRDefault="00D508EB" w:rsidP="00D508EB">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lastRenderedPageBreak/>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7E6A4555" w14:textId="77777777" w:rsidR="00D508EB" w:rsidRDefault="00D508EB" w:rsidP="00D508EB">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4DF2CB3C" w14:textId="77777777" w:rsidR="00D508EB" w:rsidRDefault="00D508EB" w:rsidP="00D508E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Pr>
          <w:rFonts w:ascii="Palatino Linotype" w:hAnsi="Palatino Linotype" w:cs="Arial"/>
          <w:b/>
          <w:i/>
          <w:sz w:val="24"/>
          <w:szCs w:val="24"/>
        </w:rPr>
        <w:t xml:space="preserve">litis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766B9249" w14:textId="207751B8" w:rsidR="00D508EB" w:rsidRDefault="00D508EB" w:rsidP="00D508EB">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17D80464" w14:textId="54ED56AC" w:rsidR="00D508EB" w:rsidRDefault="00D508EB" w:rsidP="00D508EB">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sidR="00C514C0">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C514C0">
        <w:rPr>
          <w:rFonts w:ascii="Palatino Linotype" w:hAnsi="Palatino Linotype" w:cs="Arial"/>
          <w:b/>
          <w:sz w:val="24"/>
          <w:szCs w:val="24"/>
        </w:rPr>
        <w:t>13425</w:t>
      </w:r>
      <w:r>
        <w:rPr>
          <w:rFonts w:ascii="Palatino Linotype" w:hAnsi="Palatino Linotype" w:cs="Arial"/>
          <w:b/>
          <w:sz w:val="24"/>
          <w:szCs w:val="24"/>
        </w:rPr>
        <w:t>/INFOEM/IP/RR/2022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552D2C32" w14:textId="77777777" w:rsidR="00D508EB" w:rsidRDefault="00D508EB" w:rsidP="00D508EB">
      <w:pPr>
        <w:tabs>
          <w:tab w:val="left" w:pos="8080"/>
        </w:tabs>
        <w:spacing w:line="360" w:lineRule="auto"/>
        <w:jc w:val="both"/>
        <w:rPr>
          <w:rFonts w:ascii="Palatino Linotype" w:hAnsi="Palatino Linotype" w:cs="Arial"/>
          <w:bCs/>
          <w:sz w:val="24"/>
          <w:szCs w:val="24"/>
        </w:rPr>
      </w:pPr>
      <w:r>
        <w:rPr>
          <w:rFonts w:ascii="Palatino Linotype" w:hAnsi="Palatino Linotype" w:cs="Arial"/>
          <w:bCs/>
          <w:sz w:val="24"/>
          <w:szCs w:val="24"/>
        </w:rPr>
        <w:lastRenderedPageBreak/>
        <w:t>Por lo antes expuesto y fundado es de resolverse y,</w:t>
      </w:r>
    </w:p>
    <w:p w14:paraId="0C69279F" w14:textId="77777777" w:rsidR="00D52C1F" w:rsidRDefault="00D52C1F" w:rsidP="00D508EB">
      <w:pPr>
        <w:spacing w:after="0" w:line="360" w:lineRule="auto"/>
        <w:jc w:val="center"/>
        <w:rPr>
          <w:rFonts w:ascii="Palatino Linotype" w:eastAsia="Times New Roman" w:hAnsi="Palatino Linotype" w:cs="Times New Roman"/>
          <w:b/>
          <w:bCs/>
          <w:spacing w:val="60"/>
          <w:sz w:val="28"/>
          <w:szCs w:val="24"/>
          <w:lang w:val="es-ES_tradnl" w:eastAsia="es-ES"/>
        </w:rPr>
      </w:pPr>
    </w:p>
    <w:p w14:paraId="41055906" w14:textId="296F2A69" w:rsidR="00D508EB" w:rsidRPr="00895C52" w:rsidRDefault="00D508EB" w:rsidP="00D508EB">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14:paraId="05351360" w14:textId="77777777" w:rsidR="00D508EB" w:rsidRPr="00895C52" w:rsidRDefault="00D508EB" w:rsidP="00D508EB">
      <w:pPr>
        <w:spacing w:after="0" w:line="360" w:lineRule="auto"/>
        <w:jc w:val="center"/>
        <w:rPr>
          <w:rFonts w:ascii="Palatino Linotype" w:eastAsia="Times New Roman" w:hAnsi="Palatino Linotype" w:cs="Times New Roman"/>
          <w:bCs/>
          <w:spacing w:val="60"/>
          <w:sz w:val="24"/>
          <w:szCs w:val="24"/>
          <w:lang w:val="es-ES_tradnl" w:eastAsia="es-ES"/>
        </w:rPr>
      </w:pPr>
    </w:p>
    <w:p w14:paraId="6034F555" w14:textId="6BEEF5CB" w:rsidR="00D508EB" w:rsidRDefault="00D508EB"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sidR="00C514C0">
        <w:rPr>
          <w:rFonts w:ascii="Palatino Linotype" w:hAnsi="Palatino Linotype" w:cs="Arial"/>
          <w:b/>
          <w:sz w:val="24"/>
          <w:szCs w:val="24"/>
        </w:rPr>
        <w:t>13425</w:t>
      </w:r>
      <w:r>
        <w:rPr>
          <w:rFonts w:ascii="Palatino Linotype" w:hAnsi="Palatino Linotype" w:cs="Arial"/>
          <w:b/>
          <w:sz w:val="24"/>
          <w:szCs w:val="24"/>
        </w:rPr>
        <w:t>/INFOEM/IP/RR/2022</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w:t>
      </w:r>
      <w:r w:rsidRPr="00DB139B">
        <w:rPr>
          <w:rFonts w:ascii="Palatino Linotype" w:eastAsiaTheme="minorEastAsia" w:hAnsi="Palatino Linotype" w:cs="Arial"/>
          <w:b/>
          <w:bCs/>
          <w:sz w:val="24"/>
          <w:szCs w:val="24"/>
          <w:lang w:val="es-ES_tradnl" w:eastAsia="es-ES"/>
        </w:rPr>
        <w:t>EL 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sidR="00C514C0">
        <w:rPr>
          <w:rFonts w:ascii="Palatino Linotype" w:eastAsiaTheme="minorEastAsia" w:hAnsi="Palatino Linotype" w:cs="Arial"/>
          <w:b/>
          <w:sz w:val="24"/>
          <w:szCs w:val="24"/>
          <w:lang w:val="es-ES_tradnl" w:eastAsia="es-ES"/>
        </w:rPr>
        <w:t>TERCERO</w:t>
      </w:r>
      <w:r w:rsidRPr="00C40C29">
        <w:rPr>
          <w:rFonts w:ascii="Palatino Linotype" w:eastAsiaTheme="minorEastAsia" w:hAnsi="Palatino Linotype" w:cs="Arial"/>
          <w:sz w:val="24"/>
          <w:szCs w:val="24"/>
          <w:lang w:val="es-ES_tradnl" w:eastAsia="es-ES"/>
        </w:rPr>
        <w:t xml:space="preserve"> de la presente resolución.</w:t>
      </w:r>
    </w:p>
    <w:p w14:paraId="6AB4A534" w14:textId="77777777" w:rsidR="00D508EB" w:rsidRPr="00895C52" w:rsidRDefault="00D508EB" w:rsidP="00D508EB">
      <w:pPr>
        <w:tabs>
          <w:tab w:val="left" w:pos="8647"/>
        </w:tabs>
        <w:spacing w:after="0" w:line="360" w:lineRule="auto"/>
        <w:ind w:right="51"/>
        <w:jc w:val="both"/>
        <w:rPr>
          <w:rFonts w:ascii="Palatino Linotype" w:eastAsiaTheme="minorEastAsia" w:hAnsi="Palatino Linotype" w:cs="Arial"/>
          <w:sz w:val="24"/>
          <w:szCs w:val="24"/>
          <w:lang w:eastAsia="es-ES"/>
        </w:rPr>
      </w:pPr>
    </w:p>
    <w:p w14:paraId="2F32A83D" w14:textId="77777777" w:rsidR="00D508EB" w:rsidRDefault="00D508EB"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w:t>
      </w:r>
      <w:r w:rsidRPr="00895C52">
        <w:rPr>
          <w:rFonts w:ascii="Palatino Linotype" w:eastAsia="Times New Roman" w:hAnsi="Palatino Linotype" w:cs="Times New Roman"/>
          <w:sz w:val="24"/>
          <w:szCs w:val="24"/>
          <w:lang w:val="es-ES" w:eastAsia="es-ES"/>
        </w:rPr>
        <w:t>Sistema de Acceso a la Información Mexiquense</w:t>
      </w:r>
      <w:r w:rsidRPr="00DB139B">
        <w:rPr>
          <w:rFonts w:ascii="Palatino Linotype" w:eastAsiaTheme="minorEastAsia" w:hAnsi="Palatino Linotype" w:cs="Arial"/>
          <w:b/>
          <w:bCs/>
          <w:sz w:val="24"/>
          <w:szCs w:val="24"/>
          <w:lang w:val="es-ES_tradnl" w:eastAsia="es-ES"/>
        </w:rPr>
        <w:t xml:space="preserve"> </w:t>
      </w:r>
      <w:r>
        <w:rPr>
          <w:rFonts w:ascii="Palatino Linotype" w:eastAsiaTheme="minorEastAsia" w:hAnsi="Palatino Linotype" w:cs="Arial"/>
          <w:b/>
          <w:bCs/>
          <w:sz w:val="24"/>
          <w:szCs w:val="24"/>
          <w:lang w:val="es-ES_tradnl" w:eastAsia="es-ES"/>
        </w:rPr>
        <w:t>(</w:t>
      </w:r>
      <w:r w:rsidRPr="00DB139B">
        <w:rPr>
          <w:rFonts w:ascii="Palatino Linotype" w:eastAsiaTheme="minorEastAsia" w:hAnsi="Palatino Linotype" w:cs="Arial"/>
          <w:b/>
          <w:bCs/>
          <w:sz w:val="24"/>
          <w:szCs w:val="24"/>
          <w:lang w:val="es-ES_tradnl" w:eastAsia="es-ES"/>
        </w:rPr>
        <w:t>SAIMEX</w:t>
      </w:r>
      <w:r>
        <w:rPr>
          <w:rFonts w:ascii="Palatino Linotype" w:eastAsiaTheme="minorEastAsia" w:hAnsi="Palatino Linotype" w:cs="Arial"/>
          <w:b/>
          <w:bCs/>
          <w:sz w:val="24"/>
          <w:szCs w:val="24"/>
          <w:lang w:val="es-ES_tradnl" w:eastAsia="es-ES"/>
        </w:rPr>
        <w:t>)</w:t>
      </w:r>
      <w:r w:rsidRPr="00895C52">
        <w:rPr>
          <w:rFonts w:ascii="Palatino Linotype" w:eastAsiaTheme="minorEastAsia" w:hAnsi="Palatino Linotype" w:cs="Arial"/>
          <w:sz w:val="24"/>
          <w:szCs w:val="24"/>
          <w:lang w:val="es-ES_tradnl" w:eastAsia="es-ES"/>
        </w:rPr>
        <w:t xml:space="preserve">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14:paraId="456CF8A9" w14:textId="77777777" w:rsidR="00D508EB" w:rsidRPr="00895C52" w:rsidRDefault="00D508EB" w:rsidP="00D508E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582CC3F0" w14:textId="27694CC3" w:rsidR="00C514C0" w:rsidRDefault="00D508EB" w:rsidP="00D508EB">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w:t>
      </w:r>
      <w:r w:rsidRPr="00DB139B">
        <w:rPr>
          <w:rFonts w:ascii="Palatino Linotype" w:eastAsia="Times New Roman" w:hAnsi="Palatino Linotype" w:cs="Times New Roman"/>
          <w:b/>
          <w:bCs/>
          <w:sz w:val="24"/>
          <w:szCs w:val="24"/>
          <w:lang w:val="es-ES" w:eastAsia="es-ES"/>
        </w:rPr>
        <w:t>(SAIMEX)</w:t>
      </w:r>
      <w:r w:rsidRPr="00DB139B">
        <w:rPr>
          <w:rFonts w:ascii="Palatino Linotype" w:eastAsia="Times New Roman" w:hAnsi="Palatino Linotype" w:cs="Arial"/>
          <w:b/>
          <w:bCs/>
          <w:sz w:val="24"/>
          <w:szCs w:val="24"/>
          <w:lang w:val="es-ES" w:eastAsia="es-ES"/>
        </w:rPr>
        <w:t>,</w:t>
      </w:r>
      <w:r w:rsidRPr="00895C52">
        <w:rPr>
          <w:rFonts w:ascii="Palatino Linotype" w:eastAsia="Times New Roman" w:hAnsi="Palatino Linotype" w:cs="Arial"/>
          <w:sz w:val="24"/>
          <w:szCs w:val="24"/>
          <w:lang w:val="es-ES" w:eastAsia="es-ES"/>
        </w:rPr>
        <w:t xml:space="preserve"> a</w:t>
      </w:r>
      <w:r w:rsidR="00C514C0">
        <w:rPr>
          <w:rFonts w:ascii="Palatino Linotype" w:eastAsia="Times New Roman" w:hAnsi="Palatino Linotype" w:cs="Arial"/>
          <w:sz w:val="24"/>
          <w:szCs w:val="24"/>
          <w:lang w:val="es-ES" w:eastAsia="es-ES"/>
        </w:rPr>
        <w:t xml:space="preserve"> </w:t>
      </w:r>
      <w:r w:rsidR="00C514C0">
        <w:rPr>
          <w:rFonts w:ascii="Palatino Linotype" w:eastAsia="Times New Roman" w:hAnsi="Palatino Linotype" w:cs="Arial"/>
          <w:b/>
          <w:bCs/>
          <w:sz w:val="24"/>
          <w:szCs w:val="24"/>
          <w:lang w:val="es-ES" w:eastAsia="es-ES"/>
        </w:rPr>
        <w:t>LA</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7F0B84CA" w14:textId="77777777" w:rsidR="00C514C0" w:rsidRPr="00BE6E8B" w:rsidRDefault="00C514C0" w:rsidP="00D508EB">
      <w:pPr>
        <w:spacing w:after="0" w:line="360" w:lineRule="auto"/>
        <w:jc w:val="both"/>
        <w:rPr>
          <w:rFonts w:ascii="Palatino Linotype" w:eastAsia="Times New Roman" w:hAnsi="Palatino Linotype" w:cs="Arial"/>
          <w:sz w:val="24"/>
          <w:szCs w:val="24"/>
          <w:lang w:val="es-ES" w:eastAsia="es-ES"/>
        </w:rPr>
      </w:pPr>
    </w:p>
    <w:p w14:paraId="091CEB26" w14:textId="71D443AC" w:rsidR="00C514C0" w:rsidRPr="0014609A" w:rsidRDefault="00C514C0" w:rsidP="00C514C0">
      <w:pPr>
        <w:pStyle w:val="Prrafodelista"/>
        <w:autoSpaceDE w:val="0"/>
        <w:autoSpaceDN w:val="0"/>
        <w:adjustRightInd w:val="0"/>
        <w:spacing w:before="240" w:after="160" w:line="360" w:lineRule="auto"/>
        <w:ind w:left="0"/>
        <w:jc w:val="both"/>
        <w:rPr>
          <w:rFonts w:ascii="Palatino Linotype" w:hAnsi="Palatino Linotype" w:cs="Arial"/>
        </w:rPr>
      </w:pPr>
      <w:r w:rsidRPr="0014609A">
        <w:rPr>
          <w:rFonts w:ascii="Palatino Linotype" w:hAnsi="Palatino Linotype" w:cs="Arial"/>
        </w:rPr>
        <w:lastRenderedPageBreak/>
        <w:t>ASÍ LO ACORDÓ, POR UNANIMIDAD DE VOTOS, EL PLENO DEL</w:t>
      </w:r>
      <w:r w:rsidRPr="0014609A">
        <w:rPr>
          <w:rFonts w:ascii="Palatino Linotype" w:eastAsia="Arial Unicode MS" w:hAnsi="Palatino Linotype" w:cs="Arial"/>
        </w:rPr>
        <w:t xml:space="preserve"> INSTITUTO DE TRANSPARENCIA, ACCESO A LA INFORMACIÓN PÚBLICA Y PROTECCIÓN DE DATOS PERSONALES DEL ESTADO DE MÉXICO Y MUNICIPIOS</w:t>
      </w:r>
      <w:r w:rsidRPr="001460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4F5E75">
        <w:rPr>
          <w:rFonts w:ascii="Palatino Linotype" w:hAnsi="Palatino Linotype" w:cs="Arial"/>
        </w:rPr>
        <w:t>DÉCIMA</w:t>
      </w:r>
      <w:r w:rsidRPr="0014609A">
        <w:rPr>
          <w:rFonts w:ascii="Palatino Linotype" w:hAnsi="Palatino Linotype" w:cs="Arial"/>
        </w:rPr>
        <w:t xml:space="preserve"> SESIÓN ORDINARIA CELEBRADA EL </w:t>
      </w:r>
      <w:r w:rsidR="004F5E75">
        <w:rPr>
          <w:rFonts w:ascii="Palatino Linotype" w:hAnsi="Palatino Linotype" w:cs="Arial"/>
        </w:rPr>
        <w:t>QUINCE DE MARZO</w:t>
      </w:r>
      <w:r>
        <w:rPr>
          <w:rFonts w:ascii="Palatino Linotype" w:hAnsi="Palatino Linotype" w:cs="Arial"/>
        </w:rPr>
        <w:t xml:space="preserve"> DE DOS MIL VEINTITRÉS</w:t>
      </w:r>
      <w:r w:rsidRPr="0014609A">
        <w:rPr>
          <w:rFonts w:ascii="Palatino Linotype" w:hAnsi="Palatino Linotype" w:cs="Arial"/>
        </w:rPr>
        <w:t xml:space="preserve">, ANTE EL SECRETARIO TÉCNICO DEL PLENO, ALEXIS TAPIA RAMÍREZ. </w:t>
      </w:r>
    </w:p>
    <w:p w14:paraId="7FD88844" w14:textId="182C7A2F" w:rsidR="00C514C0" w:rsidRPr="00641A28" w:rsidRDefault="00C514C0" w:rsidP="00C514C0">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C514C0">
        <w:rPr>
          <w:rFonts w:ascii="Palatino Linotype" w:hAnsi="Palatino Linotype"/>
          <w:bCs/>
          <w:sz w:val="20"/>
          <w:szCs w:val="20"/>
        </w:rPr>
        <w:t>CCR/JCMA</w:t>
      </w:r>
    </w:p>
    <w:p w14:paraId="7B39D5EF" w14:textId="53C0361C" w:rsidR="00394873" w:rsidRDefault="00BC13F7"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715584" behindDoc="0" locked="0" layoutInCell="1" allowOverlap="1" wp14:anchorId="0FE8A119" wp14:editId="2ECA333D">
                <wp:simplePos x="0" y="0"/>
                <wp:positionH relativeFrom="column">
                  <wp:posOffset>120014</wp:posOffset>
                </wp:positionH>
                <wp:positionV relativeFrom="paragraph">
                  <wp:posOffset>64135</wp:posOffset>
                </wp:positionV>
                <wp:extent cx="5686425" cy="4591050"/>
                <wp:effectExtent l="0" t="0" r="66675" b="57150"/>
                <wp:wrapNone/>
                <wp:docPr id="4" name="Conector recto de flecha 4"/>
                <wp:cNvGraphicFramePr/>
                <a:graphic xmlns:a="http://schemas.openxmlformats.org/drawingml/2006/main">
                  <a:graphicData uri="http://schemas.microsoft.com/office/word/2010/wordprocessingShape">
                    <wps:wsp>
                      <wps:cNvCnPr/>
                      <wps:spPr>
                        <a:xfrm>
                          <a:off x="0" y="0"/>
                          <a:ext cx="5686425" cy="4591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A7FF746" id="_x0000_t32" coordsize="21600,21600" o:spt="32" o:oned="t" path="m,l21600,21600e" filled="f">
                <v:path arrowok="t" fillok="f" o:connecttype="none"/>
                <o:lock v:ext="edit" shapetype="t"/>
              </v:shapetype>
              <v:shape id="Conector recto de flecha 4" o:spid="_x0000_s1026" type="#_x0000_t32" style="position:absolute;margin-left:9.45pt;margin-top:5.05pt;width:447.75pt;height:361.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" strokecolor="#5b9bd5 [3204]" strokeweight=".5pt">
                <v:stroke endarrow="block" joinstyle="miter"/>
              </v:shape>
            </w:pict>
          </mc:Fallback>
        </mc:AlternateContent>
      </w:r>
    </w:p>
    <w:p w14:paraId="18900742" w14:textId="68732E7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C9791F" w14:textId="3D386C7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A5A84F" w14:textId="4636B671"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C01DB6D" w14:textId="2E4BBE4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CFE09F" w14:textId="03E8EF09"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26D362" w14:textId="5E88296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5ABEF" w14:textId="77777777" w:rsidR="00277B13" w:rsidRDefault="00277B13" w:rsidP="006168E4">
      <w:pPr>
        <w:spacing w:after="0" w:line="240" w:lineRule="auto"/>
      </w:pPr>
      <w:r>
        <w:separator/>
      </w:r>
    </w:p>
  </w:endnote>
  <w:endnote w:type="continuationSeparator" w:id="0">
    <w:p w14:paraId="05AD6858" w14:textId="77777777" w:rsidR="00277B13" w:rsidRDefault="00277B1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2820">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2820">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282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2820">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A6E8E" w14:textId="77777777" w:rsidR="00277B13" w:rsidRDefault="00277B13" w:rsidP="006168E4">
      <w:pPr>
        <w:spacing w:after="0" w:line="240" w:lineRule="auto"/>
      </w:pPr>
      <w:r>
        <w:separator/>
      </w:r>
    </w:p>
  </w:footnote>
  <w:footnote w:type="continuationSeparator" w:id="0">
    <w:p w14:paraId="20A375DB" w14:textId="77777777" w:rsidR="00277B13" w:rsidRDefault="00277B13" w:rsidP="006168E4">
      <w:pPr>
        <w:spacing w:after="0" w:line="240" w:lineRule="auto"/>
      </w:pPr>
      <w:r>
        <w:continuationSeparator/>
      </w:r>
    </w:p>
  </w:footnote>
  <w:footnote w:id="1">
    <w:p w14:paraId="144B71B3" w14:textId="77777777" w:rsidR="00D508EB" w:rsidRPr="00911081" w:rsidRDefault="00D508EB" w:rsidP="00D508E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D558BA3" w14:textId="77777777" w:rsidR="00D508EB" w:rsidRPr="00911081" w:rsidRDefault="00D508EB" w:rsidP="00D508E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70371706" w:rsidR="00C70B4A" w:rsidRPr="00B4142F" w:rsidRDefault="002C2CE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13425</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5F82A61" w:rsidR="00C70B4A" w:rsidRPr="00F06FED" w:rsidRDefault="00AD3604" w:rsidP="00C01E1C">
          <w:pPr>
            <w:spacing w:after="120" w:line="256" w:lineRule="auto"/>
            <w:ind w:left="639" w:right="214"/>
            <w:jc w:val="both"/>
            <w:rPr>
              <w:rFonts w:ascii="Palatino Linotype" w:hAnsi="Palatino Linotype" w:cs="Arial"/>
            </w:rPr>
          </w:pPr>
          <w:r>
            <w:rPr>
              <w:rFonts w:ascii="Palatino Linotype" w:hAnsi="Palatino Linotype" w:cs="Arial"/>
            </w:rPr>
            <w:t>Poder Legislativo</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6E988366" w:rsidR="00C70B4A" w:rsidRPr="00B4142F" w:rsidRDefault="002C2CEE"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13425</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57633776" w:rsidR="00C70B4A" w:rsidRPr="00F06FED" w:rsidRDefault="00CA2820" w:rsidP="00CC0C5F">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4306BD0" w:rsidR="00C70B4A" w:rsidRDefault="00AD3604"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Poder Legislativo</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9ED"/>
    <w:multiLevelType w:val="hybridMultilevel"/>
    <w:tmpl w:val="8F4E1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20B16"/>
    <w:multiLevelType w:val="hybridMultilevel"/>
    <w:tmpl w:val="0212B1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53230"/>
    <w:multiLevelType w:val="hybridMultilevel"/>
    <w:tmpl w:val="55061BD2"/>
    <w:lvl w:ilvl="0" w:tplc="C3CC1F08">
      <w:start w:val="1"/>
      <w:numFmt w:val="bullet"/>
      <w:lvlText w:val="-"/>
      <w:lvlJc w:val="left"/>
      <w:pPr>
        <w:ind w:left="1505" w:hanging="360"/>
      </w:pPr>
      <w:rPr>
        <w:rFonts w:ascii="Palatino Linotype" w:eastAsia="MS Mincho"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060B52"/>
    <w:multiLevelType w:val="hybridMultilevel"/>
    <w:tmpl w:val="0BF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124A34"/>
    <w:multiLevelType w:val="hybridMultilevel"/>
    <w:tmpl w:val="E1D2C5A2"/>
    <w:lvl w:ilvl="0" w:tplc="390E4B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460F"/>
    <w:multiLevelType w:val="hybridMultilevel"/>
    <w:tmpl w:val="FAD0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135BD"/>
    <w:multiLevelType w:val="hybridMultilevel"/>
    <w:tmpl w:val="C9B8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7"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E62D9"/>
    <w:multiLevelType w:val="hybridMultilevel"/>
    <w:tmpl w:val="CFA8DE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F75C9"/>
    <w:multiLevelType w:val="hybridMultilevel"/>
    <w:tmpl w:val="1FA41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E8C28FD"/>
    <w:multiLevelType w:val="hybridMultilevel"/>
    <w:tmpl w:val="36BE8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A85664"/>
    <w:multiLevelType w:val="hybridMultilevel"/>
    <w:tmpl w:val="2646D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9658CF"/>
    <w:multiLevelType w:val="hybridMultilevel"/>
    <w:tmpl w:val="97D42B5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040345"/>
    <w:multiLevelType w:val="hybridMultilevel"/>
    <w:tmpl w:val="ACB41264"/>
    <w:lvl w:ilvl="0" w:tplc="EDB87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24E98"/>
    <w:multiLevelType w:val="hybridMultilevel"/>
    <w:tmpl w:val="1F6CC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59F307BF"/>
    <w:multiLevelType w:val="hybridMultilevel"/>
    <w:tmpl w:val="E1BA3D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C0A2E"/>
    <w:multiLevelType w:val="hybridMultilevel"/>
    <w:tmpl w:val="8154F0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7" w15:restartNumberingAfterBreak="0">
    <w:nsid w:val="66DF4851"/>
    <w:multiLevelType w:val="hybridMultilevel"/>
    <w:tmpl w:val="30B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405D67"/>
    <w:multiLevelType w:val="hybridMultilevel"/>
    <w:tmpl w:val="8D7E93C2"/>
    <w:lvl w:ilvl="0" w:tplc="1CAE8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1D009A"/>
    <w:multiLevelType w:val="hybridMultilevel"/>
    <w:tmpl w:val="874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39"/>
  </w:num>
  <w:num w:numId="3">
    <w:abstractNumId w:val="2"/>
  </w:num>
  <w:num w:numId="4">
    <w:abstractNumId w:val="5"/>
  </w:num>
  <w:num w:numId="5">
    <w:abstractNumId w:val="15"/>
  </w:num>
  <w:num w:numId="6">
    <w:abstractNumId w:val="45"/>
  </w:num>
  <w:num w:numId="7">
    <w:abstractNumId w:val="36"/>
  </w:num>
  <w:num w:numId="8">
    <w:abstractNumId w:val="43"/>
  </w:num>
  <w:num w:numId="9">
    <w:abstractNumId w:val="44"/>
  </w:num>
  <w:num w:numId="10">
    <w:abstractNumId w:val="40"/>
  </w:num>
  <w:num w:numId="11">
    <w:abstractNumId w:val="41"/>
  </w:num>
  <w:num w:numId="12">
    <w:abstractNumId w:val="9"/>
  </w:num>
  <w:num w:numId="13">
    <w:abstractNumId w:val="34"/>
  </w:num>
  <w:num w:numId="14">
    <w:abstractNumId w:val="35"/>
  </w:num>
  <w:num w:numId="15">
    <w:abstractNumId w:val="47"/>
  </w:num>
  <w:num w:numId="16">
    <w:abstractNumId w:val="3"/>
  </w:num>
  <w:num w:numId="17">
    <w:abstractNumId w:val="17"/>
  </w:num>
  <w:num w:numId="18">
    <w:abstractNumId w:val="31"/>
  </w:num>
  <w:num w:numId="19">
    <w:abstractNumId w:val="26"/>
  </w:num>
  <w:num w:numId="20">
    <w:abstractNumId w:val="7"/>
  </w:num>
  <w:num w:numId="21">
    <w:abstractNumId w:val="11"/>
  </w:num>
  <w:num w:numId="22">
    <w:abstractNumId w:val="8"/>
  </w:num>
  <w:num w:numId="23">
    <w:abstractNumId w:val="29"/>
  </w:num>
  <w:num w:numId="24">
    <w:abstractNumId w:val="32"/>
  </w:num>
  <w:num w:numId="25">
    <w:abstractNumId w:val="21"/>
  </w:num>
  <w:num w:numId="26">
    <w:abstractNumId w:val="42"/>
  </w:num>
  <w:num w:numId="27">
    <w:abstractNumId w:val="4"/>
  </w:num>
  <w:num w:numId="28">
    <w:abstractNumId w:val="27"/>
  </w:num>
  <w:num w:numId="29">
    <w:abstractNumId w:val="10"/>
  </w:num>
  <w:num w:numId="30">
    <w:abstractNumId w:val="1"/>
  </w:num>
  <w:num w:numId="31">
    <w:abstractNumId w:val="13"/>
  </w:num>
  <w:num w:numId="32">
    <w:abstractNumId w:val="19"/>
  </w:num>
  <w:num w:numId="33">
    <w:abstractNumId w:val="0"/>
  </w:num>
  <w:num w:numId="34">
    <w:abstractNumId w:val="46"/>
  </w:num>
  <w:num w:numId="35">
    <w:abstractNumId w:val="16"/>
  </w:num>
  <w:num w:numId="36">
    <w:abstractNumId w:val="20"/>
  </w:num>
  <w:num w:numId="37">
    <w:abstractNumId w:val="25"/>
  </w:num>
  <w:num w:numId="38">
    <w:abstractNumId w:val="28"/>
  </w:num>
  <w:num w:numId="39">
    <w:abstractNumId w:val="30"/>
  </w:num>
  <w:num w:numId="40">
    <w:abstractNumId w:val="24"/>
  </w:num>
  <w:num w:numId="41">
    <w:abstractNumId w:val="33"/>
  </w:num>
  <w:num w:numId="42">
    <w:abstractNumId w:val="3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4"/>
  </w:num>
  <w:num w:numId="46">
    <w:abstractNumId w:val="22"/>
  </w:num>
  <w:num w:numId="47">
    <w:abstractNumId w:val="12"/>
  </w:num>
  <w:num w:numId="4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152C"/>
    <w:rsid w:val="00102D69"/>
    <w:rsid w:val="00110EDB"/>
    <w:rsid w:val="00111DCD"/>
    <w:rsid w:val="00114CF9"/>
    <w:rsid w:val="0011564C"/>
    <w:rsid w:val="00116421"/>
    <w:rsid w:val="001167AA"/>
    <w:rsid w:val="00117157"/>
    <w:rsid w:val="00123898"/>
    <w:rsid w:val="00124855"/>
    <w:rsid w:val="00124EC6"/>
    <w:rsid w:val="001254F5"/>
    <w:rsid w:val="001336D3"/>
    <w:rsid w:val="001364AA"/>
    <w:rsid w:val="00136FAD"/>
    <w:rsid w:val="00143D5F"/>
    <w:rsid w:val="00144B4A"/>
    <w:rsid w:val="00146F0A"/>
    <w:rsid w:val="00147B36"/>
    <w:rsid w:val="00150D1D"/>
    <w:rsid w:val="00152124"/>
    <w:rsid w:val="00152C2B"/>
    <w:rsid w:val="001542FC"/>
    <w:rsid w:val="00155DE2"/>
    <w:rsid w:val="00161C1E"/>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1D18"/>
    <w:rsid w:val="001E2C0F"/>
    <w:rsid w:val="001E668A"/>
    <w:rsid w:val="001F0A4F"/>
    <w:rsid w:val="001F2A14"/>
    <w:rsid w:val="001F3F0E"/>
    <w:rsid w:val="001F4ADC"/>
    <w:rsid w:val="001F5597"/>
    <w:rsid w:val="001F71ED"/>
    <w:rsid w:val="00203D3A"/>
    <w:rsid w:val="00203FF3"/>
    <w:rsid w:val="00204288"/>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77B13"/>
    <w:rsid w:val="00280B8B"/>
    <w:rsid w:val="00282235"/>
    <w:rsid w:val="00292350"/>
    <w:rsid w:val="00292DC0"/>
    <w:rsid w:val="00293C29"/>
    <w:rsid w:val="00293FCF"/>
    <w:rsid w:val="002973F2"/>
    <w:rsid w:val="00297EF9"/>
    <w:rsid w:val="002A2034"/>
    <w:rsid w:val="002A24F4"/>
    <w:rsid w:val="002A38BF"/>
    <w:rsid w:val="002A429A"/>
    <w:rsid w:val="002A597E"/>
    <w:rsid w:val="002B0FB9"/>
    <w:rsid w:val="002B4382"/>
    <w:rsid w:val="002B5DBD"/>
    <w:rsid w:val="002B72F9"/>
    <w:rsid w:val="002B7D92"/>
    <w:rsid w:val="002C2CEE"/>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3A1F"/>
    <w:rsid w:val="00314F93"/>
    <w:rsid w:val="0031645D"/>
    <w:rsid w:val="00320A67"/>
    <w:rsid w:val="00324AC9"/>
    <w:rsid w:val="003272FB"/>
    <w:rsid w:val="00330857"/>
    <w:rsid w:val="00331499"/>
    <w:rsid w:val="0033580E"/>
    <w:rsid w:val="00337F09"/>
    <w:rsid w:val="00343D1E"/>
    <w:rsid w:val="0035054D"/>
    <w:rsid w:val="00354258"/>
    <w:rsid w:val="00355593"/>
    <w:rsid w:val="00357E0E"/>
    <w:rsid w:val="00361B9C"/>
    <w:rsid w:val="00361D89"/>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0F59"/>
    <w:rsid w:val="0039347E"/>
    <w:rsid w:val="00393D5B"/>
    <w:rsid w:val="0039460D"/>
    <w:rsid w:val="00394873"/>
    <w:rsid w:val="00394A1E"/>
    <w:rsid w:val="003968C7"/>
    <w:rsid w:val="003A2246"/>
    <w:rsid w:val="003A2658"/>
    <w:rsid w:val="003A4CF6"/>
    <w:rsid w:val="003A61F9"/>
    <w:rsid w:val="003A6975"/>
    <w:rsid w:val="003B0D66"/>
    <w:rsid w:val="003B1E88"/>
    <w:rsid w:val="003B5E96"/>
    <w:rsid w:val="003C3F7B"/>
    <w:rsid w:val="003C5243"/>
    <w:rsid w:val="003C53ED"/>
    <w:rsid w:val="003D0B7E"/>
    <w:rsid w:val="003D4E0F"/>
    <w:rsid w:val="003D5C0A"/>
    <w:rsid w:val="003E16E1"/>
    <w:rsid w:val="003E1871"/>
    <w:rsid w:val="003E504D"/>
    <w:rsid w:val="003E656A"/>
    <w:rsid w:val="003E78B7"/>
    <w:rsid w:val="003F3016"/>
    <w:rsid w:val="003F38EB"/>
    <w:rsid w:val="003F76E5"/>
    <w:rsid w:val="004012CF"/>
    <w:rsid w:val="004015EE"/>
    <w:rsid w:val="00402FF3"/>
    <w:rsid w:val="0040673A"/>
    <w:rsid w:val="004069EB"/>
    <w:rsid w:val="00407407"/>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00E8"/>
    <w:rsid w:val="00462881"/>
    <w:rsid w:val="004640F2"/>
    <w:rsid w:val="00467337"/>
    <w:rsid w:val="00467C17"/>
    <w:rsid w:val="00471D57"/>
    <w:rsid w:val="00474B6B"/>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10A9"/>
    <w:rsid w:val="004D3B15"/>
    <w:rsid w:val="004D54E3"/>
    <w:rsid w:val="004D6459"/>
    <w:rsid w:val="004D761E"/>
    <w:rsid w:val="004E1A3D"/>
    <w:rsid w:val="004E1A71"/>
    <w:rsid w:val="004E2371"/>
    <w:rsid w:val="004E6BE9"/>
    <w:rsid w:val="004E754F"/>
    <w:rsid w:val="004E7A84"/>
    <w:rsid w:val="004F0538"/>
    <w:rsid w:val="004F17D6"/>
    <w:rsid w:val="004F2337"/>
    <w:rsid w:val="004F3024"/>
    <w:rsid w:val="004F33EA"/>
    <w:rsid w:val="004F4F45"/>
    <w:rsid w:val="004F5E75"/>
    <w:rsid w:val="005001FE"/>
    <w:rsid w:val="005020E9"/>
    <w:rsid w:val="00503655"/>
    <w:rsid w:val="00504967"/>
    <w:rsid w:val="00504BE3"/>
    <w:rsid w:val="00506F7D"/>
    <w:rsid w:val="00507065"/>
    <w:rsid w:val="005106F9"/>
    <w:rsid w:val="00510D77"/>
    <w:rsid w:val="005128DD"/>
    <w:rsid w:val="00513F18"/>
    <w:rsid w:val="00514207"/>
    <w:rsid w:val="005149BE"/>
    <w:rsid w:val="00515090"/>
    <w:rsid w:val="005179E4"/>
    <w:rsid w:val="00521E57"/>
    <w:rsid w:val="00525093"/>
    <w:rsid w:val="00527F1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2DBE"/>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1A28"/>
    <w:rsid w:val="006456FA"/>
    <w:rsid w:val="006466F5"/>
    <w:rsid w:val="00646C24"/>
    <w:rsid w:val="00650687"/>
    <w:rsid w:val="00652BC5"/>
    <w:rsid w:val="00656060"/>
    <w:rsid w:val="00661753"/>
    <w:rsid w:val="0066216F"/>
    <w:rsid w:val="00663C3F"/>
    <w:rsid w:val="006654F6"/>
    <w:rsid w:val="00666CAF"/>
    <w:rsid w:val="00671366"/>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7CEB"/>
    <w:rsid w:val="006B1953"/>
    <w:rsid w:val="006B1BF1"/>
    <w:rsid w:val="006B20F0"/>
    <w:rsid w:val="006B26E3"/>
    <w:rsid w:val="006B3085"/>
    <w:rsid w:val="006B52F2"/>
    <w:rsid w:val="006B69CF"/>
    <w:rsid w:val="006B7444"/>
    <w:rsid w:val="006C00DA"/>
    <w:rsid w:val="006C17FD"/>
    <w:rsid w:val="006C1884"/>
    <w:rsid w:val="006C28CA"/>
    <w:rsid w:val="006C350D"/>
    <w:rsid w:val="006C3AB5"/>
    <w:rsid w:val="006C5E56"/>
    <w:rsid w:val="006C66E4"/>
    <w:rsid w:val="006D23FC"/>
    <w:rsid w:val="006D643D"/>
    <w:rsid w:val="006E063C"/>
    <w:rsid w:val="006E3851"/>
    <w:rsid w:val="006E7EEE"/>
    <w:rsid w:val="006F1167"/>
    <w:rsid w:val="006F4044"/>
    <w:rsid w:val="006F46DC"/>
    <w:rsid w:val="006F4CC6"/>
    <w:rsid w:val="00701033"/>
    <w:rsid w:val="00701A3F"/>
    <w:rsid w:val="00702A03"/>
    <w:rsid w:val="00704BD8"/>
    <w:rsid w:val="00704EFD"/>
    <w:rsid w:val="007051A0"/>
    <w:rsid w:val="007078C8"/>
    <w:rsid w:val="00712E3A"/>
    <w:rsid w:val="00713CE6"/>
    <w:rsid w:val="00714318"/>
    <w:rsid w:val="007169EF"/>
    <w:rsid w:val="00721506"/>
    <w:rsid w:val="007216DB"/>
    <w:rsid w:val="0072323D"/>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738"/>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C5959"/>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5E8F"/>
    <w:rsid w:val="007F6623"/>
    <w:rsid w:val="00802C56"/>
    <w:rsid w:val="008053CE"/>
    <w:rsid w:val="008056BC"/>
    <w:rsid w:val="00806EE9"/>
    <w:rsid w:val="00807750"/>
    <w:rsid w:val="00807E35"/>
    <w:rsid w:val="00811205"/>
    <w:rsid w:val="00812C48"/>
    <w:rsid w:val="008146F9"/>
    <w:rsid w:val="00821413"/>
    <w:rsid w:val="008218CD"/>
    <w:rsid w:val="00821AEB"/>
    <w:rsid w:val="00821E26"/>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63E4"/>
    <w:rsid w:val="00877C8E"/>
    <w:rsid w:val="00884054"/>
    <w:rsid w:val="0088644C"/>
    <w:rsid w:val="00890B7A"/>
    <w:rsid w:val="00890C62"/>
    <w:rsid w:val="0089173B"/>
    <w:rsid w:val="0089437B"/>
    <w:rsid w:val="00895089"/>
    <w:rsid w:val="008951ED"/>
    <w:rsid w:val="0089761E"/>
    <w:rsid w:val="008977EE"/>
    <w:rsid w:val="008A0693"/>
    <w:rsid w:val="008A25E6"/>
    <w:rsid w:val="008A5928"/>
    <w:rsid w:val="008A75BE"/>
    <w:rsid w:val="008B0D6E"/>
    <w:rsid w:val="008B1AD9"/>
    <w:rsid w:val="008B1D2E"/>
    <w:rsid w:val="008B4DF4"/>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75"/>
    <w:rsid w:val="008F17A1"/>
    <w:rsid w:val="008F2158"/>
    <w:rsid w:val="008F3D79"/>
    <w:rsid w:val="008F3F8F"/>
    <w:rsid w:val="008F4670"/>
    <w:rsid w:val="008F4C65"/>
    <w:rsid w:val="008F5D20"/>
    <w:rsid w:val="008F7579"/>
    <w:rsid w:val="0090019F"/>
    <w:rsid w:val="00902944"/>
    <w:rsid w:val="009041AF"/>
    <w:rsid w:val="00905422"/>
    <w:rsid w:val="009067B3"/>
    <w:rsid w:val="00906BD5"/>
    <w:rsid w:val="0090759E"/>
    <w:rsid w:val="009104D1"/>
    <w:rsid w:val="00913133"/>
    <w:rsid w:val="009131C3"/>
    <w:rsid w:val="0091475B"/>
    <w:rsid w:val="0092120C"/>
    <w:rsid w:val="00921DB9"/>
    <w:rsid w:val="0092403D"/>
    <w:rsid w:val="00924E40"/>
    <w:rsid w:val="0092524A"/>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806"/>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3E64"/>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4F25"/>
    <w:rsid w:val="009B7C61"/>
    <w:rsid w:val="009C22B1"/>
    <w:rsid w:val="009C3793"/>
    <w:rsid w:val="009C62BD"/>
    <w:rsid w:val="009D26AD"/>
    <w:rsid w:val="009D341C"/>
    <w:rsid w:val="009D3C55"/>
    <w:rsid w:val="009D45BD"/>
    <w:rsid w:val="009D5261"/>
    <w:rsid w:val="009D76A3"/>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790A"/>
    <w:rsid w:val="00A57B8D"/>
    <w:rsid w:val="00A6086C"/>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245"/>
    <w:rsid w:val="00AB3710"/>
    <w:rsid w:val="00AB4B0F"/>
    <w:rsid w:val="00AB6C3B"/>
    <w:rsid w:val="00AB7F4A"/>
    <w:rsid w:val="00AC226E"/>
    <w:rsid w:val="00AC5742"/>
    <w:rsid w:val="00AC722C"/>
    <w:rsid w:val="00AC75C1"/>
    <w:rsid w:val="00AC7906"/>
    <w:rsid w:val="00AD1291"/>
    <w:rsid w:val="00AD134F"/>
    <w:rsid w:val="00AD1F40"/>
    <w:rsid w:val="00AD1FA2"/>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37E9B"/>
    <w:rsid w:val="00B433C9"/>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3BC9"/>
    <w:rsid w:val="00B653BB"/>
    <w:rsid w:val="00B66E86"/>
    <w:rsid w:val="00B67A20"/>
    <w:rsid w:val="00B710FE"/>
    <w:rsid w:val="00B724E8"/>
    <w:rsid w:val="00B73FE9"/>
    <w:rsid w:val="00B825D0"/>
    <w:rsid w:val="00B87D50"/>
    <w:rsid w:val="00B91BCB"/>
    <w:rsid w:val="00B9223B"/>
    <w:rsid w:val="00B953BD"/>
    <w:rsid w:val="00B95905"/>
    <w:rsid w:val="00B95E96"/>
    <w:rsid w:val="00B97421"/>
    <w:rsid w:val="00BA2A94"/>
    <w:rsid w:val="00BA4D1F"/>
    <w:rsid w:val="00BA5339"/>
    <w:rsid w:val="00BA6226"/>
    <w:rsid w:val="00BA6B85"/>
    <w:rsid w:val="00BA7AD1"/>
    <w:rsid w:val="00BB2250"/>
    <w:rsid w:val="00BB3132"/>
    <w:rsid w:val="00BB5448"/>
    <w:rsid w:val="00BB68CA"/>
    <w:rsid w:val="00BB721B"/>
    <w:rsid w:val="00BC0FDD"/>
    <w:rsid w:val="00BC130D"/>
    <w:rsid w:val="00BC13F7"/>
    <w:rsid w:val="00BC22E0"/>
    <w:rsid w:val="00BC2A46"/>
    <w:rsid w:val="00BC3FA4"/>
    <w:rsid w:val="00BD004A"/>
    <w:rsid w:val="00BD352C"/>
    <w:rsid w:val="00BD5023"/>
    <w:rsid w:val="00BD5133"/>
    <w:rsid w:val="00BD58AB"/>
    <w:rsid w:val="00BE28ED"/>
    <w:rsid w:val="00BE6E8B"/>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4B4F"/>
    <w:rsid w:val="00C25084"/>
    <w:rsid w:val="00C274BE"/>
    <w:rsid w:val="00C274C6"/>
    <w:rsid w:val="00C27E4B"/>
    <w:rsid w:val="00C310B6"/>
    <w:rsid w:val="00C321D9"/>
    <w:rsid w:val="00C3330D"/>
    <w:rsid w:val="00C34654"/>
    <w:rsid w:val="00C347FE"/>
    <w:rsid w:val="00C357BE"/>
    <w:rsid w:val="00C4006D"/>
    <w:rsid w:val="00C4530E"/>
    <w:rsid w:val="00C45C21"/>
    <w:rsid w:val="00C514C0"/>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108F"/>
    <w:rsid w:val="00C821B6"/>
    <w:rsid w:val="00C8471E"/>
    <w:rsid w:val="00C850CE"/>
    <w:rsid w:val="00C85378"/>
    <w:rsid w:val="00C90BE5"/>
    <w:rsid w:val="00C91B10"/>
    <w:rsid w:val="00C925E0"/>
    <w:rsid w:val="00C9271F"/>
    <w:rsid w:val="00C9297C"/>
    <w:rsid w:val="00C976C0"/>
    <w:rsid w:val="00CA2820"/>
    <w:rsid w:val="00CA5334"/>
    <w:rsid w:val="00CA6A85"/>
    <w:rsid w:val="00CA6FDA"/>
    <w:rsid w:val="00CB0886"/>
    <w:rsid w:val="00CB251D"/>
    <w:rsid w:val="00CB2CC0"/>
    <w:rsid w:val="00CB3B6F"/>
    <w:rsid w:val="00CB5099"/>
    <w:rsid w:val="00CC0C5F"/>
    <w:rsid w:val="00CC1AF2"/>
    <w:rsid w:val="00CC2F3D"/>
    <w:rsid w:val="00CC4CF6"/>
    <w:rsid w:val="00CC51A7"/>
    <w:rsid w:val="00CC5FF3"/>
    <w:rsid w:val="00CC6072"/>
    <w:rsid w:val="00CD1612"/>
    <w:rsid w:val="00CD262A"/>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BEE"/>
    <w:rsid w:val="00D2737E"/>
    <w:rsid w:val="00D274A9"/>
    <w:rsid w:val="00D302CF"/>
    <w:rsid w:val="00D32644"/>
    <w:rsid w:val="00D33619"/>
    <w:rsid w:val="00D400F4"/>
    <w:rsid w:val="00D43CF1"/>
    <w:rsid w:val="00D449AE"/>
    <w:rsid w:val="00D477C3"/>
    <w:rsid w:val="00D508EB"/>
    <w:rsid w:val="00D51B89"/>
    <w:rsid w:val="00D52AC7"/>
    <w:rsid w:val="00D52C1F"/>
    <w:rsid w:val="00D54CA9"/>
    <w:rsid w:val="00D54D64"/>
    <w:rsid w:val="00D604FD"/>
    <w:rsid w:val="00D6193E"/>
    <w:rsid w:val="00D6340F"/>
    <w:rsid w:val="00D6535E"/>
    <w:rsid w:val="00D654EC"/>
    <w:rsid w:val="00D6681B"/>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1A5B"/>
    <w:rsid w:val="00DF4501"/>
    <w:rsid w:val="00DF5C75"/>
    <w:rsid w:val="00DF65E5"/>
    <w:rsid w:val="00DF6971"/>
    <w:rsid w:val="00DF78AE"/>
    <w:rsid w:val="00E00E78"/>
    <w:rsid w:val="00E0759A"/>
    <w:rsid w:val="00E076C1"/>
    <w:rsid w:val="00E11E2E"/>
    <w:rsid w:val="00E13C83"/>
    <w:rsid w:val="00E15555"/>
    <w:rsid w:val="00E15B7D"/>
    <w:rsid w:val="00E23477"/>
    <w:rsid w:val="00E2408E"/>
    <w:rsid w:val="00E27CDB"/>
    <w:rsid w:val="00E371EC"/>
    <w:rsid w:val="00E43116"/>
    <w:rsid w:val="00E444DA"/>
    <w:rsid w:val="00E51A48"/>
    <w:rsid w:val="00E550AA"/>
    <w:rsid w:val="00E571F8"/>
    <w:rsid w:val="00E57E5A"/>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5177"/>
    <w:rsid w:val="00EA7FEF"/>
    <w:rsid w:val="00EB117B"/>
    <w:rsid w:val="00EB2BEB"/>
    <w:rsid w:val="00EB34ED"/>
    <w:rsid w:val="00EB40D6"/>
    <w:rsid w:val="00EB4222"/>
    <w:rsid w:val="00EB5F75"/>
    <w:rsid w:val="00EB79CD"/>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627B"/>
    <w:rsid w:val="00F567CC"/>
    <w:rsid w:val="00F5724D"/>
    <w:rsid w:val="00F6021E"/>
    <w:rsid w:val="00F60AB3"/>
    <w:rsid w:val="00F62329"/>
    <w:rsid w:val="00F635AC"/>
    <w:rsid w:val="00F65A74"/>
    <w:rsid w:val="00F727B0"/>
    <w:rsid w:val="00F72A12"/>
    <w:rsid w:val="00F741D0"/>
    <w:rsid w:val="00F76A74"/>
    <w:rsid w:val="00F81124"/>
    <w:rsid w:val="00F816C6"/>
    <w:rsid w:val="00F817C5"/>
    <w:rsid w:val="00F841CB"/>
    <w:rsid w:val="00F858D5"/>
    <w:rsid w:val="00F909A9"/>
    <w:rsid w:val="00F91AEE"/>
    <w:rsid w:val="00F97C07"/>
    <w:rsid w:val="00FA047C"/>
    <w:rsid w:val="00FA19D2"/>
    <w:rsid w:val="00FA2545"/>
    <w:rsid w:val="00FA2625"/>
    <w:rsid w:val="00FA75DC"/>
    <w:rsid w:val="00FA7EF6"/>
    <w:rsid w:val="00FB2524"/>
    <w:rsid w:val="00FB4AAD"/>
    <w:rsid w:val="00FB4E3D"/>
    <w:rsid w:val="00FB5B45"/>
    <w:rsid w:val="00FB5F2A"/>
    <w:rsid w:val="00FB6CF8"/>
    <w:rsid w:val="00FC16E9"/>
    <w:rsid w:val="00FC279C"/>
    <w:rsid w:val="00FC45DE"/>
    <w:rsid w:val="00FC48CB"/>
    <w:rsid w:val="00FC4F9B"/>
    <w:rsid w:val="00FC59F0"/>
    <w:rsid w:val="00FD0B6D"/>
    <w:rsid w:val="00FD2DEC"/>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3">
    <w:name w:val="Unresolved Mention3"/>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Fundamentos">
    <w:name w:val="Fundamentos"/>
    <w:basedOn w:val="Normal"/>
    <w:qFormat/>
    <w:rsid w:val="00D6193E"/>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styleId="Lista">
    <w:name w:val="List"/>
    <w:basedOn w:val="Normal"/>
    <w:uiPriority w:val="99"/>
    <w:unhideWhenUsed/>
    <w:rsid w:val="00641A28"/>
    <w:pPr>
      <w:ind w:left="283" w:hanging="283"/>
      <w:contextualSpacing/>
    </w:pPr>
  </w:style>
  <w:style w:type="paragraph" w:styleId="Lista2">
    <w:name w:val="List 2"/>
    <w:basedOn w:val="Normal"/>
    <w:uiPriority w:val="99"/>
    <w:unhideWhenUsed/>
    <w:rsid w:val="00641A28"/>
    <w:pPr>
      <w:ind w:left="566" w:hanging="283"/>
      <w:contextualSpacing/>
    </w:pPr>
  </w:style>
  <w:style w:type="paragraph" w:styleId="Lista3">
    <w:name w:val="List 3"/>
    <w:basedOn w:val="Normal"/>
    <w:uiPriority w:val="99"/>
    <w:unhideWhenUsed/>
    <w:rsid w:val="00641A28"/>
    <w:pPr>
      <w:ind w:left="849" w:hanging="283"/>
      <w:contextualSpacing/>
    </w:pPr>
  </w:style>
  <w:style w:type="paragraph" w:styleId="Saludo">
    <w:name w:val="Salutation"/>
    <w:basedOn w:val="Normal"/>
    <w:next w:val="Normal"/>
    <w:link w:val="SaludoCar"/>
    <w:uiPriority w:val="99"/>
    <w:unhideWhenUsed/>
    <w:rsid w:val="00641A28"/>
  </w:style>
  <w:style w:type="character" w:customStyle="1" w:styleId="SaludoCar">
    <w:name w:val="Saludo Car"/>
    <w:basedOn w:val="Fuentedeprrafopredeter"/>
    <w:link w:val="Saludo"/>
    <w:uiPriority w:val="99"/>
    <w:rsid w:val="00641A28"/>
  </w:style>
  <w:style w:type="paragraph" w:customStyle="1" w:styleId="Lneadeasunto">
    <w:name w:val="Línea de asunto"/>
    <w:basedOn w:val="Normal"/>
    <w:rsid w:val="00641A28"/>
  </w:style>
  <w:style w:type="paragraph" w:styleId="Sangradetextonormal">
    <w:name w:val="Body Text Indent"/>
    <w:basedOn w:val="Normal"/>
    <w:link w:val="SangradetextonormalCar"/>
    <w:uiPriority w:val="99"/>
    <w:semiHidden/>
    <w:unhideWhenUsed/>
    <w:rsid w:val="00641A28"/>
    <w:pPr>
      <w:spacing w:after="120"/>
      <w:ind w:left="283"/>
    </w:pPr>
  </w:style>
  <w:style w:type="character" w:customStyle="1" w:styleId="SangradetextonormalCar">
    <w:name w:val="Sangría de texto normal Car"/>
    <w:basedOn w:val="Fuentedeprrafopredeter"/>
    <w:link w:val="Sangradetextonormal"/>
    <w:uiPriority w:val="99"/>
    <w:semiHidden/>
    <w:rsid w:val="00641A28"/>
  </w:style>
  <w:style w:type="paragraph" w:styleId="Textoindependienteprimerasangra2">
    <w:name w:val="Body Text First Indent 2"/>
    <w:basedOn w:val="Sangradetextonormal"/>
    <w:link w:val="Textoindependienteprimerasangra2Car"/>
    <w:uiPriority w:val="99"/>
    <w:unhideWhenUsed/>
    <w:rsid w:val="00641A28"/>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41828484">
      <w:bodyDiv w:val="1"/>
      <w:marLeft w:val="0"/>
      <w:marRight w:val="0"/>
      <w:marTop w:val="0"/>
      <w:marBottom w:val="0"/>
      <w:divBdr>
        <w:top w:val="none" w:sz="0" w:space="0" w:color="auto"/>
        <w:left w:val="none" w:sz="0" w:space="0" w:color="auto"/>
        <w:bottom w:val="none" w:sz="0" w:space="0" w:color="auto"/>
        <w:right w:val="none" w:sz="0" w:space="0" w:color="auto"/>
      </w:divBdr>
      <w:divsChild>
        <w:div w:id="1213620269">
          <w:marLeft w:val="0"/>
          <w:marRight w:val="0"/>
          <w:marTop w:val="0"/>
          <w:marBottom w:val="76"/>
          <w:divBdr>
            <w:top w:val="none" w:sz="0" w:space="0" w:color="auto"/>
            <w:left w:val="none" w:sz="0" w:space="0" w:color="auto"/>
            <w:bottom w:val="none" w:sz="0" w:space="0" w:color="auto"/>
            <w:right w:val="none" w:sz="0" w:space="0" w:color="auto"/>
          </w:divBdr>
        </w:div>
        <w:div w:id="1151094474">
          <w:marLeft w:val="0"/>
          <w:marRight w:val="0"/>
          <w:marTop w:val="0"/>
          <w:marBottom w:val="76"/>
          <w:divBdr>
            <w:top w:val="none" w:sz="0" w:space="0" w:color="auto"/>
            <w:left w:val="none" w:sz="0" w:space="0" w:color="auto"/>
            <w:bottom w:val="none" w:sz="0" w:space="0" w:color="auto"/>
            <w:right w:val="none" w:sz="0" w:space="0" w:color="auto"/>
          </w:divBdr>
        </w:div>
      </w:divsChild>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2258047">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45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3836B-B32A-4321-AB7F-76B910B8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39</Pages>
  <Words>7968</Words>
  <Characters>43830</Characters>
  <Application>Microsoft Office Word</Application>
  <DocSecurity>0</DocSecurity>
  <Lines>365</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cp:lastPrinted>2019-11-07T00:56:00Z</cp:lastPrinted>
  <dcterms:created xsi:type="dcterms:W3CDTF">2023-01-11T18:29:00Z</dcterms:created>
  <dcterms:modified xsi:type="dcterms:W3CDTF">2023-04-10T16:30:00Z</dcterms:modified>
</cp:coreProperties>
</file>