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DA97C" w14:textId="77777777" w:rsidR="00910FC2" w:rsidRPr="008B40A2" w:rsidRDefault="008F0852">
      <w:pP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8B40A2">
        <w:rPr>
          <w:rFonts w:ascii="Palatino Linotype" w:eastAsia="Palatino Linotype" w:hAnsi="Palatino Linotype" w:cs="Palatino Linotype"/>
          <w:b/>
        </w:rPr>
        <w:t>veintinueve</w:t>
      </w:r>
      <w:r w:rsidRPr="008B40A2">
        <w:rPr>
          <w:rFonts w:ascii="Palatino Linotype" w:eastAsia="Palatino Linotype" w:hAnsi="Palatino Linotype" w:cs="Palatino Linotype"/>
        </w:rPr>
        <w:t xml:space="preserve"> </w:t>
      </w:r>
      <w:r w:rsidRPr="008B40A2">
        <w:rPr>
          <w:rFonts w:ascii="Palatino Linotype" w:eastAsia="Palatino Linotype" w:hAnsi="Palatino Linotype" w:cs="Palatino Linotype"/>
          <w:b/>
        </w:rPr>
        <w:t>de marzo del dos mil veintitrés</w:t>
      </w:r>
      <w:r w:rsidRPr="008B40A2">
        <w:rPr>
          <w:rFonts w:ascii="Palatino Linotype" w:eastAsia="Palatino Linotype" w:hAnsi="Palatino Linotype" w:cs="Palatino Linotype"/>
        </w:rPr>
        <w:t>.</w:t>
      </w:r>
    </w:p>
    <w:p w14:paraId="01ABB385" w14:textId="77777777" w:rsidR="00910FC2" w:rsidRPr="008B40A2" w:rsidRDefault="008F0852">
      <w:pPr>
        <w:spacing w:before="240" w:after="240" w:line="360" w:lineRule="auto"/>
        <w:jc w:val="both"/>
        <w:rPr>
          <w:rFonts w:ascii="Palatino Linotype" w:eastAsia="Palatino Linotype" w:hAnsi="Palatino Linotype" w:cs="Palatino Linotype"/>
          <w:b/>
        </w:rPr>
      </w:pPr>
      <w:r w:rsidRPr="008B40A2">
        <w:rPr>
          <w:rFonts w:ascii="Palatino Linotype" w:eastAsia="Palatino Linotype" w:hAnsi="Palatino Linotype" w:cs="Palatino Linotype"/>
          <w:b/>
        </w:rPr>
        <w:t>Visto</w:t>
      </w:r>
      <w:r w:rsidRPr="008B40A2">
        <w:rPr>
          <w:rFonts w:ascii="Palatino Linotype" w:eastAsia="Palatino Linotype" w:hAnsi="Palatino Linotype" w:cs="Palatino Linotype"/>
        </w:rPr>
        <w:t xml:space="preserve"> el expediente relativo al recurso de revisión </w:t>
      </w:r>
      <w:r w:rsidRPr="008B40A2">
        <w:rPr>
          <w:rFonts w:ascii="Palatino Linotype" w:eastAsia="Palatino Linotype" w:hAnsi="Palatino Linotype" w:cs="Palatino Linotype"/>
          <w:b/>
        </w:rPr>
        <w:t>15819/INFOEM/IP/RR/2022</w:t>
      </w:r>
      <w:r w:rsidRPr="008B40A2">
        <w:rPr>
          <w:rFonts w:ascii="Palatino Linotype" w:eastAsia="Palatino Linotype" w:hAnsi="Palatino Linotype" w:cs="Palatino Linotype"/>
        </w:rPr>
        <w:t>, interpuesto por</w:t>
      </w:r>
      <w:r w:rsidRPr="008B40A2">
        <w:rPr>
          <w:rFonts w:ascii="Palatino Linotype" w:eastAsia="Palatino Linotype" w:hAnsi="Palatino Linotype" w:cs="Palatino Linotype"/>
          <w:b/>
        </w:rPr>
        <w:t xml:space="preserve"> un particular de manera anónima, </w:t>
      </w:r>
      <w:r w:rsidRPr="008B40A2">
        <w:rPr>
          <w:rFonts w:ascii="Palatino Linotype" w:eastAsia="Palatino Linotype" w:hAnsi="Palatino Linotype" w:cs="Palatino Linotype"/>
        </w:rPr>
        <w:t xml:space="preserve">a quien en lo sucesivo se le denominará </w:t>
      </w:r>
      <w:r w:rsidRPr="008B40A2">
        <w:rPr>
          <w:rFonts w:ascii="Palatino Linotype" w:eastAsia="Palatino Linotype" w:hAnsi="Palatino Linotype" w:cs="Palatino Linotype"/>
          <w:b/>
        </w:rPr>
        <w:t>la parte Recurrente</w:t>
      </w:r>
      <w:r w:rsidRPr="008B40A2">
        <w:rPr>
          <w:rFonts w:ascii="Palatino Linotype" w:eastAsia="Palatino Linotype" w:hAnsi="Palatino Linotype" w:cs="Palatino Linotype"/>
          <w:b/>
          <w:i/>
        </w:rPr>
        <w:t xml:space="preserve"> </w:t>
      </w:r>
      <w:r w:rsidRPr="008B40A2">
        <w:rPr>
          <w:rFonts w:ascii="Palatino Linotype" w:eastAsia="Palatino Linotype" w:hAnsi="Palatino Linotype" w:cs="Palatino Linotype"/>
        </w:rPr>
        <w:t>en contra de la respuesta a su solicitud de información pública con número de folio</w:t>
      </w:r>
      <w:r w:rsidRPr="008B40A2">
        <w:rPr>
          <w:rFonts w:ascii="Verdana" w:eastAsia="Verdana" w:hAnsi="Verdana" w:cs="Verdana"/>
          <w:b/>
        </w:rPr>
        <w:t xml:space="preserve"> </w:t>
      </w:r>
      <w:r w:rsidRPr="008B40A2">
        <w:rPr>
          <w:rFonts w:ascii="Palatino Linotype" w:eastAsia="Palatino Linotype" w:hAnsi="Palatino Linotype" w:cs="Palatino Linotype"/>
          <w:b/>
        </w:rPr>
        <w:t>00478/SF/IP/2022,</w:t>
      </w:r>
      <w:r w:rsidRPr="008B40A2">
        <w:rPr>
          <w:rFonts w:ascii="Palatino Linotype" w:eastAsia="Palatino Linotype" w:hAnsi="Palatino Linotype" w:cs="Palatino Linotype"/>
        </w:rPr>
        <w:t xml:space="preserve"> otorgada por la</w:t>
      </w:r>
      <w:r w:rsidRPr="008B40A2">
        <w:rPr>
          <w:rFonts w:ascii="Palatino Linotype" w:eastAsia="Palatino Linotype" w:hAnsi="Palatino Linotype" w:cs="Palatino Linotype"/>
          <w:b/>
        </w:rPr>
        <w:t xml:space="preserve"> Secretaría de Finanzas</w:t>
      </w:r>
      <w:r w:rsidRPr="008B40A2">
        <w:rPr>
          <w:rFonts w:ascii="Palatino Linotype" w:eastAsia="Palatino Linotype" w:hAnsi="Palatino Linotype" w:cs="Palatino Linotype"/>
        </w:rPr>
        <w:t xml:space="preserve">, en lo sucesivo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w:t>
      </w:r>
      <w:r w:rsidRPr="008B40A2">
        <w:rPr>
          <w:rFonts w:ascii="Palatino Linotype" w:eastAsia="Palatino Linotype" w:hAnsi="Palatino Linotype" w:cs="Palatino Linotype"/>
          <w:b/>
        </w:rPr>
        <w:t xml:space="preserve"> </w:t>
      </w:r>
      <w:r w:rsidRPr="008B40A2">
        <w:rPr>
          <w:rFonts w:ascii="Palatino Linotype" w:eastAsia="Palatino Linotype" w:hAnsi="Palatino Linotype" w:cs="Palatino Linotype"/>
        </w:rPr>
        <w:t xml:space="preserve">se procede a dictar la presente resolución, con base en lo siguiente. </w:t>
      </w:r>
    </w:p>
    <w:p w14:paraId="3312B502" w14:textId="77777777" w:rsidR="00910FC2" w:rsidRPr="008B40A2" w:rsidRDefault="008F0852">
      <w:pPr>
        <w:pStyle w:val="Ttulo2"/>
        <w:spacing w:before="240" w:after="240" w:line="360" w:lineRule="auto"/>
        <w:jc w:val="center"/>
        <w:rPr>
          <w:rFonts w:ascii="Palatino Linotype" w:eastAsia="Palatino Linotype" w:hAnsi="Palatino Linotype" w:cs="Palatino Linotype"/>
          <w:b/>
          <w:color w:val="auto"/>
          <w:sz w:val="24"/>
          <w:szCs w:val="24"/>
        </w:rPr>
      </w:pPr>
      <w:r w:rsidRPr="008B40A2">
        <w:rPr>
          <w:rFonts w:ascii="Palatino Linotype" w:eastAsia="Palatino Linotype" w:hAnsi="Palatino Linotype" w:cs="Palatino Linotype"/>
          <w:b/>
          <w:color w:val="auto"/>
          <w:sz w:val="24"/>
          <w:szCs w:val="24"/>
        </w:rPr>
        <w:t>I. A N T E C E D E N T E S:</w:t>
      </w:r>
    </w:p>
    <w:p w14:paraId="6FB6D056" w14:textId="77777777" w:rsidR="00910FC2" w:rsidRPr="008B40A2" w:rsidRDefault="008F0852">
      <w:pPr>
        <w:spacing w:before="240" w:after="240" w:line="360" w:lineRule="auto"/>
        <w:jc w:val="both"/>
        <w:rPr>
          <w:rFonts w:ascii="Palatino Linotype" w:eastAsia="Palatino Linotype" w:hAnsi="Palatino Linotype" w:cs="Palatino Linotype"/>
          <w:b/>
        </w:rPr>
      </w:pPr>
      <w:r w:rsidRPr="008B40A2">
        <w:rPr>
          <w:rFonts w:ascii="Palatino Linotype" w:eastAsia="Palatino Linotype" w:hAnsi="Palatino Linotype" w:cs="Palatino Linotype"/>
          <w:b/>
        </w:rPr>
        <w:t>1. Solicitud de acceso a la información.</w:t>
      </w:r>
      <w:r w:rsidRPr="008B40A2">
        <w:rPr>
          <w:rFonts w:ascii="Palatino Linotype" w:eastAsia="Palatino Linotype" w:hAnsi="Palatino Linotype" w:cs="Palatino Linotype"/>
          <w:b/>
          <w:sz w:val="22"/>
          <w:szCs w:val="22"/>
        </w:rPr>
        <w:t xml:space="preserve"> </w:t>
      </w:r>
      <w:r w:rsidRPr="008B40A2">
        <w:rPr>
          <w:rFonts w:ascii="Palatino Linotype" w:eastAsia="Palatino Linotype" w:hAnsi="Palatino Linotype" w:cs="Palatino Linotype"/>
        </w:rPr>
        <w:t xml:space="preserve">El </w:t>
      </w:r>
      <w:r w:rsidRPr="008B40A2">
        <w:rPr>
          <w:rFonts w:ascii="Palatino Linotype" w:eastAsia="Palatino Linotype" w:hAnsi="Palatino Linotype" w:cs="Palatino Linotype"/>
          <w:b/>
        </w:rPr>
        <w:t>catorce de octubre del dos mil veintidós,</w:t>
      </w:r>
      <w:r w:rsidRPr="008B40A2">
        <w:rPr>
          <w:rFonts w:ascii="Palatino Linotype" w:eastAsia="Palatino Linotype" w:hAnsi="Palatino Linotype" w:cs="Palatino Linotype"/>
        </w:rPr>
        <w:t xml:space="preserve"> la ahora </w:t>
      </w:r>
      <w:r w:rsidRPr="008B40A2">
        <w:rPr>
          <w:rFonts w:ascii="Palatino Linotype" w:eastAsia="Palatino Linotype" w:hAnsi="Palatino Linotype" w:cs="Palatino Linotype"/>
          <w:b/>
        </w:rPr>
        <w:t>parte</w:t>
      </w:r>
      <w:r w:rsidRPr="008B40A2">
        <w:rPr>
          <w:rFonts w:ascii="Palatino Linotype" w:eastAsia="Palatino Linotype" w:hAnsi="Palatino Linotype" w:cs="Palatino Linotype"/>
        </w:rPr>
        <w:t xml:space="preserve"> </w:t>
      </w:r>
      <w:r w:rsidRPr="008B40A2">
        <w:rPr>
          <w:rFonts w:ascii="Palatino Linotype" w:eastAsia="Palatino Linotype" w:hAnsi="Palatino Linotype" w:cs="Palatino Linotype"/>
          <w:b/>
        </w:rPr>
        <w:t>Recurrente</w:t>
      </w:r>
      <w:r w:rsidRPr="008B40A2">
        <w:rPr>
          <w:rFonts w:ascii="Palatino Linotype" w:eastAsia="Palatino Linotype" w:hAnsi="Palatino Linotype" w:cs="Palatino Linotype"/>
        </w:rPr>
        <w:t xml:space="preserve"> presentó a través del Sistema de Acceso a la Información Mexiquense, en lo subsecuente el </w:t>
      </w:r>
      <w:r w:rsidRPr="008B40A2">
        <w:rPr>
          <w:rFonts w:ascii="Palatino Linotype" w:eastAsia="Palatino Linotype" w:hAnsi="Palatino Linotype" w:cs="Palatino Linotype"/>
          <w:b/>
        </w:rPr>
        <w:t>SAIMEX,</w:t>
      </w:r>
      <w:r w:rsidRPr="008B40A2">
        <w:rPr>
          <w:rFonts w:ascii="Palatino Linotype" w:eastAsia="Palatino Linotype" w:hAnsi="Palatino Linotype" w:cs="Palatino Linotype"/>
        </w:rPr>
        <w:t xml:space="preserve"> la solicitud de acceso a la información pública, a la que se le asignó el número</w:t>
      </w:r>
      <w:r w:rsidRPr="008B40A2">
        <w:rPr>
          <w:rFonts w:ascii="Palatino Linotype" w:eastAsia="Palatino Linotype" w:hAnsi="Palatino Linotype" w:cs="Palatino Linotype"/>
          <w:b/>
        </w:rPr>
        <w:t xml:space="preserve"> </w:t>
      </w:r>
      <w:r w:rsidRPr="008B40A2">
        <w:rPr>
          <w:rFonts w:ascii="Palatino Linotype" w:eastAsia="Palatino Linotype" w:hAnsi="Palatino Linotype" w:cs="Palatino Linotype"/>
        </w:rPr>
        <w:t>de folio</w:t>
      </w:r>
      <w:r w:rsidRPr="008B40A2">
        <w:rPr>
          <w:rFonts w:ascii="Palatino Linotype" w:eastAsia="Palatino Linotype" w:hAnsi="Palatino Linotype" w:cs="Palatino Linotype"/>
          <w:b/>
        </w:rPr>
        <w:t xml:space="preserve"> 00478/SF/IP/2022, </w:t>
      </w:r>
      <w:r w:rsidRPr="008B40A2">
        <w:rPr>
          <w:rFonts w:ascii="Palatino Linotype" w:eastAsia="Palatino Linotype" w:hAnsi="Palatino Linotype" w:cs="Palatino Linotype"/>
        </w:rPr>
        <w:t xml:space="preserve">a través de la cual </w:t>
      </w:r>
      <w:proofErr w:type="gramStart"/>
      <w:r w:rsidRPr="008B40A2">
        <w:rPr>
          <w:rFonts w:ascii="Palatino Linotype" w:eastAsia="Palatino Linotype" w:hAnsi="Palatino Linotype" w:cs="Palatino Linotype"/>
        </w:rPr>
        <w:t>requirió  lo</w:t>
      </w:r>
      <w:proofErr w:type="gramEnd"/>
      <w:r w:rsidRPr="008B40A2">
        <w:rPr>
          <w:rFonts w:ascii="Palatino Linotype" w:eastAsia="Palatino Linotype" w:hAnsi="Palatino Linotype" w:cs="Palatino Linotype"/>
        </w:rPr>
        <w:t xml:space="preserve"> siguiente:</w:t>
      </w:r>
    </w:p>
    <w:p w14:paraId="53637671" w14:textId="77777777" w:rsidR="00910FC2" w:rsidRPr="008B40A2" w:rsidRDefault="008F0852">
      <w:pPr>
        <w:spacing w:before="24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“Se solicita</w:t>
      </w:r>
      <w:r w:rsidRPr="008B40A2">
        <w:rPr>
          <w:rFonts w:ascii="Palatino Linotype" w:eastAsia="Palatino Linotype" w:hAnsi="Palatino Linotype" w:cs="Palatino Linotype"/>
          <w:b/>
          <w:i/>
          <w:sz w:val="22"/>
          <w:szCs w:val="22"/>
        </w:rPr>
        <w:t xml:space="preserve"> </w:t>
      </w:r>
      <w:r w:rsidRPr="008B40A2">
        <w:rPr>
          <w:rFonts w:ascii="Palatino Linotype" w:eastAsia="Palatino Linotype" w:hAnsi="Palatino Linotype" w:cs="Palatino Linotype"/>
          <w:b/>
          <w:i/>
          <w:sz w:val="22"/>
          <w:szCs w:val="22"/>
          <w:u w:val="single"/>
        </w:rPr>
        <w:t xml:space="preserve">nombre y cargo del responsable de operar y administrar los </w:t>
      </w:r>
      <w:proofErr w:type="gramStart"/>
      <w:r w:rsidRPr="008B40A2">
        <w:rPr>
          <w:rFonts w:ascii="Palatino Linotype" w:eastAsia="Palatino Linotype" w:hAnsi="Palatino Linotype" w:cs="Palatino Linotype"/>
          <w:b/>
          <w:i/>
          <w:sz w:val="22"/>
          <w:szCs w:val="22"/>
          <w:u w:val="single"/>
        </w:rPr>
        <w:t>espectaculares propiedad</w:t>
      </w:r>
      <w:proofErr w:type="gramEnd"/>
      <w:r w:rsidRPr="008B40A2">
        <w:rPr>
          <w:rFonts w:ascii="Palatino Linotype" w:eastAsia="Palatino Linotype" w:hAnsi="Palatino Linotype" w:cs="Palatino Linotype"/>
          <w:b/>
          <w:i/>
          <w:sz w:val="22"/>
          <w:szCs w:val="22"/>
          <w:u w:val="single"/>
        </w:rPr>
        <w:t xml:space="preserve"> del Gobierno del estado</w:t>
      </w:r>
      <w:r w:rsidRPr="008B40A2">
        <w:rPr>
          <w:rFonts w:ascii="Palatino Linotype" w:eastAsia="Palatino Linotype" w:hAnsi="Palatino Linotype" w:cs="Palatino Linotype"/>
          <w:b/>
          <w:i/>
          <w:sz w:val="22"/>
          <w:szCs w:val="22"/>
        </w:rPr>
        <w:t>.</w:t>
      </w:r>
      <w:r w:rsidRPr="008B40A2">
        <w:rPr>
          <w:rFonts w:ascii="Palatino Linotype" w:eastAsia="Palatino Linotype" w:hAnsi="Palatino Linotype" w:cs="Palatino Linotype"/>
          <w:i/>
          <w:sz w:val="22"/>
          <w:szCs w:val="22"/>
        </w:rPr>
        <w:t>” (Sic) (Énfasis añadido)</w:t>
      </w:r>
    </w:p>
    <w:p w14:paraId="29C3A8FD" w14:textId="77777777" w:rsidR="00910FC2" w:rsidRPr="008B40A2" w:rsidRDefault="008F0852">
      <w:pPr>
        <w:spacing w:before="240" w:after="240" w:line="360" w:lineRule="auto"/>
        <w:jc w:val="both"/>
        <w:rPr>
          <w:rFonts w:ascii="Palatino Linotype" w:eastAsia="Palatino Linotype" w:hAnsi="Palatino Linotype" w:cs="Palatino Linotype"/>
          <w:b/>
        </w:rPr>
      </w:pPr>
      <w:r w:rsidRPr="008B40A2">
        <w:rPr>
          <w:rFonts w:ascii="Palatino Linotype" w:eastAsia="Palatino Linotype" w:hAnsi="Palatino Linotype" w:cs="Palatino Linotype"/>
          <w:b/>
        </w:rPr>
        <w:t>Modalidad de entrega de la información</w:t>
      </w:r>
      <w:r w:rsidRPr="008B40A2">
        <w:rPr>
          <w:rFonts w:ascii="Palatino Linotype" w:eastAsia="Palatino Linotype" w:hAnsi="Palatino Linotype" w:cs="Palatino Linotype"/>
        </w:rPr>
        <w:t xml:space="preserve">: vía </w:t>
      </w:r>
      <w:r w:rsidRPr="008B40A2">
        <w:rPr>
          <w:rFonts w:ascii="Palatino Linotype" w:eastAsia="Palatino Linotype" w:hAnsi="Palatino Linotype" w:cs="Palatino Linotype"/>
          <w:b/>
        </w:rPr>
        <w:t xml:space="preserve">SAIMEX </w:t>
      </w:r>
    </w:p>
    <w:p w14:paraId="5236C6E1" w14:textId="77777777" w:rsidR="00910FC2" w:rsidRPr="008B40A2" w:rsidRDefault="008F0852">
      <w:pPr>
        <w:spacing w:before="240" w:after="240" w:line="360" w:lineRule="auto"/>
        <w:jc w:val="both"/>
        <w:rPr>
          <w:rFonts w:ascii="Palatino Linotype" w:eastAsia="Palatino Linotype" w:hAnsi="Palatino Linotype" w:cs="Palatino Linotype"/>
          <w:b/>
        </w:rPr>
      </w:pPr>
      <w:r w:rsidRPr="008B40A2">
        <w:rPr>
          <w:rFonts w:ascii="Palatino Linotype" w:eastAsia="Palatino Linotype" w:hAnsi="Palatino Linotype" w:cs="Palatino Linotype"/>
          <w:b/>
        </w:rPr>
        <w:t xml:space="preserve">2. Información que puede estar en poder de otro Sujeto Obligado. </w:t>
      </w:r>
      <w:r w:rsidRPr="008B40A2">
        <w:rPr>
          <w:rFonts w:ascii="Palatino Linotype" w:eastAsia="Palatino Linotype" w:hAnsi="Palatino Linotype" w:cs="Palatino Linotype"/>
        </w:rPr>
        <w:t xml:space="preserve">El </w:t>
      </w:r>
      <w:r w:rsidRPr="008B40A2">
        <w:rPr>
          <w:rFonts w:ascii="Palatino Linotype" w:eastAsia="Palatino Linotype" w:hAnsi="Palatino Linotype" w:cs="Palatino Linotype"/>
          <w:b/>
        </w:rPr>
        <w:t>diecinueve de octubre del dos mil veintidós</w:t>
      </w:r>
      <w:r w:rsidRPr="008B40A2">
        <w:rPr>
          <w:rFonts w:ascii="Palatino Linotype" w:eastAsia="Palatino Linotype" w:hAnsi="Palatino Linotype" w:cs="Palatino Linotype"/>
        </w:rPr>
        <w:t xml:space="preserve">,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otorgó, a través del </w:t>
      </w:r>
      <w:r w:rsidRPr="008B40A2">
        <w:rPr>
          <w:rFonts w:ascii="Palatino Linotype" w:eastAsia="Palatino Linotype" w:hAnsi="Palatino Linotype" w:cs="Palatino Linotype"/>
          <w:b/>
        </w:rPr>
        <w:t>SAIMEX</w:t>
      </w:r>
      <w:r w:rsidRPr="008B40A2">
        <w:rPr>
          <w:rFonts w:ascii="Palatino Linotype" w:eastAsia="Palatino Linotype" w:hAnsi="Palatino Linotype" w:cs="Palatino Linotype"/>
        </w:rPr>
        <w:t>, el acuerdo por el cual declara la incompetencia en los siguientes términos:</w:t>
      </w:r>
    </w:p>
    <w:p w14:paraId="1A787ED5" w14:textId="77777777" w:rsidR="00910FC2" w:rsidRPr="008B40A2" w:rsidRDefault="008F0852">
      <w:pPr>
        <w:spacing w:before="24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lastRenderedPageBreak/>
        <w:t xml:space="preserve">“Sobre el particular, sírvase encontrar en archivo adjunto el acuerdo a través del cual se detalla la </w:t>
      </w:r>
      <w:proofErr w:type="spellStart"/>
      <w:r w:rsidRPr="008B40A2">
        <w:rPr>
          <w:rFonts w:ascii="Palatino Linotype" w:eastAsia="Palatino Linotype" w:hAnsi="Palatino Linotype" w:cs="Palatino Linotype"/>
          <w:i/>
          <w:sz w:val="22"/>
          <w:szCs w:val="22"/>
        </w:rPr>
        <w:t>incomeptencia</w:t>
      </w:r>
      <w:proofErr w:type="spellEnd"/>
      <w:r w:rsidRPr="008B40A2">
        <w:rPr>
          <w:rFonts w:ascii="Palatino Linotype" w:eastAsia="Palatino Linotype" w:hAnsi="Palatino Linotype" w:cs="Palatino Linotype"/>
          <w:i/>
          <w:sz w:val="22"/>
          <w:szCs w:val="22"/>
        </w:rPr>
        <w:t xml:space="preserve"> de este </w:t>
      </w:r>
      <w:proofErr w:type="spellStart"/>
      <w:r w:rsidRPr="008B40A2">
        <w:rPr>
          <w:rFonts w:ascii="Palatino Linotype" w:eastAsia="Palatino Linotype" w:hAnsi="Palatino Linotype" w:cs="Palatino Linotype"/>
          <w:i/>
          <w:sz w:val="22"/>
          <w:szCs w:val="22"/>
        </w:rPr>
        <w:t>Suejot</w:t>
      </w:r>
      <w:proofErr w:type="spellEnd"/>
      <w:r w:rsidRPr="008B40A2">
        <w:rPr>
          <w:rFonts w:ascii="Palatino Linotype" w:eastAsia="Palatino Linotype" w:hAnsi="Palatino Linotype" w:cs="Palatino Linotype"/>
          <w:i/>
          <w:sz w:val="22"/>
          <w:szCs w:val="22"/>
        </w:rPr>
        <w:t xml:space="preserve"> Obligado.</w:t>
      </w:r>
    </w:p>
    <w:p w14:paraId="1BA663BC" w14:textId="77777777" w:rsidR="00910FC2" w:rsidRPr="008B40A2" w:rsidRDefault="008F0852">
      <w:pPr>
        <w:spacing w:before="24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ATENTAMENTE</w:t>
      </w:r>
    </w:p>
    <w:p w14:paraId="594CD92B" w14:textId="77777777" w:rsidR="00910FC2" w:rsidRPr="008B40A2" w:rsidRDefault="008F0852">
      <w:pPr>
        <w:spacing w:before="24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Lic. Rodolfo Esteban Rivadeneyra Hernández “(Sic)</w:t>
      </w:r>
    </w:p>
    <w:p w14:paraId="74343776" w14:textId="77777777" w:rsidR="00910FC2" w:rsidRPr="008B40A2" w:rsidRDefault="008F0852">
      <w:pPr>
        <w:spacing w:before="240" w:after="240" w:line="360" w:lineRule="auto"/>
        <w:ind w:right="567"/>
        <w:jc w:val="both"/>
        <w:rPr>
          <w:rFonts w:ascii="Palatino Linotype" w:eastAsia="Palatino Linotype" w:hAnsi="Palatino Linotype" w:cs="Palatino Linotype"/>
        </w:rPr>
      </w:pPr>
      <w:r w:rsidRPr="008B40A2">
        <w:rPr>
          <w:rFonts w:ascii="Palatino Linotype" w:eastAsia="Palatino Linotype" w:hAnsi="Palatino Linotype" w:cs="Palatino Linotype"/>
          <w:b/>
        </w:rPr>
        <w:t>Archivos adjuntos:</w:t>
      </w:r>
      <w:r w:rsidRPr="008B40A2">
        <w:rPr>
          <w:rFonts w:ascii="Palatino Linotype" w:eastAsia="Palatino Linotype" w:hAnsi="Palatino Linotype" w:cs="Palatino Linotype"/>
        </w:rPr>
        <w:t xml:space="preserve"> </w:t>
      </w:r>
    </w:p>
    <w:p w14:paraId="124098D7" w14:textId="77777777" w:rsidR="00910FC2" w:rsidRPr="008B40A2" w:rsidRDefault="008F0852">
      <w:pPr>
        <w:spacing w:before="240" w:after="240" w:line="360" w:lineRule="auto"/>
        <w:ind w:left="567" w:right="567"/>
        <w:jc w:val="both"/>
        <w:rPr>
          <w:rFonts w:ascii="Palatino Linotype" w:eastAsia="Palatino Linotype" w:hAnsi="Palatino Linotype" w:cs="Palatino Linotype"/>
        </w:rPr>
      </w:pPr>
      <w:r w:rsidRPr="008B40A2">
        <w:rPr>
          <w:rFonts w:ascii="Palatino Linotype" w:eastAsia="Palatino Linotype" w:hAnsi="Palatino Linotype" w:cs="Palatino Linotype"/>
          <w:b/>
          <w:i/>
          <w:sz w:val="22"/>
          <w:szCs w:val="22"/>
        </w:rPr>
        <w:t>“478 Acuerdo de incompetencia.pdf”:</w:t>
      </w:r>
      <w:r w:rsidRPr="008B40A2">
        <w:rPr>
          <w:rFonts w:ascii="Palatino Linotype" w:eastAsia="Palatino Linotype" w:hAnsi="Palatino Linotype" w:cs="Palatino Linotype"/>
        </w:rPr>
        <w:t xml:space="preserve"> Documento de tres fojas que se encuentra signado por el Titular de la Unidad de Transparencia y medularmente manifiesta su incompetencia para atender la presente solicitud de información, a su vez oriente al solicitante para que formule su requerimiento ante la Junta Local de Caminos del Estado de México y el Sistema de Aeropuertos, Autopistas y Servicios Conexos y Auxiliares del Estado de México, los cuales son sujetos obligados diversos, se inserta la primera foja para mayor referencia.</w:t>
      </w:r>
    </w:p>
    <w:p w14:paraId="53342408" w14:textId="77777777" w:rsidR="00910FC2" w:rsidRPr="008B40A2" w:rsidRDefault="008F0852">
      <w:pPr>
        <w:spacing w:before="240" w:after="240" w:line="360" w:lineRule="auto"/>
        <w:ind w:left="567" w:right="567"/>
        <w:jc w:val="both"/>
        <w:rPr>
          <w:rFonts w:ascii="Palatino Linotype" w:eastAsia="Palatino Linotype" w:hAnsi="Palatino Linotype" w:cs="Palatino Linotype"/>
        </w:rPr>
      </w:pPr>
      <w:r w:rsidRPr="008B40A2">
        <w:rPr>
          <w:noProof/>
          <w:lang w:val="es-MX"/>
        </w:rPr>
        <w:lastRenderedPageBreak/>
        <w:drawing>
          <wp:anchor distT="0" distB="0" distL="114300" distR="114300" simplePos="0" relativeHeight="251658240" behindDoc="0" locked="0" layoutInCell="1" hidden="0" allowOverlap="1" wp14:anchorId="04826F02" wp14:editId="1AE94F89">
            <wp:simplePos x="0" y="0"/>
            <wp:positionH relativeFrom="column">
              <wp:posOffset>-156209</wp:posOffset>
            </wp:positionH>
            <wp:positionV relativeFrom="paragraph">
              <wp:posOffset>19685</wp:posOffset>
            </wp:positionV>
            <wp:extent cx="5746750" cy="7258050"/>
            <wp:effectExtent l="0" t="0" r="0" b="0"/>
            <wp:wrapTopAndBottom distT="0" dist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46750" cy="7258050"/>
                    </a:xfrm>
                    <a:prstGeom prst="rect">
                      <a:avLst/>
                    </a:prstGeom>
                    <a:ln/>
                  </pic:spPr>
                </pic:pic>
              </a:graphicData>
            </a:graphic>
          </wp:anchor>
        </w:drawing>
      </w:r>
    </w:p>
    <w:p w14:paraId="12571C07" w14:textId="77777777" w:rsidR="00910FC2" w:rsidRPr="008B40A2" w:rsidRDefault="008F0852">
      <w:pP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b/>
        </w:rPr>
        <w:lastRenderedPageBreak/>
        <w:t>3. Interposición del Recurso de revisión.</w:t>
      </w:r>
      <w:r w:rsidRPr="008B40A2">
        <w:rPr>
          <w:rFonts w:ascii="Palatino Linotype" w:eastAsia="Palatino Linotype" w:hAnsi="Palatino Linotype" w:cs="Palatino Linotype"/>
          <w:b/>
          <w:sz w:val="22"/>
          <w:szCs w:val="22"/>
        </w:rPr>
        <w:t xml:space="preserve"> </w:t>
      </w:r>
      <w:r w:rsidRPr="008B40A2">
        <w:rPr>
          <w:rFonts w:ascii="Palatino Linotype" w:eastAsia="Palatino Linotype" w:hAnsi="Palatino Linotype" w:cs="Palatino Linotype"/>
        </w:rPr>
        <w:t xml:space="preserve">Inconforme con la respuesta recibida, </w:t>
      </w:r>
      <w:r w:rsidRPr="008B40A2">
        <w:rPr>
          <w:rFonts w:ascii="Palatino Linotype" w:eastAsia="Palatino Linotype" w:hAnsi="Palatino Linotype" w:cs="Palatino Linotype"/>
          <w:b/>
        </w:rPr>
        <w:t>la parte Recurrente</w:t>
      </w:r>
      <w:r w:rsidRPr="008B40A2">
        <w:rPr>
          <w:rFonts w:ascii="Palatino Linotype" w:eastAsia="Palatino Linotype" w:hAnsi="Palatino Linotype" w:cs="Palatino Linotype"/>
        </w:rPr>
        <w:t xml:space="preserve"> interpuso el </w:t>
      </w:r>
      <w:r w:rsidRPr="008B40A2">
        <w:rPr>
          <w:rFonts w:ascii="Palatino Linotype" w:eastAsia="Palatino Linotype" w:hAnsi="Palatino Linotype" w:cs="Palatino Linotype"/>
          <w:b/>
        </w:rPr>
        <w:t>veintiséis de octubre del año dos mil veintidós</w:t>
      </w:r>
      <w:r w:rsidRPr="008B40A2">
        <w:rPr>
          <w:rFonts w:ascii="Palatino Linotype" w:eastAsia="Palatino Linotype" w:hAnsi="Palatino Linotype" w:cs="Palatino Linotype"/>
        </w:rPr>
        <w:t>, el presente medio de impugnación expresando las siguientes manifestaciones:</w:t>
      </w:r>
    </w:p>
    <w:p w14:paraId="32DAF935" w14:textId="77777777" w:rsidR="00910FC2" w:rsidRPr="008B40A2" w:rsidRDefault="008F0852">
      <w:pPr>
        <w:spacing w:before="240" w:after="240" w:line="360" w:lineRule="auto"/>
        <w:ind w:left="851" w:right="567"/>
        <w:rPr>
          <w:rFonts w:ascii="Palatino Linotype" w:eastAsia="Palatino Linotype" w:hAnsi="Palatino Linotype" w:cs="Palatino Linotype"/>
          <w:b/>
        </w:rPr>
      </w:pPr>
      <w:r w:rsidRPr="008B40A2">
        <w:rPr>
          <w:rFonts w:ascii="Palatino Linotype" w:eastAsia="Palatino Linotype" w:hAnsi="Palatino Linotype" w:cs="Palatino Linotype"/>
          <w:b/>
        </w:rPr>
        <w:t>a) Acto impugnado.</w:t>
      </w:r>
    </w:p>
    <w:p w14:paraId="159736BB" w14:textId="77777777" w:rsidR="00910FC2" w:rsidRPr="008B40A2" w:rsidRDefault="008F0852">
      <w:pPr>
        <w:spacing w:before="240" w:after="240" w:line="276" w:lineRule="auto"/>
        <w:ind w:left="851" w:right="567"/>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 xml:space="preserve">“La respuesta del sujeto obligado.” (Sic) </w:t>
      </w:r>
    </w:p>
    <w:p w14:paraId="651B5A8E" w14:textId="77777777" w:rsidR="00910FC2" w:rsidRPr="008B40A2" w:rsidRDefault="008F0852">
      <w:pPr>
        <w:spacing w:before="240" w:after="240" w:line="360" w:lineRule="auto"/>
        <w:ind w:left="851" w:right="567"/>
        <w:jc w:val="both"/>
        <w:rPr>
          <w:rFonts w:ascii="Palatino Linotype" w:eastAsia="Palatino Linotype" w:hAnsi="Palatino Linotype" w:cs="Palatino Linotype"/>
          <w:b/>
        </w:rPr>
      </w:pPr>
      <w:r w:rsidRPr="008B40A2">
        <w:rPr>
          <w:rFonts w:ascii="Palatino Linotype" w:eastAsia="Palatino Linotype" w:hAnsi="Palatino Linotype" w:cs="Palatino Linotype"/>
          <w:b/>
        </w:rPr>
        <w:t>b) Razones o motivos de inconformidad.</w:t>
      </w:r>
    </w:p>
    <w:p w14:paraId="656DE362" w14:textId="77777777" w:rsidR="00910FC2" w:rsidRPr="008B40A2" w:rsidRDefault="008F0852">
      <w:pPr>
        <w:spacing w:before="240" w:after="240" w:line="276" w:lineRule="auto"/>
        <w:ind w:left="851" w:right="567"/>
        <w:jc w:val="both"/>
        <w:rPr>
          <w:rFonts w:ascii="Palatino Linotype" w:eastAsia="Palatino Linotype" w:hAnsi="Palatino Linotype" w:cs="Palatino Linotype"/>
        </w:rPr>
      </w:pPr>
      <w:r w:rsidRPr="008B40A2">
        <w:rPr>
          <w:rFonts w:ascii="Palatino Linotype" w:eastAsia="Palatino Linotype" w:hAnsi="Palatino Linotype" w:cs="Palatino Linotype"/>
          <w:i/>
          <w:sz w:val="22"/>
          <w:szCs w:val="22"/>
        </w:rPr>
        <w:t>“</w:t>
      </w:r>
      <w:r w:rsidRPr="008B40A2">
        <w:rPr>
          <w:rFonts w:ascii="Palatino Linotype" w:eastAsia="Palatino Linotype" w:hAnsi="Palatino Linotype" w:cs="Palatino Linotype"/>
          <w:b/>
          <w:i/>
          <w:sz w:val="22"/>
          <w:szCs w:val="22"/>
        </w:rPr>
        <w:t>Se niega la información solicitada.</w:t>
      </w:r>
      <w:r w:rsidRPr="008B40A2">
        <w:rPr>
          <w:rFonts w:ascii="Palatino Linotype" w:eastAsia="Palatino Linotype" w:hAnsi="Palatino Linotype" w:cs="Palatino Linotype"/>
          <w:i/>
          <w:sz w:val="22"/>
          <w:szCs w:val="22"/>
        </w:rPr>
        <w:t>" (Sic) (Énfasis añadido)</w:t>
      </w:r>
    </w:p>
    <w:p w14:paraId="43B912B9" w14:textId="77777777" w:rsidR="00910FC2" w:rsidRPr="008B40A2" w:rsidRDefault="008F0852">
      <w:pP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b/>
        </w:rPr>
        <w:t xml:space="preserve">4. Turno. </w:t>
      </w:r>
      <w:r w:rsidRPr="008B40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8B40A2">
        <w:rPr>
          <w:rFonts w:ascii="Palatino Linotype" w:eastAsia="Palatino Linotype" w:hAnsi="Palatino Linotype" w:cs="Palatino Linotype"/>
          <w:b/>
        </w:rPr>
        <w:t>Comisionada Guadalupe Ramírez Peña</w:t>
      </w:r>
      <w:r w:rsidRPr="008B40A2">
        <w:rPr>
          <w:rFonts w:ascii="Palatino Linotype" w:eastAsia="Palatino Linotype" w:hAnsi="Palatino Linotype" w:cs="Palatino Linotype"/>
        </w:rPr>
        <w:t xml:space="preserve"> para su análisis, estudio, elaboración del proyecto y presentación ante el Pleno de este Instituto.</w:t>
      </w:r>
    </w:p>
    <w:p w14:paraId="2E10212B" w14:textId="77777777" w:rsidR="00910FC2" w:rsidRPr="008B40A2" w:rsidRDefault="008F0852">
      <w:pPr>
        <w:spacing w:before="240" w:after="240" w:line="360" w:lineRule="auto"/>
        <w:jc w:val="both"/>
      </w:pPr>
      <w:r w:rsidRPr="008B40A2">
        <w:rPr>
          <w:rFonts w:ascii="Palatino Linotype" w:eastAsia="Palatino Linotype" w:hAnsi="Palatino Linotype" w:cs="Palatino Linotype"/>
          <w:b/>
        </w:rPr>
        <w:t xml:space="preserve">5. Admisión. </w:t>
      </w:r>
      <w:r w:rsidRPr="008B40A2">
        <w:rPr>
          <w:rFonts w:ascii="Palatino Linotype" w:eastAsia="Palatino Linotype" w:hAnsi="Palatino Linotype" w:cs="Palatino Linotype"/>
        </w:rPr>
        <w:t xml:space="preserve">Mediante auto de fecha </w:t>
      </w:r>
      <w:r w:rsidRPr="008B40A2">
        <w:rPr>
          <w:rFonts w:ascii="Palatino Linotype" w:eastAsia="Palatino Linotype" w:hAnsi="Palatino Linotype" w:cs="Palatino Linotype"/>
          <w:b/>
        </w:rPr>
        <w:t>treinta y uno de octubre del dos mil veintidós</w:t>
      </w:r>
      <w:r w:rsidRPr="008B40A2">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3BD53FEB" w14:textId="77777777" w:rsidR="00910FC2" w:rsidRPr="008B40A2" w:rsidRDefault="008F0852">
      <w:pPr>
        <w:widowControl w:val="0"/>
        <w:tabs>
          <w:tab w:val="left" w:pos="709"/>
        </w:tabs>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b/>
        </w:rPr>
        <w:t>6. Manifestaciones.</w:t>
      </w:r>
      <w:r w:rsidRPr="008B40A2">
        <w:rPr>
          <w:rFonts w:ascii="Palatino Linotype" w:eastAsia="Palatino Linotype" w:hAnsi="Palatino Linotype" w:cs="Palatino Linotype"/>
          <w:b/>
          <w:sz w:val="28"/>
          <w:szCs w:val="28"/>
        </w:rPr>
        <w:t xml:space="preserve"> </w:t>
      </w:r>
      <w:r w:rsidRPr="008B40A2">
        <w:rPr>
          <w:rFonts w:ascii="Palatino Linotype" w:eastAsia="Palatino Linotype" w:hAnsi="Palatino Linotype" w:cs="Palatino Linotype"/>
        </w:rPr>
        <w:t xml:space="preserve">De las constancias que integran el expediente en que se actúan </w:t>
      </w:r>
      <w:r w:rsidRPr="008B40A2">
        <w:rPr>
          <w:rFonts w:ascii="Palatino Linotype" w:eastAsia="Palatino Linotype" w:hAnsi="Palatino Linotype" w:cs="Palatino Linotype"/>
        </w:rPr>
        <w:lastRenderedPageBreak/>
        <w:t xml:space="preserve">se advierte que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rindió su informe justificado, los días </w:t>
      </w:r>
      <w:r w:rsidRPr="008B40A2">
        <w:rPr>
          <w:rFonts w:ascii="Palatino Linotype" w:eastAsia="Palatino Linotype" w:hAnsi="Palatino Linotype" w:cs="Palatino Linotype"/>
          <w:b/>
        </w:rPr>
        <w:t>diez de noviembre y dos de diciembre de dos mil veintidós</w:t>
      </w:r>
      <w:r w:rsidRPr="008B40A2">
        <w:rPr>
          <w:rFonts w:ascii="Palatino Linotype" w:eastAsia="Palatino Linotype" w:hAnsi="Palatino Linotype" w:cs="Palatino Linotype"/>
        </w:rPr>
        <w:t xml:space="preserve">, mediante los siguientes archivos electrónicos: </w:t>
      </w:r>
    </w:p>
    <w:p w14:paraId="7F01F747" w14:textId="77777777" w:rsidR="00910FC2" w:rsidRPr="008B40A2" w:rsidRDefault="008F0852">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8B40A2">
        <w:rPr>
          <w:rFonts w:ascii="Palatino Linotype" w:eastAsia="Palatino Linotype" w:hAnsi="Palatino Linotype" w:cs="Palatino Linotype"/>
          <w:b/>
          <w:i/>
          <w:sz w:val="22"/>
          <w:szCs w:val="22"/>
        </w:rPr>
        <w:t xml:space="preserve">“Informe Justificado RR 15819-2022.pdf”: </w:t>
      </w:r>
      <w:r w:rsidRPr="008B40A2">
        <w:rPr>
          <w:rFonts w:ascii="Palatino Linotype" w:eastAsia="Palatino Linotype" w:hAnsi="Palatino Linotype" w:cs="Palatino Linotype"/>
        </w:rPr>
        <w:t>Documento de cinco fojas, mediante el cual el Sujeto Obligado hace del conocimiento de la parte Recurrente que la información solicitada no es generada por la Secretaría de Finanzas, de tal suerte que quien pudiera ser competente para atender lo solicitado son la Secretaría de Movilidad y la Junta de Caminos del Estado de México, quienes suponen sujetos obligados diversos.</w:t>
      </w:r>
    </w:p>
    <w:p w14:paraId="097867FE" w14:textId="77777777" w:rsidR="00910FC2" w:rsidRPr="008B40A2" w:rsidRDefault="008F0852">
      <w:pPr>
        <w:widowControl w:val="0"/>
        <w:tabs>
          <w:tab w:val="left" w:pos="709"/>
        </w:tabs>
        <w:spacing w:before="240" w:after="240" w:line="360"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“RR 15819-2022 ALCANCE.pdf”:</w:t>
      </w:r>
      <w:r w:rsidRPr="008B40A2">
        <w:rPr>
          <w:rFonts w:ascii="Palatino Linotype" w:eastAsia="Palatino Linotype" w:hAnsi="Palatino Linotype" w:cs="Palatino Linotype"/>
          <w:sz w:val="22"/>
          <w:szCs w:val="22"/>
        </w:rPr>
        <w:t xml:space="preserve"> </w:t>
      </w:r>
      <w:r w:rsidRPr="008B40A2">
        <w:rPr>
          <w:rFonts w:ascii="Palatino Linotype" w:eastAsia="Palatino Linotype" w:hAnsi="Palatino Linotype" w:cs="Palatino Linotype"/>
        </w:rPr>
        <w:t>Oficio signado por el Titular de la Unidad de Transparencia de la Secretaría de Finanzas, quien señala que remite el oficio emitido por el servidor público habilitado de la Dirección General de Recursos Materiales, en el que refiere que después de realizar una búsqueda exhaustiva y razonable de la información requerida en la solicitud, se informa para los efectos procedentes que por no corresponder con el ámbito de su competencia, no se cuenta con información de los responsables de operar y administrar los espectaculares propiedad del Gobierno del Estado de México.</w:t>
      </w:r>
      <w:r w:rsidRPr="008B40A2">
        <w:rPr>
          <w:rFonts w:ascii="Palatino Linotype" w:eastAsia="Palatino Linotype" w:hAnsi="Palatino Linotype" w:cs="Palatino Linotype"/>
          <w:b/>
          <w:i/>
        </w:rPr>
        <w:tab/>
      </w:r>
    </w:p>
    <w:p w14:paraId="6B3A1EDD" w14:textId="77777777" w:rsidR="00910FC2" w:rsidRPr="008B40A2" w:rsidRDefault="008F0852">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8B40A2">
        <w:rPr>
          <w:rFonts w:ascii="Palatino Linotype" w:eastAsia="Palatino Linotype" w:hAnsi="Palatino Linotype" w:cs="Palatino Linotype"/>
          <w:b/>
          <w:i/>
          <w:sz w:val="22"/>
          <w:szCs w:val="22"/>
        </w:rPr>
        <w:t xml:space="preserve">“RR 15819-2022 DGRM.pdf”: </w:t>
      </w:r>
      <w:r w:rsidRPr="008B40A2">
        <w:rPr>
          <w:rFonts w:ascii="Palatino Linotype" w:eastAsia="Palatino Linotype" w:hAnsi="Palatino Linotype" w:cs="Palatino Linotype"/>
        </w:rPr>
        <w:t xml:space="preserve">Oficio suscrito por el servidor público habilitado de la Dirección General de Recursos Materiales, quien manifiesta que después de realizar una búsqueda exhaustiva y </w:t>
      </w:r>
      <w:r w:rsidRPr="008B40A2">
        <w:rPr>
          <w:rFonts w:ascii="Palatino Linotype" w:eastAsia="Palatino Linotype" w:hAnsi="Palatino Linotype" w:cs="Palatino Linotype"/>
        </w:rPr>
        <w:lastRenderedPageBreak/>
        <w:t>razonable de la información solicitada, en las unidades administrativas que integran la Dirección General de Recursos Materiales, se informa para los efectos procedentes que, por no corresponder con el ámbito de su competencia, no se cuenta con información de los responsables de operar y administrar los espectaculares propiedad del Gobierno del Estado de México.</w:t>
      </w:r>
    </w:p>
    <w:p w14:paraId="2FBEE8D7" w14:textId="77777777" w:rsidR="00910FC2" w:rsidRPr="008B40A2" w:rsidRDefault="008F0852">
      <w:pPr>
        <w:widowControl w:val="0"/>
        <w:tabs>
          <w:tab w:val="left" w:pos="709"/>
        </w:tabs>
        <w:spacing w:before="240" w:after="240" w:line="360" w:lineRule="auto"/>
        <w:ind w:left="567"/>
        <w:jc w:val="both"/>
        <w:rPr>
          <w:rFonts w:ascii="Palatino Linotype" w:eastAsia="Palatino Linotype" w:hAnsi="Palatino Linotype" w:cs="Palatino Linotype"/>
          <w:sz w:val="22"/>
          <w:szCs w:val="22"/>
        </w:rPr>
      </w:pPr>
      <w:r w:rsidRPr="008B40A2">
        <w:rPr>
          <w:rFonts w:ascii="Palatino Linotype" w:eastAsia="Palatino Linotype" w:hAnsi="Palatino Linotype" w:cs="Palatino Linotype"/>
          <w:noProof/>
          <w:sz w:val="22"/>
          <w:szCs w:val="22"/>
          <w:lang w:val="es-MX"/>
        </w:rPr>
        <w:drawing>
          <wp:inline distT="0" distB="0" distL="0" distR="0" wp14:anchorId="039CE9E7" wp14:editId="35C6000F">
            <wp:extent cx="4849495" cy="5343525"/>
            <wp:effectExtent l="0" t="0" r="8255" b="9525"/>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849992" cy="5344073"/>
                    </a:xfrm>
                    <a:prstGeom prst="rect">
                      <a:avLst/>
                    </a:prstGeom>
                    <a:ln/>
                  </pic:spPr>
                </pic:pic>
              </a:graphicData>
            </a:graphic>
          </wp:inline>
        </w:drawing>
      </w:r>
    </w:p>
    <w:p w14:paraId="49F750F4" w14:textId="77777777" w:rsidR="00910FC2" w:rsidRPr="008B40A2" w:rsidRDefault="008F0852">
      <w:pPr>
        <w:widowControl w:val="0"/>
        <w:tabs>
          <w:tab w:val="left" w:pos="709"/>
        </w:tabs>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lastRenderedPageBreak/>
        <w:t xml:space="preserve">Es de precisar </w:t>
      </w:r>
      <w:proofErr w:type="gramStart"/>
      <w:r w:rsidRPr="008B40A2">
        <w:rPr>
          <w:rFonts w:ascii="Palatino Linotype" w:eastAsia="Palatino Linotype" w:hAnsi="Palatino Linotype" w:cs="Palatino Linotype"/>
        </w:rPr>
        <w:t>que</w:t>
      </w:r>
      <w:proofErr w:type="gramEnd"/>
      <w:r w:rsidRPr="008B40A2">
        <w:rPr>
          <w:rFonts w:ascii="Palatino Linotype" w:eastAsia="Palatino Linotype" w:hAnsi="Palatino Linotype" w:cs="Palatino Linotype"/>
        </w:rPr>
        <w:t xml:space="preserve"> una vez analizados los soportes documentales remitidos por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se determinó ponerlos a la vista del particular mediante acuerdo emitido por la Comisionada Ponente, el </w:t>
      </w:r>
      <w:r w:rsidRPr="008B40A2">
        <w:rPr>
          <w:rFonts w:ascii="Palatino Linotype" w:eastAsia="Palatino Linotype" w:hAnsi="Palatino Linotype" w:cs="Palatino Linotype"/>
          <w:b/>
        </w:rPr>
        <w:t>quince de marzo de dos mil veintitrés</w:t>
      </w:r>
      <w:r w:rsidRPr="008B40A2">
        <w:rPr>
          <w:rFonts w:ascii="Palatino Linotype" w:eastAsia="Palatino Linotype" w:hAnsi="Palatino Linotype" w:cs="Palatino Linotype"/>
        </w:rPr>
        <w:t>, asimismo, por cuanto hace a</w:t>
      </w:r>
      <w:r w:rsidRPr="008B40A2">
        <w:rPr>
          <w:rFonts w:ascii="Palatino Linotype" w:eastAsia="Palatino Linotype" w:hAnsi="Palatino Linotype" w:cs="Palatino Linotype"/>
          <w:b/>
        </w:rPr>
        <w:t xml:space="preserve"> la parte Recurrente</w:t>
      </w:r>
      <w:r w:rsidRPr="008B40A2">
        <w:rPr>
          <w:rFonts w:ascii="Palatino Linotype" w:eastAsia="Palatino Linotype" w:hAnsi="Palatino Linotype" w:cs="Palatino Linotype"/>
        </w:rPr>
        <w:t xml:space="preserve"> se tiene que fue omiso en emitir pronunciamiento alguno que a su derecho convenga, por lo tanto, se tiene por precluido su derecho para tal efecto. </w:t>
      </w:r>
    </w:p>
    <w:p w14:paraId="2FE97A1B" w14:textId="77777777" w:rsidR="00910FC2" w:rsidRPr="008B40A2" w:rsidRDefault="008F0852">
      <w:pPr>
        <w:widowControl w:val="0"/>
        <w:tabs>
          <w:tab w:val="left" w:pos="709"/>
        </w:tabs>
        <w:spacing w:before="240" w:after="240" w:line="360" w:lineRule="auto"/>
        <w:rPr>
          <w:rFonts w:ascii="Palatino Linotype" w:eastAsia="Palatino Linotype" w:hAnsi="Palatino Linotype" w:cs="Palatino Linotype"/>
        </w:rPr>
      </w:pPr>
      <w:r w:rsidRPr="008B40A2">
        <w:rPr>
          <w:rFonts w:ascii="Palatino Linotype" w:eastAsia="Palatino Linotype" w:hAnsi="Palatino Linotype" w:cs="Palatino Linotype"/>
          <w:noProof/>
          <w:lang w:val="es-MX"/>
        </w:rPr>
        <w:drawing>
          <wp:inline distT="0" distB="0" distL="0" distR="0" wp14:anchorId="07FD21AF" wp14:editId="1501EF13">
            <wp:extent cx="5581015" cy="323405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81015" cy="3234055"/>
                    </a:xfrm>
                    <a:prstGeom prst="rect">
                      <a:avLst/>
                    </a:prstGeom>
                    <a:ln/>
                  </pic:spPr>
                </pic:pic>
              </a:graphicData>
            </a:graphic>
          </wp:inline>
        </w:drawing>
      </w:r>
    </w:p>
    <w:p w14:paraId="2AFE3301" w14:textId="77777777" w:rsidR="00910FC2" w:rsidRPr="008B40A2" w:rsidRDefault="008F0852">
      <w:pPr>
        <w:widowControl w:val="0"/>
        <w:tabs>
          <w:tab w:val="left" w:pos="709"/>
        </w:tabs>
        <w:spacing w:before="240" w:after="240" w:line="360" w:lineRule="auto"/>
        <w:jc w:val="both"/>
        <w:rPr>
          <w:rFonts w:ascii="Palatino Linotype" w:eastAsia="Palatino Linotype" w:hAnsi="Palatino Linotype" w:cs="Palatino Linotype"/>
          <w:b/>
          <w:i/>
        </w:rPr>
      </w:pPr>
      <w:r w:rsidRPr="008B40A2">
        <w:rPr>
          <w:rFonts w:ascii="Palatino Linotype" w:eastAsia="Palatino Linotype" w:hAnsi="Palatino Linotype" w:cs="Palatino Linotype"/>
          <w:b/>
        </w:rPr>
        <w:t>7.- Ampliación del plazo para emitir resolución.</w:t>
      </w:r>
      <w:r w:rsidRPr="008B40A2">
        <w:rPr>
          <w:rFonts w:ascii="Palatino Linotype" w:eastAsia="Palatino Linotype" w:hAnsi="Palatino Linotype" w:cs="Palatino Linotype"/>
        </w:rPr>
        <w:t xml:space="preserve"> El </w:t>
      </w:r>
      <w:r w:rsidRPr="008B40A2">
        <w:rPr>
          <w:rFonts w:ascii="Palatino Linotype" w:eastAsia="Palatino Linotype" w:hAnsi="Palatino Linotype" w:cs="Palatino Linotype"/>
          <w:b/>
        </w:rPr>
        <w:t>quince de marzo de dos mil veintitrés</w:t>
      </w:r>
      <w:r w:rsidRPr="008B40A2">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4F774FE"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8B40A2">
        <w:rPr>
          <w:rFonts w:ascii="Palatino Linotype" w:eastAsia="Palatino Linotype" w:hAnsi="Palatino Linotype" w:cs="Palatino Linotype"/>
        </w:rPr>
        <w:lastRenderedPageBreak/>
        <w:t xml:space="preserve">recursos de revisión recibidos dentro del primer semestre del año dos mil veintidós, que, en comparación con los recibidos el </w:t>
      </w:r>
      <w:r w:rsidR="006940AF" w:rsidRPr="008B40A2">
        <w:rPr>
          <w:rFonts w:ascii="Palatino Linotype" w:eastAsia="Palatino Linotype" w:hAnsi="Palatino Linotype" w:cs="Palatino Linotype"/>
        </w:rPr>
        <w:t xml:space="preserve">año dos mil veintiuno, </w:t>
      </w:r>
      <w:r w:rsidRPr="008B40A2">
        <w:rPr>
          <w:rFonts w:ascii="Palatino Linotype" w:eastAsia="Palatino Linotype" w:hAnsi="Palatino Linotype" w:cs="Palatino Linotype"/>
        </w:rPr>
        <w:t>dentro del mismo periodo, se ha incrementado aproximadamente un 400%, circunstancia atípica que ha rebasado las capacidades técnicas y humanas del personal encargado de la proyección de las resoluciones a dichos medios de impugnación.</w:t>
      </w:r>
    </w:p>
    <w:p w14:paraId="545026FD" w14:textId="77777777" w:rsidR="00910FC2" w:rsidRPr="008B40A2" w:rsidRDefault="00910FC2">
      <w:pPr>
        <w:spacing w:line="360" w:lineRule="auto"/>
      </w:pPr>
    </w:p>
    <w:p w14:paraId="21F49559"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 xml:space="preserve">Por ello, es menester precisar </w:t>
      </w:r>
      <w:proofErr w:type="gramStart"/>
      <w:r w:rsidRPr="008B40A2">
        <w:rPr>
          <w:rFonts w:ascii="Palatino Linotype" w:eastAsia="Palatino Linotype" w:hAnsi="Palatino Linotype" w:cs="Palatino Linotype"/>
        </w:rPr>
        <w:t>que</w:t>
      </w:r>
      <w:proofErr w:type="gramEnd"/>
      <w:r w:rsidRPr="008B40A2">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F123E37" w14:textId="77777777" w:rsidR="00910FC2" w:rsidRPr="008B40A2" w:rsidRDefault="00910FC2">
      <w:pPr>
        <w:spacing w:line="360" w:lineRule="auto"/>
      </w:pPr>
    </w:p>
    <w:p w14:paraId="39E99760"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611E15" w14:textId="77777777" w:rsidR="00910FC2" w:rsidRPr="008B40A2" w:rsidRDefault="00910FC2">
      <w:pPr>
        <w:spacing w:line="360" w:lineRule="auto"/>
      </w:pPr>
    </w:p>
    <w:p w14:paraId="15CBEE2A"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7C6F43" w14:textId="77777777" w:rsidR="00910FC2" w:rsidRPr="008B40A2" w:rsidRDefault="00910FC2">
      <w:pPr>
        <w:spacing w:line="360" w:lineRule="auto"/>
      </w:pPr>
    </w:p>
    <w:p w14:paraId="7FC54B68"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r w:rsidRPr="008B40A2">
        <w:rPr>
          <w:rFonts w:ascii="Palatino Linotype" w:eastAsia="Palatino Linotype" w:hAnsi="Palatino Linotype" w:cs="Palatino Linotype"/>
        </w:rPr>
        <w:lastRenderedPageBreak/>
        <w:t>su resolución atentos a los siguientes criterios: </w:t>
      </w:r>
      <w:r w:rsidRPr="008B40A2">
        <w:br/>
      </w:r>
    </w:p>
    <w:p w14:paraId="4EEACE77" w14:textId="77777777" w:rsidR="00910FC2" w:rsidRPr="008B40A2" w:rsidRDefault="008F0852">
      <w:pPr>
        <w:numPr>
          <w:ilvl w:val="0"/>
          <w:numId w:val="1"/>
        </w:numPr>
        <w:pBdr>
          <w:top w:val="nil"/>
          <w:left w:val="nil"/>
          <w:bottom w:val="nil"/>
          <w:right w:val="nil"/>
          <w:between w:val="nil"/>
        </w:pBdr>
        <w:spacing w:line="360" w:lineRule="auto"/>
        <w:ind w:left="567" w:right="567" w:hanging="141"/>
        <w:jc w:val="both"/>
      </w:pPr>
      <w:r w:rsidRPr="008B40A2">
        <w:rPr>
          <w:rFonts w:ascii="Palatino Linotype" w:eastAsia="Palatino Linotype" w:hAnsi="Palatino Linotype" w:cs="Palatino Linotype"/>
          <w:b/>
        </w:rPr>
        <w:t>Complejidad del Asunto:</w:t>
      </w:r>
      <w:r w:rsidRPr="008B40A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0FF8479" w14:textId="77777777" w:rsidR="00910FC2" w:rsidRPr="008B40A2" w:rsidRDefault="008F0852">
      <w:pPr>
        <w:numPr>
          <w:ilvl w:val="0"/>
          <w:numId w:val="1"/>
        </w:numPr>
        <w:pBdr>
          <w:top w:val="nil"/>
          <w:left w:val="nil"/>
          <w:bottom w:val="nil"/>
          <w:right w:val="nil"/>
          <w:between w:val="nil"/>
        </w:pBdr>
        <w:spacing w:line="360" w:lineRule="auto"/>
        <w:ind w:left="567" w:right="567" w:hanging="141"/>
        <w:jc w:val="both"/>
      </w:pPr>
      <w:r w:rsidRPr="008B40A2">
        <w:rPr>
          <w:rFonts w:ascii="Palatino Linotype" w:eastAsia="Palatino Linotype" w:hAnsi="Palatino Linotype" w:cs="Palatino Linotype"/>
          <w:b/>
        </w:rPr>
        <w:t>Actividad Procesal del interesado</w:t>
      </w:r>
      <w:r w:rsidRPr="008B40A2">
        <w:rPr>
          <w:rFonts w:ascii="Palatino Linotype" w:eastAsia="Palatino Linotype" w:hAnsi="Palatino Linotype" w:cs="Palatino Linotype"/>
        </w:rPr>
        <w:t>. Acciones u omisiones del interesado.</w:t>
      </w:r>
    </w:p>
    <w:p w14:paraId="0589D640" w14:textId="77777777" w:rsidR="00910FC2" w:rsidRPr="008B40A2" w:rsidRDefault="008F0852">
      <w:pPr>
        <w:numPr>
          <w:ilvl w:val="0"/>
          <w:numId w:val="1"/>
        </w:numPr>
        <w:pBdr>
          <w:top w:val="nil"/>
          <w:left w:val="nil"/>
          <w:bottom w:val="nil"/>
          <w:right w:val="nil"/>
          <w:between w:val="nil"/>
        </w:pBdr>
        <w:spacing w:line="360" w:lineRule="auto"/>
        <w:ind w:left="567" w:right="567" w:hanging="141"/>
        <w:jc w:val="both"/>
      </w:pPr>
      <w:r w:rsidRPr="008B40A2">
        <w:rPr>
          <w:rFonts w:ascii="Palatino Linotype" w:eastAsia="Palatino Linotype" w:hAnsi="Palatino Linotype" w:cs="Palatino Linotype"/>
          <w:b/>
        </w:rPr>
        <w:t>Conducta de la Autoridad:</w:t>
      </w:r>
      <w:r w:rsidRPr="008B40A2">
        <w:rPr>
          <w:rFonts w:ascii="Palatino Linotype" w:eastAsia="Palatino Linotype" w:hAnsi="Palatino Linotype" w:cs="Palatino Linotype"/>
        </w:rPr>
        <w:t xml:space="preserve"> Las Acciones u omisiones realizadas en el procedimiento. Así como si la autoridad actuó con la debida diligencia.</w:t>
      </w:r>
    </w:p>
    <w:p w14:paraId="13ED02E2" w14:textId="77777777" w:rsidR="00910FC2" w:rsidRPr="008B40A2" w:rsidRDefault="008F0852">
      <w:pPr>
        <w:numPr>
          <w:ilvl w:val="0"/>
          <w:numId w:val="1"/>
        </w:numPr>
        <w:pBdr>
          <w:top w:val="nil"/>
          <w:left w:val="nil"/>
          <w:bottom w:val="nil"/>
          <w:right w:val="nil"/>
          <w:between w:val="nil"/>
        </w:pBdr>
        <w:spacing w:line="360" w:lineRule="auto"/>
        <w:ind w:left="567" w:right="567" w:hanging="141"/>
        <w:jc w:val="both"/>
      </w:pPr>
      <w:r w:rsidRPr="008B40A2">
        <w:rPr>
          <w:rFonts w:ascii="Palatino Linotype" w:eastAsia="Palatino Linotype" w:hAnsi="Palatino Linotype" w:cs="Palatino Linotype"/>
          <w:b/>
        </w:rPr>
        <w:t>La afectación generada en la situación jurídica de la persona involucrada en el proceso:</w:t>
      </w:r>
      <w:r w:rsidRPr="008B40A2">
        <w:rPr>
          <w:rFonts w:ascii="Palatino Linotype" w:eastAsia="Palatino Linotype" w:hAnsi="Palatino Linotype" w:cs="Palatino Linotype"/>
        </w:rPr>
        <w:t xml:space="preserve"> Violación a sus derechos humanos.</w:t>
      </w:r>
    </w:p>
    <w:p w14:paraId="06946355" w14:textId="77777777" w:rsidR="00910FC2" w:rsidRPr="008B40A2" w:rsidRDefault="00910FC2">
      <w:pPr>
        <w:spacing w:line="360" w:lineRule="auto"/>
      </w:pPr>
    </w:p>
    <w:p w14:paraId="05B37572"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AD476B" w14:textId="77777777" w:rsidR="00910FC2" w:rsidRPr="008B40A2" w:rsidRDefault="00910FC2">
      <w:pPr>
        <w:spacing w:line="360" w:lineRule="auto"/>
      </w:pPr>
    </w:p>
    <w:p w14:paraId="2299A5C5"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B40A2">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8B40A2">
        <w:rPr>
          <w:rFonts w:ascii="Palatino Linotype" w:eastAsia="Palatino Linotype" w:hAnsi="Palatino Linotype" w:cs="Palatino Linotype"/>
          <w:i/>
        </w:rPr>
        <w:lastRenderedPageBreak/>
        <w:t>CARACTERÍSTICAS DEL CASO.”</w:t>
      </w:r>
      <w:r w:rsidRPr="008B40A2">
        <w:rPr>
          <w:rFonts w:ascii="Palatino Linotype" w:eastAsia="Palatino Linotype" w:hAnsi="Palatino Linotype" w:cs="Palatino Linotype"/>
        </w:rPr>
        <w:t>, visible en la Gaceta del Seminario Judicial de la Federación con el registro digital 205635.</w:t>
      </w:r>
    </w:p>
    <w:p w14:paraId="7B793E7F" w14:textId="77777777" w:rsidR="00910FC2" w:rsidRPr="008B40A2" w:rsidRDefault="00910FC2">
      <w:pPr>
        <w:spacing w:line="360" w:lineRule="auto"/>
      </w:pPr>
    </w:p>
    <w:p w14:paraId="755F765C"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4C9ABC" w14:textId="77777777" w:rsidR="00910FC2" w:rsidRPr="008B40A2" w:rsidRDefault="00910FC2">
      <w:pPr>
        <w:spacing w:line="360" w:lineRule="auto"/>
      </w:pPr>
    </w:p>
    <w:p w14:paraId="17D90D1E"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D9042C" w14:textId="77777777" w:rsidR="00910FC2" w:rsidRPr="008B40A2" w:rsidRDefault="00910FC2">
      <w:pPr>
        <w:spacing w:line="360" w:lineRule="auto"/>
      </w:pPr>
    </w:p>
    <w:p w14:paraId="2C8208BE"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 </w:t>
      </w:r>
      <w:r w:rsidRPr="008B40A2">
        <w:rPr>
          <w:rFonts w:ascii="Palatino Linotype" w:eastAsia="Palatino Linotype" w:hAnsi="Palatino Linotype" w:cs="Palatino Linotype"/>
          <w:i/>
        </w:rPr>
        <w:t>“PLAZO RAZONABLE PARA RESOLVER. DIMENSIÓN Y EFECTOS DE ESTE CONCEPTO CUANDO SE ADUCE EXCESIVA CARGA DE TRABAJO.”</w:t>
      </w:r>
      <w:r w:rsidRPr="008B40A2">
        <w:rPr>
          <w:rFonts w:ascii="Palatino Linotype" w:eastAsia="Palatino Linotype" w:hAnsi="Palatino Linotype" w:cs="Palatino Linotype"/>
        </w:rPr>
        <w:t xml:space="preserve"> consultable en el Seminario Judicial de la Federación y su gaceta, con el registro digital 2002351.</w:t>
      </w:r>
    </w:p>
    <w:p w14:paraId="13962523" w14:textId="77777777" w:rsidR="00910FC2" w:rsidRPr="008B40A2" w:rsidRDefault="00910FC2">
      <w:pPr>
        <w:spacing w:line="360" w:lineRule="auto"/>
      </w:pPr>
    </w:p>
    <w:p w14:paraId="021B6777"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i/>
        </w:rPr>
        <w:t xml:space="preserve">“PLAZO RAZONABLE PARA RESOLVER. CONCEPTO Y ELEMENTOS QUE LO INTEGRAN A LA LUZ DEL DERECHO INTERNACIONAL DE LOS DERECHOS </w:t>
      </w:r>
      <w:r w:rsidRPr="008B40A2">
        <w:rPr>
          <w:rFonts w:ascii="Palatino Linotype" w:eastAsia="Palatino Linotype" w:hAnsi="Palatino Linotype" w:cs="Palatino Linotype"/>
          <w:i/>
        </w:rPr>
        <w:lastRenderedPageBreak/>
        <w:t>HUMANOS.”</w:t>
      </w:r>
      <w:r w:rsidRPr="008B40A2">
        <w:rPr>
          <w:rFonts w:ascii="Palatino Linotype" w:eastAsia="Palatino Linotype" w:hAnsi="Palatino Linotype" w:cs="Palatino Linotype"/>
        </w:rPr>
        <w:t>, visible en el Seminario Judicial de la Federación y su gaceta, con el registro digital 2002350.</w:t>
      </w:r>
    </w:p>
    <w:p w14:paraId="705CF919" w14:textId="77777777" w:rsidR="00910FC2" w:rsidRPr="008B40A2" w:rsidRDefault="00910FC2">
      <w:pPr>
        <w:spacing w:line="360" w:lineRule="auto"/>
      </w:pPr>
    </w:p>
    <w:p w14:paraId="39CD2F1E" w14:textId="77777777" w:rsidR="00910FC2" w:rsidRPr="008B40A2" w:rsidRDefault="008F0852">
      <w:pPr>
        <w:pBdr>
          <w:top w:val="nil"/>
          <w:left w:val="nil"/>
          <w:bottom w:val="nil"/>
          <w:right w:val="nil"/>
          <w:between w:val="nil"/>
        </w:pBdr>
        <w:spacing w:line="360" w:lineRule="auto"/>
        <w:jc w:val="both"/>
      </w:pPr>
      <w:r w:rsidRPr="008B40A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F956632" w14:textId="77777777" w:rsidR="00910FC2" w:rsidRPr="008B40A2" w:rsidRDefault="008F0852">
      <w:pPr>
        <w:spacing w:before="240" w:after="240" w:line="360" w:lineRule="auto"/>
        <w:jc w:val="both"/>
        <w:rPr>
          <w:rFonts w:ascii="Palatino Linotype" w:eastAsia="Palatino Linotype" w:hAnsi="Palatino Linotype" w:cs="Palatino Linotype"/>
          <w:b/>
          <w:sz w:val="28"/>
          <w:szCs w:val="28"/>
        </w:rPr>
      </w:pPr>
      <w:r w:rsidRPr="008B40A2">
        <w:rPr>
          <w:rFonts w:ascii="Palatino Linotype" w:eastAsia="Palatino Linotype" w:hAnsi="Palatino Linotype" w:cs="Palatino Linotype"/>
          <w:b/>
        </w:rPr>
        <w:t xml:space="preserve">8. Cierre de Instrucción. </w:t>
      </w:r>
      <w:r w:rsidRPr="008B40A2">
        <w:rPr>
          <w:rFonts w:ascii="Palatino Linotype" w:eastAsia="Palatino Linotype" w:hAnsi="Palatino Linotype" w:cs="Palatino Linotype"/>
        </w:rPr>
        <w:t xml:space="preserve">El </w:t>
      </w:r>
      <w:r w:rsidRPr="008B40A2">
        <w:rPr>
          <w:rFonts w:ascii="Palatino Linotype" w:eastAsia="Palatino Linotype" w:hAnsi="Palatino Linotype" w:cs="Palatino Linotype"/>
          <w:b/>
        </w:rPr>
        <w:t>veintidós de marzo del año dos mil veintitrés</w:t>
      </w:r>
      <w:r w:rsidRPr="008B40A2">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8B40A2">
        <w:rPr>
          <w:rFonts w:ascii="Palatino Linotype" w:eastAsia="Palatino Linotype" w:hAnsi="Palatino Linotype" w:cs="Palatino Linotype"/>
          <w:b/>
          <w:sz w:val="28"/>
          <w:szCs w:val="28"/>
        </w:rPr>
        <w:t xml:space="preserve"> </w:t>
      </w:r>
    </w:p>
    <w:p w14:paraId="717E4CE6"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1559115D" w14:textId="77777777" w:rsidR="00910FC2" w:rsidRPr="008B40A2" w:rsidRDefault="008F0852">
      <w:pPr>
        <w:pStyle w:val="Ttulo2"/>
        <w:spacing w:before="240" w:after="240" w:line="360" w:lineRule="auto"/>
        <w:jc w:val="center"/>
        <w:rPr>
          <w:rFonts w:ascii="Palatino Linotype" w:eastAsia="Palatino Linotype" w:hAnsi="Palatino Linotype" w:cs="Palatino Linotype"/>
          <w:b/>
          <w:color w:val="auto"/>
          <w:sz w:val="24"/>
          <w:szCs w:val="24"/>
        </w:rPr>
      </w:pPr>
      <w:r w:rsidRPr="008B40A2">
        <w:rPr>
          <w:rFonts w:ascii="Palatino Linotype" w:eastAsia="Palatino Linotype" w:hAnsi="Palatino Linotype" w:cs="Palatino Linotype"/>
          <w:b/>
          <w:color w:val="auto"/>
          <w:sz w:val="24"/>
          <w:szCs w:val="24"/>
        </w:rPr>
        <w:t>II. C O N S I D E R A N D O S:</w:t>
      </w:r>
    </w:p>
    <w:p w14:paraId="14FBCF5D" w14:textId="77777777" w:rsidR="00910FC2" w:rsidRPr="008B40A2" w:rsidRDefault="008F0852">
      <w:pPr>
        <w:spacing w:before="240" w:after="240" w:line="360" w:lineRule="auto"/>
        <w:jc w:val="both"/>
        <w:rPr>
          <w:rFonts w:ascii="Palatino Linotype" w:eastAsia="Palatino Linotype" w:hAnsi="Palatino Linotype" w:cs="Palatino Linotype"/>
          <w:b/>
        </w:rPr>
      </w:pPr>
      <w:r w:rsidRPr="008B40A2">
        <w:rPr>
          <w:rFonts w:ascii="Palatino Linotype" w:eastAsia="Palatino Linotype" w:hAnsi="Palatino Linotype" w:cs="Palatino Linotype"/>
          <w:b/>
        </w:rPr>
        <w:t>Primero. Competencia</w:t>
      </w:r>
      <w:r w:rsidRPr="008B40A2">
        <w:rPr>
          <w:rFonts w:ascii="Palatino Linotype" w:eastAsia="Palatino Linotype" w:hAnsi="Palatino Linotype" w:cs="Palatino Linotype"/>
          <w:b/>
          <w:sz w:val="22"/>
          <w:szCs w:val="22"/>
        </w:rPr>
        <w:t xml:space="preserve">. </w:t>
      </w:r>
      <w:r w:rsidRPr="008B40A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8B40A2">
        <w:rPr>
          <w:rFonts w:ascii="Palatino Linotype" w:eastAsia="Palatino Linotype" w:hAnsi="Palatino Linotype" w:cs="Palatino Linotype"/>
        </w:rPr>
        <w:lastRenderedPageBreak/>
        <w:t>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1B4EED91" w14:textId="77777777" w:rsidR="00910FC2" w:rsidRPr="008B40A2" w:rsidRDefault="008F0852">
      <w:pP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b/>
        </w:rPr>
        <w:t>Segundo. Oportunidad y Procedibilidad del Recurso de Revisión</w:t>
      </w:r>
      <w:r w:rsidRPr="008B40A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DFC91CB" w14:textId="77777777" w:rsidR="00910FC2" w:rsidRPr="008B40A2" w:rsidRDefault="008F0852">
      <w:pPr>
        <w:spacing w:before="240" w:after="240" w:line="360" w:lineRule="auto"/>
        <w:jc w:val="both"/>
        <w:rPr>
          <w:rFonts w:ascii="Palatino Linotype" w:eastAsia="Palatino Linotype" w:hAnsi="Palatino Linotype" w:cs="Palatino Linotype"/>
          <w:b/>
        </w:rPr>
      </w:pPr>
      <w:r w:rsidRPr="008B40A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remitió su declaración de incompetencia a la solicitud de información el día </w:t>
      </w:r>
      <w:r w:rsidRPr="008B40A2">
        <w:rPr>
          <w:rFonts w:ascii="Palatino Linotype" w:eastAsia="Palatino Linotype" w:hAnsi="Palatino Linotype" w:cs="Palatino Linotype"/>
          <w:b/>
        </w:rPr>
        <w:t xml:space="preserve">diecinueve de octubre de dos mil veintidós, </w:t>
      </w:r>
      <w:r w:rsidRPr="008B40A2">
        <w:rPr>
          <w:rFonts w:ascii="Palatino Linotype" w:eastAsia="Palatino Linotype" w:hAnsi="Palatino Linotype" w:cs="Palatino Linotype"/>
        </w:rPr>
        <w:t xml:space="preserve">mientras que el recurso de revisión interpuesto por </w:t>
      </w:r>
      <w:r w:rsidRPr="008B40A2">
        <w:rPr>
          <w:rFonts w:ascii="Palatino Linotype" w:eastAsia="Palatino Linotype" w:hAnsi="Palatino Linotype" w:cs="Palatino Linotype"/>
          <w:b/>
        </w:rPr>
        <w:t>la parte Recurrente</w:t>
      </w:r>
      <w:r w:rsidRPr="008B40A2">
        <w:rPr>
          <w:rFonts w:ascii="Palatino Linotype" w:eastAsia="Palatino Linotype" w:hAnsi="Palatino Linotype" w:cs="Palatino Linotype"/>
        </w:rPr>
        <w:t xml:space="preserve">, se tuvo por presentado el día </w:t>
      </w:r>
      <w:r w:rsidRPr="008B40A2">
        <w:rPr>
          <w:rFonts w:ascii="Palatino Linotype" w:eastAsia="Palatino Linotype" w:hAnsi="Palatino Linotype" w:cs="Palatino Linotype"/>
          <w:b/>
        </w:rPr>
        <w:t>veintiséis de octubre de dos mil veintidós</w:t>
      </w:r>
      <w:r w:rsidRPr="008B40A2">
        <w:rPr>
          <w:rFonts w:ascii="Palatino Linotype" w:eastAsia="Palatino Linotype" w:hAnsi="Palatino Linotype" w:cs="Palatino Linotype"/>
        </w:rPr>
        <w:t xml:space="preserve">, esto es, el </w:t>
      </w:r>
      <w:r w:rsidRPr="008B40A2">
        <w:rPr>
          <w:rFonts w:ascii="Palatino Linotype" w:eastAsia="Palatino Linotype" w:hAnsi="Palatino Linotype" w:cs="Palatino Linotype"/>
          <w:b/>
        </w:rPr>
        <w:t>quinto día hábil</w:t>
      </w:r>
      <w:r w:rsidRPr="008B40A2">
        <w:rPr>
          <w:rFonts w:ascii="Palatino Linotype" w:eastAsia="Palatino Linotype" w:hAnsi="Palatino Linotype" w:cs="Palatino Linotype"/>
        </w:rPr>
        <w:t xml:space="preserve"> en que tuvo conocimiento de la respuesta impugnada</w:t>
      </w:r>
      <w:r w:rsidRPr="008B40A2">
        <w:rPr>
          <w:rFonts w:ascii="Palatino Linotype" w:eastAsia="Palatino Linotype" w:hAnsi="Palatino Linotype" w:cs="Palatino Linotype"/>
          <w:b/>
        </w:rPr>
        <w:t>.</w:t>
      </w:r>
    </w:p>
    <w:p w14:paraId="1D71E27A" w14:textId="77777777" w:rsidR="00910FC2" w:rsidRPr="008B40A2" w:rsidRDefault="008F0852">
      <w:pPr>
        <w:spacing w:before="240" w:after="240" w:line="360" w:lineRule="auto"/>
        <w:ind w:right="-93"/>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w:t>
      </w:r>
      <w:r w:rsidRPr="008B40A2">
        <w:rPr>
          <w:rFonts w:ascii="Palatino Linotype" w:eastAsia="Palatino Linotype" w:hAnsi="Palatino Linotype" w:cs="Palatino Linotype"/>
        </w:rPr>
        <w:lastRenderedPageBreak/>
        <w:t>Municipios, en atención a que fue presentado mediante el formato visible en el SAIMEX.</w:t>
      </w:r>
    </w:p>
    <w:p w14:paraId="350A31F8" w14:textId="77777777" w:rsidR="00910FC2" w:rsidRPr="008B40A2" w:rsidRDefault="008F085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Asimismo, por cuanto hace a la procedibilidad del  recurso de revisión, es de suma importancia señalar que </w:t>
      </w:r>
      <w:r w:rsidRPr="008B40A2">
        <w:rPr>
          <w:rFonts w:ascii="Palatino Linotype" w:eastAsia="Palatino Linotype" w:hAnsi="Palatino Linotype" w:cs="Palatino Linotype"/>
          <w:b/>
        </w:rPr>
        <w:t>la parte Recurrente</w:t>
      </w:r>
      <w:r w:rsidRPr="008B40A2">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32BD427" w14:textId="77777777" w:rsidR="00910FC2" w:rsidRPr="008B40A2" w:rsidRDefault="008F0852">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376CCF0" w14:textId="77777777" w:rsidR="00910FC2" w:rsidRPr="008B40A2" w:rsidRDefault="008F085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8B40A2">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fracciones I y IV de la Ley de Transparencia y Acceso a la Información Pública del Estado de México y Municipios; que a la letra dice:</w:t>
      </w:r>
    </w:p>
    <w:p w14:paraId="1FA0D4D4" w14:textId="77777777" w:rsidR="00910FC2" w:rsidRPr="008B40A2" w:rsidRDefault="008F0852">
      <w:pPr>
        <w:spacing w:before="240" w:after="240" w:line="276" w:lineRule="auto"/>
        <w:ind w:left="567" w:right="902"/>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w:t>
      </w:r>
      <w:r w:rsidRPr="008B40A2">
        <w:rPr>
          <w:rFonts w:ascii="Palatino Linotype" w:eastAsia="Palatino Linotype" w:hAnsi="Palatino Linotype" w:cs="Palatino Linotype"/>
          <w:b/>
          <w:i/>
          <w:sz w:val="22"/>
          <w:szCs w:val="22"/>
        </w:rPr>
        <w:t>Artículo 179</w:t>
      </w:r>
      <w:r w:rsidRPr="008B40A2">
        <w:rPr>
          <w:rFonts w:ascii="Palatino Linotype" w:eastAsia="Palatino Linotype" w:hAnsi="Palatino Linotype" w:cs="Palatino Linotype"/>
          <w:b/>
          <w:sz w:val="22"/>
          <w:szCs w:val="22"/>
        </w:rPr>
        <w:t>.-</w:t>
      </w:r>
      <w:r w:rsidRPr="008B40A2">
        <w:rPr>
          <w:rFonts w:ascii="Palatino Linotype" w:eastAsia="Palatino Linotype" w:hAnsi="Palatino Linotype" w:cs="Palatino Linotype"/>
          <w:sz w:val="22"/>
          <w:szCs w:val="22"/>
        </w:rPr>
        <w:t xml:space="preserve"> </w:t>
      </w:r>
      <w:r w:rsidRPr="008B40A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81180FC" w14:textId="77777777" w:rsidR="00910FC2" w:rsidRPr="008B40A2" w:rsidRDefault="008F0852">
      <w:pPr>
        <w:spacing w:before="240" w:after="240" w:line="276" w:lineRule="auto"/>
        <w:ind w:left="567" w:right="902"/>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I. La negativa a la información solicitada;</w:t>
      </w:r>
    </w:p>
    <w:p w14:paraId="528E37AF" w14:textId="77777777" w:rsidR="00910FC2" w:rsidRPr="008B40A2" w:rsidRDefault="008F0852">
      <w:pPr>
        <w:spacing w:before="240" w:after="240" w:line="276" w:lineRule="auto"/>
        <w:ind w:left="567" w:right="902"/>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w:t>
      </w:r>
    </w:p>
    <w:p w14:paraId="34FB2365" w14:textId="77777777" w:rsidR="00910FC2" w:rsidRPr="008B40A2" w:rsidRDefault="008F0852">
      <w:pPr>
        <w:spacing w:before="240" w:after="240" w:line="276" w:lineRule="auto"/>
        <w:ind w:left="567" w:right="902"/>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b/>
          <w:i/>
          <w:sz w:val="22"/>
          <w:szCs w:val="22"/>
        </w:rPr>
        <w:lastRenderedPageBreak/>
        <w:t>IV. La declaración de incompetencia por el sujeto obligado;</w:t>
      </w:r>
      <w:r w:rsidRPr="008B40A2">
        <w:rPr>
          <w:rFonts w:ascii="Palatino Linotype" w:eastAsia="Palatino Linotype" w:hAnsi="Palatino Linotype" w:cs="Palatino Linotype"/>
          <w:i/>
          <w:sz w:val="22"/>
          <w:szCs w:val="22"/>
        </w:rPr>
        <w:t xml:space="preserve">” (Sic) (Énfasis añadido)              </w:t>
      </w:r>
    </w:p>
    <w:p w14:paraId="2189A5F8" w14:textId="77777777" w:rsidR="00910FC2" w:rsidRPr="008B40A2" w:rsidRDefault="008F0852">
      <w:pP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b/>
        </w:rPr>
        <w:t xml:space="preserve">Tercero. Materia de la revisión. </w:t>
      </w:r>
      <w:r w:rsidRPr="008B40A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B40A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B40A2">
        <w:rPr>
          <w:rFonts w:ascii="Palatino Linotype" w:eastAsia="Palatino Linotype" w:hAnsi="Palatino Linotype" w:cs="Palatino Linotype"/>
        </w:rPr>
        <w:t xml:space="preserve">de </w:t>
      </w:r>
      <w:r w:rsidRPr="008B40A2">
        <w:rPr>
          <w:rFonts w:ascii="Palatino Linotype" w:eastAsia="Palatino Linotype" w:hAnsi="Palatino Linotype" w:cs="Palatino Linotype"/>
          <w:b/>
        </w:rPr>
        <w:t>la Recurrente</w:t>
      </w:r>
      <w:r w:rsidRPr="008B40A2">
        <w:rPr>
          <w:rFonts w:ascii="Palatino Linotype" w:eastAsia="Palatino Linotype" w:hAnsi="Palatino Linotype" w:cs="Palatino Linotype"/>
        </w:rPr>
        <w:t>, o en su defecto, en caso de ser procedente, ordenar la entrega de información oportuna.</w:t>
      </w:r>
    </w:p>
    <w:p w14:paraId="38B0F17D"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b/>
        </w:rPr>
        <w:t xml:space="preserve">Cuarto. Estudio del asunto. </w:t>
      </w:r>
      <w:r w:rsidRPr="008B40A2">
        <w:rPr>
          <w:rFonts w:ascii="Palatino Linotype" w:eastAsia="Palatino Linotype" w:hAnsi="Palatino Linotype" w:cs="Palatino Linotype"/>
        </w:rPr>
        <w:t xml:space="preserve">Antes de entrar al análisis de los pronunciamientos del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72D0C71" w14:textId="77777777" w:rsidR="00910FC2" w:rsidRPr="008B40A2" w:rsidRDefault="008F0852">
      <w:pPr>
        <w:pBdr>
          <w:top w:val="nil"/>
          <w:left w:val="nil"/>
          <w:bottom w:val="nil"/>
          <w:right w:val="nil"/>
          <w:between w:val="nil"/>
        </w:pBdr>
        <w:spacing w:before="240" w:after="240"/>
        <w:ind w:left="851" w:right="850"/>
        <w:jc w:val="both"/>
      </w:pPr>
      <w:r w:rsidRPr="008B40A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B40A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643488F" w14:textId="77777777" w:rsidR="00910FC2" w:rsidRPr="008B40A2" w:rsidRDefault="008F0852">
      <w:pPr>
        <w:pBdr>
          <w:top w:val="nil"/>
          <w:left w:val="nil"/>
          <w:bottom w:val="nil"/>
          <w:right w:val="nil"/>
          <w:between w:val="nil"/>
        </w:pBdr>
        <w:spacing w:before="240" w:after="240"/>
        <w:ind w:left="851" w:right="850"/>
        <w:jc w:val="both"/>
      </w:pPr>
      <w:r w:rsidRPr="008B40A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E435304" w14:textId="77777777" w:rsidR="00910FC2" w:rsidRPr="008B40A2" w:rsidRDefault="008F0852">
      <w:pPr>
        <w:pBdr>
          <w:top w:val="nil"/>
          <w:left w:val="nil"/>
          <w:bottom w:val="nil"/>
          <w:right w:val="nil"/>
          <w:between w:val="nil"/>
        </w:pBdr>
        <w:spacing w:before="240" w:after="240"/>
        <w:ind w:left="851" w:right="850"/>
        <w:jc w:val="both"/>
      </w:pPr>
      <w:r w:rsidRPr="008B40A2">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8B40A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7D49BB7" w14:textId="77777777" w:rsidR="00910FC2" w:rsidRPr="008B40A2" w:rsidRDefault="008F0852">
      <w:pPr>
        <w:pBdr>
          <w:top w:val="nil"/>
          <w:left w:val="nil"/>
          <w:bottom w:val="nil"/>
          <w:right w:val="nil"/>
          <w:between w:val="nil"/>
        </w:pBdr>
        <w:spacing w:before="240" w:after="240"/>
        <w:ind w:left="851" w:right="850"/>
        <w:jc w:val="both"/>
      </w:pPr>
      <w:r w:rsidRPr="008B40A2">
        <w:rPr>
          <w:rFonts w:ascii="Palatino Linotype" w:eastAsia="Palatino Linotype" w:hAnsi="Palatino Linotype" w:cs="Palatino Linotype"/>
          <w:i/>
          <w:sz w:val="22"/>
          <w:szCs w:val="22"/>
        </w:rPr>
        <w:t>[…]</w:t>
      </w:r>
    </w:p>
    <w:p w14:paraId="62669E75" w14:textId="77777777" w:rsidR="00910FC2" w:rsidRPr="008B40A2" w:rsidRDefault="008F0852">
      <w:pPr>
        <w:pBdr>
          <w:top w:val="nil"/>
          <w:left w:val="nil"/>
          <w:bottom w:val="nil"/>
          <w:right w:val="nil"/>
          <w:between w:val="nil"/>
        </w:pBdr>
        <w:spacing w:before="240" w:after="240"/>
        <w:ind w:left="851" w:right="901"/>
        <w:jc w:val="both"/>
      </w:pPr>
      <w:r w:rsidRPr="008B40A2">
        <w:rPr>
          <w:rFonts w:ascii="Palatino Linotype" w:eastAsia="Palatino Linotype" w:hAnsi="Palatino Linotype" w:cs="Palatino Linotype"/>
          <w:b/>
          <w:i/>
          <w:sz w:val="22"/>
          <w:szCs w:val="22"/>
        </w:rPr>
        <w:t>“Artículo 6o.</w:t>
      </w:r>
    </w:p>
    <w:p w14:paraId="15D9ECB0" w14:textId="77777777" w:rsidR="00910FC2" w:rsidRPr="008B40A2" w:rsidRDefault="008F0852">
      <w:pPr>
        <w:pBdr>
          <w:top w:val="nil"/>
          <w:left w:val="nil"/>
          <w:bottom w:val="nil"/>
          <w:right w:val="nil"/>
          <w:between w:val="nil"/>
        </w:pBdr>
        <w:spacing w:before="240" w:after="240"/>
        <w:ind w:left="851" w:right="901"/>
        <w:jc w:val="both"/>
      </w:pPr>
      <w:r w:rsidRPr="008B40A2">
        <w:rPr>
          <w:rFonts w:ascii="Palatino Linotype" w:eastAsia="Palatino Linotype" w:hAnsi="Palatino Linotype" w:cs="Palatino Linotype"/>
          <w:i/>
          <w:sz w:val="22"/>
          <w:szCs w:val="22"/>
        </w:rPr>
        <w:t>[...]</w:t>
      </w:r>
    </w:p>
    <w:p w14:paraId="6459CAEA"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b/>
          <w:i/>
          <w:sz w:val="22"/>
          <w:szCs w:val="22"/>
        </w:rPr>
        <w:t xml:space="preserve">A. Para el ejercicio del derecho de acceso a la información, la Federación y </w:t>
      </w:r>
      <w:r w:rsidRPr="008B40A2">
        <w:rPr>
          <w:rFonts w:ascii="Palatino Linotype" w:eastAsia="Palatino Linotype" w:hAnsi="Palatino Linotype" w:cs="Palatino Linotype"/>
          <w:b/>
          <w:i/>
          <w:sz w:val="22"/>
          <w:szCs w:val="22"/>
          <w:u w:val="single"/>
        </w:rPr>
        <w:t>las entidades federativas</w:t>
      </w:r>
      <w:r w:rsidRPr="008B40A2">
        <w:rPr>
          <w:rFonts w:ascii="Palatino Linotype" w:eastAsia="Palatino Linotype" w:hAnsi="Palatino Linotype" w:cs="Palatino Linotype"/>
          <w:b/>
          <w:i/>
          <w:sz w:val="22"/>
          <w:szCs w:val="22"/>
        </w:rPr>
        <w:t>,</w:t>
      </w:r>
      <w:r w:rsidRPr="008B40A2">
        <w:rPr>
          <w:rFonts w:ascii="Palatino Linotype" w:eastAsia="Palatino Linotype" w:hAnsi="Palatino Linotype" w:cs="Palatino Linotype"/>
          <w:i/>
          <w:sz w:val="22"/>
          <w:szCs w:val="22"/>
        </w:rPr>
        <w:t xml:space="preserve"> en el ámbito de sus respectivas competencias, se regirán por los siguientes principios y bases:</w:t>
      </w:r>
    </w:p>
    <w:p w14:paraId="63CA6EF0"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i/>
          <w:sz w:val="22"/>
          <w:szCs w:val="22"/>
        </w:rPr>
        <w:t> </w:t>
      </w:r>
      <w:r w:rsidRPr="008B40A2">
        <w:rPr>
          <w:rFonts w:ascii="Palatino Linotype" w:eastAsia="Palatino Linotype" w:hAnsi="Palatino Linotype" w:cs="Palatino Linotype"/>
          <w:b/>
          <w:i/>
          <w:sz w:val="22"/>
          <w:szCs w:val="22"/>
        </w:rPr>
        <w:t xml:space="preserve">I. </w:t>
      </w:r>
      <w:r w:rsidRPr="008B40A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B40A2">
        <w:rPr>
          <w:rFonts w:ascii="Palatino Linotype" w:eastAsia="Palatino Linotype" w:hAnsi="Palatino Linotype" w:cs="Palatino Linotype"/>
          <w:i/>
          <w:sz w:val="22"/>
          <w:szCs w:val="22"/>
        </w:rPr>
        <w:t xml:space="preserve"> Ejecutivo, Legislativo </w:t>
      </w:r>
      <w:r w:rsidRPr="008B40A2">
        <w:rPr>
          <w:rFonts w:ascii="Palatino Linotype" w:eastAsia="Palatino Linotype" w:hAnsi="Palatino Linotype" w:cs="Palatino Linotype"/>
          <w:b/>
          <w:i/>
          <w:sz w:val="22"/>
          <w:szCs w:val="22"/>
          <w:u w:val="single"/>
        </w:rPr>
        <w:t>y Judicial</w:t>
      </w:r>
      <w:r w:rsidRPr="008B40A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B40A2">
        <w:rPr>
          <w:rFonts w:ascii="Palatino Linotype" w:eastAsia="Palatino Linotype" w:hAnsi="Palatino Linotype" w:cs="Palatino Linotype"/>
          <w:b/>
          <w:i/>
          <w:sz w:val="22"/>
          <w:szCs w:val="22"/>
        </w:rPr>
        <w:t>es pública y sólo podrá ser reservada temporalmente por razones de interés público y seguridad nacional,</w:t>
      </w:r>
      <w:r w:rsidRPr="008B40A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0ED7A9"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i/>
          <w:sz w:val="22"/>
          <w:szCs w:val="22"/>
        </w:rPr>
        <w:t> </w:t>
      </w:r>
      <w:r w:rsidRPr="008B40A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C744C82"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i/>
          <w:sz w:val="22"/>
          <w:szCs w:val="22"/>
        </w:rPr>
        <w:t> </w:t>
      </w:r>
      <w:r w:rsidRPr="008B40A2">
        <w:rPr>
          <w:rFonts w:ascii="Palatino Linotype" w:eastAsia="Palatino Linotype" w:hAnsi="Palatino Linotype" w:cs="Palatino Linotype"/>
          <w:b/>
          <w:i/>
          <w:sz w:val="22"/>
          <w:szCs w:val="22"/>
        </w:rPr>
        <w:t xml:space="preserve">III. </w:t>
      </w:r>
      <w:r w:rsidRPr="008B40A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B40A2">
        <w:rPr>
          <w:rFonts w:ascii="Palatino Linotype" w:eastAsia="Palatino Linotype" w:hAnsi="Palatino Linotype" w:cs="Palatino Linotype"/>
          <w:i/>
          <w:sz w:val="22"/>
          <w:szCs w:val="22"/>
        </w:rPr>
        <w:t xml:space="preserve"> a sus datos personales o a la rectificación de éstos.</w:t>
      </w:r>
    </w:p>
    <w:p w14:paraId="34A7D019"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i/>
          <w:sz w:val="22"/>
          <w:szCs w:val="22"/>
        </w:rPr>
        <w:t> </w:t>
      </w:r>
      <w:r w:rsidRPr="008B40A2">
        <w:rPr>
          <w:rFonts w:ascii="Palatino Linotype" w:eastAsia="Palatino Linotype" w:hAnsi="Palatino Linotype" w:cs="Palatino Linotype"/>
          <w:b/>
          <w:i/>
          <w:sz w:val="22"/>
          <w:szCs w:val="22"/>
        </w:rPr>
        <w:t xml:space="preserve">IV. </w:t>
      </w:r>
      <w:r w:rsidRPr="008B40A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4E723C1"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b/>
          <w:i/>
          <w:sz w:val="22"/>
          <w:szCs w:val="22"/>
        </w:rPr>
        <w:t xml:space="preserve">V. </w:t>
      </w:r>
      <w:r w:rsidRPr="008B40A2">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8B40A2">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52536054"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i/>
          <w:sz w:val="22"/>
          <w:szCs w:val="22"/>
        </w:rPr>
        <w:t> </w:t>
      </w:r>
      <w:r w:rsidRPr="008B40A2">
        <w:rPr>
          <w:rFonts w:ascii="Palatino Linotype" w:eastAsia="Palatino Linotype" w:hAnsi="Palatino Linotype" w:cs="Palatino Linotype"/>
          <w:b/>
          <w:i/>
          <w:sz w:val="22"/>
          <w:szCs w:val="22"/>
        </w:rPr>
        <w:t xml:space="preserve">VI. </w:t>
      </w:r>
      <w:r w:rsidRPr="008B40A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3A35FB7" w14:textId="77777777" w:rsidR="00910FC2" w:rsidRPr="008B40A2" w:rsidRDefault="008F0852">
      <w:pPr>
        <w:pBdr>
          <w:top w:val="nil"/>
          <w:left w:val="nil"/>
          <w:bottom w:val="nil"/>
          <w:right w:val="nil"/>
          <w:between w:val="nil"/>
        </w:pBdr>
        <w:spacing w:before="240" w:after="240"/>
        <w:ind w:left="851" w:right="851"/>
        <w:jc w:val="both"/>
      </w:pPr>
      <w:r w:rsidRPr="008B40A2">
        <w:rPr>
          <w:rFonts w:ascii="Palatino Linotype" w:eastAsia="Palatino Linotype" w:hAnsi="Palatino Linotype" w:cs="Palatino Linotype"/>
          <w:i/>
          <w:sz w:val="22"/>
          <w:szCs w:val="22"/>
        </w:rPr>
        <w:t> </w:t>
      </w:r>
      <w:r w:rsidRPr="008B40A2">
        <w:rPr>
          <w:rFonts w:ascii="Palatino Linotype" w:eastAsia="Palatino Linotype" w:hAnsi="Palatino Linotype" w:cs="Palatino Linotype"/>
          <w:b/>
          <w:i/>
          <w:sz w:val="22"/>
          <w:szCs w:val="22"/>
        </w:rPr>
        <w:t xml:space="preserve">VII. </w:t>
      </w:r>
      <w:r w:rsidRPr="008B40A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D9BCA39"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CA99EE9" w14:textId="77777777" w:rsidR="00910FC2" w:rsidRPr="008B40A2" w:rsidRDefault="008F0852">
      <w:pPr>
        <w:pBdr>
          <w:top w:val="nil"/>
          <w:left w:val="nil"/>
          <w:bottom w:val="nil"/>
          <w:right w:val="nil"/>
          <w:between w:val="nil"/>
        </w:pBdr>
        <w:spacing w:before="240" w:after="240"/>
        <w:ind w:left="709" w:right="760"/>
        <w:jc w:val="both"/>
      </w:pPr>
      <w:r w:rsidRPr="008B40A2">
        <w:rPr>
          <w:rFonts w:ascii="Palatino Linotype" w:eastAsia="Palatino Linotype" w:hAnsi="Palatino Linotype" w:cs="Palatino Linotype"/>
          <w:i/>
          <w:sz w:val="22"/>
          <w:szCs w:val="22"/>
        </w:rPr>
        <w:t>“</w:t>
      </w:r>
      <w:r w:rsidRPr="008B40A2">
        <w:rPr>
          <w:rFonts w:ascii="Palatino Linotype" w:eastAsia="Palatino Linotype" w:hAnsi="Palatino Linotype" w:cs="Palatino Linotype"/>
          <w:b/>
          <w:i/>
          <w:sz w:val="22"/>
          <w:szCs w:val="22"/>
        </w:rPr>
        <w:t>Artículo 4</w:t>
      </w:r>
      <w:r w:rsidRPr="008B40A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2421EF3" w14:textId="77777777" w:rsidR="00910FC2" w:rsidRPr="008B40A2" w:rsidRDefault="008F0852">
      <w:pPr>
        <w:pBdr>
          <w:top w:val="nil"/>
          <w:left w:val="nil"/>
          <w:bottom w:val="nil"/>
          <w:right w:val="nil"/>
          <w:between w:val="nil"/>
        </w:pBdr>
        <w:spacing w:before="240" w:after="240"/>
        <w:ind w:left="709" w:right="760"/>
        <w:jc w:val="both"/>
      </w:pPr>
      <w:r w:rsidRPr="008B40A2">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w:t>
      </w:r>
      <w:r w:rsidRPr="008B40A2">
        <w:rPr>
          <w:rFonts w:ascii="Palatino Linotype" w:eastAsia="Palatino Linotype" w:hAnsi="Palatino Linotype" w:cs="Palatino Linotype"/>
          <w:b/>
          <w:i/>
          <w:sz w:val="22"/>
          <w:szCs w:val="22"/>
        </w:rPr>
        <w:lastRenderedPageBreak/>
        <w:t>interés público, en los términos de las causas legítimas y estrictamente necesarias previstas por esta Ley.</w:t>
      </w:r>
    </w:p>
    <w:p w14:paraId="3DA9FCA3" w14:textId="77777777" w:rsidR="00910FC2" w:rsidRPr="008B40A2" w:rsidRDefault="008F0852">
      <w:pPr>
        <w:pBdr>
          <w:top w:val="nil"/>
          <w:left w:val="nil"/>
          <w:bottom w:val="nil"/>
          <w:right w:val="nil"/>
          <w:between w:val="nil"/>
        </w:pBdr>
        <w:spacing w:before="240" w:after="240"/>
        <w:ind w:left="709" w:right="760"/>
        <w:jc w:val="both"/>
      </w:pPr>
      <w:r w:rsidRPr="008B40A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B40A2">
        <w:rPr>
          <w:rFonts w:ascii="Palatino Linotype" w:eastAsia="Palatino Linotype" w:hAnsi="Palatino Linotype" w:cs="Palatino Linotype"/>
          <w:i/>
          <w:sz w:val="22"/>
          <w:szCs w:val="22"/>
        </w:rPr>
        <w:t>.”(</w:t>
      </w:r>
      <w:proofErr w:type="gramEnd"/>
      <w:r w:rsidRPr="008B40A2">
        <w:rPr>
          <w:rFonts w:ascii="Palatino Linotype" w:eastAsia="Palatino Linotype" w:hAnsi="Palatino Linotype" w:cs="Palatino Linotype"/>
          <w:i/>
          <w:sz w:val="22"/>
          <w:szCs w:val="22"/>
        </w:rPr>
        <w:t>Sic)</w:t>
      </w:r>
    </w:p>
    <w:p w14:paraId="3D4DC113"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AF4C7CC" w14:textId="77777777" w:rsidR="00910FC2" w:rsidRPr="008B40A2" w:rsidRDefault="008F0852">
      <w:pPr>
        <w:pBdr>
          <w:top w:val="nil"/>
          <w:left w:val="nil"/>
          <w:bottom w:val="nil"/>
          <w:right w:val="nil"/>
          <w:between w:val="nil"/>
        </w:pBdr>
        <w:spacing w:before="240" w:after="240"/>
        <w:ind w:left="567" w:right="758"/>
        <w:jc w:val="both"/>
      </w:pPr>
      <w:r w:rsidRPr="008B40A2">
        <w:rPr>
          <w:rFonts w:ascii="Palatino Linotype" w:eastAsia="Palatino Linotype" w:hAnsi="Palatino Linotype" w:cs="Palatino Linotype"/>
          <w:i/>
          <w:sz w:val="22"/>
          <w:szCs w:val="22"/>
        </w:rPr>
        <w:t>“</w:t>
      </w:r>
      <w:r w:rsidRPr="008B40A2">
        <w:rPr>
          <w:rFonts w:ascii="Palatino Linotype" w:eastAsia="Palatino Linotype" w:hAnsi="Palatino Linotype" w:cs="Palatino Linotype"/>
          <w:b/>
          <w:i/>
          <w:sz w:val="22"/>
          <w:szCs w:val="22"/>
        </w:rPr>
        <w:t>Artículo 12</w:t>
      </w:r>
      <w:r w:rsidRPr="008B40A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BA1CB67" w14:textId="77777777" w:rsidR="00910FC2" w:rsidRPr="008B40A2" w:rsidRDefault="008F0852">
      <w:pPr>
        <w:pBdr>
          <w:top w:val="nil"/>
          <w:left w:val="nil"/>
          <w:bottom w:val="nil"/>
          <w:right w:val="nil"/>
          <w:between w:val="nil"/>
        </w:pBdr>
        <w:spacing w:before="240" w:after="240"/>
        <w:ind w:left="567" w:right="758"/>
        <w:jc w:val="both"/>
      </w:pPr>
      <w:r w:rsidRPr="008B40A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90516A5"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B40A2">
        <w:rPr>
          <w:rFonts w:ascii="Palatino Linotype" w:eastAsia="Palatino Linotype" w:hAnsi="Palatino Linotype" w:cs="Palatino Linotype"/>
          <w:b/>
        </w:rPr>
        <w:t xml:space="preserve"> </w:t>
      </w:r>
      <w:r w:rsidRPr="008B40A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B40A2">
        <w:rPr>
          <w:rFonts w:ascii="Palatino Linotype" w:eastAsia="Palatino Linotype" w:hAnsi="Palatino Linotype" w:cs="Palatino Linotype"/>
          <w:i/>
        </w:rPr>
        <w:t>ad hoc</w:t>
      </w:r>
      <w:r w:rsidRPr="008B40A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34284D1"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b/>
          <w:i/>
          <w:sz w:val="22"/>
          <w:szCs w:val="22"/>
        </w:rPr>
        <w:t>03/17</w:t>
      </w:r>
    </w:p>
    <w:p w14:paraId="59EE2DB3"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215C1BE6"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5A7014C"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E9AA08" w14:textId="77777777" w:rsidR="00910FC2" w:rsidRPr="008B40A2" w:rsidRDefault="008F0852">
      <w:pPr>
        <w:pBdr>
          <w:top w:val="nil"/>
          <w:left w:val="nil"/>
          <w:bottom w:val="nil"/>
          <w:right w:val="nil"/>
          <w:between w:val="nil"/>
        </w:pBdr>
        <w:spacing w:before="240" w:after="240" w:line="360" w:lineRule="auto"/>
        <w:ind w:right="49"/>
        <w:jc w:val="both"/>
      </w:pPr>
      <w:r w:rsidRPr="008B40A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2CE48C"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8B40A2">
        <w:rPr>
          <w:rFonts w:ascii="Palatino Linotype" w:eastAsia="Palatino Linotype" w:hAnsi="Palatino Linotype" w:cs="Palatino Linotype"/>
        </w:rPr>
        <w:lastRenderedPageBreak/>
        <w:t>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A48C16C"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i/>
          <w:sz w:val="22"/>
          <w:szCs w:val="22"/>
        </w:rPr>
        <w:t>“</w:t>
      </w:r>
      <w:r w:rsidRPr="008B40A2">
        <w:rPr>
          <w:rFonts w:ascii="Palatino Linotype" w:eastAsia="Palatino Linotype" w:hAnsi="Palatino Linotype" w:cs="Palatino Linotype"/>
          <w:b/>
          <w:i/>
          <w:sz w:val="22"/>
          <w:szCs w:val="22"/>
        </w:rPr>
        <w:t xml:space="preserve">Artículo 3. </w:t>
      </w:r>
      <w:r w:rsidRPr="008B40A2">
        <w:rPr>
          <w:rFonts w:ascii="Palatino Linotype" w:eastAsia="Palatino Linotype" w:hAnsi="Palatino Linotype" w:cs="Palatino Linotype"/>
          <w:i/>
          <w:sz w:val="22"/>
          <w:szCs w:val="22"/>
        </w:rPr>
        <w:t>Para los efectos de la presente Ley se entenderá por:</w:t>
      </w:r>
    </w:p>
    <w:p w14:paraId="54314205"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i/>
          <w:sz w:val="22"/>
          <w:szCs w:val="22"/>
        </w:rPr>
        <w:t>…</w:t>
      </w:r>
    </w:p>
    <w:p w14:paraId="00BEA857"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b/>
          <w:i/>
          <w:sz w:val="22"/>
          <w:szCs w:val="22"/>
        </w:rPr>
        <w:t>XI. Documento:</w:t>
      </w:r>
      <w:r w:rsidRPr="008B40A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B40A2">
        <w:rPr>
          <w:rFonts w:ascii="Palatino Linotype" w:eastAsia="Palatino Linotype" w:hAnsi="Palatino Linotype" w:cs="Palatino Linotype"/>
          <w:b/>
          <w:i/>
          <w:sz w:val="22"/>
          <w:szCs w:val="22"/>
        </w:rPr>
        <w:t>…</w:t>
      </w:r>
      <w:r w:rsidRPr="008B40A2">
        <w:rPr>
          <w:rFonts w:ascii="Palatino Linotype" w:eastAsia="Palatino Linotype" w:hAnsi="Palatino Linotype" w:cs="Palatino Linotype"/>
          <w:i/>
          <w:sz w:val="22"/>
          <w:szCs w:val="22"/>
        </w:rPr>
        <w:t>” (Sic)</w:t>
      </w:r>
    </w:p>
    <w:p w14:paraId="2D4CC203"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4BBAD9A"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b/>
          <w:sz w:val="22"/>
          <w:szCs w:val="22"/>
        </w:rPr>
        <w:t>“</w:t>
      </w:r>
      <w:r w:rsidRPr="008B40A2">
        <w:rPr>
          <w:rFonts w:ascii="Palatino Linotype" w:eastAsia="Palatino Linotype" w:hAnsi="Palatino Linotype" w:cs="Palatino Linotype"/>
          <w:b/>
          <w:i/>
          <w:sz w:val="22"/>
          <w:szCs w:val="22"/>
        </w:rPr>
        <w:t>CRITERIO 0002-11</w:t>
      </w:r>
    </w:p>
    <w:p w14:paraId="5EFFE158"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B40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8B40A2">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1974E0E3" w14:textId="77777777" w:rsidR="00910FC2" w:rsidRPr="008B40A2" w:rsidRDefault="008F0852">
      <w:pPr>
        <w:pBdr>
          <w:top w:val="nil"/>
          <w:left w:val="nil"/>
          <w:bottom w:val="nil"/>
          <w:right w:val="nil"/>
          <w:between w:val="nil"/>
        </w:pBdr>
        <w:spacing w:before="240" w:after="240"/>
        <w:ind w:left="567" w:right="567"/>
        <w:jc w:val="both"/>
      </w:pPr>
      <w:r w:rsidRPr="008B40A2">
        <w:rPr>
          <w:rFonts w:ascii="Palatino Linotype" w:eastAsia="Palatino Linotype" w:hAnsi="Palatino Linotype" w:cs="Palatino Linotype"/>
          <w:i/>
          <w:sz w:val="22"/>
          <w:szCs w:val="22"/>
        </w:rPr>
        <w:t xml:space="preserve">En </w:t>
      </w:r>
      <w:proofErr w:type="gramStart"/>
      <w:r w:rsidRPr="008B40A2">
        <w:rPr>
          <w:rFonts w:ascii="Palatino Linotype" w:eastAsia="Palatino Linotype" w:hAnsi="Palatino Linotype" w:cs="Palatino Linotype"/>
          <w:i/>
          <w:sz w:val="22"/>
          <w:szCs w:val="22"/>
        </w:rPr>
        <w:t>consecuencia</w:t>
      </w:r>
      <w:proofErr w:type="gramEnd"/>
      <w:r w:rsidRPr="008B40A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3E417DE" w14:textId="77777777" w:rsidR="00910FC2" w:rsidRPr="008B40A2" w:rsidRDefault="008F0852">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 xml:space="preserve">Que se trate de información registrada en cualquier soporte documental, </w:t>
      </w:r>
      <w:proofErr w:type="gramStart"/>
      <w:r w:rsidRPr="008B40A2">
        <w:rPr>
          <w:rFonts w:ascii="Palatino Linotype" w:eastAsia="Palatino Linotype" w:hAnsi="Palatino Linotype" w:cs="Palatino Linotype"/>
          <w:i/>
          <w:sz w:val="22"/>
          <w:szCs w:val="22"/>
        </w:rPr>
        <w:t>que</w:t>
      </w:r>
      <w:proofErr w:type="gramEnd"/>
      <w:r w:rsidRPr="008B40A2">
        <w:rPr>
          <w:rFonts w:ascii="Palatino Linotype" w:eastAsia="Palatino Linotype" w:hAnsi="Palatino Linotype" w:cs="Palatino Linotype"/>
          <w:i/>
          <w:sz w:val="22"/>
          <w:szCs w:val="22"/>
        </w:rPr>
        <w:t xml:space="preserve"> en ejercicio de las atribuciones conferidas, sea generada por los Sujetos Obligados;</w:t>
      </w:r>
    </w:p>
    <w:p w14:paraId="50746A5A" w14:textId="77777777" w:rsidR="00910FC2" w:rsidRPr="008B40A2" w:rsidRDefault="008F0852">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 xml:space="preserve">Que se trate de información registrada en cualquier soporte documental, </w:t>
      </w:r>
      <w:proofErr w:type="gramStart"/>
      <w:r w:rsidRPr="008B40A2">
        <w:rPr>
          <w:rFonts w:ascii="Palatino Linotype" w:eastAsia="Palatino Linotype" w:hAnsi="Palatino Linotype" w:cs="Palatino Linotype"/>
          <w:i/>
          <w:sz w:val="22"/>
          <w:szCs w:val="22"/>
        </w:rPr>
        <w:t>que</w:t>
      </w:r>
      <w:proofErr w:type="gramEnd"/>
      <w:r w:rsidRPr="008B40A2">
        <w:rPr>
          <w:rFonts w:ascii="Palatino Linotype" w:eastAsia="Palatino Linotype" w:hAnsi="Palatino Linotype" w:cs="Palatino Linotype"/>
          <w:i/>
          <w:sz w:val="22"/>
          <w:szCs w:val="22"/>
        </w:rPr>
        <w:t xml:space="preserve"> en ejercicio de las atribuciones conferidas, sea administrada por los Sujetos Obligados, y</w:t>
      </w:r>
    </w:p>
    <w:p w14:paraId="1D20DC35" w14:textId="77777777" w:rsidR="00910FC2" w:rsidRPr="008B40A2" w:rsidRDefault="008F0852">
      <w:pPr>
        <w:pBdr>
          <w:top w:val="nil"/>
          <w:left w:val="nil"/>
          <w:bottom w:val="nil"/>
          <w:right w:val="nil"/>
          <w:between w:val="nil"/>
        </w:pBdr>
        <w:spacing w:before="240" w:after="240"/>
        <w:ind w:left="567" w:right="567" w:hanging="284"/>
        <w:jc w:val="both"/>
      </w:pPr>
      <w:r w:rsidRPr="008B40A2">
        <w:rPr>
          <w:rFonts w:ascii="Palatino Linotype" w:eastAsia="Palatino Linotype" w:hAnsi="Palatino Linotype" w:cs="Palatino Linotype"/>
          <w:i/>
          <w:sz w:val="22"/>
          <w:szCs w:val="22"/>
        </w:rPr>
        <w:t xml:space="preserve">3. </w:t>
      </w:r>
      <w:r w:rsidRPr="008B40A2">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8B40A2">
        <w:rPr>
          <w:rFonts w:ascii="Palatino Linotype" w:eastAsia="Palatino Linotype" w:hAnsi="Palatino Linotype" w:cs="Palatino Linotype"/>
          <w:b/>
          <w:i/>
          <w:sz w:val="22"/>
          <w:szCs w:val="22"/>
        </w:rPr>
        <w:t>que</w:t>
      </w:r>
      <w:proofErr w:type="gramEnd"/>
      <w:r w:rsidRPr="008B40A2">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0ACAB1C" w14:textId="77777777" w:rsidR="00910FC2" w:rsidRPr="008B40A2" w:rsidRDefault="008F0852">
      <w:pPr>
        <w:pBdr>
          <w:top w:val="nil"/>
          <w:left w:val="nil"/>
          <w:bottom w:val="nil"/>
          <w:right w:val="nil"/>
          <w:between w:val="nil"/>
        </w:pBdr>
        <w:spacing w:before="240" w:after="240" w:line="360" w:lineRule="auto"/>
        <w:jc w:val="both"/>
      </w:pPr>
      <w:r w:rsidRPr="008B40A2">
        <w:rPr>
          <w:rFonts w:ascii="Palatino Linotype" w:eastAsia="Palatino Linotype" w:hAnsi="Palatino Linotype" w:cs="Palatino Linotype"/>
        </w:rPr>
        <w:t xml:space="preserve">De ahí que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B2CFA15" w14:textId="77777777" w:rsidR="00910FC2" w:rsidRPr="008B40A2" w:rsidRDefault="008F085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Ahora bien, para profundizar en el estudio del presente asunto, es conveniente recordar que la solicitante requirió al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le proporcionara lo siguiente:</w:t>
      </w:r>
    </w:p>
    <w:p w14:paraId="1782D837" w14:textId="77777777" w:rsidR="00910FC2" w:rsidRPr="008B40A2" w:rsidRDefault="008F0852">
      <w:pPr>
        <w:numPr>
          <w:ilvl w:val="0"/>
          <w:numId w:val="4"/>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rPr>
      </w:pPr>
      <w:r w:rsidRPr="008B40A2">
        <w:rPr>
          <w:rFonts w:ascii="Palatino Linotype" w:eastAsia="Palatino Linotype" w:hAnsi="Palatino Linotype" w:cs="Palatino Linotype"/>
          <w:b/>
        </w:rPr>
        <w:t xml:space="preserve">Nombre y cargo del responsable de operar y administrar los </w:t>
      </w:r>
      <w:proofErr w:type="gramStart"/>
      <w:r w:rsidRPr="008B40A2">
        <w:rPr>
          <w:rFonts w:ascii="Palatino Linotype" w:eastAsia="Palatino Linotype" w:hAnsi="Palatino Linotype" w:cs="Palatino Linotype"/>
          <w:b/>
        </w:rPr>
        <w:t>espectaculares propiedad</w:t>
      </w:r>
      <w:proofErr w:type="gramEnd"/>
      <w:r w:rsidRPr="008B40A2">
        <w:rPr>
          <w:rFonts w:ascii="Palatino Linotype" w:eastAsia="Palatino Linotype" w:hAnsi="Palatino Linotype" w:cs="Palatino Linotype"/>
          <w:b/>
        </w:rPr>
        <w:t xml:space="preserve"> del Gobierno del estado.</w:t>
      </w:r>
    </w:p>
    <w:p w14:paraId="11AD6EA1" w14:textId="77777777" w:rsidR="00910FC2" w:rsidRPr="008B40A2" w:rsidRDefault="008F0852">
      <w:pPr>
        <w:spacing w:before="240" w:after="240" w:line="360" w:lineRule="auto"/>
        <w:jc w:val="both"/>
        <w:rPr>
          <w:rFonts w:ascii="Palatino Linotype" w:eastAsia="Palatino Linotype" w:hAnsi="Palatino Linotype" w:cs="Palatino Linotype"/>
          <w:i/>
        </w:rPr>
      </w:pPr>
      <w:r w:rsidRPr="008B40A2">
        <w:rPr>
          <w:rFonts w:ascii="Palatino Linotype" w:eastAsia="Palatino Linotype" w:hAnsi="Palatino Linotype" w:cs="Palatino Linotype"/>
          <w:b/>
        </w:rPr>
        <w:lastRenderedPageBreak/>
        <w:t xml:space="preserve"> </w:t>
      </w:r>
      <w:r w:rsidRPr="008B40A2">
        <w:rPr>
          <w:rFonts w:ascii="Palatino Linotype" w:eastAsia="Palatino Linotype" w:hAnsi="Palatino Linotype" w:cs="Palatino Linotype"/>
        </w:rPr>
        <w:t xml:space="preserve">En respuesta, el </w:t>
      </w:r>
      <w:r w:rsidRPr="008B40A2">
        <w:rPr>
          <w:rFonts w:ascii="Palatino Linotype" w:eastAsia="Palatino Linotype" w:hAnsi="Palatino Linotype" w:cs="Palatino Linotype"/>
          <w:b/>
        </w:rPr>
        <w:t xml:space="preserve">Sujeto Obligado </w:t>
      </w:r>
      <w:r w:rsidRPr="008B40A2">
        <w:rPr>
          <w:rFonts w:ascii="Palatino Linotype" w:eastAsia="Palatino Linotype" w:hAnsi="Palatino Linotype" w:cs="Palatino Linotype"/>
        </w:rPr>
        <w:t>declaró su incompetencia para conocer de la solicitud de información pública al tercer día hábil</w:t>
      </w:r>
      <w:r w:rsidRPr="008B40A2">
        <w:rPr>
          <w:rFonts w:ascii="Palatino Linotype" w:eastAsia="Palatino Linotype" w:hAnsi="Palatino Linotype" w:cs="Palatino Linotype"/>
          <w:b/>
        </w:rPr>
        <w:t xml:space="preserve"> </w:t>
      </w:r>
      <w:r w:rsidRPr="008B40A2">
        <w:rPr>
          <w:rFonts w:ascii="Palatino Linotype" w:eastAsia="Palatino Linotype" w:hAnsi="Palatino Linotype" w:cs="Palatino Linotype"/>
        </w:rPr>
        <w:t>de haberse presentado el requerimiento de información, ello expresando medularmente que los competentes son la Junta Local de Caminos del Estado de México y el Sistema de Aeropuertos, Autopistas y Servicios Conexos y Auxiliares del Estado de México, respectivamente.</w:t>
      </w:r>
    </w:p>
    <w:p w14:paraId="4579D641" w14:textId="77777777" w:rsidR="00910FC2" w:rsidRPr="008B40A2" w:rsidRDefault="008F0852">
      <w:pPr>
        <w:spacing w:before="240" w:after="240" w:line="360" w:lineRule="auto"/>
        <w:jc w:val="both"/>
        <w:rPr>
          <w:rFonts w:ascii="Palatino Linotype" w:eastAsia="Palatino Linotype" w:hAnsi="Palatino Linotype" w:cs="Palatino Linotype"/>
          <w:b/>
          <w:i/>
        </w:rPr>
      </w:pPr>
      <w:r w:rsidRPr="008B40A2">
        <w:rPr>
          <w:rFonts w:ascii="Palatino Linotype" w:eastAsia="Palatino Linotype" w:hAnsi="Palatino Linotype" w:cs="Palatino Linotype"/>
        </w:rPr>
        <w:t xml:space="preserve">Una vez conocida la respuesta, el particular interpuso el recurso de revisión que se resuelve, inconformándose en el acto impugnado por la contestación, sin en sus razones o motivos de inconformidad, expresó lo siguiente: </w:t>
      </w:r>
      <w:r w:rsidRPr="008B40A2">
        <w:rPr>
          <w:rFonts w:ascii="Palatino Linotype" w:eastAsia="Palatino Linotype" w:hAnsi="Palatino Linotype" w:cs="Palatino Linotype"/>
          <w:b/>
          <w:i/>
        </w:rPr>
        <w:t xml:space="preserve">“Se niega la información solicitada." </w:t>
      </w:r>
      <w:r w:rsidRPr="008B40A2">
        <w:rPr>
          <w:rFonts w:ascii="Palatino Linotype" w:eastAsia="Palatino Linotype" w:hAnsi="Palatino Linotype" w:cs="Palatino Linotype"/>
          <w:i/>
        </w:rPr>
        <w:t>(Sic) (Énfasis añadido)</w:t>
      </w:r>
    </w:p>
    <w:p w14:paraId="6E1D4531" w14:textId="77777777" w:rsidR="00910FC2" w:rsidRPr="008B40A2" w:rsidRDefault="008F0852">
      <w:pPr>
        <w:spacing w:before="24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rindió su informe justificado, reiterando la incompetencia de la Secretaría de Finanzas para atender la solicitud de información, de tal suerte que quien pudiera ser competente para atender lo solicitado son la Secretaría de Movilidad y la Junta de Caminos del Estado de México, quienes </w:t>
      </w:r>
      <w:r w:rsidR="00260DC1" w:rsidRPr="008B40A2">
        <w:rPr>
          <w:rFonts w:ascii="Palatino Linotype" w:eastAsia="Palatino Linotype" w:hAnsi="Palatino Linotype" w:cs="Palatino Linotype"/>
        </w:rPr>
        <w:t>son</w:t>
      </w:r>
      <w:r w:rsidRPr="008B40A2">
        <w:rPr>
          <w:rFonts w:ascii="Palatino Linotype" w:eastAsia="Palatino Linotype" w:hAnsi="Palatino Linotype" w:cs="Palatino Linotype"/>
        </w:rPr>
        <w:t xml:space="preserve"> sujetos obligados diversos; asimismo con la finalidad de fortalecer su dicho, adjuntó un oficio suscrito por el servidor público habilitado de la Dirección General de Recursos Materiales, quien manifiesta que después de realizar una búsqueda exhaustiva y razonable de la información solicitada, en las unidades administrativas que integran la Dirección General de Recursos Materiales, se informa para los efectos procedentes que, por no corresponder con el ámbito de su competencia, no se cuenta con información de los responsables de operar y administrar los espectaculares propiedad del Gobierno del Estado de México, es de señalar que por </w:t>
      </w:r>
      <w:r w:rsidRPr="008B40A2">
        <w:rPr>
          <w:rFonts w:ascii="Palatino Linotype" w:eastAsia="Palatino Linotype" w:hAnsi="Palatino Linotype" w:cs="Palatino Linotype"/>
        </w:rPr>
        <w:lastRenderedPageBreak/>
        <w:t>cuanto hace a</w:t>
      </w:r>
      <w:r w:rsidRPr="008B40A2">
        <w:rPr>
          <w:rFonts w:ascii="Palatino Linotype" w:eastAsia="Palatino Linotype" w:hAnsi="Palatino Linotype" w:cs="Palatino Linotype"/>
          <w:b/>
        </w:rPr>
        <w:t xml:space="preserve"> la parte Recurrente</w:t>
      </w:r>
      <w:r w:rsidRPr="008B40A2">
        <w:rPr>
          <w:rFonts w:ascii="Palatino Linotype" w:eastAsia="Palatino Linotype" w:hAnsi="Palatino Linotype" w:cs="Palatino Linotype"/>
        </w:rPr>
        <w:t>, se tiene que fue omis</w:t>
      </w:r>
      <w:r w:rsidR="00260DC1" w:rsidRPr="008B40A2">
        <w:rPr>
          <w:rFonts w:ascii="Palatino Linotype" w:eastAsia="Palatino Linotype" w:hAnsi="Palatino Linotype" w:cs="Palatino Linotype"/>
        </w:rPr>
        <w:t>a</w:t>
      </w:r>
      <w:r w:rsidRPr="008B40A2">
        <w:rPr>
          <w:rFonts w:ascii="Palatino Linotype" w:eastAsia="Palatino Linotype" w:hAnsi="Palatino Linotype" w:cs="Palatino Linotype"/>
        </w:rPr>
        <w:t xml:space="preserve"> en pronunciarse, por lo que transcurrido el plazo para hacer del conocimiento de la particular dicha documentación, se procedió a emitir el respectivo cierre de instrucción para su posterior resolución.</w:t>
      </w:r>
    </w:p>
    <w:p w14:paraId="73F450E0" w14:textId="77777777" w:rsidR="00910FC2" w:rsidRPr="008B40A2" w:rsidRDefault="008F0852">
      <w:pPr>
        <w:numPr>
          <w:ilvl w:val="0"/>
          <w:numId w:val="3"/>
        </w:numPr>
        <w:pBdr>
          <w:top w:val="nil"/>
          <w:left w:val="nil"/>
          <w:bottom w:val="nil"/>
          <w:right w:val="nil"/>
          <w:between w:val="nil"/>
        </w:pBdr>
        <w:spacing w:after="160" w:line="360" w:lineRule="auto"/>
        <w:ind w:right="49"/>
        <w:jc w:val="both"/>
        <w:rPr>
          <w:rFonts w:ascii="Palatino Linotype" w:eastAsia="Palatino Linotype" w:hAnsi="Palatino Linotype" w:cs="Palatino Linotype"/>
        </w:rPr>
      </w:pPr>
      <w:r w:rsidRPr="008B40A2">
        <w:rPr>
          <w:rFonts w:ascii="Palatino Linotype" w:eastAsia="Palatino Linotype" w:hAnsi="Palatino Linotype" w:cs="Palatino Linotype"/>
          <w:b/>
        </w:rPr>
        <w:t xml:space="preserve">Del análisis competencial de los Sujetos Obligados. </w:t>
      </w:r>
    </w:p>
    <w:p w14:paraId="7ECF86C0" w14:textId="77777777" w:rsidR="00910FC2" w:rsidRPr="008B40A2" w:rsidRDefault="008F0852">
      <w:pPr>
        <w:spacing w:before="8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Como se apuntó en líneas anteriores, la pretensión del particular versa sobre conocer el nombre y cargo del responsable de operar y administrar los espectaculares que son propiedad del Gobierno del Estado de México; en tal tesitura, el Código Administrativo del Estado de México, delimita a los espectaculares como parte de la publicidad exterior, sirve de mayor referencia la siguiente cita:</w:t>
      </w:r>
    </w:p>
    <w:p w14:paraId="7A716ACF"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“Artículo 17.4. Para efectos del presente Libro se entenderá por:</w:t>
      </w:r>
    </w:p>
    <w:p w14:paraId="6C1B792A"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w:t>
      </w:r>
    </w:p>
    <w:p w14:paraId="750424BC"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 xml:space="preserve">VI. Publicidad Exterior.- Toda forma de difusión de mensajes mediante el uso de anuncios, carteles o cualquier otro medio de comunicación visual o auditiva que para su instalación requieran el concurso de diversos elementos, tales como estructuras, soportes, cartelera, pantalla, equipamientos u otros, que siempre serán considerados como una unidad integral y estén colocados o instalados dentro del derecho de vía y puedan ser observados o escuchados desde </w:t>
      </w:r>
      <w:r w:rsidRPr="008B40A2">
        <w:rPr>
          <w:rFonts w:ascii="Palatino Linotype" w:eastAsia="Palatino Linotype" w:hAnsi="Palatino Linotype" w:cs="Palatino Linotype"/>
          <w:b/>
          <w:i/>
          <w:sz w:val="22"/>
          <w:szCs w:val="22"/>
          <w:u w:val="single"/>
        </w:rPr>
        <w:t>la infraestructura vial primaria</w:t>
      </w:r>
      <w:r w:rsidRPr="008B40A2">
        <w:rPr>
          <w:rFonts w:ascii="Palatino Linotype" w:eastAsia="Palatino Linotype" w:hAnsi="Palatino Linotype" w:cs="Palatino Linotype"/>
          <w:b/>
          <w:i/>
          <w:sz w:val="22"/>
          <w:szCs w:val="22"/>
        </w:rPr>
        <w:t xml:space="preserve"> sea de cuota, libre de peaje o de uso restringido y local incluyendo sus elementos complementarios;” </w:t>
      </w:r>
      <w:r w:rsidRPr="008B40A2">
        <w:rPr>
          <w:rFonts w:ascii="Palatino Linotype" w:eastAsia="Palatino Linotype" w:hAnsi="Palatino Linotype" w:cs="Palatino Linotype"/>
          <w:i/>
          <w:sz w:val="22"/>
          <w:szCs w:val="22"/>
        </w:rPr>
        <w:t>(Sic) (Énfasis añadido)</w:t>
      </w:r>
    </w:p>
    <w:p w14:paraId="3B023077" w14:textId="77777777" w:rsidR="00910FC2" w:rsidRPr="008B40A2" w:rsidRDefault="008F0852">
      <w:pPr>
        <w:spacing w:before="8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Acotado lo anterior, el citado Código delega a la Secretaría de Movilidad, el desempeño de las siguientes funciones en materia de publicidad exterior:</w:t>
      </w:r>
    </w:p>
    <w:p w14:paraId="5E0A1BEC" w14:textId="77777777" w:rsidR="006940AF" w:rsidRPr="008B40A2" w:rsidRDefault="008F0852">
      <w:pPr>
        <w:spacing w:before="80" w:after="240" w:line="276" w:lineRule="auto"/>
        <w:ind w:left="567"/>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w:t>
      </w:r>
      <w:r w:rsidR="006940AF" w:rsidRPr="008B40A2">
        <w:rPr>
          <w:rFonts w:ascii="Palatino Linotype" w:eastAsia="Palatino Linotype" w:hAnsi="Palatino Linotype" w:cs="Palatino Linotype"/>
          <w:i/>
          <w:sz w:val="22"/>
          <w:szCs w:val="22"/>
        </w:rPr>
        <w:t>Artículo 17.4. Para efectos del presente Libro se entenderá por:</w:t>
      </w:r>
    </w:p>
    <w:p w14:paraId="44DE0CA5"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lastRenderedPageBreak/>
        <w:t xml:space="preserve">a) Infraestructura Vial </w:t>
      </w:r>
      <w:proofErr w:type="gramStart"/>
      <w:r w:rsidRPr="008B40A2">
        <w:rPr>
          <w:rFonts w:ascii="Palatino Linotype" w:eastAsia="Palatino Linotype" w:hAnsi="Palatino Linotype" w:cs="Palatino Linotype"/>
          <w:b/>
          <w:i/>
          <w:sz w:val="22"/>
          <w:szCs w:val="22"/>
        </w:rPr>
        <w:t>Primaria.-</w:t>
      </w:r>
      <w:proofErr w:type="gramEnd"/>
      <w:r w:rsidRPr="008B40A2">
        <w:rPr>
          <w:rFonts w:ascii="Palatino Linotype" w:eastAsia="Palatino Linotype" w:hAnsi="Palatino Linotype" w:cs="Palatino Linotype"/>
          <w:b/>
          <w:i/>
          <w:sz w:val="22"/>
          <w:szCs w:val="22"/>
        </w:rPr>
        <w:t xml:space="preserve"> La integrada por carreteras, pasos vehiculares, avenidas, calzadas y calles que comunican a dos o más municipios de la entidad, permitiendo los viajes de largo recorrido y aquellas que por sus características de ubicación, operación y vocación de servicio permitan la integración de la red vial primaria, </w:t>
      </w:r>
      <w:r w:rsidRPr="008B40A2">
        <w:rPr>
          <w:rFonts w:ascii="Palatino Linotype" w:eastAsia="Palatino Linotype" w:hAnsi="Palatino Linotype" w:cs="Palatino Linotype"/>
          <w:b/>
          <w:i/>
          <w:sz w:val="22"/>
          <w:szCs w:val="22"/>
          <w:u w:val="single"/>
        </w:rPr>
        <w:t>así como las que comuniquen a instalaciones estratégicas estatales</w:t>
      </w:r>
      <w:r w:rsidRPr="008B40A2">
        <w:rPr>
          <w:rFonts w:ascii="Palatino Linotype" w:eastAsia="Palatino Linotype" w:hAnsi="Palatino Linotype" w:cs="Palatino Linotype"/>
          <w:b/>
          <w:i/>
          <w:sz w:val="22"/>
          <w:szCs w:val="22"/>
        </w:rPr>
        <w:t>;</w:t>
      </w:r>
    </w:p>
    <w:p w14:paraId="1597DC9A"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w:t>
      </w:r>
    </w:p>
    <w:p w14:paraId="7DF6BE6F"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 xml:space="preserve">VII. </w:t>
      </w:r>
      <w:proofErr w:type="gramStart"/>
      <w:r w:rsidRPr="008B40A2">
        <w:rPr>
          <w:rFonts w:ascii="Palatino Linotype" w:eastAsia="Palatino Linotype" w:hAnsi="Palatino Linotype" w:cs="Palatino Linotype"/>
          <w:b/>
          <w:i/>
          <w:sz w:val="22"/>
          <w:szCs w:val="22"/>
        </w:rPr>
        <w:t>Secretaría.-</w:t>
      </w:r>
      <w:proofErr w:type="gramEnd"/>
      <w:r w:rsidRPr="008B40A2">
        <w:rPr>
          <w:rFonts w:ascii="Palatino Linotype" w:eastAsia="Palatino Linotype" w:hAnsi="Palatino Linotype" w:cs="Palatino Linotype"/>
          <w:b/>
          <w:i/>
          <w:sz w:val="22"/>
          <w:szCs w:val="22"/>
        </w:rPr>
        <w:t xml:space="preserve"> A la Secretaría de Movilidad;</w:t>
      </w:r>
      <w:r w:rsidRPr="008B40A2">
        <w:rPr>
          <w:rFonts w:ascii="Palatino Linotype" w:eastAsia="Palatino Linotype" w:hAnsi="Palatino Linotype" w:cs="Palatino Linotype"/>
          <w:b/>
          <w:i/>
          <w:sz w:val="22"/>
          <w:szCs w:val="22"/>
        </w:rPr>
        <w:cr/>
      </w:r>
      <w:r w:rsidRPr="008B40A2">
        <w:t xml:space="preserve"> </w:t>
      </w:r>
      <w:r w:rsidRPr="008B40A2">
        <w:rPr>
          <w:rFonts w:ascii="Palatino Linotype" w:eastAsia="Palatino Linotype" w:hAnsi="Palatino Linotype" w:cs="Palatino Linotype"/>
          <w:b/>
          <w:i/>
          <w:sz w:val="22"/>
          <w:szCs w:val="22"/>
        </w:rPr>
        <w:t xml:space="preserve">Artículo 17.5.- Son autoridades para la aplicación de este Libro: </w:t>
      </w:r>
    </w:p>
    <w:p w14:paraId="7DF494E4"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 xml:space="preserve">I. El Gobernador del Estado; </w:t>
      </w:r>
    </w:p>
    <w:p w14:paraId="2B00F6AD"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 xml:space="preserve">II. El </w:t>
      </w:r>
      <w:proofErr w:type="gramStart"/>
      <w:r w:rsidRPr="008B40A2">
        <w:rPr>
          <w:rFonts w:ascii="Palatino Linotype" w:eastAsia="Palatino Linotype" w:hAnsi="Palatino Linotype" w:cs="Palatino Linotype"/>
          <w:b/>
          <w:i/>
          <w:sz w:val="22"/>
          <w:szCs w:val="22"/>
        </w:rPr>
        <w:t>Secretario</w:t>
      </w:r>
      <w:proofErr w:type="gramEnd"/>
      <w:r w:rsidRPr="008B40A2">
        <w:rPr>
          <w:rFonts w:ascii="Palatino Linotype" w:eastAsia="Palatino Linotype" w:hAnsi="Palatino Linotype" w:cs="Palatino Linotype"/>
          <w:b/>
          <w:i/>
          <w:sz w:val="22"/>
          <w:szCs w:val="22"/>
        </w:rPr>
        <w:t xml:space="preserve"> de Movilidad;</w:t>
      </w:r>
    </w:p>
    <w:p w14:paraId="5F040A76"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III. La Junta de Caminos del Estado de México;</w:t>
      </w:r>
    </w:p>
    <w:p w14:paraId="391232E0"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IV. El Sistema de Autopistas, Aeropuertos, Servicios Conexos y Auxiliares del Estado de México;</w:t>
      </w:r>
    </w:p>
    <w:p w14:paraId="0A368555"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V. El Sistema de Transportes Masivo y Teleférico del Estado de México; y</w:t>
      </w:r>
    </w:p>
    <w:p w14:paraId="68A5CC11"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VI. Los municipios.</w:t>
      </w:r>
    </w:p>
    <w:p w14:paraId="3B929F3D" w14:textId="77777777" w:rsidR="006940AF" w:rsidRPr="008B40A2" w:rsidRDefault="006940AF" w:rsidP="006940AF">
      <w:pPr>
        <w:spacing w:before="80" w:after="240" w:line="276" w:lineRule="auto"/>
        <w:ind w:left="567"/>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w:t>
      </w:r>
    </w:p>
    <w:p w14:paraId="02F3B2B1" w14:textId="77777777" w:rsidR="00910FC2" w:rsidRPr="008B40A2" w:rsidRDefault="008F0852">
      <w:pPr>
        <w:spacing w:before="80" w:after="240" w:line="276" w:lineRule="auto"/>
        <w:ind w:left="567"/>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CAPÍTULO TERCERO</w:t>
      </w:r>
    </w:p>
    <w:p w14:paraId="5A1AE75F" w14:textId="77777777" w:rsidR="00910FC2" w:rsidRPr="008B40A2" w:rsidRDefault="008F0852">
      <w:pPr>
        <w:spacing w:before="80" w:after="240" w:line="276" w:lineRule="auto"/>
        <w:ind w:left="567"/>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De la publicidad exterior en la Infraestructura Vial Primaria.</w:t>
      </w:r>
    </w:p>
    <w:p w14:paraId="552B14C2"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i/>
          <w:sz w:val="22"/>
          <w:szCs w:val="22"/>
        </w:rPr>
        <w:t xml:space="preserve">Artículo 17.23.- </w:t>
      </w:r>
      <w:r w:rsidRPr="008B40A2">
        <w:rPr>
          <w:rFonts w:ascii="Palatino Linotype" w:eastAsia="Palatino Linotype" w:hAnsi="Palatino Linotype" w:cs="Palatino Linotype"/>
          <w:b/>
          <w:i/>
          <w:sz w:val="22"/>
          <w:szCs w:val="22"/>
        </w:rPr>
        <w:t>La Secretaría es la autoridad competente en materia de Publicidad Exterior en la Infraestructura Vial Primaria y tendrá las siguientes atribuciones:</w:t>
      </w:r>
    </w:p>
    <w:p w14:paraId="70C840DF"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I. Establecer y ejecutar políticas en materia de publicidad exterior;</w:t>
      </w:r>
    </w:p>
    <w:p w14:paraId="4D6DA884"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II. Elaborar y emitir normas técnicas en materia de publicidad exterior;</w:t>
      </w:r>
    </w:p>
    <w:p w14:paraId="02E6B363"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lastRenderedPageBreak/>
        <w:t>III. Ordenar y realizar visitas de verificación administrativa del cumplimiento de este Libro, su Reglamento, así como de las obligaciones contenidas en los permisos y autorizaciones correspondientes;</w:t>
      </w:r>
    </w:p>
    <w:p w14:paraId="677C91DD"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IV. Ordenar a los titulares de permisos y autorizaciones la ejecución de trabajos de conservación, mantenimiento, reparación y retiro que sean necesarios;</w:t>
      </w:r>
    </w:p>
    <w:p w14:paraId="30F4AE45"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V. Ordenar los trabajos de retiro de instalaciones publicitarias que hayan sido colocadas sin autorización o permiso;</w:t>
      </w:r>
    </w:p>
    <w:p w14:paraId="35CE5586"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u w:val="single"/>
        </w:rPr>
      </w:pPr>
      <w:r w:rsidRPr="008B40A2">
        <w:rPr>
          <w:rFonts w:ascii="Palatino Linotype" w:eastAsia="Palatino Linotype" w:hAnsi="Palatino Linotype" w:cs="Palatino Linotype"/>
          <w:b/>
          <w:i/>
          <w:sz w:val="22"/>
          <w:szCs w:val="22"/>
          <w:u w:val="single"/>
        </w:rPr>
        <w:t>VI. Integrar el Registro Estatal de Publicidad Exterior;</w:t>
      </w:r>
    </w:p>
    <w:p w14:paraId="47B3C1F5"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VII. Formular y divulgar el Programa Estatal de Publicidad Exterior;</w:t>
      </w:r>
    </w:p>
    <w:p w14:paraId="5624AA65"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VIII. Las demás que les atribuyan otras disposiciones del Código Administrativo del Estado de México, Leyes, reglamentos y demás disposiciones administrativas aplicables.</w:t>
      </w:r>
    </w:p>
    <w:p w14:paraId="57A9CF17"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 xml:space="preserve">Artículo 17.24. Se requiere permiso para la colocación de Publicidad Exterior que se instale por un periodo mayor a noventa días. </w:t>
      </w:r>
    </w:p>
    <w:p w14:paraId="287A7C80"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El permiso se otorgará siempre y cuando se cumplan todos y cada uno de los requisitos previstos en el presente capitulo y demás disposiciones aplicables a la materia y tendrá vigencia hasta por un año. Lo anterior sin perjuicio de lo establecido en los artículos 5.6 de este Código y 26 Bis y 26 Ter de la Ley de Bienes del Estado de México y de sus municipios. Será obligación del particular preservar las condiciones que en su momento permitieron la expedición del permiso. Podrá ser renovable por una sola ocasión por el mismo plazo por el que fue otorgado de acuerdo a lo dispuesto por el penúltimo párrafo del artículo 17.29 de este Código, siempre que se esté al corriente en el cumplimiento de las obligaciones a cargo del titular.</w:t>
      </w:r>
    </w:p>
    <w:p w14:paraId="7E06F77D"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Los permisos que correspondan a la publicidad exterior que se pretenda instalar en la infraestructura vial primaria, serán expedidos por las autoridades contempladas en las fracciones de la I a la V del artículo 17.5 del presente Código, en el ámbito de sus atribuciones, las que correspondan a la infraestructura vial local, serán emitidas por los municipios.</w:t>
      </w:r>
    </w:p>
    <w:p w14:paraId="6C517111"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lastRenderedPageBreak/>
        <w:t>Artículo 17.25.- Se requiere autorización para la colocación de publicidad exterior cuando se instale por un periodo menor a noventa días. La autorización se otorgará siempre y cuando se cumplan todos y cada uno de los requisitos previstos en el presente capítulo y demás disposiciones aplicables a la materia y tendrá la vigencia que corresponda al período de exhibición de la publicidad. Será obligación del particular preservar las condiciones que en su momento permitieron la expedición de la autorización y podrá ser renovada por una sola ocasión por el mismo plazo por el que fue otorgada de acuerdo a lo dispuesto por el penúltimo párrafo del artículo 17.29 de este Código, siempre que se esté al corriente en el cumplimiento de las obligaciones a cargo del titular.</w:t>
      </w:r>
    </w:p>
    <w:p w14:paraId="0B6B805B"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Las autorizaciones que correspondan a la publicidad exterior que se pretenda instalar en la infraestructura vial primaria, serán expedidas por las autoridades contempladas en las fracciones de la I a la V del artículo 17.5 del presente Código, en el ámbito de sus atribuciones, las que correspondan a la infraestructura vial local, serán emitidas por los municipios.</w:t>
      </w:r>
    </w:p>
    <w:p w14:paraId="3627DB2E"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w:t>
      </w:r>
    </w:p>
    <w:p w14:paraId="32104F6D"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 xml:space="preserve">Artículo 17.26.- </w:t>
      </w:r>
      <w:r w:rsidRPr="008B40A2">
        <w:rPr>
          <w:rFonts w:ascii="Palatino Linotype" w:eastAsia="Palatino Linotype" w:hAnsi="Palatino Linotype" w:cs="Palatino Linotype"/>
          <w:b/>
          <w:i/>
          <w:sz w:val="22"/>
          <w:szCs w:val="22"/>
          <w:u w:val="single"/>
        </w:rPr>
        <w:t xml:space="preserve">Los permisos y autorizaciones a que se refiere este capítulo serán otorgados, atendiendo al ámbito de su competencia, por los </w:t>
      </w:r>
      <w:proofErr w:type="gramStart"/>
      <w:r w:rsidRPr="008B40A2">
        <w:rPr>
          <w:rFonts w:ascii="Palatino Linotype" w:eastAsia="Palatino Linotype" w:hAnsi="Palatino Linotype" w:cs="Palatino Linotype"/>
          <w:b/>
          <w:i/>
          <w:sz w:val="22"/>
          <w:szCs w:val="22"/>
          <w:u w:val="single"/>
        </w:rPr>
        <w:t>Directores Generales</w:t>
      </w:r>
      <w:proofErr w:type="gramEnd"/>
      <w:r w:rsidRPr="008B40A2">
        <w:rPr>
          <w:rFonts w:ascii="Palatino Linotype" w:eastAsia="Palatino Linotype" w:hAnsi="Palatino Linotype" w:cs="Palatino Linotype"/>
          <w:b/>
          <w:i/>
          <w:sz w:val="22"/>
          <w:szCs w:val="22"/>
          <w:u w:val="single"/>
        </w:rPr>
        <w:t xml:space="preserve"> de la Junta de Caminos, el Sistema de Aeropuertos, Autopistas y Servicios Conexos y Auxiliares del Estado de México, o el Sistema de Transporte Masivo del Estado de México</w:t>
      </w:r>
      <w:r w:rsidRPr="008B40A2">
        <w:rPr>
          <w:rFonts w:ascii="Palatino Linotype" w:eastAsia="Palatino Linotype" w:hAnsi="Palatino Linotype" w:cs="Palatino Linotype"/>
          <w:b/>
          <w:i/>
          <w:sz w:val="22"/>
          <w:szCs w:val="22"/>
        </w:rPr>
        <w:t>, con la previa autorización, en su caso, de sus respectivos órganos de gobierno.</w:t>
      </w:r>
    </w:p>
    <w:p w14:paraId="36C3C8AA"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w:t>
      </w:r>
    </w:p>
    <w:p w14:paraId="0FF5E0DA" w14:textId="77777777" w:rsidR="00910FC2" w:rsidRPr="008B40A2" w:rsidRDefault="008F0852">
      <w:pPr>
        <w:spacing w:before="80" w:after="240" w:line="276" w:lineRule="auto"/>
        <w:ind w:left="567" w:right="851"/>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Artículo 17.65.- La Junta para el cumplimiento de su objeto, tiene las atribuciones siguientes:</w:t>
      </w:r>
    </w:p>
    <w:p w14:paraId="66BFBC6C" w14:textId="77777777" w:rsidR="00910FC2" w:rsidRPr="008B40A2" w:rsidRDefault="008F0852">
      <w:pPr>
        <w:spacing w:before="80" w:after="240" w:line="276" w:lineRule="auto"/>
        <w:ind w:left="567" w:right="851"/>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i/>
          <w:sz w:val="22"/>
          <w:szCs w:val="22"/>
        </w:rPr>
        <w:t>I. Otorgar y declarar la terminación de permisos y autorizaciones así como en su caso las correspondientes renovaciones para la utilización, uso, explotación y aprovechamiento del derecho de vía</w:t>
      </w:r>
      <w:r w:rsidRPr="008B40A2">
        <w:rPr>
          <w:rFonts w:ascii="Palatino Linotype" w:eastAsia="Palatino Linotype" w:hAnsi="Palatino Linotype" w:cs="Palatino Linotype"/>
          <w:b/>
          <w:i/>
          <w:sz w:val="22"/>
          <w:szCs w:val="22"/>
        </w:rPr>
        <w:t xml:space="preserve"> y lo correspondiente a la publicidad exterior a que se refieren los capítulos segundo y tercero del título segundo de este libro, en la infraestructura vial primaria libre de peaje y de uso restringido </w:t>
      </w:r>
      <w:r w:rsidRPr="008B40A2">
        <w:rPr>
          <w:rFonts w:ascii="Palatino Linotype" w:eastAsia="Palatino Linotype" w:hAnsi="Palatino Linotype" w:cs="Palatino Linotype"/>
          <w:b/>
          <w:i/>
          <w:sz w:val="22"/>
          <w:szCs w:val="22"/>
        </w:rPr>
        <w:lastRenderedPageBreak/>
        <w:t xml:space="preserve">a su cargo, así como vigilar y supervisar el cumplimiento de las obligaciones derivadas de los mismos;” </w:t>
      </w:r>
      <w:r w:rsidRPr="008B40A2">
        <w:rPr>
          <w:rFonts w:ascii="Palatino Linotype" w:eastAsia="Palatino Linotype" w:hAnsi="Palatino Linotype" w:cs="Palatino Linotype"/>
          <w:i/>
          <w:sz w:val="22"/>
          <w:szCs w:val="22"/>
        </w:rPr>
        <w:t>(Sic) (Énfasis añadido)</w:t>
      </w:r>
    </w:p>
    <w:p w14:paraId="64AC6209" w14:textId="77777777" w:rsidR="00910FC2" w:rsidRPr="008B40A2" w:rsidRDefault="008F0852">
      <w:pPr>
        <w:spacing w:line="360" w:lineRule="auto"/>
        <w:ind w:right="49"/>
        <w:jc w:val="both"/>
        <w:rPr>
          <w:rFonts w:ascii="Palatino Linotype" w:eastAsia="Palatino Linotype" w:hAnsi="Palatino Linotype" w:cs="Palatino Linotype"/>
        </w:rPr>
      </w:pPr>
      <w:r w:rsidRPr="008B40A2">
        <w:rPr>
          <w:rFonts w:ascii="Palatino Linotype" w:eastAsia="Palatino Linotype" w:hAnsi="Palatino Linotype" w:cs="Palatino Linotype"/>
        </w:rPr>
        <w:t>Como se puede apreciar de lo anteriormente citado, el Código Administrativo no reconoce atribución alguna relacionada con la operación y administración de publicidad exterior a la Secretaría de Finanzas, toda vez que de conformidad con los preceptos insertados, corresponde a la Secretaría de Movilidad, la administración de estos, en virtud de que le compete integrar el Registro Estatal de Publicidad Exterior, por otra parte, la operación es atribuible a la Junta de Caminos, Sistema de Aeropuertos, Autopistas y Servicios Conexos y Auxiliares del Estado de México o el Sistema de Transporte Masivo del Estado de México, esto atendiendo al ámbito de sus competencias.</w:t>
      </w:r>
    </w:p>
    <w:p w14:paraId="4439D533" w14:textId="77777777" w:rsidR="00910FC2" w:rsidRPr="008B40A2" w:rsidRDefault="00910FC2">
      <w:pPr>
        <w:spacing w:line="360" w:lineRule="auto"/>
        <w:ind w:right="49"/>
        <w:jc w:val="both"/>
        <w:rPr>
          <w:rFonts w:ascii="Palatino Linotype" w:eastAsia="Palatino Linotype" w:hAnsi="Palatino Linotype" w:cs="Palatino Linotype"/>
        </w:rPr>
      </w:pPr>
    </w:p>
    <w:p w14:paraId="79B4EEE0" w14:textId="77777777" w:rsidR="00910FC2" w:rsidRPr="008B40A2" w:rsidRDefault="008F0852">
      <w:pPr>
        <w:spacing w:line="360" w:lineRule="auto"/>
        <w:ind w:right="49"/>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Es por lo anteriormente expuesto que se deduce que, en efecto la Secretaría de la Finanzas es </w:t>
      </w:r>
      <w:r w:rsidRPr="008B40A2">
        <w:rPr>
          <w:rFonts w:ascii="Palatino Linotype" w:eastAsia="Palatino Linotype" w:hAnsi="Palatino Linotype" w:cs="Palatino Linotype"/>
          <w:b/>
        </w:rPr>
        <w:t xml:space="preserve">incompetente </w:t>
      </w:r>
      <w:r w:rsidRPr="008B40A2">
        <w:rPr>
          <w:rFonts w:ascii="Palatino Linotype" w:eastAsia="Palatino Linotype" w:hAnsi="Palatino Linotype" w:cs="Palatino Linotype"/>
        </w:rPr>
        <w:t xml:space="preserve">para conocer, administrar y generar </w:t>
      </w:r>
      <w:r w:rsidRPr="008B40A2">
        <w:rPr>
          <w:rFonts w:ascii="Palatino Linotype" w:eastAsia="Palatino Linotype" w:hAnsi="Palatino Linotype" w:cs="Palatino Linotype"/>
          <w:b/>
          <w:u w:val="single"/>
        </w:rPr>
        <w:t xml:space="preserve">información relacionada con el nombre y cargo del responsable de operar y administrar los </w:t>
      </w:r>
      <w:proofErr w:type="gramStart"/>
      <w:r w:rsidRPr="008B40A2">
        <w:rPr>
          <w:rFonts w:ascii="Palatino Linotype" w:eastAsia="Palatino Linotype" w:hAnsi="Palatino Linotype" w:cs="Palatino Linotype"/>
          <w:b/>
          <w:u w:val="single"/>
        </w:rPr>
        <w:t>espectaculares propiedad</w:t>
      </w:r>
      <w:proofErr w:type="gramEnd"/>
      <w:r w:rsidRPr="008B40A2">
        <w:rPr>
          <w:rFonts w:ascii="Palatino Linotype" w:eastAsia="Palatino Linotype" w:hAnsi="Palatino Linotype" w:cs="Palatino Linotype"/>
          <w:b/>
          <w:u w:val="single"/>
        </w:rPr>
        <w:t xml:space="preserve"> del Gobierno del estado.</w:t>
      </w:r>
    </w:p>
    <w:p w14:paraId="2D3CF00D" w14:textId="77777777" w:rsidR="00910FC2" w:rsidRPr="008B40A2" w:rsidRDefault="00910FC2">
      <w:pPr>
        <w:spacing w:line="360" w:lineRule="auto"/>
        <w:ind w:right="49"/>
        <w:jc w:val="both"/>
        <w:rPr>
          <w:rFonts w:ascii="Palatino Linotype" w:eastAsia="Palatino Linotype" w:hAnsi="Palatino Linotype" w:cs="Palatino Linotype"/>
        </w:rPr>
      </w:pPr>
    </w:p>
    <w:p w14:paraId="15D1F320" w14:textId="77777777" w:rsidR="00910FC2" w:rsidRPr="008B40A2" w:rsidRDefault="008F0852">
      <w:pPr>
        <w:spacing w:line="360" w:lineRule="auto"/>
        <w:ind w:right="49"/>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Dicho lo anterior, es de recordar que respecto a la Declaración de Incompetencia la Ley de Transparencia y Acceso a la Información Pública del Estado de México, establece, en los artículos 49, fracción II y 167, lo siguiente: </w:t>
      </w:r>
    </w:p>
    <w:p w14:paraId="3268C248" w14:textId="77777777" w:rsidR="00910FC2" w:rsidRPr="008B40A2" w:rsidRDefault="00910FC2">
      <w:pPr>
        <w:tabs>
          <w:tab w:val="left" w:pos="1134"/>
        </w:tabs>
        <w:spacing w:line="360" w:lineRule="auto"/>
        <w:ind w:left="567" w:right="902"/>
        <w:jc w:val="both"/>
        <w:rPr>
          <w:rFonts w:ascii="Palatino Linotype" w:eastAsia="Palatino Linotype" w:hAnsi="Palatino Linotype" w:cs="Palatino Linotype"/>
          <w:i/>
          <w:sz w:val="22"/>
          <w:szCs w:val="22"/>
        </w:rPr>
      </w:pPr>
    </w:p>
    <w:p w14:paraId="77F20BB6" w14:textId="77777777" w:rsidR="00910FC2" w:rsidRPr="008B40A2" w:rsidRDefault="008F0852">
      <w:pPr>
        <w:tabs>
          <w:tab w:val="left" w:pos="1134"/>
          <w:tab w:val="left" w:pos="1276"/>
        </w:tabs>
        <w:spacing w:line="276" w:lineRule="auto"/>
        <w:ind w:left="567" w:right="902"/>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i/>
          <w:sz w:val="22"/>
          <w:szCs w:val="22"/>
        </w:rPr>
        <w:t>“</w:t>
      </w:r>
      <w:r w:rsidRPr="008B40A2">
        <w:rPr>
          <w:rFonts w:ascii="Palatino Linotype" w:eastAsia="Palatino Linotype" w:hAnsi="Palatino Linotype" w:cs="Palatino Linotype"/>
          <w:b/>
          <w:i/>
          <w:sz w:val="22"/>
          <w:szCs w:val="22"/>
        </w:rPr>
        <w:t>Artículo 49.</w:t>
      </w:r>
      <w:r w:rsidRPr="008B40A2">
        <w:rPr>
          <w:rFonts w:ascii="Palatino Linotype" w:eastAsia="Palatino Linotype" w:hAnsi="Palatino Linotype" w:cs="Palatino Linotype"/>
          <w:i/>
          <w:sz w:val="22"/>
          <w:szCs w:val="22"/>
        </w:rPr>
        <w:t xml:space="preserve"> </w:t>
      </w:r>
      <w:r w:rsidRPr="008B40A2">
        <w:rPr>
          <w:rFonts w:ascii="Palatino Linotype" w:eastAsia="Palatino Linotype" w:hAnsi="Palatino Linotype" w:cs="Palatino Linotype"/>
          <w:b/>
          <w:i/>
          <w:sz w:val="22"/>
          <w:szCs w:val="22"/>
        </w:rPr>
        <w:t>Los Comités de Transparencia</w:t>
      </w:r>
      <w:r w:rsidRPr="008B40A2">
        <w:rPr>
          <w:rFonts w:ascii="Palatino Linotype" w:eastAsia="Palatino Linotype" w:hAnsi="Palatino Linotype" w:cs="Palatino Linotype"/>
          <w:i/>
          <w:sz w:val="22"/>
          <w:szCs w:val="22"/>
        </w:rPr>
        <w:t xml:space="preserve"> tendrán las siguientes atribuciones:</w:t>
      </w:r>
    </w:p>
    <w:p w14:paraId="1BB830DE" w14:textId="77777777" w:rsidR="00910FC2" w:rsidRPr="008B40A2" w:rsidRDefault="008F0852">
      <w:pPr>
        <w:tabs>
          <w:tab w:val="left" w:pos="1134"/>
        </w:tabs>
        <w:spacing w:line="276" w:lineRule="auto"/>
        <w:ind w:left="567" w:right="902"/>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w:t>
      </w:r>
    </w:p>
    <w:p w14:paraId="04376FEC" w14:textId="77777777" w:rsidR="00910FC2" w:rsidRPr="008B40A2" w:rsidRDefault="008F0852">
      <w:pPr>
        <w:tabs>
          <w:tab w:val="left" w:pos="1134"/>
        </w:tabs>
        <w:spacing w:line="276" w:lineRule="auto"/>
        <w:ind w:left="567" w:right="902"/>
        <w:jc w:val="both"/>
        <w:rPr>
          <w:rFonts w:ascii="Palatino Linotype" w:eastAsia="Palatino Linotype" w:hAnsi="Palatino Linotype" w:cs="Palatino Linotype"/>
          <w:b/>
          <w:i/>
          <w:sz w:val="22"/>
          <w:szCs w:val="22"/>
          <w:u w:val="single"/>
        </w:rPr>
      </w:pPr>
      <w:r w:rsidRPr="008B40A2">
        <w:rPr>
          <w:rFonts w:ascii="Palatino Linotype" w:eastAsia="Palatino Linotype" w:hAnsi="Palatino Linotype" w:cs="Palatino Linotype"/>
          <w:b/>
          <w:i/>
          <w:sz w:val="22"/>
          <w:szCs w:val="22"/>
        </w:rPr>
        <w:t>II.</w:t>
      </w:r>
      <w:r w:rsidRPr="008B40A2">
        <w:rPr>
          <w:rFonts w:ascii="Calibri" w:eastAsia="Calibri" w:hAnsi="Calibri" w:cs="Calibri"/>
          <w:sz w:val="22"/>
          <w:szCs w:val="22"/>
        </w:rPr>
        <w:t xml:space="preserve"> </w:t>
      </w:r>
      <w:r w:rsidRPr="008B40A2">
        <w:rPr>
          <w:rFonts w:ascii="Palatino Linotype" w:eastAsia="Palatino Linotype" w:hAnsi="Palatino Linotype" w:cs="Palatino Linotype"/>
          <w:b/>
          <w:i/>
          <w:sz w:val="22"/>
          <w:szCs w:val="22"/>
        </w:rPr>
        <w:t>Confirmar, modificar o revocar</w:t>
      </w:r>
      <w:r w:rsidRPr="008B40A2">
        <w:rPr>
          <w:rFonts w:ascii="Palatino Linotype" w:eastAsia="Palatino Linotype" w:hAnsi="Palatino Linotype" w:cs="Palatino Linotype"/>
          <w:i/>
          <w:sz w:val="22"/>
          <w:szCs w:val="22"/>
        </w:rPr>
        <w:t xml:space="preserve"> las determinaciones </w:t>
      </w:r>
      <w:proofErr w:type="gramStart"/>
      <w:r w:rsidRPr="008B40A2">
        <w:rPr>
          <w:rFonts w:ascii="Palatino Linotype" w:eastAsia="Palatino Linotype" w:hAnsi="Palatino Linotype" w:cs="Palatino Linotype"/>
          <w:i/>
          <w:sz w:val="22"/>
          <w:szCs w:val="22"/>
        </w:rPr>
        <w:t>que</w:t>
      </w:r>
      <w:proofErr w:type="gramEnd"/>
      <w:r w:rsidRPr="008B40A2">
        <w:rPr>
          <w:rFonts w:ascii="Palatino Linotype" w:eastAsia="Palatino Linotype" w:hAnsi="Palatino Linotype" w:cs="Palatino Linotype"/>
          <w:i/>
          <w:sz w:val="22"/>
          <w:szCs w:val="22"/>
        </w:rPr>
        <w:t xml:space="preserve"> en materia de ampliación del plazo de respuesta, clasificación de la información </w:t>
      </w:r>
      <w:r w:rsidRPr="008B40A2">
        <w:rPr>
          <w:rFonts w:ascii="Palatino Linotype" w:eastAsia="Palatino Linotype" w:hAnsi="Palatino Linotype" w:cs="Palatino Linotype"/>
          <w:b/>
          <w:i/>
          <w:sz w:val="22"/>
          <w:szCs w:val="22"/>
        </w:rPr>
        <w:t>y declaración</w:t>
      </w:r>
      <w:r w:rsidRPr="008B40A2">
        <w:rPr>
          <w:rFonts w:ascii="Palatino Linotype" w:eastAsia="Palatino Linotype" w:hAnsi="Palatino Linotype" w:cs="Palatino Linotype"/>
          <w:i/>
          <w:sz w:val="22"/>
          <w:szCs w:val="22"/>
        </w:rPr>
        <w:t xml:space="preserve"> de </w:t>
      </w:r>
      <w:r w:rsidRPr="008B40A2">
        <w:rPr>
          <w:rFonts w:ascii="Palatino Linotype" w:eastAsia="Palatino Linotype" w:hAnsi="Palatino Linotype" w:cs="Palatino Linotype"/>
          <w:i/>
          <w:sz w:val="22"/>
          <w:szCs w:val="22"/>
        </w:rPr>
        <w:lastRenderedPageBreak/>
        <w:t xml:space="preserve">inexistencia o </w:t>
      </w:r>
      <w:r w:rsidRPr="008B40A2">
        <w:rPr>
          <w:rFonts w:ascii="Palatino Linotype" w:eastAsia="Palatino Linotype" w:hAnsi="Palatino Linotype" w:cs="Palatino Linotype"/>
          <w:b/>
          <w:i/>
          <w:sz w:val="22"/>
          <w:szCs w:val="22"/>
        </w:rPr>
        <w:t>de incompetencia realicen los titulares de las áreas de los sujetos obligados;</w:t>
      </w:r>
    </w:p>
    <w:p w14:paraId="5DCD57D8" w14:textId="77777777" w:rsidR="00910FC2" w:rsidRPr="008B40A2" w:rsidRDefault="008F0852">
      <w:pPr>
        <w:tabs>
          <w:tab w:val="left" w:pos="1134"/>
        </w:tabs>
        <w:spacing w:line="276" w:lineRule="auto"/>
        <w:ind w:left="567" w:right="902"/>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w:t>
      </w:r>
    </w:p>
    <w:p w14:paraId="29AFF2A1" w14:textId="77777777" w:rsidR="00910FC2" w:rsidRPr="008B40A2" w:rsidRDefault="008F0852">
      <w:pPr>
        <w:tabs>
          <w:tab w:val="left" w:pos="1134"/>
        </w:tabs>
        <w:spacing w:line="276" w:lineRule="auto"/>
        <w:ind w:left="567" w:right="902"/>
        <w:jc w:val="both"/>
        <w:rPr>
          <w:rFonts w:ascii="Palatino Linotype" w:eastAsia="Palatino Linotype" w:hAnsi="Palatino Linotype" w:cs="Palatino Linotype"/>
          <w:b/>
          <w:i/>
          <w:sz w:val="22"/>
          <w:szCs w:val="22"/>
        </w:rPr>
      </w:pPr>
      <w:r w:rsidRPr="008B40A2">
        <w:rPr>
          <w:rFonts w:ascii="Palatino Linotype" w:eastAsia="Palatino Linotype" w:hAnsi="Palatino Linotype" w:cs="Palatino Linotype"/>
          <w:b/>
          <w:i/>
          <w:sz w:val="22"/>
          <w:szCs w:val="22"/>
        </w:rPr>
        <w:t>Artículo 167</w:t>
      </w:r>
      <w:r w:rsidRPr="008B40A2">
        <w:rPr>
          <w:rFonts w:ascii="Palatino Linotype" w:eastAsia="Palatino Linotype" w:hAnsi="Palatino Linotype" w:cs="Palatino Linotype"/>
          <w:i/>
          <w:sz w:val="22"/>
          <w:szCs w:val="22"/>
        </w:rPr>
        <w:t xml:space="preserve">. </w:t>
      </w:r>
      <w:r w:rsidRPr="008B40A2">
        <w:rPr>
          <w:rFonts w:ascii="Palatino Linotype" w:eastAsia="Palatino Linotype" w:hAnsi="Palatino Linotype" w:cs="Palatino Linotype"/>
          <w:b/>
          <w:i/>
          <w:sz w:val="22"/>
          <w:szCs w:val="22"/>
        </w:rPr>
        <w:t>Cuando las unidades de transparencia determinen la notoria incompetencia</w:t>
      </w:r>
      <w:r w:rsidRPr="008B40A2">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8B40A2">
        <w:rPr>
          <w:rFonts w:ascii="Palatino Linotype" w:eastAsia="Palatino Linotype" w:hAnsi="Palatino Linotype" w:cs="Palatino Linotype"/>
          <w:b/>
          <w:i/>
          <w:sz w:val="22"/>
          <w:szCs w:val="22"/>
        </w:rPr>
        <w:t>deberán comunicarlo al solicitante, dentro de los tres días hábiles posteriores a la recepción de la solicitud</w:t>
      </w:r>
      <w:r w:rsidRPr="008B40A2">
        <w:rPr>
          <w:rFonts w:ascii="Palatino Linotype" w:eastAsia="Palatino Linotype" w:hAnsi="Palatino Linotype" w:cs="Palatino Linotype"/>
          <w:i/>
          <w:sz w:val="22"/>
          <w:szCs w:val="22"/>
        </w:rPr>
        <w:t xml:space="preserve"> y, </w:t>
      </w:r>
      <w:r w:rsidRPr="008B40A2">
        <w:rPr>
          <w:rFonts w:ascii="Palatino Linotype" w:eastAsia="Palatino Linotype" w:hAnsi="Palatino Linotype" w:cs="Palatino Linotype"/>
          <w:b/>
          <w:i/>
          <w:sz w:val="22"/>
          <w:szCs w:val="22"/>
        </w:rPr>
        <w:t>en su caso orientar al solicitante, el o los sujetos obligados competentes.” (Sic)</w:t>
      </w:r>
    </w:p>
    <w:p w14:paraId="5DFBD950" w14:textId="77777777" w:rsidR="00910FC2" w:rsidRPr="008B40A2" w:rsidRDefault="00910FC2">
      <w:pPr>
        <w:tabs>
          <w:tab w:val="left" w:pos="142"/>
          <w:tab w:val="left" w:pos="284"/>
        </w:tabs>
        <w:spacing w:line="360" w:lineRule="auto"/>
        <w:jc w:val="both"/>
        <w:rPr>
          <w:rFonts w:ascii="Palatino Linotype" w:eastAsia="Palatino Linotype" w:hAnsi="Palatino Linotype" w:cs="Palatino Linotype"/>
          <w:sz w:val="22"/>
          <w:szCs w:val="22"/>
        </w:rPr>
      </w:pPr>
    </w:p>
    <w:p w14:paraId="21CCAF33" w14:textId="77777777" w:rsidR="00910FC2" w:rsidRPr="008B40A2" w:rsidRDefault="008F0852">
      <w:pPr>
        <w:tabs>
          <w:tab w:val="left" w:pos="142"/>
          <w:tab w:val="left" w:pos="284"/>
        </w:tabs>
        <w:spacing w:line="360" w:lineRule="auto"/>
        <w:jc w:val="both"/>
        <w:rPr>
          <w:rFonts w:ascii="Palatino Linotype" w:eastAsia="Palatino Linotype" w:hAnsi="Palatino Linotype" w:cs="Palatino Linotype"/>
          <w:b/>
        </w:rPr>
      </w:pPr>
      <w:r w:rsidRPr="008B40A2">
        <w:rPr>
          <w:rFonts w:ascii="Palatino Linotype" w:eastAsia="Palatino Linotype" w:hAnsi="Palatino Linotype" w:cs="Palatino Linotype"/>
        </w:rPr>
        <w:t>De los preceptos citados se desprende que es atribución del Comité de Transparencia confirmar, modificar o revocar, en su caso, la declaración de incompetencia,</w:t>
      </w:r>
      <w:r w:rsidRPr="008B40A2">
        <w:rPr>
          <w:rFonts w:ascii="Palatino Linotype" w:eastAsia="Palatino Linotype" w:hAnsi="Palatino Linotype" w:cs="Palatino Linotype"/>
          <w:b/>
        </w:rPr>
        <w:t xml:space="preserve"> en aquellos casos en los que no se trate de una notoria incompetencia. </w:t>
      </w:r>
    </w:p>
    <w:p w14:paraId="446A08E6" w14:textId="77777777" w:rsidR="00910FC2" w:rsidRPr="008B40A2" w:rsidRDefault="00910FC2">
      <w:pPr>
        <w:tabs>
          <w:tab w:val="left" w:pos="142"/>
          <w:tab w:val="left" w:pos="284"/>
        </w:tabs>
        <w:spacing w:line="360" w:lineRule="auto"/>
        <w:jc w:val="both"/>
        <w:rPr>
          <w:rFonts w:ascii="Palatino Linotype" w:eastAsia="Palatino Linotype" w:hAnsi="Palatino Linotype" w:cs="Palatino Linotype"/>
          <w:b/>
          <w:sz w:val="22"/>
          <w:szCs w:val="22"/>
        </w:rPr>
      </w:pPr>
    </w:p>
    <w:p w14:paraId="32E4436F" w14:textId="77777777" w:rsidR="00910FC2" w:rsidRPr="008B40A2" w:rsidRDefault="008F0852">
      <w:pPr>
        <w:tabs>
          <w:tab w:val="left" w:pos="142"/>
          <w:tab w:val="left" w:pos="284"/>
        </w:tabs>
        <w:spacing w:line="360" w:lineRule="auto"/>
        <w:jc w:val="both"/>
        <w:rPr>
          <w:rFonts w:ascii="Palatino Linotype" w:eastAsia="Palatino Linotype" w:hAnsi="Palatino Linotype" w:cs="Palatino Linotype"/>
          <w:sz w:val="22"/>
          <w:szCs w:val="22"/>
        </w:rPr>
      </w:pPr>
      <w:r w:rsidRPr="008B40A2">
        <w:rPr>
          <w:rFonts w:ascii="Palatino Linotype" w:eastAsia="Palatino Linotype" w:hAnsi="Palatino Linotype" w:cs="Palatino Linotype"/>
        </w:rPr>
        <w:t xml:space="preserve">Puesto que la Ley también prevé que dicho acuerdo no es necesario cuando la Unidad de Transparencia determine que la incompetencia es notoria dando un plazo de tres días hábiles para hacerlo del conocimiento del particular.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Pr="008B40A2">
        <w:rPr>
          <w:rFonts w:ascii="Palatino Linotype" w:eastAsia="Palatino Linotype" w:hAnsi="Palatino Linotype" w:cs="Palatino Linotype"/>
          <w:u w:val="single"/>
        </w:rPr>
        <w:t xml:space="preserve">para su aprobación. </w:t>
      </w:r>
    </w:p>
    <w:p w14:paraId="79FBD808" w14:textId="77777777" w:rsidR="00910FC2" w:rsidRPr="008B40A2" w:rsidRDefault="00910FC2">
      <w:pPr>
        <w:spacing w:line="360" w:lineRule="auto"/>
        <w:ind w:right="18"/>
        <w:jc w:val="both"/>
        <w:rPr>
          <w:rFonts w:ascii="Palatino Linotype" w:eastAsia="Palatino Linotype" w:hAnsi="Palatino Linotype" w:cs="Palatino Linotype"/>
          <w:sz w:val="22"/>
          <w:szCs w:val="22"/>
        </w:rPr>
      </w:pPr>
    </w:p>
    <w:p w14:paraId="4D9B9B86" w14:textId="77777777" w:rsidR="00910FC2" w:rsidRPr="008B40A2" w:rsidRDefault="008F0852">
      <w:pPr>
        <w:spacing w:line="360" w:lineRule="auto"/>
        <w:ind w:right="18"/>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Como sustento de lo anterior, resulta aplicable el Criterio 20/20, emitido por el Instituto Nacional de Transparencia, Acceso a la Información, y Protección de Datos Personales, INAI, que lleva por rubro y texto los siguientes:  </w:t>
      </w:r>
    </w:p>
    <w:p w14:paraId="65AA3DD1" w14:textId="77777777" w:rsidR="00910FC2" w:rsidRPr="008B40A2" w:rsidRDefault="00910FC2">
      <w:pPr>
        <w:pBdr>
          <w:top w:val="nil"/>
          <w:left w:val="nil"/>
          <w:bottom w:val="nil"/>
          <w:right w:val="nil"/>
          <w:between w:val="nil"/>
        </w:pBdr>
        <w:spacing w:line="360" w:lineRule="auto"/>
        <w:ind w:left="851" w:right="900"/>
        <w:jc w:val="both"/>
        <w:rPr>
          <w:rFonts w:ascii="Palatino Linotype" w:eastAsia="Palatino Linotype" w:hAnsi="Palatino Linotype" w:cs="Palatino Linotype"/>
          <w:b/>
          <w:i/>
          <w:sz w:val="22"/>
          <w:szCs w:val="22"/>
        </w:rPr>
      </w:pPr>
    </w:p>
    <w:p w14:paraId="4F126878" w14:textId="77777777" w:rsidR="00910FC2" w:rsidRPr="008B40A2" w:rsidRDefault="008F085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b/>
          <w:i/>
          <w:sz w:val="22"/>
          <w:szCs w:val="22"/>
        </w:rPr>
        <w:lastRenderedPageBreak/>
        <w:t>“Declaración de incompetencia por parte del Comité, cuando no sea notoria o manifiesta.</w:t>
      </w:r>
      <w:r w:rsidRPr="008B40A2">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103EB2DE" w14:textId="77777777" w:rsidR="00910FC2" w:rsidRPr="008B40A2" w:rsidRDefault="00910FC2">
      <w:pPr>
        <w:pBdr>
          <w:top w:val="nil"/>
          <w:left w:val="nil"/>
          <w:bottom w:val="nil"/>
          <w:right w:val="nil"/>
          <w:between w:val="nil"/>
        </w:pBdr>
        <w:spacing w:line="360" w:lineRule="auto"/>
        <w:ind w:left="567" w:right="900"/>
        <w:jc w:val="both"/>
        <w:rPr>
          <w:rFonts w:ascii="Palatino Linotype" w:eastAsia="Palatino Linotype" w:hAnsi="Palatino Linotype" w:cs="Palatino Linotype"/>
          <w:i/>
          <w:sz w:val="22"/>
          <w:szCs w:val="22"/>
        </w:rPr>
      </w:pPr>
    </w:p>
    <w:p w14:paraId="50609802" w14:textId="77777777" w:rsidR="00910FC2" w:rsidRPr="008B40A2" w:rsidRDefault="008F0852">
      <w:pPr>
        <w:tabs>
          <w:tab w:val="left" w:pos="142"/>
          <w:tab w:val="left" w:pos="284"/>
        </w:tabs>
        <w:spacing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8B40A2">
        <w:rPr>
          <w:rFonts w:ascii="Palatino Linotype" w:eastAsia="Palatino Linotype" w:hAnsi="Palatino Linotype" w:cs="Palatino Linotype"/>
          <w:b/>
        </w:rPr>
        <w:t xml:space="preserve"> </w:t>
      </w:r>
      <w:r w:rsidRPr="008B40A2">
        <w:rPr>
          <w:rFonts w:ascii="Palatino Linotype" w:eastAsia="Palatino Linotype" w:hAnsi="Palatino Linotype" w:cs="Palatino Linotype"/>
          <w:b/>
          <w:u w:val="single"/>
        </w:rPr>
        <w:t>duda razonable sobre la administración del documento materia de la solicitud de información</w:t>
      </w:r>
      <w:r w:rsidRPr="008B40A2">
        <w:rPr>
          <w:rFonts w:ascii="Palatino Linotype" w:eastAsia="Palatino Linotype" w:hAnsi="Palatino Linotype" w:cs="Palatino Linotype"/>
        </w:rPr>
        <w:t>, como se lee enseguida:</w:t>
      </w:r>
    </w:p>
    <w:p w14:paraId="24B468C2" w14:textId="77777777" w:rsidR="00910FC2" w:rsidRPr="008B40A2" w:rsidRDefault="00910FC2">
      <w:pPr>
        <w:tabs>
          <w:tab w:val="left" w:pos="142"/>
          <w:tab w:val="left" w:pos="284"/>
        </w:tabs>
        <w:spacing w:line="360" w:lineRule="auto"/>
        <w:jc w:val="both"/>
        <w:rPr>
          <w:rFonts w:ascii="Palatino Linotype" w:eastAsia="Palatino Linotype" w:hAnsi="Palatino Linotype" w:cs="Palatino Linotype"/>
          <w:sz w:val="22"/>
          <w:szCs w:val="22"/>
        </w:rPr>
      </w:pPr>
    </w:p>
    <w:p w14:paraId="3823A0C3" w14:textId="77777777" w:rsidR="00910FC2" w:rsidRPr="008B40A2" w:rsidRDefault="008F0852">
      <w:pPr>
        <w:tabs>
          <w:tab w:val="left" w:pos="1418"/>
        </w:tabs>
        <w:spacing w:line="276" w:lineRule="auto"/>
        <w:ind w:left="567" w:right="900"/>
        <w:jc w:val="both"/>
        <w:rPr>
          <w:rFonts w:ascii="Palatino Linotype" w:eastAsia="Palatino Linotype" w:hAnsi="Palatino Linotype" w:cs="Palatino Linotype"/>
          <w:i/>
          <w:sz w:val="22"/>
          <w:szCs w:val="22"/>
        </w:rPr>
      </w:pPr>
      <w:r w:rsidRPr="008B40A2">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8B40A2">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8B40A2">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8B40A2">
        <w:rPr>
          <w:rFonts w:ascii="Palatino Linotype" w:eastAsia="Palatino Linotype" w:hAnsi="Palatino Linotype" w:cs="Palatino Linotype"/>
          <w:b/>
          <w:i/>
          <w:sz w:val="22"/>
          <w:szCs w:val="22"/>
          <w:u w:val="single"/>
        </w:rPr>
        <w:t>impiden determinar dentro del término legal de tres días hábiles</w:t>
      </w:r>
      <w:r w:rsidRPr="008B40A2">
        <w:rPr>
          <w:rFonts w:ascii="Palatino Linotype" w:eastAsia="Palatino Linotype" w:hAnsi="Palatino Linotype" w:cs="Palatino Linotype"/>
          <w:b/>
          <w:i/>
          <w:sz w:val="22"/>
          <w:szCs w:val="22"/>
        </w:rPr>
        <w:t>, si se posee o no la información por el Sujeto Obligado requerid</w:t>
      </w:r>
      <w:r w:rsidRPr="008B40A2">
        <w:rPr>
          <w:rFonts w:ascii="Palatino Linotype" w:eastAsia="Palatino Linotype" w:hAnsi="Palatino Linotype" w:cs="Palatino Linotype"/>
          <w:i/>
          <w:sz w:val="22"/>
          <w:szCs w:val="22"/>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w:t>
      </w:r>
      <w:r w:rsidRPr="008B40A2">
        <w:rPr>
          <w:rFonts w:ascii="Palatino Linotype" w:eastAsia="Palatino Linotype" w:hAnsi="Palatino Linotype" w:cs="Palatino Linotype"/>
          <w:i/>
          <w:sz w:val="22"/>
          <w:szCs w:val="22"/>
        </w:rPr>
        <w:lastRenderedPageBreak/>
        <w:t>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49DB1ADA" w14:textId="77777777" w:rsidR="00910FC2" w:rsidRPr="008B40A2" w:rsidRDefault="00910FC2">
      <w:pPr>
        <w:tabs>
          <w:tab w:val="left" w:pos="1418"/>
        </w:tabs>
        <w:spacing w:line="360" w:lineRule="auto"/>
        <w:ind w:left="567" w:right="900"/>
        <w:jc w:val="both"/>
        <w:rPr>
          <w:rFonts w:ascii="Palatino Linotype" w:eastAsia="Palatino Linotype" w:hAnsi="Palatino Linotype" w:cs="Palatino Linotype"/>
          <w:i/>
          <w:sz w:val="22"/>
          <w:szCs w:val="22"/>
        </w:rPr>
      </w:pPr>
    </w:p>
    <w:p w14:paraId="75A1F801" w14:textId="77777777" w:rsidR="00910FC2" w:rsidRPr="008B40A2" w:rsidRDefault="008F0852">
      <w:pPr>
        <w:tabs>
          <w:tab w:val="left" w:pos="142"/>
          <w:tab w:val="left" w:pos="284"/>
        </w:tabs>
        <w:spacing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En el caso particular, de los registros que obran en el Sistema de Acceso a la Información Mexiquense, se tiene que el Particular realizó su solicitud de información en fecha </w:t>
      </w:r>
      <w:r w:rsidRPr="008B40A2">
        <w:rPr>
          <w:rFonts w:ascii="Palatino Linotype" w:eastAsia="Palatino Linotype" w:hAnsi="Palatino Linotype" w:cs="Palatino Linotype"/>
          <w:b/>
        </w:rPr>
        <w:t>catorce de octubre de dos mil veintidós</w:t>
      </w:r>
      <w:r w:rsidRPr="008B40A2">
        <w:rPr>
          <w:rFonts w:ascii="Palatino Linotype" w:eastAsia="Palatino Linotype" w:hAnsi="Palatino Linotype" w:cs="Palatino Linotype"/>
        </w:rPr>
        <w:t xml:space="preserve"> y,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declinó la competencia en fecha </w:t>
      </w:r>
      <w:r w:rsidRPr="008B40A2">
        <w:rPr>
          <w:rFonts w:ascii="Palatino Linotype" w:eastAsia="Palatino Linotype" w:hAnsi="Palatino Linotype" w:cs="Palatino Linotype"/>
          <w:b/>
        </w:rPr>
        <w:t>diecinueve de octubre de dos mil veintidós</w:t>
      </w:r>
      <w:r w:rsidRPr="008B40A2">
        <w:rPr>
          <w:rFonts w:ascii="Palatino Linotype" w:eastAsia="Palatino Linotype" w:hAnsi="Palatino Linotype" w:cs="Palatino Linotype"/>
        </w:rPr>
        <w:t xml:space="preserve">, es decir; al </w:t>
      </w:r>
      <w:r w:rsidRPr="008B40A2">
        <w:rPr>
          <w:rFonts w:ascii="Palatino Linotype" w:eastAsia="Palatino Linotype" w:hAnsi="Palatino Linotype" w:cs="Palatino Linotype"/>
          <w:b/>
        </w:rPr>
        <w:t>tercer día hábil</w:t>
      </w:r>
      <w:r w:rsidRPr="008B40A2">
        <w:rPr>
          <w:rFonts w:ascii="Palatino Linotype" w:eastAsia="Palatino Linotype" w:hAnsi="Palatino Linotype" w:cs="Palatino Linotype"/>
        </w:rPr>
        <w:t xml:space="preserve"> en que se tuvo por registrada la solicitud de información, tal como se aprecia a continuación: </w:t>
      </w:r>
    </w:p>
    <w:p w14:paraId="61B44442" w14:textId="77777777" w:rsidR="00910FC2" w:rsidRPr="008B40A2" w:rsidRDefault="006940AF">
      <w:pPr>
        <w:tabs>
          <w:tab w:val="left" w:pos="993"/>
        </w:tabs>
        <w:spacing w:line="360" w:lineRule="auto"/>
        <w:ind w:right="-28"/>
        <w:rPr>
          <w:rFonts w:ascii="Palatino Linotype" w:eastAsia="Palatino Linotype" w:hAnsi="Palatino Linotype" w:cs="Palatino Linotype"/>
        </w:rPr>
      </w:pPr>
      <w:r w:rsidRPr="008B40A2">
        <w:rPr>
          <w:noProof/>
          <w:lang w:val="es-MX"/>
        </w:rPr>
        <mc:AlternateContent>
          <mc:Choice Requires="wps">
            <w:drawing>
              <wp:anchor distT="0" distB="0" distL="114300" distR="114300" simplePos="0" relativeHeight="251659264" behindDoc="0" locked="0" layoutInCell="1" hidden="0" allowOverlap="1" wp14:anchorId="063D5DBC" wp14:editId="7B41A0C1">
                <wp:simplePos x="0" y="0"/>
                <wp:positionH relativeFrom="column">
                  <wp:posOffset>1386840</wp:posOffset>
                </wp:positionH>
                <wp:positionV relativeFrom="paragraph">
                  <wp:posOffset>579120</wp:posOffset>
                </wp:positionV>
                <wp:extent cx="704850" cy="520700"/>
                <wp:effectExtent l="19050" t="19050" r="19050" b="12700"/>
                <wp:wrapNone/>
                <wp:docPr id="14" name="Rectángulo 14"/>
                <wp:cNvGraphicFramePr/>
                <a:graphic xmlns:a="http://schemas.openxmlformats.org/drawingml/2006/main">
                  <a:graphicData uri="http://schemas.microsoft.com/office/word/2010/wordprocessingShape">
                    <wps:wsp>
                      <wps:cNvSpPr/>
                      <wps:spPr>
                        <a:xfrm>
                          <a:off x="0" y="0"/>
                          <a:ext cx="704850" cy="520700"/>
                        </a:xfrm>
                        <a:prstGeom prst="rect">
                          <a:avLst/>
                        </a:prstGeom>
                        <a:noFill/>
                        <a:ln w="28575" cap="flat" cmpd="sng">
                          <a:solidFill>
                            <a:srgbClr val="0070C0"/>
                          </a:solidFill>
                          <a:prstDash val="solid"/>
                          <a:round/>
                          <a:headEnd type="none" w="sm" len="sm"/>
                          <a:tailEnd type="none" w="sm" len="sm"/>
                        </a:ln>
                      </wps:spPr>
                      <wps:txbx>
                        <w:txbxContent>
                          <w:p w14:paraId="15075E61" w14:textId="77777777" w:rsidR="00910FC2" w:rsidRDefault="00910FC2">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63D5DBC" id="Rectángulo 14" o:spid="_x0000_s1026" style="position:absolute;margin-left:109.2pt;margin-top:45.6pt;width:5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" filled="f" strokecolor="#0070c0" strokeweight="2.25pt">
                <v:stroke startarrowwidth="narrow" startarrowlength="short" endarrowwidth="narrow" endarrowlength="short" joinstyle="round"/>
                <v:textbox inset="2.53958mm,2.53958mm,2.53958mm,2.53958mm">
                  <w:txbxContent>
                    <w:p w14:paraId="15075E61" w14:textId="77777777" w:rsidR="00910FC2" w:rsidRDefault="00910FC2">
                      <w:pPr>
                        <w:textDirection w:val="btLr"/>
                      </w:pPr>
                    </w:p>
                  </w:txbxContent>
                </v:textbox>
              </v:rect>
            </w:pict>
          </mc:Fallback>
        </mc:AlternateContent>
      </w:r>
      <w:r w:rsidR="008F0852" w:rsidRPr="008B40A2">
        <w:rPr>
          <w:rFonts w:ascii="Palatino Linotype" w:eastAsia="Palatino Linotype" w:hAnsi="Palatino Linotype" w:cs="Palatino Linotype"/>
          <w:noProof/>
          <w:lang w:val="es-MX"/>
        </w:rPr>
        <w:drawing>
          <wp:inline distT="0" distB="0" distL="0" distR="0" wp14:anchorId="1FC0F371" wp14:editId="4847FC1C">
            <wp:extent cx="5581015" cy="1073150"/>
            <wp:effectExtent l="19050" t="19050" r="19685" b="127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81015" cy="1073150"/>
                    </a:xfrm>
                    <a:prstGeom prst="rect">
                      <a:avLst/>
                    </a:prstGeom>
                    <a:ln>
                      <a:solidFill>
                        <a:schemeClr val="tx1"/>
                      </a:solidFill>
                    </a:ln>
                  </pic:spPr>
                </pic:pic>
              </a:graphicData>
            </a:graphic>
          </wp:inline>
        </w:drawing>
      </w:r>
    </w:p>
    <w:p w14:paraId="5BAB8898" w14:textId="77777777" w:rsidR="00910FC2" w:rsidRPr="008B40A2" w:rsidRDefault="008F0852">
      <w:pPr>
        <w:tabs>
          <w:tab w:val="left" w:pos="993"/>
        </w:tabs>
        <w:spacing w:line="360" w:lineRule="auto"/>
        <w:ind w:right="-28"/>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Asimismo,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adjuntó un Acuerdo de Orientación, mediante el cual, refirió </w:t>
      </w:r>
      <w:proofErr w:type="gramStart"/>
      <w:r w:rsidRPr="008B40A2">
        <w:rPr>
          <w:rFonts w:ascii="Palatino Linotype" w:eastAsia="Palatino Linotype" w:hAnsi="Palatino Linotype" w:cs="Palatino Linotype"/>
        </w:rPr>
        <w:t>que</w:t>
      </w:r>
      <w:proofErr w:type="gramEnd"/>
      <w:r w:rsidRPr="008B40A2">
        <w:rPr>
          <w:rFonts w:ascii="Palatino Linotype" w:eastAsia="Palatino Linotype" w:hAnsi="Palatino Linotype" w:cs="Palatino Linotype"/>
        </w:rPr>
        <w:t xml:space="preserve"> una vez analizada la información solicitada, se determinó en respuesta que esta podía estar en posesión de la Junta Local de Caminos del Estado de México y el Sistema de Aeropuertos, Autopistas y Servicios Conexos y Auxiliares del Estado de México, posteriormente en informe justificado, complementó su pronunciamiento y señaló que también podía solicitar la información a la Secretaría de Movilidad:</w:t>
      </w:r>
    </w:p>
    <w:p w14:paraId="5EA40948" w14:textId="77777777" w:rsidR="006940AF" w:rsidRPr="008B40A2" w:rsidRDefault="006940AF">
      <w:pPr>
        <w:tabs>
          <w:tab w:val="left" w:pos="993"/>
        </w:tabs>
        <w:spacing w:line="360" w:lineRule="auto"/>
        <w:ind w:right="-28"/>
        <w:jc w:val="both"/>
        <w:rPr>
          <w:rFonts w:ascii="Palatino Linotype" w:eastAsia="Palatino Linotype" w:hAnsi="Palatino Linotype" w:cs="Palatino Linotype"/>
        </w:rPr>
      </w:pPr>
    </w:p>
    <w:p w14:paraId="5604F5BB" w14:textId="77777777" w:rsidR="006940AF" w:rsidRPr="008B40A2" w:rsidRDefault="006940AF">
      <w:pPr>
        <w:tabs>
          <w:tab w:val="left" w:pos="993"/>
        </w:tabs>
        <w:spacing w:line="360" w:lineRule="auto"/>
        <w:ind w:right="-28"/>
        <w:jc w:val="both"/>
        <w:rPr>
          <w:rFonts w:ascii="Palatino Linotype" w:eastAsia="Palatino Linotype" w:hAnsi="Palatino Linotype" w:cs="Palatino Linotype"/>
        </w:rPr>
      </w:pPr>
    </w:p>
    <w:p w14:paraId="1753FA53" w14:textId="77777777" w:rsidR="00910FC2" w:rsidRPr="008B40A2" w:rsidRDefault="008F0852">
      <w:pPr>
        <w:tabs>
          <w:tab w:val="left" w:pos="993"/>
        </w:tabs>
        <w:spacing w:line="360" w:lineRule="auto"/>
        <w:ind w:right="-28"/>
        <w:jc w:val="both"/>
        <w:rPr>
          <w:rFonts w:ascii="Palatino Linotype" w:eastAsia="Palatino Linotype" w:hAnsi="Palatino Linotype" w:cs="Palatino Linotype"/>
          <w:b/>
        </w:rPr>
      </w:pPr>
      <w:r w:rsidRPr="008B40A2">
        <w:rPr>
          <w:rFonts w:ascii="Palatino Linotype" w:eastAsia="Palatino Linotype" w:hAnsi="Palatino Linotype" w:cs="Palatino Linotype"/>
          <w:b/>
        </w:rPr>
        <w:lastRenderedPageBreak/>
        <w:t>Respuesta:</w:t>
      </w:r>
    </w:p>
    <w:p w14:paraId="0BB71181" w14:textId="77777777" w:rsidR="00910FC2" w:rsidRPr="008B40A2" w:rsidRDefault="008F0852">
      <w:pPr>
        <w:tabs>
          <w:tab w:val="left" w:pos="993"/>
        </w:tabs>
        <w:spacing w:line="360" w:lineRule="auto"/>
        <w:ind w:right="-28"/>
        <w:jc w:val="both"/>
        <w:rPr>
          <w:rFonts w:ascii="Palatino Linotype" w:eastAsia="Palatino Linotype" w:hAnsi="Palatino Linotype" w:cs="Palatino Linotype"/>
        </w:rPr>
      </w:pPr>
      <w:r w:rsidRPr="008B40A2">
        <w:rPr>
          <w:rFonts w:ascii="Palatino Linotype" w:eastAsia="Palatino Linotype" w:hAnsi="Palatino Linotype" w:cs="Palatino Linotype"/>
          <w:noProof/>
          <w:lang w:val="es-MX"/>
        </w:rPr>
        <w:drawing>
          <wp:inline distT="0" distB="0" distL="0" distR="0" wp14:anchorId="0C9F91A5" wp14:editId="60A327C1">
            <wp:extent cx="5581015" cy="4323715"/>
            <wp:effectExtent l="19050" t="19050" r="19685" b="19685"/>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81015" cy="4323715"/>
                    </a:xfrm>
                    <a:prstGeom prst="rect">
                      <a:avLst/>
                    </a:prstGeom>
                    <a:ln>
                      <a:solidFill>
                        <a:schemeClr val="tx1"/>
                      </a:solidFill>
                    </a:ln>
                  </pic:spPr>
                </pic:pic>
              </a:graphicData>
            </a:graphic>
          </wp:inline>
        </w:drawing>
      </w:r>
    </w:p>
    <w:p w14:paraId="0927430E" w14:textId="77777777" w:rsidR="00910FC2" w:rsidRPr="008B40A2" w:rsidRDefault="008F0852">
      <w:pPr>
        <w:tabs>
          <w:tab w:val="left" w:pos="993"/>
        </w:tabs>
        <w:spacing w:line="360" w:lineRule="auto"/>
        <w:ind w:right="-28"/>
        <w:jc w:val="both"/>
        <w:rPr>
          <w:rFonts w:ascii="Palatino Linotype" w:eastAsia="Palatino Linotype" w:hAnsi="Palatino Linotype" w:cs="Palatino Linotype"/>
          <w:b/>
        </w:rPr>
      </w:pPr>
      <w:r w:rsidRPr="008B40A2">
        <w:rPr>
          <w:rFonts w:ascii="Palatino Linotype" w:eastAsia="Palatino Linotype" w:hAnsi="Palatino Linotype" w:cs="Palatino Linotype"/>
          <w:b/>
        </w:rPr>
        <w:t>Informe Justificado:</w:t>
      </w:r>
    </w:p>
    <w:p w14:paraId="4244249C" w14:textId="77777777" w:rsidR="00910FC2" w:rsidRPr="008B40A2" w:rsidRDefault="008F0852">
      <w:pPr>
        <w:tabs>
          <w:tab w:val="left" w:pos="993"/>
        </w:tabs>
        <w:spacing w:line="360" w:lineRule="auto"/>
        <w:ind w:right="-28"/>
        <w:jc w:val="both"/>
        <w:rPr>
          <w:rFonts w:ascii="Palatino Linotype" w:eastAsia="Palatino Linotype" w:hAnsi="Palatino Linotype" w:cs="Palatino Linotype"/>
        </w:rPr>
      </w:pPr>
      <w:r w:rsidRPr="008B40A2">
        <w:rPr>
          <w:rFonts w:ascii="Palatino Linotype" w:eastAsia="Palatino Linotype" w:hAnsi="Palatino Linotype" w:cs="Palatino Linotype"/>
          <w:noProof/>
          <w:lang w:val="es-MX"/>
        </w:rPr>
        <w:lastRenderedPageBreak/>
        <w:drawing>
          <wp:inline distT="0" distB="0" distL="0" distR="0" wp14:anchorId="6E38F585" wp14:editId="1A2FEA6D">
            <wp:extent cx="5581015" cy="6406515"/>
            <wp:effectExtent l="19050" t="19050" r="19685" b="13335"/>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581015" cy="6406515"/>
                    </a:xfrm>
                    <a:prstGeom prst="rect">
                      <a:avLst/>
                    </a:prstGeom>
                    <a:ln>
                      <a:solidFill>
                        <a:schemeClr val="tx1"/>
                      </a:solidFill>
                    </a:ln>
                  </pic:spPr>
                </pic:pic>
              </a:graphicData>
            </a:graphic>
          </wp:inline>
        </w:drawing>
      </w:r>
    </w:p>
    <w:p w14:paraId="4B3D5B2C" w14:textId="77777777" w:rsidR="00910FC2" w:rsidRPr="008B40A2" w:rsidRDefault="00910FC2">
      <w:pPr>
        <w:tabs>
          <w:tab w:val="left" w:pos="993"/>
        </w:tabs>
        <w:spacing w:line="360" w:lineRule="auto"/>
        <w:ind w:right="-28"/>
        <w:rPr>
          <w:rFonts w:ascii="Palatino Linotype" w:eastAsia="Palatino Linotype" w:hAnsi="Palatino Linotype" w:cs="Palatino Linotype"/>
        </w:rPr>
      </w:pPr>
    </w:p>
    <w:p w14:paraId="0BDF9369" w14:textId="77777777" w:rsidR="006940AF" w:rsidRPr="008B40A2" w:rsidRDefault="006940AF">
      <w:pPr>
        <w:tabs>
          <w:tab w:val="left" w:pos="993"/>
        </w:tabs>
        <w:spacing w:line="360" w:lineRule="auto"/>
        <w:ind w:right="-28"/>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En mérito de lo anterior, es de vital importancia señalar que la facultad de orientación al particular para que formule su solicitud ante 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xml:space="preserve"> competente es potestativa, sin embargo, en el caso particular, se advierte que la </w:t>
      </w:r>
      <w:r w:rsidRPr="008B40A2">
        <w:rPr>
          <w:rFonts w:ascii="Palatino Linotype" w:eastAsia="Palatino Linotype" w:hAnsi="Palatino Linotype" w:cs="Palatino Linotype"/>
        </w:rPr>
        <w:lastRenderedPageBreak/>
        <w:t xml:space="preserve">Secretaría de Finanzas en su respuesta manifiesta una orientación parcialmente completa pues señala que son competentes, la Junta Local de Caminos y el Sistema de </w:t>
      </w:r>
      <w:r w:rsidR="00572D85" w:rsidRPr="008B40A2">
        <w:rPr>
          <w:rFonts w:ascii="Palatino Linotype" w:eastAsia="Palatino Linotype" w:hAnsi="Palatino Linotype" w:cs="Palatino Linotype"/>
        </w:rPr>
        <w:t xml:space="preserve">Aeropuertos, Autopistas y Servicios Conexos y Auxiliares del Estado de México, no obstante, esta facultad se ve complementada en informe justificado, toda vez que el </w:t>
      </w:r>
      <w:r w:rsidR="00572D85" w:rsidRPr="008B40A2">
        <w:rPr>
          <w:rFonts w:ascii="Palatino Linotype" w:eastAsia="Palatino Linotype" w:hAnsi="Palatino Linotype" w:cs="Palatino Linotype"/>
          <w:b/>
        </w:rPr>
        <w:t>Sujeto Obligado</w:t>
      </w:r>
      <w:r w:rsidR="00572D85" w:rsidRPr="008B40A2">
        <w:rPr>
          <w:rFonts w:ascii="Palatino Linotype" w:eastAsia="Palatino Linotype" w:hAnsi="Palatino Linotype" w:cs="Palatino Linotype"/>
        </w:rPr>
        <w:t xml:space="preserve"> refiere que la Secretaría de Movilidad es competente para conocer de este requerimiento de información, por lo tanto, se colige que la incompetencia subsiste en todo momento, </w:t>
      </w:r>
      <w:r w:rsidR="00893B35" w:rsidRPr="008B40A2">
        <w:rPr>
          <w:rFonts w:ascii="Palatino Linotype" w:eastAsia="Palatino Linotype" w:hAnsi="Palatino Linotype" w:cs="Palatino Linotype"/>
        </w:rPr>
        <w:t>empero</w:t>
      </w:r>
      <w:r w:rsidR="00572D85" w:rsidRPr="008B40A2">
        <w:rPr>
          <w:rFonts w:ascii="Palatino Linotype" w:eastAsia="Palatino Linotype" w:hAnsi="Palatino Linotype" w:cs="Palatino Linotype"/>
        </w:rPr>
        <w:t>, la orientación se complementó con posterioridad pues como se apuntó debidamente en líneas anteriores, no es competencia de esta Secretaría de Finanzas el generar, poseer y/o administrar la información requerida.</w:t>
      </w:r>
    </w:p>
    <w:p w14:paraId="1B26D041" w14:textId="77777777" w:rsidR="006940AF" w:rsidRPr="008B40A2" w:rsidRDefault="006940AF">
      <w:pPr>
        <w:tabs>
          <w:tab w:val="left" w:pos="993"/>
        </w:tabs>
        <w:spacing w:line="360" w:lineRule="auto"/>
        <w:ind w:right="-28"/>
        <w:jc w:val="both"/>
        <w:rPr>
          <w:rFonts w:ascii="Palatino Linotype" w:eastAsia="Palatino Linotype" w:hAnsi="Palatino Linotype" w:cs="Palatino Linotype"/>
        </w:rPr>
      </w:pPr>
    </w:p>
    <w:p w14:paraId="3B100E6D" w14:textId="77777777" w:rsidR="00910FC2" w:rsidRPr="008B40A2" w:rsidRDefault="00572D85">
      <w:pPr>
        <w:tabs>
          <w:tab w:val="left" w:pos="993"/>
        </w:tabs>
        <w:spacing w:line="360" w:lineRule="auto"/>
        <w:ind w:right="-28"/>
        <w:jc w:val="both"/>
        <w:rPr>
          <w:rFonts w:ascii="Palatino Linotype" w:eastAsia="Palatino Linotype" w:hAnsi="Palatino Linotype" w:cs="Palatino Linotype"/>
        </w:rPr>
      </w:pPr>
      <w:r w:rsidRPr="008B40A2">
        <w:rPr>
          <w:rFonts w:ascii="Palatino Linotype" w:eastAsia="Palatino Linotype" w:hAnsi="Palatino Linotype" w:cs="Palatino Linotype"/>
        </w:rPr>
        <w:t>Es por lo expuesto con antelación que</w:t>
      </w:r>
      <w:r w:rsidR="008F0852" w:rsidRPr="008B40A2">
        <w:rPr>
          <w:rFonts w:ascii="Palatino Linotype" w:eastAsia="Palatino Linotype" w:hAnsi="Palatino Linotype" w:cs="Palatino Linotype"/>
        </w:rPr>
        <w:t xml:space="preserve"> se colige que el </w:t>
      </w:r>
      <w:r w:rsidR="008F0852" w:rsidRPr="008B40A2">
        <w:rPr>
          <w:rFonts w:ascii="Palatino Linotype" w:eastAsia="Palatino Linotype" w:hAnsi="Palatino Linotype" w:cs="Palatino Linotype"/>
          <w:b/>
        </w:rPr>
        <w:t>Sujeto Obligado</w:t>
      </w:r>
      <w:r w:rsidR="008F0852" w:rsidRPr="008B40A2">
        <w:rPr>
          <w:rFonts w:ascii="Palatino Linotype" w:eastAsia="Palatino Linotype" w:hAnsi="Palatino Linotype" w:cs="Palatino Linotype"/>
        </w:rPr>
        <w:t xml:space="preserve"> no sólo declinó su competencia dentro del plazo establecido por la Ley para tal efecto, sino que, además, orientó al Solicitante para que este presentara su solicitud de información ante los </w:t>
      </w:r>
      <w:r w:rsidR="008F0852" w:rsidRPr="008B40A2">
        <w:rPr>
          <w:rFonts w:ascii="Palatino Linotype" w:eastAsia="Palatino Linotype" w:hAnsi="Palatino Linotype" w:cs="Palatino Linotype"/>
          <w:b/>
        </w:rPr>
        <w:t>Sujetos Obligados</w:t>
      </w:r>
      <w:r w:rsidR="008F0852" w:rsidRPr="008B40A2">
        <w:rPr>
          <w:rFonts w:ascii="Palatino Linotype" w:eastAsia="Palatino Linotype" w:hAnsi="Palatino Linotype" w:cs="Palatino Linotype"/>
        </w:rPr>
        <w:t xml:space="preserve"> correspondientes. En ese sentido, ordenar al Comité de Transparencia del </w:t>
      </w:r>
      <w:r w:rsidR="008F0852" w:rsidRPr="008B40A2">
        <w:rPr>
          <w:rFonts w:ascii="Palatino Linotype" w:eastAsia="Palatino Linotype" w:hAnsi="Palatino Linotype" w:cs="Palatino Linotype"/>
          <w:b/>
        </w:rPr>
        <w:t>Sujeto Obligado</w:t>
      </w:r>
      <w:r w:rsidR="008F0852" w:rsidRPr="008B40A2">
        <w:rPr>
          <w:rFonts w:ascii="Palatino Linotype" w:eastAsia="Palatino Linotype" w:hAnsi="Palatino Linotype" w:cs="Palatino Linotype"/>
        </w:rPr>
        <w:t xml:space="preserve"> que sesione para que emita un acuerdo en el que confirme la declaratoria de incompetencia para garantizar el derecho de la parte Recurrente dilata los plazos del procedimiento, genera una carga adicional al </w:t>
      </w:r>
      <w:r w:rsidR="008F0852" w:rsidRPr="008B40A2">
        <w:rPr>
          <w:rFonts w:ascii="Palatino Linotype" w:eastAsia="Palatino Linotype" w:hAnsi="Palatino Linotype" w:cs="Palatino Linotype"/>
          <w:b/>
        </w:rPr>
        <w:t>Sujeto Obligado</w:t>
      </w:r>
      <w:r w:rsidR="008F0852" w:rsidRPr="008B40A2">
        <w:rPr>
          <w:rFonts w:ascii="Palatino Linotype" w:eastAsia="Palatino Linotype" w:hAnsi="Palatino Linotype" w:cs="Palatino Linotype"/>
        </w:rPr>
        <w:t xml:space="preserve">, y ello no modifica el hecho de que la parte Recurrente no obtendrá la información que es de su interés por esta vía, en virtud de que </w:t>
      </w:r>
      <w:r w:rsidR="008F0852" w:rsidRPr="008B40A2">
        <w:rPr>
          <w:rFonts w:ascii="Palatino Linotype" w:eastAsia="Palatino Linotype" w:hAnsi="Palatino Linotype" w:cs="Palatino Linotype"/>
          <w:b/>
          <w:u w:val="single"/>
        </w:rPr>
        <w:t>el Sujeto Obligado no cuenta con competencia para atender los requerimientos señalados por el particular, por ende no se</w:t>
      </w:r>
      <w:r w:rsidR="008F0852" w:rsidRPr="008B40A2">
        <w:rPr>
          <w:rFonts w:ascii="Calibri" w:eastAsia="Calibri" w:hAnsi="Calibri" w:cs="Calibri"/>
          <w:b/>
          <w:u w:val="single"/>
        </w:rPr>
        <w:t xml:space="preserve"> </w:t>
      </w:r>
      <w:r w:rsidR="008F0852" w:rsidRPr="008B40A2">
        <w:rPr>
          <w:rFonts w:ascii="Palatino Linotype" w:eastAsia="Palatino Linotype" w:hAnsi="Palatino Linotype" w:cs="Palatino Linotype"/>
          <w:b/>
          <w:u w:val="single"/>
        </w:rPr>
        <w:t xml:space="preserve">encuentra constreñido a entregar la información requerida ante la falta de atribuciones para generar, poseer o administrar lo solicitado. </w:t>
      </w:r>
    </w:p>
    <w:p w14:paraId="72064A01" w14:textId="77777777" w:rsidR="00910FC2" w:rsidRPr="008B40A2" w:rsidRDefault="00910FC2">
      <w:pPr>
        <w:tabs>
          <w:tab w:val="left" w:pos="142"/>
          <w:tab w:val="left" w:pos="284"/>
        </w:tabs>
        <w:spacing w:line="360" w:lineRule="auto"/>
        <w:jc w:val="both"/>
        <w:rPr>
          <w:rFonts w:ascii="Palatino Linotype" w:eastAsia="Palatino Linotype" w:hAnsi="Palatino Linotype" w:cs="Palatino Linotype"/>
          <w:sz w:val="22"/>
          <w:szCs w:val="22"/>
        </w:rPr>
      </w:pPr>
    </w:p>
    <w:p w14:paraId="76520378" w14:textId="77777777" w:rsidR="00910FC2" w:rsidRPr="008B40A2" w:rsidRDefault="008F0852">
      <w:pPr>
        <w:tabs>
          <w:tab w:val="left" w:pos="142"/>
          <w:tab w:val="left" w:pos="284"/>
        </w:tabs>
        <w:spacing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lastRenderedPageBreak/>
        <w:t xml:space="preserve">Por ello, instruir al Comité de Transparencia para que sesione y emita una resolución en la que se confirme una notoria incompetencia que ya fue declarada y analizada por este Organismo Garante, se aparta de los principios de sencillez y rapidez establecidos por la Ley de Transparencia y Acceso a la Información Pública del Estado de México y Municipios, en sus artículos 2, fracciones II y III, 21 y 150. </w:t>
      </w:r>
    </w:p>
    <w:p w14:paraId="435BFD38" w14:textId="77777777" w:rsidR="00910FC2" w:rsidRPr="008B40A2" w:rsidRDefault="00910FC2">
      <w:pPr>
        <w:tabs>
          <w:tab w:val="left" w:pos="993"/>
        </w:tabs>
        <w:spacing w:line="360" w:lineRule="auto"/>
        <w:ind w:right="-28"/>
        <w:jc w:val="both"/>
        <w:rPr>
          <w:rFonts w:ascii="Palatino Linotype" w:eastAsia="Palatino Linotype" w:hAnsi="Palatino Linotype" w:cs="Palatino Linotype"/>
        </w:rPr>
      </w:pPr>
    </w:p>
    <w:p w14:paraId="3B0E131A" w14:textId="77777777" w:rsidR="00910FC2" w:rsidRPr="008B40A2" w:rsidRDefault="008F0852" w:rsidP="00572D85">
      <w:pPr>
        <w:spacing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 xml:space="preserve">En ese orden de ideas, se determina que los agravios hechos valer por el Recurrente devienen </w:t>
      </w:r>
      <w:r w:rsidRPr="008B40A2">
        <w:rPr>
          <w:rFonts w:ascii="Palatino Linotype" w:eastAsia="Palatino Linotype" w:hAnsi="Palatino Linotype" w:cs="Palatino Linotype"/>
          <w:b/>
        </w:rPr>
        <w:t xml:space="preserve">INFUNDADOS </w:t>
      </w:r>
      <w:r w:rsidRPr="008B40A2">
        <w:rPr>
          <w:rFonts w:ascii="Palatino Linotype" w:eastAsia="Palatino Linotype" w:hAnsi="Palatino Linotype" w:cs="Palatino Linotype"/>
        </w:rPr>
        <w:t xml:space="preserve">y, por lo tanto, resulta procedente </w:t>
      </w:r>
      <w:r w:rsidRPr="008B40A2">
        <w:rPr>
          <w:rFonts w:ascii="Palatino Linotype" w:eastAsia="Palatino Linotype" w:hAnsi="Palatino Linotype" w:cs="Palatino Linotype"/>
          <w:b/>
        </w:rPr>
        <w:t xml:space="preserve">CONFIRMAR </w:t>
      </w:r>
      <w:r w:rsidRPr="008B40A2">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sin embargo, no pasa por alto mencionar que, se dejan a salvo los derechos del Particular para que </w:t>
      </w:r>
      <w:proofErr w:type="spellStart"/>
      <w:r w:rsidRPr="008B40A2">
        <w:rPr>
          <w:rFonts w:ascii="Palatino Linotype" w:eastAsia="Palatino Linotype" w:hAnsi="Palatino Linotype" w:cs="Palatino Linotype"/>
        </w:rPr>
        <w:t>este</w:t>
      </w:r>
      <w:proofErr w:type="spellEnd"/>
      <w:r w:rsidRPr="008B40A2">
        <w:rPr>
          <w:rFonts w:ascii="Palatino Linotype" w:eastAsia="Palatino Linotype" w:hAnsi="Palatino Linotype" w:cs="Palatino Linotype"/>
        </w:rPr>
        <w:t xml:space="preserve"> presente su solicitud de información ante el o los sujetos obligados competentes. </w:t>
      </w:r>
    </w:p>
    <w:p w14:paraId="25FFAA68" w14:textId="77777777" w:rsidR="00910FC2" w:rsidRPr="008B40A2" w:rsidRDefault="008F0852">
      <w:pPr>
        <w:spacing w:before="80" w:after="240"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rPr>
        <w:t>Así, con fundamento en lo prescrito en los</w:t>
      </w:r>
      <w:r w:rsidRPr="008B40A2">
        <w:t xml:space="preserve"> </w:t>
      </w:r>
      <w:r w:rsidRPr="008B40A2">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C392914" w14:textId="77777777" w:rsidR="00910FC2" w:rsidRPr="008B40A2" w:rsidRDefault="008F0852">
      <w:pPr>
        <w:spacing w:line="259" w:lineRule="auto"/>
        <w:ind w:left="-142" w:right="49"/>
        <w:jc w:val="center"/>
        <w:rPr>
          <w:rFonts w:ascii="Palatino Linotype" w:eastAsia="Palatino Linotype" w:hAnsi="Palatino Linotype" w:cs="Palatino Linotype"/>
          <w:b/>
          <w:sz w:val="28"/>
          <w:szCs w:val="28"/>
        </w:rPr>
      </w:pPr>
      <w:bookmarkStart w:id="0" w:name="_heading=h.gjdgxs" w:colFirst="0" w:colLast="0"/>
      <w:bookmarkEnd w:id="0"/>
      <w:r w:rsidRPr="008B40A2">
        <w:rPr>
          <w:rFonts w:ascii="Palatino Linotype" w:eastAsia="Palatino Linotype" w:hAnsi="Palatino Linotype" w:cs="Palatino Linotype"/>
          <w:b/>
          <w:sz w:val="28"/>
          <w:szCs w:val="28"/>
        </w:rPr>
        <w:t>R E S U E L V E:</w:t>
      </w:r>
    </w:p>
    <w:p w14:paraId="17E9C12E" w14:textId="77777777" w:rsidR="00910FC2" w:rsidRPr="008B40A2" w:rsidRDefault="00910FC2">
      <w:pPr>
        <w:spacing w:line="259" w:lineRule="auto"/>
        <w:ind w:left="-142" w:right="49"/>
        <w:jc w:val="center"/>
        <w:rPr>
          <w:rFonts w:ascii="Palatino Linotype" w:eastAsia="Palatino Linotype" w:hAnsi="Palatino Linotype" w:cs="Palatino Linotype"/>
          <w:b/>
          <w:sz w:val="28"/>
          <w:szCs w:val="28"/>
        </w:rPr>
      </w:pPr>
    </w:p>
    <w:p w14:paraId="7DA4BE2D" w14:textId="77777777" w:rsidR="00910FC2" w:rsidRPr="008B40A2" w:rsidRDefault="008F0852">
      <w:pPr>
        <w:spacing w:line="360" w:lineRule="auto"/>
        <w:jc w:val="both"/>
      </w:pPr>
      <w:r w:rsidRPr="008B40A2">
        <w:rPr>
          <w:rFonts w:ascii="Palatino Linotype" w:eastAsia="Palatino Linotype" w:hAnsi="Palatino Linotype" w:cs="Palatino Linotype"/>
          <w:b/>
        </w:rPr>
        <w:t>Primero.</w:t>
      </w:r>
      <w:r w:rsidRPr="008B40A2">
        <w:rPr>
          <w:rFonts w:ascii="Palatino Linotype" w:eastAsia="Palatino Linotype" w:hAnsi="Palatino Linotype" w:cs="Palatino Linotype"/>
        </w:rPr>
        <w:t xml:space="preserve"> Resultan </w:t>
      </w:r>
      <w:r w:rsidRPr="008B40A2">
        <w:rPr>
          <w:rFonts w:ascii="Palatino Linotype" w:eastAsia="Palatino Linotype" w:hAnsi="Palatino Linotype" w:cs="Palatino Linotype"/>
          <w:b/>
        </w:rPr>
        <w:t>infundados</w:t>
      </w:r>
      <w:r w:rsidRPr="008B40A2">
        <w:rPr>
          <w:rFonts w:ascii="Palatino Linotype" w:eastAsia="Palatino Linotype" w:hAnsi="Palatino Linotype" w:cs="Palatino Linotype"/>
        </w:rPr>
        <w:t xml:space="preserve"> los motivos de inconformidad aducidos por el </w:t>
      </w:r>
      <w:r w:rsidRPr="008B40A2">
        <w:rPr>
          <w:rFonts w:ascii="Palatino Linotype" w:eastAsia="Palatino Linotype" w:hAnsi="Palatino Linotype" w:cs="Palatino Linotype"/>
          <w:b/>
        </w:rPr>
        <w:t>Recurrente</w:t>
      </w:r>
      <w:r w:rsidRPr="008B40A2">
        <w:rPr>
          <w:rFonts w:ascii="Palatino Linotype" w:eastAsia="Palatino Linotype" w:hAnsi="Palatino Linotype" w:cs="Palatino Linotype"/>
        </w:rPr>
        <w:t xml:space="preserve"> en el recurso de revisión </w:t>
      </w:r>
      <w:r w:rsidRPr="008B40A2">
        <w:rPr>
          <w:rFonts w:ascii="Palatino Linotype" w:eastAsia="Palatino Linotype" w:hAnsi="Palatino Linotype" w:cs="Palatino Linotype"/>
          <w:b/>
        </w:rPr>
        <w:t>15819/INFOEM/IP/RR/2022</w:t>
      </w:r>
      <w:r w:rsidRPr="008B40A2">
        <w:rPr>
          <w:rFonts w:ascii="Palatino Linotype" w:eastAsia="Palatino Linotype" w:hAnsi="Palatino Linotype" w:cs="Palatino Linotype"/>
        </w:rPr>
        <w:t xml:space="preserve">; por lo que, en términos de los argumentos señalados en el </w:t>
      </w:r>
      <w:r w:rsidRPr="008B40A2">
        <w:rPr>
          <w:rFonts w:ascii="Palatino Linotype" w:eastAsia="Palatino Linotype" w:hAnsi="Palatino Linotype" w:cs="Palatino Linotype"/>
          <w:b/>
        </w:rPr>
        <w:t>Considerando Cuarto</w:t>
      </w:r>
      <w:r w:rsidRPr="008B40A2">
        <w:rPr>
          <w:rFonts w:ascii="Palatino Linotype" w:eastAsia="Palatino Linotype" w:hAnsi="Palatino Linotype" w:cs="Palatino Linotype"/>
        </w:rPr>
        <w:t xml:space="preserve">, se </w:t>
      </w:r>
      <w:r w:rsidRPr="008B40A2">
        <w:rPr>
          <w:rFonts w:ascii="Palatino Linotype" w:eastAsia="Palatino Linotype" w:hAnsi="Palatino Linotype" w:cs="Palatino Linotype"/>
          <w:b/>
        </w:rPr>
        <w:t>CONFIRMA</w:t>
      </w:r>
      <w:r w:rsidRPr="008B40A2">
        <w:rPr>
          <w:rFonts w:ascii="Palatino Linotype" w:eastAsia="Palatino Linotype" w:hAnsi="Palatino Linotype" w:cs="Palatino Linotype"/>
        </w:rPr>
        <w:t xml:space="preserve"> la respuesta emitida por el </w:t>
      </w:r>
      <w:r w:rsidRPr="008B40A2">
        <w:rPr>
          <w:rFonts w:ascii="Palatino Linotype" w:eastAsia="Palatino Linotype" w:hAnsi="Palatino Linotype" w:cs="Palatino Linotype"/>
          <w:b/>
        </w:rPr>
        <w:t>Sujeto Obligado.</w:t>
      </w:r>
    </w:p>
    <w:p w14:paraId="3420B497" w14:textId="77777777" w:rsidR="00910FC2" w:rsidRPr="008B40A2" w:rsidRDefault="00910FC2">
      <w:pPr>
        <w:spacing w:line="360" w:lineRule="auto"/>
      </w:pPr>
    </w:p>
    <w:p w14:paraId="65BCE297" w14:textId="77777777" w:rsidR="00910FC2" w:rsidRPr="008B40A2" w:rsidRDefault="008F0852">
      <w:pPr>
        <w:spacing w:line="360" w:lineRule="auto"/>
        <w:jc w:val="both"/>
      </w:pPr>
      <w:r w:rsidRPr="008B40A2">
        <w:rPr>
          <w:rFonts w:ascii="Palatino Linotype" w:eastAsia="Palatino Linotype" w:hAnsi="Palatino Linotype" w:cs="Palatino Linotype"/>
          <w:b/>
        </w:rPr>
        <w:lastRenderedPageBreak/>
        <w:t>Segundo</w:t>
      </w:r>
      <w:r w:rsidRPr="008B40A2">
        <w:rPr>
          <w:rFonts w:ascii="Palatino Linotype" w:eastAsia="Palatino Linotype" w:hAnsi="Palatino Linotype" w:cs="Palatino Linotype"/>
        </w:rPr>
        <w:t xml:space="preserve">. Notifíquese, vía </w:t>
      </w:r>
      <w:r w:rsidRPr="008B40A2">
        <w:rPr>
          <w:rFonts w:ascii="Palatino Linotype" w:eastAsia="Palatino Linotype" w:hAnsi="Palatino Linotype" w:cs="Palatino Linotype"/>
          <w:b/>
        </w:rPr>
        <w:t>SAIMEX</w:t>
      </w:r>
      <w:r w:rsidRPr="008B40A2">
        <w:rPr>
          <w:rFonts w:ascii="Palatino Linotype" w:eastAsia="Palatino Linotype" w:hAnsi="Palatino Linotype" w:cs="Palatino Linotype"/>
        </w:rPr>
        <w:t xml:space="preserve">, </w:t>
      </w:r>
      <w:proofErr w:type="gramStart"/>
      <w:r w:rsidRPr="008B40A2">
        <w:rPr>
          <w:rFonts w:ascii="Palatino Linotype" w:eastAsia="Palatino Linotype" w:hAnsi="Palatino Linotype" w:cs="Palatino Linotype"/>
        </w:rPr>
        <w:t>al  Titular</w:t>
      </w:r>
      <w:proofErr w:type="gramEnd"/>
      <w:r w:rsidRPr="008B40A2">
        <w:rPr>
          <w:rFonts w:ascii="Palatino Linotype" w:eastAsia="Palatino Linotype" w:hAnsi="Palatino Linotype" w:cs="Palatino Linotype"/>
        </w:rPr>
        <w:t xml:space="preserve">  de la Unidad de Transparencia del </w:t>
      </w:r>
      <w:r w:rsidRPr="008B40A2">
        <w:rPr>
          <w:rFonts w:ascii="Palatino Linotype" w:eastAsia="Palatino Linotype" w:hAnsi="Palatino Linotype" w:cs="Palatino Linotype"/>
          <w:b/>
        </w:rPr>
        <w:t>Sujeto Obligado</w:t>
      </w:r>
      <w:r w:rsidRPr="008B40A2">
        <w:rPr>
          <w:rFonts w:ascii="Palatino Linotype" w:eastAsia="Palatino Linotype" w:hAnsi="Palatino Linotype" w:cs="Palatino Linotype"/>
        </w:rPr>
        <w:t>, la presente resolución para su conocimiento.</w:t>
      </w:r>
    </w:p>
    <w:p w14:paraId="1A4D9D9D" w14:textId="77777777" w:rsidR="00910FC2" w:rsidRPr="008B40A2" w:rsidRDefault="00910FC2">
      <w:pPr>
        <w:spacing w:line="360" w:lineRule="auto"/>
      </w:pPr>
    </w:p>
    <w:p w14:paraId="2EA452F3" w14:textId="77777777" w:rsidR="00910FC2" w:rsidRPr="008B40A2" w:rsidRDefault="008F0852">
      <w:pPr>
        <w:spacing w:line="360" w:lineRule="auto"/>
        <w:jc w:val="both"/>
        <w:rPr>
          <w:rFonts w:ascii="Palatino Linotype" w:eastAsia="Palatino Linotype" w:hAnsi="Palatino Linotype" w:cs="Palatino Linotype"/>
        </w:rPr>
      </w:pPr>
      <w:r w:rsidRPr="008B40A2">
        <w:rPr>
          <w:rFonts w:ascii="Palatino Linotype" w:eastAsia="Palatino Linotype" w:hAnsi="Palatino Linotype" w:cs="Palatino Linotype"/>
          <w:b/>
        </w:rPr>
        <w:t xml:space="preserve">Tercero.  Notifíquese, </w:t>
      </w:r>
      <w:r w:rsidRPr="008B40A2">
        <w:rPr>
          <w:rFonts w:ascii="Palatino Linotype" w:eastAsia="Palatino Linotype" w:hAnsi="Palatino Linotype" w:cs="Palatino Linotype"/>
        </w:rPr>
        <w:t xml:space="preserve">al </w:t>
      </w:r>
      <w:r w:rsidRPr="008B40A2">
        <w:rPr>
          <w:rFonts w:ascii="Palatino Linotype" w:eastAsia="Palatino Linotype" w:hAnsi="Palatino Linotype" w:cs="Palatino Linotype"/>
          <w:b/>
        </w:rPr>
        <w:t>Recurrente</w:t>
      </w:r>
      <w:r w:rsidRPr="008B40A2">
        <w:rPr>
          <w:rFonts w:ascii="Palatino Linotype" w:eastAsia="Palatino Linotype" w:hAnsi="Palatino Linotype" w:cs="Palatino Linotype"/>
        </w:rPr>
        <w:t xml:space="preserve"> la presente resolución vía </w:t>
      </w:r>
      <w:r w:rsidRPr="008B40A2">
        <w:rPr>
          <w:rFonts w:ascii="Palatino Linotype" w:eastAsia="Palatino Linotype" w:hAnsi="Palatino Linotype" w:cs="Palatino Linotype"/>
          <w:b/>
        </w:rPr>
        <w:t>SAIMEX</w:t>
      </w:r>
      <w:r w:rsidRPr="008B40A2">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710EEF9E" w14:textId="77777777" w:rsidR="00910FC2" w:rsidRPr="008B40A2" w:rsidRDefault="008F0852">
      <w:pPr>
        <w:spacing w:before="240" w:after="240" w:line="360" w:lineRule="auto"/>
        <w:jc w:val="both"/>
        <w:rPr>
          <w:rFonts w:ascii="Palatino Linotype" w:eastAsia="Palatino Linotype" w:hAnsi="Palatino Linotype" w:cs="Palatino Linotype"/>
        </w:rPr>
        <w:sectPr w:rsidR="00910FC2" w:rsidRPr="008B40A2">
          <w:headerReference w:type="default" r:id="rId14"/>
          <w:footerReference w:type="default" r:id="rId15"/>
          <w:headerReference w:type="first" r:id="rId16"/>
          <w:footerReference w:type="first" r:id="rId17"/>
          <w:pgSz w:w="12240" w:h="15840"/>
          <w:pgMar w:top="1417" w:right="1750" w:bottom="1417" w:left="1701" w:header="709" w:footer="709" w:gutter="0"/>
          <w:pgNumType w:start="1"/>
          <w:cols w:space="720"/>
          <w:titlePg/>
        </w:sectPr>
      </w:pPr>
      <w:bookmarkStart w:id="1" w:name="_heading=h.1fob9te" w:colFirst="0" w:colLast="0"/>
      <w:bookmarkEnd w:id="1"/>
      <w:r w:rsidRPr="008B40A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w:t>
      </w:r>
      <w:r w:rsidR="006940AF" w:rsidRPr="008B40A2">
        <w:rPr>
          <w:rFonts w:ascii="Palatino Linotype" w:eastAsia="Palatino Linotype" w:hAnsi="Palatino Linotype" w:cs="Palatino Linotype"/>
        </w:rPr>
        <w:t>AMÍREZ PEÑA; EN LA DÉCIMA SEGUND</w:t>
      </w:r>
      <w:r w:rsidRPr="008B40A2">
        <w:rPr>
          <w:rFonts w:ascii="Palatino Linotype" w:eastAsia="Palatino Linotype" w:hAnsi="Palatino Linotype" w:cs="Palatino Linotype"/>
        </w:rPr>
        <w:t>A SESIÓN O</w:t>
      </w:r>
      <w:r w:rsidR="006940AF" w:rsidRPr="008B40A2">
        <w:rPr>
          <w:rFonts w:ascii="Palatino Linotype" w:eastAsia="Palatino Linotype" w:hAnsi="Palatino Linotype" w:cs="Palatino Linotype"/>
        </w:rPr>
        <w:t>RDINARIA CELEBRADA EL VEINTINUEVE</w:t>
      </w:r>
      <w:r w:rsidRPr="008B40A2">
        <w:rPr>
          <w:rFonts w:ascii="Palatino Linotype" w:eastAsia="Palatino Linotype" w:hAnsi="Palatino Linotype" w:cs="Palatino Linotype"/>
        </w:rPr>
        <w:t xml:space="preserve"> DE MARZO DEL DOS MIL VEINTITRÉS, ANTE EL SECRETARIO TÉCNICO DEL PLENO, ALEXIS TAPIA RAMÍREZ.</w:t>
      </w:r>
    </w:p>
    <w:p w14:paraId="650B7B34" w14:textId="77777777" w:rsidR="00910FC2" w:rsidRPr="008B40A2" w:rsidRDefault="00910FC2">
      <w:pPr>
        <w:spacing w:before="240" w:after="240" w:line="360" w:lineRule="auto"/>
        <w:jc w:val="both"/>
        <w:rPr>
          <w:rFonts w:ascii="Palatino Linotype" w:eastAsia="Palatino Linotype" w:hAnsi="Palatino Linotype" w:cs="Palatino Linotype"/>
        </w:rPr>
      </w:pPr>
    </w:p>
    <w:sectPr w:rsidR="00910FC2" w:rsidRPr="008B40A2">
      <w:headerReference w:type="first" r:id="rId18"/>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F70DE" w14:textId="77777777" w:rsidR="006E0694" w:rsidRDefault="006E0694">
      <w:r>
        <w:separator/>
      </w:r>
    </w:p>
  </w:endnote>
  <w:endnote w:type="continuationSeparator" w:id="0">
    <w:p w14:paraId="66EB7BE9" w14:textId="77777777" w:rsidR="006E0694" w:rsidRDefault="006E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E58F" w14:textId="77777777" w:rsidR="00910FC2" w:rsidRDefault="008F085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B6C85">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B6C85">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52024F34" w14:textId="77777777" w:rsidR="00910FC2" w:rsidRDefault="00910FC2">
    <w:pPr>
      <w:pBdr>
        <w:top w:val="nil"/>
        <w:left w:val="nil"/>
        <w:bottom w:val="nil"/>
        <w:right w:val="nil"/>
        <w:between w:val="nil"/>
      </w:pBdr>
      <w:tabs>
        <w:tab w:val="center" w:pos="4252"/>
        <w:tab w:val="right" w:pos="8504"/>
      </w:tabs>
      <w:rPr>
        <w:color w:val="000000"/>
      </w:rPr>
    </w:pPr>
  </w:p>
  <w:p w14:paraId="3DA556D5" w14:textId="77777777" w:rsidR="00910FC2" w:rsidRDefault="00910FC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A43F" w14:textId="77777777" w:rsidR="00910FC2" w:rsidRDefault="008F085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B6C85">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B6C85">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14:paraId="7E74E012" w14:textId="77777777" w:rsidR="00910FC2" w:rsidRDefault="00910FC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11BDC" w14:textId="77777777" w:rsidR="006E0694" w:rsidRDefault="006E0694">
      <w:r>
        <w:separator/>
      </w:r>
    </w:p>
  </w:footnote>
  <w:footnote w:type="continuationSeparator" w:id="0">
    <w:p w14:paraId="00DCED4E" w14:textId="77777777" w:rsidR="006E0694" w:rsidRDefault="006E0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C51D" w14:textId="77777777" w:rsidR="00910FC2" w:rsidRDefault="008F0852">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CD83F1E" wp14:editId="3EFA6180">
          <wp:simplePos x="0" y="0"/>
          <wp:positionH relativeFrom="column">
            <wp:posOffset>-943608</wp:posOffset>
          </wp:positionH>
          <wp:positionV relativeFrom="paragraph">
            <wp:posOffset>-309878</wp:posOffset>
          </wp:positionV>
          <wp:extent cx="7635600" cy="994320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6240" w:type="dxa"/>
      <w:tblInd w:w="3746" w:type="dxa"/>
      <w:tblLayout w:type="fixed"/>
      <w:tblLook w:val="0400" w:firstRow="0" w:lastRow="0" w:firstColumn="0" w:lastColumn="0" w:noHBand="0" w:noVBand="1"/>
    </w:tblPr>
    <w:tblGrid>
      <w:gridCol w:w="2553"/>
      <w:gridCol w:w="3687"/>
    </w:tblGrid>
    <w:tr w:rsidR="00910FC2" w14:paraId="697EA4CB" w14:textId="77777777">
      <w:tc>
        <w:tcPr>
          <w:tcW w:w="2553" w:type="dxa"/>
          <w:vAlign w:val="center"/>
        </w:tcPr>
        <w:p w14:paraId="14F8A6E8"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227BCB1" w14:textId="77777777" w:rsidR="00910FC2" w:rsidRDefault="008F0852">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15819/INFOEM/IP/RR/2022</w:t>
          </w:r>
        </w:p>
      </w:tc>
    </w:tr>
    <w:tr w:rsidR="00910FC2" w14:paraId="2A98046F" w14:textId="77777777">
      <w:trPr>
        <w:trHeight w:val="228"/>
      </w:trPr>
      <w:tc>
        <w:tcPr>
          <w:tcW w:w="2553" w:type="dxa"/>
          <w:vAlign w:val="center"/>
        </w:tcPr>
        <w:p w14:paraId="3A84FF6D"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B47BFDB" w14:textId="77777777" w:rsidR="00910FC2" w:rsidRDefault="008F0852">
          <w:pPr>
            <w:tabs>
              <w:tab w:val="left" w:pos="1531"/>
            </w:tabs>
            <w:ind w:right="6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910FC2" w14:paraId="65D1889F" w14:textId="77777777">
      <w:tc>
        <w:tcPr>
          <w:tcW w:w="2553" w:type="dxa"/>
          <w:vAlign w:val="center"/>
        </w:tcPr>
        <w:p w14:paraId="24EEE1EE"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B5E2580" w14:textId="77777777" w:rsidR="00910FC2" w:rsidRDefault="008F085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7335F9" w14:textId="77777777" w:rsidR="00910FC2" w:rsidRDefault="008F085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8703" w14:textId="77777777" w:rsidR="00910FC2" w:rsidRDefault="008F085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67B523B" wp14:editId="640E5608">
          <wp:simplePos x="0" y="0"/>
          <wp:positionH relativeFrom="column">
            <wp:posOffset>-973451</wp:posOffset>
          </wp:positionH>
          <wp:positionV relativeFrom="paragraph">
            <wp:posOffset>-354962</wp:posOffset>
          </wp:positionV>
          <wp:extent cx="7635600" cy="9943200"/>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6240" w:type="dxa"/>
      <w:tblInd w:w="3685" w:type="dxa"/>
      <w:tblLayout w:type="fixed"/>
      <w:tblLook w:val="0400" w:firstRow="0" w:lastRow="0" w:firstColumn="0" w:lastColumn="0" w:noHBand="0" w:noVBand="1"/>
    </w:tblPr>
    <w:tblGrid>
      <w:gridCol w:w="2553"/>
      <w:gridCol w:w="3687"/>
    </w:tblGrid>
    <w:tr w:rsidR="00910FC2" w14:paraId="132A5E40" w14:textId="77777777">
      <w:tc>
        <w:tcPr>
          <w:tcW w:w="2553" w:type="dxa"/>
          <w:vAlign w:val="center"/>
        </w:tcPr>
        <w:p w14:paraId="227F47D2"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7F312F1"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15819/INFOEM/IP/RR/2022</w:t>
          </w:r>
        </w:p>
      </w:tc>
    </w:tr>
    <w:tr w:rsidR="00910FC2" w14:paraId="35B4F375" w14:textId="77777777">
      <w:tc>
        <w:tcPr>
          <w:tcW w:w="2553" w:type="dxa"/>
          <w:vAlign w:val="center"/>
        </w:tcPr>
        <w:p w14:paraId="5B6E87A7"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3A56F9AB" w14:textId="77777777" w:rsidR="00910FC2" w:rsidRDefault="00910FC2">
          <w:pPr>
            <w:ind w:right="-396"/>
            <w:rPr>
              <w:rFonts w:ascii="Palatino Linotype" w:eastAsia="Palatino Linotype" w:hAnsi="Palatino Linotype" w:cs="Palatino Linotype"/>
              <w:b/>
              <w:sz w:val="22"/>
              <w:szCs w:val="22"/>
            </w:rPr>
          </w:pPr>
        </w:p>
      </w:tc>
    </w:tr>
    <w:tr w:rsidR="00910FC2" w14:paraId="000AE2A6" w14:textId="77777777">
      <w:trPr>
        <w:trHeight w:val="228"/>
      </w:trPr>
      <w:tc>
        <w:tcPr>
          <w:tcW w:w="2553" w:type="dxa"/>
          <w:vAlign w:val="center"/>
        </w:tcPr>
        <w:p w14:paraId="79EC9D47"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55A9B77" w14:textId="77777777" w:rsidR="00910FC2" w:rsidRDefault="008F0852">
          <w:pPr>
            <w:ind w:right="73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910FC2" w14:paraId="769DA560" w14:textId="77777777">
      <w:tc>
        <w:tcPr>
          <w:tcW w:w="2553" w:type="dxa"/>
          <w:vAlign w:val="center"/>
        </w:tcPr>
        <w:p w14:paraId="3CA5B98B" w14:textId="77777777" w:rsidR="00910FC2" w:rsidRDefault="008F0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CCBEF07" w14:textId="77777777" w:rsidR="00910FC2" w:rsidRDefault="008F085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DE38CE" w14:textId="77777777" w:rsidR="00910FC2" w:rsidRDefault="00910FC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030F1" w14:textId="77777777" w:rsidR="00910FC2" w:rsidRDefault="008F085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232288E3" w14:textId="77777777" w:rsidR="00910FC2" w:rsidRDefault="00910FC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94583"/>
    <w:multiLevelType w:val="multilevel"/>
    <w:tmpl w:val="E634F94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2B6027"/>
    <w:multiLevelType w:val="multilevel"/>
    <w:tmpl w:val="2C18D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14657F"/>
    <w:multiLevelType w:val="multilevel"/>
    <w:tmpl w:val="F7A06C3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2C1189"/>
    <w:multiLevelType w:val="multilevel"/>
    <w:tmpl w:val="D862D3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0EE26A7"/>
    <w:multiLevelType w:val="multilevel"/>
    <w:tmpl w:val="FDEE356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C2"/>
    <w:rsid w:val="00074011"/>
    <w:rsid w:val="000920BB"/>
    <w:rsid w:val="001140AE"/>
    <w:rsid w:val="00260DC1"/>
    <w:rsid w:val="002D1531"/>
    <w:rsid w:val="00394D87"/>
    <w:rsid w:val="00572D85"/>
    <w:rsid w:val="0059701E"/>
    <w:rsid w:val="005B6C85"/>
    <w:rsid w:val="006212F4"/>
    <w:rsid w:val="006940AF"/>
    <w:rsid w:val="006B3CE9"/>
    <w:rsid w:val="006E0694"/>
    <w:rsid w:val="007A084D"/>
    <w:rsid w:val="00893B35"/>
    <w:rsid w:val="008B40A2"/>
    <w:rsid w:val="008F0852"/>
    <w:rsid w:val="009072A3"/>
    <w:rsid w:val="00910FC2"/>
    <w:rsid w:val="00950937"/>
    <w:rsid w:val="00BE2FFD"/>
    <w:rsid w:val="00C33755"/>
    <w:rsid w:val="00C5495C"/>
    <w:rsid w:val="00D56540"/>
    <w:rsid w:val="00E11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984F"/>
  <w15:docId w15:val="{77D0116B-E450-4789-B9A7-3478C622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Iw/Qo9mEWgiI+mOKfTtT/8cO7A==">AMUW2mWMFYV8uhVY+FtY/Xeg9VO1ObyogKzTL1gPFoM8Pt1U/ACli8iAjpXkP/eykPK/vjjB/4YH7T5P4CxfJpJmV4ecwRl6Y/P1OpMLpxMbzwU0j5cNTPValSzJPa/EBANdXMFwHVDk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7592</Words>
  <Characters>41757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2023-03-31T16:47:00Z</cp:lastPrinted>
  <dcterms:created xsi:type="dcterms:W3CDTF">2023-04-11T04:31:00Z</dcterms:created>
  <dcterms:modified xsi:type="dcterms:W3CDTF">2023-04-11T04:31:00Z</dcterms:modified>
</cp:coreProperties>
</file>