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133BB" w14:textId="1AFB14D9" w:rsidR="00CF379C" w:rsidRDefault="00CF379C" w:rsidP="006922F5">
      <w:pPr>
        <w:pBdr>
          <w:top w:val="nil"/>
          <w:left w:val="nil"/>
          <w:bottom w:val="nil"/>
          <w:right w:val="nil"/>
          <w:between w:val="nil"/>
        </w:pBdr>
        <w:contextualSpacing/>
        <w:rPr>
          <w:rFonts w:eastAsia="Palatino Linotype" w:cs="Palatino Linotype"/>
          <w:color w:val="000000"/>
          <w:szCs w:val="24"/>
        </w:rPr>
      </w:pPr>
    </w:p>
    <w:p w14:paraId="49AF2C0C" w14:textId="6F09F19E"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E53694">
        <w:rPr>
          <w:rFonts w:eastAsia="Palatino Linotype" w:cs="Palatino Linotype"/>
          <w:color w:val="000000"/>
          <w:szCs w:val="24"/>
        </w:rPr>
        <w:t xml:space="preserve">México, </w:t>
      </w:r>
      <w:r w:rsidR="000D2E93" w:rsidRPr="00E53694">
        <w:rPr>
          <w:rFonts w:eastAsia="Palatino Linotype" w:cs="Palatino Linotype"/>
          <w:color w:val="000000"/>
          <w:szCs w:val="24"/>
        </w:rPr>
        <w:t>a</w:t>
      </w:r>
      <w:r w:rsidR="0001050B" w:rsidRPr="00E53694">
        <w:rPr>
          <w:rFonts w:eastAsia="Palatino Linotype" w:cs="Palatino Linotype"/>
          <w:color w:val="000000"/>
          <w:szCs w:val="24"/>
        </w:rPr>
        <w:t xml:space="preserve"> veinticinco de octubre </w:t>
      </w:r>
      <w:r w:rsidR="006C7E69" w:rsidRPr="00E53694">
        <w:rPr>
          <w:rFonts w:eastAsia="Palatino Linotype" w:cs="Palatino Linotype"/>
          <w:color w:val="000000"/>
          <w:szCs w:val="24"/>
        </w:rPr>
        <w:t>de dos mil veintitrés</w:t>
      </w:r>
      <w:r w:rsidR="001C1BF4" w:rsidRPr="00E53694">
        <w:rPr>
          <w:rFonts w:eastAsia="Palatino Linotype" w:cs="Palatino Linotype"/>
          <w:color w:val="000000"/>
          <w:szCs w:val="24"/>
        </w:rPr>
        <w:t>.</w:t>
      </w:r>
    </w:p>
    <w:p w14:paraId="60399B74"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2E76C11"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b/>
          <w:color w:val="000000"/>
          <w:szCs w:val="24"/>
        </w:rPr>
        <w:t>VISTO</w:t>
      </w:r>
      <w:r w:rsidRPr="00E53694">
        <w:rPr>
          <w:rFonts w:eastAsia="Palatino Linotype" w:cs="Palatino Linotype"/>
          <w:color w:val="000000"/>
          <w:szCs w:val="24"/>
        </w:rPr>
        <w:t xml:space="preserve"> el expediente electrónico formado con motivo del recurso de revisión número </w:t>
      </w:r>
      <w:r w:rsidR="00CF379C" w:rsidRPr="00E53694">
        <w:rPr>
          <w:rFonts w:eastAsia="Palatino Linotype" w:cs="Palatino Linotype"/>
          <w:b/>
          <w:color w:val="000000"/>
          <w:szCs w:val="24"/>
        </w:rPr>
        <w:t>03920</w:t>
      </w:r>
      <w:r w:rsidRPr="00E53694">
        <w:rPr>
          <w:rFonts w:eastAsia="Palatino Linotype" w:cs="Palatino Linotype"/>
          <w:b/>
          <w:color w:val="000000"/>
          <w:szCs w:val="24"/>
        </w:rPr>
        <w:t>/INFOEM/IP/RR/202</w:t>
      </w:r>
      <w:r w:rsidR="00657695" w:rsidRPr="00E53694">
        <w:rPr>
          <w:rFonts w:eastAsia="Palatino Linotype" w:cs="Palatino Linotype"/>
          <w:b/>
          <w:color w:val="000000"/>
          <w:szCs w:val="24"/>
        </w:rPr>
        <w:t>3</w:t>
      </w:r>
      <w:r w:rsidR="00B54BC7" w:rsidRPr="00E53694">
        <w:rPr>
          <w:rFonts w:eastAsia="Palatino Linotype" w:cs="Palatino Linotype"/>
          <w:color w:val="000000"/>
          <w:szCs w:val="24"/>
        </w:rPr>
        <w:t>, interpuesto po</w:t>
      </w:r>
      <w:r w:rsidR="00430C63" w:rsidRPr="00E53694">
        <w:rPr>
          <w:rFonts w:eastAsia="Palatino Linotype" w:cs="Palatino Linotype"/>
          <w:color w:val="000000"/>
          <w:szCs w:val="24"/>
        </w:rPr>
        <w:t>r</w:t>
      </w:r>
      <w:r w:rsidR="00CF379C" w:rsidRPr="00E53694">
        <w:rPr>
          <w:rFonts w:eastAsia="Palatino Linotype" w:cs="Palatino Linotype"/>
          <w:color w:val="000000"/>
          <w:szCs w:val="24"/>
        </w:rPr>
        <w:t xml:space="preserve"> </w:t>
      </w:r>
      <w:r w:rsidR="001E42AB" w:rsidRPr="00E53694">
        <w:rPr>
          <w:rFonts w:eastAsia="Palatino Linotype" w:cs="Palatino Linotype"/>
          <w:b/>
          <w:bCs/>
          <w:color w:val="000000"/>
          <w:szCs w:val="24"/>
        </w:rPr>
        <w:t>XXXXXX</w:t>
      </w:r>
      <w:r w:rsidR="00B54BC7" w:rsidRPr="00E53694">
        <w:rPr>
          <w:rFonts w:eastAsia="Palatino Linotype" w:cs="Palatino Linotype"/>
          <w:color w:val="000000"/>
          <w:szCs w:val="24"/>
        </w:rPr>
        <w:t xml:space="preserve">, en lo sucesivo </w:t>
      </w:r>
      <w:r w:rsidR="008E5682" w:rsidRPr="00E53694">
        <w:rPr>
          <w:rFonts w:eastAsia="Palatino Linotype" w:cs="Palatino Linotype"/>
          <w:color w:val="000000"/>
          <w:szCs w:val="24"/>
        </w:rPr>
        <w:t>el</w:t>
      </w:r>
      <w:r w:rsidR="00B54BC7" w:rsidRPr="00E53694">
        <w:rPr>
          <w:rFonts w:eastAsia="Palatino Linotype" w:cs="Palatino Linotype"/>
          <w:color w:val="000000"/>
          <w:szCs w:val="24"/>
        </w:rPr>
        <w:t xml:space="preserve"> </w:t>
      </w:r>
      <w:r w:rsidRPr="00E53694">
        <w:rPr>
          <w:rFonts w:eastAsia="Palatino Linotype" w:cs="Palatino Linotype"/>
          <w:b/>
          <w:color w:val="000000"/>
          <w:szCs w:val="24"/>
        </w:rPr>
        <w:t>Recurrente</w:t>
      </w:r>
      <w:r w:rsidRPr="00E53694">
        <w:rPr>
          <w:rFonts w:eastAsia="Palatino Linotype" w:cs="Palatino Linotype"/>
          <w:color w:val="000000"/>
          <w:szCs w:val="24"/>
        </w:rPr>
        <w:t>, en contra de la respuesta d</w:t>
      </w:r>
      <w:r w:rsidR="00165CA1" w:rsidRPr="00E53694">
        <w:rPr>
          <w:rFonts w:eastAsia="Palatino Linotype" w:cs="Palatino Linotype"/>
          <w:color w:val="000000"/>
          <w:szCs w:val="24"/>
        </w:rPr>
        <w:t>e</w:t>
      </w:r>
      <w:r w:rsidR="00FF35B6" w:rsidRPr="00E53694">
        <w:rPr>
          <w:rFonts w:eastAsia="Palatino Linotype" w:cs="Palatino Linotype"/>
          <w:color w:val="000000"/>
          <w:szCs w:val="24"/>
        </w:rPr>
        <w:t>l</w:t>
      </w:r>
      <w:r w:rsidRPr="00E53694">
        <w:rPr>
          <w:rFonts w:eastAsia="Palatino Linotype" w:cs="Palatino Linotype"/>
          <w:color w:val="000000"/>
          <w:szCs w:val="24"/>
        </w:rPr>
        <w:t xml:space="preserve"> </w:t>
      </w:r>
      <w:r w:rsidR="00CF379C" w:rsidRPr="00E53694">
        <w:rPr>
          <w:rFonts w:eastAsia="Palatino Linotype" w:cs="Palatino Linotype"/>
          <w:b/>
          <w:color w:val="000000"/>
          <w:szCs w:val="24"/>
        </w:rPr>
        <w:t>Ayuntamiento de Ocoyoaca</w:t>
      </w:r>
      <w:r w:rsidR="00657695" w:rsidRPr="00E53694">
        <w:rPr>
          <w:rFonts w:eastAsia="Palatino Linotype" w:cs="Palatino Linotype"/>
          <w:b/>
          <w:color w:val="000000"/>
          <w:szCs w:val="24"/>
        </w:rPr>
        <w:t>c</w:t>
      </w:r>
      <w:r w:rsidR="0051074E" w:rsidRPr="00E53694">
        <w:rPr>
          <w:rFonts w:eastAsia="Palatino Linotype" w:cs="Palatino Linotype"/>
          <w:color w:val="000000"/>
          <w:szCs w:val="24"/>
        </w:rPr>
        <w:t xml:space="preserve">, </w:t>
      </w:r>
      <w:r w:rsidRPr="00E53694">
        <w:rPr>
          <w:rFonts w:eastAsia="Palatino Linotype" w:cs="Palatino Linotype"/>
          <w:color w:val="000000"/>
          <w:szCs w:val="24"/>
        </w:rPr>
        <w:t>en lo subsecuente</w:t>
      </w:r>
      <w:r w:rsidRPr="00E53694">
        <w:rPr>
          <w:rFonts w:eastAsia="Palatino Linotype" w:cs="Palatino Linotype"/>
          <w:b/>
          <w:color w:val="000000"/>
          <w:szCs w:val="24"/>
        </w:rPr>
        <w:t xml:space="preserve"> </w:t>
      </w:r>
      <w:r w:rsidRPr="00E53694">
        <w:rPr>
          <w:rFonts w:eastAsia="Palatino Linotype" w:cs="Palatino Linotype"/>
          <w:color w:val="000000"/>
          <w:szCs w:val="24"/>
        </w:rPr>
        <w:t>el</w:t>
      </w:r>
      <w:r w:rsidRPr="00E53694">
        <w:rPr>
          <w:rFonts w:eastAsia="Palatino Linotype" w:cs="Palatino Linotype"/>
          <w:b/>
          <w:color w:val="000000"/>
          <w:szCs w:val="24"/>
        </w:rPr>
        <w:t xml:space="preserve"> Sujeto Obligado, </w:t>
      </w:r>
      <w:r w:rsidRPr="00E53694">
        <w:rPr>
          <w:rFonts w:eastAsia="Palatino Linotype" w:cs="Palatino Linotype"/>
          <w:color w:val="000000"/>
          <w:szCs w:val="24"/>
        </w:rPr>
        <w:t>se procede a dictar la presente resolución.</w:t>
      </w:r>
    </w:p>
    <w:p w14:paraId="2E2053C2"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53694" w:rsidRDefault="00A970D5" w:rsidP="006922F5">
      <w:pPr>
        <w:pStyle w:val="Ttulo1"/>
        <w:rPr>
          <w:rFonts w:eastAsia="Palatino Linotype"/>
          <w:lang w:val="es-ES_tradnl"/>
        </w:rPr>
      </w:pPr>
      <w:r w:rsidRPr="00E53694">
        <w:rPr>
          <w:rFonts w:eastAsia="Palatino Linotype"/>
          <w:lang w:val="es-ES_tradnl"/>
        </w:rPr>
        <w:t>A N T E C E D E N T E S</w:t>
      </w:r>
    </w:p>
    <w:p w14:paraId="32F88820"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E53694" w:rsidRDefault="00A970D5" w:rsidP="006922F5">
      <w:pPr>
        <w:pStyle w:val="Ttulo2"/>
        <w:rPr>
          <w:rFonts w:eastAsia="Palatino Linotype"/>
        </w:rPr>
      </w:pPr>
      <w:r w:rsidRPr="00E53694">
        <w:rPr>
          <w:rFonts w:eastAsia="Palatino Linotype"/>
        </w:rPr>
        <w:t>PRIMERO. De la Solicitud de Información.</w:t>
      </w:r>
    </w:p>
    <w:p w14:paraId="0870C154" w14:textId="49CE075E" w:rsidR="00A970D5" w:rsidRPr="00E53694" w:rsidRDefault="00B36B86"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Con fecha</w:t>
      </w:r>
      <w:r w:rsidR="00AA6C98" w:rsidRPr="00E53694">
        <w:rPr>
          <w:rFonts w:eastAsia="Palatino Linotype" w:cs="Palatino Linotype"/>
          <w:color w:val="000000"/>
          <w:szCs w:val="24"/>
        </w:rPr>
        <w:t xml:space="preserve"> </w:t>
      </w:r>
      <w:r w:rsidR="00CF379C" w:rsidRPr="00E53694">
        <w:rPr>
          <w:rFonts w:eastAsia="Palatino Linotype" w:cs="Palatino Linotype"/>
          <w:color w:val="000000"/>
          <w:szCs w:val="24"/>
        </w:rPr>
        <w:t xml:space="preserve">quince de marzo </w:t>
      </w:r>
      <w:r w:rsidR="00AA6C98" w:rsidRPr="00E53694">
        <w:rPr>
          <w:rFonts w:eastAsia="Palatino Linotype" w:cs="Palatino Linotype"/>
          <w:color w:val="000000"/>
          <w:szCs w:val="24"/>
        </w:rPr>
        <w:t>de dos mil veintitrés</w:t>
      </w:r>
      <w:r w:rsidR="00B54BC7" w:rsidRPr="00E53694">
        <w:rPr>
          <w:rFonts w:eastAsia="Palatino Linotype" w:cs="Palatino Linotype"/>
          <w:color w:val="000000"/>
          <w:szCs w:val="24"/>
        </w:rPr>
        <w:t xml:space="preserve">, </w:t>
      </w:r>
      <w:r w:rsidR="00430C63" w:rsidRPr="00E53694">
        <w:rPr>
          <w:rFonts w:eastAsia="Palatino Linotype" w:cs="Palatino Linotype"/>
          <w:color w:val="000000"/>
          <w:szCs w:val="24"/>
        </w:rPr>
        <w:t>el</w:t>
      </w:r>
      <w:r w:rsidR="00A970D5" w:rsidRPr="00E53694">
        <w:rPr>
          <w:rFonts w:eastAsia="Palatino Linotype" w:cs="Palatino Linotype"/>
          <w:color w:val="000000"/>
          <w:szCs w:val="24"/>
        </w:rPr>
        <w:t xml:space="preserve"> Recurrente presentó mediante </w:t>
      </w:r>
      <w:r w:rsidR="001075ED" w:rsidRPr="00E53694">
        <w:rPr>
          <w:rFonts w:eastAsia="Palatino Linotype" w:cs="Palatino Linotype"/>
          <w:color w:val="000000"/>
          <w:szCs w:val="24"/>
        </w:rPr>
        <w:t xml:space="preserve">la Plataforma Nacional de Transparencia, solicitud de información que se registró en </w:t>
      </w:r>
      <w:r w:rsidR="00A970D5" w:rsidRPr="00E53694">
        <w:rPr>
          <w:rFonts w:eastAsia="Palatino Linotype" w:cs="Palatino Linotype"/>
          <w:color w:val="000000"/>
          <w:szCs w:val="24"/>
        </w:rPr>
        <w:t xml:space="preserve">el Sistema de Acceso a la </w:t>
      </w:r>
      <w:r w:rsidR="001075ED" w:rsidRPr="00E53694">
        <w:rPr>
          <w:rFonts w:eastAsia="Palatino Linotype" w:cs="Palatino Linotype"/>
          <w:color w:val="000000"/>
          <w:szCs w:val="24"/>
        </w:rPr>
        <w:t>Información Mexiquense (SAIMEX)</w:t>
      </w:r>
      <w:r w:rsidR="00A970D5" w:rsidRPr="00E53694">
        <w:rPr>
          <w:rFonts w:eastAsia="Palatino Linotype" w:cs="Palatino Linotype"/>
          <w:color w:val="000000"/>
          <w:szCs w:val="24"/>
        </w:rPr>
        <w:t xml:space="preserve"> con el número de expediente</w:t>
      </w:r>
      <w:r w:rsidR="00A970D5" w:rsidRPr="00E53694">
        <w:rPr>
          <w:rFonts w:eastAsia="Palatino Linotype" w:cs="Palatino Linotype"/>
          <w:b/>
          <w:color w:val="000000"/>
          <w:szCs w:val="24"/>
        </w:rPr>
        <w:t xml:space="preserve"> </w:t>
      </w:r>
      <w:r w:rsidR="00CF379C" w:rsidRPr="00E53694">
        <w:rPr>
          <w:rFonts w:eastAsia="Palatino Linotype" w:cs="Palatino Linotype"/>
          <w:b/>
          <w:bCs/>
          <w:color w:val="000000"/>
          <w:szCs w:val="24"/>
        </w:rPr>
        <w:t>00026/OCOYOAC/IP/2023</w:t>
      </w:r>
      <w:r w:rsidR="00A970D5" w:rsidRPr="00E53694">
        <w:rPr>
          <w:rFonts w:eastAsia="Palatino Linotype" w:cs="Palatino Linotype"/>
          <w:color w:val="000000"/>
          <w:szCs w:val="24"/>
        </w:rPr>
        <w:t>,</w:t>
      </w:r>
      <w:r w:rsidR="00A970D5" w:rsidRPr="00E53694">
        <w:rPr>
          <w:rFonts w:eastAsia="Palatino Linotype" w:cs="Palatino Linotype"/>
          <w:b/>
          <w:color w:val="000000"/>
          <w:szCs w:val="24"/>
        </w:rPr>
        <w:t xml:space="preserve"> </w:t>
      </w:r>
      <w:r w:rsidR="00A970D5" w:rsidRPr="00E53694">
        <w:rPr>
          <w:rFonts w:eastAsia="Palatino Linotype" w:cs="Palatino Linotype"/>
          <w:color w:val="000000"/>
          <w:szCs w:val="24"/>
        </w:rPr>
        <w:t>mediante la cual solicitó información en el tenor siguiente:</w:t>
      </w:r>
    </w:p>
    <w:p w14:paraId="68B56D82"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4AA7543" w:rsidR="00A970D5" w:rsidRPr="00E53694" w:rsidRDefault="00A970D5" w:rsidP="006922F5">
      <w:pPr>
        <w:pStyle w:val="Fundamentos"/>
      </w:pPr>
      <w:r w:rsidRPr="00E53694">
        <w:t>“</w:t>
      </w:r>
      <w:r w:rsidR="00CF379C" w:rsidRPr="00E53694">
        <w:t>número total de elementos de seguridad desglosado como lo son policías, bomberos, paramédicos, total de unidades de servicios de emergencia, como lo son patrullas y ambulancias y motivo por el cual no se encuentran matriculadas las patrullas</w:t>
      </w:r>
      <w:r w:rsidRPr="00E53694">
        <w:t xml:space="preserve">” </w:t>
      </w:r>
      <w:r w:rsidR="00D7260C" w:rsidRPr="00E53694">
        <w:t>(</w:t>
      </w:r>
      <w:r w:rsidRPr="00E53694">
        <w:t>Sic</w:t>
      </w:r>
      <w:r w:rsidR="00D7260C" w:rsidRPr="00E53694">
        <w:t>)</w:t>
      </w:r>
    </w:p>
    <w:p w14:paraId="40BBECCB"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CB81B50" w:rsidR="00A970D5" w:rsidRPr="00E53694" w:rsidRDefault="00A970D5" w:rsidP="006922F5">
      <w:pPr>
        <w:pBdr>
          <w:top w:val="nil"/>
          <w:left w:val="nil"/>
          <w:bottom w:val="nil"/>
          <w:right w:val="nil"/>
          <w:between w:val="nil"/>
        </w:pBdr>
        <w:contextualSpacing/>
        <w:rPr>
          <w:rFonts w:eastAsia="Palatino Linotype" w:cs="Palatino Linotype"/>
          <w:b/>
          <w:color w:val="000000"/>
          <w:szCs w:val="24"/>
        </w:rPr>
      </w:pPr>
      <w:r w:rsidRPr="00E53694">
        <w:rPr>
          <w:rFonts w:eastAsia="Palatino Linotype" w:cs="Palatino Linotype"/>
          <w:color w:val="000000"/>
          <w:szCs w:val="24"/>
        </w:rPr>
        <w:t xml:space="preserve">Modalidad de entrega: </w:t>
      </w:r>
      <w:r w:rsidR="001075ED" w:rsidRPr="00E53694">
        <w:rPr>
          <w:rFonts w:eastAsia="Palatino Linotype" w:cs="Palatino Linotype"/>
          <w:b/>
          <w:color w:val="000000"/>
          <w:szCs w:val="24"/>
        </w:rPr>
        <w:t>Correo electrónico y cualquier otro medio incluido los electrónicos (USB, SD, Disco)</w:t>
      </w:r>
    </w:p>
    <w:p w14:paraId="1603BECA" w14:textId="77777777" w:rsidR="00875B7E" w:rsidRPr="00E53694"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09C8F428" w:rsidR="00A970D5" w:rsidRPr="00E53694" w:rsidRDefault="00CF379C" w:rsidP="006922F5">
      <w:pPr>
        <w:pStyle w:val="Ttulo2"/>
        <w:rPr>
          <w:rFonts w:eastAsia="Palatino Linotype"/>
        </w:rPr>
      </w:pPr>
      <w:r w:rsidRPr="00E53694">
        <w:rPr>
          <w:rFonts w:eastAsia="Palatino Linotype"/>
        </w:rPr>
        <w:lastRenderedPageBreak/>
        <w:t>SEGUNDO</w:t>
      </w:r>
      <w:r w:rsidR="00A970D5" w:rsidRPr="00E53694">
        <w:rPr>
          <w:rFonts w:eastAsia="Palatino Linotype"/>
        </w:rPr>
        <w:t>. De la respuesta del Sujeto Obligado.</w:t>
      </w:r>
    </w:p>
    <w:p w14:paraId="2EE6F294" w14:textId="1C910776"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De las constancias que obran en el expediente electrónico, se observa qu</w:t>
      </w:r>
      <w:r w:rsidR="008B2951" w:rsidRPr="00E53694">
        <w:rPr>
          <w:rFonts w:eastAsia="Palatino Linotype" w:cs="Palatino Linotype"/>
          <w:color w:val="000000"/>
          <w:szCs w:val="24"/>
        </w:rPr>
        <w:t>e el día</w:t>
      </w:r>
      <w:r w:rsidR="00AA6C98" w:rsidRPr="00E53694">
        <w:rPr>
          <w:rFonts w:eastAsia="Palatino Linotype" w:cs="Palatino Linotype"/>
          <w:color w:val="000000"/>
          <w:szCs w:val="24"/>
        </w:rPr>
        <w:t xml:space="preserve"> </w:t>
      </w:r>
      <w:r w:rsidR="00CF379C" w:rsidRPr="00E53694">
        <w:rPr>
          <w:rFonts w:eastAsia="Palatino Linotype" w:cs="Palatino Linotype"/>
          <w:color w:val="000000"/>
          <w:szCs w:val="24"/>
        </w:rPr>
        <w:t xml:space="preserve">cuatro de julio </w:t>
      </w:r>
      <w:r w:rsidR="00AA6C98" w:rsidRPr="00E53694">
        <w:rPr>
          <w:rFonts w:eastAsia="Palatino Linotype" w:cs="Palatino Linotype"/>
          <w:color w:val="000000"/>
          <w:szCs w:val="24"/>
        </w:rPr>
        <w:t>de dos mil veintitrés</w:t>
      </w:r>
      <w:r w:rsidRPr="00E53694">
        <w:rPr>
          <w:rFonts w:eastAsia="Palatino Linotype" w:cs="Palatino Linotype"/>
          <w:color w:val="000000"/>
          <w:szCs w:val="24"/>
        </w:rPr>
        <w:t>, el Sujeto Obligado dio respuest</w:t>
      </w:r>
      <w:r w:rsidR="009F4FF4" w:rsidRPr="00E53694">
        <w:rPr>
          <w:rFonts w:eastAsia="Palatino Linotype" w:cs="Palatino Linotype"/>
          <w:color w:val="000000"/>
          <w:szCs w:val="24"/>
        </w:rPr>
        <w:t>a a la solicitud de información</w:t>
      </w:r>
      <w:r w:rsidRPr="00E53694">
        <w:rPr>
          <w:rFonts w:eastAsia="Palatino Linotype" w:cs="Palatino Linotype"/>
          <w:color w:val="000000"/>
          <w:szCs w:val="24"/>
        </w:rPr>
        <w:t xml:space="preserve"> manifestando lo siguiente:</w:t>
      </w:r>
    </w:p>
    <w:p w14:paraId="6CF4EC0F"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5EB7FAA2" w14:textId="77777777" w:rsidR="00CF379C" w:rsidRPr="00E53694" w:rsidRDefault="00A970D5" w:rsidP="00CF379C">
      <w:pPr>
        <w:pStyle w:val="Fundamentos"/>
      </w:pPr>
      <w:r w:rsidRPr="00E53694">
        <w:t>“</w:t>
      </w:r>
      <w:r w:rsidR="00CF379C" w:rsidRPr="00E53694">
        <w:t>En respuesta a la solicitud recibida, nos permitimos hacer de su conocimiento que con fundamento en el artículo 53, Fracciones: II, V y VI de la Ley de Transparencia y Acceso a la Información Pública del Estado de México y Municipios, le contestamos que:</w:t>
      </w:r>
    </w:p>
    <w:p w14:paraId="4D933A91" w14:textId="77777777" w:rsidR="00CF379C" w:rsidRPr="00E53694" w:rsidRDefault="00CF379C" w:rsidP="00CF379C">
      <w:pPr>
        <w:pStyle w:val="Fundamentos"/>
      </w:pPr>
    </w:p>
    <w:p w14:paraId="3FE4A9EF" w14:textId="64F72ACC" w:rsidR="00A970D5" w:rsidRPr="00E53694" w:rsidRDefault="00CF379C" w:rsidP="00F355D9">
      <w:pPr>
        <w:pStyle w:val="Fundamentos"/>
      </w:pPr>
      <w:r w:rsidRPr="00E53694">
        <w:t>Ante la solicitud expuesta, me permito informar que en al parque vehicular de la Dirección General de Seguridad Pública y Tránsito Municipal de Ocoyoacac se encuentra un total de 08 UNIDADES EMPLACADAS y 05 UNIDADES CON EMPLACAMIENTO EN PROCESO ACTUALMENTE EL LA COORDINACIÓN MUNICIPAL DE PROTECCION CIVIL SE CUENTA CON 2 UNIDADES TIPO AMBULANCIAS, UNA DE ELLAS ES IDENTIFICADA COMO UNIDAD HCB-010 LA CUAL SE ENCUENTRA FUERA DE SERVICIO (ACTUALMENTE SE ESTA REALIZANDO SERVICIO PREVENTIVO Y CORRECTIVO) , LA OTRA AMBULANCIA ES IDENTIFICADA COMO UNIDAD HCB-022 LA CUAL ESTA EN SERVICIO Y ES LA QUE SE ENCARGA DE BRINDAR ATENCION A LOS SERVICIOS DE ATENCION PREHOSPITALARIA QUE SE REQUIEREN EN EL MUNICIPIO. ACTUALMENTE EL LA COORDINACIÓN MUNICIPAL DE PROTECCION CIVIL SE CUENTA CON 2 UNIDADES TIPO AMBULANCIAS, UNA DE ELLAS ES IDENTIFICADA COMO UNIDAD HCB-010 LA CUAL SE ENCUENTRA FUERA DE SERVICIO (ACTUALMENTE SE ESTA REALIZANDO SERVICIO PREVENTIVO Y CORRECTIVO) , LA OTRA AMBULANCIA ES IDENTIFICADA COMO UNIDAD HCB-022 LA CUAL ESTA EN SERVICIO Y ES LA QUE SE ENCARGA DE BRINDAR ATENCION A LOS SERVICIOS DE ATENCION PREHOSPITALARIA QUE SE REQUIEREN EN EL MUNICIPIO.</w:t>
      </w:r>
      <w:r w:rsidR="00A970D5" w:rsidRPr="00E53694">
        <w:rPr>
          <w:lang w:val="es-MX"/>
        </w:rPr>
        <w:t>” (Sic)</w:t>
      </w:r>
    </w:p>
    <w:p w14:paraId="2EAB8352" w14:textId="3B77EF6C" w:rsidR="001107C4" w:rsidRPr="00E5369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20298BB9" w:rsidR="0037112D" w:rsidRPr="00E53694" w:rsidRDefault="0037112D" w:rsidP="00AA6C98">
      <w:pPr>
        <w:pBdr>
          <w:top w:val="nil"/>
          <w:left w:val="nil"/>
          <w:bottom w:val="nil"/>
          <w:right w:val="nil"/>
          <w:between w:val="nil"/>
        </w:pBdr>
        <w:contextualSpacing/>
        <w:rPr>
          <w:rFonts w:eastAsia="Palatino Linotype" w:cs="Palatino Linotype"/>
          <w:b/>
          <w:bCs/>
          <w:color w:val="000000"/>
          <w:szCs w:val="24"/>
        </w:rPr>
      </w:pPr>
      <w:r w:rsidRPr="00E53694">
        <w:rPr>
          <w:rFonts w:eastAsia="Palatino Linotype" w:cs="Palatino Linotype"/>
          <w:color w:val="000000"/>
          <w:szCs w:val="24"/>
        </w:rPr>
        <w:t xml:space="preserve">El Sujeto Obligado </w:t>
      </w:r>
      <w:r w:rsidR="00AA6C98" w:rsidRPr="00E53694">
        <w:rPr>
          <w:rFonts w:eastAsia="Palatino Linotype" w:cs="Palatino Linotype"/>
          <w:color w:val="000000"/>
          <w:szCs w:val="24"/>
        </w:rPr>
        <w:t xml:space="preserve">adjuntó a su respuesta </w:t>
      </w:r>
      <w:r w:rsidR="00204436" w:rsidRPr="00E53694">
        <w:rPr>
          <w:rFonts w:eastAsia="Palatino Linotype" w:cs="Palatino Linotype"/>
          <w:color w:val="000000"/>
          <w:szCs w:val="24"/>
        </w:rPr>
        <w:t>el</w:t>
      </w:r>
      <w:r w:rsidR="00165CA1" w:rsidRPr="00E53694">
        <w:rPr>
          <w:rFonts w:eastAsia="Palatino Linotype" w:cs="Palatino Linotype"/>
          <w:color w:val="000000"/>
          <w:szCs w:val="24"/>
        </w:rPr>
        <w:t xml:space="preserve"> documento denominado</w:t>
      </w:r>
      <w:r w:rsidRPr="00E53694">
        <w:rPr>
          <w:rFonts w:eastAsia="Palatino Linotype" w:cs="Palatino Linotype"/>
          <w:color w:val="000000"/>
          <w:szCs w:val="24"/>
        </w:rPr>
        <w:t xml:space="preserve"> </w:t>
      </w:r>
      <w:r w:rsidRPr="00E53694">
        <w:rPr>
          <w:rFonts w:eastAsia="Palatino Linotype" w:cs="Palatino Linotype"/>
          <w:b/>
          <w:bCs/>
          <w:color w:val="000000"/>
          <w:szCs w:val="24"/>
        </w:rPr>
        <w:t>“</w:t>
      </w:r>
      <w:r w:rsidR="00F355D9" w:rsidRPr="00E53694">
        <w:rPr>
          <w:rFonts w:eastAsia="Palatino Linotype" w:cs="Palatino Linotype"/>
          <w:b/>
          <w:bCs/>
          <w:color w:val="000000"/>
          <w:szCs w:val="24"/>
        </w:rPr>
        <w:t>UNIDADES EMPLACADAS</w:t>
      </w:r>
      <w:r w:rsidR="00AA6C98" w:rsidRPr="00E53694">
        <w:rPr>
          <w:rFonts w:eastAsia="Palatino Linotype" w:cs="Palatino Linotype"/>
          <w:b/>
          <w:bCs/>
          <w:color w:val="000000"/>
          <w:szCs w:val="24"/>
        </w:rPr>
        <w:t>.pdf</w:t>
      </w:r>
      <w:r w:rsidRPr="00E53694">
        <w:rPr>
          <w:rFonts w:eastAsia="Palatino Linotype" w:cs="Palatino Linotype"/>
          <w:b/>
          <w:bCs/>
          <w:color w:val="000000"/>
          <w:szCs w:val="24"/>
        </w:rPr>
        <w:t>”</w:t>
      </w:r>
      <w:r w:rsidRPr="00E53694">
        <w:rPr>
          <w:rFonts w:eastAsia="Palatino Linotype" w:cs="Palatino Linotype"/>
          <w:color w:val="000000"/>
          <w:szCs w:val="24"/>
        </w:rPr>
        <w:t xml:space="preserve">, </w:t>
      </w:r>
      <w:r w:rsidR="00204436" w:rsidRPr="00E53694">
        <w:rPr>
          <w:rFonts w:eastAsia="Palatino Linotype" w:cs="Palatino Linotype"/>
          <w:color w:val="000000"/>
          <w:szCs w:val="24"/>
        </w:rPr>
        <w:t>el cual</w:t>
      </w:r>
      <w:r w:rsidR="00165CA1" w:rsidRPr="00E53694">
        <w:rPr>
          <w:rFonts w:eastAsia="Palatino Linotype" w:cs="Palatino Linotype"/>
          <w:color w:val="000000"/>
          <w:szCs w:val="24"/>
        </w:rPr>
        <w:t xml:space="preserve"> no se reproduce</w:t>
      </w:r>
      <w:r w:rsidR="00EE3066" w:rsidRPr="00E53694">
        <w:rPr>
          <w:rFonts w:eastAsia="Palatino Linotype" w:cs="Palatino Linotype"/>
          <w:color w:val="000000"/>
          <w:szCs w:val="24"/>
        </w:rPr>
        <w:t xml:space="preserve"> por ser del conocimiento de las partes; no obstante, su </w:t>
      </w:r>
      <w:r w:rsidR="009B321A" w:rsidRPr="00E53694">
        <w:rPr>
          <w:rFonts w:eastAsia="Palatino Linotype" w:cs="Palatino Linotype"/>
          <w:color w:val="000000"/>
          <w:szCs w:val="24"/>
        </w:rPr>
        <w:t>contenido será motivo de análisis en el estudio correspondiente.</w:t>
      </w:r>
    </w:p>
    <w:p w14:paraId="2011BBDD" w14:textId="77777777" w:rsidR="0037112D" w:rsidRPr="00E53694"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4FA22BB7" w:rsidR="00A970D5" w:rsidRPr="00E53694" w:rsidRDefault="00CF379C" w:rsidP="006922F5">
      <w:pPr>
        <w:pStyle w:val="Ttulo2"/>
        <w:rPr>
          <w:rFonts w:eastAsia="Palatino Linotype"/>
        </w:rPr>
      </w:pPr>
      <w:r w:rsidRPr="00E53694">
        <w:rPr>
          <w:rFonts w:eastAsia="Palatino Linotype"/>
        </w:rPr>
        <w:lastRenderedPageBreak/>
        <w:t>TERCERO</w:t>
      </w:r>
      <w:r w:rsidR="00A970D5" w:rsidRPr="00E53694">
        <w:rPr>
          <w:rFonts w:eastAsia="Palatino Linotype"/>
        </w:rPr>
        <w:t>. Del recurso de revisión.</w:t>
      </w:r>
    </w:p>
    <w:p w14:paraId="0C8C3A2F" w14:textId="7E7682D4"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Inconforme con la respuesta em</w:t>
      </w:r>
      <w:r w:rsidR="00A06896" w:rsidRPr="00E53694">
        <w:rPr>
          <w:rFonts w:eastAsia="Palatino Linotype" w:cs="Palatino Linotype"/>
          <w:color w:val="000000"/>
          <w:szCs w:val="24"/>
        </w:rPr>
        <w:t xml:space="preserve">itida por el Sujeto Obligado, </w:t>
      </w:r>
      <w:r w:rsidR="00EE3066" w:rsidRPr="00E53694">
        <w:rPr>
          <w:rFonts w:eastAsia="Palatino Linotype" w:cs="Palatino Linotype"/>
          <w:color w:val="000000"/>
          <w:szCs w:val="24"/>
        </w:rPr>
        <w:t>el</w:t>
      </w:r>
      <w:r w:rsidRPr="00E53694">
        <w:rPr>
          <w:rFonts w:eastAsia="Palatino Linotype" w:cs="Palatino Linotype"/>
          <w:color w:val="000000"/>
          <w:szCs w:val="24"/>
        </w:rPr>
        <w:t xml:space="preserve"> Recurrente interpuso el presente recurso de revisión e</w:t>
      </w:r>
      <w:r w:rsidR="008B2951" w:rsidRPr="00E53694">
        <w:rPr>
          <w:rFonts w:eastAsia="Palatino Linotype" w:cs="Palatino Linotype"/>
          <w:color w:val="000000"/>
          <w:szCs w:val="24"/>
        </w:rPr>
        <w:t xml:space="preserve">l día </w:t>
      </w:r>
      <w:r w:rsidR="00873245" w:rsidRPr="00E53694">
        <w:rPr>
          <w:rFonts w:eastAsia="Palatino Linotype" w:cs="Palatino Linotype"/>
          <w:color w:val="000000"/>
          <w:szCs w:val="24"/>
        </w:rPr>
        <w:t>cinco de julio</w:t>
      </w:r>
      <w:r w:rsidR="00AA6C98" w:rsidRPr="00E53694">
        <w:rPr>
          <w:rFonts w:eastAsia="Palatino Linotype" w:cs="Palatino Linotype"/>
          <w:color w:val="000000"/>
          <w:szCs w:val="24"/>
        </w:rPr>
        <w:t xml:space="preserve"> de dos mil veintitrés</w:t>
      </w:r>
      <w:r w:rsidRPr="00E53694">
        <w:rPr>
          <w:rFonts w:eastAsia="Palatino Linotype" w:cs="Palatino Linotype"/>
          <w:color w:val="000000"/>
          <w:szCs w:val="24"/>
        </w:rPr>
        <w:t xml:space="preserve">, el cual se registró con el expediente número </w:t>
      </w:r>
      <w:r w:rsidR="00F355D9" w:rsidRPr="00E53694">
        <w:rPr>
          <w:rFonts w:eastAsia="Palatino Linotype" w:cs="Palatino Linotype"/>
          <w:b/>
          <w:color w:val="000000"/>
          <w:szCs w:val="24"/>
        </w:rPr>
        <w:t>03920</w:t>
      </w:r>
      <w:r w:rsidR="00657695" w:rsidRPr="00E53694">
        <w:rPr>
          <w:rFonts w:eastAsia="Palatino Linotype" w:cs="Palatino Linotype"/>
          <w:b/>
          <w:color w:val="000000"/>
          <w:szCs w:val="24"/>
        </w:rPr>
        <w:t>/INFOEM/IP/RR/2023</w:t>
      </w:r>
      <w:r w:rsidR="00A06896" w:rsidRPr="00E53694">
        <w:rPr>
          <w:rFonts w:eastAsia="Palatino Linotype" w:cs="Palatino Linotype"/>
          <w:color w:val="000000"/>
          <w:szCs w:val="24"/>
        </w:rPr>
        <w:t xml:space="preserve">, </w:t>
      </w:r>
      <w:r w:rsidR="00A24265" w:rsidRPr="00E53694">
        <w:rPr>
          <w:rFonts w:eastAsia="Palatino Linotype" w:cs="Palatino Linotype"/>
          <w:color w:val="000000"/>
          <w:szCs w:val="24"/>
        </w:rPr>
        <w:t>manifestando</w:t>
      </w:r>
      <w:r w:rsidRPr="00E53694">
        <w:rPr>
          <w:rFonts w:eastAsia="Palatino Linotype" w:cs="Palatino Linotype"/>
          <w:color w:val="000000"/>
          <w:szCs w:val="24"/>
        </w:rPr>
        <w:t xml:space="preserve"> lo siguiente:</w:t>
      </w:r>
    </w:p>
    <w:p w14:paraId="7AA0C9F4" w14:textId="046134A0"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53694" w:rsidRDefault="00A970D5" w:rsidP="006922F5">
      <w:pPr>
        <w:contextualSpacing/>
        <w:rPr>
          <w:rFonts w:eastAsia="Palatino Linotype" w:cs="Palatino Linotype"/>
          <w:b/>
        </w:rPr>
      </w:pPr>
      <w:r w:rsidRPr="00E53694">
        <w:rPr>
          <w:rFonts w:eastAsia="Palatino Linotype" w:cs="Palatino Linotype"/>
          <w:b/>
        </w:rPr>
        <w:t>Acto Impugnado:</w:t>
      </w:r>
      <w:r w:rsidR="00655007" w:rsidRPr="00E53694">
        <w:rPr>
          <w:rFonts w:eastAsia="Palatino Linotype" w:cs="Palatino Linotype"/>
          <w:b/>
        </w:rPr>
        <w:t xml:space="preserve"> </w:t>
      </w:r>
    </w:p>
    <w:p w14:paraId="4A0EFE5A" w14:textId="0C60D851" w:rsidR="00A970D5" w:rsidRPr="00E53694" w:rsidRDefault="00A970D5" w:rsidP="006922F5">
      <w:pPr>
        <w:pStyle w:val="Fundamentos"/>
        <w:rPr>
          <w:b/>
        </w:rPr>
      </w:pPr>
      <w:r w:rsidRPr="00E53694">
        <w:t>“</w:t>
      </w:r>
      <w:r w:rsidR="00873245" w:rsidRPr="00E53694">
        <w:t>Ocoyoacac, México a 04 de Julio de 2023 Nombre del solicitante: Folio de la solicitud: 00026/OCOYOAC/IP/2023 En respuesta a la solicitud recibida, nos permitimos hacer de su conocimiento que con fundamento en el artículo 53, Fracciones: II, V y VI de la Ley de Transparencia y Acceso a la Información Pública del Estado de México y Municipios, le contestamos que: Ante la solicitud expuesta, me permito informar que en al parque vehicular de la Dirección General de Seguridad Pública y Tránsito Municipal de Ocoyoacac se encuentra un total de 08 UNIDADES EMPLACADAS y 05 UNIDADES CON EMPLACAMIENTO EN PROCESO ACTUALMENTE EL LA COORDINACIÓN MUNICIPAL DE PROTECCION CIVIL SE CUENTA CON 2 UNIDADES TIPO AMBULANCIAS, UNA DE ELLAS ES IDENTIFICADA COMO UNIDAD HCB-010 LA CUAL SE ENCUENTRA FUERA DE SERVICIO (ACTUALMENTE SE ESTA REALIZANDO SERVICIO PREVENTIVO Y CORRECTIVO) , LA OTRA AMBULANCIA ES IDENTIFICADA COMO UNIDAD HCB-022 LA CUAL ESTA EN SERVICIO Y ES LA QUE SE ENCARGA DE BRINDAR ATENCION A LOS SERVICIOS DE ATENCION PREHOSPITALARIA QUE SE REQUIEREN EN EL MUNICIPIO. ACTUALMENTE EL LA COORDINACIÓN MUNICIPAL DE PROTECCION CIVIL SE CUENTA CON 2 UNIDADES TIPO AMBULANCIAS, UNA DE ELLAS ES IDENTIFICADA COMO UNIDAD HCB-010 LA CUAL SE ENCUENTRA FUERA DE SERVICIO (ACTUALMENTE SE ESTA REALIZANDO SERVICIO PREVENTIVO Y CORRECTIVO) , LA OTRA AMBULANCIA ES IDENTIFICADA COMO UNIDAD HCB-022 LA CUAL ESTA EN SERVICIO Y ES LA QUE SE ENCARGA DE BRINDAR ATENCION A LOS SERVICIOS DE ATENCION PREHOSPITALARIA QUE SE REQUIEREN EN EL MUNICIPIO. ATENTAMENTE YETLANEZI DAVILA ROSALES</w:t>
      </w:r>
      <w:r w:rsidRPr="00E53694">
        <w:t>"(Sic)</w:t>
      </w:r>
    </w:p>
    <w:p w14:paraId="3C40A441" w14:textId="77777777" w:rsidR="00A970D5" w:rsidRPr="00E53694" w:rsidRDefault="00A970D5" w:rsidP="006922F5">
      <w:pPr>
        <w:contextualSpacing/>
        <w:rPr>
          <w:rFonts w:eastAsia="Palatino Linotype" w:cs="Palatino Linotype"/>
          <w:iCs/>
          <w:szCs w:val="24"/>
        </w:rPr>
      </w:pPr>
    </w:p>
    <w:p w14:paraId="0FFA08C3" w14:textId="0DDF8688" w:rsidR="00004014" w:rsidRPr="00E53694" w:rsidRDefault="00A970D5" w:rsidP="006922F5">
      <w:pPr>
        <w:contextualSpacing/>
        <w:rPr>
          <w:rFonts w:eastAsia="Palatino Linotype" w:cs="Palatino Linotype"/>
        </w:rPr>
      </w:pPr>
      <w:r w:rsidRPr="00E53694">
        <w:rPr>
          <w:rFonts w:eastAsia="Palatino Linotype" w:cs="Palatino Linotype"/>
          <w:b/>
        </w:rPr>
        <w:t>Razones o Motivos de Inconformidad</w:t>
      </w:r>
      <w:r w:rsidR="00004014" w:rsidRPr="00E53694">
        <w:rPr>
          <w:rFonts w:eastAsia="Palatino Linotype" w:cs="Palatino Linotype"/>
        </w:rPr>
        <w:t>:</w:t>
      </w:r>
    </w:p>
    <w:p w14:paraId="2DAC342E" w14:textId="7038970E" w:rsidR="00A970D5" w:rsidRPr="00E53694" w:rsidRDefault="00A970D5" w:rsidP="006922F5">
      <w:pPr>
        <w:pStyle w:val="Fundamentos"/>
      </w:pPr>
      <w:r w:rsidRPr="00E53694">
        <w:t>“</w:t>
      </w:r>
      <w:r w:rsidR="00873245" w:rsidRPr="00E53694">
        <w:t xml:space="preserve">Se solicito que informaran el número total de elementos de seguridad desglosado como lo son policías, bomberos, paramédicos, junto con el total de unidades de servicios de emergencia, </w:t>
      </w:r>
      <w:r w:rsidR="00873245" w:rsidRPr="00E53694">
        <w:lastRenderedPageBreak/>
        <w:t>como lo son patrullas y ambulancias y motivo por el cual no se encuentran matriculadas las patrullas, cosa que no hicieron, solo respondieron el segundo punto</w:t>
      </w:r>
      <w:r w:rsidRPr="00E53694">
        <w:t>” (Sic)</w:t>
      </w:r>
    </w:p>
    <w:p w14:paraId="06A7D20F" w14:textId="77777777" w:rsidR="00A978AF" w:rsidRPr="00E53694" w:rsidRDefault="00A978AF" w:rsidP="001075ED"/>
    <w:p w14:paraId="20D774DD" w14:textId="33D395E1" w:rsidR="001075ED" w:rsidRPr="00E53694" w:rsidRDefault="001075ED" w:rsidP="001075ED">
      <w:r w:rsidRPr="00E53694">
        <w:t xml:space="preserve">El Recurrente adjuntó al recurso de revisión el documento denominado </w:t>
      </w:r>
      <w:r w:rsidRPr="00E53694">
        <w:rPr>
          <w:b/>
        </w:rPr>
        <w:t>“RESOLUCIÓN_OCOYOACAC_1_2023.pdf”</w:t>
      </w:r>
      <w:r w:rsidRPr="00E53694">
        <w:t>, que consiste en el acuse de respuesta del Sujeto Obligado.</w:t>
      </w:r>
    </w:p>
    <w:p w14:paraId="04AB008E" w14:textId="77777777" w:rsidR="001075ED" w:rsidRPr="00E53694" w:rsidRDefault="001075ED" w:rsidP="001075ED"/>
    <w:p w14:paraId="11D7F189" w14:textId="48F4C3AB" w:rsidR="00A970D5" w:rsidRPr="00E53694" w:rsidRDefault="00CF379C" w:rsidP="006922F5">
      <w:pPr>
        <w:pStyle w:val="Ttulo2"/>
        <w:rPr>
          <w:rFonts w:eastAsia="Palatino Linotype"/>
        </w:rPr>
      </w:pPr>
      <w:r w:rsidRPr="00E53694">
        <w:rPr>
          <w:rFonts w:eastAsia="Palatino Linotype"/>
        </w:rPr>
        <w:t>CUAR</w:t>
      </w:r>
      <w:r w:rsidR="00AA6C98" w:rsidRPr="00E53694">
        <w:rPr>
          <w:rFonts w:eastAsia="Palatino Linotype"/>
        </w:rPr>
        <w:t>TO</w:t>
      </w:r>
      <w:r w:rsidR="00A970D5" w:rsidRPr="00E53694">
        <w:rPr>
          <w:rFonts w:eastAsia="Palatino Linotype"/>
        </w:rPr>
        <w:t>. Del turno y admisión del recurso de revisión.</w:t>
      </w:r>
    </w:p>
    <w:p w14:paraId="2459DEBA" w14:textId="07D9E198"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 xml:space="preserve">Medio de impugnación que le fue turnado al </w:t>
      </w:r>
      <w:r w:rsidRPr="00E53694">
        <w:rPr>
          <w:rFonts w:eastAsia="Palatino Linotype" w:cs="Palatino Linotype"/>
          <w:b/>
          <w:color w:val="000000"/>
          <w:szCs w:val="24"/>
        </w:rPr>
        <w:t xml:space="preserve">Comisionado </w:t>
      </w:r>
      <w:r w:rsidR="009F1E25" w:rsidRPr="00E53694">
        <w:rPr>
          <w:rFonts w:eastAsia="Palatino Linotype" w:cs="Palatino Linotype"/>
          <w:b/>
          <w:color w:val="000000"/>
          <w:szCs w:val="24"/>
        </w:rPr>
        <w:t xml:space="preserve">Presidente </w:t>
      </w:r>
      <w:r w:rsidRPr="00E53694">
        <w:rPr>
          <w:rFonts w:eastAsia="Palatino Linotype" w:cs="Palatino Linotype"/>
          <w:b/>
          <w:color w:val="000000"/>
          <w:szCs w:val="24"/>
        </w:rPr>
        <w:t>José Martínez Vilchis</w:t>
      </w:r>
      <w:r w:rsidRPr="00E53694">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E53694">
        <w:rPr>
          <w:rFonts w:eastAsia="Palatino Linotype" w:cs="Palatino Linotype"/>
          <w:color w:val="000000"/>
          <w:szCs w:val="24"/>
        </w:rPr>
        <w:t>tado de México y Municipios, al</w:t>
      </w:r>
      <w:r w:rsidRPr="00E53694">
        <w:rPr>
          <w:rFonts w:eastAsia="Palatino Linotype" w:cs="Palatino Linotype"/>
          <w:color w:val="000000"/>
          <w:szCs w:val="24"/>
        </w:rPr>
        <w:t xml:space="preserve"> cu</w:t>
      </w:r>
      <w:r w:rsidR="008B2951" w:rsidRPr="00E53694">
        <w:rPr>
          <w:rFonts w:eastAsia="Palatino Linotype" w:cs="Palatino Linotype"/>
          <w:color w:val="000000"/>
          <w:szCs w:val="24"/>
        </w:rPr>
        <w:t>al recayó acuerdo de admisión de</w:t>
      </w:r>
      <w:r w:rsidRPr="00E53694">
        <w:rPr>
          <w:rFonts w:eastAsia="Palatino Linotype" w:cs="Palatino Linotype"/>
          <w:color w:val="000000"/>
          <w:szCs w:val="24"/>
        </w:rPr>
        <w:t xml:space="preserve"> fecha</w:t>
      </w:r>
      <w:r w:rsidR="008A637C" w:rsidRPr="00E53694">
        <w:rPr>
          <w:rFonts w:eastAsia="Palatino Linotype" w:cs="Palatino Linotype"/>
          <w:color w:val="000000"/>
          <w:szCs w:val="24"/>
        </w:rPr>
        <w:t xml:space="preserve"> </w:t>
      </w:r>
      <w:r w:rsidR="00873245" w:rsidRPr="00E53694">
        <w:rPr>
          <w:rFonts w:eastAsia="Palatino Linotype" w:cs="Palatino Linotype"/>
          <w:color w:val="000000"/>
          <w:szCs w:val="24"/>
        </w:rPr>
        <w:t xml:space="preserve">diez de julio </w:t>
      </w:r>
      <w:r w:rsidR="008A637C" w:rsidRPr="00E53694">
        <w:rPr>
          <w:rFonts w:eastAsia="Palatino Linotype" w:cs="Palatino Linotype"/>
          <w:color w:val="000000"/>
          <w:szCs w:val="24"/>
        </w:rPr>
        <w:t>de dos mil veintitrés</w:t>
      </w:r>
      <w:r w:rsidRPr="00E53694">
        <w:rPr>
          <w:rFonts w:eastAsia="Palatino Linotype" w:cs="Palatino Linotype"/>
          <w:color w:val="000000"/>
          <w:szCs w:val="24"/>
        </w:rPr>
        <w:t xml:space="preserve">, </w:t>
      </w:r>
      <w:r w:rsidRPr="00E53694">
        <w:rPr>
          <w:rFonts w:eastAsia="Palatino Linotype" w:cs="Palatino Linotype"/>
          <w:szCs w:val="24"/>
        </w:rPr>
        <w:t>otorgándose</w:t>
      </w:r>
      <w:r w:rsidRPr="00E53694">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E53694" w:rsidRDefault="00A970D5" w:rsidP="001075ED"/>
    <w:p w14:paraId="05AE608B" w14:textId="257413FE" w:rsidR="00A970D5" w:rsidRPr="00E53694" w:rsidRDefault="00CF379C" w:rsidP="006922F5">
      <w:pPr>
        <w:pStyle w:val="Ttulo2"/>
        <w:rPr>
          <w:rFonts w:eastAsia="Palatino Linotype"/>
        </w:rPr>
      </w:pPr>
      <w:r w:rsidRPr="00E53694">
        <w:rPr>
          <w:rFonts w:eastAsia="Palatino Linotype"/>
        </w:rPr>
        <w:t>QUIN</w:t>
      </w:r>
      <w:r w:rsidR="00AA6C98" w:rsidRPr="00E53694">
        <w:rPr>
          <w:rFonts w:eastAsia="Palatino Linotype"/>
        </w:rPr>
        <w:t>TO</w:t>
      </w:r>
      <w:r w:rsidR="00A970D5" w:rsidRPr="00E53694">
        <w:rPr>
          <w:rFonts w:eastAsia="Palatino Linotype"/>
        </w:rPr>
        <w:t>. De la etapa de instrucción.</w:t>
      </w:r>
    </w:p>
    <w:p w14:paraId="134297B7" w14:textId="696E2B2A" w:rsidR="00EB47A3" w:rsidRPr="00E53694" w:rsidRDefault="00A671E7" w:rsidP="00EB47A3">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2B7407C8" w14:textId="77777777" w:rsidR="00873245" w:rsidRPr="00E53694" w:rsidRDefault="00873245" w:rsidP="001075ED"/>
    <w:p w14:paraId="65310342" w14:textId="4EF53F8E" w:rsidR="00A970D5" w:rsidRPr="00E53694" w:rsidRDefault="00E27953" w:rsidP="006922F5">
      <w:pPr>
        <w:pStyle w:val="Ttulo2"/>
        <w:rPr>
          <w:rFonts w:eastAsia="Palatino Linotype"/>
        </w:rPr>
      </w:pPr>
      <w:r w:rsidRPr="00E53694">
        <w:rPr>
          <w:rFonts w:eastAsia="Palatino Linotype"/>
        </w:rPr>
        <w:t>S</w:t>
      </w:r>
      <w:r w:rsidR="00CF379C" w:rsidRPr="00E53694">
        <w:rPr>
          <w:rFonts w:eastAsia="Palatino Linotype"/>
        </w:rPr>
        <w:t>EXT</w:t>
      </w:r>
      <w:r w:rsidR="00AA6C98" w:rsidRPr="00E53694">
        <w:rPr>
          <w:rFonts w:eastAsia="Palatino Linotype"/>
        </w:rPr>
        <w:t>O</w:t>
      </w:r>
      <w:r w:rsidR="00A970D5" w:rsidRPr="00E53694">
        <w:rPr>
          <w:rFonts w:eastAsia="Palatino Linotype"/>
        </w:rPr>
        <w:t>. Del cierre de instrucción.</w:t>
      </w:r>
    </w:p>
    <w:p w14:paraId="2456F4BD" w14:textId="1D784ECE"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Así, una vez transcurrido el término legal, se decretó el cierre de instru</w:t>
      </w:r>
      <w:r w:rsidR="00AE6B11" w:rsidRPr="00E53694">
        <w:rPr>
          <w:rFonts w:eastAsia="Palatino Linotype" w:cs="Palatino Linotype"/>
          <w:color w:val="000000"/>
          <w:szCs w:val="24"/>
        </w:rPr>
        <w:t>cción</w:t>
      </w:r>
      <w:r w:rsidR="008B2951" w:rsidRPr="00E53694">
        <w:rPr>
          <w:rFonts w:eastAsia="Palatino Linotype" w:cs="Palatino Linotype"/>
          <w:color w:val="000000"/>
          <w:szCs w:val="24"/>
        </w:rPr>
        <w:t xml:space="preserve"> en fecha</w:t>
      </w:r>
      <w:r w:rsidR="00264613" w:rsidRPr="00E53694">
        <w:rPr>
          <w:rFonts w:eastAsia="Palatino Linotype" w:cs="Palatino Linotype"/>
          <w:color w:val="000000"/>
          <w:szCs w:val="24"/>
        </w:rPr>
        <w:t xml:space="preserve"> </w:t>
      </w:r>
      <w:r w:rsidR="00873245" w:rsidRPr="00E53694">
        <w:rPr>
          <w:rFonts w:eastAsia="Palatino Linotype" w:cs="Palatino Linotype"/>
          <w:color w:val="000000"/>
          <w:szCs w:val="24"/>
        </w:rPr>
        <w:t xml:space="preserve">siete de agosto </w:t>
      </w:r>
      <w:r w:rsidR="00C510A7" w:rsidRPr="00E53694">
        <w:rPr>
          <w:rFonts w:eastAsia="Palatino Linotype" w:cs="Palatino Linotype"/>
          <w:color w:val="000000"/>
          <w:szCs w:val="24"/>
        </w:rPr>
        <w:t>de dos mil veintitrés</w:t>
      </w:r>
      <w:r w:rsidRPr="00E53694">
        <w:rPr>
          <w:rFonts w:eastAsia="Palatino Linotype" w:cs="Palatino Linotype"/>
          <w:color w:val="000000"/>
          <w:szCs w:val="24"/>
        </w:rPr>
        <w:t xml:space="preserve">, en términos del artículo 185 </w:t>
      </w:r>
      <w:r w:rsidR="004579DC" w:rsidRPr="00E53694">
        <w:rPr>
          <w:rFonts w:eastAsia="Palatino Linotype" w:cs="Palatino Linotype"/>
          <w:color w:val="000000"/>
          <w:szCs w:val="24"/>
        </w:rPr>
        <w:t>f</w:t>
      </w:r>
      <w:r w:rsidRPr="00E53694">
        <w:rPr>
          <w:rFonts w:eastAsia="Palatino Linotype" w:cs="Palatino Linotype"/>
          <w:color w:val="000000"/>
          <w:szCs w:val="24"/>
        </w:rPr>
        <w:t xml:space="preserve">racción VI de la Ley de </w:t>
      </w:r>
      <w:r w:rsidRPr="00E53694">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364CFBE5" w14:textId="77777777" w:rsidR="00A914F3" w:rsidRPr="00E53694"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78270B06" w:rsidR="00A914F3" w:rsidRPr="00E53694" w:rsidRDefault="00CF379C" w:rsidP="006922F5">
      <w:pPr>
        <w:pStyle w:val="Ttulo2"/>
        <w:rPr>
          <w:rFonts w:eastAsiaTheme="minorHAnsi"/>
          <w:lang w:eastAsia="en-US"/>
        </w:rPr>
      </w:pPr>
      <w:r w:rsidRPr="00E53694">
        <w:rPr>
          <w:rFonts w:eastAsiaTheme="minorHAnsi"/>
          <w:lang w:eastAsia="en-US"/>
        </w:rPr>
        <w:t>SÉPTIM</w:t>
      </w:r>
      <w:r w:rsidR="00AA6C98" w:rsidRPr="00E53694">
        <w:rPr>
          <w:rFonts w:eastAsiaTheme="minorHAnsi"/>
          <w:lang w:eastAsia="en-US"/>
        </w:rPr>
        <w:t>O</w:t>
      </w:r>
      <w:r w:rsidR="00A914F3" w:rsidRPr="00E53694">
        <w:rPr>
          <w:rFonts w:eastAsiaTheme="minorHAnsi"/>
          <w:lang w:eastAsia="en-US"/>
        </w:rPr>
        <w:t>. De la ampliación del término para resolver.</w:t>
      </w:r>
    </w:p>
    <w:p w14:paraId="05BBB2F6" w14:textId="558EBDC4"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t xml:space="preserve">En fecha </w:t>
      </w:r>
      <w:r w:rsidR="00873245" w:rsidRPr="00E53694">
        <w:rPr>
          <w:rFonts w:eastAsiaTheme="minorHAnsi" w:cstheme="minorBidi"/>
          <w:szCs w:val="24"/>
          <w:lang w:eastAsia="en-US"/>
        </w:rPr>
        <w:t xml:space="preserve">cuatro de septiembre  </w:t>
      </w:r>
      <w:r w:rsidRPr="00E53694">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0CCD3B25"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p>
    <w:p w14:paraId="3862C1A0"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AAE008"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t xml:space="preserve"> </w:t>
      </w:r>
    </w:p>
    <w:p w14:paraId="196162A2"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8119E84"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t xml:space="preserve"> </w:t>
      </w:r>
    </w:p>
    <w:p w14:paraId="66FB1A99"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3847F5" w14:textId="6012DA53"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p>
    <w:p w14:paraId="6C2D5CD1"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4E9D76" w14:textId="4E4E7EFD"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p>
    <w:p w14:paraId="19FB8220"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60BBB953"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p>
    <w:p w14:paraId="1CC18BBB" w14:textId="2D8C8AB7" w:rsidR="00CF379C" w:rsidRPr="00E53694" w:rsidRDefault="00CF379C" w:rsidP="00CF379C">
      <w:pPr>
        <w:pStyle w:val="Prrafodelista"/>
        <w:numPr>
          <w:ilvl w:val="0"/>
          <w:numId w:val="38"/>
        </w:numPr>
        <w:pBdr>
          <w:top w:val="nil"/>
          <w:left w:val="nil"/>
          <w:bottom w:val="nil"/>
          <w:right w:val="nil"/>
          <w:between w:val="nil"/>
        </w:pBdr>
        <w:contextualSpacing/>
        <w:rPr>
          <w:rFonts w:eastAsiaTheme="minorHAnsi" w:cstheme="minorBidi"/>
          <w:lang w:eastAsia="en-US"/>
        </w:rPr>
      </w:pPr>
      <w:r w:rsidRPr="00E53694">
        <w:rPr>
          <w:rFonts w:eastAsiaTheme="minorHAnsi" w:cstheme="minorBidi"/>
          <w:lang w:eastAsia="en-US"/>
        </w:rPr>
        <w:t>Complejidad del asunto: La complejidad de la prueba, la pluralidad de sujetos procesales, el tiempo transcurrido, las características y contexto del recurso.</w:t>
      </w:r>
    </w:p>
    <w:p w14:paraId="481A51F6" w14:textId="03B2494E" w:rsidR="00CF379C" w:rsidRPr="00E53694" w:rsidRDefault="00CF379C" w:rsidP="00CF379C">
      <w:pPr>
        <w:pStyle w:val="Prrafodelista"/>
        <w:numPr>
          <w:ilvl w:val="0"/>
          <w:numId w:val="38"/>
        </w:numPr>
        <w:pBdr>
          <w:top w:val="nil"/>
          <w:left w:val="nil"/>
          <w:bottom w:val="nil"/>
          <w:right w:val="nil"/>
          <w:between w:val="nil"/>
        </w:pBdr>
        <w:contextualSpacing/>
        <w:rPr>
          <w:rFonts w:eastAsiaTheme="minorHAnsi" w:cstheme="minorBidi"/>
          <w:lang w:eastAsia="en-US"/>
        </w:rPr>
      </w:pPr>
      <w:r w:rsidRPr="00E53694">
        <w:rPr>
          <w:rFonts w:eastAsiaTheme="minorHAnsi" w:cstheme="minorBidi"/>
          <w:lang w:eastAsia="en-US"/>
        </w:rPr>
        <w:t>Actividad Procesal del interesado: Acciones u omisiones del interesado.</w:t>
      </w:r>
    </w:p>
    <w:p w14:paraId="34C719B8" w14:textId="69B2D900" w:rsidR="00CF379C" w:rsidRPr="00E53694" w:rsidRDefault="00CF379C" w:rsidP="00CF379C">
      <w:pPr>
        <w:pStyle w:val="Prrafodelista"/>
        <w:numPr>
          <w:ilvl w:val="0"/>
          <w:numId w:val="38"/>
        </w:numPr>
        <w:pBdr>
          <w:top w:val="nil"/>
          <w:left w:val="nil"/>
          <w:bottom w:val="nil"/>
          <w:right w:val="nil"/>
          <w:between w:val="nil"/>
        </w:pBdr>
        <w:contextualSpacing/>
        <w:rPr>
          <w:rFonts w:eastAsiaTheme="minorHAnsi" w:cstheme="minorBidi"/>
          <w:lang w:eastAsia="en-US"/>
        </w:rPr>
      </w:pPr>
      <w:r w:rsidRPr="00E53694">
        <w:rPr>
          <w:rFonts w:eastAsiaTheme="minorHAnsi" w:cstheme="minorBidi"/>
          <w:lang w:eastAsia="en-US"/>
        </w:rPr>
        <w:t>Conducta de la Autoridad: Las Acciones u omisiones realizadas en el procedimiento. Así como si la autoridad actuó con la debida diligencia.</w:t>
      </w:r>
    </w:p>
    <w:p w14:paraId="55326908" w14:textId="0D3BC087" w:rsidR="00CF379C" w:rsidRPr="00E53694" w:rsidRDefault="00CF379C" w:rsidP="00CF379C">
      <w:pPr>
        <w:pStyle w:val="Prrafodelista"/>
        <w:numPr>
          <w:ilvl w:val="0"/>
          <w:numId w:val="38"/>
        </w:numPr>
        <w:pBdr>
          <w:top w:val="nil"/>
          <w:left w:val="nil"/>
          <w:bottom w:val="nil"/>
          <w:right w:val="nil"/>
          <w:between w:val="nil"/>
        </w:pBdr>
        <w:contextualSpacing/>
        <w:rPr>
          <w:rFonts w:eastAsiaTheme="minorHAnsi" w:cstheme="minorBidi"/>
          <w:lang w:eastAsia="en-US"/>
        </w:rPr>
      </w:pPr>
      <w:r w:rsidRPr="00E53694">
        <w:rPr>
          <w:rFonts w:eastAsiaTheme="minorHAnsi" w:cstheme="minorBidi"/>
          <w:lang w:eastAsia="en-US"/>
        </w:rPr>
        <w:t>La afectación generada en la situación jurídica de la persona involucrada en el proceso: Violación a sus derechos humanos.</w:t>
      </w:r>
    </w:p>
    <w:p w14:paraId="09F432CC"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p>
    <w:p w14:paraId="784D7C3F"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w:t>
      </w:r>
      <w:r w:rsidRPr="00E53694">
        <w:rPr>
          <w:rFonts w:eastAsiaTheme="minorHAnsi" w:cstheme="minorBidi"/>
          <w:szCs w:val="24"/>
          <w:lang w:eastAsia="en-US"/>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4FA4694F"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p>
    <w:p w14:paraId="7168CF3E"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CE36BAB"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p>
    <w:p w14:paraId="1BA65990"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57C6A601"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p>
    <w:p w14:paraId="7ADB5325"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4B11AA07"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p>
    <w:p w14:paraId="7FB4A47B"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r w:rsidRPr="00E53694">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50170FFF" w14:textId="77777777" w:rsidR="00CF379C" w:rsidRPr="00E53694" w:rsidRDefault="00CF379C" w:rsidP="00CF379C">
      <w:pPr>
        <w:pBdr>
          <w:top w:val="nil"/>
          <w:left w:val="nil"/>
          <w:bottom w:val="nil"/>
          <w:right w:val="nil"/>
          <w:between w:val="nil"/>
        </w:pBdr>
        <w:contextualSpacing/>
        <w:rPr>
          <w:rFonts w:eastAsiaTheme="minorHAnsi" w:cstheme="minorBidi"/>
          <w:szCs w:val="24"/>
          <w:lang w:eastAsia="en-US"/>
        </w:rPr>
      </w:pPr>
    </w:p>
    <w:p w14:paraId="1FCD99A8" w14:textId="77777777" w:rsidR="00CF379C" w:rsidRPr="00E53694" w:rsidRDefault="00CF379C" w:rsidP="00CF379C">
      <w:pPr>
        <w:pBdr>
          <w:top w:val="nil"/>
          <w:left w:val="nil"/>
          <w:bottom w:val="nil"/>
          <w:right w:val="nil"/>
          <w:between w:val="nil"/>
        </w:pBdr>
        <w:contextualSpacing/>
        <w:rPr>
          <w:rFonts w:eastAsia="Palatino Linotype" w:cs="Palatino Linotype"/>
          <w:color w:val="000000"/>
          <w:szCs w:val="24"/>
        </w:rPr>
      </w:pPr>
      <w:r w:rsidRPr="00E53694">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6DC89436" w14:textId="77777777" w:rsidR="009A4D87" w:rsidRPr="00E53694" w:rsidRDefault="009A4D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53694" w:rsidRDefault="00A970D5" w:rsidP="006922F5">
      <w:pPr>
        <w:pStyle w:val="Ttulo1"/>
        <w:rPr>
          <w:rFonts w:eastAsia="Palatino Linotype"/>
          <w:lang w:val="es-ES_tradnl"/>
        </w:rPr>
      </w:pPr>
      <w:r w:rsidRPr="00E53694">
        <w:rPr>
          <w:rFonts w:eastAsia="Palatino Linotype"/>
          <w:lang w:val="es-ES_tradnl"/>
        </w:rPr>
        <w:t>C O N S I D E R A N D O</w:t>
      </w:r>
    </w:p>
    <w:p w14:paraId="32546275"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53694" w:rsidRDefault="00A970D5" w:rsidP="006922F5">
      <w:pPr>
        <w:pStyle w:val="Ttulo2"/>
        <w:rPr>
          <w:rFonts w:eastAsia="Palatino Linotype"/>
        </w:rPr>
      </w:pPr>
      <w:r w:rsidRPr="00E53694">
        <w:rPr>
          <w:rFonts w:eastAsia="Palatino Linotype"/>
        </w:rPr>
        <w:t>PRIMERO. De la competencia.</w:t>
      </w:r>
    </w:p>
    <w:p w14:paraId="6279399C" w14:textId="246F8A61" w:rsidR="00A970D5" w:rsidRPr="00E53694" w:rsidRDefault="00264613"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w:t>
      </w:r>
      <w:r w:rsidR="00873245" w:rsidRPr="00E53694">
        <w:rPr>
          <w:rFonts w:eastAsia="Palatino Linotype" w:cs="Palatino Linotype"/>
          <w:color w:val="000000"/>
          <w:szCs w:val="24"/>
        </w:rPr>
        <w:t>xicanos; 5, párrafos trigésimo tercero y trigésimo cuarto</w:t>
      </w:r>
      <w:r w:rsidRPr="00E53694">
        <w:rPr>
          <w:rFonts w:eastAsia="Palatino Linotype" w:cs="Palatino Linotype"/>
          <w:color w:val="000000"/>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w:t>
      </w:r>
      <w:r w:rsidRPr="00E53694">
        <w:rPr>
          <w:rFonts w:eastAsia="Palatino Linotype" w:cs="Palatino Linotype"/>
          <w:color w:val="000000"/>
          <w:szCs w:val="24"/>
        </w:rPr>
        <w:lastRenderedPageBreak/>
        <w:t>XXIII, y 11 del Reglamento Interior del Instituto de Transparencia, Acceso a la Información Pública y Protección de Datos Personales del Estado de México y Municipios.</w:t>
      </w:r>
    </w:p>
    <w:p w14:paraId="5FA40324"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53694" w:rsidRDefault="00A970D5" w:rsidP="006922F5">
      <w:pPr>
        <w:pStyle w:val="Ttulo2"/>
        <w:rPr>
          <w:rFonts w:eastAsia="Palatino Linotype"/>
        </w:rPr>
      </w:pPr>
      <w:r w:rsidRPr="00E53694">
        <w:rPr>
          <w:rFonts w:eastAsia="Palatino Linotype"/>
        </w:rPr>
        <w:t xml:space="preserve">SEGUNDO. Sobre los alcances del recurso de revisión. </w:t>
      </w:r>
    </w:p>
    <w:p w14:paraId="132CB116" w14:textId="77777777" w:rsidR="00A970D5" w:rsidRPr="00E53694" w:rsidRDefault="00A970D5" w:rsidP="006922F5">
      <w:r w:rsidRPr="00E53694">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Pr="00E53694" w:rsidRDefault="00565C1E" w:rsidP="006922F5">
      <w:pPr>
        <w:pBdr>
          <w:top w:val="nil"/>
          <w:left w:val="nil"/>
          <w:bottom w:val="nil"/>
          <w:right w:val="nil"/>
          <w:between w:val="nil"/>
        </w:pBdr>
        <w:contextualSpacing/>
        <w:rPr>
          <w:rFonts w:eastAsia="Palatino Linotype" w:cs="Palatino Linotype"/>
          <w:color w:val="000000"/>
          <w:szCs w:val="24"/>
        </w:rPr>
      </w:pPr>
    </w:p>
    <w:p w14:paraId="3421F3DF" w14:textId="77777777" w:rsidR="00875B7E" w:rsidRPr="00E53694" w:rsidRDefault="00875B7E" w:rsidP="00875B7E">
      <w:pPr>
        <w:pStyle w:val="Ttulo2"/>
        <w:rPr>
          <w:rFonts w:eastAsia="Palatino Linotype"/>
        </w:rPr>
      </w:pPr>
      <w:r w:rsidRPr="00E53694">
        <w:rPr>
          <w:rFonts w:eastAsia="Palatino Linotype"/>
        </w:rPr>
        <w:t>TERCERO. Cuestiones de previo y especial pronunciamiento.</w:t>
      </w:r>
    </w:p>
    <w:p w14:paraId="15958BB4" w14:textId="77777777" w:rsidR="00875B7E" w:rsidRPr="00E53694" w:rsidRDefault="00875B7E" w:rsidP="00875B7E">
      <w:pPr>
        <w:contextualSpacing/>
        <w:rPr>
          <w:rFonts w:eastAsia="Palatino Linotype" w:cs="Palatino Linotype"/>
          <w:szCs w:val="24"/>
        </w:rPr>
      </w:pPr>
      <w:r w:rsidRPr="00E53694">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251D3C21" w14:textId="77777777" w:rsidR="00875B7E" w:rsidRPr="00E53694" w:rsidRDefault="00875B7E" w:rsidP="00875B7E">
      <w:pPr>
        <w:contextualSpacing/>
        <w:rPr>
          <w:rFonts w:eastAsia="Palatino Linotype" w:cs="Palatino Linotype"/>
          <w:szCs w:val="24"/>
        </w:rPr>
      </w:pPr>
    </w:p>
    <w:p w14:paraId="6D987941"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b/>
          <w:i/>
          <w:sz w:val="22"/>
        </w:rPr>
        <w:t xml:space="preserve">Artículo 180. </w:t>
      </w:r>
      <w:r w:rsidRPr="00E53694">
        <w:rPr>
          <w:rFonts w:eastAsia="Palatino Linotype" w:cs="Palatino Linotype"/>
          <w:i/>
          <w:sz w:val="22"/>
        </w:rPr>
        <w:t>El recurso de revisión contendrá:</w:t>
      </w:r>
    </w:p>
    <w:p w14:paraId="0D70A675"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I. El sujeto obligado ante la cual se presentó la solicitud;</w:t>
      </w:r>
    </w:p>
    <w:p w14:paraId="35AE8316"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b/>
          <w:i/>
          <w:sz w:val="22"/>
        </w:rPr>
        <w:t>II. El nombre del solicitante que recurre</w:t>
      </w:r>
      <w:r w:rsidRPr="00E53694">
        <w:rPr>
          <w:rFonts w:eastAsia="Palatino Linotype" w:cs="Palatino Linotype"/>
          <w:i/>
          <w:sz w:val="22"/>
        </w:rPr>
        <w:t xml:space="preserve"> o de su representante y, en su caso, del tercero interesado, así como la dirección o medio que señale para recibir notificaciones;</w:t>
      </w:r>
    </w:p>
    <w:p w14:paraId="02E7BFC2"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III. El número de folio de respuesta de la solicitud de acceso;</w:t>
      </w:r>
    </w:p>
    <w:p w14:paraId="0FB42403"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IV. La fecha en que fue notificada la respuesta al solicitante o tuvo conocimiento del acto reclamado, o de presentación de la solicitud, en caso de falta de respuesta;</w:t>
      </w:r>
    </w:p>
    <w:p w14:paraId="0CD632DB"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V. El acto que se recurre;</w:t>
      </w:r>
    </w:p>
    <w:p w14:paraId="1069A2AD"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VI. Las razones o motivos de inconformidad;</w:t>
      </w:r>
    </w:p>
    <w:p w14:paraId="3F927348"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lastRenderedPageBreak/>
        <w:t>VII. La copia de la respuesta que se impugna y, en su caso, de la notificación correspondiente, en el caso de respuesta de la solicitud; y</w:t>
      </w:r>
    </w:p>
    <w:p w14:paraId="705D5FFA"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VIII. Firma del recurrente, en su caso, cuando se presente por escrito, requisito sin el cual se dará trámite al recurso.</w:t>
      </w:r>
    </w:p>
    <w:p w14:paraId="4937FD52" w14:textId="77777777" w:rsidR="00875B7E" w:rsidRPr="00E53694" w:rsidRDefault="00875B7E" w:rsidP="00875B7E">
      <w:pPr>
        <w:spacing w:line="240" w:lineRule="auto"/>
        <w:ind w:left="567" w:right="567"/>
        <w:contextualSpacing/>
        <w:rPr>
          <w:rFonts w:eastAsia="Palatino Linotype" w:cs="Palatino Linotype"/>
          <w:i/>
          <w:sz w:val="22"/>
        </w:rPr>
      </w:pPr>
    </w:p>
    <w:p w14:paraId="03FE043D"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Adicionalmente, se podrán anexar las pruebas y demás elementos que considere procedentes someter a juicio del Instituto.</w:t>
      </w:r>
    </w:p>
    <w:p w14:paraId="42F55CA5" w14:textId="77777777" w:rsidR="00875B7E" w:rsidRPr="00E53694" w:rsidRDefault="00875B7E" w:rsidP="00875B7E">
      <w:pPr>
        <w:spacing w:line="240" w:lineRule="auto"/>
        <w:ind w:left="567" w:right="567"/>
        <w:contextualSpacing/>
        <w:rPr>
          <w:rFonts w:eastAsia="Palatino Linotype" w:cs="Palatino Linotype"/>
          <w:i/>
          <w:sz w:val="22"/>
        </w:rPr>
      </w:pPr>
    </w:p>
    <w:p w14:paraId="59F00087"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En ningún caso será necesario que el particular ratifique el recurso de revisión interpuesto.</w:t>
      </w:r>
    </w:p>
    <w:p w14:paraId="67512C08" w14:textId="77777777" w:rsidR="00875B7E" w:rsidRPr="00E53694" w:rsidRDefault="00875B7E" w:rsidP="00875B7E">
      <w:pPr>
        <w:spacing w:line="240" w:lineRule="auto"/>
        <w:ind w:left="567" w:right="567"/>
        <w:contextualSpacing/>
        <w:rPr>
          <w:rFonts w:eastAsia="Palatino Linotype" w:cs="Palatino Linotype"/>
          <w:i/>
          <w:sz w:val="22"/>
        </w:rPr>
      </w:pPr>
    </w:p>
    <w:p w14:paraId="30132BD0"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b/>
          <w:i/>
          <w:sz w:val="22"/>
        </w:rPr>
        <w:t>En caso de que el recurso se interponga de manera electrónica no será indispensable que contengan los requisitos establecidos en las fracciones II</w:t>
      </w:r>
      <w:r w:rsidRPr="00E53694">
        <w:rPr>
          <w:rFonts w:eastAsia="Palatino Linotype" w:cs="Palatino Linotype"/>
          <w:i/>
          <w:sz w:val="22"/>
        </w:rPr>
        <w:t>, IV, VII y VIII.</w:t>
      </w:r>
    </w:p>
    <w:p w14:paraId="6A849C88" w14:textId="77777777" w:rsidR="00875B7E" w:rsidRPr="00E53694" w:rsidRDefault="00875B7E" w:rsidP="00875B7E">
      <w:pPr>
        <w:contextualSpacing/>
        <w:rPr>
          <w:rFonts w:eastAsia="Palatino Linotype" w:cs="Palatino Linotype"/>
          <w:b/>
          <w:i/>
          <w:szCs w:val="24"/>
        </w:rPr>
      </w:pPr>
    </w:p>
    <w:p w14:paraId="7C7602AA" w14:textId="1A53B38F" w:rsidR="00875B7E" w:rsidRPr="00E53694" w:rsidRDefault="00875B7E" w:rsidP="00875B7E">
      <w:pPr>
        <w:contextualSpacing/>
        <w:rPr>
          <w:rFonts w:eastAsia="Palatino Linotype" w:cs="Palatino Linotype"/>
          <w:szCs w:val="24"/>
        </w:rPr>
      </w:pPr>
      <w:r w:rsidRPr="00E53694">
        <w:rPr>
          <w:rFonts w:eastAsia="Palatino Linotype" w:cs="Palatino Linotype"/>
          <w:szCs w:val="24"/>
        </w:rPr>
        <w:t xml:space="preserve">Cabe señalar que el hoy Recurrente se identificó </w:t>
      </w:r>
      <w:r w:rsidR="00873245" w:rsidRPr="00E53694">
        <w:rPr>
          <w:rFonts w:eastAsia="Palatino Linotype" w:cs="Palatino Linotype"/>
          <w:szCs w:val="24"/>
        </w:rPr>
        <w:t xml:space="preserve">como </w:t>
      </w:r>
      <w:r w:rsidR="00873245" w:rsidRPr="00E53694">
        <w:rPr>
          <w:rFonts w:eastAsia="Palatino Linotype" w:cs="Palatino Linotype"/>
          <w:b/>
          <w:szCs w:val="24"/>
        </w:rPr>
        <w:t>“</w:t>
      </w:r>
      <w:r w:rsidR="001E42AB" w:rsidRPr="00E53694">
        <w:rPr>
          <w:rFonts w:eastAsia="Palatino Linotype" w:cs="Palatino Linotype"/>
          <w:b/>
          <w:szCs w:val="24"/>
        </w:rPr>
        <w:t>XXXXXXXX</w:t>
      </w:r>
      <w:r w:rsidR="00873245" w:rsidRPr="00E53694">
        <w:rPr>
          <w:rFonts w:eastAsia="Palatino Linotype" w:cs="Palatino Linotype"/>
          <w:b/>
          <w:szCs w:val="24"/>
        </w:rPr>
        <w:t>”</w:t>
      </w:r>
      <w:r w:rsidR="00873245" w:rsidRPr="00E53694">
        <w:rPr>
          <w:rFonts w:eastAsia="Palatino Linotype" w:cs="Palatino Linotype"/>
          <w:szCs w:val="24"/>
        </w:rPr>
        <w:t xml:space="preserve">; </w:t>
      </w:r>
      <w:r w:rsidRPr="00E53694">
        <w:rPr>
          <w:rFonts w:eastAsia="Palatino Linotype" w:cs="Palatino Linotype"/>
          <w:szCs w:val="24"/>
        </w:rPr>
        <w:t>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6513E39" w14:textId="77777777" w:rsidR="00875B7E" w:rsidRPr="00E53694" w:rsidRDefault="00875B7E" w:rsidP="00875B7E">
      <w:pPr>
        <w:contextualSpacing/>
        <w:rPr>
          <w:rFonts w:eastAsia="Palatino Linotype" w:cs="Palatino Linotype"/>
          <w:szCs w:val="24"/>
        </w:rPr>
      </w:pPr>
    </w:p>
    <w:p w14:paraId="05CD0453"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b/>
          <w:i/>
          <w:sz w:val="22"/>
        </w:rPr>
        <w:t>Artículo 155.</w:t>
      </w:r>
      <w:r w:rsidRPr="00E53694">
        <w:rPr>
          <w:rFonts w:eastAsia="Palatino Linotype" w:cs="Palatino Linotype"/>
          <w:i/>
          <w:sz w:val="22"/>
        </w:rPr>
        <w:t xml:space="preserve"> (…)</w:t>
      </w:r>
    </w:p>
    <w:p w14:paraId="252BA20C" w14:textId="77777777" w:rsidR="00875B7E" w:rsidRPr="00E53694" w:rsidRDefault="00875B7E" w:rsidP="00875B7E">
      <w:pPr>
        <w:spacing w:line="240" w:lineRule="auto"/>
        <w:ind w:left="567" w:right="567"/>
        <w:contextualSpacing/>
        <w:rPr>
          <w:rFonts w:eastAsia="Palatino Linotype" w:cs="Palatino Linotype"/>
          <w:i/>
          <w:sz w:val="22"/>
        </w:rPr>
      </w:pPr>
    </w:p>
    <w:p w14:paraId="15F45B30"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b/>
          <w:i/>
          <w:sz w:val="22"/>
        </w:rPr>
        <w:t>Las solicitudes anónimas</w:t>
      </w:r>
      <w:r w:rsidRPr="00E53694">
        <w:rPr>
          <w:rFonts w:eastAsia="Palatino Linotype" w:cs="Palatino Linotype"/>
          <w:i/>
          <w:sz w:val="22"/>
        </w:rPr>
        <w:t xml:space="preserve">, con nombre incompleto o seudónimo </w:t>
      </w:r>
      <w:r w:rsidRPr="00E53694">
        <w:rPr>
          <w:rFonts w:eastAsia="Palatino Linotype" w:cs="Palatino Linotype"/>
          <w:b/>
          <w:i/>
          <w:sz w:val="22"/>
        </w:rPr>
        <w:t>serán procedentes para su trámite</w:t>
      </w:r>
      <w:r w:rsidRPr="00E53694">
        <w:rPr>
          <w:rFonts w:eastAsia="Palatino Linotype" w:cs="Palatino Linotype"/>
          <w:i/>
          <w:sz w:val="22"/>
        </w:rPr>
        <w:t xml:space="preserve"> por parte del sujeto obligado ante quien se presente. No podrá requerirse información adicional con motivo del nombre proporcionado por el solicitante.</w:t>
      </w:r>
    </w:p>
    <w:p w14:paraId="5A5AF616" w14:textId="77777777" w:rsidR="00875B7E" w:rsidRPr="00E53694" w:rsidRDefault="00875B7E" w:rsidP="00875B7E">
      <w:pPr>
        <w:contextualSpacing/>
        <w:rPr>
          <w:rFonts w:eastAsia="Palatino Linotype" w:cs="Palatino Linotype"/>
          <w:szCs w:val="24"/>
        </w:rPr>
      </w:pPr>
    </w:p>
    <w:p w14:paraId="6E9F85ED" w14:textId="77777777" w:rsidR="00875B7E" w:rsidRPr="00E53694" w:rsidRDefault="00875B7E" w:rsidP="00875B7E">
      <w:pPr>
        <w:contextualSpacing/>
        <w:rPr>
          <w:rFonts w:eastAsia="Palatino Linotype" w:cs="Palatino Linotype"/>
          <w:szCs w:val="24"/>
        </w:rPr>
      </w:pPr>
      <w:r w:rsidRPr="00E53694">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8E1D06D" w14:textId="77777777" w:rsidR="00875B7E" w:rsidRPr="00E53694" w:rsidRDefault="00875B7E" w:rsidP="00875B7E">
      <w:pPr>
        <w:contextualSpacing/>
        <w:rPr>
          <w:rFonts w:eastAsia="Palatino Linotype" w:cs="Palatino Linotype"/>
          <w:szCs w:val="24"/>
        </w:rPr>
      </w:pPr>
    </w:p>
    <w:p w14:paraId="0A05E534" w14:textId="77777777" w:rsidR="00875B7E" w:rsidRPr="00E53694" w:rsidRDefault="00875B7E" w:rsidP="00875B7E">
      <w:pPr>
        <w:spacing w:line="240" w:lineRule="auto"/>
        <w:ind w:left="567" w:right="567"/>
        <w:contextualSpacing/>
        <w:jc w:val="center"/>
        <w:rPr>
          <w:rFonts w:eastAsia="Palatino Linotype" w:cs="Palatino Linotype"/>
          <w:b/>
          <w:i/>
          <w:sz w:val="22"/>
          <w:u w:val="single"/>
        </w:rPr>
      </w:pPr>
      <w:r w:rsidRPr="00E53694">
        <w:rPr>
          <w:rFonts w:eastAsia="Palatino Linotype" w:cs="Palatino Linotype"/>
          <w:b/>
          <w:i/>
          <w:sz w:val="22"/>
          <w:u w:val="single"/>
        </w:rPr>
        <w:t>Constitución Política de los Estados Unidos Mexicanos</w:t>
      </w:r>
    </w:p>
    <w:p w14:paraId="1F36BC42"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b/>
          <w:i/>
          <w:sz w:val="22"/>
        </w:rPr>
        <w:t>Artículo 6</w:t>
      </w:r>
      <w:r w:rsidRPr="00E53694">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1E0E494"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w:t>
      </w:r>
    </w:p>
    <w:p w14:paraId="7BADC8DF"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 xml:space="preserve">Para efectos de lo dispuesto en el presente artículo se observará lo siguiente: </w:t>
      </w:r>
    </w:p>
    <w:p w14:paraId="54FFFB50"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7B58FFE7"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w:t>
      </w:r>
    </w:p>
    <w:p w14:paraId="205E4AF0"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5C6DA324"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751880A1" w14:textId="77777777" w:rsidR="00875B7E" w:rsidRPr="00E53694" w:rsidRDefault="00875B7E" w:rsidP="00875B7E">
      <w:pPr>
        <w:spacing w:line="240" w:lineRule="auto"/>
        <w:ind w:left="567" w:right="567"/>
        <w:contextualSpacing/>
        <w:rPr>
          <w:rFonts w:eastAsia="Palatino Linotype" w:cs="Palatino Linotype"/>
          <w:i/>
          <w:sz w:val="22"/>
        </w:rPr>
      </w:pPr>
    </w:p>
    <w:p w14:paraId="480B978D" w14:textId="77777777" w:rsidR="00875B7E" w:rsidRPr="00E53694" w:rsidRDefault="00875B7E" w:rsidP="00875B7E">
      <w:pPr>
        <w:spacing w:line="240" w:lineRule="auto"/>
        <w:ind w:left="567" w:right="567"/>
        <w:contextualSpacing/>
        <w:jc w:val="center"/>
        <w:rPr>
          <w:rFonts w:eastAsia="Palatino Linotype" w:cs="Palatino Linotype"/>
          <w:b/>
          <w:i/>
          <w:sz w:val="22"/>
          <w:u w:val="single"/>
        </w:rPr>
      </w:pPr>
      <w:r w:rsidRPr="00E53694">
        <w:rPr>
          <w:rFonts w:eastAsia="Palatino Linotype" w:cs="Palatino Linotype"/>
          <w:b/>
          <w:i/>
          <w:sz w:val="22"/>
          <w:u w:val="single"/>
        </w:rPr>
        <w:t>Constitución Política del Estado Libre y Soberano de México</w:t>
      </w:r>
    </w:p>
    <w:p w14:paraId="7FC1C7D2"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b/>
          <w:i/>
          <w:sz w:val="22"/>
        </w:rPr>
        <w:t>Artículo 5</w:t>
      </w:r>
      <w:r w:rsidRPr="00E53694">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81BCE0E"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w:t>
      </w:r>
    </w:p>
    <w:p w14:paraId="6DBCD835"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0BF6364"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w:t>
      </w:r>
    </w:p>
    <w:p w14:paraId="4954A9CD"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002F956" w14:textId="77777777" w:rsidR="00875B7E" w:rsidRPr="00E53694" w:rsidRDefault="00875B7E" w:rsidP="00875B7E">
      <w:pPr>
        <w:spacing w:line="240" w:lineRule="auto"/>
        <w:ind w:left="567" w:right="567"/>
        <w:contextualSpacing/>
        <w:rPr>
          <w:rFonts w:eastAsia="Palatino Linotype" w:cs="Palatino Linotype"/>
          <w:i/>
          <w:sz w:val="22"/>
        </w:rPr>
      </w:pPr>
    </w:p>
    <w:p w14:paraId="1D2431B6"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093C1F3" w14:textId="77777777" w:rsidR="00875B7E" w:rsidRPr="00E53694" w:rsidRDefault="00875B7E" w:rsidP="00875B7E">
      <w:pPr>
        <w:spacing w:line="240" w:lineRule="auto"/>
        <w:ind w:left="567" w:right="567"/>
        <w:contextualSpacing/>
        <w:rPr>
          <w:rFonts w:eastAsia="Palatino Linotype" w:cs="Palatino Linotype"/>
          <w:i/>
          <w:sz w:val="22"/>
        </w:rPr>
      </w:pPr>
    </w:p>
    <w:p w14:paraId="0F844EE9"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Este derecho se regirá por los principios y bases siguientes:</w:t>
      </w:r>
    </w:p>
    <w:p w14:paraId="61D40CFF"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w:t>
      </w:r>
    </w:p>
    <w:p w14:paraId="1F037000"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b/>
          <w:i/>
          <w:sz w:val="22"/>
        </w:rPr>
        <w:t>III.</w:t>
      </w:r>
      <w:r w:rsidRPr="00E53694">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1EC6FE9"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b/>
          <w:i/>
          <w:sz w:val="22"/>
        </w:rPr>
        <w:t>IV.</w:t>
      </w:r>
      <w:r w:rsidRPr="00E53694">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68E3B86"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w:t>
      </w:r>
    </w:p>
    <w:p w14:paraId="598E6383"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b/>
          <w:i/>
          <w:sz w:val="22"/>
        </w:rPr>
        <w:t>VIII.</w:t>
      </w:r>
      <w:r w:rsidRPr="00E53694">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68C7EA4"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w:t>
      </w:r>
    </w:p>
    <w:p w14:paraId="16E3428E" w14:textId="77777777" w:rsidR="00875B7E" w:rsidRPr="00E53694" w:rsidRDefault="00875B7E" w:rsidP="00875B7E">
      <w:pPr>
        <w:ind w:left="567" w:right="567"/>
        <w:contextualSpacing/>
        <w:rPr>
          <w:rFonts w:eastAsia="Palatino Linotype" w:cs="Palatino Linotype"/>
          <w:szCs w:val="24"/>
        </w:rPr>
      </w:pPr>
    </w:p>
    <w:p w14:paraId="277D076C" w14:textId="77777777" w:rsidR="00875B7E" w:rsidRPr="00E53694" w:rsidRDefault="00875B7E" w:rsidP="00875B7E">
      <w:pPr>
        <w:ind w:right="49"/>
        <w:contextualSpacing/>
        <w:rPr>
          <w:rFonts w:eastAsia="Palatino Linotype" w:cs="Palatino Linotype"/>
          <w:szCs w:val="24"/>
        </w:rPr>
      </w:pPr>
      <w:r w:rsidRPr="00E53694">
        <w:rPr>
          <w:rFonts w:eastAsia="Palatino Linotype" w:cs="Palatino Linotype"/>
          <w:szCs w:val="24"/>
        </w:rPr>
        <w:t>Por otra parte, del contenido del artículo 1 de la Constitución Política de los Estados Unidos Mexicanos, se destaca lo siguiente:</w:t>
      </w:r>
    </w:p>
    <w:p w14:paraId="029278CE"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b/>
          <w:i/>
          <w:sz w:val="22"/>
        </w:rPr>
        <w:t>Artículo 1o</w:t>
      </w:r>
      <w:r w:rsidRPr="00E53694">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311DA6" w14:textId="77777777" w:rsidR="00875B7E" w:rsidRPr="00E53694" w:rsidRDefault="00875B7E" w:rsidP="00875B7E">
      <w:pPr>
        <w:spacing w:line="240" w:lineRule="auto"/>
        <w:ind w:left="567" w:right="567"/>
        <w:contextualSpacing/>
        <w:rPr>
          <w:rFonts w:eastAsia="Palatino Linotype" w:cs="Palatino Linotype"/>
          <w:i/>
          <w:sz w:val="22"/>
        </w:rPr>
      </w:pPr>
    </w:p>
    <w:p w14:paraId="1F4B4698"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5E0052B" w14:textId="77777777" w:rsidR="00875B7E" w:rsidRPr="00E53694" w:rsidRDefault="00875B7E" w:rsidP="00875B7E">
      <w:pPr>
        <w:spacing w:line="240" w:lineRule="auto"/>
        <w:ind w:left="567" w:right="567"/>
        <w:contextualSpacing/>
        <w:rPr>
          <w:rFonts w:eastAsia="Palatino Linotype" w:cs="Palatino Linotype"/>
          <w:i/>
          <w:sz w:val="22"/>
        </w:rPr>
      </w:pPr>
    </w:p>
    <w:p w14:paraId="1E331532" w14:textId="77777777" w:rsidR="00875B7E" w:rsidRPr="00E53694" w:rsidRDefault="00875B7E" w:rsidP="00875B7E">
      <w:pPr>
        <w:spacing w:line="240" w:lineRule="auto"/>
        <w:ind w:left="567" w:right="567"/>
        <w:contextualSpacing/>
        <w:rPr>
          <w:rFonts w:eastAsia="Palatino Linotype" w:cs="Palatino Linotype"/>
          <w:i/>
          <w:sz w:val="22"/>
        </w:rPr>
      </w:pPr>
      <w:r w:rsidRPr="00E53694">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C0D916" w14:textId="77777777" w:rsidR="00875B7E" w:rsidRPr="00E53694" w:rsidRDefault="00875B7E" w:rsidP="00875B7E">
      <w:pPr>
        <w:rPr>
          <w:sz w:val="20"/>
        </w:rPr>
      </w:pPr>
    </w:p>
    <w:p w14:paraId="0954E422" w14:textId="77777777" w:rsidR="00875B7E" w:rsidRPr="00E53694" w:rsidRDefault="00875B7E" w:rsidP="00875B7E">
      <w:pPr>
        <w:contextualSpacing/>
        <w:rPr>
          <w:rFonts w:eastAsia="Palatino Linotype" w:cs="Palatino Linotype"/>
          <w:szCs w:val="24"/>
        </w:rPr>
      </w:pPr>
      <w:r w:rsidRPr="00E53694">
        <w:rPr>
          <w:rFonts w:eastAsia="Palatino Linotype" w:cs="Palatino Linotype"/>
          <w:szCs w:val="24"/>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8C0963D" w14:textId="77777777" w:rsidR="00875B7E" w:rsidRPr="00E53694" w:rsidRDefault="00875B7E" w:rsidP="00875B7E">
      <w:pPr>
        <w:contextualSpacing/>
        <w:rPr>
          <w:rFonts w:eastAsia="Palatino Linotype" w:cs="Palatino Linotype"/>
          <w:sz w:val="20"/>
          <w:szCs w:val="24"/>
        </w:rPr>
      </w:pPr>
    </w:p>
    <w:p w14:paraId="2F506A3E" w14:textId="77777777" w:rsidR="00875B7E" w:rsidRPr="00E53694" w:rsidRDefault="00875B7E" w:rsidP="00875B7E">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En conclusión, se cubrieron los requisitos de procedencia y procedibilidad y conforme a las constancias que obran en el expediente.</w:t>
      </w:r>
    </w:p>
    <w:p w14:paraId="0E3DD021" w14:textId="77777777" w:rsidR="00875B7E" w:rsidRPr="00E53694"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4049CC0F" w:rsidR="00A970D5" w:rsidRPr="00E53694" w:rsidRDefault="00D57F1A" w:rsidP="006922F5">
      <w:pPr>
        <w:pStyle w:val="Ttulo2"/>
        <w:rPr>
          <w:rFonts w:eastAsia="Palatino Linotype"/>
        </w:rPr>
      </w:pPr>
      <w:r w:rsidRPr="00E53694">
        <w:rPr>
          <w:rFonts w:eastAsia="Palatino Linotype"/>
        </w:rPr>
        <w:t>CUARTO</w:t>
      </w:r>
      <w:r w:rsidR="00A970D5" w:rsidRPr="00E53694">
        <w:rPr>
          <w:rFonts w:eastAsia="Palatino Linotype"/>
        </w:rPr>
        <w:t>. De las causas de improcedencia.</w:t>
      </w:r>
    </w:p>
    <w:p w14:paraId="72B75EC4"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E53694">
        <w:rPr>
          <w:rFonts w:eastAsia="Palatino Linotype" w:cs="Palatino Linotype"/>
          <w:color w:val="000000"/>
          <w:szCs w:val="24"/>
        </w:rPr>
        <w:lastRenderedPageBreak/>
        <w:t>una figura procesal adoptada en la ley de la materia</w:t>
      </w:r>
      <w:r w:rsidRPr="00E53694">
        <w:rPr>
          <w:rFonts w:eastAsia="Palatino Linotype" w:cs="Palatino Linotype"/>
          <w:color w:val="000000"/>
          <w:szCs w:val="24"/>
          <w:vertAlign w:val="superscript"/>
        </w:rPr>
        <w:footnoteReference w:id="2"/>
      </w:r>
      <w:r w:rsidRPr="00E53694">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764C163" w:rsidR="00A970D5" w:rsidRPr="00E53694" w:rsidRDefault="00D57F1A" w:rsidP="006922F5">
      <w:pPr>
        <w:pStyle w:val="Ttulo2"/>
        <w:rPr>
          <w:rFonts w:eastAsia="Palatino Linotype"/>
        </w:rPr>
      </w:pPr>
      <w:r w:rsidRPr="00E53694">
        <w:rPr>
          <w:rFonts w:eastAsia="Palatino Linotype"/>
        </w:rPr>
        <w:lastRenderedPageBreak/>
        <w:t>QUINTO</w:t>
      </w:r>
      <w:r w:rsidR="00A970D5" w:rsidRPr="00E53694">
        <w:rPr>
          <w:rFonts w:eastAsia="Palatino Linotype"/>
        </w:rPr>
        <w:t>. Estudio y resolución del asunto.</w:t>
      </w:r>
    </w:p>
    <w:p w14:paraId="172D5B7B"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396A1643" w:rsidR="001C4CBF" w:rsidRPr="00E53694" w:rsidRDefault="00A970D5" w:rsidP="00C006C6">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Por tanto</w:t>
      </w:r>
      <w:r w:rsidR="007F3F9F" w:rsidRPr="00E53694">
        <w:rPr>
          <w:rFonts w:eastAsia="Palatino Linotype" w:cs="Palatino Linotype"/>
          <w:color w:val="000000"/>
          <w:szCs w:val="24"/>
        </w:rPr>
        <w:t xml:space="preserve">, es conveniente recordar que </w:t>
      </w:r>
      <w:r w:rsidR="006D438A" w:rsidRPr="00E53694">
        <w:rPr>
          <w:rFonts w:eastAsia="Palatino Linotype" w:cs="Palatino Linotype"/>
          <w:color w:val="000000"/>
          <w:szCs w:val="24"/>
        </w:rPr>
        <w:t>el</w:t>
      </w:r>
      <w:r w:rsidRPr="00E53694">
        <w:rPr>
          <w:rFonts w:eastAsia="Palatino Linotype" w:cs="Palatino Linotype"/>
          <w:color w:val="000000"/>
          <w:szCs w:val="24"/>
        </w:rPr>
        <w:t xml:space="preserve"> hoy Recurrente </w:t>
      </w:r>
      <w:r w:rsidR="00AE3BE0" w:rsidRPr="00E53694">
        <w:rPr>
          <w:rFonts w:eastAsia="Palatino Linotype" w:cs="Palatino Linotype"/>
          <w:color w:val="000000"/>
          <w:szCs w:val="24"/>
        </w:rPr>
        <w:t>requirió</w:t>
      </w:r>
      <w:r w:rsidR="00CF6592" w:rsidRPr="00E53694">
        <w:rPr>
          <w:rFonts w:eastAsia="Palatino Linotype" w:cs="Palatino Linotype"/>
          <w:color w:val="000000"/>
          <w:szCs w:val="24"/>
        </w:rPr>
        <w:t xml:space="preserve"> </w:t>
      </w:r>
      <w:r w:rsidR="00873245" w:rsidRPr="00E53694">
        <w:rPr>
          <w:rFonts w:eastAsia="Palatino Linotype" w:cs="Palatino Linotype"/>
          <w:color w:val="000000"/>
          <w:szCs w:val="24"/>
        </w:rPr>
        <w:t>que se le proporcionara lo siguiente:</w:t>
      </w:r>
    </w:p>
    <w:p w14:paraId="071BE550" w14:textId="77777777" w:rsidR="00CB6AB9" w:rsidRPr="00E53694" w:rsidRDefault="00CB6AB9" w:rsidP="00C006C6">
      <w:pPr>
        <w:pBdr>
          <w:top w:val="nil"/>
          <w:left w:val="nil"/>
          <w:bottom w:val="nil"/>
          <w:right w:val="nil"/>
          <w:between w:val="nil"/>
        </w:pBdr>
        <w:contextualSpacing/>
        <w:rPr>
          <w:rFonts w:eastAsia="Palatino Linotype" w:cs="Palatino Linotype"/>
          <w:color w:val="000000"/>
          <w:szCs w:val="24"/>
        </w:rPr>
      </w:pPr>
    </w:p>
    <w:p w14:paraId="1F6722DB" w14:textId="2F5C986D" w:rsidR="00CB6AB9" w:rsidRPr="00E53694" w:rsidRDefault="00CB6AB9" w:rsidP="00CB6AB9">
      <w:pPr>
        <w:pStyle w:val="Prrafodelista"/>
        <w:numPr>
          <w:ilvl w:val="0"/>
          <w:numId w:val="40"/>
        </w:numPr>
        <w:pBdr>
          <w:top w:val="nil"/>
          <w:left w:val="nil"/>
          <w:bottom w:val="nil"/>
          <w:right w:val="nil"/>
          <w:between w:val="nil"/>
        </w:pBdr>
        <w:contextualSpacing/>
        <w:rPr>
          <w:rFonts w:eastAsia="Palatino Linotype" w:cs="Palatino Linotype"/>
          <w:color w:val="000000"/>
        </w:rPr>
      </w:pPr>
      <w:r w:rsidRPr="00E53694">
        <w:rPr>
          <w:rFonts w:eastAsia="Palatino Linotype" w:cs="Palatino Linotype"/>
          <w:color w:val="000000"/>
        </w:rPr>
        <w:t>El número total de elementos de seguridad desglosado, por ejemplo, en policías, bomberos y paramédicos.</w:t>
      </w:r>
    </w:p>
    <w:p w14:paraId="6179D5A8" w14:textId="0718D0A3" w:rsidR="00CB6AB9" w:rsidRPr="00E53694" w:rsidRDefault="00CB6AB9" w:rsidP="00CB6AB9">
      <w:pPr>
        <w:pStyle w:val="Prrafodelista"/>
        <w:numPr>
          <w:ilvl w:val="0"/>
          <w:numId w:val="40"/>
        </w:numPr>
        <w:pBdr>
          <w:top w:val="nil"/>
          <w:left w:val="nil"/>
          <w:bottom w:val="nil"/>
          <w:right w:val="nil"/>
          <w:between w:val="nil"/>
        </w:pBdr>
        <w:contextualSpacing/>
        <w:rPr>
          <w:rFonts w:eastAsia="Palatino Linotype" w:cs="Palatino Linotype"/>
          <w:color w:val="000000"/>
        </w:rPr>
      </w:pPr>
      <w:r w:rsidRPr="00E53694">
        <w:rPr>
          <w:rFonts w:eastAsia="Palatino Linotype" w:cs="Palatino Linotype"/>
          <w:color w:val="000000"/>
        </w:rPr>
        <w:t>El total de unidades de servicios de emergencia, como las patrullas y ambulancias.</w:t>
      </w:r>
    </w:p>
    <w:p w14:paraId="5438DED7" w14:textId="24D47EFF" w:rsidR="00CB6AB9" w:rsidRPr="00E53694" w:rsidRDefault="00CB6AB9" w:rsidP="00CB6AB9">
      <w:pPr>
        <w:pStyle w:val="Prrafodelista"/>
        <w:numPr>
          <w:ilvl w:val="0"/>
          <w:numId w:val="40"/>
        </w:numPr>
        <w:pBdr>
          <w:top w:val="nil"/>
          <w:left w:val="nil"/>
          <w:bottom w:val="nil"/>
          <w:right w:val="nil"/>
          <w:between w:val="nil"/>
        </w:pBdr>
        <w:contextualSpacing/>
        <w:rPr>
          <w:rFonts w:eastAsia="Palatino Linotype" w:cs="Palatino Linotype"/>
          <w:color w:val="000000"/>
        </w:rPr>
      </w:pPr>
      <w:r w:rsidRPr="00E53694">
        <w:rPr>
          <w:rFonts w:eastAsia="Palatino Linotype" w:cs="Palatino Linotype"/>
          <w:color w:val="000000"/>
        </w:rPr>
        <w:t>El motivo por el cual no se encuentran matriculadas las patrullas.</w:t>
      </w:r>
    </w:p>
    <w:p w14:paraId="24C9C176" w14:textId="77777777" w:rsidR="00CB6AB9" w:rsidRPr="00E53694" w:rsidRDefault="00CB6AB9" w:rsidP="00C006C6">
      <w:pPr>
        <w:pBdr>
          <w:top w:val="nil"/>
          <w:left w:val="nil"/>
          <w:bottom w:val="nil"/>
          <w:right w:val="nil"/>
          <w:between w:val="nil"/>
        </w:pBdr>
        <w:contextualSpacing/>
        <w:rPr>
          <w:rFonts w:eastAsia="Palatino Linotype" w:cs="Palatino Linotype"/>
          <w:color w:val="000000"/>
          <w:szCs w:val="24"/>
        </w:rPr>
      </w:pPr>
    </w:p>
    <w:p w14:paraId="756CDCCB" w14:textId="2E13E6B0" w:rsidR="00657129" w:rsidRPr="00E53694" w:rsidRDefault="00A970D5" w:rsidP="00CB6AB9">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 xml:space="preserve">A dicha solicitud, el Sujeto Obligado </w:t>
      </w:r>
      <w:r w:rsidR="001C4CBF" w:rsidRPr="00E53694">
        <w:rPr>
          <w:rFonts w:eastAsia="Palatino Linotype" w:cs="Palatino Linotype"/>
          <w:color w:val="000000"/>
          <w:szCs w:val="24"/>
        </w:rPr>
        <w:t xml:space="preserve">respondió </w:t>
      </w:r>
      <w:r w:rsidR="00CB6AB9" w:rsidRPr="00E53694">
        <w:rPr>
          <w:rFonts w:eastAsia="Palatino Linotype" w:cs="Palatino Linotype"/>
          <w:color w:val="000000"/>
          <w:szCs w:val="24"/>
        </w:rPr>
        <w:t xml:space="preserve">que, respecto del parque vehicular de la Dirección General de Seguridad Pública y Tránsito Municipal, en el municipio se cuenta con un total de ocho unidades emplacadas y cinco con emplacamiento en proceso; que la Coordinación Municipal de Protección Civil cuenta con dos unidades tipo ambulancia, una de las cuales se encuentra fuera de servicio ya que se le está realizando servicio preventivo y correctivo; asimismo, se entregó el documento denominado </w:t>
      </w:r>
      <w:r w:rsidR="00CB6AB9" w:rsidRPr="00E53694">
        <w:rPr>
          <w:rFonts w:eastAsia="Palatino Linotype" w:cs="Palatino Linotype"/>
          <w:b/>
          <w:bCs/>
          <w:color w:val="000000"/>
          <w:szCs w:val="24"/>
        </w:rPr>
        <w:t xml:space="preserve">“UNIDADES </w:t>
      </w:r>
      <w:r w:rsidR="00CB6AB9" w:rsidRPr="00E53694">
        <w:rPr>
          <w:rFonts w:eastAsia="Palatino Linotype" w:cs="Palatino Linotype"/>
          <w:b/>
          <w:bCs/>
          <w:color w:val="000000"/>
          <w:szCs w:val="24"/>
        </w:rPr>
        <w:lastRenderedPageBreak/>
        <w:t>EMPLACADAS.pdf”</w:t>
      </w:r>
      <w:r w:rsidR="00CB6AB9" w:rsidRPr="00E53694">
        <w:rPr>
          <w:rFonts w:eastAsia="Palatino Linotype" w:cs="Palatino Linotype"/>
          <w:bCs/>
          <w:color w:val="000000"/>
          <w:szCs w:val="24"/>
        </w:rPr>
        <w:t>, en el cual se observan dos cuadros en los que se describen las ocho patrullas que cuenta con emplacamiento y las cinco que se encuentran en proceso.</w:t>
      </w:r>
    </w:p>
    <w:p w14:paraId="17550E1E" w14:textId="77777777" w:rsidR="00AE31C2" w:rsidRPr="00E53694" w:rsidRDefault="00AE31C2" w:rsidP="006922F5">
      <w:pPr>
        <w:pBdr>
          <w:top w:val="nil"/>
          <w:left w:val="nil"/>
          <w:bottom w:val="nil"/>
          <w:right w:val="nil"/>
          <w:between w:val="nil"/>
        </w:pBdr>
        <w:contextualSpacing/>
        <w:rPr>
          <w:rFonts w:eastAsia="Palatino Linotype" w:cs="Palatino Linotype"/>
          <w:color w:val="000000"/>
          <w:szCs w:val="24"/>
        </w:rPr>
      </w:pPr>
    </w:p>
    <w:p w14:paraId="6128DFF4" w14:textId="27812FBF" w:rsidR="00A970D5" w:rsidRPr="00E53694" w:rsidRDefault="007E0B5E"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Ante la</w:t>
      </w:r>
      <w:r w:rsidR="00A970D5" w:rsidRPr="00E53694">
        <w:rPr>
          <w:rFonts w:eastAsia="Palatino Linotype" w:cs="Palatino Linotype"/>
          <w:color w:val="000000"/>
          <w:szCs w:val="24"/>
        </w:rPr>
        <w:t xml:space="preserve"> respuesta</w:t>
      </w:r>
      <w:r w:rsidRPr="00E53694">
        <w:rPr>
          <w:rFonts w:eastAsia="Palatino Linotype" w:cs="Palatino Linotype"/>
          <w:color w:val="000000"/>
          <w:szCs w:val="24"/>
        </w:rPr>
        <w:t xml:space="preserve"> emitida</w:t>
      </w:r>
      <w:r w:rsidR="00E41D06" w:rsidRPr="00E53694">
        <w:rPr>
          <w:rFonts w:eastAsia="Palatino Linotype" w:cs="Palatino Linotype"/>
          <w:color w:val="000000"/>
          <w:szCs w:val="24"/>
        </w:rPr>
        <w:t xml:space="preserve"> </w:t>
      </w:r>
      <w:r w:rsidR="00B32535" w:rsidRPr="00E53694">
        <w:rPr>
          <w:rFonts w:eastAsia="Palatino Linotype" w:cs="Palatino Linotype"/>
          <w:color w:val="000000"/>
          <w:szCs w:val="24"/>
        </w:rPr>
        <w:t>por el Sujeto Obligado,</w:t>
      </w:r>
      <w:r w:rsidRPr="00E53694">
        <w:rPr>
          <w:rFonts w:eastAsia="Palatino Linotype" w:cs="Palatino Linotype"/>
          <w:color w:val="000000"/>
          <w:szCs w:val="24"/>
        </w:rPr>
        <w:t xml:space="preserve"> </w:t>
      </w:r>
      <w:r w:rsidR="007502BD" w:rsidRPr="00E53694">
        <w:rPr>
          <w:rFonts w:eastAsia="Palatino Linotype" w:cs="Palatino Linotype"/>
          <w:color w:val="000000"/>
          <w:szCs w:val="24"/>
        </w:rPr>
        <w:t>el</w:t>
      </w:r>
      <w:r w:rsidR="00A970D5" w:rsidRPr="00E53694">
        <w:rPr>
          <w:rFonts w:eastAsia="Palatino Linotype" w:cs="Palatino Linotype"/>
          <w:color w:val="000000"/>
          <w:szCs w:val="24"/>
        </w:rPr>
        <w:t xml:space="preserve"> Recurr</w:t>
      </w:r>
      <w:r w:rsidR="00640056" w:rsidRPr="00E53694">
        <w:rPr>
          <w:rFonts w:eastAsia="Palatino Linotype" w:cs="Palatino Linotype"/>
          <w:color w:val="000000"/>
          <w:szCs w:val="24"/>
        </w:rPr>
        <w:t>e</w:t>
      </w:r>
      <w:r w:rsidR="00A970D5" w:rsidRPr="00E53694">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sidRPr="00E53694">
        <w:rPr>
          <w:rFonts w:eastAsia="Palatino Linotype" w:cs="Palatino Linotype"/>
          <w:color w:val="000000"/>
          <w:szCs w:val="24"/>
        </w:rPr>
        <w:t xml:space="preserve"> </w:t>
      </w:r>
      <w:r w:rsidR="0048668F" w:rsidRPr="00E53694">
        <w:rPr>
          <w:rFonts w:eastAsia="Palatino Linotype" w:cs="Palatino Linotype"/>
          <w:color w:val="000000"/>
          <w:szCs w:val="24"/>
        </w:rPr>
        <w:t xml:space="preserve">la trascripción de la respuesta entregada; </w:t>
      </w:r>
      <w:r w:rsidR="00657129" w:rsidRPr="00E53694">
        <w:rPr>
          <w:rFonts w:eastAsia="Palatino Linotype" w:cs="Palatino Linotype"/>
          <w:color w:val="000000"/>
          <w:szCs w:val="24"/>
        </w:rPr>
        <w:t>dando como</w:t>
      </w:r>
      <w:r w:rsidR="00F6068A" w:rsidRPr="00E53694">
        <w:rPr>
          <w:rFonts w:eastAsia="Palatino Linotype" w:cs="Palatino Linotype"/>
          <w:color w:val="000000"/>
          <w:szCs w:val="24"/>
        </w:rPr>
        <w:t xml:space="preserve"> razones o motivos de inconformidad </w:t>
      </w:r>
      <w:r w:rsidR="00BA7C85" w:rsidRPr="00E53694">
        <w:rPr>
          <w:rFonts w:eastAsia="Palatino Linotype" w:cs="Palatino Linotype"/>
          <w:color w:val="000000"/>
          <w:szCs w:val="24"/>
        </w:rPr>
        <w:t>q</w:t>
      </w:r>
      <w:r w:rsidR="00657129" w:rsidRPr="00E53694">
        <w:rPr>
          <w:rFonts w:eastAsia="Palatino Linotype" w:cs="Palatino Linotype"/>
          <w:color w:val="000000"/>
          <w:szCs w:val="24"/>
        </w:rPr>
        <w:t xml:space="preserve">ue </w:t>
      </w:r>
      <w:r w:rsidR="0048668F" w:rsidRPr="00E53694">
        <w:rPr>
          <w:rFonts w:eastAsia="Palatino Linotype" w:cs="Palatino Linotype"/>
          <w:color w:val="000000"/>
          <w:szCs w:val="24"/>
        </w:rPr>
        <w:t>se solicitó el desglose del número total de elementos de seguridad desglosado, el número de unidades de servicios de emergencia y el motivo por el cual no se encuentran matriculadas las patrullas, y que sólo se respondió el segundo punto.</w:t>
      </w:r>
    </w:p>
    <w:p w14:paraId="528092A3" w14:textId="77777777" w:rsidR="00BD5FA8" w:rsidRPr="00E53694" w:rsidRDefault="00BD5FA8" w:rsidP="006922F5">
      <w:pPr>
        <w:pBdr>
          <w:top w:val="nil"/>
          <w:left w:val="nil"/>
          <w:bottom w:val="nil"/>
          <w:right w:val="nil"/>
          <w:between w:val="nil"/>
        </w:pBdr>
        <w:contextualSpacing/>
        <w:rPr>
          <w:rFonts w:eastAsia="Palatino Linotype" w:cs="Palatino Linotype"/>
          <w:color w:val="000000"/>
          <w:szCs w:val="24"/>
        </w:rPr>
      </w:pPr>
    </w:p>
    <w:p w14:paraId="298650E8" w14:textId="42CD894E" w:rsidR="00BD5FA8" w:rsidRPr="00E53694" w:rsidRDefault="00BD5FA8"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Por tanto, se debe entender que el Recurrente se inconformó ante la entrega de información incompleta, supuesto que actualiza la causal de procedencia estipulada en el artículo 179 fracción V de la Ley de Transparencia estatal.</w:t>
      </w:r>
    </w:p>
    <w:p w14:paraId="3AC05501" w14:textId="77777777" w:rsidR="003D372B" w:rsidRPr="00E53694" w:rsidRDefault="003D372B" w:rsidP="006922F5">
      <w:pPr>
        <w:pBdr>
          <w:top w:val="nil"/>
          <w:left w:val="nil"/>
          <w:bottom w:val="nil"/>
          <w:right w:val="nil"/>
          <w:between w:val="nil"/>
        </w:pBdr>
        <w:contextualSpacing/>
        <w:rPr>
          <w:rFonts w:eastAsia="Palatino Linotype" w:cs="Palatino Linotype"/>
          <w:color w:val="000000"/>
          <w:szCs w:val="24"/>
        </w:rPr>
      </w:pPr>
    </w:p>
    <w:p w14:paraId="5684BACF" w14:textId="1EBF47B9" w:rsidR="005B5434" w:rsidRPr="00E53694" w:rsidRDefault="00A671E7" w:rsidP="006922F5">
      <w:pPr>
        <w:pBdr>
          <w:top w:val="nil"/>
          <w:left w:val="nil"/>
          <w:bottom w:val="nil"/>
          <w:right w:val="nil"/>
          <w:between w:val="nil"/>
        </w:pBdr>
        <w:contextualSpacing/>
      </w:pPr>
      <w:r w:rsidRPr="00E53694">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84420D3" w14:textId="77777777" w:rsidR="00CB6D15" w:rsidRPr="00E53694" w:rsidRDefault="00CB6D15" w:rsidP="006922F5">
      <w:pPr>
        <w:pBdr>
          <w:top w:val="nil"/>
          <w:left w:val="nil"/>
          <w:bottom w:val="nil"/>
          <w:right w:val="nil"/>
          <w:between w:val="nil"/>
        </w:pBdr>
        <w:contextualSpacing/>
      </w:pPr>
    </w:p>
    <w:p w14:paraId="68AC31E4" w14:textId="28F92C8E" w:rsidR="00CB6D15" w:rsidRPr="00E53694" w:rsidRDefault="00CB6D15" w:rsidP="006922F5">
      <w:pPr>
        <w:pBdr>
          <w:top w:val="nil"/>
          <w:left w:val="nil"/>
          <w:bottom w:val="nil"/>
          <w:right w:val="nil"/>
          <w:between w:val="nil"/>
        </w:pBdr>
        <w:contextualSpacing/>
        <w:rPr>
          <w:szCs w:val="24"/>
        </w:rPr>
      </w:pPr>
      <w:r w:rsidRPr="00E53694">
        <w:lastRenderedPageBreak/>
        <w:t>Por su parte, el Recurrente no realizó manifestaciones, vertió alegatos ni presentó pruebas que a su derecho conviniera; del mismo modo, no ser pronunció respecto del Informe Justificado rendido por el Sujeto Obligado.</w:t>
      </w:r>
    </w:p>
    <w:p w14:paraId="35695B46" w14:textId="77777777" w:rsidR="00C006C6" w:rsidRPr="00E53694" w:rsidRDefault="00C006C6" w:rsidP="006922F5">
      <w:pPr>
        <w:pBdr>
          <w:top w:val="nil"/>
          <w:left w:val="nil"/>
          <w:bottom w:val="nil"/>
          <w:right w:val="nil"/>
          <w:between w:val="nil"/>
        </w:pBdr>
        <w:contextualSpacing/>
        <w:rPr>
          <w:szCs w:val="24"/>
        </w:rPr>
      </w:pPr>
    </w:p>
    <w:p w14:paraId="64B9BA8A" w14:textId="0131C704"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E53694">
        <w:rPr>
          <w:rFonts w:eastAsia="Palatino Linotype" w:cs="Palatino Linotype"/>
          <w:color w:val="000000"/>
          <w:szCs w:val="24"/>
        </w:rPr>
        <w:t xml:space="preserve"> </w:t>
      </w:r>
      <w:r w:rsidRPr="00E53694">
        <w:rPr>
          <w:rFonts w:eastAsia="Palatino Linotype" w:cs="Palatino Linotype"/>
          <w:color w:val="000000"/>
          <w:szCs w:val="24"/>
        </w:rPr>
        <w:t>l</w:t>
      </w:r>
      <w:r w:rsidR="00032FBE" w:rsidRPr="00E53694">
        <w:rPr>
          <w:rFonts w:eastAsia="Palatino Linotype" w:cs="Palatino Linotype"/>
          <w:color w:val="000000"/>
          <w:szCs w:val="24"/>
        </w:rPr>
        <w:t>a</w:t>
      </w:r>
      <w:r w:rsidRPr="00E53694">
        <w:rPr>
          <w:rFonts w:eastAsia="Palatino Linotype" w:cs="Palatino Linotype"/>
          <w:color w:val="000000"/>
          <w:szCs w:val="24"/>
        </w:rPr>
        <w:t xml:space="preserve"> Recurrente, así como calificar los motivos de inconformidad de</w:t>
      </w:r>
      <w:r w:rsidR="00C82268" w:rsidRPr="00E53694">
        <w:rPr>
          <w:rFonts w:eastAsia="Palatino Linotype" w:cs="Palatino Linotype"/>
          <w:color w:val="000000"/>
          <w:szCs w:val="24"/>
        </w:rPr>
        <w:t xml:space="preserve">l </w:t>
      </w:r>
      <w:r w:rsidRPr="00E53694">
        <w:rPr>
          <w:rFonts w:eastAsia="Palatino Linotype" w:cs="Palatino Linotype"/>
          <w:color w:val="000000"/>
          <w:szCs w:val="24"/>
        </w:rPr>
        <w:t xml:space="preserve">particular. </w:t>
      </w:r>
    </w:p>
    <w:p w14:paraId="443631F3"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E53694" w:rsidRDefault="00A970D5" w:rsidP="006922F5">
      <w:pPr>
        <w:pStyle w:val="Fundamentos"/>
      </w:pPr>
      <w:r w:rsidRPr="00E53694">
        <w:rPr>
          <w:b/>
        </w:rPr>
        <w:t>Artículo 6o.</w:t>
      </w:r>
      <w:r w:rsidRPr="00E53694">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53694">
        <w:rPr>
          <w:b/>
        </w:rPr>
        <w:t>El derecho a la información será garantizado por el Estado.</w:t>
      </w:r>
      <w:r w:rsidRPr="00E53694">
        <w:t xml:space="preserve"> </w:t>
      </w:r>
    </w:p>
    <w:p w14:paraId="71A2C801" w14:textId="77777777" w:rsidR="00A970D5" w:rsidRPr="00E53694" w:rsidRDefault="00A970D5" w:rsidP="006922F5">
      <w:pPr>
        <w:pStyle w:val="Fundamentos"/>
      </w:pPr>
    </w:p>
    <w:p w14:paraId="0CDFC85A" w14:textId="77777777" w:rsidR="00A970D5" w:rsidRPr="00E53694" w:rsidRDefault="00A970D5" w:rsidP="006922F5">
      <w:pPr>
        <w:pStyle w:val="Fundamentos"/>
      </w:pPr>
      <w:r w:rsidRPr="00E53694">
        <w:t>Toda persona tiene derecho al libre acceso a información plural y oportuna, así como a buscar, recibir y difundir información e ideas de toda índole por cualquier medio de expresión.</w:t>
      </w:r>
    </w:p>
    <w:p w14:paraId="0015CD16" w14:textId="77777777" w:rsidR="00A970D5" w:rsidRPr="00E53694" w:rsidRDefault="00A970D5" w:rsidP="006922F5">
      <w:pPr>
        <w:pStyle w:val="Fundamentos"/>
      </w:pPr>
    </w:p>
    <w:p w14:paraId="5F6974CB" w14:textId="77777777" w:rsidR="00A970D5" w:rsidRPr="00E53694" w:rsidRDefault="00A970D5" w:rsidP="006922F5">
      <w:pPr>
        <w:pStyle w:val="Fundamentos"/>
      </w:pPr>
      <w:r w:rsidRPr="00E53694">
        <w:t>Para efectos de lo dispuesto en el presente artículo se observará lo siguiente:</w:t>
      </w:r>
    </w:p>
    <w:p w14:paraId="6BB28B9A" w14:textId="77777777" w:rsidR="00A970D5" w:rsidRPr="00E53694" w:rsidRDefault="00A970D5" w:rsidP="006922F5">
      <w:pPr>
        <w:pStyle w:val="Fundamentos"/>
      </w:pPr>
    </w:p>
    <w:p w14:paraId="3BA28416" w14:textId="77777777" w:rsidR="00A970D5" w:rsidRPr="00E53694" w:rsidRDefault="00A970D5" w:rsidP="006922F5">
      <w:pPr>
        <w:pStyle w:val="Fundamentos"/>
      </w:pPr>
      <w:r w:rsidRPr="00E53694">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E53694" w:rsidRDefault="00A970D5" w:rsidP="006922F5">
      <w:pPr>
        <w:pStyle w:val="Fundamentos"/>
      </w:pPr>
    </w:p>
    <w:p w14:paraId="2133BF6E" w14:textId="77777777" w:rsidR="00A970D5" w:rsidRPr="00E53694" w:rsidRDefault="00A970D5" w:rsidP="006922F5">
      <w:pPr>
        <w:pStyle w:val="Fundamentos"/>
      </w:pPr>
      <w:r w:rsidRPr="00E53694">
        <w:rPr>
          <w:b/>
        </w:rPr>
        <w:t>I. Toda la información en posesión de</w:t>
      </w:r>
      <w:r w:rsidRPr="00E53694">
        <w:t xml:space="preserve"> </w:t>
      </w:r>
      <w:r w:rsidRPr="00E53694">
        <w:rPr>
          <w:b/>
        </w:rPr>
        <w:t>cualquier autoridad</w:t>
      </w:r>
      <w:r w:rsidRPr="00E53694">
        <w:t xml:space="preserve">, entidad, órgano y organismo de los Poderes Ejecutivo, Legislativo y Judicial, órganos autónomos, partidos políticos, fideicomisos y fondos públicos, así como de cualquier persona física, moral o sindicato que </w:t>
      </w:r>
      <w:r w:rsidRPr="00E53694">
        <w:lastRenderedPageBreak/>
        <w:t xml:space="preserve">reciba y ejerza recursos públicos o realice actos de autoridad </w:t>
      </w:r>
      <w:r w:rsidRPr="00E53694">
        <w:rPr>
          <w:b/>
        </w:rPr>
        <w:t>en el ámbito federal, estatal y municipal, es pública</w:t>
      </w:r>
      <w:r w:rsidRPr="00E53694">
        <w:t xml:space="preserve"> y sólo podrá ser reservada temporalmente por razones de interés público y seguridad nacional, en los términos que fijen las leyes. En la interpretación de este derecho deberá prevalecer el principio de máxima publicidad. </w:t>
      </w:r>
      <w:r w:rsidRPr="00E53694">
        <w:rPr>
          <w:b/>
        </w:rPr>
        <w:t>Los sujetos obligados deberán documentar todo acto que derive del ejercicio de sus facultades, competencias o funciones</w:t>
      </w:r>
      <w:r w:rsidRPr="00E53694">
        <w:t>, la ley determinará los supuestos específicos bajo los cuales procederá la declaración de inexistencia de la información.</w:t>
      </w:r>
    </w:p>
    <w:p w14:paraId="5943A65E" w14:textId="77777777" w:rsidR="00A970D5" w:rsidRPr="00E53694" w:rsidRDefault="00A970D5" w:rsidP="006922F5">
      <w:pPr>
        <w:pStyle w:val="Fundamentos"/>
      </w:pPr>
      <w:r w:rsidRPr="00E53694">
        <w:t>II. La información que se refiere a la vida privada y los datos personales será protegida en los términos y con las excepciones que fijen las leyes.</w:t>
      </w:r>
    </w:p>
    <w:p w14:paraId="135241F6" w14:textId="77777777" w:rsidR="00A970D5" w:rsidRPr="00E53694" w:rsidRDefault="00A970D5" w:rsidP="006922F5">
      <w:pPr>
        <w:pStyle w:val="Fundamentos"/>
      </w:pPr>
      <w:r w:rsidRPr="00E53694">
        <w:t>III. Toda persona, sin necesidad de acreditar interés alguno o justificar su utilización, tendrá acceso gratuito a la información pública, a sus datos personales o a la rectificación de éstos.</w:t>
      </w:r>
    </w:p>
    <w:p w14:paraId="55B93DBA" w14:textId="77777777" w:rsidR="00A970D5" w:rsidRPr="00E53694" w:rsidRDefault="00A970D5" w:rsidP="006922F5">
      <w:pPr>
        <w:pStyle w:val="Fundamentos"/>
      </w:pPr>
      <w:r w:rsidRPr="00E53694">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E53694" w:rsidRDefault="00A970D5" w:rsidP="006922F5">
      <w:pPr>
        <w:pStyle w:val="Fundamentos"/>
      </w:pPr>
      <w:r w:rsidRPr="00E53694">
        <w:rPr>
          <w:b/>
        </w:rPr>
        <w:t>V. Los sujetos obligados deberán preservar sus documentos en archivos administrativos actualizados y publicarán, a través de los medios electrónicos disponibles</w:t>
      </w:r>
      <w:r w:rsidRPr="00E53694">
        <w:t xml:space="preserve">, </w:t>
      </w:r>
      <w:r w:rsidRPr="00E53694">
        <w:rPr>
          <w:b/>
        </w:rPr>
        <w:t xml:space="preserve">la información completa y actualizada sobre el ejercicio de los recursos públicos </w:t>
      </w:r>
      <w:r w:rsidRPr="00E53694">
        <w:t>y los indicadores que permitan rendir cuenta del cumplimiento de sus objetivos y de los resultados obtenidos.</w:t>
      </w:r>
    </w:p>
    <w:p w14:paraId="1989B44A" w14:textId="77777777" w:rsidR="00A970D5" w:rsidRPr="00E53694" w:rsidRDefault="00A970D5" w:rsidP="006922F5">
      <w:pPr>
        <w:pStyle w:val="Fundamentos"/>
      </w:pPr>
      <w:r w:rsidRPr="00E53694">
        <w:t>VI. Las leyes determinarán la manera en que los sujetos obligados deberán hacer pública la información relativa a los recursos públicos que entreguen a personas físicas o morales.</w:t>
      </w:r>
    </w:p>
    <w:p w14:paraId="52D64BCE" w14:textId="77777777" w:rsidR="00A970D5" w:rsidRPr="00E53694" w:rsidRDefault="00A970D5" w:rsidP="006922F5">
      <w:pPr>
        <w:pStyle w:val="Fundamentos"/>
      </w:pPr>
      <w:r w:rsidRPr="00E53694">
        <w:t>VII. La inobservancia a las disposiciones en materia de acceso a la información pública será sancionada en los términos que dispongan las leyes.</w:t>
      </w:r>
    </w:p>
    <w:p w14:paraId="0226FE46" w14:textId="77777777" w:rsidR="00A970D5" w:rsidRPr="00E53694" w:rsidRDefault="00A970D5" w:rsidP="006922F5">
      <w:pPr>
        <w:pStyle w:val="Fundamentos"/>
      </w:pPr>
      <w:r w:rsidRPr="00E53694">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E53694" w:rsidRDefault="00A970D5" w:rsidP="006922F5">
      <w:pPr>
        <w:pStyle w:val="Fundamentos"/>
      </w:pPr>
      <w:r w:rsidRPr="00E53694">
        <w:t>…</w:t>
      </w:r>
    </w:p>
    <w:p w14:paraId="5E8F2316" w14:textId="77777777" w:rsidR="00A970D5" w:rsidRPr="00E53694" w:rsidRDefault="00A970D5" w:rsidP="006922F5">
      <w:pPr>
        <w:pStyle w:val="Fundamentos"/>
      </w:pPr>
      <w:r w:rsidRPr="00E53694">
        <w:t>La ley establecerá aquella información que se considere reservada o confidencial.</w:t>
      </w:r>
    </w:p>
    <w:p w14:paraId="3441E2D4"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E53694" w:rsidRDefault="00A970D5" w:rsidP="006922F5">
      <w:pPr>
        <w:pStyle w:val="Fundamentos"/>
      </w:pPr>
      <w:r w:rsidRPr="00E53694">
        <w:rPr>
          <w:b/>
          <w:bCs/>
        </w:rPr>
        <w:t>Artículo 5.</w:t>
      </w:r>
      <w:r w:rsidRPr="00E53694">
        <w:t xml:space="preserve"> </w:t>
      </w:r>
      <w:r w:rsidR="0047369A" w:rsidRPr="00E53694">
        <w:t>(</w:t>
      </w:r>
      <w:r w:rsidRPr="00E53694">
        <w:t>…</w:t>
      </w:r>
      <w:r w:rsidR="0047369A" w:rsidRPr="00E53694">
        <w:t>)</w:t>
      </w:r>
      <w:r w:rsidRPr="00E53694">
        <w:t xml:space="preserve"> </w:t>
      </w:r>
    </w:p>
    <w:p w14:paraId="5956991C" w14:textId="77777777" w:rsidR="00A970D5" w:rsidRPr="00E53694" w:rsidRDefault="00A970D5" w:rsidP="006922F5">
      <w:pPr>
        <w:pStyle w:val="Fundamentos"/>
      </w:pPr>
      <w:r w:rsidRPr="00E53694">
        <w:lastRenderedPageBreak/>
        <w:t xml:space="preserve">El derecho a la información será garantizado por el Estado. La ley establecerá las previsiones que permitan asegurar la protección, el respeto y la difusión de este derecho. </w:t>
      </w:r>
    </w:p>
    <w:p w14:paraId="6A3CBAB6" w14:textId="77777777" w:rsidR="00A970D5" w:rsidRPr="00E53694" w:rsidRDefault="00A970D5" w:rsidP="006922F5">
      <w:pPr>
        <w:pStyle w:val="Fundamentos"/>
      </w:pPr>
    </w:p>
    <w:p w14:paraId="36D3B567" w14:textId="77777777" w:rsidR="00A970D5" w:rsidRPr="00E53694" w:rsidRDefault="00A970D5" w:rsidP="006922F5">
      <w:pPr>
        <w:pStyle w:val="Fundamentos"/>
      </w:pPr>
      <w:r w:rsidRPr="00E53694">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E53694" w:rsidRDefault="00A970D5" w:rsidP="006922F5">
      <w:pPr>
        <w:pStyle w:val="Fundamentos"/>
      </w:pPr>
    </w:p>
    <w:p w14:paraId="0BDF2E36" w14:textId="77777777" w:rsidR="00A970D5" w:rsidRPr="00E53694" w:rsidRDefault="00A970D5" w:rsidP="006922F5">
      <w:pPr>
        <w:pStyle w:val="Fundamentos"/>
      </w:pPr>
      <w:r w:rsidRPr="00E53694">
        <w:t>Este derecho se regirá por los principios y bases siguientes:</w:t>
      </w:r>
    </w:p>
    <w:p w14:paraId="0BFC86CA" w14:textId="77777777" w:rsidR="00A970D5" w:rsidRPr="00E53694" w:rsidRDefault="00A970D5" w:rsidP="006922F5">
      <w:pPr>
        <w:pStyle w:val="Fundamentos"/>
      </w:pPr>
    </w:p>
    <w:p w14:paraId="71CBBD8F" w14:textId="77777777" w:rsidR="00A970D5" w:rsidRPr="00E53694" w:rsidRDefault="00A970D5" w:rsidP="006922F5">
      <w:pPr>
        <w:pStyle w:val="Fundamentos"/>
      </w:pPr>
      <w:r w:rsidRPr="00E53694">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E53694" w:rsidRDefault="00A970D5" w:rsidP="006922F5">
      <w:pPr>
        <w:pStyle w:val="Fundamentos"/>
      </w:pPr>
      <w:r w:rsidRPr="00E53694">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E53694" w:rsidRDefault="00A970D5" w:rsidP="006922F5">
      <w:pPr>
        <w:pStyle w:val="Fundamentos"/>
      </w:pPr>
      <w:r w:rsidRPr="00E53694">
        <w:t>III. Toda persona, sin necesidad de acreditar interés alguno o justificar su utilización, tendrá acceso gratuito a la información pública, a sus datos personales o a la rectificación de éstos.</w:t>
      </w:r>
    </w:p>
    <w:p w14:paraId="682D2B34" w14:textId="77777777" w:rsidR="00A970D5" w:rsidRPr="00E53694" w:rsidRDefault="00A970D5" w:rsidP="006922F5">
      <w:pPr>
        <w:pStyle w:val="Fundamentos"/>
      </w:pPr>
      <w:r w:rsidRPr="00E53694">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E53694" w:rsidRDefault="00A970D5" w:rsidP="006922F5">
      <w:pPr>
        <w:pStyle w:val="Fundamentos"/>
      </w:pPr>
      <w:r w:rsidRPr="00E53694">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E53694" w:rsidRDefault="00A970D5" w:rsidP="006922F5">
      <w:pPr>
        <w:pStyle w:val="Fundamentos"/>
      </w:pPr>
      <w:r w:rsidRPr="00E53694">
        <w:t xml:space="preserve">VI. Los sujetos obligados deberán preservar sus documentos en archivos administrativos actualizados y publicarán, a través de los medios electrónicos disponibles, la información </w:t>
      </w:r>
      <w:r w:rsidRPr="00E53694">
        <w:lastRenderedPageBreak/>
        <w:t>completa y actualizada sobre el ejercicio de los recursos públicos y los indicadores que permitan rendir cuenta del cumplimiento de sus objetivos y los resultados obtenidos.</w:t>
      </w:r>
    </w:p>
    <w:p w14:paraId="74C559E6" w14:textId="77777777" w:rsidR="00A970D5" w:rsidRPr="00E53694" w:rsidRDefault="00A970D5" w:rsidP="006922F5">
      <w:pPr>
        <w:pStyle w:val="Fundamentos"/>
      </w:pPr>
      <w:r w:rsidRPr="00E53694">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E53694" w:rsidRDefault="00C82268" w:rsidP="006922F5">
      <w:pPr>
        <w:rPr>
          <w:rFonts w:eastAsia="Palatino Linotype" w:cs="Palatino Linotype"/>
          <w:szCs w:val="24"/>
        </w:rPr>
      </w:pPr>
      <w:r w:rsidRPr="00E53694">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E53694">
        <w:rPr>
          <w:rFonts w:eastAsia="Palatino Linotype" w:cs="Palatino Linotype"/>
          <w:szCs w:val="24"/>
        </w:rPr>
        <w:t>I</w:t>
      </w:r>
      <w:r w:rsidR="00BA7C85" w:rsidRPr="00E53694">
        <w:rPr>
          <w:rFonts w:eastAsia="Palatino Linotype" w:cs="Palatino Linotype"/>
          <w:szCs w:val="24"/>
        </w:rPr>
        <w:t>V</w:t>
      </w:r>
      <w:r w:rsidRPr="00E53694">
        <w:rPr>
          <w:rFonts w:eastAsia="Palatino Linotype" w:cs="Palatino Linotype"/>
          <w:szCs w:val="24"/>
        </w:rPr>
        <w:t>, lo siguiente:</w:t>
      </w:r>
    </w:p>
    <w:p w14:paraId="34BB49C7" w14:textId="77777777" w:rsidR="00C82268" w:rsidRPr="00E53694" w:rsidRDefault="00C82268" w:rsidP="006922F5">
      <w:pPr>
        <w:rPr>
          <w:rFonts w:eastAsia="Palatino Linotype" w:cs="Palatino Linotype"/>
          <w:szCs w:val="24"/>
        </w:rPr>
      </w:pPr>
    </w:p>
    <w:p w14:paraId="100A2479" w14:textId="77777777" w:rsidR="00C82268" w:rsidRPr="00E53694" w:rsidRDefault="00C82268" w:rsidP="006922F5">
      <w:pPr>
        <w:pStyle w:val="Fundamentos"/>
      </w:pPr>
      <w:r w:rsidRPr="00E53694">
        <w:rPr>
          <w:b/>
        </w:rPr>
        <w:t>Artículo 23.</w:t>
      </w:r>
      <w:r w:rsidRPr="00E53694">
        <w:t xml:space="preserve"> Son sujetos obligados a transparentar y permitir el acceso a su información y proteger los datos personales que obren en su poder:</w:t>
      </w:r>
    </w:p>
    <w:p w14:paraId="7025ECE0" w14:textId="0F47465B" w:rsidR="00C82268" w:rsidRPr="00E53694" w:rsidRDefault="001530E5" w:rsidP="006922F5">
      <w:pPr>
        <w:pStyle w:val="Fundamentos"/>
      </w:pPr>
      <w:r w:rsidRPr="00E53694">
        <w:t>(…)</w:t>
      </w:r>
    </w:p>
    <w:p w14:paraId="79FD530B" w14:textId="0ADEEDB2" w:rsidR="00C82268" w:rsidRPr="00E53694" w:rsidRDefault="00C82268" w:rsidP="006922F5">
      <w:pPr>
        <w:pStyle w:val="Fundamentos"/>
      </w:pPr>
      <w:r w:rsidRPr="00E53694">
        <w:rPr>
          <w:b/>
          <w:bCs/>
        </w:rPr>
        <w:t>I</w:t>
      </w:r>
      <w:r w:rsidR="00BA7C85" w:rsidRPr="00E53694">
        <w:rPr>
          <w:b/>
          <w:bCs/>
        </w:rPr>
        <w:t>V</w:t>
      </w:r>
      <w:r w:rsidRPr="00E53694">
        <w:rPr>
          <w:b/>
          <w:bCs/>
        </w:rPr>
        <w:t>.</w:t>
      </w:r>
      <w:r w:rsidR="00BA7C85" w:rsidRPr="00E53694">
        <w:rPr>
          <w:b/>
          <w:bCs/>
        </w:rPr>
        <w:t xml:space="preserve"> </w:t>
      </w:r>
      <w:r w:rsidR="00BA7C85" w:rsidRPr="00E53694">
        <w:t>Los</w:t>
      </w:r>
      <w:r w:rsidR="001530E5" w:rsidRPr="00E53694">
        <w:t xml:space="preserve"> </w:t>
      </w:r>
      <w:r w:rsidR="00BA7C85" w:rsidRPr="00E53694">
        <w:t>ayuntamientos y las dependencias, organismos, órganos y entidades de la administración municipal</w:t>
      </w:r>
      <w:r w:rsidR="00754A30" w:rsidRPr="00E53694">
        <w:t>;</w:t>
      </w:r>
    </w:p>
    <w:p w14:paraId="0667CF00" w14:textId="77777777" w:rsidR="00C82268" w:rsidRPr="00E53694" w:rsidRDefault="00C82268" w:rsidP="006922F5">
      <w:pPr>
        <w:pStyle w:val="Fundamentos"/>
      </w:pPr>
      <w:r w:rsidRPr="00E53694">
        <w:t>(…)</w:t>
      </w:r>
    </w:p>
    <w:p w14:paraId="458B21C5" w14:textId="77777777" w:rsidR="00A970D5" w:rsidRPr="00E53694"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E53694" w:rsidRDefault="00A970D5" w:rsidP="0048668F">
      <w:r w:rsidRPr="00E53694">
        <w:t xml:space="preserve">Es así </w:t>
      </w:r>
      <w:r w:rsidR="00D574A2" w:rsidRPr="00E53694">
        <w:t>como</w:t>
      </w:r>
      <w:r w:rsidRPr="00E53694">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E53694" w:rsidRDefault="00A970D5" w:rsidP="0048668F"/>
    <w:p w14:paraId="252DBC76" w14:textId="77777777" w:rsidR="00C26451" w:rsidRPr="00E53694" w:rsidRDefault="00C26451" w:rsidP="00C26451">
      <w:pPr>
        <w:pBdr>
          <w:top w:val="nil"/>
          <w:left w:val="nil"/>
          <w:bottom w:val="nil"/>
          <w:right w:val="nil"/>
          <w:between w:val="nil"/>
        </w:pBdr>
        <w:contextualSpacing/>
        <w:rPr>
          <w:szCs w:val="24"/>
        </w:rPr>
      </w:pPr>
      <w:r w:rsidRPr="00E53694">
        <w:rPr>
          <w:rFonts w:eastAsia="Palatino Linotype" w:cs="Palatino Linotype"/>
          <w:color w:val="000000"/>
          <w:szCs w:val="24"/>
        </w:rPr>
        <w:t xml:space="preserve">En ese sentido, también </w:t>
      </w:r>
      <w:r w:rsidRPr="00E53694">
        <w:rPr>
          <w:bCs/>
          <w:szCs w:val="24"/>
        </w:rPr>
        <w:t xml:space="preserve">es importante señalar que </w:t>
      </w:r>
      <w:r w:rsidRPr="00E53694">
        <w:rPr>
          <w:szCs w:val="24"/>
        </w:rPr>
        <w:t>el artículo 4, párrafo segundo, de la Ley de Transparencia y Acceso a la Información Pública del Estado de México y Municipios, dispone:</w:t>
      </w:r>
    </w:p>
    <w:p w14:paraId="66A3C26C" w14:textId="77777777" w:rsidR="00C26451" w:rsidRPr="00E53694" w:rsidRDefault="00C26451" w:rsidP="00C26451">
      <w:pPr>
        <w:pBdr>
          <w:top w:val="nil"/>
          <w:left w:val="nil"/>
          <w:bottom w:val="nil"/>
          <w:right w:val="nil"/>
          <w:between w:val="nil"/>
        </w:pBdr>
        <w:contextualSpacing/>
        <w:rPr>
          <w:szCs w:val="24"/>
        </w:rPr>
      </w:pPr>
    </w:p>
    <w:p w14:paraId="336694FB" w14:textId="77777777" w:rsidR="00C26451" w:rsidRPr="00E53694" w:rsidRDefault="00C26451" w:rsidP="00C26451">
      <w:pPr>
        <w:pBdr>
          <w:top w:val="nil"/>
          <w:left w:val="nil"/>
          <w:bottom w:val="nil"/>
          <w:right w:val="nil"/>
          <w:between w:val="nil"/>
        </w:pBdr>
        <w:spacing w:line="240" w:lineRule="auto"/>
        <w:ind w:left="567" w:right="616"/>
        <w:contextualSpacing/>
        <w:rPr>
          <w:i/>
          <w:sz w:val="22"/>
        </w:rPr>
      </w:pPr>
      <w:r w:rsidRPr="00E53694">
        <w:rPr>
          <w:b/>
          <w:i/>
          <w:sz w:val="22"/>
        </w:rPr>
        <w:t>Artículo 4. (</w:t>
      </w:r>
      <w:r w:rsidRPr="00E53694">
        <w:rPr>
          <w:i/>
          <w:sz w:val="22"/>
        </w:rPr>
        <w:t>…)</w:t>
      </w:r>
    </w:p>
    <w:p w14:paraId="016E42AB" w14:textId="77777777" w:rsidR="00C26451" w:rsidRPr="00E53694" w:rsidRDefault="00C26451" w:rsidP="00C26451">
      <w:pPr>
        <w:pBdr>
          <w:top w:val="nil"/>
          <w:left w:val="nil"/>
          <w:bottom w:val="nil"/>
          <w:right w:val="nil"/>
          <w:between w:val="nil"/>
        </w:pBdr>
        <w:spacing w:line="240" w:lineRule="auto"/>
        <w:ind w:left="567" w:right="616"/>
        <w:contextualSpacing/>
        <w:rPr>
          <w:i/>
          <w:sz w:val="22"/>
        </w:rPr>
      </w:pPr>
      <w:r w:rsidRPr="00E53694">
        <w:rPr>
          <w:i/>
          <w:sz w:val="22"/>
        </w:rPr>
        <w:t xml:space="preserve"> </w:t>
      </w:r>
    </w:p>
    <w:p w14:paraId="7E0059A8" w14:textId="77777777" w:rsidR="00C26451" w:rsidRPr="00E53694" w:rsidRDefault="00C26451" w:rsidP="00C26451">
      <w:pPr>
        <w:pBdr>
          <w:top w:val="nil"/>
          <w:left w:val="nil"/>
          <w:bottom w:val="nil"/>
          <w:right w:val="nil"/>
          <w:between w:val="nil"/>
        </w:pBdr>
        <w:spacing w:line="240" w:lineRule="auto"/>
        <w:ind w:left="567" w:right="616"/>
        <w:contextualSpacing/>
        <w:rPr>
          <w:i/>
          <w:sz w:val="22"/>
        </w:rPr>
      </w:pPr>
      <w:r w:rsidRPr="00E53694">
        <w:rPr>
          <w:i/>
          <w:sz w:val="22"/>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E7C836E" w14:textId="77777777" w:rsidR="00C26451" w:rsidRPr="00E53694" w:rsidRDefault="00C26451" w:rsidP="00C26451">
      <w:pPr>
        <w:pBdr>
          <w:top w:val="nil"/>
          <w:left w:val="nil"/>
          <w:bottom w:val="nil"/>
          <w:right w:val="nil"/>
          <w:between w:val="nil"/>
        </w:pBdr>
        <w:spacing w:line="240" w:lineRule="auto"/>
        <w:ind w:left="567" w:right="616"/>
        <w:contextualSpacing/>
        <w:rPr>
          <w:i/>
          <w:sz w:val="22"/>
        </w:rPr>
      </w:pPr>
    </w:p>
    <w:p w14:paraId="39CB1304" w14:textId="77777777" w:rsidR="00C26451" w:rsidRPr="00E53694" w:rsidRDefault="00C26451" w:rsidP="00C26451">
      <w:pPr>
        <w:pBdr>
          <w:top w:val="nil"/>
          <w:left w:val="nil"/>
          <w:bottom w:val="nil"/>
          <w:right w:val="nil"/>
          <w:between w:val="nil"/>
        </w:pBdr>
        <w:spacing w:line="240" w:lineRule="auto"/>
        <w:ind w:left="567" w:right="616"/>
        <w:contextualSpacing/>
        <w:rPr>
          <w:i/>
          <w:sz w:val="22"/>
        </w:rPr>
      </w:pPr>
      <w:r w:rsidRPr="00E53694">
        <w:rPr>
          <w:i/>
          <w:sz w:val="22"/>
        </w:rPr>
        <w:t>Solo podrá ser clasificada excepcionalmente como reservada temporalmente por razones de interés público, en los términos de las causas legítimas y estrictamente necesarias previstas por esta Ley.</w:t>
      </w:r>
    </w:p>
    <w:p w14:paraId="3EA54443" w14:textId="77777777" w:rsidR="00C26451" w:rsidRPr="00E53694" w:rsidRDefault="00C26451" w:rsidP="00C26451">
      <w:pPr>
        <w:pBdr>
          <w:top w:val="nil"/>
          <w:left w:val="nil"/>
          <w:bottom w:val="nil"/>
          <w:right w:val="nil"/>
          <w:between w:val="nil"/>
        </w:pBdr>
        <w:contextualSpacing/>
        <w:rPr>
          <w:szCs w:val="24"/>
        </w:rPr>
      </w:pPr>
    </w:p>
    <w:p w14:paraId="6538A6F0" w14:textId="77777777" w:rsidR="00C26451" w:rsidRPr="00E53694" w:rsidRDefault="00C26451" w:rsidP="00C26451">
      <w:pPr>
        <w:rPr>
          <w:rFonts w:cs="Arial"/>
          <w:i/>
        </w:rPr>
      </w:pPr>
      <w:r w:rsidRPr="00E53694">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96934E8" w14:textId="77777777" w:rsidR="00C26451" w:rsidRPr="00E53694" w:rsidRDefault="00C26451" w:rsidP="00C26451">
      <w:pPr>
        <w:rPr>
          <w:rFonts w:cs="Arial"/>
          <w:iCs/>
        </w:rPr>
      </w:pPr>
    </w:p>
    <w:p w14:paraId="03233557" w14:textId="77777777" w:rsidR="00C26451" w:rsidRPr="00E53694" w:rsidRDefault="00C26451" w:rsidP="00C26451">
      <w:pPr>
        <w:rPr>
          <w:rFonts w:cs="Arial"/>
          <w:color w:val="000000" w:themeColor="text1"/>
        </w:rPr>
      </w:pPr>
    </w:p>
    <w:p w14:paraId="78C1F636" w14:textId="77777777" w:rsidR="00C26451" w:rsidRPr="00E53694" w:rsidRDefault="00C26451" w:rsidP="00C26451">
      <w:pPr>
        <w:rPr>
          <w:rFonts w:cs="Arial"/>
          <w:color w:val="000000" w:themeColor="text1"/>
        </w:rPr>
      </w:pPr>
      <w:r w:rsidRPr="00E53694">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E53694">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53694">
        <w:rPr>
          <w:rFonts w:cs="Arial"/>
          <w:color w:val="000000" w:themeColor="text1"/>
        </w:rPr>
        <w:t xml:space="preserve">; los que, </w:t>
      </w:r>
      <w:r w:rsidRPr="00E53694">
        <w:rPr>
          <w:rFonts w:cs="Arial"/>
        </w:rPr>
        <w:t>podrán estar en cualquier medio, sea escrito, impreso, sonoro, visual, electrónico, informático u holográfico</w:t>
      </w:r>
      <w:r w:rsidRPr="00E53694">
        <w:rPr>
          <w:rFonts w:cs="Arial"/>
          <w:color w:val="000000" w:themeColor="text1"/>
        </w:rPr>
        <w:t xml:space="preserve">, de conformidad con el artículo 3, fracción XI, de la Ley de la materia, el cual dispone lo siguiente: </w:t>
      </w:r>
    </w:p>
    <w:p w14:paraId="440F6AE2" w14:textId="77777777" w:rsidR="00C26451" w:rsidRPr="00E53694" w:rsidRDefault="00C26451" w:rsidP="00C26451">
      <w:pPr>
        <w:pBdr>
          <w:top w:val="nil"/>
          <w:left w:val="nil"/>
          <w:bottom w:val="nil"/>
          <w:right w:val="nil"/>
          <w:between w:val="nil"/>
        </w:pBdr>
        <w:contextualSpacing/>
        <w:rPr>
          <w:szCs w:val="24"/>
        </w:rPr>
      </w:pPr>
    </w:p>
    <w:p w14:paraId="1E8434D9" w14:textId="77777777" w:rsidR="00C26451" w:rsidRPr="00E53694" w:rsidRDefault="00C26451" w:rsidP="00C26451">
      <w:pPr>
        <w:spacing w:line="240" w:lineRule="auto"/>
        <w:ind w:left="567" w:right="567"/>
        <w:rPr>
          <w:rFonts w:cs="Arial"/>
          <w:i/>
          <w:color w:val="000000"/>
          <w:sz w:val="22"/>
        </w:rPr>
      </w:pPr>
      <w:r w:rsidRPr="00E53694">
        <w:rPr>
          <w:rFonts w:cs="Arial"/>
          <w:b/>
          <w:i/>
          <w:color w:val="000000"/>
          <w:sz w:val="22"/>
        </w:rPr>
        <w:t xml:space="preserve">Artículo 3. </w:t>
      </w:r>
      <w:r w:rsidRPr="00E53694">
        <w:rPr>
          <w:rFonts w:cs="Arial"/>
          <w:i/>
          <w:color w:val="000000"/>
          <w:sz w:val="22"/>
        </w:rPr>
        <w:t>Para los efectos de la presente Ley se entenderá por:</w:t>
      </w:r>
    </w:p>
    <w:p w14:paraId="50EC2D04" w14:textId="77777777" w:rsidR="00C26451" w:rsidRPr="00E53694" w:rsidRDefault="00C26451" w:rsidP="00C26451">
      <w:pPr>
        <w:spacing w:line="240" w:lineRule="auto"/>
        <w:ind w:left="567" w:right="567"/>
        <w:rPr>
          <w:rFonts w:cs="Arial"/>
          <w:i/>
          <w:color w:val="000000"/>
          <w:sz w:val="22"/>
        </w:rPr>
      </w:pPr>
      <w:r w:rsidRPr="00E53694">
        <w:rPr>
          <w:rFonts w:cs="Arial"/>
          <w:i/>
          <w:color w:val="000000"/>
          <w:sz w:val="22"/>
        </w:rPr>
        <w:t>(…)</w:t>
      </w:r>
    </w:p>
    <w:p w14:paraId="0F87D789" w14:textId="77777777" w:rsidR="00C26451" w:rsidRPr="00E53694" w:rsidRDefault="00C26451" w:rsidP="00C26451">
      <w:pPr>
        <w:spacing w:line="240" w:lineRule="auto"/>
        <w:ind w:left="567" w:right="567"/>
        <w:rPr>
          <w:rFonts w:cs="Arial"/>
          <w:i/>
          <w:color w:val="000000"/>
          <w:sz w:val="22"/>
        </w:rPr>
      </w:pPr>
      <w:r w:rsidRPr="00E53694">
        <w:rPr>
          <w:rFonts w:cs="Arial"/>
          <w:b/>
          <w:i/>
          <w:color w:val="000000"/>
          <w:sz w:val="22"/>
        </w:rPr>
        <w:lastRenderedPageBreak/>
        <w:t>XI. Documento:</w:t>
      </w:r>
      <w:r w:rsidRPr="00E53694">
        <w:rPr>
          <w:rFonts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53694">
        <w:rPr>
          <w:rFonts w:cs="Arial"/>
          <w:b/>
          <w:i/>
          <w:color w:val="000000"/>
          <w:sz w:val="22"/>
          <w:u w:val="single"/>
        </w:rPr>
        <w:t>Los documentos podrán estar en cualquier medio, sea escrito, impreso, sonoro, visual, electrónico, informático u holográfico</w:t>
      </w:r>
      <w:r w:rsidRPr="00E53694">
        <w:rPr>
          <w:rFonts w:cs="Arial"/>
          <w:i/>
          <w:color w:val="000000"/>
          <w:sz w:val="22"/>
        </w:rPr>
        <w:t>;</w:t>
      </w:r>
    </w:p>
    <w:p w14:paraId="69645784" w14:textId="77777777" w:rsidR="00C26451" w:rsidRPr="00E53694" w:rsidRDefault="00C26451" w:rsidP="00C26451">
      <w:pPr>
        <w:spacing w:line="240" w:lineRule="auto"/>
        <w:ind w:left="567" w:right="567"/>
        <w:rPr>
          <w:rFonts w:cs="Arial"/>
          <w:i/>
          <w:color w:val="000000"/>
          <w:sz w:val="22"/>
        </w:rPr>
      </w:pPr>
      <w:r w:rsidRPr="00E53694">
        <w:rPr>
          <w:rFonts w:cs="Arial"/>
          <w:i/>
          <w:color w:val="000000"/>
          <w:sz w:val="22"/>
        </w:rPr>
        <w:t>(…)</w:t>
      </w:r>
    </w:p>
    <w:p w14:paraId="497E5E5C" w14:textId="77777777" w:rsidR="00C26451" w:rsidRPr="00E53694" w:rsidRDefault="00C26451" w:rsidP="00C26451">
      <w:pPr>
        <w:pBdr>
          <w:top w:val="nil"/>
          <w:left w:val="nil"/>
          <w:bottom w:val="nil"/>
          <w:right w:val="nil"/>
          <w:between w:val="nil"/>
        </w:pBdr>
        <w:contextualSpacing/>
        <w:rPr>
          <w:szCs w:val="24"/>
        </w:rPr>
      </w:pPr>
    </w:p>
    <w:p w14:paraId="624B35E1" w14:textId="70EDD05D" w:rsidR="00C26451" w:rsidRPr="00E53694" w:rsidRDefault="00C26451" w:rsidP="0048668F">
      <w:r w:rsidRPr="00E53694">
        <w:t>Ahora bien, se considera conveniente abordar cada uno de los puntos requeridos por el hoy Recurrente con la finalidad de emitir una resolución apegada a derecho.</w:t>
      </w:r>
    </w:p>
    <w:p w14:paraId="44544BD4" w14:textId="77777777" w:rsidR="00C26451" w:rsidRPr="00E53694" w:rsidRDefault="00C26451" w:rsidP="0048668F"/>
    <w:p w14:paraId="6E5F8382" w14:textId="208A24EE" w:rsidR="00C26451" w:rsidRPr="00E53694" w:rsidRDefault="00C26451" w:rsidP="0048668F">
      <w:r w:rsidRPr="00E53694">
        <w:t xml:space="preserve">En ese tenor, respecto del punto 1 de la solicitud, en el que se requiere que se le entregue </w:t>
      </w:r>
      <w:r w:rsidR="00B74D84" w:rsidRPr="00E53694">
        <w:t xml:space="preserve">el número total de </w:t>
      </w:r>
      <w:r w:rsidR="00623939" w:rsidRPr="00E53694">
        <w:t>los elementos de seguridad desglosado, tales como policías, bomberos y paramédicos.</w:t>
      </w:r>
    </w:p>
    <w:p w14:paraId="54036017" w14:textId="77777777" w:rsidR="00623939" w:rsidRPr="00E53694" w:rsidRDefault="00623939" w:rsidP="0048668F"/>
    <w:p w14:paraId="32D34067" w14:textId="0A680B35" w:rsidR="00623939" w:rsidRPr="00E53694" w:rsidRDefault="00623939" w:rsidP="00623939">
      <w:pPr>
        <w:rPr>
          <w:rFonts w:cs="Arial"/>
          <w:szCs w:val="24"/>
        </w:rPr>
      </w:pPr>
      <w:r w:rsidRPr="00E53694">
        <w:t>Al respecto, se tiene que el Recurrente solicitó que se le hiciera entrega de un documento que el Sujeto Obligado generara ex profeso para atender su requerimiento, por lo que es necesario traer a colación lo dispuesto p</w:t>
      </w:r>
      <w:r w:rsidRPr="00E53694">
        <w:rPr>
          <w:rFonts w:cs="Arial"/>
        </w:rPr>
        <w:t xml:space="preserve">or el artículo 12, de la Ley de la materia, en el que se establece que los sujetos obligados sólo proporcionarán la información que generen, recopilen, administren, manejen, procesen, archiven o conserven, y sólo facilitarán las que se les requiera y que obre en sus archivos, en el estado en el que se encuentre, sin la obligación de generarla, resumirla, efectuar cálculos o practicar investigaciones; tal y como se señala a continuación: </w:t>
      </w:r>
    </w:p>
    <w:p w14:paraId="6D5A6E21" w14:textId="77777777" w:rsidR="00623939" w:rsidRPr="00E53694" w:rsidRDefault="00623939" w:rsidP="00623939">
      <w:pPr>
        <w:spacing w:line="259" w:lineRule="auto"/>
        <w:ind w:right="567"/>
        <w:rPr>
          <w:rFonts w:cs="Arial"/>
          <w:szCs w:val="24"/>
        </w:rPr>
      </w:pPr>
    </w:p>
    <w:p w14:paraId="413FE977" w14:textId="77777777" w:rsidR="00623939" w:rsidRPr="00E53694" w:rsidRDefault="00623939" w:rsidP="00623939">
      <w:pPr>
        <w:spacing w:line="240" w:lineRule="auto"/>
        <w:ind w:left="567" w:right="567"/>
        <w:rPr>
          <w:rFonts w:cs="Arial"/>
          <w:i/>
          <w:color w:val="000000"/>
          <w:sz w:val="22"/>
        </w:rPr>
      </w:pPr>
      <w:r w:rsidRPr="00E53694">
        <w:rPr>
          <w:rFonts w:cs="Arial"/>
          <w:b/>
          <w:i/>
          <w:color w:val="000000"/>
          <w:sz w:val="22"/>
        </w:rPr>
        <w:t>Artículo 12.</w:t>
      </w:r>
      <w:r w:rsidRPr="00E53694">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4BEC4F46" w14:textId="77777777" w:rsidR="00623939" w:rsidRPr="00E53694" w:rsidRDefault="00623939" w:rsidP="00623939">
      <w:pPr>
        <w:spacing w:line="240" w:lineRule="auto"/>
        <w:ind w:left="567" w:right="567"/>
        <w:rPr>
          <w:rFonts w:cs="Arial"/>
          <w:i/>
          <w:sz w:val="22"/>
        </w:rPr>
      </w:pPr>
    </w:p>
    <w:p w14:paraId="43AA107D" w14:textId="77777777" w:rsidR="00623939" w:rsidRPr="00E53694" w:rsidRDefault="00623939" w:rsidP="00623939">
      <w:pPr>
        <w:spacing w:line="240" w:lineRule="auto"/>
        <w:ind w:left="567" w:right="567"/>
        <w:rPr>
          <w:rFonts w:cs="Arial"/>
          <w:i/>
          <w:sz w:val="22"/>
        </w:rPr>
      </w:pPr>
      <w:r w:rsidRPr="00E53694">
        <w:rPr>
          <w:rFonts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E476000" w14:textId="77777777" w:rsidR="00623939" w:rsidRPr="00E53694" w:rsidRDefault="00623939" w:rsidP="00623939">
      <w:pPr>
        <w:rPr>
          <w:rFonts w:cs="Arial"/>
          <w:color w:val="000000"/>
        </w:rPr>
      </w:pPr>
    </w:p>
    <w:p w14:paraId="433AE2FA" w14:textId="0C9EC47E" w:rsidR="00623939" w:rsidRPr="00E53694" w:rsidRDefault="00623939" w:rsidP="00623939">
      <w:pPr>
        <w:rPr>
          <w:rFonts w:cs="Arial"/>
          <w:color w:val="000000"/>
        </w:rPr>
      </w:pPr>
      <w:r w:rsidRPr="00E53694">
        <w:rPr>
          <w:rFonts w:cs="Arial"/>
          <w:color w:val="000000"/>
        </w:rPr>
        <w:t>De lo anterior, el derecho de acceso a la información pública se satisface en aquellos casos en que se entregue el soporte documental en que conste la información pública, toda vez que, los Sujetos Obligados</w:t>
      </w:r>
      <w:r w:rsidRPr="00E53694">
        <w:rPr>
          <w:rFonts w:cs="Arial"/>
          <w:b/>
          <w:color w:val="000000"/>
        </w:rPr>
        <w:t xml:space="preserve"> </w:t>
      </w:r>
      <w:r w:rsidRPr="00E53694">
        <w:rPr>
          <w:rFonts w:cs="Arial"/>
          <w:color w:val="000000"/>
        </w:rPr>
        <w:t xml:space="preserve">no tienen el deber de generar, poseer o administrar la información pública con el grado de detalle solicitado; esto es, que no tienen el deber de generar un documento </w:t>
      </w:r>
      <w:r w:rsidRPr="00E53694">
        <w:rPr>
          <w:rFonts w:cs="Arial"/>
          <w:i/>
          <w:color w:val="000000"/>
        </w:rPr>
        <w:t>ad hoc</w:t>
      </w:r>
      <w:r w:rsidRPr="00E53694">
        <w:rPr>
          <w:rFonts w:cs="Arial"/>
          <w:color w:val="000000"/>
        </w:rPr>
        <w:t>, para satisfacer el derecho de acceso a la información pública.</w:t>
      </w:r>
    </w:p>
    <w:p w14:paraId="452257C7" w14:textId="77777777" w:rsidR="00623939" w:rsidRPr="00E53694" w:rsidRDefault="00623939" w:rsidP="00623939">
      <w:pPr>
        <w:rPr>
          <w:rFonts w:cs="Arial"/>
          <w:color w:val="000000"/>
        </w:rPr>
      </w:pPr>
    </w:p>
    <w:p w14:paraId="518E47A8" w14:textId="77777777" w:rsidR="00623939" w:rsidRPr="00E53694" w:rsidRDefault="00623939" w:rsidP="00623939">
      <w:pPr>
        <w:rPr>
          <w:b/>
          <w:bCs/>
          <w:color w:val="000000"/>
        </w:rPr>
      </w:pPr>
      <w:r w:rsidRPr="00E53694">
        <w:rPr>
          <w:rFonts w:cs="Arial"/>
          <w:color w:val="000000"/>
        </w:rPr>
        <w:t xml:space="preserve">Como apoyo a lo anterior, es aplicable el Criterio 03-17, emitido por </w:t>
      </w:r>
      <w:r w:rsidRPr="00E53694">
        <w:rPr>
          <w:rFonts w:eastAsia="Arial Unicode MS" w:cs="Arial"/>
          <w:color w:val="000000"/>
        </w:rPr>
        <w:t>el Instituto Nacional de Transparencia, Acceso a la Información y Protección de Datos Personales,</w:t>
      </w:r>
      <w:r w:rsidRPr="00E53694">
        <w:rPr>
          <w:bCs/>
          <w:color w:val="000000"/>
        </w:rPr>
        <w:t xml:space="preserve"> que dice:</w:t>
      </w:r>
      <w:r w:rsidRPr="00E53694">
        <w:rPr>
          <w:b/>
          <w:bCs/>
          <w:color w:val="000000"/>
        </w:rPr>
        <w:t xml:space="preserve"> </w:t>
      </w:r>
    </w:p>
    <w:p w14:paraId="5A5FD41E" w14:textId="77777777" w:rsidR="00623939" w:rsidRPr="00E53694" w:rsidRDefault="00623939" w:rsidP="00623939">
      <w:pPr>
        <w:jc w:val="left"/>
        <w:rPr>
          <w:rFonts w:eastAsia="Times New Roman" w:cs="Times New Roman"/>
          <w:szCs w:val="24"/>
          <w:lang w:eastAsia="es-ES"/>
        </w:rPr>
      </w:pPr>
    </w:p>
    <w:p w14:paraId="295965CE" w14:textId="77777777" w:rsidR="00623939" w:rsidRPr="00E53694" w:rsidRDefault="00623939" w:rsidP="00623939">
      <w:pPr>
        <w:spacing w:line="259" w:lineRule="auto"/>
        <w:ind w:left="851" w:right="850"/>
        <w:rPr>
          <w:rFonts w:cs="Arial"/>
          <w:color w:val="000000"/>
          <w:sz w:val="2"/>
        </w:rPr>
      </w:pPr>
    </w:p>
    <w:p w14:paraId="65A360AE" w14:textId="77777777" w:rsidR="00623939" w:rsidRPr="00E53694" w:rsidRDefault="00623939" w:rsidP="00623939">
      <w:pPr>
        <w:spacing w:line="240" w:lineRule="auto"/>
        <w:ind w:left="567" w:right="567"/>
        <w:rPr>
          <w:rFonts w:cs="Arial"/>
          <w:i/>
          <w:color w:val="000000"/>
          <w:sz w:val="22"/>
        </w:rPr>
      </w:pPr>
      <w:r w:rsidRPr="00E53694">
        <w:rPr>
          <w:rFonts w:cs="Arial"/>
          <w:b/>
          <w:i/>
          <w:color w:val="000000"/>
          <w:sz w:val="22"/>
        </w:rPr>
        <w:t>No existe obligación de elaborar documentos ad hoc para atender las solicitudes de acceso a la información.</w:t>
      </w:r>
      <w:r w:rsidRPr="00E53694">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7C0F30A" w14:textId="77777777" w:rsidR="00623939" w:rsidRPr="00E53694" w:rsidRDefault="00623939" w:rsidP="00623939">
      <w:pPr>
        <w:spacing w:line="240" w:lineRule="auto"/>
        <w:ind w:left="567" w:right="567"/>
        <w:rPr>
          <w:rFonts w:cs="Arial"/>
          <w:i/>
          <w:color w:val="000000"/>
          <w:sz w:val="2"/>
        </w:rPr>
      </w:pPr>
    </w:p>
    <w:p w14:paraId="50389BD3" w14:textId="77777777" w:rsidR="00623939" w:rsidRPr="00E53694" w:rsidRDefault="00623939" w:rsidP="00623939">
      <w:pPr>
        <w:rPr>
          <w:rFonts w:cs="Arial"/>
          <w:color w:val="000000" w:themeColor="text1"/>
        </w:rPr>
      </w:pPr>
    </w:p>
    <w:p w14:paraId="26BEDBA6" w14:textId="77777777" w:rsidR="00623939" w:rsidRPr="00E53694" w:rsidRDefault="00623939" w:rsidP="00623939">
      <w:pPr>
        <w:rPr>
          <w:rFonts w:cs="Arial"/>
          <w:color w:val="000000" w:themeColor="text1"/>
        </w:rPr>
      </w:pPr>
      <w:r w:rsidRPr="00E53694">
        <w:rPr>
          <w:rFonts w:cs="Arial"/>
          <w:color w:val="000000" w:themeColor="text1"/>
        </w:rPr>
        <w:t xml:space="preserve">Asimismo, el artículo 24, de la Ley de la materia, dispone que los Sujetos Obligados sólo proporcionarán la información pública que </w:t>
      </w:r>
      <w:r w:rsidRPr="00E53694">
        <w:rPr>
          <w:rFonts w:cs="Arial"/>
        </w:rPr>
        <w:t>generen</w:t>
      </w:r>
      <w:r w:rsidRPr="00E53694">
        <w:rPr>
          <w:rFonts w:cs="Arial"/>
          <w:color w:val="000000" w:themeColor="text1"/>
        </w:rPr>
        <w:t xml:space="preserve">, administren o posean en el ejercicio </w:t>
      </w:r>
      <w:r w:rsidRPr="00E53694">
        <w:rPr>
          <w:rFonts w:cs="Arial"/>
          <w:color w:val="000000" w:themeColor="text1"/>
        </w:rPr>
        <w:lastRenderedPageBreak/>
        <w:t>de sus atribuciones; por consiguiente, la información pública se encuentra a disposición de cualquier persona, lo que implica que es deber de los Sujetos Obligados, garantizar el derecho de acceso a la información pública.</w:t>
      </w:r>
    </w:p>
    <w:p w14:paraId="6EB77861" w14:textId="785D6AB3" w:rsidR="00623939" w:rsidRPr="00E53694" w:rsidRDefault="00623939" w:rsidP="0048668F"/>
    <w:p w14:paraId="7A5EDC77" w14:textId="5BC4B9A8" w:rsidR="00C26451" w:rsidRPr="00E53694" w:rsidRDefault="00623939" w:rsidP="0048668F">
      <w:r w:rsidRPr="00E53694">
        <w:t xml:space="preserve">Por tanto, se advierte que el Sujeto Obligado no se encuentra constreñido a generar un documento </w:t>
      </w:r>
      <w:r w:rsidR="00A5658D" w:rsidRPr="00E53694">
        <w:rPr>
          <w:i/>
        </w:rPr>
        <w:t>ad hoc</w:t>
      </w:r>
      <w:r w:rsidR="00A5658D" w:rsidRPr="00E53694">
        <w:t xml:space="preserve"> </w:t>
      </w:r>
      <w:r w:rsidRPr="00E53694">
        <w:t xml:space="preserve">con el cual se atienda </w:t>
      </w:r>
      <w:r w:rsidR="00A5658D" w:rsidRPr="00E53694">
        <w:t>lo requerido por el particular, sino que la solicitud debe ser atendida mediante un documento generado previamente al ingreso de la solicitud en el ejercicio de sus atribuciones, facultades o competencias.</w:t>
      </w:r>
    </w:p>
    <w:p w14:paraId="7CBF8E58" w14:textId="77777777" w:rsidR="00A5658D" w:rsidRPr="00E53694" w:rsidRDefault="00A5658D" w:rsidP="0048668F"/>
    <w:p w14:paraId="25134D41" w14:textId="46A8701F" w:rsidR="00A5658D" w:rsidRPr="00E53694" w:rsidRDefault="00A5658D" w:rsidP="0048668F">
      <w:r w:rsidRPr="00E53694">
        <w:t>Ahora bien, dado la naturaleza de la información solicitada, se estima que lo requerido por el solicitante se trata de un número estadístico, pues se requiere el número total de elementos de seguridad, por lo que es necesario verificar la procedencia de entregar dicha información o el documento en donde conste.</w:t>
      </w:r>
    </w:p>
    <w:p w14:paraId="7CA0FA1F" w14:textId="77777777" w:rsidR="00A5658D" w:rsidRPr="00E53694" w:rsidRDefault="00A5658D" w:rsidP="0048668F"/>
    <w:p w14:paraId="46E22EA7" w14:textId="40E62583" w:rsidR="00A5658D" w:rsidRPr="00E53694" w:rsidRDefault="00A5658D" w:rsidP="0048668F">
      <w:r w:rsidRPr="00E53694">
        <w:t>Así, es importante recordar que la Secretaría de Seguridad del Estado de México, la Universidad Mexiquense y el Colectivo de Análisis de la Seguridad con Democracia A.C. publicó el denominado Atlas de la Seguridad del Estado de México 2022, con el propósito de integrar en un solo documento la información de fuentes nacion</w:t>
      </w:r>
      <w:r w:rsidR="00525D87" w:rsidRPr="00E53694">
        <w:t>al</w:t>
      </w:r>
      <w:r w:rsidRPr="00E53694">
        <w:t xml:space="preserve">es como el Instituto </w:t>
      </w:r>
      <w:r w:rsidR="00525D87" w:rsidRPr="00E53694">
        <w:t>Nacional de Estadística y Geografía (INEGI), el Secretariado Ejecutivo del Sistema Nacional de Seguridad Pública y diversas fuentes estadísticas del Gobierno del Estado de México, en el que se compila el análisis de las temáticas más relevantes de seguridad en el Estado y estadísticas provenientes de fuentes federales, estatales y de organismo de la sociedad civil.</w:t>
      </w:r>
    </w:p>
    <w:p w14:paraId="5839DF17" w14:textId="77777777" w:rsidR="00525D87" w:rsidRPr="00E53694" w:rsidRDefault="00525D87" w:rsidP="00525D87"/>
    <w:p w14:paraId="3F3060A7" w14:textId="4068BF8E" w:rsidR="00525D87" w:rsidRPr="00E53694" w:rsidRDefault="00525D87" w:rsidP="00525D87">
      <w:r w:rsidRPr="00E53694">
        <w:lastRenderedPageBreak/>
        <w:t>En dicho documento están contenidas diversas estadísticas entre las que se encuentran las relativas a los recursos humanos y materiales. Esas gráficas muestran la distribución del Estado de Fuerza a nivel municipal al mes de julio de dos mil veintidós y los diez municipios con mayor número de elementos de seguridad, como se observa a continuación:</w:t>
      </w:r>
    </w:p>
    <w:p w14:paraId="1F645E61" w14:textId="77777777" w:rsidR="00BD5FA8" w:rsidRPr="00E53694" w:rsidRDefault="00BD5FA8" w:rsidP="00525D87"/>
    <w:p w14:paraId="4879C0CB" w14:textId="21872B89" w:rsidR="00C26451" w:rsidRPr="00E53694" w:rsidRDefault="00525D87" w:rsidP="00525D87">
      <w:pPr>
        <w:jc w:val="center"/>
      </w:pPr>
      <w:r w:rsidRPr="00E53694">
        <w:rPr>
          <w:noProof/>
          <w:lang w:val="es-MX"/>
        </w:rPr>
        <w:drawing>
          <wp:inline distT="0" distB="0" distL="0" distR="0" wp14:anchorId="599DF67E" wp14:editId="5E91EE00">
            <wp:extent cx="4442604" cy="26781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81272" cy="2701505"/>
                    </a:xfrm>
                    <a:prstGeom prst="rect">
                      <a:avLst/>
                    </a:prstGeom>
                  </pic:spPr>
                </pic:pic>
              </a:graphicData>
            </a:graphic>
          </wp:inline>
        </w:drawing>
      </w:r>
    </w:p>
    <w:p w14:paraId="7273A603" w14:textId="2E299E2C" w:rsidR="00C26451" w:rsidRPr="00E53694" w:rsidRDefault="00525D87" w:rsidP="00525D87">
      <w:pPr>
        <w:jc w:val="center"/>
      </w:pPr>
      <w:r w:rsidRPr="00E53694">
        <w:rPr>
          <w:noProof/>
          <w:lang w:val="es-MX"/>
        </w:rPr>
        <w:drawing>
          <wp:inline distT="0" distB="0" distL="0" distR="0" wp14:anchorId="0DA5BAFB" wp14:editId="3C2594B1">
            <wp:extent cx="4382219" cy="2646009"/>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3930" cy="2659118"/>
                    </a:xfrm>
                    <a:prstGeom prst="rect">
                      <a:avLst/>
                    </a:prstGeom>
                  </pic:spPr>
                </pic:pic>
              </a:graphicData>
            </a:graphic>
          </wp:inline>
        </w:drawing>
      </w:r>
    </w:p>
    <w:p w14:paraId="59B4B814" w14:textId="77777777" w:rsidR="00C26451" w:rsidRPr="00E53694" w:rsidRDefault="00C26451" w:rsidP="0048668F"/>
    <w:p w14:paraId="0506B2E8" w14:textId="442FF49D" w:rsidR="00C26451" w:rsidRPr="00E53694" w:rsidRDefault="00680A78" w:rsidP="0048668F">
      <w:r w:rsidRPr="00E53694">
        <w:t>Así, se puede acreditar que la información estadística relativa al número de elementos dedicados a la seguridad pública es un dato que se considera público, sin que actualice ninguno de los supuestos de clasificación previstos en los artículos 140 y 143 de la Ley de Transparencia estatal</w:t>
      </w:r>
      <w:r w:rsidR="008C5169" w:rsidRPr="00E53694">
        <w:t>.</w:t>
      </w:r>
    </w:p>
    <w:p w14:paraId="7EC8126F" w14:textId="77777777" w:rsidR="008C5169" w:rsidRPr="00E53694" w:rsidRDefault="008C5169" w:rsidP="0048668F"/>
    <w:p w14:paraId="156B71D6" w14:textId="0B01CC17" w:rsidR="008C5169" w:rsidRPr="00E53694" w:rsidRDefault="008C5169" w:rsidP="008C5169">
      <w:pPr>
        <w:rPr>
          <w:szCs w:val="24"/>
        </w:rPr>
      </w:pPr>
      <w:r w:rsidRPr="00E53694">
        <w:t xml:space="preserve">Lo anterior se robustece con el criterio emitido </w:t>
      </w:r>
      <w:r w:rsidRPr="00E53694">
        <w:rPr>
          <w:szCs w:val="24"/>
        </w:rPr>
        <w:t>11/2019 emitido por el Instituto Nacional de Transparencia, Acceso a la Información y Protección de Datos Personales (INAI), que a la letra establece lo siguiente:</w:t>
      </w:r>
    </w:p>
    <w:p w14:paraId="55FAC9FA" w14:textId="77777777" w:rsidR="008C5169" w:rsidRPr="00E53694" w:rsidRDefault="008C5169" w:rsidP="008C5169">
      <w:pPr>
        <w:rPr>
          <w:szCs w:val="24"/>
        </w:rPr>
      </w:pPr>
    </w:p>
    <w:p w14:paraId="11234E3F" w14:textId="77777777" w:rsidR="008C5169" w:rsidRPr="00E53694" w:rsidRDefault="008C5169" w:rsidP="008C5169">
      <w:pPr>
        <w:spacing w:line="240" w:lineRule="auto"/>
        <w:ind w:left="567" w:right="567"/>
        <w:rPr>
          <w:rFonts w:eastAsia="Times New Roman" w:cs="Times New Roman"/>
          <w:i/>
          <w:sz w:val="22"/>
          <w:szCs w:val="24"/>
          <w:lang w:eastAsia="es-ES"/>
        </w:rPr>
      </w:pPr>
      <w:r w:rsidRPr="00E53694">
        <w:rPr>
          <w:rFonts w:eastAsia="Times New Roman" w:cs="Times New Roman"/>
          <w:b/>
          <w:i/>
          <w:sz w:val="22"/>
          <w:szCs w:val="24"/>
          <w:lang w:val="es-MX" w:eastAsia="es-ES"/>
        </w:rPr>
        <w:t xml:space="preserve">La información estadística es de naturaleza pública, independientemente de la materia con la que se encuentre vinculada. </w:t>
      </w:r>
      <w:r w:rsidRPr="00E53694">
        <w:rPr>
          <w:rFonts w:eastAsia="Times New Roman" w:cs="Times New Roman"/>
          <w:i/>
          <w:sz w:val="22"/>
          <w:szCs w:val="24"/>
          <w:lang w:val="es-MX" w:eastAsia="es-E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127D72DF" w14:textId="77777777" w:rsidR="008C5169" w:rsidRPr="00E53694" w:rsidRDefault="008C5169" w:rsidP="008C5169">
      <w:pPr>
        <w:rPr>
          <w:szCs w:val="24"/>
        </w:rPr>
      </w:pPr>
    </w:p>
    <w:p w14:paraId="5C781FA3" w14:textId="39F4898F" w:rsidR="008C5169" w:rsidRPr="00E53694" w:rsidRDefault="008C5169" w:rsidP="0048668F">
      <w:r w:rsidRPr="00E53694">
        <w:t>De tal forma que, debido a que se requiere un valor estadístico, es viable ordenar al Sujeto Obligado que haga entrega del documento que genere en ejercicio de sus atribuciones, facultades o competencias, en donde conste el número total de elementos de seguridad desglosado al mayor grado de desagregación posible y que se encuentre actualizado al quince de marzo de dos mil veintitrés.</w:t>
      </w:r>
    </w:p>
    <w:p w14:paraId="6D0A2760" w14:textId="77777777" w:rsidR="00C26451" w:rsidRPr="00E53694" w:rsidRDefault="00C26451" w:rsidP="0048668F"/>
    <w:p w14:paraId="39957773" w14:textId="616FEFF7" w:rsidR="00C26451" w:rsidRPr="00E53694" w:rsidRDefault="008C5169" w:rsidP="0048668F">
      <w:pPr>
        <w:rPr>
          <w:rFonts w:eastAsia="Palatino Linotype" w:cs="Palatino Linotype"/>
          <w:color w:val="000000"/>
          <w:szCs w:val="24"/>
        </w:rPr>
      </w:pPr>
      <w:r w:rsidRPr="00E53694">
        <w:lastRenderedPageBreak/>
        <w:t xml:space="preserve">Por lo que hace al punto 2 de la solicitud, en el que se requiere el total unidades de servicios de emergencia, se tiene que el Sujeto Obligado informó al hoy Recurrente que </w:t>
      </w:r>
      <w:r w:rsidRPr="00E53694">
        <w:rPr>
          <w:rFonts w:eastAsia="Palatino Linotype" w:cs="Palatino Linotype"/>
          <w:color w:val="000000"/>
          <w:szCs w:val="24"/>
        </w:rPr>
        <w:t>la Dirección General de Seguridad Pública y Tránsito Municipal</w:t>
      </w:r>
      <w:r w:rsidRPr="00E53694">
        <w:t xml:space="preserve"> cuenta </w:t>
      </w:r>
      <w:r w:rsidRPr="00E53694">
        <w:rPr>
          <w:rFonts w:eastAsia="Palatino Linotype" w:cs="Palatino Linotype"/>
          <w:color w:val="000000"/>
          <w:szCs w:val="24"/>
        </w:rPr>
        <w:t>con un total de ocho unidades emplacadas y cinco con emplacamiento en proceso; que la Coordinación Municipal de Protección Civil cuenta con dos unidades tipo ambulancia, una de las cuales se encuentra fuera de servicio ya que se le está realizando servicio preventivo y correctivo. Asimismo, se remitió un documento en el que se describen las unidades referidas por la Dirección General de Seguridad Pública y Tránsito Municipal.</w:t>
      </w:r>
    </w:p>
    <w:p w14:paraId="4AF2D8B2" w14:textId="77777777" w:rsidR="008C5169" w:rsidRPr="00E53694" w:rsidRDefault="008C5169" w:rsidP="0048668F">
      <w:pPr>
        <w:rPr>
          <w:rFonts w:eastAsia="Palatino Linotype" w:cs="Palatino Linotype"/>
          <w:color w:val="000000"/>
          <w:szCs w:val="24"/>
        </w:rPr>
      </w:pPr>
    </w:p>
    <w:p w14:paraId="48F6A992" w14:textId="61AA9321" w:rsidR="00EE2C7A" w:rsidRPr="00E53694" w:rsidRDefault="00EE2C7A" w:rsidP="00EE2C7A">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 xml:space="preserve">En esa tesitura, el Sujeto Obligado emitió un pronunciamiento tendiente a atender el requerimiento del particular, aunado a que se entregó un documento en el que se detalla lo relativo a las patrullas con las que cuenta el municipio; por lo anterior, es menester resaltar que, al haber un pronunciamiento por parte del Sujeto Obligado respecto del ejercicio de sus atribuciones, este I, no está facultado para manifestarse sobre la veracidad de lo afirmado, pues no existe precepto legal alguno en la Ley de la materia que lo faculte para ello. </w:t>
      </w:r>
    </w:p>
    <w:p w14:paraId="39D42C64" w14:textId="77777777" w:rsidR="00EE2C7A" w:rsidRPr="00E53694" w:rsidRDefault="00EE2C7A" w:rsidP="00EE2C7A">
      <w:pPr>
        <w:pBdr>
          <w:top w:val="nil"/>
          <w:left w:val="nil"/>
          <w:bottom w:val="nil"/>
          <w:right w:val="nil"/>
          <w:between w:val="nil"/>
        </w:pBdr>
        <w:contextualSpacing/>
        <w:rPr>
          <w:rFonts w:eastAsia="Palatino Linotype" w:cs="Palatino Linotype"/>
          <w:color w:val="000000"/>
          <w:szCs w:val="24"/>
        </w:rPr>
      </w:pPr>
    </w:p>
    <w:p w14:paraId="1BB7D6D1" w14:textId="737CFAD4" w:rsidR="00EE2C7A" w:rsidRPr="00E53694" w:rsidRDefault="00EE2C7A" w:rsidP="00EE2C7A">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t>Lo anterior se robustece con lo plasmado en el criterio 31-10, emitido por el INAI, que lleva por rubro y texto los siguientes:</w:t>
      </w:r>
    </w:p>
    <w:p w14:paraId="76B8C546" w14:textId="77777777" w:rsidR="00EE2C7A" w:rsidRPr="00E53694" w:rsidRDefault="00EE2C7A" w:rsidP="00EE2C7A">
      <w:pPr>
        <w:pBdr>
          <w:top w:val="nil"/>
          <w:left w:val="nil"/>
          <w:bottom w:val="nil"/>
          <w:right w:val="nil"/>
          <w:between w:val="nil"/>
        </w:pBdr>
        <w:contextualSpacing/>
        <w:rPr>
          <w:rFonts w:eastAsia="Palatino Linotype" w:cs="Palatino Linotype"/>
          <w:color w:val="000000"/>
          <w:szCs w:val="24"/>
        </w:rPr>
      </w:pPr>
    </w:p>
    <w:p w14:paraId="2974F4DC" w14:textId="77777777" w:rsidR="00EE2C7A" w:rsidRPr="00E53694" w:rsidRDefault="00EE2C7A" w:rsidP="00EE2C7A">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E53694">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E53694">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E53694">
        <w:rPr>
          <w:rFonts w:eastAsia="Palatino Linotype" w:cs="Palatino Linotype"/>
          <w:i/>
          <w:color w:val="000000"/>
          <w:sz w:val="22"/>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6E25B17" w14:textId="77777777" w:rsidR="00EE2C7A" w:rsidRPr="00E53694" w:rsidRDefault="00EE2C7A" w:rsidP="00EE2C7A">
      <w:pPr>
        <w:pBdr>
          <w:top w:val="nil"/>
          <w:left w:val="nil"/>
          <w:bottom w:val="nil"/>
          <w:right w:val="nil"/>
          <w:between w:val="nil"/>
        </w:pBdr>
        <w:tabs>
          <w:tab w:val="left" w:pos="1005"/>
        </w:tabs>
        <w:contextualSpacing/>
        <w:rPr>
          <w:rFonts w:eastAsia="Palatino Linotype" w:cs="Palatino Linotype"/>
          <w:color w:val="000000"/>
        </w:rPr>
      </w:pPr>
    </w:p>
    <w:p w14:paraId="0AD182EE" w14:textId="1B00AC81" w:rsidR="00EE2C7A" w:rsidRPr="00E53694" w:rsidRDefault="00EE2C7A" w:rsidP="00EE2C7A">
      <w:r w:rsidRPr="00E53694">
        <w:t xml:space="preserve">Asimismo, se tiene que el Recurrente manifestó que se le respondió a dicho planteamiento sin que se expresara inconformidad alguna, por lo que se debe entender </w:t>
      </w:r>
      <w:r w:rsidRPr="00E53694">
        <w:rPr>
          <w:rFonts w:eastAsia="Palatino Linotype" w:cs="Palatino Linotype"/>
          <w:color w:val="000000"/>
        </w:rPr>
        <w:t>que el Recurrente</w:t>
      </w:r>
      <w:r w:rsidRPr="00E53694">
        <w:rPr>
          <w:rFonts w:eastAsia="Palatino Linotype" w:cs="Palatino Linotype"/>
        </w:rPr>
        <w:t xml:space="preserve"> consintió parcialmente la respuesta del Sujeto Obligado.</w:t>
      </w:r>
    </w:p>
    <w:p w14:paraId="22988CB3" w14:textId="77777777" w:rsidR="00EE2C7A" w:rsidRPr="00E53694" w:rsidRDefault="00EE2C7A" w:rsidP="00EE2C7A">
      <w:pPr>
        <w:rPr>
          <w:rFonts w:eastAsia="Palatino Linotype" w:cs="Palatino Linotype"/>
          <w:szCs w:val="24"/>
          <w:lang w:eastAsia="es-ES"/>
        </w:rPr>
      </w:pPr>
    </w:p>
    <w:p w14:paraId="515A7742" w14:textId="77777777" w:rsidR="00EE2C7A" w:rsidRPr="00E53694" w:rsidRDefault="00EE2C7A" w:rsidP="00EE2C7A">
      <w:pPr>
        <w:contextualSpacing/>
        <w:rPr>
          <w:rFonts w:eastAsia="Palatino Linotype" w:cs="Palatino Linotype"/>
          <w:szCs w:val="24"/>
        </w:rPr>
      </w:pPr>
      <w:r w:rsidRPr="00E53694">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69DFCB7" w14:textId="77777777" w:rsidR="00EE2C7A" w:rsidRPr="00E53694" w:rsidRDefault="00EE2C7A" w:rsidP="00EE2C7A">
      <w:pPr>
        <w:rPr>
          <w:rFonts w:eastAsia="Times New Roman" w:cs="Times New Roman"/>
          <w:szCs w:val="24"/>
        </w:rPr>
      </w:pPr>
    </w:p>
    <w:p w14:paraId="45F4B4DF" w14:textId="77777777" w:rsidR="00EE2C7A" w:rsidRPr="00E53694" w:rsidRDefault="00EE2C7A" w:rsidP="00EE2C7A">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53694">
        <w:rPr>
          <w:rFonts w:eastAsia="Palatino Linotype" w:cs="Palatino Linotype"/>
          <w:b/>
          <w:bCs/>
          <w:i/>
          <w:color w:val="000000"/>
          <w:sz w:val="22"/>
          <w:szCs w:val="24"/>
        </w:rPr>
        <w:t>REVISIÓN EN AMPARO. LOS RESOLUTIVOS NO COMBATIDOS DEBEN DECLARARSE FIRMES. </w:t>
      </w:r>
    </w:p>
    <w:p w14:paraId="57CBB849" w14:textId="77777777" w:rsidR="00EE2C7A" w:rsidRPr="00E53694" w:rsidRDefault="00EE2C7A" w:rsidP="00EE2C7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D69AA3A" w14:textId="77777777" w:rsidR="00EE2C7A" w:rsidRPr="00E53694" w:rsidRDefault="00EE2C7A" w:rsidP="00EE2C7A">
      <w:pPr>
        <w:rPr>
          <w:rFonts w:eastAsia="Times New Roman" w:cs="Times New Roman"/>
          <w:szCs w:val="24"/>
        </w:rPr>
      </w:pPr>
    </w:p>
    <w:p w14:paraId="19B44784" w14:textId="77777777" w:rsidR="00EE2C7A" w:rsidRPr="00E53694" w:rsidRDefault="00EE2C7A" w:rsidP="00EE2C7A">
      <w:pPr>
        <w:rPr>
          <w:rFonts w:eastAsia="Times New Roman" w:cs="Times New Roman"/>
          <w:szCs w:val="24"/>
        </w:rPr>
      </w:pPr>
      <w:r w:rsidRPr="00E53694">
        <w:rPr>
          <w:rFonts w:eastAsia="Times New Roman" w:cs="Times New Roman"/>
          <w:color w:val="000000"/>
          <w:szCs w:val="24"/>
        </w:rPr>
        <w:t xml:space="preserve">Así, la parte de la solicitud sobre la que no se expresó inconformidad, debe declararse consentida por el hoy Recurrente, ya que no pueden producirse efectos jurídicos </w:t>
      </w:r>
      <w:r w:rsidRPr="00E53694">
        <w:rPr>
          <w:rFonts w:eastAsia="Times New Roman" w:cs="Times New Roman"/>
          <w:color w:val="000000"/>
          <w:szCs w:val="24"/>
        </w:rPr>
        <w:lastRenderedPageBreak/>
        <w:t>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342861A1" w14:textId="77777777" w:rsidR="00EE2C7A" w:rsidRPr="00E53694" w:rsidRDefault="00EE2C7A" w:rsidP="00EE2C7A">
      <w:pPr>
        <w:rPr>
          <w:rFonts w:eastAsia="Times New Roman" w:cs="Times New Roman"/>
          <w:szCs w:val="24"/>
        </w:rPr>
      </w:pPr>
    </w:p>
    <w:p w14:paraId="0C362CB1" w14:textId="77777777" w:rsidR="00EE2C7A" w:rsidRPr="00E53694" w:rsidRDefault="00EE2C7A" w:rsidP="00EE2C7A">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53694">
        <w:rPr>
          <w:rFonts w:eastAsia="Palatino Linotype" w:cs="Palatino Linotype"/>
          <w:b/>
          <w:bCs/>
          <w:i/>
          <w:color w:val="000000"/>
          <w:sz w:val="22"/>
          <w:szCs w:val="24"/>
        </w:rPr>
        <w:t>ACTOS CONSENTIDOS. SON LOS QUE NO SE IMPUGNAN MEDIANTE EL RECURSO IDÓNEO.</w:t>
      </w:r>
    </w:p>
    <w:p w14:paraId="155D358E" w14:textId="77777777" w:rsidR="00EE2C7A" w:rsidRPr="00E53694" w:rsidRDefault="00EE2C7A" w:rsidP="00EE2C7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3DC455B" w14:textId="77777777" w:rsidR="00EE2C7A" w:rsidRPr="00E53694" w:rsidRDefault="00EE2C7A" w:rsidP="00EE2C7A">
      <w:pPr>
        <w:rPr>
          <w:rFonts w:eastAsia="Times New Roman" w:cs="Times New Roman"/>
          <w:szCs w:val="24"/>
        </w:rPr>
      </w:pPr>
    </w:p>
    <w:p w14:paraId="245D7373" w14:textId="77777777" w:rsidR="00EE2C7A" w:rsidRPr="00E53694" w:rsidRDefault="00EE2C7A" w:rsidP="00EE2C7A">
      <w:pPr>
        <w:rPr>
          <w:rFonts w:eastAsia="Times New Roman" w:cs="Times New Roman"/>
          <w:szCs w:val="24"/>
        </w:rPr>
      </w:pPr>
      <w:r w:rsidRPr="00E53694">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3022CFE1" w14:textId="77777777" w:rsidR="00EE2C7A" w:rsidRPr="00E53694" w:rsidRDefault="00EE2C7A" w:rsidP="00EE2C7A">
      <w:pPr>
        <w:rPr>
          <w:rFonts w:eastAsia="Times New Roman" w:cs="Times New Roman"/>
          <w:szCs w:val="24"/>
        </w:rPr>
      </w:pPr>
    </w:p>
    <w:p w14:paraId="428DC10E" w14:textId="77777777" w:rsidR="00EE2C7A" w:rsidRPr="00E53694" w:rsidRDefault="00EE2C7A" w:rsidP="00EE2C7A">
      <w:pPr>
        <w:spacing w:line="240" w:lineRule="auto"/>
        <w:ind w:left="567" w:right="567"/>
        <w:rPr>
          <w:rFonts w:eastAsia="Times New Roman" w:cs="Times New Roman"/>
          <w:sz w:val="22"/>
        </w:rPr>
      </w:pPr>
      <w:r w:rsidRPr="00E53694">
        <w:rPr>
          <w:rFonts w:eastAsia="Times New Roman" w:cs="Times New Roman"/>
          <w:b/>
          <w:bCs/>
          <w:i/>
          <w:iCs/>
          <w:color w:val="000000"/>
          <w:sz w:val="22"/>
        </w:rPr>
        <w:t xml:space="preserve">Actos consentidos tácitamente. Improcedencia de su análisis. </w:t>
      </w:r>
      <w:r w:rsidRPr="00E53694">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3341984" w14:textId="77777777" w:rsidR="00EE2C7A" w:rsidRPr="00E53694" w:rsidRDefault="00EE2C7A" w:rsidP="00EE2C7A">
      <w:pPr>
        <w:rPr>
          <w:rFonts w:eastAsia="Times New Roman" w:cs="Times New Roman"/>
          <w:szCs w:val="24"/>
        </w:rPr>
      </w:pPr>
    </w:p>
    <w:p w14:paraId="10C3B838" w14:textId="769D7A60" w:rsidR="00EE2C7A" w:rsidRPr="00E53694" w:rsidRDefault="00EE2C7A" w:rsidP="00EE2C7A">
      <w:pPr>
        <w:rPr>
          <w:rFonts w:eastAsia="Times New Roman" w:cs="Times New Roman"/>
          <w:color w:val="000000"/>
          <w:szCs w:val="24"/>
        </w:rPr>
      </w:pPr>
      <w:r w:rsidRPr="00E53694">
        <w:rPr>
          <w:rFonts w:eastAsia="Times New Roman" w:cs="Times New Roman"/>
          <w:color w:val="000000"/>
          <w:szCs w:val="24"/>
        </w:rPr>
        <w:t>Por lo señalado anteriormente, se tiene por parcialmente consentida la respuesta y, por tanto, por colmado el requerimiento identificado con el número 2 de la solicitud.</w:t>
      </w:r>
    </w:p>
    <w:p w14:paraId="1E55C5A0" w14:textId="2D06C289" w:rsidR="008C5169" w:rsidRPr="00E53694" w:rsidRDefault="008C5169" w:rsidP="0048668F"/>
    <w:p w14:paraId="11F78538" w14:textId="0F874438" w:rsidR="00F402CD" w:rsidRPr="00E53694" w:rsidRDefault="00EE2C7A" w:rsidP="00F402CD">
      <w:pPr>
        <w:contextualSpacing/>
        <w:rPr>
          <w:rFonts w:eastAsia="Palatino Linotype" w:cs="Palatino Linotype"/>
          <w:szCs w:val="24"/>
          <w:lang w:val="es-MX"/>
        </w:rPr>
      </w:pPr>
      <w:r w:rsidRPr="00E53694">
        <w:lastRenderedPageBreak/>
        <w:t>Tocante al punto 3, con el que se requirió el motivo por el cual las patrullas no se encuentran matriculadas</w:t>
      </w:r>
      <w:r w:rsidR="00C579F6" w:rsidRPr="00E53694">
        <w:t xml:space="preserve">, es de señalar que este punto corresponde a un cuestionamiento, </w:t>
      </w:r>
      <w:r w:rsidR="00F402CD" w:rsidRPr="00E53694">
        <w:t xml:space="preserve">de </w:t>
      </w:r>
      <w:r w:rsidR="00F402CD" w:rsidRPr="00E53694">
        <w:rPr>
          <w:rFonts w:eastAsia="Palatino Linotype" w:cs="Palatino Linotype"/>
          <w:szCs w:val="24"/>
          <w:lang w:val="es-MX"/>
        </w:rPr>
        <w:t>tal forma que no se advierte que el Recurrente solicité información que conste en algún documento generado por el Sujeto Obligado en el ejercicio de sus facultades y atribuciones de derecho público, si no que se está requiriendo motivos, justificaciones, razones y acciones tendientes a responder por qué las patrullas no están matriculadas.</w:t>
      </w:r>
    </w:p>
    <w:p w14:paraId="5FBE60A7" w14:textId="77777777" w:rsidR="00F402CD" w:rsidRPr="00E53694" w:rsidRDefault="00F402CD" w:rsidP="00F402CD">
      <w:pPr>
        <w:contextualSpacing/>
        <w:rPr>
          <w:rFonts w:eastAsia="Palatino Linotype" w:cs="Palatino Linotype"/>
          <w:szCs w:val="24"/>
          <w:lang w:val="es-MX"/>
        </w:rPr>
      </w:pPr>
    </w:p>
    <w:p w14:paraId="5FF73D0B" w14:textId="3DDFBB19" w:rsidR="00F402CD" w:rsidRPr="00E53694" w:rsidRDefault="00F402CD" w:rsidP="00F402CD">
      <w:pPr>
        <w:contextualSpacing/>
        <w:rPr>
          <w:rFonts w:eastAsia="Palatino Linotype" w:cs="Palatino Linotype"/>
          <w:szCs w:val="24"/>
          <w:lang w:val="es-MX"/>
        </w:rPr>
      </w:pPr>
      <w:r w:rsidRPr="00E53694">
        <w:rPr>
          <w:rFonts w:eastAsia="Palatino Linotype" w:cs="Palatino Linotype"/>
          <w:szCs w:val="24"/>
          <w:lang w:val="es-MX"/>
        </w:rPr>
        <w:t>En ese sentido, se considera que el particular no está ejerciendo el derecho de acceso a la información pública, sino que lo que se solicitó fue la entrega de una justificación del Sujeto Obligado.</w:t>
      </w:r>
    </w:p>
    <w:p w14:paraId="2AEDAA09" w14:textId="77777777" w:rsidR="00F402CD" w:rsidRPr="00E53694" w:rsidRDefault="00F402CD" w:rsidP="00F402CD">
      <w:pPr>
        <w:contextualSpacing/>
        <w:rPr>
          <w:rFonts w:eastAsia="Palatino Linotype" w:cs="Palatino Linotype"/>
          <w:szCs w:val="24"/>
          <w:lang w:val="es-MX"/>
        </w:rPr>
      </w:pPr>
    </w:p>
    <w:p w14:paraId="7AA0E957" w14:textId="1F24B71A" w:rsidR="00F402CD" w:rsidRPr="00E53694" w:rsidRDefault="00F402CD" w:rsidP="00F402CD">
      <w:pPr>
        <w:rPr>
          <w:rFonts w:eastAsia="MS Mincho" w:cs="Arial"/>
          <w:szCs w:val="24"/>
          <w:lang w:eastAsia="es-ES"/>
        </w:rPr>
      </w:pPr>
      <w:r w:rsidRPr="00E53694">
        <w:rPr>
          <w:rFonts w:eastAsia="Palatino Linotype" w:cs="Palatino Linotype"/>
          <w:szCs w:val="24"/>
          <w:lang w:val="es-MX" w:eastAsia="es-ES"/>
        </w:rPr>
        <w:t>Así, lo expresado por el hoy Recurrente en su solicitud de información no puede considerarse en estricto sentido como una solicitud de información, sino que constituyen manifestaciones subjetivas. Esto debido a que se está solicitando que el Sujeto Obligado emita un posicionamiento respecto al cuestionamiento planteado por el Recurrente</w:t>
      </w:r>
      <w:r w:rsidRPr="00E53694">
        <w:rPr>
          <w:rFonts w:eastAsia="Times New Roman" w:cs="Times New Roman"/>
          <w:szCs w:val="24"/>
          <w:lang w:val="es-MX" w:eastAsia="es-ES"/>
        </w:rPr>
        <w:t>. Al respecto, se advierte que dichos señalamientos no pueden colmarse con documentos previamente generados por el Sujeto Obligado; por ende</w:t>
      </w:r>
      <w:r w:rsidRPr="00E53694">
        <w:rPr>
          <w:rFonts w:eastAsia="Times New Roman" w:cs="Times New Roman"/>
          <w:color w:val="000000" w:themeColor="text1"/>
          <w:szCs w:val="24"/>
          <w:lang w:val="es-MX" w:eastAsia="es-ES"/>
        </w:rPr>
        <w:t>, a</w:t>
      </w:r>
      <w:r w:rsidRPr="00E53694">
        <w:rPr>
          <w:rFonts w:eastAsia="Times New Roman" w:cs="Arial"/>
          <w:szCs w:val="24"/>
          <w:lang w:val="es-MX" w:eastAsia="es-ES"/>
        </w:rPr>
        <w:t xml:space="preserve">l no colmarse con la entrega de documentos sino con un pronunciamiento por parte del Sujeto Obligado, </w:t>
      </w:r>
      <w:r w:rsidRPr="00E53694">
        <w:rPr>
          <w:rFonts w:eastAsia="MS Mincho" w:cs="Arial"/>
          <w:szCs w:val="24"/>
          <w:lang w:eastAsia="es-ES"/>
        </w:rPr>
        <w:t>conlleva a afirmar que se está en presencia del ejercicio del derecho de petición.</w:t>
      </w:r>
    </w:p>
    <w:p w14:paraId="36144E12" w14:textId="0F665E01" w:rsidR="00C26451" w:rsidRPr="00E53694" w:rsidRDefault="00C26451" w:rsidP="0048668F"/>
    <w:p w14:paraId="0535C95A" w14:textId="77777777" w:rsidR="00F402CD" w:rsidRPr="00E53694" w:rsidRDefault="00F402CD" w:rsidP="00F402CD">
      <w:pPr>
        <w:rPr>
          <w:rFonts w:eastAsia="MS Mincho" w:cstheme="majorBidi"/>
          <w:szCs w:val="24"/>
          <w:lang w:eastAsia="es-ES"/>
        </w:rPr>
      </w:pPr>
      <w:r w:rsidRPr="00E53694">
        <w:rPr>
          <w:rFonts w:eastAsia="MS Mincho" w:cstheme="majorBidi"/>
          <w:szCs w:val="24"/>
          <w:lang w:eastAsia="es-ES"/>
        </w:rPr>
        <w:t xml:space="preserve">Es de destacarse que la entrega de una razón o un pronunciamiento por parte del Sujeto Obligado no es algo que la ley establezca como atribución, derecho, o facultad; pues ello implicaría un juicio de valor referente al planteamiento realizado por el particular, el cual pudiera satisfacerse vía derecho de petición en virtud de que constituyen </w:t>
      </w:r>
      <w:r w:rsidRPr="00E53694">
        <w:rPr>
          <w:rFonts w:eastAsia="MS Mincho" w:cstheme="majorBidi"/>
          <w:szCs w:val="24"/>
          <w:lang w:eastAsia="es-ES"/>
        </w:rPr>
        <w:lastRenderedPageBreak/>
        <w:t>manifestaciones, opiniones o posicionamientos frente a lo estipulado en la normatividad referida en su texto.</w:t>
      </w:r>
    </w:p>
    <w:p w14:paraId="7B7A2CA0" w14:textId="77777777" w:rsidR="00F402CD" w:rsidRPr="00E53694" w:rsidRDefault="00F402CD" w:rsidP="00F402CD">
      <w:pPr>
        <w:rPr>
          <w:rFonts w:eastAsia="MS Mincho" w:cstheme="majorBidi"/>
          <w:szCs w:val="24"/>
          <w:lang w:eastAsia="es-ES"/>
        </w:rPr>
      </w:pPr>
    </w:p>
    <w:p w14:paraId="190EF967" w14:textId="77777777" w:rsidR="00F402CD" w:rsidRPr="00E53694" w:rsidRDefault="00F402CD" w:rsidP="00F402CD">
      <w:pPr>
        <w:rPr>
          <w:rFonts w:eastAsia="MS Mincho" w:cstheme="majorBidi"/>
          <w:szCs w:val="24"/>
          <w:lang w:eastAsia="es-ES"/>
        </w:rPr>
      </w:pPr>
      <w:r w:rsidRPr="00E53694">
        <w:rPr>
          <w:rFonts w:eastAsia="MS Mincho" w:cstheme="majorBidi"/>
          <w:szCs w:val="24"/>
          <w:lang w:eastAsia="es-ES"/>
        </w:rPr>
        <w:t>Luego entonces, es importante dejar en claro lo que debe entenderse por derecho de petición y por derecho de acceso a la información pública.</w:t>
      </w:r>
    </w:p>
    <w:p w14:paraId="6E82A0E2" w14:textId="77777777" w:rsidR="00F402CD" w:rsidRPr="00E53694" w:rsidRDefault="00F402CD" w:rsidP="00F402CD">
      <w:pPr>
        <w:rPr>
          <w:rFonts w:eastAsia="MS Mincho" w:cstheme="majorBidi"/>
          <w:szCs w:val="24"/>
          <w:lang w:eastAsia="es-ES"/>
        </w:rPr>
      </w:pPr>
    </w:p>
    <w:p w14:paraId="2462EE59" w14:textId="77777777" w:rsidR="00F402CD" w:rsidRPr="00E53694" w:rsidRDefault="00F402CD" w:rsidP="00F402CD">
      <w:pPr>
        <w:rPr>
          <w:rFonts w:eastAsia="MS Mincho" w:cstheme="majorBidi"/>
          <w:i/>
          <w:szCs w:val="24"/>
          <w:lang w:eastAsia="es-ES"/>
        </w:rPr>
      </w:pPr>
      <w:r w:rsidRPr="00E53694">
        <w:rPr>
          <w:rFonts w:eastAsia="MS Mincho" w:cstheme="majorBidi"/>
          <w:szCs w:val="24"/>
          <w:lang w:eastAsia="es-ES"/>
        </w:rPr>
        <w:t>Por lo que respecta a la definición de derecho de petición, el Maestro Ignacio Burgoa Orihuela refiere: “…</w:t>
      </w:r>
      <w:r w:rsidRPr="00E53694">
        <w:rPr>
          <w:rFonts w:eastAsia="MS Mincho" w:cstheme="majorBidi"/>
          <w:i/>
          <w:szCs w:val="24"/>
          <w:lang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53694">
        <w:rPr>
          <w:rFonts w:eastAsia="MS Mincho" w:cstheme="majorBidi"/>
          <w:i/>
          <w:szCs w:val="24"/>
          <w:vertAlign w:val="superscript"/>
          <w:lang w:eastAsia="es-ES"/>
        </w:rPr>
        <w:footnoteReference w:id="3"/>
      </w:r>
      <w:r w:rsidRPr="00E53694">
        <w:rPr>
          <w:rFonts w:eastAsia="MS Mincho" w:cstheme="majorBidi"/>
          <w:i/>
          <w:szCs w:val="24"/>
          <w:lang w:eastAsia="es-ES"/>
        </w:rPr>
        <w:t xml:space="preserve"> (Sic)</w:t>
      </w:r>
    </w:p>
    <w:p w14:paraId="025E83B5" w14:textId="77777777" w:rsidR="00F402CD" w:rsidRPr="00E53694" w:rsidRDefault="00F402CD" w:rsidP="00F402CD">
      <w:pPr>
        <w:rPr>
          <w:rFonts w:eastAsia="MS Mincho" w:cstheme="majorBidi"/>
          <w:i/>
          <w:szCs w:val="24"/>
          <w:lang w:eastAsia="es-ES"/>
        </w:rPr>
      </w:pPr>
    </w:p>
    <w:p w14:paraId="7EEF7325" w14:textId="77777777" w:rsidR="00F402CD" w:rsidRPr="00E53694" w:rsidRDefault="00F402CD" w:rsidP="00F402CD">
      <w:pPr>
        <w:rPr>
          <w:rFonts w:eastAsia="Times New Roman" w:cs="Times New Roman"/>
          <w:szCs w:val="24"/>
          <w:lang w:eastAsia="es-ES"/>
        </w:rPr>
      </w:pPr>
      <w:r w:rsidRPr="00E53694">
        <w:rPr>
          <w:rFonts w:eastAsia="Times New Roman" w:cs="Times New Roman"/>
          <w:szCs w:val="24"/>
          <w:lang w:eastAsia="es-ES"/>
        </w:rPr>
        <w:t xml:space="preserve">Por su parte, David Cienfuegos Salgado, concibe al derecho de petición como </w:t>
      </w:r>
      <w:r w:rsidRPr="00E53694">
        <w:rPr>
          <w:rFonts w:eastAsia="Times New Roman" w:cs="Times New Roman"/>
          <w:i/>
          <w:szCs w:val="24"/>
          <w:lang w:eastAsia="es-ES"/>
        </w:rPr>
        <w:t>“el derecho de toda persona a ser escuchado por quienes ejercen el poder público.”</w:t>
      </w:r>
      <w:r w:rsidRPr="00E53694">
        <w:rPr>
          <w:rFonts w:eastAsia="Times New Roman" w:cs="Times New Roman"/>
          <w:i/>
          <w:szCs w:val="24"/>
          <w:vertAlign w:val="superscript"/>
          <w:lang w:eastAsia="es-ES"/>
        </w:rPr>
        <w:footnoteReference w:id="4"/>
      </w:r>
      <w:r w:rsidRPr="00E53694">
        <w:rPr>
          <w:rFonts w:eastAsia="Times New Roman" w:cs="Times New Roman"/>
          <w:i/>
          <w:szCs w:val="24"/>
          <w:lang w:eastAsia="es-ES"/>
        </w:rPr>
        <w:t xml:space="preserve"> (Sic)</w:t>
      </w:r>
      <w:r w:rsidRPr="00E53694">
        <w:rPr>
          <w:rFonts w:eastAsia="Times New Roman" w:cs="Times New Roman"/>
          <w:szCs w:val="24"/>
          <w:lang w:eastAsia="es-ES"/>
        </w:rPr>
        <w:t xml:space="preserve"> </w:t>
      </w:r>
    </w:p>
    <w:p w14:paraId="43213BB8" w14:textId="77777777" w:rsidR="00F402CD" w:rsidRPr="00E53694" w:rsidRDefault="00F402CD" w:rsidP="00F402CD">
      <w:pPr>
        <w:rPr>
          <w:rFonts w:eastAsia="Times New Roman" w:cs="Times New Roman"/>
          <w:szCs w:val="24"/>
          <w:lang w:eastAsia="es-ES"/>
        </w:rPr>
      </w:pPr>
    </w:p>
    <w:p w14:paraId="6CFCD430" w14:textId="77777777" w:rsidR="00F402CD" w:rsidRPr="00E53694" w:rsidRDefault="00F402CD" w:rsidP="00F402CD">
      <w:pPr>
        <w:rPr>
          <w:rFonts w:eastAsia="Times New Roman" w:cs="Times New Roman"/>
          <w:i/>
          <w:szCs w:val="24"/>
          <w:lang w:eastAsia="es-ES"/>
        </w:rPr>
      </w:pPr>
      <w:r w:rsidRPr="00E53694">
        <w:rPr>
          <w:rFonts w:eastAsia="Times New Roman" w:cs="Times New Roman"/>
          <w:szCs w:val="24"/>
          <w:lang w:eastAsia="es-ES"/>
        </w:rPr>
        <w:t xml:space="preserve">Al respecto, para diferenciar el derecho de petición al derecho de acceso a la información, resulta conducente señalar que José Guadalupe Robles, conceptualiza el derecho a la información como </w:t>
      </w:r>
      <w:r w:rsidRPr="00E53694">
        <w:rPr>
          <w:rFonts w:eastAsia="Times New Roman" w:cs="Times New Roman"/>
          <w:i/>
          <w:szCs w:val="24"/>
          <w:lang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w:t>
      </w:r>
      <w:r w:rsidRPr="00E53694">
        <w:rPr>
          <w:rFonts w:eastAsia="Times New Roman" w:cs="Times New Roman"/>
          <w:i/>
          <w:szCs w:val="24"/>
          <w:lang w:eastAsia="es-ES"/>
        </w:rPr>
        <w:lastRenderedPageBreak/>
        <w:t>desarrollo de las personas y a la formación de opinión pública de calidad para poder participar y luego influir en la vida pública.”</w:t>
      </w:r>
      <w:r w:rsidRPr="00E53694">
        <w:rPr>
          <w:rFonts w:eastAsia="Times New Roman" w:cs="Times New Roman"/>
          <w:i/>
          <w:szCs w:val="24"/>
          <w:vertAlign w:val="superscript"/>
          <w:lang w:eastAsia="es-ES"/>
        </w:rPr>
        <w:footnoteReference w:id="5"/>
      </w:r>
      <w:r w:rsidRPr="00E53694">
        <w:rPr>
          <w:rFonts w:eastAsia="Times New Roman" w:cs="Times New Roman"/>
          <w:i/>
          <w:szCs w:val="24"/>
          <w:lang w:eastAsia="es-ES"/>
        </w:rPr>
        <w:t xml:space="preserve"> (Sic) </w:t>
      </w:r>
    </w:p>
    <w:p w14:paraId="3A65272E" w14:textId="77777777" w:rsidR="00F402CD" w:rsidRPr="00E53694" w:rsidRDefault="00F402CD" w:rsidP="00F402CD">
      <w:pPr>
        <w:rPr>
          <w:rFonts w:eastAsia="Times New Roman" w:cs="Times New Roman"/>
          <w:i/>
          <w:szCs w:val="24"/>
          <w:lang w:eastAsia="es-ES"/>
        </w:rPr>
      </w:pPr>
    </w:p>
    <w:p w14:paraId="559CDF5C" w14:textId="77777777" w:rsidR="00F402CD" w:rsidRPr="00E53694" w:rsidRDefault="00F402CD" w:rsidP="00F402CD">
      <w:pPr>
        <w:rPr>
          <w:rFonts w:eastAsia="Times New Roman" w:cs="Times New Roman"/>
          <w:i/>
          <w:szCs w:val="24"/>
          <w:lang w:eastAsia="es-ES"/>
        </w:rPr>
      </w:pPr>
      <w:r w:rsidRPr="00E53694">
        <w:rPr>
          <w:rFonts w:eastAsia="Times New Roman" w:cs="Times New Roman"/>
          <w:szCs w:val="24"/>
          <w:lang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E53694">
        <w:rPr>
          <w:rFonts w:eastAsia="Times New Roman" w:cs="Times New Roman"/>
          <w:i/>
          <w:szCs w:val="24"/>
          <w:lang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53694">
        <w:rPr>
          <w:rFonts w:eastAsia="Times New Roman" w:cs="Times New Roman"/>
          <w:i/>
          <w:szCs w:val="24"/>
          <w:vertAlign w:val="superscript"/>
          <w:lang w:eastAsia="es-ES"/>
        </w:rPr>
        <w:footnoteReference w:id="6"/>
      </w:r>
      <w:r w:rsidRPr="00E53694">
        <w:rPr>
          <w:rFonts w:eastAsia="Times New Roman" w:cs="Times New Roman"/>
          <w:i/>
          <w:szCs w:val="24"/>
          <w:lang w:eastAsia="es-ES"/>
        </w:rPr>
        <w:t xml:space="preserve"> (Sic)</w:t>
      </w:r>
    </w:p>
    <w:p w14:paraId="7E31A97B" w14:textId="77777777" w:rsidR="00F402CD" w:rsidRPr="00E53694" w:rsidRDefault="00F402CD" w:rsidP="00F402CD">
      <w:pPr>
        <w:rPr>
          <w:rFonts w:eastAsia="Times New Roman" w:cs="Arial"/>
          <w:i/>
          <w:iCs/>
          <w:color w:val="000000" w:themeColor="text1"/>
          <w:szCs w:val="24"/>
          <w:lang w:eastAsia="es-ES"/>
        </w:rPr>
      </w:pPr>
    </w:p>
    <w:p w14:paraId="523FC473" w14:textId="77777777" w:rsidR="00F402CD" w:rsidRPr="00E53694" w:rsidRDefault="00F402CD" w:rsidP="00F402CD">
      <w:pPr>
        <w:rPr>
          <w:rFonts w:eastAsia="Times New Roman" w:cs="Arial"/>
          <w:szCs w:val="24"/>
          <w:lang w:val="es-MX" w:eastAsia="es-ES"/>
        </w:rPr>
      </w:pPr>
      <w:r w:rsidRPr="00E53694">
        <w:rPr>
          <w:rFonts w:eastAsia="Times New Roman" w:cs="Arial"/>
          <w:szCs w:val="24"/>
          <w:lang w:val="es-MX" w:eastAsia="es-ES"/>
        </w:rPr>
        <w:t xml:space="preserve">Ahora bien para entender los alcances de la información pública se considera importante citar el criterio </w:t>
      </w:r>
      <w:r w:rsidRPr="00E53694">
        <w:rPr>
          <w:rFonts w:eastAsia="Times New Roman" w:cs="Arial"/>
          <w:bCs/>
          <w:szCs w:val="24"/>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53694">
        <w:rPr>
          <w:rFonts w:eastAsia="Times New Roman" w:cs="Arial"/>
          <w:szCs w:val="24"/>
          <w:lang w:val="es-MX" w:eastAsia="es-ES"/>
        </w:rPr>
        <w:t>cuyo rubro y texto dispone:</w:t>
      </w:r>
    </w:p>
    <w:p w14:paraId="736057DA" w14:textId="77777777" w:rsidR="00F402CD" w:rsidRPr="00E53694" w:rsidRDefault="00F402CD" w:rsidP="00F402CD">
      <w:pPr>
        <w:rPr>
          <w:rFonts w:eastAsia="Times New Roman" w:cs="Arial"/>
          <w:szCs w:val="24"/>
          <w:lang w:val="es-MX" w:eastAsia="es-ES"/>
        </w:rPr>
      </w:pPr>
    </w:p>
    <w:p w14:paraId="52172B7F" w14:textId="77777777" w:rsidR="00F402CD" w:rsidRPr="00E53694" w:rsidRDefault="00F402CD" w:rsidP="00F402CD">
      <w:pPr>
        <w:autoSpaceDE w:val="0"/>
        <w:autoSpaceDN w:val="0"/>
        <w:adjustRightInd w:val="0"/>
        <w:spacing w:after="160" w:line="276" w:lineRule="auto"/>
        <w:ind w:left="567" w:right="616"/>
        <w:rPr>
          <w:rFonts w:cs="Arial"/>
          <w:i/>
          <w:sz w:val="22"/>
          <w:lang w:val="es-MX"/>
        </w:rPr>
      </w:pPr>
      <w:r w:rsidRPr="00E53694">
        <w:rPr>
          <w:rFonts w:cs="Arial"/>
          <w:b/>
          <w:i/>
          <w:sz w:val="22"/>
          <w:lang w:val="es-MX"/>
        </w:rPr>
        <w:t xml:space="preserve">INFORMACIÓN PÚBLICA, CONCEPTO DE, EN MATERIA DE TRANSPARENCIA. INTERPRETACIÓN TEMÁTICA DE LOS ARTÍCULOS 2, FRACCIÓN </w:t>
      </w:r>
      <w:r w:rsidRPr="00E53694">
        <w:rPr>
          <w:rFonts w:cs="Arial"/>
          <w:b/>
          <w:bCs/>
          <w:i/>
          <w:sz w:val="22"/>
          <w:lang w:val="es-MX"/>
        </w:rPr>
        <w:t xml:space="preserve">V, XV, Y XVI, </w:t>
      </w:r>
      <w:r w:rsidRPr="00E53694">
        <w:rPr>
          <w:rFonts w:cs="Arial"/>
          <w:b/>
          <w:i/>
          <w:sz w:val="22"/>
          <w:lang w:val="es-MX"/>
        </w:rPr>
        <w:t>32, 4,11 Y 41.</w:t>
      </w:r>
      <w:r w:rsidRPr="00E53694">
        <w:rPr>
          <w:rFonts w:cs="Arial"/>
          <w:i/>
          <w:sz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w:t>
      </w:r>
      <w:r w:rsidRPr="00E53694">
        <w:rPr>
          <w:rFonts w:cs="Arial"/>
          <w:i/>
          <w:sz w:val="22"/>
          <w:lang w:val="es-MX"/>
        </w:rPr>
        <w:lastRenderedPageBreak/>
        <w:t>o en posesión de los órganos u organismos públicos, en virtud del ejercicio de sus funciones de derecho público, sin importar su fuente, soporte o fecha de elaboración.</w:t>
      </w:r>
    </w:p>
    <w:p w14:paraId="5DEC9727" w14:textId="77777777" w:rsidR="00F402CD" w:rsidRPr="00E53694" w:rsidRDefault="00F402CD" w:rsidP="00F402CD">
      <w:pPr>
        <w:autoSpaceDE w:val="0"/>
        <w:autoSpaceDN w:val="0"/>
        <w:adjustRightInd w:val="0"/>
        <w:spacing w:after="160" w:line="276" w:lineRule="auto"/>
        <w:ind w:left="567" w:right="616"/>
        <w:rPr>
          <w:rFonts w:cs="Arial"/>
          <w:i/>
          <w:sz w:val="22"/>
          <w:lang w:val="es-MX"/>
        </w:rPr>
      </w:pPr>
      <w:r w:rsidRPr="00E53694">
        <w:rPr>
          <w:rFonts w:cs="Arial"/>
          <w:i/>
          <w:sz w:val="22"/>
          <w:lang w:val="es-MX"/>
        </w:rPr>
        <w:t>En consecuencia el acceso a la información se refiere a que se cumplan cualquiera de los siguientes tres supuestos:</w:t>
      </w:r>
    </w:p>
    <w:p w14:paraId="586FA236" w14:textId="77777777" w:rsidR="00F402CD" w:rsidRPr="00E53694" w:rsidRDefault="00F402CD" w:rsidP="00F402CD">
      <w:pPr>
        <w:autoSpaceDE w:val="0"/>
        <w:autoSpaceDN w:val="0"/>
        <w:adjustRightInd w:val="0"/>
        <w:spacing w:after="160" w:line="276" w:lineRule="auto"/>
        <w:ind w:left="567" w:right="616"/>
        <w:rPr>
          <w:rFonts w:cs="Arial"/>
          <w:i/>
          <w:sz w:val="22"/>
          <w:lang w:val="es-MX"/>
        </w:rPr>
      </w:pPr>
      <w:r w:rsidRPr="00E53694">
        <w:rPr>
          <w:rFonts w:cs="Arial"/>
          <w:i/>
          <w:sz w:val="22"/>
          <w:lang w:val="es-MX"/>
        </w:rPr>
        <w:t>Que se trate de información registrada en cualquier soporte documental, que en ejercicio de las atribuciones conferidas, sea generada por los Sujetos Obligados;</w:t>
      </w:r>
    </w:p>
    <w:p w14:paraId="4DAED2CC" w14:textId="77777777" w:rsidR="00F402CD" w:rsidRPr="00E53694" w:rsidRDefault="00F402CD" w:rsidP="00F402CD">
      <w:pPr>
        <w:autoSpaceDE w:val="0"/>
        <w:autoSpaceDN w:val="0"/>
        <w:adjustRightInd w:val="0"/>
        <w:spacing w:after="160" w:line="276" w:lineRule="auto"/>
        <w:ind w:left="567" w:right="616"/>
        <w:rPr>
          <w:rFonts w:cs="Arial"/>
          <w:i/>
          <w:sz w:val="22"/>
          <w:lang w:val="es-MX"/>
        </w:rPr>
      </w:pPr>
      <w:r w:rsidRPr="00E53694">
        <w:rPr>
          <w:rFonts w:cs="Arial"/>
          <w:i/>
          <w:sz w:val="22"/>
          <w:lang w:val="es-MX"/>
        </w:rPr>
        <w:t>Que se trate de información registrada en cualquier soporte documental, que en ejercicio de las atribuciones conferidas, sea administrada por los Sujetos Obligados, y</w:t>
      </w:r>
    </w:p>
    <w:p w14:paraId="46D9CC80" w14:textId="77777777" w:rsidR="00F402CD" w:rsidRPr="00E53694" w:rsidRDefault="00F402CD" w:rsidP="00F402CD">
      <w:pPr>
        <w:autoSpaceDE w:val="0"/>
        <w:autoSpaceDN w:val="0"/>
        <w:adjustRightInd w:val="0"/>
        <w:spacing w:after="160" w:line="276" w:lineRule="auto"/>
        <w:ind w:left="567" w:right="616"/>
        <w:rPr>
          <w:rFonts w:cs="Arial"/>
          <w:i/>
          <w:sz w:val="22"/>
          <w:lang w:val="es-MX"/>
        </w:rPr>
      </w:pPr>
      <w:r w:rsidRPr="00E53694">
        <w:rPr>
          <w:rFonts w:cs="Arial"/>
          <w:i/>
          <w:sz w:val="22"/>
          <w:lang w:val="es-MX"/>
        </w:rPr>
        <w:t>Que se trate de información registrada en cualquier soporte documental, que en ejercicio de las atribuciones conferidas, se encuentre en posesión de los Sujetos Obligados.</w:t>
      </w:r>
    </w:p>
    <w:p w14:paraId="2C873606" w14:textId="77777777" w:rsidR="00F402CD" w:rsidRPr="00E53694" w:rsidRDefault="00F402CD" w:rsidP="00F402CD">
      <w:pPr>
        <w:rPr>
          <w:rFonts w:eastAsia="Times New Roman" w:cs="Times New Roman"/>
          <w:szCs w:val="24"/>
          <w:lang w:val="es-MX" w:eastAsia="es-ES"/>
        </w:rPr>
      </w:pPr>
    </w:p>
    <w:p w14:paraId="5A3050C1" w14:textId="77777777" w:rsidR="00F402CD" w:rsidRPr="00E53694" w:rsidRDefault="00F402CD" w:rsidP="00F402CD">
      <w:pPr>
        <w:rPr>
          <w:rFonts w:eastAsia="Times New Roman" w:cs="Times New Roman"/>
          <w:i/>
          <w:szCs w:val="24"/>
          <w:lang w:val="es-MX"/>
        </w:rPr>
      </w:pPr>
      <w:r w:rsidRPr="00E53694">
        <w:rPr>
          <w:rFonts w:eastAsia="Times New Roman" w:cs="Times New Roman"/>
          <w:szCs w:val="24"/>
          <w:lang w:val="es-MX"/>
        </w:rPr>
        <w:t xml:space="preserve">Es decir, </w:t>
      </w:r>
      <w:r w:rsidRPr="00E53694">
        <w:rPr>
          <w:rFonts w:eastAsia="Times New Roman" w:cs="Times New Roman"/>
          <w:b/>
          <w:szCs w:val="24"/>
          <w:lang w:val="es-MX"/>
        </w:rPr>
        <w:t>el derecho a la información constituye una prerrogativa a acceder a documentación en poder de los Sujetos Obligados</w:t>
      </w:r>
      <w:r w:rsidRPr="00E53694">
        <w:rPr>
          <w:rFonts w:eastAsia="Times New Roman" w:cs="Times New Roman"/>
          <w:szCs w:val="24"/>
          <w:lang w:val="es-MX"/>
        </w:rPr>
        <w:t>, no así a realizar cuestionamientos o manifestaciones subjetivas. Sirve de apoyo a lo anterior la definición de derecho a la información de Ernesto Villanueva Villanueva que dice: “</w:t>
      </w:r>
      <w:r w:rsidRPr="00E53694">
        <w:rPr>
          <w:rFonts w:eastAsia="Times New Roman" w:cs="Times New Roman"/>
          <w:i/>
          <w:szCs w:val="24"/>
          <w:lang w:val="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0A96EE62" w14:textId="77777777" w:rsidR="00F402CD" w:rsidRPr="00E53694" w:rsidRDefault="00F402CD" w:rsidP="00F402CD">
      <w:pPr>
        <w:rPr>
          <w:rFonts w:eastAsia="Times New Roman" w:cs="Times New Roman"/>
          <w:i/>
          <w:szCs w:val="24"/>
          <w:lang w:val="es-MX"/>
        </w:rPr>
      </w:pPr>
    </w:p>
    <w:p w14:paraId="4973D1B6" w14:textId="77777777" w:rsidR="001B1434" w:rsidRPr="00E53694" w:rsidRDefault="00F402CD" w:rsidP="00F402CD">
      <w:pPr>
        <w:rPr>
          <w:rFonts w:eastAsia="Times New Roman" w:cs="Times New Roman"/>
          <w:szCs w:val="24"/>
          <w:lang w:val="es-MX" w:eastAsia="es-ES"/>
        </w:rPr>
      </w:pPr>
      <w:r w:rsidRPr="00E53694">
        <w:rPr>
          <w:rFonts w:eastAsia="Times New Roman" w:cs="Times New Roman"/>
          <w:szCs w:val="24"/>
          <w:lang w:val="es-MX" w:eastAsia="es-ES"/>
        </w:rPr>
        <w:t>De tal modo que el planteamiento realizado por el Recurrente no se constituye como materia del derecho de acceso a la información; en consecuencia, el Sujeto Obligado no se encontraba constreñido a emitir una respuesta al mismo y tampoco resulta procedente ordenarle que se manifieste al respecto mediante la presente resolución</w:t>
      </w:r>
      <w:r w:rsidR="001B1434" w:rsidRPr="00E53694">
        <w:rPr>
          <w:rFonts w:eastAsia="Times New Roman" w:cs="Times New Roman"/>
          <w:szCs w:val="24"/>
          <w:lang w:val="es-MX" w:eastAsia="es-ES"/>
        </w:rPr>
        <w:t>.</w:t>
      </w:r>
    </w:p>
    <w:p w14:paraId="0B4CF127" w14:textId="77777777" w:rsidR="001B1434" w:rsidRPr="00E53694" w:rsidRDefault="001B1434" w:rsidP="00F402CD">
      <w:pPr>
        <w:rPr>
          <w:rFonts w:eastAsia="Times New Roman" w:cs="Times New Roman"/>
          <w:szCs w:val="24"/>
          <w:lang w:val="es-MX" w:eastAsia="es-ES"/>
        </w:rPr>
      </w:pPr>
    </w:p>
    <w:p w14:paraId="5B43D927" w14:textId="045EDC07" w:rsidR="00F402CD" w:rsidRPr="00E53694" w:rsidRDefault="001B1434" w:rsidP="00F402CD">
      <w:pPr>
        <w:rPr>
          <w:rFonts w:eastAsia="Times New Roman" w:cs="Times New Roman"/>
          <w:szCs w:val="24"/>
          <w:lang w:val="es-MX" w:eastAsia="es-ES"/>
        </w:rPr>
      </w:pPr>
      <w:r w:rsidRPr="00E53694">
        <w:rPr>
          <w:rFonts w:eastAsia="Times New Roman" w:cs="Times New Roman"/>
          <w:szCs w:val="24"/>
          <w:lang w:val="es-MX" w:eastAsia="es-ES"/>
        </w:rPr>
        <w:lastRenderedPageBreak/>
        <w:t>No obstante, no pasa desapercibido a este Instituto que al momento de dar respuesta al punto 2 de la solicitud, el Sujeto Obligado manifestó que las unidades sin matrícula se encuentran en proceso, por lo que se debe tener por colmado el punto 3.</w:t>
      </w:r>
    </w:p>
    <w:p w14:paraId="4AE3130E" w14:textId="77777777" w:rsidR="001B1434" w:rsidRPr="00E53694" w:rsidRDefault="001B1434" w:rsidP="00F402CD">
      <w:pPr>
        <w:rPr>
          <w:rFonts w:eastAsia="Times New Roman" w:cs="Times New Roman"/>
          <w:szCs w:val="24"/>
          <w:lang w:val="es-MX" w:eastAsia="es-ES"/>
        </w:rPr>
      </w:pPr>
    </w:p>
    <w:p w14:paraId="462BA726" w14:textId="12CF8766" w:rsidR="001B1434" w:rsidRPr="00E53694" w:rsidRDefault="001B1434" w:rsidP="00F402CD">
      <w:pPr>
        <w:rPr>
          <w:rFonts w:eastAsia="Times New Roman" w:cs="Times New Roman"/>
          <w:szCs w:val="24"/>
          <w:lang w:val="es-MX" w:eastAsia="es-ES"/>
        </w:rPr>
      </w:pPr>
      <w:r w:rsidRPr="00E53694">
        <w:rPr>
          <w:rFonts w:eastAsia="Times New Roman" w:cs="Times New Roman"/>
          <w:szCs w:val="24"/>
          <w:lang w:val="es-MX" w:eastAsia="es-ES"/>
        </w:rPr>
        <w:t xml:space="preserve">Por lo argumentado anteriormente, </w:t>
      </w:r>
      <w:r w:rsidR="00A30389" w:rsidRPr="00E53694">
        <w:rPr>
          <w:rFonts w:eastAsia="Times New Roman" w:cs="Times New Roman"/>
          <w:szCs w:val="24"/>
          <w:lang w:val="es-MX" w:eastAsia="es-ES"/>
        </w:rPr>
        <w:t>este Instituto estima que las razones o motivos de inconformidad del Recurrente devienen parcialmente fundados, por lo que es procedente modificar la respuesta del Sujeto Obligado y ordenar que se haga entrega del documento o estadística en donde conste el número total de elementos de seguridad pública desglosado al mayor grado de desagregación posible, que se encuentre actualizado al quince de marzo de dos mil veintitrés.</w:t>
      </w:r>
    </w:p>
    <w:p w14:paraId="4403D378" w14:textId="77777777" w:rsidR="00C26451" w:rsidRPr="00E53694" w:rsidRDefault="00C26451" w:rsidP="0048668F"/>
    <w:p w14:paraId="61D46EA5" w14:textId="12CF0954" w:rsidR="00C26451" w:rsidRPr="00E53694" w:rsidRDefault="00A30389" w:rsidP="0048668F">
      <w:r w:rsidRPr="00E53694">
        <w:t xml:space="preserve">No se omite </w:t>
      </w:r>
      <w:r w:rsidR="00EC467F" w:rsidRPr="00E53694">
        <w:t>mencionar que, dada la naturaleza de la información que se ordena entregar, este Instituto no considera que contenga datos susceptibles de ser clasificados; empero, en el supuesto de que el Sujeto Obligado determine que ésta contiene información de carácter confidencial o reservada, se deberá hacer entrega de la versión pública, así como del acuerdo que emita el Comité de Transparencia, mediante el cual se funde y motive la supresión o testado de datos.</w:t>
      </w:r>
    </w:p>
    <w:p w14:paraId="216CB539" w14:textId="77777777" w:rsidR="0027567F" w:rsidRPr="00E53694" w:rsidRDefault="0027567F" w:rsidP="0048668F"/>
    <w:p w14:paraId="62711FC6" w14:textId="52C615D4" w:rsidR="0027567F" w:rsidRPr="00E53694" w:rsidRDefault="0027567F" w:rsidP="0048668F">
      <w:r w:rsidRPr="00E53694">
        <w:t>Asimismo, dado que el Recurrente solicitó que la información se entregara vía correo electrónico y en cualquier otr</w:t>
      </w:r>
      <w:r w:rsidR="007664FC" w:rsidRPr="00E53694">
        <w:t>o medio incluidos los electrónicos, el Sujeto Obligado deberá hacer del conocimiento del particular el procedimiento específico para acceder a la información solicitada, señalando los pasos para realizar el pago de derechos (en caso de que esto proceda) o de manera gratuita si el Recurrente proporciona el medio electrónico elegido para tal efecto.</w:t>
      </w:r>
    </w:p>
    <w:p w14:paraId="2329B9F1" w14:textId="77777777" w:rsidR="00EC467F" w:rsidRPr="00E53694" w:rsidRDefault="00EC467F" w:rsidP="0048668F"/>
    <w:p w14:paraId="2148D534" w14:textId="77777777" w:rsidR="00EC467F" w:rsidRPr="00E53694" w:rsidRDefault="00EC467F" w:rsidP="00EC467F">
      <w:pPr>
        <w:keepNext/>
        <w:keepLines/>
        <w:outlineLvl w:val="2"/>
        <w:rPr>
          <w:rFonts w:eastAsia="Palatino Linotype" w:cstheme="majorBidi"/>
          <w:b/>
          <w:i/>
          <w:color w:val="000000" w:themeColor="text1"/>
          <w:szCs w:val="24"/>
          <w:u w:val="single"/>
        </w:rPr>
      </w:pPr>
      <w:r w:rsidRPr="00E53694">
        <w:rPr>
          <w:rFonts w:eastAsia="Palatino Linotype" w:cstheme="majorBidi"/>
          <w:b/>
          <w:i/>
          <w:color w:val="000000" w:themeColor="text1"/>
          <w:szCs w:val="24"/>
          <w:u w:val="single"/>
        </w:rPr>
        <w:t>DE LA VERSIÓN PÚBLICA</w:t>
      </w:r>
    </w:p>
    <w:p w14:paraId="0227FCAB" w14:textId="77777777" w:rsidR="00EC467F" w:rsidRPr="00E53694" w:rsidRDefault="00EC467F" w:rsidP="00EC467F">
      <w:pPr>
        <w:rPr>
          <w:rFonts w:eastAsia="Palatino Linotype" w:cs="Palatino Linotype"/>
          <w:szCs w:val="24"/>
        </w:rPr>
      </w:pPr>
      <w:r w:rsidRPr="00E53694">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314D841" w14:textId="77777777" w:rsidR="00EC467F" w:rsidRPr="00E53694" w:rsidRDefault="00EC467F" w:rsidP="00EC467F">
      <w:pPr>
        <w:rPr>
          <w:rFonts w:eastAsia="Palatino Linotype" w:cs="Palatino Linotype"/>
          <w:szCs w:val="24"/>
        </w:rPr>
      </w:pPr>
    </w:p>
    <w:p w14:paraId="61B90EEE"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b/>
          <w:i/>
          <w:color w:val="000000"/>
          <w:sz w:val="22"/>
          <w:szCs w:val="24"/>
        </w:rPr>
        <w:t>Artículo 3.</w:t>
      </w:r>
      <w:r w:rsidRPr="00E53694">
        <w:rPr>
          <w:rFonts w:eastAsia="Palatino Linotype" w:cs="Palatino Linotype"/>
          <w:i/>
          <w:color w:val="000000"/>
          <w:sz w:val="22"/>
          <w:szCs w:val="24"/>
        </w:rPr>
        <w:t xml:space="preserve"> Para los efectos de la presente Ley se entenderá por:</w:t>
      </w:r>
    </w:p>
    <w:p w14:paraId="137E9EB9"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i/>
          <w:color w:val="000000"/>
          <w:sz w:val="22"/>
          <w:szCs w:val="24"/>
        </w:rPr>
        <w:t>(…)</w:t>
      </w:r>
    </w:p>
    <w:p w14:paraId="7B9BE603"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b/>
          <w:i/>
          <w:color w:val="000000"/>
          <w:sz w:val="22"/>
          <w:szCs w:val="24"/>
        </w:rPr>
        <w:t>IX. Datos personales:</w:t>
      </w:r>
      <w:r w:rsidRPr="00E53694">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26D3F3E2"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b/>
          <w:i/>
          <w:color w:val="000000"/>
          <w:sz w:val="22"/>
          <w:szCs w:val="24"/>
        </w:rPr>
        <w:t>XX.</w:t>
      </w:r>
      <w:r w:rsidRPr="00E53694">
        <w:rPr>
          <w:rFonts w:eastAsia="Palatino Linotype" w:cs="Palatino Linotype"/>
          <w:i/>
          <w:color w:val="000000"/>
          <w:sz w:val="22"/>
          <w:szCs w:val="24"/>
        </w:rPr>
        <w:t xml:space="preserve"> </w:t>
      </w:r>
      <w:r w:rsidRPr="00E53694">
        <w:rPr>
          <w:rFonts w:eastAsia="Palatino Linotype" w:cs="Palatino Linotype"/>
          <w:b/>
          <w:i/>
          <w:color w:val="000000"/>
          <w:sz w:val="22"/>
          <w:szCs w:val="24"/>
        </w:rPr>
        <w:t>Información clasificada:</w:t>
      </w:r>
      <w:r w:rsidRPr="00E53694">
        <w:rPr>
          <w:rFonts w:eastAsia="Palatino Linotype" w:cs="Palatino Linotype"/>
          <w:i/>
          <w:color w:val="000000"/>
          <w:sz w:val="22"/>
          <w:szCs w:val="24"/>
        </w:rPr>
        <w:t xml:space="preserve"> Aquella considerada por la presente Ley como reservada o confidencial;</w:t>
      </w:r>
    </w:p>
    <w:p w14:paraId="2C3FE312"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b/>
          <w:i/>
          <w:color w:val="000000"/>
          <w:sz w:val="22"/>
          <w:szCs w:val="24"/>
        </w:rPr>
        <w:t>XXI.</w:t>
      </w:r>
      <w:r w:rsidRPr="00E53694">
        <w:rPr>
          <w:rFonts w:eastAsia="Palatino Linotype" w:cs="Palatino Linotype"/>
          <w:i/>
          <w:color w:val="000000"/>
          <w:sz w:val="22"/>
          <w:szCs w:val="24"/>
        </w:rPr>
        <w:t xml:space="preserve"> </w:t>
      </w:r>
      <w:r w:rsidRPr="00E53694">
        <w:rPr>
          <w:rFonts w:eastAsia="Palatino Linotype" w:cs="Palatino Linotype"/>
          <w:b/>
          <w:i/>
          <w:color w:val="000000"/>
          <w:sz w:val="22"/>
          <w:szCs w:val="24"/>
        </w:rPr>
        <w:t>Información confidencial:</w:t>
      </w:r>
      <w:r w:rsidRPr="00E53694">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9F6E555"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b/>
          <w:i/>
          <w:color w:val="000000"/>
          <w:sz w:val="22"/>
          <w:szCs w:val="24"/>
        </w:rPr>
        <w:t>…</w:t>
      </w:r>
    </w:p>
    <w:p w14:paraId="7FC8C5C4"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b/>
          <w:i/>
          <w:color w:val="000000"/>
          <w:sz w:val="22"/>
          <w:szCs w:val="24"/>
        </w:rPr>
        <w:t>XLV.</w:t>
      </w:r>
      <w:r w:rsidRPr="00E53694">
        <w:rPr>
          <w:rFonts w:eastAsia="Palatino Linotype" w:cs="Palatino Linotype"/>
          <w:i/>
          <w:color w:val="000000"/>
          <w:sz w:val="22"/>
          <w:szCs w:val="24"/>
        </w:rPr>
        <w:t xml:space="preserve"> </w:t>
      </w:r>
      <w:r w:rsidRPr="00E53694">
        <w:rPr>
          <w:rFonts w:eastAsia="Palatino Linotype" w:cs="Palatino Linotype"/>
          <w:b/>
          <w:i/>
          <w:color w:val="000000"/>
          <w:sz w:val="22"/>
          <w:szCs w:val="24"/>
        </w:rPr>
        <w:t>Versión pública:</w:t>
      </w:r>
      <w:r w:rsidRPr="00E53694">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457F2E1"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i/>
          <w:color w:val="000000"/>
          <w:sz w:val="22"/>
          <w:szCs w:val="24"/>
        </w:rPr>
        <w:t>(…)</w:t>
      </w:r>
    </w:p>
    <w:p w14:paraId="4D0D732F"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808BCED"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b/>
          <w:i/>
          <w:color w:val="000000"/>
          <w:sz w:val="22"/>
          <w:szCs w:val="24"/>
        </w:rPr>
        <w:t xml:space="preserve">Artículo 91. </w:t>
      </w:r>
      <w:r w:rsidRPr="00E53694">
        <w:rPr>
          <w:rFonts w:eastAsia="Palatino Linotype" w:cs="Palatino Linotype"/>
          <w:i/>
          <w:color w:val="000000"/>
          <w:sz w:val="22"/>
          <w:szCs w:val="24"/>
        </w:rPr>
        <w:t>El acceso a la información pública será restringido excepcionalmente, cuando ésta sea clasificada como reservada o confidencial.</w:t>
      </w:r>
    </w:p>
    <w:p w14:paraId="22448453"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9952EC8"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b/>
          <w:i/>
          <w:color w:val="000000"/>
          <w:sz w:val="22"/>
          <w:szCs w:val="24"/>
        </w:rPr>
        <w:t>Artículo 132.</w:t>
      </w:r>
      <w:r w:rsidRPr="00E53694">
        <w:rPr>
          <w:rFonts w:eastAsia="Palatino Linotype" w:cs="Palatino Linotype"/>
          <w:i/>
          <w:color w:val="000000"/>
          <w:sz w:val="22"/>
          <w:szCs w:val="24"/>
        </w:rPr>
        <w:t xml:space="preserve"> </w:t>
      </w:r>
      <w:r w:rsidRPr="00E53694">
        <w:rPr>
          <w:rFonts w:eastAsia="Palatino Linotype" w:cs="Palatino Linotype"/>
          <w:i/>
          <w:color w:val="000000"/>
          <w:sz w:val="22"/>
          <w:szCs w:val="24"/>
          <w:u w:val="single"/>
        </w:rPr>
        <w:t>La clasificación de la información se llevará a cabo en el momento en que</w:t>
      </w:r>
      <w:r w:rsidRPr="00E53694">
        <w:rPr>
          <w:rFonts w:eastAsia="Palatino Linotype" w:cs="Palatino Linotype"/>
          <w:i/>
          <w:color w:val="000000"/>
          <w:sz w:val="22"/>
          <w:szCs w:val="24"/>
        </w:rPr>
        <w:t>:</w:t>
      </w:r>
    </w:p>
    <w:p w14:paraId="2B308533"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b/>
          <w:i/>
          <w:color w:val="000000"/>
          <w:sz w:val="22"/>
          <w:szCs w:val="24"/>
        </w:rPr>
        <w:t>I.</w:t>
      </w:r>
      <w:r w:rsidRPr="00E53694">
        <w:rPr>
          <w:rFonts w:eastAsia="Palatino Linotype" w:cs="Palatino Linotype"/>
          <w:i/>
          <w:color w:val="000000"/>
          <w:sz w:val="22"/>
          <w:szCs w:val="24"/>
        </w:rPr>
        <w:t xml:space="preserve"> Se reciba una solicitud de acceso a la información;</w:t>
      </w:r>
    </w:p>
    <w:p w14:paraId="7F72C77F"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b/>
          <w:i/>
          <w:color w:val="000000"/>
          <w:sz w:val="22"/>
          <w:szCs w:val="24"/>
        </w:rPr>
        <w:t>II.</w:t>
      </w:r>
      <w:r w:rsidRPr="00E53694">
        <w:rPr>
          <w:rFonts w:eastAsia="Palatino Linotype" w:cs="Palatino Linotype"/>
          <w:i/>
          <w:color w:val="000000"/>
          <w:sz w:val="22"/>
          <w:szCs w:val="24"/>
        </w:rPr>
        <w:t xml:space="preserve"> </w:t>
      </w:r>
      <w:r w:rsidRPr="00E53694">
        <w:rPr>
          <w:rFonts w:eastAsia="Palatino Linotype" w:cs="Palatino Linotype"/>
          <w:i/>
          <w:color w:val="000000"/>
          <w:sz w:val="22"/>
          <w:szCs w:val="24"/>
          <w:u w:val="single"/>
        </w:rPr>
        <w:t>Se determine mediante resolución de autoridad competente; o</w:t>
      </w:r>
    </w:p>
    <w:p w14:paraId="715C4866"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E53694">
        <w:rPr>
          <w:rFonts w:eastAsia="Palatino Linotype" w:cs="Palatino Linotype"/>
          <w:b/>
          <w:i/>
          <w:color w:val="000000"/>
          <w:sz w:val="22"/>
          <w:szCs w:val="24"/>
        </w:rPr>
        <w:t>III.</w:t>
      </w:r>
      <w:r w:rsidRPr="00E53694">
        <w:rPr>
          <w:rFonts w:eastAsia="Palatino Linotype" w:cs="Palatino Linotype"/>
          <w:i/>
          <w:color w:val="000000"/>
          <w:sz w:val="22"/>
          <w:szCs w:val="24"/>
        </w:rPr>
        <w:t xml:space="preserve"> </w:t>
      </w:r>
      <w:r w:rsidRPr="00E53694">
        <w:rPr>
          <w:rFonts w:eastAsia="Palatino Linotype" w:cs="Palatino Linotype"/>
          <w:i/>
          <w:color w:val="000000"/>
          <w:sz w:val="22"/>
          <w:szCs w:val="24"/>
          <w:u w:val="single"/>
        </w:rPr>
        <w:t>Se generen versiones públicas para dar cumplimiento a las obligaciones de transparencia previstas en esta Ley.</w:t>
      </w:r>
    </w:p>
    <w:p w14:paraId="7C52553B"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i/>
          <w:color w:val="000000"/>
          <w:sz w:val="22"/>
          <w:szCs w:val="24"/>
        </w:rPr>
        <w:t>(…)</w:t>
      </w:r>
    </w:p>
    <w:p w14:paraId="7D9CB316" w14:textId="77777777" w:rsidR="00EC467F" w:rsidRPr="00E53694" w:rsidRDefault="00EC467F" w:rsidP="00EC467F">
      <w:pPr>
        <w:rPr>
          <w:rFonts w:eastAsia="Palatino Linotype" w:cs="Palatino Linotype"/>
          <w:i/>
          <w:szCs w:val="24"/>
        </w:rPr>
      </w:pPr>
    </w:p>
    <w:p w14:paraId="7F8F6087" w14:textId="77777777" w:rsidR="00EC467F" w:rsidRPr="00E53694" w:rsidRDefault="00EC467F" w:rsidP="00EC467F">
      <w:pPr>
        <w:rPr>
          <w:rFonts w:eastAsia="Palatino Linotype" w:cs="Palatino Linotype"/>
          <w:szCs w:val="24"/>
        </w:rPr>
      </w:pPr>
      <w:r w:rsidRPr="00E53694">
        <w:rPr>
          <w:rFonts w:eastAsia="Palatino Linotype" w:cs="Palatino Linotype"/>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A771FE4" w14:textId="77777777" w:rsidR="00EC467F" w:rsidRPr="00E53694" w:rsidRDefault="00EC467F" w:rsidP="00EC467F">
      <w:pPr>
        <w:rPr>
          <w:rFonts w:eastAsia="Palatino Linotype" w:cs="Palatino Linotype"/>
          <w:szCs w:val="24"/>
        </w:rPr>
      </w:pPr>
    </w:p>
    <w:p w14:paraId="5951676B" w14:textId="77777777" w:rsidR="0079449E" w:rsidRPr="00E53694" w:rsidRDefault="00EC467F" w:rsidP="00EC467F">
      <w:pPr>
        <w:rPr>
          <w:rFonts w:eastAsia="Palatino Linotype" w:cs="Palatino Linotype"/>
          <w:szCs w:val="24"/>
        </w:rPr>
      </w:pPr>
      <w:r w:rsidRPr="00E53694">
        <w:rPr>
          <w:rFonts w:eastAsia="Palatino Linotype" w:cs="Palatino Linotype"/>
          <w:szCs w:val="24"/>
        </w:rPr>
        <w:t xml:space="preserve">Por otro lado, los </w:t>
      </w:r>
      <w:r w:rsidRPr="00E53694">
        <w:rPr>
          <w:rFonts w:eastAsia="Palatino Linotype" w:cs="Palatino Linotype"/>
          <w:i/>
          <w:szCs w:val="24"/>
        </w:rPr>
        <w:t>Lineamientos Generales en Materia de Clasificación y Desclasificación de la Información, así como para la elaboración de Versiones Públicas</w:t>
      </w:r>
      <w:r w:rsidRPr="00E53694">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w:t>
      </w:r>
    </w:p>
    <w:p w14:paraId="54BEE767" w14:textId="77777777" w:rsidR="0079449E" w:rsidRPr="00E53694" w:rsidRDefault="0079449E" w:rsidP="00EC467F">
      <w:pPr>
        <w:rPr>
          <w:rFonts w:eastAsia="Palatino Linotype" w:cs="Palatino Linotype"/>
          <w:szCs w:val="24"/>
        </w:rPr>
      </w:pPr>
    </w:p>
    <w:p w14:paraId="2B78D24B" w14:textId="22F965B0" w:rsidR="00EC467F" w:rsidRPr="00E53694" w:rsidRDefault="00EC467F" w:rsidP="00EC467F">
      <w:pPr>
        <w:rPr>
          <w:rFonts w:eastAsia="Palatino Linotype" w:cs="Palatino Linotype"/>
          <w:szCs w:val="24"/>
        </w:rPr>
      </w:pPr>
      <w:r w:rsidRPr="00E53694">
        <w:rPr>
          <w:rFonts w:eastAsia="Palatino Linotype" w:cs="Palatino Linotype"/>
          <w:szCs w:val="24"/>
        </w:rPr>
        <w:t>Asimismo, los Lineamientos Quincuagésimo sexto, Quincuagésimo séptimo y Quincuagésimo octavo, establecen lo siguiente:</w:t>
      </w:r>
    </w:p>
    <w:p w14:paraId="55285F49" w14:textId="77777777" w:rsidR="00EC467F" w:rsidRPr="00E53694" w:rsidRDefault="00EC467F" w:rsidP="00EC467F">
      <w:pPr>
        <w:rPr>
          <w:rFonts w:eastAsia="Palatino Linotype" w:cs="Palatino Linotype"/>
        </w:rPr>
      </w:pPr>
    </w:p>
    <w:p w14:paraId="08DC5DC6"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E53694">
        <w:rPr>
          <w:rFonts w:eastAsia="Palatino Linotype" w:cs="Palatino Linotype"/>
          <w:b/>
          <w:i/>
          <w:color w:val="000000"/>
          <w:sz w:val="22"/>
          <w:szCs w:val="24"/>
        </w:rPr>
        <w:t>Quincuagésimo sexto.</w:t>
      </w:r>
      <w:r w:rsidRPr="00E53694">
        <w:rPr>
          <w:rFonts w:eastAsia="Palatino Linotype" w:cs="Palatino Linotype"/>
          <w:i/>
          <w:color w:val="000000"/>
          <w:sz w:val="22"/>
          <w:szCs w:val="24"/>
        </w:rPr>
        <w:t xml:space="preserve"> </w:t>
      </w:r>
      <w:r w:rsidRPr="00E53694">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90617C6"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9CACC2A"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b/>
          <w:i/>
          <w:color w:val="000000"/>
          <w:sz w:val="22"/>
          <w:szCs w:val="24"/>
        </w:rPr>
        <w:t>Quincuagésimo séptimo.</w:t>
      </w:r>
      <w:r w:rsidRPr="00E53694">
        <w:rPr>
          <w:rFonts w:eastAsia="Palatino Linotype" w:cs="Palatino Linotype"/>
          <w:i/>
          <w:color w:val="000000"/>
          <w:sz w:val="22"/>
          <w:szCs w:val="24"/>
        </w:rPr>
        <w:t xml:space="preserve"> Se considera, en principio, como información pública y no podrá omitirse de las versiones públicas la siguiente:</w:t>
      </w:r>
    </w:p>
    <w:p w14:paraId="04073ACF"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467B89F"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3A225FB0"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i/>
          <w:color w:val="000000"/>
          <w:sz w:val="22"/>
          <w:szCs w:val="24"/>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53BDB80E"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i/>
          <w:color w:val="000000"/>
          <w:sz w:val="22"/>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04AD81D"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251A102"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509AA6B6"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7FA7DEA" w14:textId="77777777" w:rsidR="00EC467F" w:rsidRPr="00E53694" w:rsidRDefault="00EC467F" w:rsidP="00EC467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53694">
        <w:rPr>
          <w:rFonts w:eastAsia="Palatino Linotype" w:cs="Palatino Linotype"/>
          <w:b/>
          <w:i/>
          <w:color w:val="000000"/>
          <w:sz w:val="22"/>
          <w:szCs w:val="24"/>
        </w:rPr>
        <w:t>Quincuagésimo octavo.</w:t>
      </w:r>
      <w:r w:rsidRPr="00E53694">
        <w:rPr>
          <w:rFonts w:eastAsia="Palatino Linotype" w:cs="Palatino Linotype"/>
          <w:i/>
          <w:color w:val="000000"/>
          <w:sz w:val="22"/>
          <w:szCs w:val="24"/>
        </w:rPr>
        <w:t xml:space="preserve"> Los sujetos obligados garantizarán que los sistemas o medios empleados para eliminar la información en las versiones públicas sean irreversibles, de tal forma que no permitan la recuperación o visualización de la misma.</w:t>
      </w:r>
    </w:p>
    <w:p w14:paraId="3FBD6621" w14:textId="77777777" w:rsidR="00EC467F" w:rsidRPr="00E53694" w:rsidRDefault="00EC467F" w:rsidP="00EC467F">
      <w:pPr>
        <w:rPr>
          <w:rFonts w:eastAsia="Palatino Linotype" w:cs="Palatino Linotype"/>
          <w:i/>
          <w:szCs w:val="24"/>
        </w:rPr>
      </w:pPr>
    </w:p>
    <w:p w14:paraId="6003DDF2" w14:textId="77777777" w:rsidR="00EC467F" w:rsidRPr="00E53694" w:rsidRDefault="00EC467F" w:rsidP="00EC467F">
      <w:pPr>
        <w:rPr>
          <w:rFonts w:eastAsia="Palatino Linotype" w:cs="Palatino Linotype"/>
          <w:szCs w:val="24"/>
        </w:rPr>
      </w:pPr>
      <w:r w:rsidRPr="00E53694">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F668494" w14:textId="77777777" w:rsidR="00EC467F" w:rsidRPr="00E53694" w:rsidRDefault="00EC467F" w:rsidP="00EC467F">
      <w:pPr>
        <w:rPr>
          <w:rFonts w:eastAsia="Palatino Linotype" w:cs="Palatino Linotype"/>
          <w:szCs w:val="24"/>
        </w:rPr>
      </w:pPr>
    </w:p>
    <w:p w14:paraId="6AF8D850" w14:textId="77777777" w:rsidR="00EC467F" w:rsidRPr="00E53694" w:rsidRDefault="00EC467F" w:rsidP="00EC467F">
      <w:pPr>
        <w:rPr>
          <w:rFonts w:eastAsia="Palatino Linotype" w:cs="Palatino Linotype"/>
          <w:szCs w:val="24"/>
        </w:rPr>
      </w:pPr>
      <w:r w:rsidRPr="00E53694">
        <w:rPr>
          <w:rFonts w:eastAsia="Palatino Linotype" w:cs="Palatino Linotype"/>
          <w:szCs w:val="24"/>
        </w:rPr>
        <w:t>Por lo que respecta al Acuerdo del Comité de Transparencia que sustente la versión pública de la documentación a entregar, deberá ser notificado mediante el SAIMEX.</w:t>
      </w:r>
    </w:p>
    <w:p w14:paraId="678F57E4" w14:textId="77777777" w:rsidR="00EC467F" w:rsidRPr="00E53694" w:rsidRDefault="00EC467F" w:rsidP="00EC467F">
      <w:pPr>
        <w:rPr>
          <w:rFonts w:eastAsia="Palatino Linotype" w:cs="Palatino Linotype"/>
          <w:szCs w:val="24"/>
        </w:rPr>
      </w:pPr>
    </w:p>
    <w:p w14:paraId="012BB626" w14:textId="77777777" w:rsidR="00EC467F" w:rsidRPr="00E53694" w:rsidRDefault="00EC467F" w:rsidP="00EC467F">
      <w:pPr>
        <w:pBdr>
          <w:top w:val="nil"/>
          <w:left w:val="nil"/>
          <w:bottom w:val="nil"/>
          <w:right w:val="nil"/>
          <w:between w:val="nil"/>
        </w:pBdr>
        <w:rPr>
          <w:rFonts w:eastAsia="Palatino Linotype" w:cs="Palatino Linotype"/>
          <w:color w:val="000000"/>
          <w:szCs w:val="24"/>
        </w:rPr>
      </w:pPr>
      <w:r w:rsidRPr="00E53694">
        <w:rPr>
          <w:rFonts w:eastAsia="Palatino Linotype" w:cs="Palatino Linotype"/>
          <w:color w:val="000000"/>
          <w:szCs w:val="24"/>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1B01C114" w14:textId="77777777" w:rsidR="00706383" w:rsidRPr="00E53694" w:rsidRDefault="00706383" w:rsidP="006F4C9E">
      <w:pPr>
        <w:pBdr>
          <w:top w:val="nil"/>
          <w:left w:val="nil"/>
          <w:bottom w:val="nil"/>
          <w:right w:val="nil"/>
          <w:between w:val="nil"/>
        </w:pBdr>
        <w:contextualSpacing/>
        <w:rPr>
          <w:rFonts w:eastAsia="Palatino Linotype" w:cs="Palatino Linotype"/>
          <w:szCs w:val="24"/>
        </w:rPr>
      </w:pPr>
    </w:p>
    <w:p w14:paraId="7244CAFA" w14:textId="4D7B15D8" w:rsidR="00103A9A" w:rsidRPr="00E53694" w:rsidRDefault="00103A9A" w:rsidP="00103A9A">
      <w:pPr>
        <w:pBdr>
          <w:top w:val="nil"/>
          <w:left w:val="nil"/>
          <w:bottom w:val="nil"/>
          <w:right w:val="nil"/>
          <w:between w:val="nil"/>
        </w:pBdr>
        <w:rPr>
          <w:rFonts w:eastAsia="Palatino Linotype" w:cs="Palatino Linotype"/>
          <w:color w:val="000000"/>
        </w:rPr>
      </w:pPr>
      <w:r w:rsidRPr="00E53694">
        <w:rPr>
          <w:rFonts w:eastAsia="Palatino Linotype" w:cs="Palatino Linotype"/>
          <w:color w:val="000000" w:themeColor="text1"/>
        </w:rPr>
        <w:t xml:space="preserve">En mérito de lo expuesto en líneas anteriores, este Instituto considera que los motivos de inconformidad planteados por la Recurrente resultan </w:t>
      </w:r>
      <w:r w:rsidR="00EC467F" w:rsidRPr="00E53694">
        <w:rPr>
          <w:rFonts w:eastAsia="Palatino Linotype" w:cs="Palatino Linotype"/>
          <w:color w:val="000000" w:themeColor="text1"/>
        </w:rPr>
        <w:t xml:space="preserve">parcialmente </w:t>
      </w:r>
      <w:r w:rsidRPr="00E53694">
        <w:rPr>
          <w:rFonts w:eastAsia="Palatino Linotype" w:cs="Palatino Linotype"/>
          <w:color w:val="000000" w:themeColor="text1"/>
        </w:rPr>
        <w:t xml:space="preserve">fundados en el recurso de revisión que es materia de esta resolución; por ello </w:t>
      </w:r>
      <w:r w:rsidRPr="00E53694">
        <w:rPr>
          <w:rFonts w:eastAsia="Palatino Linotype" w:cs="Palatino Linotype"/>
          <w:b/>
          <w:bCs/>
          <w:color w:val="000000" w:themeColor="text1"/>
        </w:rPr>
        <w:t xml:space="preserve">con fundamento en la segunda hipótesis de la fracción III del artículo 186 </w:t>
      </w:r>
      <w:r w:rsidRPr="00E53694">
        <w:rPr>
          <w:rFonts w:eastAsia="Palatino Linotype" w:cs="Palatino Linotype"/>
          <w:color w:val="000000" w:themeColor="text1"/>
        </w:rPr>
        <w:t xml:space="preserve">de la Ley de Transparencia y Acceso a la Información Pública del Estado de México y Municipios, se </w:t>
      </w:r>
      <w:r w:rsidRPr="00E53694">
        <w:rPr>
          <w:rFonts w:eastAsia="Palatino Linotype" w:cs="Palatino Linotype"/>
          <w:b/>
          <w:bCs/>
          <w:color w:val="000000" w:themeColor="text1"/>
        </w:rPr>
        <w:t xml:space="preserve">MODIFICA </w:t>
      </w:r>
      <w:r w:rsidRPr="00E53694">
        <w:rPr>
          <w:rFonts w:eastAsia="Palatino Linotype" w:cs="Palatino Linotype"/>
          <w:color w:val="000000" w:themeColor="text1"/>
        </w:rPr>
        <w:t>la respuesta a la solicitud de información número</w:t>
      </w:r>
      <w:r w:rsidRPr="00E53694">
        <w:rPr>
          <w:rFonts w:eastAsia="Palatino Linotype" w:cs="Palatino Linotype"/>
          <w:b/>
          <w:bCs/>
          <w:color w:val="000000" w:themeColor="text1"/>
        </w:rPr>
        <w:t xml:space="preserve"> </w:t>
      </w:r>
      <w:r w:rsidR="00EC467F" w:rsidRPr="00E53694">
        <w:rPr>
          <w:rFonts w:eastAsia="Palatino Linotype" w:cs="Palatino Linotype"/>
          <w:b/>
          <w:bCs/>
          <w:color w:val="000000"/>
          <w:szCs w:val="24"/>
        </w:rPr>
        <w:t>00026/OCOYOAC/IP/2023</w:t>
      </w:r>
      <w:r w:rsidRPr="00E53694">
        <w:rPr>
          <w:rFonts w:eastAsia="Palatino Linotype" w:cs="Palatino Linotype"/>
          <w:color w:val="000000" w:themeColor="text1"/>
        </w:rPr>
        <w:t>, que ha sido materia del presente estudio.</w:t>
      </w:r>
    </w:p>
    <w:p w14:paraId="542BDA98" w14:textId="77777777" w:rsidR="00103A9A" w:rsidRPr="00E53694"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E53694" w:rsidRDefault="00103A9A" w:rsidP="00103A9A">
      <w:pPr>
        <w:pBdr>
          <w:top w:val="nil"/>
          <w:left w:val="nil"/>
          <w:bottom w:val="nil"/>
          <w:right w:val="nil"/>
          <w:between w:val="nil"/>
        </w:pBdr>
        <w:rPr>
          <w:rFonts w:eastAsia="Palatino Linotype" w:cs="Palatino Linotype"/>
          <w:color w:val="000000"/>
          <w:szCs w:val="24"/>
        </w:rPr>
      </w:pPr>
      <w:r w:rsidRPr="00E53694">
        <w:rPr>
          <w:rFonts w:eastAsia="Palatino Linotype" w:cs="Palatino Linotype"/>
          <w:color w:val="000000"/>
          <w:szCs w:val="24"/>
        </w:rPr>
        <w:t>Por lo antes expuesto y fundado es de resolverse y,</w:t>
      </w:r>
    </w:p>
    <w:p w14:paraId="60BC1049" w14:textId="0504BB99" w:rsidR="00103A9A" w:rsidRPr="00E53694"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E53694" w:rsidRDefault="00103A9A" w:rsidP="00103A9A">
      <w:pPr>
        <w:pStyle w:val="Ttulo1"/>
        <w:rPr>
          <w:rFonts w:eastAsia="Palatino Linotype"/>
        </w:rPr>
      </w:pPr>
      <w:r w:rsidRPr="00E53694">
        <w:rPr>
          <w:rFonts w:eastAsia="Palatino Linotype"/>
        </w:rPr>
        <w:t>S E    R E S U E L V E</w:t>
      </w:r>
    </w:p>
    <w:p w14:paraId="3B639159" w14:textId="77777777" w:rsidR="00103A9A" w:rsidRPr="00E53694" w:rsidRDefault="00103A9A" w:rsidP="00103A9A">
      <w:pPr>
        <w:pBdr>
          <w:top w:val="nil"/>
          <w:left w:val="nil"/>
          <w:bottom w:val="nil"/>
          <w:right w:val="nil"/>
          <w:between w:val="nil"/>
        </w:pBdr>
        <w:rPr>
          <w:rFonts w:eastAsia="Palatino Linotype" w:cs="Palatino Linotype"/>
          <w:b/>
          <w:color w:val="000000"/>
          <w:szCs w:val="24"/>
        </w:rPr>
      </w:pPr>
    </w:p>
    <w:p w14:paraId="75CBC497" w14:textId="46AFC60B" w:rsidR="00103A9A" w:rsidRPr="00E53694" w:rsidRDefault="00103A9A" w:rsidP="00103A9A">
      <w:pPr>
        <w:pBdr>
          <w:top w:val="nil"/>
          <w:left w:val="nil"/>
          <w:bottom w:val="nil"/>
          <w:right w:val="nil"/>
          <w:between w:val="nil"/>
        </w:pBdr>
        <w:rPr>
          <w:rFonts w:eastAsia="Palatino Linotype" w:cs="Palatino Linotype"/>
          <w:color w:val="000000"/>
          <w:szCs w:val="24"/>
        </w:rPr>
      </w:pPr>
      <w:r w:rsidRPr="00E53694">
        <w:rPr>
          <w:rFonts w:eastAsia="Palatino Linotype" w:cs="Palatino Linotype"/>
          <w:b/>
          <w:bCs/>
          <w:color w:val="000000" w:themeColor="text1"/>
          <w:szCs w:val="24"/>
        </w:rPr>
        <w:t>PRIMERO.</w:t>
      </w:r>
      <w:r w:rsidRPr="00E53694">
        <w:rPr>
          <w:rFonts w:eastAsia="Palatino Linotype" w:cs="Palatino Linotype"/>
          <w:color w:val="000000" w:themeColor="text1"/>
          <w:szCs w:val="24"/>
        </w:rPr>
        <w:t xml:space="preserve"> Se </w:t>
      </w:r>
      <w:r w:rsidRPr="00E53694">
        <w:rPr>
          <w:rFonts w:eastAsia="Palatino Linotype" w:cs="Palatino Linotype"/>
          <w:b/>
          <w:bCs/>
          <w:color w:val="000000" w:themeColor="text1"/>
          <w:szCs w:val="24"/>
        </w:rPr>
        <w:t>MODIFICA</w:t>
      </w:r>
      <w:r w:rsidRPr="00E53694">
        <w:rPr>
          <w:rFonts w:eastAsia="Palatino Linotype" w:cs="Palatino Linotype"/>
          <w:color w:val="000000" w:themeColor="text1"/>
          <w:szCs w:val="24"/>
        </w:rPr>
        <w:t xml:space="preserve"> la respuesta entregada por el Sujeto Obligado</w:t>
      </w:r>
      <w:r w:rsidRPr="00E53694">
        <w:rPr>
          <w:rFonts w:eastAsia="Palatino Linotype" w:cs="Palatino Linotype"/>
          <w:b/>
          <w:bCs/>
          <w:color w:val="000000" w:themeColor="text1"/>
          <w:szCs w:val="24"/>
        </w:rPr>
        <w:t xml:space="preserve"> </w:t>
      </w:r>
      <w:r w:rsidRPr="00E53694">
        <w:rPr>
          <w:rFonts w:eastAsia="Palatino Linotype" w:cs="Palatino Linotype"/>
          <w:color w:val="000000" w:themeColor="text1"/>
          <w:szCs w:val="24"/>
        </w:rPr>
        <w:t xml:space="preserve">a la solicitud de información número </w:t>
      </w:r>
      <w:r w:rsidR="0079449E" w:rsidRPr="00E53694">
        <w:rPr>
          <w:rFonts w:eastAsia="Palatino Linotype" w:cs="Palatino Linotype"/>
          <w:b/>
          <w:bCs/>
          <w:color w:val="000000"/>
          <w:szCs w:val="24"/>
        </w:rPr>
        <w:t>00026/OCOYOAC/IP/2023</w:t>
      </w:r>
      <w:r w:rsidRPr="00E53694">
        <w:rPr>
          <w:rFonts w:eastAsia="Palatino Linotype" w:cs="Palatino Linotype"/>
          <w:color w:val="000000" w:themeColor="text1"/>
          <w:szCs w:val="24"/>
        </w:rPr>
        <w:t xml:space="preserve">, por resultar </w:t>
      </w:r>
      <w:r w:rsidR="00EC467F" w:rsidRPr="00E53694">
        <w:rPr>
          <w:rFonts w:eastAsia="Palatino Linotype" w:cs="Palatino Linotype"/>
          <w:color w:val="000000" w:themeColor="text1"/>
          <w:szCs w:val="24"/>
        </w:rPr>
        <w:t xml:space="preserve">parcialmente </w:t>
      </w:r>
      <w:r w:rsidRPr="00E53694">
        <w:rPr>
          <w:rFonts w:eastAsia="Palatino Linotype" w:cs="Palatino Linotype"/>
          <w:color w:val="000000" w:themeColor="text1"/>
          <w:szCs w:val="24"/>
        </w:rPr>
        <w:t>fundados los motivos de inconformidad argüidos por el Recurrente, en términos del</w:t>
      </w:r>
      <w:r w:rsidRPr="00E53694">
        <w:rPr>
          <w:rFonts w:eastAsia="Palatino Linotype" w:cs="Palatino Linotype"/>
          <w:b/>
          <w:bCs/>
          <w:color w:val="000000" w:themeColor="text1"/>
          <w:szCs w:val="24"/>
        </w:rPr>
        <w:t xml:space="preserve"> Considerando QUINTO </w:t>
      </w:r>
      <w:r w:rsidRPr="00E53694">
        <w:rPr>
          <w:rFonts w:eastAsia="Palatino Linotype" w:cs="Palatino Linotype"/>
          <w:color w:val="000000" w:themeColor="text1"/>
          <w:szCs w:val="24"/>
        </w:rPr>
        <w:t xml:space="preserve">de la presente resolución. </w:t>
      </w:r>
    </w:p>
    <w:p w14:paraId="2541DD14" w14:textId="77777777" w:rsidR="00103A9A" w:rsidRPr="00E53694" w:rsidRDefault="00103A9A" w:rsidP="00103A9A">
      <w:pPr>
        <w:pBdr>
          <w:top w:val="nil"/>
          <w:left w:val="nil"/>
          <w:bottom w:val="nil"/>
          <w:right w:val="nil"/>
          <w:between w:val="nil"/>
        </w:pBdr>
        <w:rPr>
          <w:rFonts w:eastAsia="Palatino Linotype" w:cs="Palatino Linotype"/>
          <w:color w:val="000000"/>
          <w:szCs w:val="24"/>
        </w:rPr>
      </w:pPr>
    </w:p>
    <w:p w14:paraId="6ACB0448" w14:textId="0BF0DC00" w:rsidR="00103A9A" w:rsidRPr="00E53694" w:rsidRDefault="00103A9A" w:rsidP="00103A9A">
      <w:pPr>
        <w:pBdr>
          <w:top w:val="nil"/>
          <w:left w:val="nil"/>
          <w:bottom w:val="nil"/>
          <w:right w:val="nil"/>
          <w:between w:val="nil"/>
        </w:pBdr>
        <w:rPr>
          <w:rFonts w:eastAsia="Palatino Linotype" w:cs="Palatino Linotype"/>
          <w:color w:val="000000"/>
          <w:szCs w:val="24"/>
        </w:rPr>
      </w:pPr>
      <w:r w:rsidRPr="00E53694">
        <w:rPr>
          <w:rFonts w:eastAsia="Palatino Linotype" w:cs="Palatino Linotype"/>
          <w:b/>
          <w:color w:val="000000"/>
          <w:szCs w:val="24"/>
        </w:rPr>
        <w:lastRenderedPageBreak/>
        <w:t>SEGUNDO.</w:t>
      </w:r>
      <w:r w:rsidRPr="00E53694">
        <w:rPr>
          <w:rFonts w:eastAsia="Palatino Linotype" w:cs="Palatino Linotype"/>
          <w:color w:val="000000"/>
          <w:szCs w:val="24"/>
        </w:rPr>
        <w:t xml:space="preserve"> Se </w:t>
      </w:r>
      <w:r w:rsidRPr="00E53694">
        <w:rPr>
          <w:rFonts w:eastAsia="Palatino Linotype" w:cs="Palatino Linotype"/>
          <w:b/>
          <w:color w:val="000000"/>
          <w:szCs w:val="24"/>
        </w:rPr>
        <w:t>ORDENA</w:t>
      </w:r>
      <w:r w:rsidRPr="00E53694">
        <w:rPr>
          <w:rFonts w:eastAsia="Palatino Linotype" w:cs="Palatino Linotype"/>
          <w:color w:val="000000"/>
          <w:szCs w:val="24"/>
        </w:rPr>
        <w:t xml:space="preserve"> al Sujeto Obligado que </w:t>
      </w:r>
      <w:r w:rsidR="00EC467F" w:rsidRPr="00E53694">
        <w:rPr>
          <w:rFonts w:eastAsia="Palatino Linotype" w:cs="Palatino Linotype"/>
          <w:color w:val="000000"/>
          <w:szCs w:val="24"/>
        </w:rPr>
        <w:t xml:space="preserve">haga </w:t>
      </w:r>
      <w:r w:rsidRPr="00E53694">
        <w:rPr>
          <w:rFonts w:eastAsia="Palatino Linotype" w:cs="Palatino Linotype"/>
          <w:color w:val="000000"/>
          <w:szCs w:val="24"/>
        </w:rPr>
        <w:t>entrega al Recurrente mediante el Sistema de Acceso a la Información Mexiquense (SAIMEX</w:t>
      </w:r>
      <w:r w:rsidR="007664FC" w:rsidRPr="00E53694">
        <w:rPr>
          <w:rFonts w:eastAsia="Palatino Linotype" w:cs="Palatino Linotype"/>
          <w:color w:val="000000"/>
          <w:szCs w:val="24"/>
        </w:rPr>
        <w:t>) y correo electrónico</w:t>
      </w:r>
      <w:r w:rsidR="00EC467F" w:rsidRPr="00E53694">
        <w:rPr>
          <w:rFonts w:eastAsia="Palatino Linotype" w:cs="Palatino Linotype"/>
          <w:color w:val="000000"/>
          <w:szCs w:val="24"/>
        </w:rPr>
        <w:t>, en versión pública de ser procedente</w:t>
      </w:r>
      <w:r w:rsidRPr="00E53694">
        <w:rPr>
          <w:rFonts w:eastAsia="Palatino Linotype" w:cs="Palatino Linotype"/>
          <w:color w:val="000000"/>
          <w:szCs w:val="24"/>
        </w:rPr>
        <w:t xml:space="preserve"> y en términos del </w:t>
      </w:r>
      <w:r w:rsidRPr="00E53694">
        <w:rPr>
          <w:rFonts w:eastAsia="Palatino Linotype" w:cs="Palatino Linotype"/>
          <w:b/>
          <w:color w:val="000000"/>
          <w:szCs w:val="24"/>
        </w:rPr>
        <w:t>Considerando QUINTO</w:t>
      </w:r>
      <w:r w:rsidRPr="00E53694">
        <w:rPr>
          <w:rFonts w:eastAsia="Palatino Linotype" w:cs="Palatino Linotype"/>
          <w:color w:val="000000"/>
          <w:szCs w:val="24"/>
        </w:rPr>
        <w:t xml:space="preserve">, lo siguiente: </w:t>
      </w:r>
    </w:p>
    <w:p w14:paraId="09702AF5" w14:textId="77777777" w:rsidR="00103A9A" w:rsidRPr="00E53694" w:rsidRDefault="00103A9A" w:rsidP="00103A9A">
      <w:pPr>
        <w:pBdr>
          <w:top w:val="nil"/>
          <w:left w:val="nil"/>
          <w:bottom w:val="nil"/>
          <w:right w:val="nil"/>
          <w:between w:val="nil"/>
        </w:pBdr>
        <w:rPr>
          <w:rFonts w:eastAsia="Palatino Linotype" w:cs="Palatino Linotype"/>
          <w:color w:val="000000"/>
          <w:szCs w:val="24"/>
        </w:rPr>
      </w:pPr>
    </w:p>
    <w:p w14:paraId="3C87BBDF" w14:textId="1BD0AFA1" w:rsidR="00103A9A" w:rsidRPr="00E53694" w:rsidRDefault="25665EB6" w:rsidP="25665EB6">
      <w:pPr>
        <w:numPr>
          <w:ilvl w:val="0"/>
          <w:numId w:val="6"/>
        </w:numPr>
        <w:pBdr>
          <w:top w:val="nil"/>
          <w:left w:val="nil"/>
          <w:bottom w:val="nil"/>
          <w:right w:val="nil"/>
          <w:between w:val="nil"/>
        </w:pBdr>
        <w:spacing w:line="240" w:lineRule="auto"/>
        <w:rPr>
          <w:rFonts w:eastAsia="Palatino Linotype" w:cs="Palatino Linotype"/>
          <w:i/>
          <w:iCs/>
          <w:color w:val="000000"/>
        </w:rPr>
      </w:pPr>
      <w:r w:rsidRPr="00E53694">
        <w:rPr>
          <w:rFonts w:eastAsia="Palatino Linotype" w:cs="Palatino Linotype"/>
          <w:i/>
          <w:iCs/>
          <w:color w:val="000000" w:themeColor="text1"/>
        </w:rPr>
        <w:t>El documento o estadística en donde conste el número total de elementos de seguridad pública desglosado al mayor grado de desagregación posible, que se encuentre actualizado al quince de marzo de dos mil veintitrés.</w:t>
      </w:r>
    </w:p>
    <w:p w14:paraId="1FC5E9F4" w14:textId="77777777" w:rsidR="00103A9A" w:rsidRPr="00E53694" w:rsidRDefault="00103A9A" w:rsidP="00103A9A">
      <w:pPr>
        <w:pBdr>
          <w:top w:val="nil"/>
          <w:left w:val="nil"/>
          <w:bottom w:val="nil"/>
          <w:right w:val="nil"/>
          <w:between w:val="nil"/>
        </w:pBdr>
        <w:rPr>
          <w:rFonts w:eastAsia="Palatino Linotype" w:cs="Palatino Linotype"/>
          <w:color w:val="000000"/>
          <w:szCs w:val="24"/>
        </w:rPr>
      </w:pPr>
    </w:p>
    <w:p w14:paraId="582F3ABD" w14:textId="7B07122E" w:rsidR="0079449E" w:rsidRPr="00E53694" w:rsidRDefault="0079449E" w:rsidP="00103A9A">
      <w:pPr>
        <w:pBdr>
          <w:top w:val="nil"/>
          <w:left w:val="nil"/>
          <w:bottom w:val="nil"/>
          <w:right w:val="nil"/>
          <w:between w:val="nil"/>
        </w:pBdr>
        <w:rPr>
          <w:rFonts w:eastAsia="Palatino Linotype" w:cs="Palatino Linotype"/>
          <w:color w:val="000000"/>
          <w:szCs w:val="24"/>
        </w:rPr>
      </w:pPr>
      <w:r w:rsidRPr="00E53694">
        <w:rPr>
          <w:rFonts w:eastAsia="Palatino Linotype" w:cs="Palatino Linotype"/>
          <w:color w:val="000000"/>
          <w:szCs w:val="24"/>
        </w:rPr>
        <w:t>De ser necesario, como sustento de la versión pública de los documentos referidos,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144058BC" w14:textId="77777777" w:rsidR="007664FC" w:rsidRPr="00E53694" w:rsidRDefault="007664FC" w:rsidP="00103A9A">
      <w:pPr>
        <w:pBdr>
          <w:top w:val="nil"/>
          <w:left w:val="nil"/>
          <w:bottom w:val="nil"/>
          <w:right w:val="nil"/>
          <w:between w:val="nil"/>
        </w:pBdr>
        <w:rPr>
          <w:rFonts w:eastAsia="Palatino Linotype" w:cs="Palatino Linotype"/>
          <w:color w:val="000000"/>
          <w:szCs w:val="24"/>
        </w:rPr>
      </w:pPr>
    </w:p>
    <w:p w14:paraId="0398DB4C" w14:textId="785FE162" w:rsidR="007664FC" w:rsidRPr="00E53694" w:rsidRDefault="007664FC" w:rsidP="00103A9A">
      <w:pPr>
        <w:pBdr>
          <w:top w:val="nil"/>
          <w:left w:val="nil"/>
          <w:bottom w:val="nil"/>
          <w:right w:val="nil"/>
          <w:between w:val="nil"/>
        </w:pBdr>
        <w:rPr>
          <w:rFonts w:eastAsia="Palatino Linotype" w:cs="Palatino Linotype"/>
          <w:color w:val="000000"/>
          <w:szCs w:val="24"/>
        </w:rPr>
      </w:pPr>
      <w:r w:rsidRPr="00E53694">
        <w:rPr>
          <w:rFonts w:eastAsia="Palatino Linotype" w:cs="Palatino Linotype"/>
          <w:color w:val="000000"/>
          <w:szCs w:val="24"/>
        </w:rPr>
        <w:t>Respecto de los otros medios para realizar la entrega de la información, el Recurrente  deberá hacer del conocimiento vía SAIMEX</w:t>
      </w:r>
      <w:r w:rsidR="003C7662" w:rsidRPr="00E53694">
        <w:rPr>
          <w:rFonts w:eastAsia="Palatino Linotype" w:cs="Palatino Linotype"/>
          <w:color w:val="000000"/>
          <w:szCs w:val="24"/>
        </w:rPr>
        <w:t>, el procedimiento que tendrá que seguir el particular para acceder a la documentación, indicando los paso para que, en caso de ser procedente, se realice el pago de derechos, así como el domicilio de la Unidad de Transparencia, días y horarios de atención, el nombre del servidor público que le atenderá; asimismo, se deberá informar que podrá obtener de manera gratuita la información si proporciona el medio electrónico y acude a la Unidad de Transparencia para la obtención de la documentación.</w:t>
      </w:r>
    </w:p>
    <w:p w14:paraId="26ED5C9F" w14:textId="77777777" w:rsidR="0079449E" w:rsidRPr="00E53694" w:rsidRDefault="0079449E" w:rsidP="00103A9A">
      <w:pPr>
        <w:pBdr>
          <w:top w:val="nil"/>
          <w:left w:val="nil"/>
          <w:bottom w:val="nil"/>
          <w:right w:val="nil"/>
          <w:between w:val="nil"/>
        </w:pBdr>
        <w:rPr>
          <w:rFonts w:eastAsia="Palatino Linotype" w:cs="Palatino Linotype"/>
          <w:color w:val="000000"/>
          <w:szCs w:val="24"/>
        </w:rPr>
      </w:pPr>
    </w:p>
    <w:p w14:paraId="56D18FDF" w14:textId="77777777" w:rsidR="00103A9A" w:rsidRPr="00E53694" w:rsidRDefault="00103A9A" w:rsidP="00103A9A">
      <w:pPr>
        <w:pBdr>
          <w:top w:val="nil"/>
          <w:left w:val="nil"/>
          <w:bottom w:val="nil"/>
          <w:right w:val="nil"/>
          <w:between w:val="nil"/>
        </w:pBdr>
        <w:rPr>
          <w:rFonts w:eastAsia="Palatino Linotype" w:cs="Palatino Linotype"/>
          <w:color w:val="000000"/>
          <w:szCs w:val="24"/>
        </w:rPr>
      </w:pPr>
      <w:r w:rsidRPr="00E53694">
        <w:rPr>
          <w:rFonts w:eastAsia="Palatino Linotype" w:cs="Palatino Linotype"/>
          <w:b/>
          <w:color w:val="000000"/>
          <w:szCs w:val="24"/>
        </w:rPr>
        <w:lastRenderedPageBreak/>
        <w:t>TERCERO. Notifíquese</w:t>
      </w:r>
      <w:r w:rsidRPr="00E53694">
        <w:rPr>
          <w:rFonts w:eastAsia="Palatino Linotype" w:cs="Palatino Linotype"/>
          <w:b/>
          <w:i/>
          <w:color w:val="000000"/>
          <w:szCs w:val="24"/>
        </w:rPr>
        <w:t xml:space="preserve"> </w:t>
      </w:r>
      <w:r w:rsidRPr="00E53694">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935AE" w14:textId="77777777" w:rsidR="00103A9A" w:rsidRPr="00E53694"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E53694" w:rsidRDefault="00103A9A" w:rsidP="00103A9A">
      <w:pPr>
        <w:pBdr>
          <w:top w:val="nil"/>
          <w:left w:val="nil"/>
          <w:bottom w:val="nil"/>
          <w:right w:val="nil"/>
          <w:between w:val="nil"/>
        </w:pBdr>
        <w:rPr>
          <w:rFonts w:eastAsia="Palatino Linotype" w:cs="Palatino Linotype"/>
          <w:color w:val="000000"/>
          <w:szCs w:val="24"/>
        </w:rPr>
      </w:pPr>
      <w:r w:rsidRPr="00E53694">
        <w:rPr>
          <w:rFonts w:eastAsia="Palatino Linotype" w:cs="Palatino Linotype"/>
          <w:b/>
          <w:color w:val="000000"/>
          <w:szCs w:val="24"/>
        </w:rPr>
        <w:t xml:space="preserve">CUARTO. </w:t>
      </w:r>
      <w:r w:rsidRPr="00E5369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E53694" w:rsidRDefault="00103A9A" w:rsidP="00103A9A">
      <w:pPr>
        <w:pBdr>
          <w:top w:val="nil"/>
          <w:left w:val="nil"/>
          <w:bottom w:val="nil"/>
          <w:right w:val="nil"/>
          <w:between w:val="nil"/>
        </w:pBdr>
        <w:rPr>
          <w:rFonts w:eastAsia="Palatino Linotype" w:cs="Palatino Linotype"/>
          <w:b/>
          <w:color w:val="000000"/>
          <w:szCs w:val="24"/>
        </w:rPr>
      </w:pPr>
    </w:p>
    <w:p w14:paraId="2D868CFB" w14:textId="672FD9E5" w:rsidR="00103A9A" w:rsidRPr="00E53694" w:rsidRDefault="00103A9A" w:rsidP="00103A9A">
      <w:pPr>
        <w:pBdr>
          <w:top w:val="nil"/>
          <w:left w:val="nil"/>
          <w:bottom w:val="nil"/>
          <w:right w:val="nil"/>
          <w:between w:val="nil"/>
        </w:pBdr>
        <w:rPr>
          <w:rFonts w:eastAsia="Palatino Linotype" w:cs="Palatino Linotype"/>
          <w:color w:val="000000"/>
          <w:szCs w:val="24"/>
        </w:rPr>
      </w:pPr>
      <w:r w:rsidRPr="00E53694">
        <w:rPr>
          <w:rFonts w:eastAsia="Palatino Linotype" w:cs="Palatino Linotype"/>
          <w:b/>
          <w:color w:val="000000"/>
          <w:szCs w:val="24"/>
        </w:rPr>
        <w:t xml:space="preserve">QUINTO. Notifíquese </w:t>
      </w:r>
      <w:r w:rsidRPr="00E53694">
        <w:rPr>
          <w:rFonts w:eastAsia="Palatino Linotype" w:cs="Palatino Linotype"/>
          <w:color w:val="000000"/>
          <w:szCs w:val="24"/>
        </w:rPr>
        <w:t xml:space="preserve">la presente resolución al Recurrente mediante el Sistema de Acceso a la Información Mexiquense (SAIMEX) </w:t>
      </w:r>
      <w:r w:rsidR="00D22A7D" w:rsidRPr="00E53694">
        <w:rPr>
          <w:rFonts w:eastAsia="Palatino Linotype" w:cs="Palatino Linotype"/>
          <w:color w:val="000000"/>
          <w:szCs w:val="24"/>
        </w:rPr>
        <w:t xml:space="preserve">y correo electrónico, </w:t>
      </w:r>
      <w:r w:rsidRPr="00E53694">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4CCEEDD" w14:textId="77777777" w:rsidR="00103A9A" w:rsidRPr="00E53694" w:rsidRDefault="00103A9A" w:rsidP="006F4C9E">
      <w:pPr>
        <w:pBdr>
          <w:top w:val="nil"/>
          <w:left w:val="nil"/>
          <w:bottom w:val="nil"/>
          <w:right w:val="nil"/>
          <w:between w:val="nil"/>
        </w:pBdr>
        <w:contextualSpacing/>
        <w:rPr>
          <w:rFonts w:eastAsia="Palatino Linotype" w:cs="Palatino Linotype"/>
          <w:szCs w:val="24"/>
        </w:rPr>
      </w:pPr>
    </w:p>
    <w:p w14:paraId="20573BFF" w14:textId="36795A11" w:rsidR="00A970D5" w:rsidRPr="00E53694" w:rsidRDefault="005A45B1" w:rsidP="00BB2A3A">
      <w:pPr>
        <w:pBdr>
          <w:top w:val="nil"/>
          <w:left w:val="nil"/>
          <w:bottom w:val="nil"/>
          <w:right w:val="nil"/>
          <w:between w:val="nil"/>
        </w:pBdr>
        <w:contextualSpacing/>
        <w:rPr>
          <w:rFonts w:eastAsia="Palatino Linotype" w:cs="Palatino Linotype"/>
          <w:color w:val="000000"/>
          <w:szCs w:val="24"/>
        </w:rPr>
      </w:pPr>
      <w:r w:rsidRPr="00E53694">
        <w:rPr>
          <w:rFonts w:eastAsia="Palatino Linotype" w:cs="Palatino Linotype"/>
          <w:color w:val="000000"/>
          <w:szCs w:val="24"/>
        </w:rPr>
        <w:lastRenderedPageBreak/>
        <w:t>ASÍ LO RESUELVE</w:t>
      </w:r>
      <w:r w:rsidR="00247FE8" w:rsidRPr="00E53694">
        <w:rPr>
          <w:rFonts w:eastAsia="Palatino Linotype" w:cs="Palatino Linotype"/>
          <w:color w:val="000000"/>
          <w:szCs w:val="24"/>
        </w:rPr>
        <w:t xml:space="preserve"> POR </w:t>
      </w:r>
      <w:r w:rsidR="00E45BB1" w:rsidRPr="00E53694">
        <w:rPr>
          <w:rFonts w:eastAsia="Palatino Linotype" w:cs="Palatino Linotype"/>
          <w:color w:val="000000"/>
          <w:szCs w:val="24"/>
        </w:rPr>
        <w:t>MAYORÍA</w:t>
      </w:r>
      <w:r w:rsidRPr="00E53694">
        <w:rPr>
          <w:rFonts w:eastAsia="Palatino Linotype" w:cs="Palatino Linotype"/>
          <w:color w:val="000000"/>
          <w:szCs w:val="24"/>
        </w:rPr>
        <w:t xml:space="preserve"> </w:t>
      </w:r>
      <w:r w:rsidR="006922F5" w:rsidRPr="00E53694">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E45BB1" w:rsidRPr="00E53694">
        <w:rPr>
          <w:rFonts w:eastAsia="Palatino Linotype" w:cs="Palatino Linotype"/>
          <w:color w:val="000000"/>
          <w:szCs w:val="24"/>
        </w:rPr>
        <w:t xml:space="preserve"> </w:t>
      </w:r>
      <w:r w:rsidR="00573771" w:rsidRPr="00E53694">
        <w:rPr>
          <w:rFonts w:eastAsia="Palatino Linotype" w:cs="Palatino Linotype"/>
          <w:color w:val="000000"/>
          <w:szCs w:val="24"/>
        </w:rPr>
        <w:t>(</w:t>
      </w:r>
      <w:r w:rsidR="00E45BB1" w:rsidRPr="00E53694">
        <w:rPr>
          <w:rFonts w:eastAsia="Palatino Linotype" w:cs="Palatino Linotype"/>
          <w:color w:val="000000"/>
          <w:szCs w:val="24"/>
        </w:rPr>
        <w:t>EMITIENDO VOTO PARTICULAR</w:t>
      </w:r>
      <w:r w:rsidR="00573771" w:rsidRPr="00E53694">
        <w:rPr>
          <w:rFonts w:eastAsia="Palatino Linotype" w:cs="Palatino Linotype"/>
          <w:color w:val="000000"/>
          <w:szCs w:val="24"/>
        </w:rPr>
        <w:t>)</w:t>
      </w:r>
      <w:r w:rsidR="006922F5" w:rsidRPr="00E53694">
        <w:rPr>
          <w:rFonts w:eastAsia="Palatino Linotype" w:cs="Palatino Linotype"/>
          <w:color w:val="000000"/>
          <w:szCs w:val="24"/>
        </w:rPr>
        <w:t>, SHARON CRISTINA MORALES MARTÍNEZ, LUIS GUSTAVO PARRA NORIEGA Y GUADALUPE RAMÍREZ PEÑA</w:t>
      </w:r>
      <w:r w:rsidR="00E45BB1" w:rsidRPr="00E53694">
        <w:rPr>
          <w:rFonts w:eastAsia="Palatino Linotype" w:cs="Palatino Linotype"/>
          <w:color w:val="000000"/>
          <w:szCs w:val="24"/>
        </w:rPr>
        <w:t xml:space="preserve"> </w:t>
      </w:r>
      <w:r w:rsidR="00573771" w:rsidRPr="00E53694">
        <w:rPr>
          <w:rFonts w:eastAsia="Palatino Linotype" w:cs="Palatino Linotype"/>
          <w:color w:val="000000"/>
          <w:szCs w:val="24"/>
        </w:rPr>
        <w:t>(</w:t>
      </w:r>
      <w:r w:rsidR="00E45BB1" w:rsidRPr="00E53694">
        <w:rPr>
          <w:rFonts w:eastAsia="Palatino Linotype" w:cs="Palatino Linotype"/>
          <w:color w:val="000000"/>
          <w:szCs w:val="24"/>
        </w:rPr>
        <w:t>EMITIENDO VOTO DISIDENTE</w:t>
      </w:r>
      <w:r w:rsidR="00573771" w:rsidRPr="00E53694">
        <w:rPr>
          <w:rFonts w:eastAsia="Palatino Linotype" w:cs="Palatino Linotype"/>
          <w:color w:val="000000"/>
          <w:szCs w:val="24"/>
        </w:rPr>
        <w:t>)</w:t>
      </w:r>
      <w:r w:rsidR="006922F5" w:rsidRPr="00E53694">
        <w:rPr>
          <w:rFonts w:eastAsia="Palatino Linotype" w:cs="Palatino Linotype"/>
          <w:color w:val="000000"/>
          <w:szCs w:val="24"/>
        </w:rPr>
        <w:t>, EN LA</w:t>
      </w:r>
      <w:r w:rsidR="00E45BB1" w:rsidRPr="00E53694">
        <w:rPr>
          <w:rFonts w:eastAsia="Palatino Linotype" w:cs="Palatino Linotype"/>
          <w:color w:val="000000"/>
          <w:szCs w:val="24"/>
        </w:rPr>
        <w:t xml:space="preserve"> TRIGÉSIMA OCTAVA</w:t>
      </w:r>
      <w:r w:rsidR="002475C3" w:rsidRPr="00E53694">
        <w:rPr>
          <w:rFonts w:eastAsia="Palatino Linotype" w:cs="Palatino Linotype"/>
          <w:color w:val="000000"/>
          <w:szCs w:val="24"/>
        </w:rPr>
        <w:t xml:space="preserve"> </w:t>
      </w:r>
      <w:r w:rsidR="006922F5" w:rsidRPr="00E53694">
        <w:rPr>
          <w:rFonts w:eastAsia="Palatino Linotype" w:cs="Palatino Linotype"/>
          <w:color w:val="000000"/>
          <w:szCs w:val="24"/>
        </w:rPr>
        <w:t>SESIÓN ORDINARIA CELEBRADA EL</w:t>
      </w:r>
      <w:r w:rsidR="000D2E93" w:rsidRPr="00E53694">
        <w:rPr>
          <w:rFonts w:eastAsia="Palatino Linotype" w:cs="Palatino Linotype"/>
          <w:color w:val="000000"/>
          <w:szCs w:val="24"/>
        </w:rPr>
        <w:t xml:space="preserve"> </w:t>
      </w:r>
      <w:r w:rsidR="00E45BB1" w:rsidRPr="00E53694">
        <w:rPr>
          <w:rFonts w:eastAsia="Palatino Linotype" w:cs="Palatino Linotype"/>
          <w:color w:val="000000"/>
          <w:szCs w:val="24"/>
        </w:rPr>
        <w:t>VEINTICINCO DE OCTUBRE</w:t>
      </w:r>
      <w:r w:rsidR="00697B3A" w:rsidRPr="00E53694">
        <w:rPr>
          <w:rFonts w:eastAsia="Palatino Linotype" w:cs="Palatino Linotype"/>
          <w:color w:val="000000"/>
          <w:szCs w:val="24"/>
        </w:rPr>
        <w:t xml:space="preserve"> </w:t>
      </w:r>
      <w:r w:rsidR="002475C3" w:rsidRPr="00E53694">
        <w:rPr>
          <w:rFonts w:eastAsia="Palatino Linotype" w:cs="Palatino Linotype"/>
          <w:color w:val="000000"/>
          <w:szCs w:val="24"/>
        </w:rPr>
        <w:t>DE DOS MIL VEINTITRÉS</w:t>
      </w:r>
      <w:r w:rsidR="006922F5" w:rsidRPr="00E53694">
        <w:rPr>
          <w:rFonts w:eastAsia="Palatino Linotype" w:cs="Palatino Linotype"/>
          <w:color w:val="000000"/>
          <w:szCs w:val="24"/>
        </w:rPr>
        <w:t xml:space="preserve">, ANTE EL SECRETARIO TÉCNICO </w:t>
      </w:r>
      <w:r w:rsidRPr="00E53694">
        <w:rPr>
          <w:rFonts w:eastAsia="Palatino Linotype" w:cs="Palatino Linotype"/>
          <w:color w:val="000000"/>
          <w:szCs w:val="24"/>
        </w:rPr>
        <w:t>DEL PLENO, ALEXIS TAPIA RAMÍREZ</w:t>
      </w:r>
      <w:r w:rsidR="00A970D5" w:rsidRPr="00E53694">
        <w:rPr>
          <w:rFonts w:eastAsia="Palatino Linotype" w:cs="Palatino Linotype"/>
          <w:color w:val="000000"/>
          <w:szCs w:val="24"/>
        </w:rPr>
        <w:t>.------------------------------------------------------------------</w:t>
      </w:r>
      <w:r w:rsidR="007F15FE" w:rsidRPr="00E53694">
        <w:rPr>
          <w:rFonts w:eastAsia="Palatino Linotype" w:cs="Palatino Linotype"/>
          <w:color w:val="000000"/>
          <w:szCs w:val="24"/>
        </w:rPr>
        <w:t>--------------</w:t>
      </w:r>
      <w:r w:rsidR="006922F5" w:rsidRPr="00E53694">
        <w:rPr>
          <w:rFonts w:eastAsia="Palatino Linotype" w:cs="Palatino Linotype"/>
          <w:color w:val="000000"/>
          <w:szCs w:val="24"/>
        </w:rPr>
        <w:t>---------------------------------------------------------------------------------------------------------------------</w:t>
      </w:r>
      <w:r w:rsidR="00BB2A3A" w:rsidRPr="00E53694">
        <w:rPr>
          <w:rFonts w:eastAsia="Palatino Linotype" w:cs="Palatino Linotype"/>
          <w:color w:val="000000"/>
          <w:szCs w:val="24"/>
        </w:rPr>
        <w:t>---------------------</w:t>
      </w:r>
      <w:r w:rsidR="00B95178" w:rsidRPr="00E53694">
        <w:rPr>
          <w:rFonts w:eastAsia="Palatino Linotype" w:cs="Palatino Linotype"/>
          <w:color w:val="000000"/>
          <w:szCs w:val="24"/>
        </w:rPr>
        <w:t>-----------------------------------------------------------------------------------------------------------------------------------------</w:t>
      </w:r>
      <w:r w:rsidR="00B33406" w:rsidRPr="00E53694">
        <w:rPr>
          <w:rFonts w:eastAsia="Palatino Linotype" w:cs="Palatino Linotype"/>
          <w:color w:val="000000"/>
          <w:szCs w:val="24"/>
        </w:rPr>
        <w:t>------------------------</w:t>
      </w:r>
      <w:r w:rsidR="00BD5FA8" w:rsidRPr="00E53694">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E53694">
        <w:rPr>
          <w:rFonts w:eastAsia="Palatino Linotype" w:cs="Palatino Linotype"/>
          <w:color w:val="000000"/>
          <w:sz w:val="20"/>
          <w:szCs w:val="20"/>
        </w:rPr>
        <w:t>JMV/CCR/fzh</w:t>
      </w:r>
      <w:bookmarkStart w:id="0" w:name="_GoBack"/>
      <w:bookmarkEnd w:id="0"/>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D25F6" w14:textId="77777777" w:rsidR="00670C31" w:rsidRDefault="00670C31" w:rsidP="00F2498E">
      <w:pPr>
        <w:spacing w:line="240" w:lineRule="auto"/>
      </w:pPr>
      <w:r>
        <w:separator/>
      </w:r>
    </w:p>
  </w:endnote>
  <w:endnote w:type="continuationSeparator" w:id="0">
    <w:p w14:paraId="389A0FE6" w14:textId="77777777" w:rsidR="00670C31" w:rsidRDefault="00670C31" w:rsidP="00F2498E">
      <w:pPr>
        <w:spacing w:line="240" w:lineRule="auto"/>
      </w:pPr>
      <w:r>
        <w:continuationSeparator/>
      </w:r>
    </w:p>
  </w:endnote>
  <w:endnote w:type="continuationNotice" w:id="1">
    <w:p w14:paraId="5DB4C6E2" w14:textId="77777777" w:rsidR="00670C31" w:rsidRDefault="00670C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C5BCD16" w:rsidR="0027567F" w:rsidRPr="00871A91" w:rsidRDefault="0027567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53694">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53694">
      <w:rPr>
        <w:rFonts w:ascii="Palatino Linotype" w:hAnsi="Palatino Linotype"/>
        <w:b/>
        <w:bCs/>
        <w:noProof/>
        <w:sz w:val="20"/>
      </w:rPr>
      <w:t>42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59EE4BE" w:rsidR="0027567F" w:rsidRPr="00871A91" w:rsidRDefault="0027567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5369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53694">
      <w:rPr>
        <w:rFonts w:ascii="Palatino Linotype" w:hAnsi="Palatino Linotype"/>
        <w:b/>
        <w:bCs/>
        <w:noProof/>
        <w:sz w:val="20"/>
      </w:rPr>
      <w:t>42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FA041" w14:textId="77777777" w:rsidR="00670C31" w:rsidRDefault="00670C31" w:rsidP="00F2498E">
      <w:pPr>
        <w:spacing w:line="240" w:lineRule="auto"/>
      </w:pPr>
      <w:r>
        <w:separator/>
      </w:r>
    </w:p>
  </w:footnote>
  <w:footnote w:type="continuationSeparator" w:id="0">
    <w:p w14:paraId="728A126F" w14:textId="77777777" w:rsidR="00670C31" w:rsidRDefault="00670C31" w:rsidP="00F2498E">
      <w:pPr>
        <w:spacing w:line="240" w:lineRule="auto"/>
      </w:pPr>
      <w:r>
        <w:continuationSeparator/>
      </w:r>
    </w:p>
  </w:footnote>
  <w:footnote w:type="continuationNotice" w:id="1">
    <w:p w14:paraId="23F9C784" w14:textId="77777777" w:rsidR="00670C31" w:rsidRDefault="00670C31">
      <w:pPr>
        <w:spacing w:line="240" w:lineRule="auto"/>
      </w:pPr>
    </w:p>
  </w:footnote>
  <w:footnote w:id="2">
    <w:p w14:paraId="2348F3B8" w14:textId="77777777" w:rsidR="0027567F" w:rsidRPr="0031280C" w:rsidRDefault="0027567F"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27567F" w:rsidRPr="0031280C" w:rsidRDefault="0027567F"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27567F" w:rsidRPr="0031280C" w:rsidRDefault="0027567F"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27567F" w:rsidRPr="0031280C" w:rsidRDefault="0027567F"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54EE85CF" w14:textId="77777777" w:rsidR="0027567F" w:rsidRDefault="0027567F" w:rsidP="00F402CD">
      <w:pPr>
        <w:pStyle w:val="Textonotapie"/>
      </w:pPr>
      <w:r>
        <w:rPr>
          <w:rStyle w:val="Refdenotaalpie"/>
        </w:rPr>
        <w:footnoteRef/>
      </w:r>
      <w:r>
        <w:t xml:space="preserve"> </w:t>
      </w:r>
      <w:r>
        <w:rPr>
          <w:rFonts w:eastAsia="MS Mincho" w:cs="Arial"/>
          <w:sz w:val="16"/>
          <w:szCs w:val="16"/>
        </w:rPr>
        <w:t xml:space="preserve">BURGOA ORIHUELA Ignacio. </w:t>
      </w:r>
      <w:r>
        <w:rPr>
          <w:rFonts w:eastAsia="MS Mincho" w:cs="Arial"/>
          <w:i/>
          <w:sz w:val="16"/>
          <w:szCs w:val="16"/>
        </w:rPr>
        <w:t>Diccionario De Derecho Constitucional, Garantías y Amparo</w:t>
      </w:r>
      <w:r>
        <w:rPr>
          <w:rFonts w:eastAsia="MS Mincho" w:cs="Arial"/>
          <w:sz w:val="16"/>
          <w:szCs w:val="16"/>
        </w:rPr>
        <w:t>. Ed. Porrúa, S.A., México. 1992. p. 115.</w:t>
      </w:r>
    </w:p>
  </w:footnote>
  <w:footnote w:id="4">
    <w:p w14:paraId="5D902B77" w14:textId="77777777" w:rsidR="0027567F" w:rsidRDefault="0027567F" w:rsidP="00F402CD">
      <w:pPr>
        <w:pStyle w:val="Textonotapie"/>
      </w:pPr>
      <w:r>
        <w:rPr>
          <w:rStyle w:val="Refdenotaalpie"/>
        </w:rPr>
        <w:footnoteRef/>
      </w:r>
      <w:r>
        <w:t xml:space="preserve"> </w:t>
      </w:r>
      <w:r>
        <w:rPr>
          <w:rFonts w:eastAsia="MS Mincho" w:cs="Arial"/>
          <w:sz w:val="16"/>
          <w:szCs w:val="16"/>
          <w:lang w:eastAsia="es-ES"/>
        </w:rPr>
        <w:t xml:space="preserve">CIENFUEGOS SALGADO David. </w:t>
      </w:r>
      <w:r>
        <w:rPr>
          <w:rFonts w:eastAsia="MS Mincho" w:cs="Arial"/>
          <w:i/>
          <w:sz w:val="16"/>
          <w:szCs w:val="16"/>
          <w:lang w:eastAsia="es-ES"/>
        </w:rPr>
        <w:t xml:space="preserve">El Derecho de Petición en México. </w:t>
      </w:r>
      <w:r>
        <w:rPr>
          <w:rFonts w:eastAsia="MS Mincho" w:cs="Arial"/>
          <w:sz w:val="16"/>
          <w:szCs w:val="16"/>
          <w:lang w:eastAsia="es-ES"/>
        </w:rPr>
        <w:t>Ed. Instituto de Investigaciones Jurídica UNAM. México 2004. p. 31</w:t>
      </w:r>
    </w:p>
  </w:footnote>
  <w:footnote w:id="5">
    <w:p w14:paraId="7EE06931" w14:textId="77777777" w:rsidR="0027567F" w:rsidRDefault="0027567F" w:rsidP="00F402CD">
      <w:pPr>
        <w:pStyle w:val="Textonotapie"/>
      </w:pPr>
      <w:r>
        <w:rPr>
          <w:rStyle w:val="Refdenotaalpie"/>
        </w:rPr>
        <w:footnoteRef/>
      </w:r>
      <w:r>
        <w:t xml:space="preserve"> </w:t>
      </w:r>
      <w:r>
        <w:rPr>
          <w:rFonts w:eastAsia="MS Mincho" w:cs="Arial"/>
          <w:sz w:val="16"/>
          <w:szCs w:val="16"/>
          <w:lang w:eastAsia="es-ES"/>
        </w:rPr>
        <w:t xml:space="preserve">ROBLES HERNÁNDEZ José Guadalupe. </w:t>
      </w:r>
      <w:r>
        <w:rPr>
          <w:rFonts w:eastAsia="MS Mincho" w:cs="Arial"/>
          <w:i/>
          <w:sz w:val="16"/>
          <w:szCs w:val="16"/>
          <w:lang w:eastAsia="es-ES"/>
        </w:rPr>
        <w:t xml:space="preserve">Derecho de la Información y Comunicación Pública. </w:t>
      </w:r>
      <w:r>
        <w:rPr>
          <w:rFonts w:eastAsia="MS Mincho" w:cs="Arial"/>
          <w:sz w:val="16"/>
          <w:szCs w:val="16"/>
          <w:lang w:eastAsia="es-ES"/>
        </w:rPr>
        <w:t>Ed. Universidad de Occidente. México. 2004, p. 72</w:t>
      </w:r>
    </w:p>
  </w:footnote>
  <w:footnote w:id="6">
    <w:p w14:paraId="02306B66" w14:textId="77777777" w:rsidR="0027567F" w:rsidRDefault="0027567F" w:rsidP="00F402CD">
      <w:pPr>
        <w:pStyle w:val="Textonotapie"/>
      </w:pPr>
      <w:r>
        <w:rPr>
          <w:rStyle w:val="Refdenotaalpie"/>
        </w:rPr>
        <w:footnoteRef/>
      </w:r>
      <w:r>
        <w:t xml:space="preserve"> </w:t>
      </w:r>
      <w:r>
        <w:rPr>
          <w:rFonts w:eastAsia="MS Mincho" w:cs="Arial"/>
          <w:sz w:val="16"/>
          <w:szCs w:val="16"/>
          <w:lang w:eastAsia="es-ES"/>
        </w:rPr>
        <w:t xml:space="preserve">VILLANUEVA VILLANUEVA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7567F" w:rsidRDefault="00E53694">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7567F" w:rsidRPr="00B17577" w14:paraId="37B9EBDE" w14:textId="77777777" w:rsidTr="003938ED">
      <w:trPr>
        <w:trHeight w:val="227"/>
      </w:trPr>
      <w:tc>
        <w:tcPr>
          <w:tcW w:w="5103" w:type="dxa"/>
          <w:hideMark/>
        </w:tcPr>
        <w:p w14:paraId="4964FBC5" w14:textId="54CDA645" w:rsidR="0027567F" w:rsidRPr="00096248" w:rsidRDefault="0027567F"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0E8CFDE" w:rsidR="0027567F" w:rsidRPr="00096248" w:rsidRDefault="0027567F" w:rsidP="00011C4D">
          <w:pPr>
            <w:spacing w:after="120" w:line="240" w:lineRule="auto"/>
            <w:ind w:right="71"/>
            <w:jc w:val="right"/>
            <w:rPr>
              <w:rFonts w:cs="Arial"/>
              <w:b/>
              <w:szCs w:val="24"/>
            </w:rPr>
          </w:pPr>
          <w:r>
            <w:rPr>
              <w:rFonts w:cs="Arial"/>
              <w:b/>
              <w:bCs/>
              <w:szCs w:val="24"/>
            </w:rPr>
            <w:t>03920</w:t>
          </w:r>
          <w:r w:rsidRPr="00096248">
            <w:rPr>
              <w:rFonts w:cs="Arial"/>
              <w:b/>
              <w:bCs/>
              <w:szCs w:val="24"/>
            </w:rPr>
            <w:t>/INFOEM/IP/RR/202</w:t>
          </w:r>
          <w:r>
            <w:rPr>
              <w:rFonts w:cs="Arial"/>
              <w:b/>
              <w:bCs/>
              <w:szCs w:val="24"/>
            </w:rPr>
            <w:t>3</w:t>
          </w:r>
        </w:p>
      </w:tc>
    </w:tr>
    <w:tr w:rsidR="0027567F" w14:paraId="7591D3C9" w14:textId="77777777" w:rsidTr="003938ED">
      <w:trPr>
        <w:trHeight w:val="242"/>
      </w:trPr>
      <w:tc>
        <w:tcPr>
          <w:tcW w:w="5103" w:type="dxa"/>
          <w:hideMark/>
        </w:tcPr>
        <w:p w14:paraId="729A65A8" w14:textId="77777777" w:rsidR="0027567F" w:rsidRPr="00096248" w:rsidRDefault="0027567F"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F2AD690" w:rsidR="0027567F" w:rsidRPr="00096248" w:rsidRDefault="0027567F" w:rsidP="00011C4D">
          <w:pPr>
            <w:spacing w:after="120" w:line="240" w:lineRule="auto"/>
            <w:ind w:left="-81" w:right="71"/>
            <w:jc w:val="right"/>
            <w:rPr>
              <w:rFonts w:cs="Arial"/>
              <w:szCs w:val="24"/>
            </w:rPr>
          </w:pPr>
          <w:r>
            <w:rPr>
              <w:rFonts w:cs="Arial"/>
              <w:szCs w:val="24"/>
            </w:rPr>
            <w:t>Ayuntamiento de Ocoyoacac</w:t>
          </w:r>
        </w:p>
      </w:tc>
    </w:tr>
    <w:tr w:rsidR="0027567F" w:rsidRPr="00F63239" w14:paraId="037E914D" w14:textId="77777777" w:rsidTr="003938ED">
      <w:trPr>
        <w:trHeight w:val="342"/>
      </w:trPr>
      <w:tc>
        <w:tcPr>
          <w:tcW w:w="5103" w:type="dxa"/>
          <w:hideMark/>
        </w:tcPr>
        <w:p w14:paraId="7676B68F" w14:textId="64D69EAF" w:rsidR="0027567F" w:rsidRPr="00096248" w:rsidRDefault="0027567F"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27567F" w:rsidRDefault="0027567F"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27567F" w:rsidRPr="00711916" w:rsidRDefault="0027567F" w:rsidP="00011C4D">
          <w:pPr>
            <w:spacing w:after="120" w:line="240" w:lineRule="auto"/>
            <w:ind w:left="-486" w:right="71" w:firstLine="567"/>
            <w:jc w:val="right"/>
            <w:rPr>
              <w:rFonts w:cs="Arial"/>
              <w:sz w:val="2"/>
              <w:szCs w:val="2"/>
            </w:rPr>
          </w:pPr>
        </w:p>
      </w:tc>
    </w:tr>
  </w:tbl>
  <w:p w14:paraId="2998DBFD" w14:textId="25A9F426" w:rsidR="0027567F" w:rsidRPr="00871A91" w:rsidRDefault="00E53694">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3.55pt;margin-top:-144.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27567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7567F" w14:paraId="0F9FE9B6" w14:textId="77777777" w:rsidTr="003938ED">
      <w:trPr>
        <w:trHeight w:val="227"/>
      </w:trPr>
      <w:tc>
        <w:tcPr>
          <w:tcW w:w="5103" w:type="dxa"/>
          <w:hideMark/>
        </w:tcPr>
        <w:p w14:paraId="6D1D9D71" w14:textId="11150E5A" w:rsidR="0027567F" w:rsidRPr="00663A37" w:rsidRDefault="0027567F"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0FD7981" w:rsidR="0027567F" w:rsidRPr="00C81ECD" w:rsidRDefault="0027567F" w:rsidP="00011C4D">
          <w:pPr>
            <w:spacing w:after="120" w:line="240" w:lineRule="auto"/>
            <w:ind w:left="-486" w:right="68" w:firstLine="558"/>
            <w:jc w:val="right"/>
            <w:rPr>
              <w:rFonts w:cs="Arial"/>
              <w:b/>
              <w:szCs w:val="24"/>
            </w:rPr>
          </w:pPr>
          <w:r>
            <w:rPr>
              <w:rFonts w:cs="Arial"/>
              <w:b/>
              <w:bCs/>
              <w:szCs w:val="24"/>
            </w:rPr>
            <w:t>03920/INFOEM/IP/RR/2023</w:t>
          </w:r>
        </w:p>
      </w:tc>
    </w:tr>
    <w:tr w:rsidR="0027567F" w:rsidRPr="001F57CD" w14:paraId="1377D264" w14:textId="77777777" w:rsidTr="003938ED">
      <w:trPr>
        <w:trHeight w:val="196"/>
      </w:trPr>
      <w:tc>
        <w:tcPr>
          <w:tcW w:w="5103" w:type="dxa"/>
          <w:hideMark/>
        </w:tcPr>
        <w:p w14:paraId="04D597A1" w14:textId="77777777" w:rsidR="0027567F" w:rsidRPr="00663A37" w:rsidRDefault="0027567F"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CE8241F" w:rsidR="0027567F" w:rsidRPr="00663A37" w:rsidRDefault="001E42AB" w:rsidP="00657695">
          <w:pPr>
            <w:spacing w:after="120" w:line="240" w:lineRule="auto"/>
            <w:ind w:right="68"/>
            <w:jc w:val="right"/>
            <w:rPr>
              <w:rFonts w:cs="Arial"/>
              <w:szCs w:val="24"/>
            </w:rPr>
          </w:pPr>
          <w:r>
            <w:rPr>
              <w:rFonts w:cs="Arial"/>
              <w:szCs w:val="24"/>
            </w:rPr>
            <w:t>XXXXXXX</w:t>
          </w:r>
        </w:p>
      </w:tc>
    </w:tr>
    <w:tr w:rsidR="0027567F" w14:paraId="4DC11993" w14:textId="77777777" w:rsidTr="003938ED">
      <w:trPr>
        <w:trHeight w:val="242"/>
      </w:trPr>
      <w:tc>
        <w:tcPr>
          <w:tcW w:w="5103" w:type="dxa"/>
          <w:hideMark/>
        </w:tcPr>
        <w:p w14:paraId="76CEF1B5" w14:textId="77777777" w:rsidR="0027567F" w:rsidRPr="00663A37" w:rsidRDefault="0027567F"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2216488" w:rsidR="0027567F" w:rsidRPr="00663A37" w:rsidRDefault="0027567F" w:rsidP="00011C4D">
          <w:pPr>
            <w:spacing w:after="120" w:line="240" w:lineRule="auto"/>
            <w:ind w:left="-70" w:right="68"/>
            <w:jc w:val="right"/>
            <w:rPr>
              <w:rFonts w:cs="Arial"/>
              <w:szCs w:val="24"/>
            </w:rPr>
          </w:pPr>
          <w:r>
            <w:rPr>
              <w:rFonts w:cs="Arial"/>
              <w:szCs w:val="24"/>
            </w:rPr>
            <w:t>Ayuntamiento de Ocoyoacac</w:t>
          </w:r>
        </w:p>
      </w:tc>
    </w:tr>
    <w:tr w:rsidR="0027567F" w14:paraId="5C2B511D" w14:textId="77777777" w:rsidTr="003938ED">
      <w:trPr>
        <w:trHeight w:val="342"/>
      </w:trPr>
      <w:tc>
        <w:tcPr>
          <w:tcW w:w="5103" w:type="dxa"/>
          <w:hideMark/>
        </w:tcPr>
        <w:p w14:paraId="03FEF68C" w14:textId="45E91CF4" w:rsidR="0027567F" w:rsidRPr="00663A37" w:rsidRDefault="0027567F"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7567F" w:rsidRPr="00663A37" w:rsidRDefault="0027567F"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27567F" w:rsidRPr="00871A91" w:rsidRDefault="00E53694">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4.1pt;margin-top:-145.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27567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9F1B9C"/>
    <w:multiLevelType w:val="hybridMultilevel"/>
    <w:tmpl w:val="E7EE5452"/>
    <w:lvl w:ilvl="0" w:tplc="A252CBD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8"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96787E"/>
    <w:multiLevelType w:val="hybridMultilevel"/>
    <w:tmpl w:val="E57A2B64"/>
    <w:lvl w:ilvl="0" w:tplc="2CB685C4">
      <w:start w:val="1"/>
      <w:numFmt w:val="bullet"/>
      <w:lvlText w:val=""/>
      <w:lvlJc w:val="left"/>
      <w:pPr>
        <w:ind w:left="709" w:hanging="425"/>
      </w:pPr>
      <w:rPr>
        <w:rFonts w:ascii="Symbol" w:hAnsi="Symbol" w:hint="default"/>
        <w:lang w:val="es-ES_tradnl"/>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070C3E"/>
    <w:multiLevelType w:val="hybridMultilevel"/>
    <w:tmpl w:val="BD0AC248"/>
    <w:lvl w:ilvl="0" w:tplc="A252CBD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3" w15:restartNumberingAfterBreak="0">
    <w:nsid w:val="630D3E31"/>
    <w:multiLevelType w:val="hybridMultilevel"/>
    <w:tmpl w:val="CA42E5D4"/>
    <w:lvl w:ilvl="0" w:tplc="216C70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4"/>
  </w:num>
  <w:num w:numId="3">
    <w:abstractNumId w:val="4"/>
  </w:num>
  <w:num w:numId="4">
    <w:abstractNumId w:val="25"/>
  </w:num>
  <w:num w:numId="5">
    <w:abstractNumId w:val="23"/>
  </w:num>
  <w:num w:numId="6">
    <w:abstractNumId w:val="7"/>
  </w:num>
  <w:num w:numId="7">
    <w:abstractNumId w:val="29"/>
  </w:num>
  <w:num w:numId="8">
    <w:abstractNumId w:val="39"/>
  </w:num>
  <w:num w:numId="9">
    <w:abstractNumId w:val="32"/>
  </w:num>
  <w:num w:numId="10">
    <w:abstractNumId w:val="3"/>
  </w:num>
  <w:num w:numId="11">
    <w:abstractNumId w:val="27"/>
  </w:num>
  <w:num w:numId="12">
    <w:abstractNumId w:val="8"/>
  </w:num>
  <w:num w:numId="13">
    <w:abstractNumId w:val="9"/>
  </w:num>
  <w:num w:numId="14">
    <w:abstractNumId w:val="24"/>
  </w:num>
  <w:num w:numId="15">
    <w:abstractNumId w:val="13"/>
  </w:num>
  <w:num w:numId="16">
    <w:abstractNumId w:val="35"/>
  </w:num>
  <w:num w:numId="17">
    <w:abstractNumId w:val="37"/>
  </w:num>
  <w:num w:numId="18">
    <w:abstractNumId w:val="1"/>
  </w:num>
  <w:num w:numId="19">
    <w:abstractNumId w:val="31"/>
  </w:num>
  <w:num w:numId="20">
    <w:abstractNumId w:val="6"/>
  </w:num>
  <w:num w:numId="21">
    <w:abstractNumId w:val="21"/>
  </w:num>
  <w:num w:numId="22">
    <w:abstractNumId w:val="2"/>
  </w:num>
  <w:num w:numId="23">
    <w:abstractNumId w:val="0"/>
  </w:num>
  <w:num w:numId="24">
    <w:abstractNumId w:val="11"/>
  </w:num>
  <w:num w:numId="25">
    <w:abstractNumId w:val="15"/>
  </w:num>
  <w:num w:numId="26">
    <w:abstractNumId w:val="12"/>
  </w:num>
  <w:num w:numId="27">
    <w:abstractNumId w:val="38"/>
  </w:num>
  <w:num w:numId="28">
    <w:abstractNumId w:val="36"/>
  </w:num>
  <w:num w:numId="29">
    <w:abstractNumId w:val="5"/>
  </w:num>
  <w:num w:numId="30">
    <w:abstractNumId w:val="22"/>
  </w:num>
  <w:num w:numId="31">
    <w:abstractNumId w:val="28"/>
  </w:num>
  <w:num w:numId="32">
    <w:abstractNumId w:val="16"/>
  </w:num>
  <w:num w:numId="33">
    <w:abstractNumId w:val="17"/>
  </w:num>
  <w:num w:numId="34">
    <w:abstractNumId w:val="26"/>
  </w:num>
  <w:num w:numId="35">
    <w:abstractNumId w:val="19"/>
  </w:num>
  <w:num w:numId="36">
    <w:abstractNumId w:val="20"/>
  </w:num>
  <w:num w:numId="37">
    <w:abstractNumId w:val="10"/>
  </w:num>
  <w:num w:numId="38">
    <w:abstractNumId w:val="14"/>
  </w:num>
  <w:num w:numId="39">
    <w:abstractNumId w:val="30"/>
  </w:num>
  <w:num w:numId="40">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050B"/>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29F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67FE"/>
    <w:rsid w:val="00107256"/>
    <w:rsid w:val="001075ED"/>
    <w:rsid w:val="001107C4"/>
    <w:rsid w:val="0011110C"/>
    <w:rsid w:val="001116B7"/>
    <w:rsid w:val="0011295F"/>
    <w:rsid w:val="00114F1E"/>
    <w:rsid w:val="00115495"/>
    <w:rsid w:val="00116E4B"/>
    <w:rsid w:val="00116F6B"/>
    <w:rsid w:val="00121842"/>
    <w:rsid w:val="00121F46"/>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434"/>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42AB"/>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4D43"/>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67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1DE6"/>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6226"/>
    <w:rsid w:val="003C7662"/>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5FFB"/>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5E0"/>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668F"/>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D87"/>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771"/>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3144"/>
    <w:rsid w:val="005F370C"/>
    <w:rsid w:val="005F4D3D"/>
    <w:rsid w:val="005F5B10"/>
    <w:rsid w:val="005F6CAB"/>
    <w:rsid w:val="0060129A"/>
    <w:rsid w:val="0060244C"/>
    <w:rsid w:val="006055AB"/>
    <w:rsid w:val="00610274"/>
    <w:rsid w:val="00610A95"/>
    <w:rsid w:val="00613401"/>
    <w:rsid w:val="0061516D"/>
    <w:rsid w:val="00615B10"/>
    <w:rsid w:val="006168EB"/>
    <w:rsid w:val="00616DEB"/>
    <w:rsid w:val="00620DE2"/>
    <w:rsid w:val="00623939"/>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0C31"/>
    <w:rsid w:val="0067157E"/>
    <w:rsid w:val="00672247"/>
    <w:rsid w:val="00673EAA"/>
    <w:rsid w:val="00675B61"/>
    <w:rsid w:val="00675D66"/>
    <w:rsid w:val="00676D1D"/>
    <w:rsid w:val="00680659"/>
    <w:rsid w:val="00680A78"/>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4FC"/>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449E"/>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45"/>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4644"/>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169"/>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389"/>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5658D"/>
    <w:rsid w:val="00A60841"/>
    <w:rsid w:val="00A61A4E"/>
    <w:rsid w:val="00A63700"/>
    <w:rsid w:val="00A64575"/>
    <w:rsid w:val="00A64C36"/>
    <w:rsid w:val="00A651C0"/>
    <w:rsid w:val="00A65A26"/>
    <w:rsid w:val="00A671E7"/>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3406"/>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4D84"/>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5FA8"/>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26451"/>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10A7"/>
    <w:rsid w:val="00C536D2"/>
    <w:rsid w:val="00C54558"/>
    <w:rsid w:val="00C558A4"/>
    <w:rsid w:val="00C559CD"/>
    <w:rsid w:val="00C579F6"/>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AB9"/>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379C"/>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A7D"/>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D06"/>
    <w:rsid w:val="00E41D0D"/>
    <w:rsid w:val="00E41E33"/>
    <w:rsid w:val="00E4260A"/>
    <w:rsid w:val="00E426BD"/>
    <w:rsid w:val="00E43C83"/>
    <w:rsid w:val="00E45508"/>
    <w:rsid w:val="00E45BB1"/>
    <w:rsid w:val="00E46685"/>
    <w:rsid w:val="00E507BE"/>
    <w:rsid w:val="00E50A06"/>
    <w:rsid w:val="00E51D63"/>
    <w:rsid w:val="00E5265D"/>
    <w:rsid w:val="00E528E2"/>
    <w:rsid w:val="00E53694"/>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467F"/>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2C7A"/>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5D9"/>
    <w:rsid w:val="00F35ED7"/>
    <w:rsid w:val="00F36B72"/>
    <w:rsid w:val="00F4001D"/>
    <w:rsid w:val="00F402C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 w:val="25665E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numbering" w:customStyle="1" w:styleId="Listaactual15">
    <w:name w:val="Lista actual15"/>
    <w:uiPriority w:val="99"/>
    <w:rsid w:val="00AE31C2"/>
    <w:pPr>
      <w:numPr>
        <w:numId w:val="37"/>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8A2B-01BA-453B-8C5F-CCEB65FC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42</Pages>
  <Words>10686</Words>
  <Characters>58774</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22</cp:revision>
  <cp:lastPrinted>2019-06-13T15:30:00Z</cp:lastPrinted>
  <dcterms:created xsi:type="dcterms:W3CDTF">2023-10-02T22:03:00Z</dcterms:created>
  <dcterms:modified xsi:type="dcterms:W3CDTF">2023-11-08T20:32:00Z</dcterms:modified>
</cp:coreProperties>
</file>