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a quince de marzo de dos mil veintitrés.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13839/INFOEM/IP/RR/2022</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XXXXXXXX XXXXXX XXXXXXX,</w:t>
      </w:r>
      <w:r w:rsidDel="00000000" w:rsidR="00000000" w:rsidRPr="00000000">
        <w:rPr>
          <w:rFonts w:ascii="Palatino Linotype" w:cs="Palatino Linotype" w:eastAsia="Palatino Linotype" w:hAnsi="Palatino Linotype"/>
          <w:rtl w:val="0"/>
        </w:rPr>
        <w:t xml:space="preserve"> en lo sucesivo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respuesta a su solicitud por parte del </w:t>
      </w:r>
      <w:r w:rsidDel="00000000" w:rsidR="00000000" w:rsidRPr="00000000">
        <w:rPr>
          <w:rFonts w:ascii="Palatino Linotype" w:cs="Palatino Linotype" w:eastAsia="Palatino Linotype" w:hAnsi="Palatino Linotype"/>
          <w:b w:val="1"/>
          <w:rtl w:val="0"/>
        </w:rPr>
        <w:t xml:space="preserve">Instituto de Seguridad Social del Estado de México y Municipios, </w:t>
      </w:r>
      <w:r w:rsidDel="00000000" w:rsidR="00000000" w:rsidRPr="00000000">
        <w:rPr>
          <w:rFonts w:ascii="Palatino Linotype" w:cs="Palatino Linotype" w:eastAsia="Palatino Linotype" w:hAnsi="Palatino Linotype"/>
          <w:rtl w:val="0"/>
        </w:rPr>
        <w:t xml:space="preserve">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w:t>
      </w:r>
      <w:r w:rsidDel="00000000" w:rsidR="00000000" w:rsidRPr="00000000">
        <w:rPr>
          <w:rFonts w:ascii="Palatino Linotype" w:cs="Palatino Linotype" w:eastAsia="Palatino Linotype" w:hAnsi="Palatino Linotype"/>
          <w:rtl w:val="0"/>
        </w:rPr>
        <w:t xml:space="preserve"> Con fecha </w:t>
      </w:r>
      <w:r w:rsidDel="00000000" w:rsidR="00000000" w:rsidRPr="00000000">
        <w:rPr>
          <w:rFonts w:ascii="Palatino Linotype" w:cs="Palatino Linotype" w:eastAsia="Palatino Linotype" w:hAnsi="Palatino Linotype"/>
          <w:b w:val="1"/>
          <w:rtl w:val="0"/>
        </w:rPr>
        <w:t xml:space="preserve">uno de agosto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de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dos mil veintidós,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presentó, a través del Sistema de Acceso a la Información Mexiquense, en lo subsecuente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solicitud de acceso a la información pública, a la que se le asignó el número</w:t>
      </w:r>
      <w:r w:rsidDel="00000000" w:rsidR="00000000" w:rsidRPr="00000000">
        <w:rPr>
          <w:rFonts w:ascii="Palatino Linotype" w:cs="Palatino Linotype" w:eastAsia="Palatino Linotype" w:hAnsi="Palatino Linotype"/>
          <w:b w:val="1"/>
          <w:rtl w:val="0"/>
        </w:rPr>
        <w:t xml:space="preserve"> 00629/ISSEMYM/IP/2022, </w:t>
      </w:r>
      <w:r w:rsidDel="00000000" w:rsidR="00000000" w:rsidRPr="00000000">
        <w:rPr>
          <w:rFonts w:ascii="Palatino Linotype" w:cs="Palatino Linotype" w:eastAsia="Palatino Linotype" w:hAnsi="Palatino Linotype"/>
          <w:rtl w:val="0"/>
        </w:rPr>
        <w:t xml:space="preserve">mediante la cual requirió la información siguiente: </w:t>
      </w:r>
    </w:p>
    <w:p w:rsidR="00000000" w:rsidDel="00000000" w:rsidP="00000000" w:rsidRDefault="00000000" w:rsidRPr="00000000" w14:paraId="00000005">
      <w:pPr>
        <w:spacing w:after="240" w:before="240" w:lineRule="auto"/>
        <w:ind w:left="851" w:right="902" w:firstLine="0"/>
        <w:jc w:val="both"/>
        <w:rPr>
          <w:rFonts w:ascii="Palatino Linotype" w:cs="Palatino Linotype" w:eastAsia="Palatino Linotype" w:hAnsi="Palatino Linotype"/>
          <w:b w:val="1"/>
          <w:i w:val="1"/>
          <w:sz w:val="22"/>
          <w:szCs w:val="22"/>
        </w:rPr>
      </w:pPr>
      <w:bookmarkStart w:colFirst="0" w:colLast="0" w:name="_heading=h.gjdgxs" w:id="0"/>
      <w:bookmarkEnd w:id="0"/>
      <w:r w:rsidDel="00000000" w:rsidR="00000000" w:rsidRPr="00000000">
        <w:rPr>
          <w:rFonts w:ascii="Palatino Linotype" w:cs="Palatino Linotype" w:eastAsia="Palatino Linotype" w:hAnsi="Palatino Linotype"/>
          <w:i w:val="1"/>
          <w:sz w:val="22"/>
          <w:szCs w:val="22"/>
          <w:rtl w:val="0"/>
        </w:rPr>
        <w:t xml:space="preserve">“Por este medio solicito las semanas cotizadas de [...] CURP: [...] NSS: [...] Subdelegación de Adscripción: TOLUCA. Ya que estuvo trabajando desde 01-06-1998 hasta 31-03-2021, por lo que solicito como su hija saber cuántas semanas cotizó mi mama gracias. Mi mamá estuvo trabajando en el municipio de Ixtapan de la sal, estado de México; en plaza de los mártires sin número C.P. 51900 así como Núm.. de trabajador: [...], ISSEMYM: [...]. Por lo anterior anexó documentación para ser cotejada gracias.</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(sic) </w:t>
      </w:r>
      <w:r w:rsidDel="00000000" w:rsidR="00000000" w:rsidRPr="00000000">
        <w:rPr>
          <w:rtl w:val="0"/>
        </w:rPr>
      </w:r>
    </w:p>
    <w:p w:rsidR="00000000" w:rsidDel="00000000" w:rsidP="00000000" w:rsidRDefault="00000000" w:rsidRPr="00000000" w14:paraId="00000006">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adjuntó, la digitalización de su credencial para votar, así como el acta de defunción, credencial para votar y recibo de nómina correspondiente a la segunda quincena de febrero de dos mil veintiuno de la titular de los datos personales.</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de Entrega:</w:t>
      </w:r>
      <w:r w:rsidDel="00000000" w:rsidR="00000000" w:rsidRPr="00000000">
        <w:rPr>
          <w:rFonts w:ascii="Palatino Linotype" w:cs="Palatino Linotype" w:eastAsia="Palatino Linotype" w:hAnsi="Palatino Linotype"/>
          <w:rtl w:val="0"/>
        </w:rPr>
        <w:t xml:space="preserve"> a través </w:t>
      </w:r>
      <w:r w:rsidDel="00000000" w:rsidR="00000000" w:rsidRPr="00000000">
        <w:rPr>
          <w:rFonts w:ascii="Palatino Linotype" w:cs="Palatino Linotype" w:eastAsia="Palatino Linotype" w:hAnsi="Palatino Linotype"/>
          <w:b w:val="1"/>
          <w:rtl w:val="0"/>
        </w:rPr>
        <w:t xml:space="preserve">de SAIMEX</w:t>
      </w:r>
      <w:r w:rsidDel="00000000" w:rsidR="00000000" w:rsidRPr="00000000">
        <w:rPr>
          <w:rtl w:val="0"/>
        </w:rPr>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rPr>
      </w:pPr>
      <w:bookmarkStart w:colFirst="0" w:colLast="0" w:name="_heading=h.3dy6vkm" w:id="1"/>
      <w:bookmarkEnd w:id="1"/>
      <w:r w:rsidDel="00000000" w:rsidR="00000000" w:rsidRPr="00000000">
        <w:rPr>
          <w:rFonts w:ascii="Palatino Linotype" w:cs="Palatino Linotype" w:eastAsia="Palatino Linotype" w:hAnsi="Palatino Linotype"/>
          <w:b w:val="1"/>
          <w:rtl w:val="0"/>
        </w:rPr>
        <w:t xml:space="preserve">2. Solicitud de Aclaración. </w:t>
      </w:r>
      <w:r w:rsidDel="00000000" w:rsidR="00000000" w:rsidRPr="00000000">
        <w:rPr>
          <w:rFonts w:ascii="Palatino Linotype" w:cs="Palatino Linotype" w:eastAsia="Palatino Linotype" w:hAnsi="Palatino Linotype"/>
          <w:rtl w:val="0"/>
        </w:rPr>
        <w:t xml:space="preserve">Con fecha</w:t>
      </w:r>
      <w:r w:rsidDel="00000000" w:rsidR="00000000" w:rsidRPr="00000000">
        <w:rPr>
          <w:rFonts w:ascii="Palatino Linotype" w:cs="Palatino Linotype" w:eastAsia="Palatino Linotype" w:hAnsi="Palatino Linotype"/>
          <w:b w:val="1"/>
          <w:rtl w:val="0"/>
        </w:rPr>
        <w:t xml:space="preserve"> cinco de agosto de dos mil veintidós</w:t>
      </w:r>
      <w:r w:rsidDel="00000000" w:rsidR="00000000" w:rsidRPr="00000000">
        <w:rPr>
          <w:rFonts w:ascii="Palatino Linotype" w:cs="Palatino Linotype" w:eastAsia="Palatino Linotype" w:hAnsi="Palatino Linotype"/>
          <w:rtl w:val="0"/>
        </w:rPr>
        <w:t xml:space="preserve">, el sujeto obligado requirió a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aclarara la solicitud de información pública planteadas, en los siguientes términos:</w:t>
      </w:r>
    </w:p>
    <w:p w:rsidR="00000000" w:rsidDel="00000000" w:rsidP="00000000" w:rsidRDefault="00000000" w:rsidRPr="00000000" w14:paraId="00000009">
      <w:pPr>
        <w:spacing w:after="24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 fundamento en el articulo 159 de la Ley de Transparencia y Acceso a la Información Pública del Estado de México y Municipios, se le requiere para que dentro del plazo de diez días hábiles realice lo siguiente:</w:t>
      </w:r>
    </w:p>
    <w:p w:rsidR="00000000" w:rsidDel="00000000" w:rsidP="00000000" w:rsidRDefault="00000000" w:rsidRPr="00000000" w14:paraId="0000000A">
      <w:pPr>
        <w:spacing w:after="24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Como archivo adjunto, encontrará el acuerdo mediante el cual se solicita complemente y/o aclare su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rsidR="00000000" w:rsidDel="00000000" w:rsidP="00000000" w:rsidRDefault="00000000" w:rsidRPr="00000000" w14:paraId="0000000B">
      <w:pPr>
        <w:spacing w:after="240" w:before="24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r w:rsidDel="00000000" w:rsidR="00000000" w:rsidRPr="00000000">
        <w:rPr>
          <w:rtl w:val="0"/>
        </w:rPr>
      </w:r>
    </w:p>
    <w:p w:rsidR="00000000" w:rsidDel="00000000" w:rsidP="00000000" w:rsidRDefault="00000000" w:rsidRPr="00000000" w14:paraId="0000000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adjuntó el escrito signado por la Jefa del Departamento de Acceso a la Información Institucional, mediante el cual, con fundamento en los artículos 97, 106, 107, 110, fracción II, y 111 de la Ley de Protección de Datos Personales en Posesión de Sujetos Obligados del Estado de México y Municipios, requiere a la persona solicitante a efecto de que presente a través del Sistema  de Acceso a la Información Pública del Estado de México y Municipios, SAIMEX, el documento a través del cual acredite la representación de la titular de los datos personales, mediante poder notarial especial o carta poder firmada ante dos testigos, especificando que la representación se le otorgó para el trámite de acceso a datos personales ante el Instituto de Seguridad Social del Estado de México y Municipios; antes del fallecimiento, destacando que en caso de tratarse de datos personales concernientes a personas fallecidas o de quienes haya sido declaradas judicialmente su presunción de muerte, la persona que acredite tener legalmente la representación de conformidad con las leyes aplicables, podrá ejercer los derechos ARCO; siempre que el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rsidR="00000000" w:rsidDel="00000000" w:rsidP="00000000" w:rsidRDefault="00000000" w:rsidRPr="00000000" w14:paraId="0000000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sentido, hace del conocimiento de la persona solicitante que podrá complementar la solicitud a través del SAIMEX, asimismo, que una vez que sean desahogados los requerimientos mencionados, y de encontrarse la información solicitada en los archivos del Instituto de Seguridad Social del Estado de México y Municipios, cuando la Unidad de Transparencia le notifique la disponibilidad de la información, considerando que se señaló como modalidad de entrega “A través de SAIMEX”, y debido a que la información solicitada se vincula con datos personales sensibles, considerados como confidenciales y de acceso exclusivo a quienes acrediten ser sus titulares o sus representantes; deberá presentarse con identificación original vigente con fotografía, ante el Módulo de Acceso de dicho Organismo.</w:t>
      </w:r>
    </w:p>
    <w:p w:rsidR="00000000" w:rsidDel="00000000" w:rsidP="00000000" w:rsidRDefault="00000000" w:rsidRPr="00000000" w14:paraId="0000000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Aclaración.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nueve de agosto de dos mil veintidós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requirió a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aclarara la solicitud de información pública planteada, en los siguientes términos:</w:t>
      </w:r>
    </w:p>
    <w:p w:rsidR="00000000" w:rsidDel="00000000" w:rsidP="00000000" w:rsidRDefault="00000000" w:rsidRPr="00000000" w14:paraId="0000000F">
      <w:pPr>
        <w:spacing w:after="240" w:before="24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“En este requerimiento por parte del acceso a la información Mexiquense, se me requiere para presentar un documento para acreditar la representación legal de la Sra. [...] y se me solicita un poder notarial especial o una carta poder firmada ante dos testigos especificando que la representación legal se me otorgo para el trámite de acceso a datos personales ante el Instituto de Seguridad Social del Estado de México y Municipios o exista un mandamiento judicial para dicho efecto. Así mismo que el titular haya autorizado dentro de una cláusula del testamento a las personas que podrán ejercer este derecho, en este sentido mi madre la Sra. [...] me deja en su carta testamentaria clave ISSEMYM Nº. [...] la cual anexo para el seguro por fallecimiento al 100%, así mismo espero me sea aceptada por esta Autoridad para poder saber cuántas semanas cotizo mi mamá en el ISSEMYM.” (sic)</w:t>
      </w:r>
      <w:r w:rsidDel="00000000" w:rsidR="00000000" w:rsidRPr="00000000">
        <w:rPr>
          <w:rtl w:val="0"/>
        </w:rPr>
      </w:r>
    </w:p>
    <w:p w:rsidR="00000000" w:rsidDel="00000000" w:rsidP="00000000" w:rsidRDefault="00000000" w:rsidRPr="00000000" w14:paraId="0000001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adjuntó el escrito de fecha nueve de agosto de dos mil veintidós, mediante el cual desahoga el requerimiento de información en los términos referidos en el párrafo anterior, así como la digitalización de la carta testamentaria para seguro de fallecimiento mediante la cual la titular de los datos personales designa como beneficiaria a la persona solicitante.</w:t>
      </w:r>
    </w:p>
    <w:p w:rsidR="00000000" w:rsidDel="00000000" w:rsidP="00000000" w:rsidRDefault="00000000" w:rsidRPr="00000000" w14:paraId="00000011">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Respuesta. </w:t>
      </w:r>
      <w:r w:rsidDel="00000000" w:rsidR="00000000" w:rsidRPr="00000000">
        <w:rPr>
          <w:rFonts w:ascii="Palatino Linotype" w:cs="Palatino Linotype" w:eastAsia="Palatino Linotype" w:hAnsi="Palatino Linotype"/>
          <w:rtl w:val="0"/>
        </w:rPr>
        <w:t xml:space="preserve">Con fecha</w:t>
      </w:r>
      <w:r w:rsidDel="00000000" w:rsidR="00000000" w:rsidRPr="00000000">
        <w:rPr>
          <w:rFonts w:ascii="Palatino Linotype" w:cs="Palatino Linotype" w:eastAsia="Palatino Linotype" w:hAnsi="Palatino Linotype"/>
          <w:b w:val="1"/>
          <w:rtl w:val="0"/>
        </w:rPr>
        <w:t xml:space="preserve"> veintitrés de agosto de dos mil veintidós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envió su respuesta a la solicitud de acceso a la información a través de SAIMEX, sustancialmente en los términos siguientes:   </w:t>
      </w:r>
      <w:r w:rsidDel="00000000" w:rsidR="00000000" w:rsidRPr="00000000">
        <w:rPr>
          <w:rtl w:val="0"/>
        </w:rPr>
      </w:r>
    </w:p>
    <w:p w:rsidR="00000000" w:rsidDel="00000000" w:rsidP="00000000" w:rsidRDefault="00000000" w:rsidRPr="00000000" w14:paraId="00000012">
      <w:pPr>
        <w:spacing w:after="240" w:before="24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“…Como archivo adjunto, encontrará el acuerdo mediante el cual se determina no dar curso a su solicitud, debido a que no fueron presentados los requerimientos solicitados de conformidad con el artículo 111 de la Ley de Protección de Datos Personales en Posesión de Sujetos Obligados del Estado de México y Municipios;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(sic)</w:t>
      </w:r>
      <w:r w:rsidDel="00000000" w:rsidR="00000000" w:rsidRPr="00000000">
        <w:rPr>
          <w:rtl w:val="0"/>
        </w:rPr>
      </w:r>
    </w:p>
    <w:p w:rsidR="00000000" w:rsidDel="00000000" w:rsidP="00000000" w:rsidRDefault="00000000" w:rsidRPr="00000000" w14:paraId="00000013">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adjuntó el escrito mediante el cual, la Jefa del Departamento de Acceso a la Información Institucional, hace del conocimiento de la persona solicitante que la información relativa a los periodos cotizados ante el Instituto de Seguridad Social del Estado de México y Municipios, implicaría procesar la información de las nóminas manuales y automatizadas recibidas por dicho Instituto, derivado de lo cual la Unidad Administrativa no está obligada a proporcionar dicha información ya que implicaría el procesamiento e investigación de la información.</w:t>
      </w:r>
    </w:p>
    <w:p w:rsidR="00000000" w:rsidDel="00000000" w:rsidP="00000000" w:rsidRDefault="00000000" w:rsidRPr="00000000" w14:paraId="00000014">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con fundamento en el artículo 114 de la Ley de Protección de Datos Personales en Posesión de Sujetos Obligados del Estado de México y Municipios, informa que mediante el trámite “Proyecto de Pensión”, previsto en los artículos 66, 67, 68 y 82 del Reglamento de Prestaciones del Instituto de Seguridad Social del Estado de México y Municipios, el interesado podrá conocer la información solicitada, toda vez que obtendrá una respuesta que contempla los periodos cotizados ante este Instituto de Seguridad Social, ello independientemente de requerir realizar el trámite de pensión o no, en virtud de que dicho trámite solo tiene el carácter de informativo, señalando, para tal efecto, que el interesado debe acudir a la Unidad u Oficina de Atención al Derechohabiente más cercana a su domicilio en los días y horarios de atención, misma que podrá ubicar en la siguiente dirección electrónica: </w:t>
      </w:r>
      <w:hyperlink r:id="rId8">
        <w:r w:rsidDel="00000000" w:rsidR="00000000" w:rsidRPr="00000000">
          <w:rPr>
            <w:rFonts w:ascii="Palatino Linotype" w:cs="Palatino Linotype" w:eastAsia="Palatino Linotype" w:hAnsi="Palatino Linotype"/>
            <w:color w:val="000000"/>
            <w:u w:val="single"/>
            <w:rtl w:val="0"/>
          </w:rPr>
          <w:t xml:space="preserve">http://www.issemym.gob.mx/uoad-mapa</w:t>
        </w:r>
      </w:hyperlink>
      <w:r w:rsidDel="00000000" w:rsidR="00000000" w:rsidRPr="00000000">
        <w:rPr>
          <w:rFonts w:ascii="Palatino Linotype" w:cs="Palatino Linotype" w:eastAsia="Palatino Linotype" w:hAnsi="Palatino Linotype"/>
          <w:rtl w:val="0"/>
        </w:rPr>
        <w:t xml:space="preserve">, debiendo agendar cita previo registro a través de la dirección electrónica: </w:t>
      </w:r>
      <w:hyperlink r:id="rId9">
        <w:r w:rsidDel="00000000" w:rsidR="00000000" w:rsidRPr="00000000">
          <w:rPr>
            <w:rFonts w:ascii="Palatino Linotype" w:cs="Palatino Linotype" w:eastAsia="Palatino Linotype" w:hAnsi="Palatino Linotype"/>
            <w:color w:val="000000"/>
            <w:u w:val="single"/>
            <w:rtl w:val="0"/>
          </w:rPr>
          <w:t xml:space="preserve">https://prestaciones.issemym.gob.mx/citas/citasinicio.aspx</w:t>
        </w:r>
      </w:hyperlink>
      <w:r w:rsidDel="00000000" w:rsidR="00000000" w:rsidRPr="00000000">
        <w:rPr>
          <w:rFonts w:ascii="Palatino Linotype" w:cs="Palatino Linotype" w:eastAsia="Palatino Linotype" w:hAnsi="Palatino Linotype"/>
          <w:rtl w:val="0"/>
        </w:rPr>
        <w:t xml:space="preserve">, y enlistó los documentos que deben presentarse ante la Unidad de Atención al Derechohabiente que le corresponda, a efecto de obtener un dictamen estimado que le correspondería como pensión, así como los periodos cotizados ante el Instituto de Seguridad Social del Estado de México y Municipios, reiterando que dicho dato únicamente es de carácter informativo.</w:t>
      </w:r>
    </w:p>
    <w:p w:rsidR="00000000" w:rsidDel="00000000" w:rsidP="00000000" w:rsidRDefault="00000000" w:rsidRPr="00000000" w14:paraId="00000015">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virtud, señala que lo requerido por la persona solicitante es la respuesta a un trámite, que deberá iniciar el interesado y dar seguimiento por la vía administrativa, no así a través de las solicitudes de acceso a datos personales, al relacionarse la información relativa al tiempo de servicio y los periodos cotizados con el citado trámite, razón por la cual no es posible la generación de nuevos datos, toda vez que para obtener las cotizaciones a que se refiere la persona solicitante, el Instituto tendría que generar datos recientes, siendo necesario llevar a cabo el trámite señalado para obtener la información, al implicar una investigación y el procesamiento.</w:t>
      </w:r>
    </w:p>
    <w:p w:rsidR="00000000" w:rsidDel="00000000" w:rsidP="00000000" w:rsidRDefault="00000000" w:rsidRPr="00000000" w14:paraId="00000016">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informó sobre los requisitos para el trámite de prestaciones que pudieran ser en su caso: Pensión por fallecimiento por causas ajenas al servicio, Pensión por Fallecimiento del Servidor Público a consecuencia de un Riesgo de Trabajo, Pensión por fallecimiento de Pensionado.</w:t>
      </w:r>
    </w:p>
    <w:p w:rsidR="00000000" w:rsidDel="00000000" w:rsidP="00000000" w:rsidRDefault="00000000" w:rsidRPr="00000000" w14:paraId="00000017">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respecto del requerimiento hecho en fecha nueve de agosto de dos mil veintidós,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concluyó que la persona solicitante no adjuntó algún documento que acreditara el consentimiento y la representación de la titular de los datos personales previo al fallecimiento, conforme a lo solicitado, aunado al hecho de que tampoco se puede proporcionar la información por la Unidad de Transparencia, al existir un trámite que se debe agotar, razón por la cual se determinó no dar curso a la solicitud de acceso a datos personales, y se ordenó el archivo de la solicitud como concluida.</w:t>
      </w:r>
    </w:p>
    <w:p w:rsidR="00000000" w:rsidDel="00000000" w:rsidP="00000000" w:rsidRDefault="00000000" w:rsidRPr="00000000" w14:paraId="00000018">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Interposición del recurso de revisión. </w:t>
      </w:r>
      <w:r w:rsidDel="00000000" w:rsidR="00000000" w:rsidRPr="00000000">
        <w:rPr>
          <w:rFonts w:ascii="Palatino Linotype" w:cs="Palatino Linotype" w:eastAsia="Palatino Linotype" w:hAnsi="Palatino Linotype"/>
          <w:rtl w:val="0"/>
        </w:rPr>
        <w:t xml:space="preserve">Inconforme con los términos de la respuesta emitida por parte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veinticinco de agosto de dos mil veintidós,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interpuso el recurso de revisión a través de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en donde se manifestó de la siguiente manera:</w:t>
      </w:r>
    </w:p>
    <w:p w:rsidR="00000000" w:rsidDel="00000000" w:rsidP="00000000" w:rsidRDefault="00000000" w:rsidRPr="00000000" w14:paraId="00000019">
      <w:pPr>
        <w:tabs>
          <w:tab w:val="left" w:leader="none" w:pos="2745"/>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Acto impugnado: </w:t>
      </w:r>
    </w:p>
    <w:p w:rsidR="00000000" w:rsidDel="00000000" w:rsidP="00000000" w:rsidRDefault="00000000" w:rsidRPr="00000000" w14:paraId="0000001A">
      <w:pPr>
        <w:tabs>
          <w:tab w:val="left" w:leader="none" w:pos="2745"/>
        </w:tabs>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“Solicito un recurso de revisión en mi solicitud de acceso a la Información Mexiquense con Folio de solicitud: 00629/ISSEMYM/IP/2022, en el cual se me da contestación con fecha 22 de agosto de 2022 a mi petición, que no fue satisfecha. en razón que solamente es de carácter informativo, esto es número de semanas cotizadas.” (sic)</w:t>
      </w:r>
    </w:p>
    <w:p w:rsidR="00000000" w:rsidDel="00000000" w:rsidP="00000000" w:rsidRDefault="00000000" w:rsidRPr="00000000" w14:paraId="0000001B">
      <w:pPr>
        <w:spacing w:line="360" w:lineRule="auto"/>
        <w:jc w:val="both"/>
        <w:rPr>
          <w:rFonts w:ascii="Palatino Linotype" w:cs="Palatino Linotype" w:eastAsia="Palatino Linotype" w:hAnsi="Palatino Linotype"/>
        </w:rPr>
      </w:pPr>
      <w:bookmarkStart w:colFirst="0" w:colLast="0" w:name="_heading=h.30j0zll" w:id="2"/>
      <w:bookmarkEnd w:id="2"/>
      <w:r w:rsidDel="00000000" w:rsidR="00000000" w:rsidRPr="00000000">
        <w:rPr>
          <w:rFonts w:ascii="Palatino Linotype" w:cs="Palatino Linotype" w:eastAsia="Palatino Linotype" w:hAnsi="Palatino Linotype"/>
          <w:b w:val="1"/>
          <w:rtl w:val="0"/>
        </w:rPr>
        <w:t xml:space="preserve">Y Razones o motivos de inconformidad</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C">
      <w:pPr>
        <w:tabs>
          <w:tab w:val="left" w:leader="none" w:pos="2745"/>
        </w:tabs>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“Solo estoy pidiendo, solicitando la información de carácter informativo, no se pide procesar la información en sabanas.” (sic)</w:t>
      </w:r>
    </w:p>
    <w:p w:rsidR="00000000" w:rsidDel="00000000" w:rsidP="00000000" w:rsidRDefault="00000000" w:rsidRPr="00000000" w14:paraId="0000001D">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Anexos: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adjuntó el escrito de fecha veinticinco de agosto de dos mil veintidós, mediante el cual manifestó, en lo medular, lo siguiente:</w:t>
      </w:r>
    </w:p>
    <w:p w:rsidR="00000000" w:rsidDel="00000000" w:rsidP="00000000" w:rsidRDefault="00000000" w:rsidRPr="00000000" w14:paraId="0000001E">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esta misiva le solicito en tiempo y forma al departamento de acceso a la información Institucional a su digno cargo, un recurso de revisión en mi solicitud de acceso a la Información Mexiquense con Folio de solicitud: 00629/ISSEMYM/IP/2022, en él cual se me da contestación con fecha 22 de agosto de 2022 a mi petición, que no fue satisfecha. Se me informa que la información relativa a los periodos cotizados ante este Instituto implicaría procesar la información de las nóminas manuales y automatizadas recibidas por este Instituto de Seguridad Social de las Instituciones Públicas, derivado de lo cual esta unidad administrativa no está obligada a proporcionar dicha información ya que implicaría el procesamiento e investigación de la información. La cual no es la que estoy solicitando ya que no estoy realizando el trámite de pensión, y si estoy solicitando esta información en esta plataforma de acceso a la información es por negármela en la Unidad de Atención al Derechohabiente del ISSEMYM Toluca. </w:t>
      </w:r>
    </w:p>
    <w:p w:rsidR="00000000" w:rsidDel="00000000" w:rsidP="00000000" w:rsidRDefault="00000000" w:rsidRPr="00000000" w14:paraId="0000001F">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Por este motivo le estoy solicitando a esta plataforma la información de carácter informativo de los periodos cotizados o semanas cotizadas del 01/06/1998 hasta el 15/03/2021 ante este Instituto de Seguridad Social Mexiquense ISSEMYM, con el fin de poder aclarar y comparar las semanas cotizadas ante la Afore que está manejando las semanas cotizadas de la finada [...] si no indíqueme que otro medio puedo utilizar para poder solicitar y cotejar las semanas cotizadas...” (sic)</w:t>
      </w:r>
    </w:p>
    <w:p w:rsidR="00000000" w:rsidDel="00000000" w:rsidP="00000000" w:rsidRDefault="00000000" w:rsidRPr="00000000" w14:paraId="00000020">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6.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rtl w:val="0"/>
        </w:rPr>
        <w:t xml:space="preserve">Guadalupe Ramírez Peña, </w:t>
      </w:r>
      <w:r w:rsidDel="00000000" w:rsidR="00000000" w:rsidRPr="00000000">
        <w:rPr>
          <w:rFonts w:ascii="Palatino Linotype" w:cs="Palatino Linotype" w:eastAsia="Palatino Linotype" w:hAnsi="Palatino Linotype"/>
          <w:rtl w:val="0"/>
        </w:rPr>
        <w:t xml:space="preserve">a efecto de que analizara sobre su admisión o su desechamiento.</w:t>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Admisión del Recurso de revisión.</w:t>
      </w:r>
      <w:r w:rsidDel="00000000" w:rsidR="00000000" w:rsidRPr="00000000">
        <w:rPr>
          <w:rFonts w:ascii="Palatino Linotype" w:cs="Palatino Linotype" w:eastAsia="Palatino Linotype" w:hAnsi="Palatino Linotype"/>
          <w:rtl w:val="0"/>
        </w:rPr>
        <w:t xml:space="preserve"> Con fecha</w:t>
      </w:r>
      <w:r w:rsidDel="00000000" w:rsidR="00000000" w:rsidRPr="00000000">
        <w:rPr>
          <w:rFonts w:ascii="Palatino Linotype" w:cs="Palatino Linotype" w:eastAsia="Palatino Linotype" w:hAnsi="Palatino Linotype"/>
          <w:b w:val="1"/>
          <w:rtl w:val="0"/>
        </w:rPr>
        <w:t xml:space="preserve"> treinta de agosto de dos mil veintidós, </w:t>
      </w: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presentara su informe justificado.</w:t>
      </w:r>
    </w:p>
    <w:p w:rsidR="00000000" w:rsidDel="00000000" w:rsidP="00000000" w:rsidRDefault="00000000" w:rsidRPr="00000000" w14:paraId="00000022">
      <w:pPr>
        <w:spacing w:after="240" w:before="240" w:line="360" w:lineRule="auto"/>
        <w:jc w:val="both"/>
        <w:rPr>
          <w:rFonts w:ascii="Palatino Linotype" w:cs="Palatino Linotype" w:eastAsia="Palatino Linotype" w:hAnsi="Palatino Linotype"/>
        </w:rPr>
      </w:pPr>
      <w:bookmarkStart w:colFirst="0" w:colLast="0" w:name="_heading=h.2s8eyo1" w:id="3"/>
      <w:bookmarkEnd w:id="3"/>
      <w:r w:rsidDel="00000000" w:rsidR="00000000" w:rsidRPr="00000000">
        <w:rPr>
          <w:rFonts w:ascii="Palatino Linotype" w:cs="Palatino Linotype" w:eastAsia="Palatino Linotype" w:hAnsi="Palatino Linotype"/>
          <w:b w:val="1"/>
          <w:rtl w:val="0"/>
        </w:rPr>
        <w:t xml:space="preserve">8. Manifestaciones</w:t>
      </w:r>
      <w:r w:rsidDel="00000000" w:rsidR="00000000" w:rsidRPr="00000000">
        <w:rPr>
          <w:rFonts w:ascii="Palatino Linotype" w:cs="Palatino Linotype" w:eastAsia="Palatino Linotype" w:hAnsi="Palatino Linotype"/>
          <w:rtl w:val="0"/>
        </w:rPr>
        <w:t xml:space="preserve">. De las constancias que integran el expediente electrónico en que se actúa se advierte que en fechas </w:t>
      </w:r>
      <w:r w:rsidDel="00000000" w:rsidR="00000000" w:rsidRPr="00000000">
        <w:rPr>
          <w:rFonts w:ascii="Palatino Linotype" w:cs="Palatino Linotype" w:eastAsia="Palatino Linotype" w:hAnsi="Palatino Linotype"/>
          <w:b w:val="1"/>
          <w:rtl w:val="0"/>
        </w:rPr>
        <w:t xml:space="preserve">treinta de agosto, dos de septiembre y dieciocho de octubre de dos mil veintidós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remitió el escrito de fecha veinticinco de agosto de dos mil veintidós, referido en el antecedente 5 de la presente resolución.</w:t>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ocho de septiembre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de dos mil veintidós, </w:t>
      </w:r>
      <w:r w:rsidDel="00000000" w:rsidR="00000000" w:rsidRPr="00000000">
        <w:rPr>
          <w:rFonts w:ascii="Palatino Linotype" w:cs="Palatino Linotype" w:eastAsia="Palatino Linotype" w:hAnsi="Palatino Linotype"/>
          <w:rtl w:val="0"/>
        </w:rPr>
        <w:t xml:space="preserve">remitió su informe justificado, mediante el cual reitera en lo sustancial la respuesta emitida en primera instancia, al señalar que la entrega de la información en los términos solicitados, implicaría procesar la información de las nóminas físicas y sistematizadas recibidas por el Instituto de Seguridad Social del Estado de México y Municipios, de las Instituciones Públicas, siendo que de las primeras se cuenta con un total de 12,765 tomos de nóminas, con un promedio de 400 hojas, dando un total de 5’106,000 hojas; adicional a estas, se tienen medios magnéticos conocidos como microfichas y de estas se tiene un acervo de 9000 y cada una cuenta con 208 hojas para un total de 1’872,000 hojas y con respecto de las nóminas automatizadas, manifiesta que se cuenta con tres sistemas.</w:t>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señaló que las solicitudes de pensión en sus diferentes modalidades, que se generan en las Unidades de Atención al Derechohabiente, se reciben en el </w:t>
        <w:br w:type="textWrapping"/>
        <w:t xml:space="preserve">departamento de Pensiones previa evaluación de los requisitos, las registra en control interno de correspondencia y entrega a la o el titular del Departamento de Control y Actualización Documental, desglosando el procedimiento para la obtención de la información solicitada conforme a los procedimientos internos, con la finalidad de acreditar que proporcionar el soporte documental, en cualquiera de sus formas, donde conste el número de quincenas cotizadas, implica realizar procesamiento y realizar cálculos de la información, a lo cual no se encuentra obligado dicho Instituto, conforme al artículo 114 de la Ley de Protección de Datos Personales en Posesión de Sujetos Obligados del Estado de México y Municipios, así como tampoco se encuentra obligado a generar información a través de documentos ad hoc, para un fin determinado.</w:t>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sentido, la Coordinación de Prestaciones y Seguridad Social solicitó, someter ante el Comité de Transparencia, la declaratoria de inexistencia ante la ausencia de la información requerida por la persona solicitante, atendiendo al caso particular, toda vez que implicaría procesar las nóminas físicas y sistematizadas.</w:t>
      </w:r>
    </w:p>
    <w:p w:rsidR="00000000" w:rsidDel="00000000" w:rsidP="00000000" w:rsidRDefault="00000000" w:rsidRPr="00000000" w14:paraId="0000002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Cabe señalar que al informe justificado anexo los escritos mediante los cuales requirió a la persona solicitante a efecto de que presentara el documento a través del cual acredite la representación de la titular de los datos personales; mediante el cual proporcionó respuesta y la resolución del Comité de Transparencia CT/ISSEMYM-A01-29E/2022, de fecha ocho de septiembre de dos mil veintidós, mediante la cual se emite la declaratoria de inexistencia correspondiente al documento que contenga las semanas cotizadas, a nombre de la persona referida en la solicitud de información, ante la ausencia de la información requerida por la persona solicitante.</w:t>
      </w:r>
    </w:p>
    <w:p w:rsidR="00000000" w:rsidDel="00000000" w:rsidP="00000000" w:rsidRDefault="00000000" w:rsidRPr="00000000" w14:paraId="0000002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Documentos que una vez analizados se hicieron del conocimiento de la persona solicitante, con la finalidad de que manifestara lo que a su derecho estimara conveniente, sin embargo, fue omisa en ejercer dicha prerrogativa.</w:t>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9. Ampliación del término para resolver</w:t>
      </w:r>
      <w:r w:rsidDel="00000000" w:rsidR="00000000" w:rsidRPr="00000000">
        <w:rPr>
          <w:rFonts w:ascii="Palatino Linotype" w:cs="Palatino Linotype" w:eastAsia="Palatino Linotype" w:hAnsi="Palatino Linotype"/>
          <w:rtl w:val="0"/>
        </w:rPr>
        <w:t xml:space="preserve">. En fecha </w:t>
      </w:r>
      <w:r w:rsidDel="00000000" w:rsidR="00000000" w:rsidRPr="00000000">
        <w:rPr>
          <w:rFonts w:ascii="Palatino Linotype" w:cs="Palatino Linotype" w:eastAsia="Palatino Linotype" w:hAnsi="Palatino Linotype"/>
          <w:b w:val="1"/>
          <w:rtl w:val="0"/>
        </w:rPr>
        <w:t xml:space="preserve">ocho de noviembre de dos mil veintidós</w:t>
      </w:r>
      <w:r w:rsidDel="00000000" w:rsidR="00000000" w:rsidRPr="00000000">
        <w:rPr>
          <w:rFonts w:ascii="Palatino Linotype" w:cs="Palatino Linotype" w:eastAsia="Palatino Linotype" w:hAnsi="Palatino Linotype"/>
          <w:rtl w:val="0"/>
        </w:rPr>
        <w:t xml:space="preserve">, se amplió el término para resolver el recurso de revisión en términos del artículo 181 párrafo tercero de la Ley de Transparencia y Acceso a la Información Pública del Estado de México y Municipios.</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000000" w:rsidDel="00000000" w:rsidP="00000000" w:rsidRDefault="00000000" w:rsidRPr="00000000" w14:paraId="0000002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000000" w:rsidDel="00000000" w:rsidP="00000000" w:rsidRDefault="00000000" w:rsidRPr="00000000" w14:paraId="0000002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0000" w:rsidDel="00000000" w:rsidP="00000000" w:rsidRDefault="00000000" w:rsidRPr="00000000" w14:paraId="0000002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00000" w:rsidDel="00000000" w:rsidP="00000000" w:rsidRDefault="00000000" w:rsidRPr="00000000" w14:paraId="0000002D">
      <w:pPr>
        <w:spacing w:after="240" w:before="240" w:line="360" w:lineRule="auto"/>
        <w:jc w:val="both"/>
        <w:rPr>
          <w:rFonts w:ascii="Palatino Linotype" w:cs="Palatino Linotype" w:eastAsia="Palatino Linotype" w:hAnsi="Palatino Linotype"/>
          <w:strike w:val="1"/>
        </w:rPr>
      </w:pPr>
      <w:r w:rsidDel="00000000" w:rsidR="00000000" w:rsidRPr="00000000">
        <w:rPr>
          <w:rFonts w:ascii="Palatino Linotype" w:cs="Palatino Linotype" w:eastAsia="Palatino Linotype" w:hAnsi="Palatino Linotype"/>
          <w:rtl w:val="0"/>
        </w:rPr>
        <w:t xml:space="preserve">Por ello, excepcionalmente, si un asunto es resuelto con posterioridad a los plazos señalados por la norma debe analizarse la razonabilidad del tiempo necesario para su resolución, atentos a los siguientes criterios: </w:t>
      </w:r>
      <w:r w:rsidDel="00000000" w:rsidR="00000000" w:rsidRPr="00000000">
        <w:rPr>
          <w:rtl w:val="0"/>
        </w:rPr>
      </w:r>
    </w:p>
    <w:p w:rsidR="00000000" w:rsidDel="00000000" w:rsidP="00000000" w:rsidRDefault="00000000" w:rsidRPr="00000000" w14:paraId="0000002E">
      <w:pPr>
        <w:numPr>
          <w:ilvl w:val="0"/>
          <w:numId w:val="3"/>
        </w:numPr>
        <w:spacing w:after="240" w:before="240"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Complejidad del Asunto: La complejidad de la prueba, la pluralidad de sujetos procesales, el tiempo transcurrido, las características y contexto del recurso. </w:t>
      </w:r>
    </w:p>
    <w:p w:rsidR="00000000" w:rsidDel="00000000" w:rsidP="00000000" w:rsidRDefault="00000000" w:rsidRPr="00000000" w14:paraId="0000002F">
      <w:pPr>
        <w:numPr>
          <w:ilvl w:val="0"/>
          <w:numId w:val="3"/>
        </w:numPr>
        <w:spacing w:after="240" w:before="240"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Actividad Procesal del interesado. Acciones u omisiones del interesado.</w:t>
      </w:r>
    </w:p>
    <w:p w:rsidR="00000000" w:rsidDel="00000000" w:rsidP="00000000" w:rsidRDefault="00000000" w:rsidRPr="00000000" w14:paraId="00000030">
      <w:pPr>
        <w:numPr>
          <w:ilvl w:val="0"/>
          <w:numId w:val="3"/>
        </w:numPr>
        <w:spacing w:after="240" w:before="240" w:line="360" w:lineRule="auto"/>
        <w:ind w:left="927"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Conducta de la Autoridad: Las Acciones u omisiones realizadas en el procedimiento. Así como si la autoridad actuó con la debida diligencia.</w:t>
      </w:r>
    </w:p>
    <w:p w:rsidR="00000000" w:rsidDel="00000000" w:rsidP="00000000" w:rsidRDefault="00000000" w:rsidRPr="00000000" w14:paraId="00000031">
      <w:pPr>
        <w:spacing w:after="240" w:before="240"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 La afectación generada en la situación jurídica de la persona involucrada en el proceso: Violación a sus derechos humanos.</w:t>
      </w:r>
    </w:p>
    <w:p w:rsidR="00000000" w:rsidDel="00000000" w:rsidP="00000000" w:rsidRDefault="00000000" w:rsidRPr="00000000" w14:paraId="0000003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0000" w:rsidDel="00000000" w:rsidP="00000000" w:rsidRDefault="00000000" w:rsidRPr="00000000" w14:paraId="00000033">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Argumento que encuentra sustento en la jurisprudencia P./J. 32/92 emitida por el Pleno de la Suprema Corte de Justicia de la Nación de rubro </w:t>
      </w:r>
      <w:r w:rsidDel="00000000" w:rsidR="00000000" w:rsidRPr="00000000">
        <w:rPr>
          <w:rFonts w:ascii="Palatino Linotype" w:cs="Palatino Linotype" w:eastAsia="Palatino Linotype" w:hAnsi="Palatino Linotype"/>
          <w:i w:val="1"/>
          <w:rtl w:val="0"/>
        </w:rPr>
        <w:t xml:space="preserve">“TÉRMINOS PROCESALES. PARA DETERMINAR SI UN FUNCIONARIO JUDICIAL ACTUÓ INDEBIDAMENTE POR NO RESPETARLOS SE DEBE ATENDER AL PRESUPUESTO QUE CONSIDERÓ EL LEGISLADOR AL FIJARLOS Y LAS CARACTERÍSTICAS DEL CASO.”</w:t>
      </w:r>
      <w:r w:rsidDel="00000000" w:rsidR="00000000" w:rsidRPr="00000000">
        <w:rPr>
          <w:rFonts w:ascii="Palatino Linotype" w:cs="Palatino Linotype" w:eastAsia="Palatino Linotype" w:hAnsi="Palatino Linotype"/>
          <w:rtl w:val="0"/>
        </w:rPr>
        <w:t xml:space="preserve">, visible en la Gaceta del Seminario Judicial de la Federación con el registro digital 205635.</w:t>
      </w:r>
      <w:r w:rsidDel="00000000" w:rsidR="00000000" w:rsidRPr="00000000">
        <w:rPr>
          <w:rtl w:val="0"/>
        </w:rPr>
      </w:r>
    </w:p>
    <w:p w:rsidR="00000000" w:rsidDel="00000000" w:rsidP="00000000" w:rsidRDefault="00000000" w:rsidRPr="00000000" w14:paraId="0000003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0000" w:rsidDel="00000000" w:rsidP="00000000" w:rsidRDefault="00000000" w:rsidRPr="00000000" w14:paraId="0000003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también son de considerar los criterios sostenidos por el Cuarto Tribunal Colegiado en Materia Administrativa del Primer Circuito, cuyos rubros y datos de identificación son los siguientes:</w:t>
      </w:r>
    </w:p>
    <w:p w:rsidR="00000000" w:rsidDel="00000000" w:rsidP="00000000" w:rsidRDefault="00000000" w:rsidRPr="00000000" w14:paraId="00000036">
      <w:pPr>
        <w:spacing w:after="240" w:before="24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PLAZO RAZONABLE PARA RESOLVER. DIMENSIÓN Y EFECTOS DE ESTE CONCEPTO CUANDO SE ADUCE EXCESIVA CARGA DE TRABAJO</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consultable en el Seminario Judicial de la Federación y su gaceta, con el registro digital 2002351.</w:t>
      </w:r>
    </w:p>
    <w:p w:rsidR="00000000" w:rsidDel="00000000" w:rsidP="00000000" w:rsidRDefault="00000000" w:rsidRPr="00000000" w14:paraId="00000037">
      <w:pPr>
        <w:spacing w:after="240" w:before="24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PLAZO RAZONABLE PARA RESOLVER. CONCEPTO Y ELEMENTOS QUE LO INTEGRAN A LA LUZ DEL DERECHO INTERNACIONAL DE LOS DERECHOS HUMANOS</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visible en el Seminario Judicial de la Federación y su gaceta, con el registro digital 2002350.</w:t>
      </w:r>
    </w:p>
    <w:p w:rsidR="00000000" w:rsidDel="00000000" w:rsidP="00000000" w:rsidRDefault="00000000" w:rsidRPr="00000000" w14:paraId="00000038">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Por ello, este Organismo garante comprometido con la tutela de los derechos humanos confiados, señala que este exceso del plazo legal para resolver el presente asunto, resulta de carácter excepcional.</w:t>
      </w:r>
      <w:r w:rsidDel="00000000" w:rsidR="00000000" w:rsidRPr="00000000">
        <w:rPr>
          <w:rFonts w:ascii="Palatino Linotype" w:cs="Palatino Linotype" w:eastAsia="Palatino Linotype" w:hAnsi="Palatino Linotype"/>
          <w:b w:val="1"/>
          <w:rtl w:val="0"/>
        </w:rPr>
        <w:t xml:space="preserve"> </w:t>
      </w:r>
    </w:p>
    <w:p w:rsidR="00000000" w:rsidDel="00000000" w:rsidP="00000000" w:rsidRDefault="00000000" w:rsidRPr="00000000" w14:paraId="00000039">
      <w:pPr>
        <w:spacing w:after="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10. Reconducción de Vía y Conciliación a las partes. </w:t>
      </w: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trece de diciembre de dos mil veintidós, </w:t>
      </w:r>
      <w:r w:rsidDel="00000000" w:rsidR="00000000" w:rsidRPr="00000000">
        <w:rPr>
          <w:rFonts w:ascii="Palatino Linotype" w:cs="Palatino Linotype" w:eastAsia="Palatino Linotype" w:hAnsi="Palatino Linotype"/>
          <w:rtl w:val="0"/>
        </w:rPr>
        <w:t xml:space="preserve">fue notificado a las partes, el acuerdo por el que se daba tratamiento al presente Recurso de Revisión, vía Derecho de Acceso, Rectificación, Cancelación y Oposición –para posteriores referencias, Derechos ARCO- del tratamiento de Datos Personales a los que pretendía tener acceso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asimismo,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se acordó lo siguiente: </w:t>
      </w:r>
    </w:p>
    <w:p w:rsidR="00000000" w:rsidDel="00000000" w:rsidP="00000000" w:rsidRDefault="00000000" w:rsidRPr="00000000" w14:paraId="0000003A">
      <w:pPr>
        <w:spacing w:after="240" w:before="0" w:line="360" w:lineRule="auto"/>
        <w:ind w:left="426" w:right="4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 Tener por acreditada el interés legítimo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dentro del presente Recurso de Revisión, previniéndole para tal efecto, para que acreditará su interés jurídico en un término de cinco días; </w:t>
      </w:r>
    </w:p>
    <w:p w:rsidR="00000000" w:rsidDel="00000000" w:rsidP="00000000" w:rsidRDefault="00000000" w:rsidRPr="00000000" w14:paraId="0000003B">
      <w:pPr>
        <w:spacing w:after="240" w:before="240" w:line="360" w:lineRule="auto"/>
        <w:ind w:left="426" w:right="4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 El requerimiento a las partes para que en un plazo no mayor a siete días manifestaran, por cualquier medio, su voluntad de conciliar, con el apercibimiento de que, en caso de no hacerlo, se tendría por precluído su derecho, para tales efectos; y</w:t>
      </w:r>
    </w:p>
    <w:p w:rsidR="00000000" w:rsidDel="00000000" w:rsidP="00000000" w:rsidRDefault="00000000" w:rsidRPr="00000000" w14:paraId="0000003C">
      <w:pPr>
        <w:spacing w:after="240" w:before="240" w:line="360" w:lineRule="auto"/>
        <w:ind w:left="426" w:right="4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 Notificación de dicho Acuerdo.</w:t>
      </w:r>
    </w:p>
    <w:p w:rsidR="00000000" w:rsidDel="00000000" w:rsidP="00000000" w:rsidRDefault="00000000" w:rsidRPr="00000000" w14:paraId="0000003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11. Conciliación. </w:t>
      </w: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quince de diciembre de dos mil veintidós,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remitió el oficio número 207C0401210001S-UT-2130/2022 de fecha catorce de diciembre de dos mil veintidós, signado por el Responsable y titular de la Unidad de Transparencia, mediante el cual solicita conciliar el presente asunto a través de este Organismo Garante, con la finalidad de que, a través de dicho mecanismo alterno de solución de conflictos, se beneficie a la parte solicitante.</w:t>
      </w:r>
    </w:p>
    <w:p w:rsidR="00000000" w:rsidDel="00000000" w:rsidP="00000000" w:rsidRDefault="00000000" w:rsidRPr="00000000" w14:paraId="0000003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Mientras que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fue omisa en expresar su voluntad para conciliar el presente asunto.</w:t>
      </w:r>
    </w:p>
    <w:p w:rsidR="00000000" w:rsidDel="00000000" w:rsidP="00000000" w:rsidRDefault="00000000" w:rsidRPr="00000000" w14:paraId="0000003F">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12. Cierre de instrucción. </w:t>
      </w:r>
      <w:r w:rsidDel="00000000" w:rsidR="00000000" w:rsidRPr="00000000">
        <w:rPr>
          <w:rFonts w:ascii="Palatino Linotype" w:cs="Palatino Linotype" w:eastAsia="Palatino Linotype" w:hAnsi="Palatino Linotype"/>
          <w:rtl w:val="0"/>
        </w:rPr>
        <w:t xml:space="preserve">Una vez transcurrido el periodo otorgado a las partes para realizar sus manifestaciones y no habiendo documentos que integrar al expediente, con fecha </w:t>
      </w:r>
      <w:r w:rsidDel="00000000" w:rsidR="00000000" w:rsidRPr="00000000">
        <w:rPr>
          <w:rFonts w:ascii="Palatino Linotype" w:cs="Palatino Linotype" w:eastAsia="Palatino Linotype" w:hAnsi="Palatino Linotype"/>
          <w:b w:val="1"/>
          <w:rtl w:val="0"/>
        </w:rPr>
        <w:t xml:space="preserve">diecinueve de enero de dos mil veintitrés, </w:t>
      </w:r>
      <w:r w:rsidDel="00000000" w:rsidR="00000000" w:rsidRPr="00000000">
        <w:rPr>
          <w:rFonts w:ascii="Palatino Linotype" w:cs="Palatino Linotype" w:eastAsia="Palatino Linotype" w:hAnsi="Palatino Linotype"/>
          <w:rtl w:val="0"/>
        </w:rPr>
        <w:t xml:space="preserve">la Comisionada Ponente determinó el cierre de instrucción en términos de la fracción VI del artículo 185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4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41">
      <w:pPr>
        <w:widowControl w:val="0"/>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 C O N S I D E R A N D O S</w:t>
      </w:r>
    </w:p>
    <w:p w:rsidR="00000000" w:rsidDel="00000000" w:rsidP="00000000" w:rsidRDefault="00000000" w:rsidRPr="00000000" w14:paraId="0000004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Competencia.</w:t>
      </w:r>
      <w:r w:rsidDel="00000000" w:rsidR="00000000" w:rsidRPr="00000000">
        <w:rPr>
          <w:rFonts w:ascii="Palatino Linotype" w:cs="Palatino Linotype" w:eastAsia="Palatino Linotype" w:hAnsi="Palatino Linotype"/>
          <w:rtl w:val="0"/>
        </w:rPr>
        <w:t xml:space="preserve"> El Instituto de Transparencia, Acceso a la Información Pública y Protección de Datos Personales del Estado de México y Municipios, es competente para conocer y resolver el presente recurso de revisión interpuesto por el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Legitimación. </w:t>
      </w:r>
      <w:r w:rsidDel="00000000" w:rsidR="00000000" w:rsidRPr="00000000">
        <w:rPr>
          <w:rFonts w:ascii="Palatino Linotype" w:cs="Palatino Linotype" w:eastAsia="Palatino Linotype" w:hAnsi="Palatino Linotype"/>
          <w:rtl w:val="0"/>
        </w:rPr>
        <w:t xml:space="preserve">El recurso de revisión fue interpuesto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quién a su vez, formuló la solicitud de Acceso de datos personales</w:t>
      </w:r>
      <w:r w:rsidDel="00000000" w:rsidR="00000000" w:rsidRPr="00000000">
        <w:rPr>
          <w:rFonts w:ascii="Palatino Linotype" w:cs="Palatino Linotype" w:eastAsia="Palatino Linotype" w:hAnsi="Palatino Linotype"/>
          <w:b w:val="1"/>
          <w:rtl w:val="0"/>
        </w:rPr>
        <w:t xml:space="preserve"> 00629/ISSEMYM/IP/2022</w:t>
      </w:r>
      <w:r w:rsidDel="00000000" w:rsidR="00000000" w:rsidRPr="00000000">
        <w:rPr>
          <w:rFonts w:ascii="Palatino Linotype" w:cs="Palatino Linotype" w:eastAsia="Palatino Linotype" w:hAnsi="Palatino Linotype"/>
          <w:rtl w:val="0"/>
        </w:rPr>
        <w:t xml:space="preserve">, ante </w:t>
      </w:r>
      <w:r w:rsidDel="00000000" w:rsidR="00000000" w:rsidRPr="00000000">
        <w:rPr>
          <w:rFonts w:ascii="Palatino Linotype" w:cs="Palatino Linotype" w:eastAsia="Palatino Linotype" w:hAnsi="Palatino Linotype"/>
          <w:b w:val="1"/>
          <w:rtl w:val="0"/>
        </w:rPr>
        <w:t xml:space="preserve">el</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 conformidad con lo establecido en el 106 párrafo tercero de la ley en la materia.</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Oportunidad. </w:t>
      </w:r>
      <w:r w:rsidDel="00000000" w:rsidR="00000000" w:rsidRPr="00000000">
        <w:rPr>
          <w:rFonts w:ascii="Palatino Linotype" w:cs="Palatino Linotype" w:eastAsia="Palatino Linotype" w:hAnsi="Palatino Linotype"/>
          <w:rtl w:val="0"/>
        </w:rPr>
        <w:t xml:space="preserve">Es de precisar que la Ley de Protección de Datos Personales en Posesión de Sujetos Obligados del Estado de México y Municipios, describe el mecanismo de procedencia de los recursos de revisión, como se puede apreciar en el siguiente artículo:</w:t>
      </w:r>
    </w:p>
    <w:p w:rsidR="00000000" w:rsidDel="00000000" w:rsidP="00000000" w:rsidRDefault="00000000" w:rsidRPr="00000000" w14:paraId="00000045">
      <w:pPr>
        <w:spacing w:after="120" w:before="120" w:lineRule="auto"/>
        <w:ind w:left="851"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Artículo 128. </w:t>
      </w:r>
      <w:r w:rsidDel="00000000" w:rsidR="00000000" w:rsidRPr="00000000">
        <w:rPr>
          <w:rFonts w:ascii="Palatino Linotype" w:cs="Palatino Linotype" w:eastAsia="Palatino Linotype" w:hAnsi="Palatino Linotype"/>
          <w:i w:val="1"/>
          <w:sz w:val="22"/>
          <w:szCs w:val="22"/>
          <w:rtl w:val="0"/>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000000" w:rsidDel="00000000" w:rsidP="00000000" w:rsidRDefault="00000000" w:rsidRPr="00000000" w14:paraId="00000046">
      <w:pPr>
        <w:spacing w:after="120" w:before="120" w:lineRule="auto"/>
        <w:ind w:left="851" w:right="118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000000" w:rsidDel="00000000" w:rsidP="00000000" w:rsidRDefault="00000000" w:rsidRPr="00000000" w14:paraId="00000047">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interpretación al precepto legal inserto, se obtiene que, el plazo que les asiste a los Sujetos Obligados para entregar la respuesta a una solicitud para el ejercicio de los derechos ARCO es de quince días hábiles posteriores a la presentación de ésta; al respecto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remitió respuesta a la solicitud de acceso a datos personales el día </w:t>
      </w:r>
      <w:r w:rsidDel="00000000" w:rsidR="00000000" w:rsidRPr="00000000">
        <w:rPr>
          <w:rFonts w:ascii="Palatino Linotype" w:cs="Palatino Linotype" w:eastAsia="Palatino Linotype" w:hAnsi="Palatino Linotype"/>
          <w:b w:val="1"/>
          <w:rtl w:val="0"/>
        </w:rPr>
        <w:t xml:space="preserve">veintitrés de agosto de dos mil veintidós, </w:t>
      </w:r>
      <w:r w:rsidDel="00000000" w:rsidR="00000000" w:rsidRPr="00000000">
        <w:rPr>
          <w:rFonts w:ascii="Palatino Linotype" w:cs="Palatino Linotype" w:eastAsia="Palatino Linotype" w:hAnsi="Palatino Linotype"/>
          <w:rtl w:val="0"/>
        </w:rPr>
        <w:t xml:space="preserve">mientras que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interpuso el recurso de revisión en fecha </w:t>
      </w:r>
      <w:r w:rsidDel="00000000" w:rsidR="00000000" w:rsidRPr="00000000">
        <w:rPr>
          <w:rFonts w:ascii="Palatino Linotype" w:cs="Palatino Linotype" w:eastAsia="Palatino Linotype" w:hAnsi="Palatino Linotype"/>
          <w:b w:val="1"/>
          <w:rtl w:val="0"/>
        </w:rPr>
        <w:t xml:space="preserve">veinticinco  de agosto de dos mil veintidós</w:t>
      </w:r>
      <w:r w:rsidDel="00000000" w:rsidR="00000000" w:rsidRPr="00000000">
        <w:rPr>
          <w:rFonts w:ascii="Palatino Linotype" w:cs="Palatino Linotype" w:eastAsia="Palatino Linotype" w:hAnsi="Palatino Linotype"/>
          <w:rtl w:val="0"/>
        </w:rPr>
        <w:t xml:space="preserve">, es decir al segundo día hábil posterior de haber recibido la respuesta, por lo que se determinó, que el recurso se interpuso en el plazo establecido. </w:t>
      </w:r>
    </w:p>
    <w:p w:rsidR="00000000" w:rsidDel="00000000" w:rsidP="00000000" w:rsidRDefault="00000000" w:rsidRPr="00000000" w14:paraId="0000004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Procedibilidad. </w:t>
      </w:r>
      <w:r w:rsidDel="00000000" w:rsidR="00000000" w:rsidRPr="00000000">
        <w:rPr>
          <w:rFonts w:ascii="Palatino Linotype" w:cs="Palatino Linotype" w:eastAsia="Palatino Linotype" w:hAnsi="Palatino Linotype"/>
          <w:rtl w:val="0"/>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el</w:t>
      </w:r>
      <w:r w:rsidDel="00000000" w:rsidR="00000000" w:rsidRPr="00000000">
        <w:rPr>
          <w:rFonts w:ascii="Palatino Linotype" w:cs="Palatino Linotype" w:eastAsia="Palatino Linotype" w:hAnsi="Palatino Linotype"/>
          <w:b w:val="1"/>
          <w:rtl w:val="0"/>
        </w:rPr>
        <w:t xml:space="preserve"> SAIMEX</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49">
      <w:pPr>
        <w:spacing w:after="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Quinto. Estudio y resolución del asunto.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En primer término, es de señalar que el ejercicio de los derechos de acceso, rectificación, cancelación y oposición, ARCO, se encuentra regulado por el artículo 6 apartado A, y 16 segundo párrafo de la Constitución de los Estados Unidos Mexicanos, los cuales establecen lo siguiente: </w:t>
      </w:r>
    </w:p>
    <w:p w:rsidR="00000000" w:rsidDel="00000000" w:rsidP="00000000" w:rsidRDefault="00000000" w:rsidRPr="00000000" w14:paraId="0000004A">
      <w:pPr>
        <w:tabs>
          <w:tab w:val="left" w:leader="none" w:pos="7797"/>
          <w:tab w:val="left" w:leader="none" w:pos="7938"/>
        </w:tabs>
        <w:spacing w:after="120" w:before="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6o.</w:t>
      </w:r>
      <w:r w:rsidDel="00000000" w:rsidR="00000000" w:rsidRPr="00000000">
        <w:rPr>
          <w:rtl w:val="0"/>
        </w:rPr>
      </w:r>
    </w:p>
    <w:p w:rsidR="00000000" w:rsidDel="00000000" w:rsidP="00000000" w:rsidRDefault="00000000" w:rsidRPr="00000000" w14:paraId="0000004B">
      <w:pPr>
        <w:tabs>
          <w:tab w:val="left" w:leader="none" w:pos="7797"/>
          <w:tab w:val="left" w:leader="none" w:pos="7938"/>
        </w:tabs>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513"/>
          <w:tab w:val="left" w:leader="none" w:pos="7797"/>
          <w:tab w:val="left" w:leader="none" w:pos="7938"/>
        </w:tabs>
        <w:spacing w:after="120" w:before="120" w:lineRule="auto"/>
        <w:ind w:left="1134"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 Para el ejercicio del derecho de acceso a la información, la Federación y las entidades federativas, en el ámbito de sus respectivas competencias, se regirán por los siguientes principios y bases:</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7797"/>
          <w:tab w:val="left" w:leader="none" w:pos="7938"/>
        </w:tabs>
        <w:spacing w:after="120" w:before="120" w:lineRule="auto"/>
        <w:ind w:left="1418"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E">
      <w:pPr>
        <w:tabs>
          <w:tab w:val="left" w:leader="none" w:pos="851"/>
          <w:tab w:val="left" w:leader="none" w:pos="7797"/>
          <w:tab w:val="left" w:leader="none" w:pos="7938"/>
        </w:tabs>
        <w:spacing w:after="120" w:before="120" w:lineRule="auto"/>
        <w:ind w:left="1418"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w:t>
      </w:r>
      <w:r w:rsidDel="00000000" w:rsidR="00000000" w:rsidRPr="00000000">
        <w:rPr>
          <w:rFonts w:ascii="Palatino Linotype" w:cs="Palatino Linotype" w:eastAsia="Palatino Linotype" w:hAnsi="Palatino Linotype"/>
          <w:b w:val="1"/>
          <w:i w:val="1"/>
          <w:sz w:val="22"/>
          <w:szCs w:val="22"/>
          <w:rtl w:val="0"/>
        </w:rPr>
        <w:t xml:space="preserve">La información que se refiere a la vida privada y los datos personales será protegida </w:t>
      </w:r>
      <w:r w:rsidDel="00000000" w:rsidR="00000000" w:rsidRPr="00000000">
        <w:rPr>
          <w:rFonts w:ascii="Palatino Linotype" w:cs="Palatino Linotype" w:eastAsia="Palatino Linotype" w:hAnsi="Palatino Linotype"/>
          <w:i w:val="1"/>
          <w:sz w:val="22"/>
          <w:szCs w:val="22"/>
          <w:rtl w:val="0"/>
        </w:rPr>
        <w:t xml:space="preserve">en los términos y con las excepciones que fijen las leyes.</w:t>
      </w:r>
    </w:p>
    <w:p w:rsidR="00000000" w:rsidDel="00000000" w:rsidP="00000000" w:rsidRDefault="00000000" w:rsidRPr="00000000" w14:paraId="0000004F">
      <w:pPr>
        <w:tabs>
          <w:tab w:val="left" w:leader="none" w:pos="851"/>
          <w:tab w:val="left" w:leader="none" w:pos="7797"/>
          <w:tab w:val="left" w:leader="none" w:pos="7938"/>
        </w:tabs>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0">
      <w:pPr>
        <w:tabs>
          <w:tab w:val="left" w:leader="none" w:pos="851"/>
          <w:tab w:val="left" w:leader="none" w:pos="7797"/>
          <w:tab w:val="left" w:leader="none" w:pos="7938"/>
        </w:tabs>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16.</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Toda persona </w:t>
      </w:r>
      <w:r w:rsidDel="00000000" w:rsidR="00000000" w:rsidRPr="00000000">
        <w:rPr>
          <w:rFonts w:ascii="Palatino Linotype" w:cs="Palatino Linotype" w:eastAsia="Palatino Linotype" w:hAnsi="Palatino Linotype"/>
          <w:b w:val="1"/>
          <w:i w:val="1"/>
          <w:sz w:val="22"/>
          <w:szCs w:val="22"/>
          <w:rtl w:val="0"/>
        </w:rPr>
        <w:t xml:space="preserve">tiene derecho a la protección de sus datos personales, al acceso, </w:t>
      </w:r>
      <w:r w:rsidDel="00000000" w:rsidR="00000000" w:rsidRPr="00000000">
        <w:rPr>
          <w:rFonts w:ascii="Palatino Linotype" w:cs="Palatino Linotype" w:eastAsia="Palatino Linotype" w:hAnsi="Palatino Linotype"/>
          <w:i w:val="1"/>
          <w:sz w:val="22"/>
          <w:szCs w:val="22"/>
          <w:rtl w:val="0"/>
        </w:rPr>
        <w:t xml:space="preserve">rectificación y cancelación de los mismos, así</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como a manifestar su oposición, en los términos que fije la ley,</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la cual establecerá los supuestos de excepción a los principios que rijan el tratamiento de datos, por razones de seguridad nacional, disposiciones de orden público, seguridad y salud públicas o para proteger los derechos de terceros.”</w:t>
      </w:r>
    </w:p>
    <w:p w:rsidR="00000000" w:rsidDel="00000000" w:rsidP="00000000" w:rsidRDefault="00000000" w:rsidRPr="00000000" w14:paraId="0000005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lo anterior, se desprende que </w:t>
      </w:r>
      <w:r w:rsidDel="00000000" w:rsidR="00000000" w:rsidRPr="00000000">
        <w:rPr>
          <w:rFonts w:ascii="Palatino Linotype" w:cs="Palatino Linotype" w:eastAsia="Palatino Linotype" w:hAnsi="Palatino Linotype"/>
          <w:b w:val="1"/>
          <w:rtl w:val="0"/>
        </w:rPr>
        <w:t xml:space="preserve">la protección de datos personales</w:t>
      </w:r>
      <w:r w:rsidDel="00000000" w:rsidR="00000000" w:rsidRPr="00000000">
        <w:rPr>
          <w:rFonts w:ascii="Palatino Linotype" w:cs="Palatino Linotype" w:eastAsia="Palatino Linotype" w:hAnsi="Palatino Linotype"/>
          <w:rtl w:val="0"/>
        </w:rPr>
        <w:t xml:space="preserve"> es un derecho fundamental, así como la información referente al ámbito privado de las personas, los cuales deben estar protegidos en los términos y con las excepciones a los principios de tratamiento de datos que por razones de orden público fije la ley, por lo que toda persona tiene derecho a la protección de sus datos personales.</w:t>
      </w:r>
    </w:p>
    <w:p w:rsidR="00000000" w:rsidDel="00000000" w:rsidP="00000000" w:rsidRDefault="00000000" w:rsidRPr="00000000" w14:paraId="00000052">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Ante tal premisa se puede apreciar que la inclusión</w:t>
      </w:r>
      <w:r w:rsidDel="00000000" w:rsidR="00000000" w:rsidRPr="00000000">
        <w:rPr>
          <w:rFonts w:ascii="Palatino Linotype" w:cs="Palatino Linotype" w:eastAsia="Palatino Linotype" w:hAnsi="Palatino Linotype"/>
          <w:b w:val="1"/>
          <w:rtl w:val="0"/>
        </w:rPr>
        <w:t xml:space="preserve"> del derecho al acceso de datos personales en nuestra Constitución permite que cualquier persona -titular de datos personales obtenga la protección en esta materia.</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la Ley de Protección de Datos Personales en Posesión de Sujetos Obligados del Estado de México y Municipios, señala expresamente que:</w:t>
      </w:r>
    </w:p>
    <w:p w:rsidR="00000000" w:rsidDel="00000000" w:rsidP="00000000" w:rsidRDefault="00000000" w:rsidRPr="00000000" w14:paraId="00000054">
      <w:pPr>
        <w:spacing w:after="120" w:before="120" w:lineRule="auto"/>
        <w:ind w:left="851" w:right="1185"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4</w:t>
      </w:r>
      <w:r w:rsidDel="00000000" w:rsidR="00000000" w:rsidRPr="00000000">
        <w:rPr>
          <w:rFonts w:ascii="Palatino Linotype" w:cs="Palatino Linotype" w:eastAsia="Palatino Linotype" w:hAnsi="Palatino Linotype"/>
          <w:i w:val="1"/>
          <w:sz w:val="22"/>
          <w:szCs w:val="22"/>
          <w:rtl w:val="0"/>
        </w:rPr>
        <w:t xml:space="preserve">. Para los efectos de esta Ley se entenderá por:</w:t>
      </w:r>
    </w:p>
    <w:p w:rsidR="00000000" w:rsidDel="00000000" w:rsidP="00000000" w:rsidRDefault="00000000" w:rsidRPr="00000000" w14:paraId="00000055">
      <w:pPr>
        <w:spacing w:after="120" w:before="120" w:lineRule="auto"/>
        <w:ind w:left="1134" w:right="1185"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6">
      <w:pPr>
        <w:spacing w:after="120" w:before="120" w:lineRule="auto"/>
        <w:ind w:left="1134" w:right="1185"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Datos personales</w:t>
      </w:r>
      <w:r w:rsidDel="00000000" w:rsidR="00000000" w:rsidRPr="00000000">
        <w:rPr>
          <w:rFonts w:ascii="Palatino Linotype" w:cs="Palatino Linotype" w:eastAsia="Palatino Linotype" w:hAnsi="Palatino Linotype"/>
          <w:i w:val="1"/>
          <w:sz w:val="22"/>
          <w:szCs w:val="22"/>
          <w:rtl w:val="0"/>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000000" w:rsidDel="00000000" w:rsidP="00000000" w:rsidRDefault="00000000" w:rsidRPr="00000000" w14:paraId="00000057">
      <w:pPr>
        <w:spacing w:after="120" w:before="120" w:lineRule="auto"/>
        <w:ind w:left="1134" w:right="1185"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8">
      <w:pPr>
        <w:spacing w:after="120" w:before="120" w:lineRule="auto"/>
        <w:ind w:left="1134" w:right="1185"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Derechos ARCO:</w:t>
      </w:r>
      <w:r w:rsidDel="00000000" w:rsidR="00000000" w:rsidRPr="00000000">
        <w:rPr>
          <w:rFonts w:ascii="Palatino Linotype" w:cs="Palatino Linotype" w:eastAsia="Palatino Linotype" w:hAnsi="Palatino Linotype"/>
          <w:i w:val="1"/>
          <w:sz w:val="22"/>
          <w:szCs w:val="22"/>
          <w:rtl w:val="0"/>
        </w:rPr>
        <w:t xml:space="preserve"> a los derechos de Acceso, Rectificación, Cancelación y Oposición al tratamiento de datos personales.</w:t>
      </w:r>
    </w:p>
    <w:p w:rsidR="00000000" w:rsidDel="00000000" w:rsidP="00000000" w:rsidRDefault="00000000" w:rsidRPr="00000000" w14:paraId="00000059">
      <w:pPr>
        <w:spacing w:after="120" w:before="120" w:lineRule="auto"/>
        <w:ind w:left="1134" w:right="1185"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A">
      <w:pPr>
        <w:spacing w:after="120" w:before="120" w:lineRule="auto"/>
        <w:ind w:left="1134" w:right="1185"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XLI. Responsable: a los sujetos obligados a que se refiere la presente Ley que deciden sobre el tratamiento de los datos personales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B">
      <w:pPr>
        <w:spacing w:after="120" w:before="120" w:lineRule="auto"/>
        <w:ind w:left="1134" w:right="1185"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C">
      <w:pPr>
        <w:spacing w:after="120" w:before="120" w:lineRule="auto"/>
        <w:ind w:left="1134" w:right="1185"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b w:val="1"/>
          <w:i w:val="1"/>
          <w:sz w:val="22"/>
          <w:szCs w:val="22"/>
          <w:rtl w:val="0"/>
        </w:rPr>
        <w:t xml:space="preserve">L.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sidDel="00000000" w:rsidR="00000000" w:rsidRPr="00000000">
        <w:rPr>
          <w:rFonts w:ascii="Palatino Linotype" w:cs="Palatino Linotype" w:eastAsia="Palatino Linotype" w:hAnsi="Palatino Linotype"/>
          <w:b w:val="1"/>
          <w:i w:val="1"/>
          <w:sz w:val="22"/>
          <w:szCs w:val="22"/>
          <w:u w:val="single"/>
          <w:rtl w:val="0"/>
        </w:rPr>
        <w:t xml:space="preserve">.</w:t>
      </w:r>
    </w:p>
    <w:p w:rsidR="00000000" w:rsidDel="00000000" w:rsidP="00000000" w:rsidRDefault="00000000" w:rsidRPr="00000000" w14:paraId="0000005D">
      <w:pPr>
        <w:spacing w:after="120" w:before="120" w:lineRule="auto"/>
        <w:ind w:left="1134" w:right="1185"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E">
      <w:pPr>
        <w:spacing w:after="120" w:before="120" w:lineRule="auto"/>
        <w:ind w:left="851" w:right="1185"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97.</w:t>
      </w:r>
      <w:r w:rsidDel="00000000" w:rsidR="00000000" w:rsidRPr="00000000">
        <w:rPr>
          <w:rFonts w:ascii="Palatino Linotype" w:cs="Palatino Linotype" w:eastAsia="Palatino Linotype" w:hAnsi="Palatino Linotype"/>
          <w:i w:val="1"/>
          <w:sz w:val="22"/>
          <w:szCs w:val="22"/>
          <w:rtl w:val="0"/>
        </w:rPr>
        <w:t xml:space="preserve"> Los derechos de acceso, rectificación, cancelación y oposición de datos personales son derechos independientes. </w:t>
      </w:r>
      <w:r w:rsidDel="00000000" w:rsidR="00000000" w:rsidRPr="00000000">
        <w:rPr>
          <w:rFonts w:ascii="Palatino Linotype" w:cs="Palatino Linotype" w:eastAsia="Palatino Linotype" w:hAnsi="Palatino Linotype"/>
          <w:b w:val="1"/>
          <w:i w:val="1"/>
          <w:sz w:val="22"/>
          <w:szCs w:val="22"/>
          <w:rtl w:val="0"/>
        </w:rPr>
        <w:t xml:space="preserve">El ejercicio de cualquiera de ellos no es requisito previo no impide el ejercicio de otro</w:t>
      </w:r>
      <w:r w:rsidDel="00000000" w:rsidR="00000000" w:rsidRPr="00000000">
        <w:rPr>
          <w:rFonts w:ascii="Palatino Linotype" w:cs="Palatino Linotype" w:eastAsia="Palatino Linotype" w:hAnsi="Palatino Linotype"/>
          <w:i w:val="1"/>
          <w:sz w:val="22"/>
          <w:szCs w:val="22"/>
          <w:rtl w:val="0"/>
        </w:rPr>
        <w:t xml:space="preserve">. La procedencia de estos derechos, en su caso, se hará efectiva una vez que el titular o su representante legal acrediten su identidad o representación, respectivamente.</w:t>
      </w:r>
    </w:p>
    <w:p w:rsidR="00000000" w:rsidDel="00000000" w:rsidP="00000000" w:rsidRDefault="00000000" w:rsidRPr="00000000" w14:paraId="0000005F">
      <w:pPr>
        <w:spacing w:after="120" w:before="120" w:lineRule="auto"/>
        <w:ind w:left="851" w:right="1185"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60">
      <w:pPr>
        <w:spacing w:after="120" w:before="120" w:lineRule="auto"/>
        <w:ind w:left="851" w:right="1185"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98. El titular tiene derecho a</w:t>
      </w:r>
      <w:r w:rsidDel="00000000" w:rsidR="00000000" w:rsidRPr="00000000">
        <w:rPr>
          <w:rFonts w:ascii="Palatino Linotype" w:cs="Palatino Linotype" w:eastAsia="Palatino Linotype" w:hAnsi="Palatino Linotype"/>
          <w:i w:val="1"/>
          <w:sz w:val="22"/>
          <w:szCs w:val="22"/>
          <w:rtl w:val="0"/>
        </w:rPr>
        <w:t xml:space="preserve"> acceder, </w:t>
      </w:r>
      <w:r w:rsidDel="00000000" w:rsidR="00000000" w:rsidRPr="00000000">
        <w:rPr>
          <w:rFonts w:ascii="Palatino Linotype" w:cs="Palatino Linotype" w:eastAsia="Palatino Linotype" w:hAnsi="Palatino Linotype"/>
          <w:b w:val="1"/>
          <w:i w:val="1"/>
          <w:sz w:val="22"/>
          <w:szCs w:val="22"/>
          <w:rtl w:val="0"/>
        </w:rPr>
        <w:t xml:space="preserve">solicitar y ser informado sobre sus datos personales en posesión de los sujetos obligados</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así como la información relacionada con las condiciones y generalidades de su tratamiento, tales como el origen de los datos, las condiciones del tratamiento del cual sean objeto</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las cesiones realizadas o que se pretendan realizar,</w:t>
      </w:r>
      <w:r w:rsidDel="00000000" w:rsidR="00000000" w:rsidRPr="00000000">
        <w:rPr>
          <w:rFonts w:ascii="Palatino Linotype" w:cs="Palatino Linotype" w:eastAsia="Palatino Linotype" w:hAnsi="Palatino Linotype"/>
          <w:i w:val="1"/>
          <w:sz w:val="22"/>
          <w:szCs w:val="22"/>
          <w:rtl w:val="0"/>
        </w:rPr>
        <w:t xml:space="preserve"> así como tener acceso al aviso de privacidad al que está sujeto.</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tl w:val="0"/>
        </w:rPr>
      </w:r>
    </w:p>
    <w:p w:rsidR="00000000" w:rsidDel="00000000" w:rsidP="00000000" w:rsidRDefault="00000000" w:rsidRPr="00000000" w14:paraId="00000061">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los anteriores preceptos se advierte que, por datos  personales se  entenderá a la  información  concerniente  a  una persona física identificada o identificable; y,  se considera que una persona es </w:t>
      </w:r>
      <w:r w:rsidDel="00000000" w:rsidR="00000000" w:rsidRPr="00000000">
        <w:rPr>
          <w:rFonts w:ascii="Palatino Linotype" w:cs="Palatino Linotype" w:eastAsia="Palatino Linotype" w:hAnsi="Palatino Linotype"/>
          <w:b w:val="1"/>
          <w:rtl w:val="0"/>
        </w:rPr>
        <w:t xml:space="preserve">identificable cuando su identidad pueda determinarse directa o indirectamente a través de cualquier información</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62">
      <w:pPr>
        <w:spacing w:after="240" w:before="240" w:line="360" w:lineRule="auto"/>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rtl w:val="0"/>
        </w:rPr>
        <w:t xml:space="preserve">Así mismo, destaca que el titular tendrá derecho de acceder a sus datos personales que obren en posesión del responsable, así como conocer la información relacionada con las condiciones y generalidades de su tratamiento. En la inteligencia que el tratamiento será cuando se realicen operaciones efectuadas por los procedimientos manuales o automatizados aplicados a los datos personales, relacionadas </w:t>
      </w:r>
      <w:r w:rsidDel="00000000" w:rsidR="00000000" w:rsidRPr="00000000">
        <w:rPr>
          <w:rFonts w:ascii="Palatino Linotype" w:cs="Palatino Linotype" w:eastAsia="Palatino Linotype" w:hAnsi="Palatino Linotype"/>
          <w:b w:val="1"/>
          <w:u w:val="single"/>
          <w:rtl w:val="0"/>
        </w:rPr>
        <w:t xml:space="preserve">con la obtención, uso, registro, organización, conservación, elaboración, utilización, comunicación, difusión, almacenamiento, posesión, acceso, manejo, aprovechamiento, divulgación, transferencia o disposición de datos personales.</w:t>
      </w:r>
    </w:p>
    <w:p w:rsidR="00000000" w:rsidDel="00000000" w:rsidP="00000000" w:rsidRDefault="00000000" w:rsidRPr="00000000" w14:paraId="0000006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esa tesitura, los preceptos legales de mérito establecen que en todo momento el titular de la información que se encuentra en posesión de un sujeto obligado, tiene oportunidad de ejercer sus derechos ARCO y lo más importante es que la autoridad tiene la obligación de dar a conocer la información relacionada con su tratamiento, disposición y destino.</w:t>
      </w:r>
    </w:p>
    <w:p w:rsidR="00000000" w:rsidDel="00000000" w:rsidP="00000000" w:rsidRDefault="00000000" w:rsidRPr="00000000" w14:paraId="0000006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la</w:t>
      </w:r>
      <w:r w:rsidDel="00000000" w:rsidR="00000000" w:rsidRPr="00000000">
        <w:rPr>
          <w:rFonts w:ascii="Palatino Linotype" w:cs="Palatino Linotype" w:eastAsia="Palatino Linotype" w:hAnsi="Palatino Linotype"/>
          <w:b w:val="1"/>
          <w:rtl w:val="0"/>
        </w:rPr>
        <w:t xml:space="preserve"> recepción y trámite </w:t>
      </w:r>
      <w:r w:rsidDel="00000000" w:rsidR="00000000" w:rsidRPr="00000000">
        <w:rPr>
          <w:rFonts w:ascii="Palatino Linotype" w:cs="Palatino Linotype" w:eastAsia="Palatino Linotype" w:hAnsi="Palatino Linotype"/>
          <w:rtl w:val="0"/>
        </w:rPr>
        <w:t xml:space="preserve">de las solicitudes de ejercicio de los derechos ARCO,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que se formulen a los sujetos obligados</w:t>
      </w:r>
      <w:r w:rsidDel="00000000" w:rsidR="00000000" w:rsidRPr="00000000">
        <w:rPr>
          <w:rFonts w:ascii="Palatino Linotype" w:cs="Palatino Linotype" w:eastAsia="Palatino Linotype" w:hAnsi="Palatino Linotype"/>
          <w:b w:val="1"/>
          <w:rtl w:val="0"/>
        </w:rPr>
        <w:t xml:space="preserve">, se sujetará al procedimiento establecido en el Título Tercero de la Ley General de Protección de Datos Personales en Posesión de Sujetos Obligados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en consonancia con el Título Décimo de la Ley de Protección de Datos Personales en Posesión de Sujetos Obligados del Estado de México y Municipios</w:t>
      </w:r>
      <w:r w:rsidDel="00000000" w:rsidR="00000000" w:rsidRPr="00000000">
        <w:rPr>
          <w:rFonts w:ascii="Palatino Linotype" w:cs="Palatino Linotype" w:eastAsia="Palatino Linotype" w:hAnsi="Palatino Linotype"/>
          <w:rtl w:val="0"/>
        </w:rPr>
        <w:t xml:space="preserve"> y demás disposiciones que resulten aplicables en la materia.</w:t>
      </w:r>
    </w:p>
    <w:p w:rsidR="00000000" w:rsidDel="00000000" w:rsidP="00000000" w:rsidRDefault="00000000" w:rsidRPr="00000000" w14:paraId="0000006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el alcance en materia de protección de datos personales, así como para su tratamiento, debemos considerar todas las operaciones efectuadas por los procedimientos manuales o automatizados aplicados a los datos personales, relativas a </w:t>
      </w:r>
      <w:r w:rsidDel="00000000" w:rsidR="00000000" w:rsidRPr="00000000">
        <w:rPr>
          <w:rFonts w:ascii="Palatino Linotype" w:cs="Palatino Linotype" w:eastAsia="Palatino Linotype" w:hAnsi="Palatino Linotype"/>
          <w:b w:val="1"/>
          <w:rtl w:val="0"/>
        </w:rPr>
        <w:t xml:space="preserve">su obtención</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uso, registro, organización, conservación, elaboración, utilización, comunicación, almacenamiento, posesión, acceso, manejo, aprovechamiento divulgación, difusión, transferencia o disposición</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6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así que, los derechos ARCO es el derecho humano con que cuenta una persona para la protección de sus datos personales, en posesión de Sujetos Obligados y el tratamiento de los mismos deber de sujetarse a los principios de licitud, finalidad, lealtad, consentimiento, calidad, proporcionalidad, información y responsabilidad.</w:t>
      </w:r>
    </w:p>
    <w:p w:rsidR="00000000" w:rsidDel="00000000" w:rsidP="00000000" w:rsidRDefault="00000000" w:rsidRPr="00000000" w14:paraId="0000006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Finalmente, del marco normativo en cita garantiza que el titular de los datos personales tendrá derecho a acceder, solicitar y ser informado sobre sus datos personales en posesión de los sujetos obligados,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así como la información relacionada con las condiciones y generalidades de su tratamiento, tales como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120" w:before="120" w:line="360" w:lineRule="auto"/>
        <w:ind w:left="1066" w:hanging="357"/>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El origen de los datos;</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120" w:before="120" w:line="360" w:lineRule="auto"/>
        <w:ind w:left="1066" w:hanging="357"/>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Las condiciones del tratamiento del cual sean objeto;</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after="120" w:before="120" w:line="360" w:lineRule="auto"/>
        <w:ind w:left="1066" w:hanging="357"/>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Las cesiones realizadas o que se pretendan realizar; así como, </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120" w:before="120" w:line="360" w:lineRule="auto"/>
        <w:ind w:left="1066" w:hanging="357"/>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 Tener acceso al aviso de privacidad al que está sujeto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6C">
      <w:pPr>
        <w:spacing w:after="280" w:before="28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Expuesto lo anterior, se procede al análisis de la totalidad de las constancias que integran el expediente electrónico en el que se actúa, con</w:t>
      </w:r>
      <w:r w:rsidDel="00000000" w:rsidR="00000000" w:rsidRPr="00000000">
        <w:rPr>
          <w:rFonts w:ascii="Palatino Linotype" w:cs="Palatino Linotype" w:eastAsia="Palatino Linotype" w:hAnsi="Palatino Linotype"/>
          <w:b w:val="1"/>
          <w:rtl w:val="0"/>
        </w:rPr>
        <w:t xml:space="preserve"> el objeto de determinar si el pronunciamiento vertido por el Sujeto Obligado, en atención a la solicitud, es adecuado y suficiente para satisfacer el derecho de acceso a los datos personales de la parte Recurrente, o en su defecto, en caso de ser procedente, ordenar la entrega de los datos personales.</w:t>
      </w:r>
    </w:p>
    <w:p w:rsidR="00000000" w:rsidDel="00000000" w:rsidP="00000000" w:rsidRDefault="00000000" w:rsidRPr="00000000" w14:paraId="0000006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Acotado lo anterior, del análisis de la solicitud de acceso a datos personales, motivo del recurso de revisión que ahora se resuelve, se advierte que la persona solicitante requirió al </w:t>
      </w:r>
      <w:r w:rsidDel="00000000" w:rsidR="00000000" w:rsidRPr="00000000">
        <w:rPr>
          <w:rFonts w:ascii="Palatino Linotype" w:cs="Palatino Linotype" w:eastAsia="Palatino Linotype" w:hAnsi="Palatino Linotype"/>
          <w:b w:val="1"/>
          <w:rtl w:val="0"/>
        </w:rPr>
        <w:t xml:space="preserve">Sujeto Obligado o Responsable</w:t>
      </w:r>
      <w:r w:rsidDel="00000000" w:rsidR="00000000" w:rsidRPr="00000000">
        <w:rPr>
          <w:rFonts w:ascii="Palatino Linotype" w:cs="Palatino Linotype" w:eastAsia="Palatino Linotype" w:hAnsi="Palatino Linotype"/>
          <w:rtl w:val="0"/>
        </w:rPr>
        <w:t xml:space="preserve"> le proporcione, información consistente en lo siguiente:</w:t>
      </w:r>
    </w:p>
    <w:p w:rsidR="00000000" w:rsidDel="00000000" w:rsidP="00000000" w:rsidRDefault="00000000" w:rsidRPr="00000000" w14:paraId="0000006E">
      <w:pPr>
        <w:spacing w:after="240" w:before="240" w:line="360" w:lineRule="auto"/>
        <w:ind w:left="426"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1. Semanas cotizadas ante el Instituto de Seguridad Social del Estado de México y Municipios por la persona referida en la solicitud del uno de junio de mil novecientos noventa y ocho al treinta y uno de marzo de dos mil veintiuno.</w:t>
      </w:r>
    </w:p>
    <w:p w:rsidR="00000000" w:rsidDel="00000000" w:rsidP="00000000" w:rsidRDefault="00000000" w:rsidRPr="00000000" w14:paraId="0000006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fundamento en los artículos 97, 106, 107, 110, fracción II, y 111 de la Ley de Protección de Datos Personales en Posesión de Sujetos Obligados del Estado de México y Municipios,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requirió a la persona solicitante a efecto de que presentara, a través del Sistema  de Acceso a la Información Pública del Estado de México y Municipios, SAIMEX, el documento mediante el cual acreditara la representación de la titular de los datos personales, como poder notarial especial o carta poder firmada ante dos testigos otorgados antes del fallecimiento,  especificando que la representación se le otorgó para el trámite de acceso a datos personales ante el Instituto de Seguridad Social del Estado de México y Municipios; o bien, tratándose de personas fallecidas o de quienes haya sido declaradas judicialmente su presunción de muerte, siempre que el titular de los derechos hubiere expresado fehacientemente su voluntad, que exista un mandato judicial para dicho efecto, o que el titular haya autorizado dentro de una cláusula del testamento a las personas que podrán ejercer sus derechos ARCO al momento del fallecimiento. Lo anterior con la finalidad de iniciar la búsqueda en los archivos del Instituto de Seguridad Social del Estado de México y Municipios.</w:t>
      </w:r>
    </w:p>
    <w:p w:rsidR="00000000" w:rsidDel="00000000" w:rsidP="00000000" w:rsidRDefault="00000000" w:rsidRPr="00000000" w14:paraId="00000070">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desahogo de dicho requerimiento la persona solicitante remitió la digitalización de la carta testamentaria para seguro de fallecimiento mediante la cual la titular de los datos personales le designa como beneficiaria.</w:t>
      </w:r>
    </w:p>
    <w:p w:rsidR="00000000" w:rsidDel="00000000" w:rsidP="00000000" w:rsidRDefault="00000000" w:rsidRPr="00000000" w14:paraId="00000071">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lo anterior, en atención a la solicitud de información, la Jefa del Departamento de Acceso a la Información Institucional del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hizo del conocimiento de la persona solicitante que la información relativa a los periodos cotizados ante el Instituto de Seguridad Social del Estado de México y Municipios, implicaría procesar la información de las nóminas manuales y automatizadas recibidas por dicho Instituto, encontrándose imposibilitado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proporcionar dicha información, al implicar el procesamiento e investigación de la misma, situación a la que no se encuentra constreñido.</w:t>
      </w:r>
    </w:p>
    <w:p w:rsidR="00000000" w:rsidDel="00000000" w:rsidP="00000000" w:rsidRDefault="00000000" w:rsidRPr="00000000" w14:paraId="00000072">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con fundamento en el artículo 114 de la Ley de Protección de Datos Personales en Posesión de Sujetos Obligados del Estado de México y Municipios, informa que mediante el trámite “Proyecto de Pensión”, previsto en los artículos 66, 67, 68 y 82 del Reglamento de Prestaciones del Instituto de Seguridad Social del Estado de México y Municipios, el interesado podrá conocer la información solicitada, toda vez que obtendrá una respuesta que contempla los periodos cotizados ante este Instituto de Seguridad Social, ello independientemente de requerir realizar el trámite de pensión o no, en virtud de que dicho trámite solo tiene el carácter de informativo, señalando, para tal efecto, que el interesado debe acudir a la Unidad u Oficina de Atención al Derechohabiente más cercana a su domicilio en los días y horarios de atención, misma que podrá ubicar en la siguiente dirección electrónica: </w:t>
      </w:r>
      <w:hyperlink r:id="rId10">
        <w:r w:rsidDel="00000000" w:rsidR="00000000" w:rsidRPr="00000000">
          <w:rPr>
            <w:rFonts w:ascii="Palatino Linotype" w:cs="Palatino Linotype" w:eastAsia="Palatino Linotype" w:hAnsi="Palatino Linotype"/>
            <w:color w:val="000000"/>
            <w:u w:val="single"/>
            <w:rtl w:val="0"/>
          </w:rPr>
          <w:t xml:space="preserve">http://www.issemym.gob.mx/uoad-mapa</w:t>
        </w:r>
      </w:hyperlink>
      <w:r w:rsidDel="00000000" w:rsidR="00000000" w:rsidRPr="00000000">
        <w:rPr>
          <w:rFonts w:ascii="Palatino Linotype" w:cs="Palatino Linotype" w:eastAsia="Palatino Linotype" w:hAnsi="Palatino Linotype"/>
          <w:rtl w:val="0"/>
        </w:rPr>
        <w:t xml:space="preserve">, debiendo agendar cita previo registro a través de la dirección electrónica: </w:t>
      </w:r>
      <w:hyperlink r:id="rId11">
        <w:r w:rsidDel="00000000" w:rsidR="00000000" w:rsidRPr="00000000">
          <w:rPr>
            <w:rFonts w:ascii="Palatino Linotype" w:cs="Palatino Linotype" w:eastAsia="Palatino Linotype" w:hAnsi="Palatino Linotype"/>
            <w:color w:val="000000"/>
            <w:u w:val="single"/>
            <w:rtl w:val="0"/>
          </w:rPr>
          <w:t xml:space="preserve">https://prestaciones.issemym.gob.mx/citas/citasinicio.aspx</w:t>
        </w:r>
      </w:hyperlink>
      <w:r w:rsidDel="00000000" w:rsidR="00000000" w:rsidRPr="00000000">
        <w:rPr>
          <w:rFonts w:ascii="Palatino Linotype" w:cs="Palatino Linotype" w:eastAsia="Palatino Linotype" w:hAnsi="Palatino Linotype"/>
          <w:rtl w:val="0"/>
        </w:rPr>
        <w:t xml:space="preserve">, y enlistó los documentos que deben presentarse ante la Unidad de Atención al Derechohabiente que le corresponda, a efecto de obtener un dictamen estimado que le correspondería como pensión, así como los periodos cotizados ante el Instituto de Seguridad Social del Estado de México y Municipios.</w:t>
      </w:r>
    </w:p>
    <w:p w:rsidR="00000000" w:rsidDel="00000000" w:rsidP="00000000" w:rsidRDefault="00000000" w:rsidRPr="00000000" w14:paraId="00000073">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virtud, señaló que lo requerido por la persona solicitante es la respuesta a un trámite, que deberá iniciar el interesado y dar seguimiento por la vía administrativa, no así a través de las solicitudes de acceso a datos personales, al relacionarse la información relativa al tiempo de servicio y los periodos cotizados con el citado trámite, razón por la cual no es posible la generación de nuevos datos, toda vez que para obtener las cotizaciones a que se refiere la persona solicitante, el Instituto tendría que generar datos recientes, siendo necesario llevar a cabo el trámite señalado para obtener la información, al implicar una investigación y el procesamiento.</w:t>
      </w:r>
    </w:p>
    <w:p w:rsidR="00000000" w:rsidDel="00000000" w:rsidP="00000000" w:rsidRDefault="00000000" w:rsidRPr="00000000" w14:paraId="00000074">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Y, finalmente, respecto del requerimiento hecho en fecha nueve de agosto de dos mil veintidós,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concluyó que la persona solicitante no adjuntó algún documento que acreditara el consentimiento y la representación de la titular de los datos personales previo al fallecimiento, conforme a lo solicitado, aunado al hecho de que tampoco se puede proporcionar la información por la Unidad de Transparencia, al existir un trámite que se debe agotar, razón por la cual se determinó no dar curso a la solicitud de acceso a datos personales, y se ordenó el archivo de la solicitud como concluida.</w:t>
      </w:r>
    </w:p>
    <w:p w:rsidR="00000000" w:rsidDel="00000000" w:rsidP="00000000" w:rsidRDefault="00000000" w:rsidRPr="00000000" w14:paraId="00000075">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Conocida la respuesta por el particular, al no estar conforme con los términos de la misma, presentó el recurso de revisión que nos ocupa, mediante el cual señaló como razones o motivos de inconformidad que no estaba realizando el trámite de pensión, sino que solicitaba la información a través de la plataforma de acceso a la información por habérsele negado en la Unidad de Atención al Derechohabiente del ISSEMYM Toluca, tratándose de información de carácter informativo de los periodos cotizados o semanas cotizadas del 01/06/1998 hasta el 15/03/2021 ante este Instituto de Seguridad Social Mexiquense ISSEMYM, no así el procesamiento de la información, con el fin de poder aclarar y comparar las semanas cotizadas ante la Afore que está manejando las semanas cotizadas de la persona referida en la solicitud, solicitando en el acto, se le informara que otro medio podía utilizar para poder solicitar y cotejar las semanas cotizadas.</w:t>
      </w:r>
    </w:p>
    <w:p w:rsidR="00000000" w:rsidDel="00000000" w:rsidP="00000000" w:rsidRDefault="00000000" w:rsidRPr="00000000" w14:paraId="00000076">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Cabe precisar que una vez admitido y abierto el expediente del recurso de revisión,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ratificó en lo sustancial la respuesta emitida en primera instancia, asimismo, remitió la resolución del Comité de Transparencia CT/ISSEMYM-A01-29E/2022, mediante la cual se emite la declaratoria de inexistencia correspondiente al documento que contenga las semanas cotizadas, a nombre de la persona referida en la solicitud de información, ante la ausencia de la información requerida por la persona solicitante.</w:t>
      </w:r>
    </w:p>
    <w:p w:rsidR="00000000" w:rsidDel="00000000" w:rsidP="00000000" w:rsidRDefault="00000000" w:rsidRPr="00000000" w14:paraId="00000077">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posterioridad, este Instituto apertura la fase de conciliación, en la cual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manifestó su voluntad para conciliar, sin embargo, la parte</w:t>
      </w:r>
      <w:r w:rsidDel="00000000" w:rsidR="00000000" w:rsidRPr="00000000">
        <w:rPr>
          <w:rFonts w:ascii="Palatino Linotype" w:cs="Palatino Linotype" w:eastAsia="Palatino Linotype" w:hAnsi="Palatino Linotype"/>
          <w:b w:val="1"/>
          <w:rtl w:val="0"/>
        </w:rPr>
        <w:t xml:space="preserve"> Recurrente</w:t>
      </w:r>
      <w:r w:rsidDel="00000000" w:rsidR="00000000" w:rsidRPr="00000000">
        <w:rPr>
          <w:rFonts w:ascii="Palatino Linotype" w:cs="Palatino Linotype" w:eastAsia="Palatino Linotype" w:hAnsi="Palatino Linotype"/>
          <w:rtl w:val="0"/>
        </w:rPr>
        <w:t xml:space="preserve"> fue omisa en manifestar su voluntad para llevar a cabo la conciliación, por lo tanto, se declaró concluida.</w:t>
      </w:r>
    </w:p>
    <w:p w:rsidR="00000000" w:rsidDel="00000000" w:rsidP="00000000" w:rsidRDefault="00000000" w:rsidRPr="00000000" w14:paraId="0000007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Hasta este punto, se tiene que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ejerció uno de los derechos ARCO, como es el de acceso a datos personales, ello en virtud de que requiere el acceso a la las semanas cotizadas ante el Instituto de Seguridad Social del Estado de México y Municipios, por la persona referida en la solicitud, del uno de junio de mil novecientos noventa y ocho al treinta y uno de marzo de dos mil veintiuno.</w:t>
      </w:r>
    </w:p>
    <w:p w:rsidR="00000000" w:rsidDel="00000000" w:rsidP="00000000" w:rsidRDefault="00000000" w:rsidRPr="00000000" w14:paraId="0000007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Una vez planteada la Litis sobre la que versará el presente estudio, resulta pertinente iniciar el presente estudio delimitando la esfera competencial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o Responsable para poseer y tratar los datos personales, asimismo determinar si es procedente la entrega de los mismos.</w:t>
      </w:r>
    </w:p>
    <w:p w:rsidR="00000000" w:rsidDel="00000000" w:rsidP="00000000" w:rsidRDefault="00000000" w:rsidRPr="00000000" w14:paraId="0000007A">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tomando en consideración la materia de la solicitud de información, así como el pronunciamiento vertido por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 respuesta y en la etapa de manifestaciones, es dable traer a contexto lo establecido en el artículo 114 de la Ley de Protección de Datos Personales en Posesión de Sujetos Obligados del Estado de México y Municipios:</w:t>
      </w:r>
    </w:p>
    <w:p w:rsidR="00000000" w:rsidDel="00000000" w:rsidP="00000000" w:rsidRDefault="00000000" w:rsidRPr="00000000" w14:paraId="0000007B">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Existencia de trámite específico </w:t>
      </w:r>
    </w:p>
    <w:p w:rsidR="00000000" w:rsidDel="00000000" w:rsidP="00000000" w:rsidRDefault="00000000" w:rsidRPr="00000000" w14:paraId="0000007C">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114</w:t>
      </w:r>
      <w:r w:rsidDel="00000000" w:rsidR="00000000" w:rsidRPr="00000000">
        <w:rPr>
          <w:rFonts w:ascii="Palatino Linotype" w:cs="Palatino Linotype" w:eastAsia="Palatino Linotype" w:hAnsi="Palatino Linotype"/>
          <w:i w:val="1"/>
          <w:sz w:val="22"/>
          <w:szCs w:val="22"/>
          <w:rtl w:val="0"/>
        </w:rPr>
        <w:t xml:space="preserve">.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derechos ARCO, a efecto que este último decida si ejerce sus derechos a través del trámite específico, o bien a través del procedimiento para el ejercicio de los derechos ARCO. </w:t>
      </w:r>
    </w:p>
    <w:p w:rsidR="00000000" w:rsidDel="00000000" w:rsidP="00000000" w:rsidRDefault="00000000" w:rsidRPr="00000000" w14:paraId="0000007D">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rsidR="00000000" w:rsidDel="00000000" w:rsidP="00000000" w:rsidRDefault="00000000" w:rsidRPr="00000000" w14:paraId="0000007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w:t>
      </w:r>
    </w:p>
    <w:p w:rsidR="00000000" w:rsidDel="00000000" w:rsidP="00000000" w:rsidRDefault="00000000" w:rsidRPr="00000000" w14:paraId="0000007F">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4</w:t>
      </w:r>
      <w:r w:rsidDel="00000000" w:rsidR="00000000" w:rsidRPr="00000000">
        <w:rPr>
          <w:rFonts w:ascii="Palatino Linotype" w:cs="Palatino Linotype" w:eastAsia="Palatino Linotype" w:hAnsi="Palatino Linotype"/>
          <w:i w:val="1"/>
          <w:sz w:val="22"/>
          <w:szCs w:val="22"/>
          <w:rtl w:val="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00000" w:rsidDel="00000000" w:rsidP="00000000" w:rsidRDefault="00000000" w:rsidRPr="00000000" w14:paraId="00000080">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Toda la información generada, obtenida, adquirida, transformada, administrada o en posesión de los sujetos obligados es pública y accesible de manera permanente a cualquier persona</w:t>
      </w:r>
      <w:r w:rsidDel="00000000" w:rsidR="00000000" w:rsidRPr="00000000">
        <w:rPr>
          <w:rFonts w:ascii="Palatino Linotype" w:cs="Palatino Linotype" w:eastAsia="Palatino Linotype" w:hAnsi="Palatino Linotype"/>
          <w:i w:val="1"/>
          <w:sz w:val="22"/>
          <w:szCs w:val="22"/>
          <w:rtl w:val="0"/>
        </w:rPr>
        <w:t xml:space="preserve">, en los términos y condiciones que se establezcan en los tratados internacionales de los que el Estado mexicano sea parte, en la Ley General, la presente Ley y demás disposiciones de la materia, </w:t>
      </w:r>
      <w:r w:rsidDel="00000000" w:rsidR="00000000" w:rsidRPr="00000000">
        <w:rPr>
          <w:rFonts w:ascii="Palatino Linotype" w:cs="Palatino Linotype" w:eastAsia="Palatino Linotype" w:hAnsi="Palatino Linotype"/>
          <w:b w:val="1"/>
          <w:i w:val="1"/>
          <w:sz w:val="22"/>
          <w:szCs w:val="22"/>
          <w:rtl w:val="0"/>
        </w:rPr>
        <w:t xml:space="preserve">privilegiando el principio de máxima publicidad de la información</w:t>
      </w:r>
      <w:r w:rsidDel="00000000" w:rsidR="00000000" w:rsidRPr="00000000">
        <w:rPr>
          <w:rFonts w:ascii="Palatino Linotype" w:cs="Palatino Linotype" w:eastAsia="Palatino Linotype" w:hAnsi="Palatino Linotype"/>
          <w:i w:val="1"/>
          <w:sz w:val="22"/>
          <w:szCs w:val="22"/>
          <w:rtl w:val="0"/>
        </w:rPr>
        <w:t xml:space="preserve">. Solo podrá ser clasificada excepcionalmente como reservada temporalmente por razones de interés público, en los términos de las causas legítimas y estrictamente necesarias previstas por esta Ley.</w:t>
      </w:r>
    </w:p>
    <w:p w:rsidR="00000000" w:rsidDel="00000000" w:rsidP="00000000" w:rsidRDefault="00000000" w:rsidRPr="00000000" w14:paraId="00000081">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sujetos obligados deben poner en práctica, políticas y programas de acceso a la información que se apeguen a criterios de publicidad, veracidad, oportunidad, precisión y suficiencia en beneficio de los solicitantes.</w:t>
      </w:r>
    </w:p>
    <w:p w:rsidR="00000000" w:rsidDel="00000000" w:rsidP="00000000" w:rsidRDefault="00000000" w:rsidRPr="00000000" w14:paraId="00000082">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83">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12</w:t>
      </w:r>
      <w:r w:rsidDel="00000000" w:rsidR="00000000" w:rsidRPr="00000000">
        <w:rPr>
          <w:rFonts w:ascii="Palatino Linotype" w:cs="Palatino Linotype" w:eastAsia="Palatino Linotype" w:hAnsi="Palatino Linotype"/>
          <w:i w:val="1"/>
          <w:sz w:val="22"/>
          <w:szCs w:val="22"/>
          <w:rtl w:val="0"/>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00000" w:rsidDel="00000000" w:rsidP="00000000" w:rsidRDefault="00000000" w:rsidRPr="00000000" w14:paraId="00000084">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base en lo anterior, es posible determinar que los Sujetos Obligados tienen el compromiso de entregar la información solicitada por los particulares y que obre en sus archivos, siento esta la generada o en su posesión, privilegiando el principio de máxima publicidad, sin que exista la obligación de procesarla resumirla, efectuar cálculos o investigaciones.</w:t>
      </w:r>
    </w:p>
    <w:p w:rsidR="00000000" w:rsidDel="00000000" w:rsidP="00000000" w:rsidRDefault="00000000" w:rsidRPr="00000000" w14:paraId="00000085">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aunque lo solicitado por el particular pudiera corresponder a un trámite especifico, resulta trascendente el numeral 98 de la Ley de Protección de Datos Personales en Posesión de Sujetos Obligados del Estado de México y Municipios, en el que se establece que el Titular de los Datos Personales tiene derecho a ser informado sobre sus datos personales en posesión de alguna autoridad, como a continuación se observa:</w:t>
      </w:r>
    </w:p>
    <w:p w:rsidR="00000000" w:rsidDel="00000000" w:rsidP="00000000" w:rsidRDefault="00000000" w:rsidRPr="00000000" w14:paraId="00000086">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Derecho de Acceso </w:t>
      </w:r>
    </w:p>
    <w:p w:rsidR="00000000" w:rsidDel="00000000" w:rsidP="00000000" w:rsidRDefault="00000000" w:rsidRPr="00000000" w14:paraId="00000087">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98</w:t>
      </w:r>
      <w:r w:rsidDel="00000000" w:rsidR="00000000" w:rsidRPr="00000000">
        <w:rPr>
          <w:rFonts w:ascii="Palatino Linotype" w:cs="Palatino Linotype" w:eastAsia="Palatino Linotype" w:hAnsi="Palatino Linotype"/>
          <w:i w:val="1"/>
          <w:sz w:val="22"/>
          <w:szCs w:val="22"/>
          <w:rtl w:val="0"/>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rsidR="00000000" w:rsidDel="00000000" w:rsidP="00000000" w:rsidRDefault="00000000" w:rsidRPr="00000000" w14:paraId="00000088">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responsable debe responder al ejercicio del derecho de acceso, tenga o no datos de carácter personal del interesado en su sistema de datos.”</w:t>
      </w:r>
    </w:p>
    <w:p w:rsidR="00000000" w:rsidDel="00000000" w:rsidP="00000000" w:rsidRDefault="00000000" w:rsidRPr="00000000" w14:paraId="00000089">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Situación que se robustece con lo señalado por los diversos 2, fracción IV y 4, fracción VI del ordenamiento antes invocado, mismos que son de la literalidad siguiente:</w:t>
      </w:r>
    </w:p>
    <w:p w:rsidR="00000000" w:rsidDel="00000000" w:rsidP="00000000" w:rsidRDefault="00000000" w:rsidRPr="00000000" w14:paraId="0000008A">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De las finalidades de la Ley</w:t>
      </w:r>
    </w:p>
    <w:p w:rsidR="00000000" w:rsidDel="00000000" w:rsidP="00000000" w:rsidRDefault="00000000" w:rsidRPr="00000000" w14:paraId="0000008B">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2.</w:t>
      </w:r>
      <w:r w:rsidDel="00000000" w:rsidR="00000000" w:rsidRPr="00000000">
        <w:rPr>
          <w:rFonts w:ascii="Palatino Linotype" w:cs="Palatino Linotype" w:eastAsia="Palatino Linotype" w:hAnsi="Palatino Linotype"/>
          <w:i w:val="1"/>
          <w:sz w:val="22"/>
          <w:szCs w:val="22"/>
          <w:rtl w:val="0"/>
        </w:rPr>
        <w:t xml:space="preserve"> Son finalidades de la presente Ley:</w:t>
      </w:r>
    </w:p>
    <w:p w:rsidR="00000000" w:rsidDel="00000000" w:rsidP="00000000" w:rsidRDefault="00000000" w:rsidRPr="00000000" w14:paraId="0000008C">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8D">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i w:val="1"/>
          <w:sz w:val="22"/>
          <w:szCs w:val="22"/>
          <w:rtl w:val="0"/>
        </w:rPr>
        <w:t xml:space="preserve"> Proteger los datos personales en posesión de los sujetos obligados del Estado de México y municipios a los que se refiere esta Ley, con la finalidad de regular su debido tratamiento.</w:t>
      </w:r>
    </w:p>
    <w:p w:rsidR="00000000" w:rsidDel="00000000" w:rsidP="00000000" w:rsidRDefault="00000000" w:rsidRPr="00000000" w14:paraId="0000008E">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8F">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Glosario </w:t>
      </w:r>
    </w:p>
    <w:p w:rsidR="00000000" w:rsidDel="00000000" w:rsidP="00000000" w:rsidRDefault="00000000" w:rsidRPr="00000000" w14:paraId="00000090">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4</w:t>
      </w:r>
      <w:r w:rsidDel="00000000" w:rsidR="00000000" w:rsidRPr="00000000">
        <w:rPr>
          <w:rFonts w:ascii="Palatino Linotype" w:cs="Palatino Linotype" w:eastAsia="Palatino Linotype" w:hAnsi="Palatino Linotype"/>
          <w:i w:val="1"/>
          <w:sz w:val="22"/>
          <w:szCs w:val="22"/>
          <w:rtl w:val="0"/>
        </w:rPr>
        <w:t xml:space="preserve">. Para los efectos de esta Ley se entenderá por:</w:t>
      </w:r>
    </w:p>
    <w:p w:rsidR="00000000" w:rsidDel="00000000" w:rsidP="00000000" w:rsidRDefault="00000000" w:rsidRPr="00000000" w14:paraId="00000091">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2">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 Base de Datos</w:t>
      </w:r>
      <w:r w:rsidDel="00000000" w:rsidR="00000000" w:rsidRPr="00000000">
        <w:rPr>
          <w:rFonts w:ascii="Palatino Linotype" w:cs="Palatino Linotype" w:eastAsia="Palatino Linotype" w:hAnsi="Palatino Linotype"/>
          <w:i w:val="1"/>
          <w:sz w:val="22"/>
          <w:szCs w:val="22"/>
          <w:rtl w:val="0"/>
        </w:rPr>
        <w:t xml:space="preserve">: al conjunto de archivos, registros, ficheros, condicionados a criterios determinados con independencia de la forma o modalidad de su creación, tipo de soporte, procesamiento, almacenamiento, organización y acceso.”</w:t>
      </w:r>
    </w:p>
    <w:p w:rsidR="00000000" w:rsidDel="00000000" w:rsidP="00000000" w:rsidRDefault="00000000" w:rsidRPr="00000000" w14:paraId="00000093">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 una interpretación sistemática de los artículos anteriores se puede deducir que el ejercicio de Derecho de Acceso a datos personales se centra en conocer el contenido de los documentos que obren en las bases de datos en poder de las autoridades, entendidas como el conjunto de archivos, registros o ficheros, con independencia de a forma o modalidad de creación, tipo de soporte, procesamiento, almacenamiento, organización y acceso.</w:t>
      </w:r>
    </w:p>
    <w:p w:rsidR="00000000" w:rsidDel="00000000" w:rsidP="00000000" w:rsidRDefault="00000000" w:rsidRPr="00000000" w14:paraId="00000094">
      <w:pPr>
        <w:widowControl w:val="0"/>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por lo anterior, que este Organismo Garante estima pertinente ordenar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que realice una búsqueda exhaustiva y razonable de los datos personales requeridos por la persona solicitante, a efecto de que, para el caso de obrar en sus archivos, sin que implique se generen nuevos, realice entrega del </w:t>
      </w:r>
      <w:r w:rsidDel="00000000" w:rsidR="00000000" w:rsidRPr="00000000">
        <w:rPr>
          <w:rFonts w:ascii="Palatino Linotype" w:cs="Palatino Linotype" w:eastAsia="Palatino Linotype" w:hAnsi="Palatino Linotype"/>
          <w:b w:val="1"/>
          <w:rtl w:val="0"/>
        </w:rPr>
        <w:t xml:space="preserve">soporte documental en cualquiera de sus formas donde conste el número de semanas, quincenas o los periodos de cotización de la persona referida en la solicitud de acceso a datos personales</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95">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tal efecto no obsta mencionar que la búsqueda exhaustiva y razonable de la información que se ordena implica que la Unidad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deberá de turnar la solicitud de información a todas las unidades administrativas que por el ejercicio de sus facultades resulten competentes para poseer, o administrar los datos a los que se requiere acceso, en términos del artículo 162 de la Ley de Transparencia y Acceso a la Información Pública del Estado de México y Municipios, de aplicación supletoria.</w:t>
      </w:r>
    </w:p>
    <w:p w:rsidR="00000000" w:rsidDel="00000000" w:rsidP="00000000" w:rsidRDefault="00000000" w:rsidRPr="00000000" w14:paraId="00000096">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tal efecto, es importante mencionar que de conformidad con el Manual General de Organización del Instituto de Seguridad Social del Estado de México y Municipios, la Subdirección de Relaciones Institucionales, dependiente de la Dirección de Seguridad Social de la Coordinación de Prestaciones y Seguridad Social, tiene por objetivo establecer mecanismos de control que aseguren que los </w:t>
      </w:r>
      <w:r w:rsidDel="00000000" w:rsidR="00000000" w:rsidRPr="00000000">
        <w:rPr>
          <w:rFonts w:ascii="Palatino Linotype" w:cs="Palatino Linotype" w:eastAsia="Palatino Linotype" w:hAnsi="Palatino Linotype"/>
          <w:b w:val="1"/>
          <w:rtl w:val="0"/>
        </w:rPr>
        <w:t xml:space="preserve">movimientos de alta, baja y modificaciones</w:t>
      </w:r>
      <w:r w:rsidDel="00000000" w:rsidR="00000000" w:rsidRPr="00000000">
        <w:rPr>
          <w:rFonts w:ascii="Palatino Linotype" w:cs="Palatino Linotype" w:eastAsia="Palatino Linotype" w:hAnsi="Palatino Linotype"/>
          <w:rtl w:val="0"/>
        </w:rPr>
        <w:t xml:space="preserve"> de los servidores públicos, pensionados y pensionistas, efectuados por las instituciones públicas, se procesen de manera confiable, mediante el desarrollo de estrategias integrales que </w:t>
      </w:r>
      <w:r w:rsidDel="00000000" w:rsidR="00000000" w:rsidRPr="00000000">
        <w:rPr>
          <w:rFonts w:ascii="Palatino Linotype" w:cs="Palatino Linotype" w:eastAsia="Palatino Linotype" w:hAnsi="Palatino Linotype"/>
          <w:b w:val="1"/>
          <w:rtl w:val="0"/>
        </w:rPr>
        <w:t xml:space="preserve">permitan el fortalecimiento de la base de datos para identificar los períodos cotizados</w:t>
      </w:r>
      <w:r w:rsidDel="00000000" w:rsidR="00000000" w:rsidRPr="00000000">
        <w:rPr>
          <w:rFonts w:ascii="Palatino Linotype" w:cs="Palatino Linotype" w:eastAsia="Palatino Linotype" w:hAnsi="Palatino Linotype"/>
          <w:rtl w:val="0"/>
        </w:rPr>
        <w:t xml:space="preserve"> y la vigencia de derechos de la población derechohabiente, teniendo entre otras funciones la de establecer acciones para el registro de los periodos cotizados por los servidores públicos.</w:t>
      </w:r>
    </w:p>
    <w:p w:rsidR="00000000" w:rsidDel="00000000" w:rsidP="00000000" w:rsidRDefault="00000000" w:rsidRPr="00000000" w14:paraId="00000097">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Mientras que el Departamento de Control y Actualización Documental, que depende de la Subdirección de Relaciones Institucionales, tiene por objetivo ejecutar </w:t>
      </w:r>
      <w:r w:rsidDel="00000000" w:rsidR="00000000" w:rsidRPr="00000000">
        <w:rPr>
          <w:rFonts w:ascii="Palatino Linotype" w:cs="Palatino Linotype" w:eastAsia="Palatino Linotype" w:hAnsi="Palatino Linotype"/>
          <w:b w:val="1"/>
          <w:rtl w:val="0"/>
        </w:rPr>
        <w:t xml:space="preserve">mecanismos de control y registro para la integración de periodos cotizados</w:t>
      </w:r>
      <w:r w:rsidDel="00000000" w:rsidR="00000000" w:rsidRPr="00000000">
        <w:rPr>
          <w:rFonts w:ascii="Palatino Linotype" w:cs="Palatino Linotype" w:eastAsia="Palatino Linotype" w:hAnsi="Palatino Linotype"/>
          <w:rtl w:val="0"/>
        </w:rPr>
        <w:t xml:space="preserve"> de las y los servidores públicos afiliados al régimen de seguridad social del Estado de México, </w:t>
      </w:r>
      <w:r w:rsidDel="00000000" w:rsidR="00000000" w:rsidRPr="00000000">
        <w:rPr>
          <w:rFonts w:ascii="Palatino Linotype" w:cs="Palatino Linotype" w:eastAsia="Palatino Linotype" w:hAnsi="Palatino Linotype"/>
          <w:b w:val="1"/>
          <w:rtl w:val="0"/>
        </w:rPr>
        <w:t xml:space="preserve">a fin de contar con información actualizada</w:t>
      </w:r>
      <w:r w:rsidDel="00000000" w:rsidR="00000000" w:rsidRPr="00000000">
        <w:rPr>
          <w:rFonts w:ascii="Palatino Linotype" w:cs="Palatino Linotype" w:eastAsia="Palatino Linotype" w:hAnsi="Palatino Linotype"/>
          <w:rtl w:val="0"/>
        </w:rPr>
        <w:t xml:space="preserve"> para los trámites requeridos por las distintas áreas del Instituto, asimismo para el resguardo físico del acervo documental de nóminas y expedientes de las servidoras y servidores públicos, y pensionadas y pensionados, para lo cual se le confieren, entre otras funciones, las de mantener comunicación y coordinación con las instancias correspondientes del Instituto, para corroborar que la información sobre los períodos cotizados de las y los servidores públicos sea consistente e integral; y registrar los movimientos relacionados con los pagos de cuotas, de aportaciones y de fondos de reintegro por separación, con el propósito de mantener actualizados los periodos cotizados de las y los servidores públicos.</w:t>
      </w:r>
    </w:p>
    <w:p w:rsidR="00000000" w:rsidDel="00000000" w:rsidP="00000000" w:rsidRDefault="00000000" w:rsidRPr="00000000" w14:paraId="00000098">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se considera que los documentos a través de los cuales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pudiera dar cumplimiento a la presente resolución, son de manera enunciativa, más no limitativa, los registros de movimientos de alta, baja o movimiento, así como la base de datos para identificar los períodos cotizados y la vigencia de derechos de la población derechohabiente.</w:t>
      </w:r>
    </w:p>
    <w:p w:rsidR="00000000" w:rsidDel="00000000" w:rsidP="00000000" w:rsidRDefault="00000000" w:rsidRPr="00000000" w14:paraId="0000009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lado, es de mencionar que el Pleno ya se ha pronunciado en sendas resoluciones acerca del derecho a la protección de datos personales en su modalidad de Acceso, tutelado a partir  de lo dispuesto  por  los  artículos  6, apartado  A, fracciones  II y  III, así  como  16 de la Constitución Política  de  los  Estados   Unidos   Mexicanos</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Fonts w:ascii="Palatino Linotype" w:cs="Palatino Linotype" w:eastAsia="Palatino Linotype" w:hAnsi="Palatino Linotype"/>
          <w:rtl w:val="0"/>
        </w:rPr>
        <w:t xml:space="preserve">, en cuyo texto refiere que toda   persona,  sin excepción alguna, tiene derecho de acceder de forma gratuita a sus datos personales o a la rectificación de éstos, a su protección, al acceso, rectificación y cancelación de los mismos, así como a manifestar su oposición.</w:t>
      </w:r>
    </w:p>
    <w:p w:rsidR="00000000" w:rsidDel="00000000" w:rsidP="00000000" w:rsidRDefault="00000000" w:rsidRPr="00000000" w14:paraId="0000009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igual manera, se resume que la información referente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rsidR="00000000" w:rsidDel="00000000" w:rsidP="00000000" w:rsidRDefault="00000000" w:rsidRPr="00000000" w14:paraId="0000009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en el ejercicio de los derechos ARCO, se deberán establecer procedimientos sencillos, privilegiando los mecanismos que faciliten su ejercicio de una manera breve, ágil y de forma gratuita, salvo algunos costos de recuperación que en su caso disponga el Código Financiero del Estado de México. </w:t>
      </w:r>
    </w:p>
    <w:p w:rsidR="00000000" w:rsidDel="00000000" w:rsidP="00000000" w:rsidRDefault="00000000" w:rsidRPr="00000000" w14:paraId="0000009C">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 De tal forma, </w:t>
      </w:r>
      <w:r w:rsidDel="00000000" w:rsidR="00000000" w:rsidRPr="00000000">
        <w:rPr>
          <w:rFonts w:ascii="Palatino Linotype" w:cs="Palatino Linotype" w:eastAsia="Palatino Linotype" w:hAnsi="Palatino Linotype"/>
          <w:b w:val="1"/>
          <w:rtl w:val="0"/>
        </w:rPr>
        <w:t xml:space="preserve">se establecen  requisitos mínimos indispensables para la solicitudes en el ejercicio de los derechos ARCO, dentro de los que destacan la acreditación de la identidad del titular y en su caso la personalidad e identidad</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de su representante, </w:t>
      </w:r>
      <w:r w:rsidDel="00000000" w:rsidR="00000000" w:rsidRPr="00000000">
        <w:rPr>
          <w:rFonts w:ascii="Palatino Linotype" w:cs="Palatino Linotype" w:eastAsia="Palatino Linotype" w:hAnsi="Palatino Linotype"/>
          <w:rtl w:val="0"/>
        </w:rPr>
        <w:t xml:space="preserve">solicitudes que se tendrán por cumplidas a través de expedición de copias simples, copias certificadas, documentos en la modalidad que se hubiese solicitado, o en su caso, </w:t>
      </w:r>
      <w:r w:rsidDel="00000000" w:rsidR="00000000" w:rsidRPr="00000000">
        <w:rPr>
          <w:rFonts w:ascii="Palatino Linotype" w:cs="Palatino Linotype" w:eastAsia="Palatino Linotype" w:hAnsi="Palatino Linotype"/>
          <w:b w:val="1"/>
          <w:rtl w:val="0"/>
        </w:rPr>
        <w:t xml:space="preserve">si el solicitante no acude dentro de los sesenta días posteriores a la notificación en que permite el ejercicio de los citados derechos ARCO.  </w:t>
      </w:r>
    </w:p>
    <w:p w:rsidR="00000000" w:rsidDel="00000000" w:rsidP="00000000" w:rsidRDefault="00000000" w:rsidRPr="00000000" w14:paraId="0000009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las consideraciones expuestas, si bien la persona solicitante anexó a su solicitud documentos que dan cuenta de su identidad, así como de la persona titular de los datos personales, para acceder a los datos solicitados, con la finalidad de salvaguardar la protección de dichos datos, es decir para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o el Responsable del tratamiento otorgue acceso a dicha información, deberá acreditar su identidad, así como su interés jurídico y legítimo, en el cumplimiento a la atención de la solicitud de derecho de acceso a datos personales, dentro de los sesenta días posteriores a la notificación de la respuesta para que previa acreditación de identidad y/o personalidad se pongan a su disposición los datos de los cuales solicitó el acceso, de conformidad con lo establecido en el artículo 118 de la Ley de Protección de Datos Personales en Posesión de Sujetos Obligados del Estado de México y Municipios, que es del tenor literal siguiente:</w:t>
      </w:r>
    </w:p>
    <w:p w:rsidR="00000000" w:rsidDel="00000000" w:rsidP="00000000" w:rsidRDefault="00000000" w:rsidRPr="00000000" w14:paraId="0000009E">
      <w:pPr>
        <w:spacing w:after="120" w:before="120" w:lineRule="auto"/>
        <w:ind w:left="851" w:right="618"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Cumplimiento de la atención de solicitudes ARCO</w:t>
      </w:r>
    </w:p>
    <w:p w:rsidR="00000000" w:rsidDel="00000000" w:rsidP="00000000" w:rsidRDefault="00000000" w:rsidRPr="00000000" w14:paraId="0000009F">
      <w:pPr>
        <w:spacing w:after="120" w:before="120" w:lineRule="auto"/>
        <w:ind w:left="851" w:right="618"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118</w:t>
      </w:r>
      <w:r w:rsidDel="00000000" w:rsidR="00000000" w:rsidRPr="00000000">
        <w:rPr>
          <w:rFonts w:ascii="Palatino Linotype" w:cs="Palatino Linotype" w:eastAsia="Palatino Linotype" w:hAnsi="Palatino Linotype"/>
          <w:i w:val="1"/>
          <w:sz w:val="22"/>
          <w:szCs w:val="22"/>
          <w:rtl w:val="0"/>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rsidR="00000000" w:rsidDel="00000000" w:rsidP="00000000" w:rsidRDefault="00000000" w:rsidRPr="00000000" w14:paraId="000000A0">
      <w:pPr>
        <w:spacing w:after="120" w:before="120" w:lineRule="auto"/>
        <w:ind w:left="851" w:right="618"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rsidR="00000000" w:rsidDel="00000000" w:rsidP="00000000" w:rsidRDefault="00000000" w:rsidRPr="00000000" w14:paraId="000000A1">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la Ley de Protección de Datos dispone los medios para acreditar la identidad del titular, mismos que se especifican en los artículos que se cita a continuación:</w:t>
      </w:r>
    </w:p>
    <w:p w:rsidR="00000000" w:rsidDel="00000000" w:rsidP="00000000" w:rsidRDefault="00000000" w:rsidRPr="00000000" w14:paraId="000000A2">
      <w:pPr>
        <w:spacing w:after="120" w:before="120" w:lineRule="auto"/>
        <w:ind w:left="851" w:right="99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“Medios para acreditar identidad</w:t>
      </w:r>
    </w:p>
    <w:p w:rsidR="00000000" w:rsidDel="00000000" w:rsidP="00000000" w:rsidRDefault="00000000" w:rsidRPr="00000000" w14:paraId="000000A3">
      <w:pPr>
        <w:spacing w:after="120" w:before="120" w:lineRule="auto"/>
        <w:ind w:left="851" w:right="99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120. </w:t>
      </w:r>
      <w:r w:rsidDel="00000000" w:rsidR="00000000" w:rsidRPr="00000000">
        <w:rPr>
          <w:rFonts w:ascii="Palatino Linotype" w:cs="Palatino Linotype" w:eastAsia="Palatino Linotype" w:hAnsi="Palatino Linotype"/>
          <w:i w:val="1"/>
          <w:sz w:val="22"/>
          <w:szCs w:val="22"/>
          <w:rtl w:val="0"/>
        </w:rPr>
        <w:t xml:space="preserve">El titular podrá </w:t>
      </w:r>
      <w:r w:rsidDel="00000000" w:rsidR="00000000" w:rsidRPr="00000000">
        <w:rPr>
          <w:rFonts w:ascii="Palatino Linotype" w:cs="Palatino Linotype" w:eastAsia="Palatino Linotype" w:hAnsi="Palatino Linotype"/>
          <w:b w:val="1"/>
          <w:i w:val="1"/>
          <w:sz w:val="22"/>
          <w:szCs w:val="22"/>
          <w:rtl w:val="0"/>
        </w:rPr>
        <w:t xml:space="preserve">acreditar su identidad</w:t>
      </w:r>
      <w:r w:rsidDel="00000000" w:rsidR="00000000" w:rsidRPr="00000000">
        <w:rPr>
          <w:rFonts w:ascii="Palatino Linotype" w:cs="Palatino Linotype" w:eastAsia="Palatino Linotype" w:hAnsi="Palatino Linotype"/>
          <w:i w:val="1"/>
          <w:sz w:val="22"/>
          <w:szCs w:val="22"/>
          <w:rtl w:val="0"/>
        </w:rPr>
        <w:t xml:space="preserve"> a través de cualquiera de los medios siguientes: </w:t>
      </w:r>
    </w:p>
    <w:p w:rsidR="00000000" w:rsidDel="00000000" w:rsidP="00000000" w:rsidRDefault="00000000" w:rsidRPr="00000000" w14:paraId="000000A4">
      <w:pPr>
        <w:numPr>
          <w:ilvl w:val="0"/>
          <w:numId w:val="2"/>
        </w:numPr>
        <w:spacing w:after="120" w:before="120" w:lineRule="auto"/>
        <w:ind w:left="1134" w:right="99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Identificación oficial. </w:t>
      </w:r>
    </w:p>
    <w:p w:rsidR="00000000" w:rsidDel="00000000" w:rsidP="00000000" w:rsidRDefault="00000000" w:rsidRPr="00000000" w14:paraId="000000A5">
      <w:pPr>
        <w:numPr>
          <w:ilvl w:val="0"/>
          <w:numId w:val="2"/>
        </w:numPr>
        <w:spacing w:after="120" w:before="120" w:lineRule="auto"/>
        <w:ind w:left="1134" w:right="99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Firma electrónica avanzada o del instrumento electrónico que lo sustituya. </w:t>
      </w:r>
    </w:p>
    <w:p w:rsidR="00000000" w:rsidDel="00000000" w:rsidP="00000000" w:rsidRDefault="00000000" w:rsidRPr="00000000" w14:paraId="000000A6">
      <w:pPr>
        <w:numPr>
          <w:ilvl w:val="0"/>
          <w:numId w:val="2"/>
        </w:numPr>
        <w:tabs>
          <w:tab w:val="left" w:leader="none" w:pos="1418"/>
          <w:tab w:val="left" w:leader="none" w:pos="1560"/>
        </w:tabs>
        <w:spacing w:after="120" w:before="120" w:lineRule="auto"/>
        <w:ind w:left="1134" w:right="99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Mecanismos de autenticación autorizados por el Instituto o el Instituto Nacional publicados por acuerdo general en el periódico oficial “Gaceta del Gobierno” o en el Diario Oficial de la Federación. </w:t>
      </w:r>
    </w:p>
    <w:p w:rsidR="00000000" w:rsidDel="00000000" w:rsidP="00000000" w:rsidRDefault="00000000" w:rsidRPr="00000000" w14:paraId="000000A7">
      <w:pPr>
        <w:spacing w:after="120" w:before="120" w:lineRule="auto"/>
        <w:ind w:left="851" w:right="99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utilización de la firma electrónica avanzada o del instrumento electrónico que lo sustituya eximirá de la presentación de la copia del documento de identificación.</w:t>
      </w:r>
    </w:p>
    <w:p w:rsidR="00000000" w:rsidDel="00000000" w:rsidP="00000000" w:rsidRDefault="00000000" w:rsidRPr="00000000" w14:paraId="000000A8">
      <w:pPr>
        <w:spacing w:after="120" w:before="120" w:lineRule="auto"/>
        <w:ind w:left="851" w:right="99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Formas para acreditar personalidad en representación</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A9">
      <w:pPr>
        <w:spacing w:after="120" w:before="120" w:lineRule="auto"/>
        <w:ind w:left="851" w:right="99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121</w:t>
      </w:r>
      <w:r w:rsidDel="00000000" w:rsidR="00000000" w:rsidRPr="00000000">
        <w:rPr>
          <w:rFonts w:ascii="Palatino Linotype" w:cs="Palatino Linotype" w:eastAsia="Palatino Linotype" w:hAnsi="Palatino Linotype"/>
          <w:i w:val="1"/>
          <w:sz w:val="22"/>
          <w:szCs w:val="22"/>
          <w:rtl w:val="0"/>
        </w:rPr>
        <w:t xml:space="preserve">. Cuando el titular actúe a través de un representante, éste deberá </w:t>
      </w:r>
      <w:r w:rsidDel="00000000" w:rsidR="00000000" w:rsidRPr="00000000">
        <w:rPr>
          <w:rFonts w:ascii="Palatino Linotype" w:cs="Palatino Linotype" w:eastAsia="Palatino Linotype" w:hAnsi="Palatino Linotype"/>
          <w:b w:val="1"/>
          <w:i w:val="1"/>
          <w:sz w:val="22"/>
          <w:szCs w:val="22"/>
          <w:rtl w:val="0"/>
        </w:rPr>
        <w:t xml:space="preserve">acreditar su personalidad</w:t>
      </w:r>
      <w:r w:rsidDel="00000000" w:rsidR="00000000" w:rsidRPr="00000000">
        <w:rPr>
          <w:rFonts w:ascii="Palatino Linotype" w:cs="Palatino Linotype" w:eastAsia="Palatino Linotype" w:hAnsi="Palatino Linotype"/>
          <w:i w:val="1"/>
          <w:sz w:val="22"/>
          <w:szCs w:val="22"/>
          <w:rtl w:val="0"/>
        </w:rPr>
        <w:t xml:space="preserve"> en los términos siguientes:</w:t>
      </w:r>
    </w:p>
    <w:p w:rsidR="00000000" w:rsidDel="00000000" w:rsidP="00000000" w:rsidRDefault="00000000" w:rsidRPr="00000000" w14:paraId="000000AA">
      <w:pPr>
        <w:spacing w:after="120" w:before="120" w:lineRule="auto"/>
        <w:ind w:left="1134" w:right="99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rsidR="00000000" w:rsidDel="00000000" w:rsidP="00000000" w:rsidRDefault="00000000" w:rsidRPr="00000000" w14:paraId="000000AB">
      <w:pPr>
        <w:spacing w:after="120" w:before="120" w:lineRule="auto"/>
        <w:ind w:left="1134" w:right="99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Si se trata de una persona jurídica colectiva, a través de instrumento público.</w:t>
      </w:r>
      <w:r w:rsidDel="00000000" w:rsidR="00000000" w:rsidRPr="00000000">
        <w:rPr>
          <w:rtl w:val="0"/>
        </w:rPr>
      </w:r>
    </w:p>
    <w:p w:rsidR="00000000" w:rsidDel="00000000" w:rsidP="00000000" w:rsidRDefault="00000000" w:rsidRPr="00000000" w14:paraId="000000A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tanto, se concluye que para que el titular obtenga la documentación en la que obran sus datos personales deberá acreditar su identidad a través de los medios ofrecidos por la legislación en el artículo 120, o en caso de que se pretenda actuar por medio de un representante deberá estar a lo dispuesto en el artículo 121 de la misma norma.</w:t>
      </w:r>
    </w:p>
    <w:p w:rsidR="00000000" w:rsidDel="00000000" w:rsidP="00000000" w:rsidRDefault="00000000" w:rsidRPr="00000000" w14:paraId="000000A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mismo tenor, los Lineamentos Generales en Materia de Clasificación y Descalcificación de la Información, señalan que cuando el titular de los datos realice una solicitud de acceso a la información se deberá de otorgar acceso previa acreditación de la identidad o personalidad, como a continuación se observa:</w:t>
      </w:r>
    </w:p>
    <w:p w:rsidR="00000000" w:rsidDel="00000000" w:rsidP="00000000" w:rsidRDefault="00000000" w:rsidRPr="00000000" w14:paraId="000000AE">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Trigésimo noveno</w:t>
      </w:r>
      <w:r w:rsidDel="00000000" w:rsidR="00000000" w:rsidRPr="00000000">
        <w:rPr>
          <w:rFonts w:ascii="Palatino Linotype" w:cs="Palatino Linotype" w:eastAsia="Palatino Linotype" w:hAnsi="Palatino Linotype"/>
          <w:i w:val="1"/>
          <w:sz w:val="22"/>
          <w:szCs w:val="22"/>
          <w:rtl w:val="0"/>
        </w:rPr>
        <w:t xml:space="preserve">. Los datos personales concernientes a una persona física identificada o identificable, no podrán clasificarse como confidenciales ante sus titulares.</w:t>
      </w:r>
    </w:p>
    <w:p w:rsidR="00000000" w:rsidDel="00000000" w:rsidP="00000000" w:rsidRDefault="00000000" w:rsidRPr="00000000" w14:paraId="000000AF">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w:t>
      </w:r>
      <w:r w:rsidDel="00000000" w:rsidR="00000000" w:rsidRPr="00000000">
        <w:rPr>
          <w:rFonts w:ascii="Palatino Linotype" w:cs="Palatino Linotype" w:eastAsia="Palatino Linotype" w:hAnsi="Palatino Linotype"/>
          <w:b w:val="1"/>
          <w:i w:val="1"/>
          <w:sz w:val="22"/>
          <w:szCs w:val="22"/>
          <w:rtl w:val="0"/>
        </w:rPr>
        <w:t xml:space="preserve">Dando acceso a los datos previa acreditación de la identidad o personalidad del mismo, en términos de las disposiciones normativas aplicables</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B0">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caso de que los documentos puestos a disposición del titular de los datos contengan información pública, además de sus datos personales, no deberá testarse ésta. </w:t>
      </w:r>
    </w:p>
    <w:p w:rsidR="00000000" w:rsidDel="00000000" w:rsidP="00000000" w:rsidRDefault="00000000" w:rsidRPr="00000000" w14:paraId="000000B1">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establecido para tal fin.”</w:t>
      </w:r>
    </w:p>
    <w:p w:rsidR="00000000" w:rsidDel="00000000" w:rsidP="00000000" w:rsidRDefault="00000000" w:rsidRPr="00000000" w14:paraId="000000B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en virtud de que, cuando obren datos personales en poder de las autoridades, estos deben de entregarse a su titular, previa acreditación de su identidad, con la intención de garantizar la protección de los mismos, corrobora lo anterior el Criterio 1/2018 emitido por el Instituto Nacional de Transparencia, Acceso a la Información y Protección de Datos Personales, que señala:</w:t>
      </w:r>
    </w:p>
    <w:p w:rsidR="00000000" w:rsidDel="00000000" w:rsidP="00000000" w:rsidRDefault="00000000" w:rsidRPr="00000000" w14:paraId="000000B3">
      <w:pPr>
        <w:spacing w:after="120" w:before="120" w:lineRule="auto"/>
        <w:ind w:left="851" w:right="902" w:firstLine="0"/>
        <w:jc w:val="both"/>
        <w:rPr>
          <w:rFonts w:ascii="Palatino Linotype" w:cs="Palatino Linotype" w:eastAsia="Palatino Linotype" w:hAnsi="Palatino Linotype"/>
          <w:sz w:val="22"/>
          <w:szCs w:val="22"/>
        </w:rPr>
      </w:pPr>
      <w:r w:rsidDel="00000000" w:rsidR="00000000" w:rsidRPr="00000000">
        <w:rPr>
          <w:i w:val="1"/>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Entrega de datos personales a través de medios electrónicos</w:t>
      </w:r>
      <w:r w:rsidDel="00000000" w:rsidR="00000000" w:rsidRPr="00000000">
        <w:rPr>
          <w:rFonts w:ascii="Palatino Linotype" w:cs="Palatino Linotype" w:eastAsia="Palatino Linotype" w:hAnsi="Palatino Linotype"/>
          <w:i w:val="1"/>
          <w:sz w:val="22"/>
          <w:szCs w:val="22"/>
          <w:rtl w:val="0"/>
        </w:rPr>
        <w:t xml:space="preserve">. La entrega de datos personales a través del portal de la Plataforma Nacional de Transparencia, correo electrónico o cualquier otro medio similar resulta improcedente, sin que los sujetos obligados hayan corroborado previamente la identidad del titular.”</w:t>
      </w:r>
      <w:r w:rsidDel="00000000" w:rsidR="00000000" w:rsidRPr="00000000">
        <w:rPr>
          <w:rtl w:val="0"/>
        </w:rPr>
      </w:r>
    </w:p>
    <w:p w:rsidR="00000000" w:rsidDel="00000000" w:rsidP="00000000" w:rsidRDefault="00000000" w:rsidRPr="00000000" w14:paraId="000000B4">
      <w:pPr>
        <w:widowControl w:val="0"/>
        <w:tabs>
          <w:tab w:val="left" w:leader="none" w:pos="426"/>
        </w:tabs>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Respecto al medio de entrega, como ya ha sido mencionado, la Ley en materia de protección de datos personales estipula que la entrega procede a través del medio elegido por la persona solicitante, sin embargo, es de suma importancia señalar que, tal y como ha quedado asentado en los antecedentes de la presente resolución, la persona solicitante presentó la solicitud de acceso a datos personales a través del Sistema Acceso a la Información Mexiquense, SAIMEX, y señaló como modalidad de entrega la misma vía, sin embargo, este Organismo Garante, ha determinado que no es posible permitir el acceso a datos personales, a través de dicha vía, toda vez que el SAIMEX, no cuenta con las medidas de seguridad necesarias que garanticen de manera efectiva la protección de los datos personales.</w:t>
      </w:r>
    </w:p>
    <w:p w:rsidR="00000000" w:rsidDel="00000000" w:rsidP="00000000" w:rsidRDefault="00000000" w:rsidRPr="00000000" w14:paraId="000000B5">
      <w:pPr>
        <w:widowControl w:val="0"/>
        <w:tabs>
          <w:tab w:val="left" w:leader="none" w:pos="426"/>
        </w:tabs>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 diferencia del SAIMEX, el Sistema de Acceso, Rectificación, Cancelación y Oposición del Estado de México, SARCOEM, que es el medio idóneo para formular las solicitudes de derecho ARCO y recursos de revisión, cuenta con controles o mecanismos que permiten proteger los datos personales, previniendo que el acceso al sistema y base de dato o a la información, así como los recursos, sea por usuarios identificados y autorizados. </w:t>
      </w:r>
    </w:p>
    <w:p w:rsidR="00000000" w:rsidDel="00000000" w:rsidP="00000000" w:rsidRDefault="00000000" w:rsidRPr="00000000" w14:paraId="000000B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entendido, no es procedente que se ordene la entrega de la documentación solicitada por la vía solicitada, sino que, con el objeto de garantizar la protección de los datos personales a los que se requiere acceder, se ordena al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que, previa búsqueda exhaustiva y razonable indique el procedimiento vía SAIMEX</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previa acreditación de la identidad de la persona solicitante, el procedimiento para realizar la consulta y entrega de la información.</w:t>
      </w:r>
    </w:p>
    <w:p w:rsidR="00000000" w:rsidDel="00000000" w:rsidP="00000000" w:rsidRDefault="00000000" w:rsidRPr="00000000" w14:paraId="000000B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igual forma,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deberá hacer del conocimiento de la persona solicitante de los datos personales, el domicilio al cual deberá acudir, el nombre de la dependencia o área respectiva, los días y horarios de atención en los cuales podrá realizar la consulta, la forma y procedimiento a seguir, así como el periodo durante el cual quedará a su disposición la documentación conforme a lo dispuesto por el artículo 166 de la Ley de Transparencia y Acceso a la Información Pública del Estado de México y Municipios de aplicación supletoria.  </w:t>
      </w:r>
    </w:p>
    <w:p w:rsidR="00000000" w:rsidDel="00000000" w:rsidP="00000000" w:rsidRDefault="00000000" w:rsidRPr="00000000" w14:paraId="000000B8">
      <w:pPr>
        <w:widowControl w:val="0"/>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es necesario referir que de acuerdo a las manifestaciones realizadas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tanto en su respuesta como en el informe justificado, los datos que deberá dar acceso a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corresponden a un trámite en específico, denominado “Proyecto Pensión” previsto en los artículos 66, 67, 68 y 82 del Reglamento de Prestaciones del Instituto de Seguridad Social del Estado de México y Municipios, el cual conlleva una carga excesiva de trabajo para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ya que debe hacer una búsqueda ex profeso, de las documentales en el histórico de la titular de los datos personales, desde el uno de junio de mil novecientos noventa y ocho, al treinta y uno de marzo de dos mil veintiuno; y tomando en cuenta que la lista de espera es de una gran cantidad de derechohabientes, que, derivado de la presente solicitud debe dejar en espera, es que se considera que el términos de atención deba ser de sesenta días hábiles, en términos de los artículos 186, párrafo segundo de la Ley de Transparencia y Acceso a la Información Pública del Estado de México y Municipios, que es del tenor literal siguiente:</w:t>
      </w:r>
    </w:p>
    <w:p w:rsidR="00000000" w:rsidDel="00000000" w:rsidP="00000000" w:rsidRDefault="00000000" w:rsidRPr="00000000" w14:paraId="000000B9">
      <w:pPr>
        <w:spacing w:after="120" w:before="120" w:lineRule="auto"/>
        <w:ind w:left="862"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186</w:t>
      </w:r>
      <w:r w:rsidDel="00000000" w:rsidR="00000000" w:rsidRPr="00000000">
        <w:rPr>
          <w:rFonts w:ascii="Palatino Linotype" w:cs="Palatino Linotype" w:eastAsia="Palatino Linotype" w:hAnsi="Palatino Linotype"/>
          <w:i w:val="1"/>
          <w:sz w:val="22"/>
          <w:szCs w:val="22"/>
          <w:rtl w:val="0"/>
        </w:rPr>
        <w:t xml:space="preserve">. Las resoluciones del Instituto podrán:</w:t>
      </w:r>
    </w:p>
    <w:p w:rsidR="00000000" w:rsidDel="00000000" w:rsidP="00000000" w:rsidRDefault="00000000" w:rsidRPr="00000000" w14:paraId="000000BA">
      <w:pPr>
        <w:spacing w:after="120" w:before="120" w:lineRule="auto"/>
        <w:ind w:left="862"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BB">
      <w:pPr>
        <w:spacing w:after="120" w:before="120" w:lineRule="auto"/>
        <w:ind w:left="862" w:right="902" w:firstLine="0"/>
        <w:jc w:val="both"/>
        <w:rPr>
          <w:rFonts w:ascii="Palatino Linotype" w:cs="Palatino Linotype" w:eastAsia="Palatino Linotype" w:hAnsi="Palatino Linotype"/>
          <w:b w:val="1"/>
          <w:i w:val="1"/>
          <w:u w:val="single"/>
        </w:rPr>
      </w:pPr>
      <w:r w:rsidDel="00000000" w:rsidR="00000000" w:rsidRPr="00000000">
        <w:rPr>
          <w:rFonts w:ascii="Palatino Linotype" w:cs="Palatino Linotype" w:eastAsia="Palatino Linotype" w:hAnsi="Palatino Linotype"/>
          <w:i w:val="1"/>
          <w:sz w:val="22"/>
          <w:szCs w:val="22"/>
          <w:rtl w:val="0"/>
        </w:rPr>
        <w:t xml:space="preserve">Las resoluciones establecerán, en su caso, los plazos y términos para su cumplimiento y los procedimientos para asegurar su ejecución, los cuales no podrán exceder de diez días hábiles para la entrega de información. </w:t>
      </w:r>
      <w:r w:rsidDel="00000000" w:rsidR="00000000" w:rsidRPr="00000000">
        <w:rPr>
          <w:rFonts w:ascii="Palatino Linotype" w:cs="Palatino Linotype" w:eastAsia="Palatino Linotype" w:hAnsi="Palatino Linotype"/>
          <w:b w:val="1"/>
          <w:i w:val="1"/>
          <w:sz w:val="22"/>
          <w:szCs w:val="22"/>
          <w:u w:val="single"/>
          <w:rtl w:val="0"/>
        </w:rPr>
        <w:t xml:space="preserve">Excepcionalmente el Instituto, previa fundamentación y motivación, podrán ampliar estos plazos cuando el asunto así lo requiera</w:t>
      </w:r>
      <w:r w:rsidDel="00000000" w:rsidR="00000000" w:rsidRPr="00000000">
        <w:rPr>
          <w:rFonts w:ascii="Palatino Linotype" w:cs="Palatino Linotype" w:eastAsia="Palatino Linotype" w:hAnsi="Palatino Linotype"/>
          <w:b w:val="1"/>
          <w:i w:val="1"/>
          <w:u w:val="single"/>
          <w:rtl w:val="0"/>
        </w:rPr>
        <w:t xml:space="preserve">.</w:t>
      </w:r>
    </w:p>
    <w:p w:rsidR="00000000" w:rsidDel="00000000" w:rsidP="00000000" w:rsidRDefault="00000000" w:rsidRPr="00000000" w14:paraId="000000BC">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relación con lo anterior, el artículo 154 de la Ley de Protección de Datos Personales en Posesión de Sujetos Obligados del Estado de México y Municipios, que establece:</w:t>
      </w:r>
    </w:p>
    <w:p w:rsidR="00000000" w:rsidDel="00000000" w:rsidP="00000000" w:rsidRDefault="00000000" w:rsidRPr="00000000" w14:paraId="000000BD">
      <w:pPr>
        <w:spacing w:after="120" w:before="120" w:lineRule="auto"/>
        <w:ind w:left="862"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154</w:t>
      </w:r>
      <w:r w:rsidDel="00000000" w:rsidR="00000000" w:rsidRPr="00000000">
        <w:rPr>
          <w:rFonts w:ascii="Palatino Linotype" w:cs="Palatino Linotype" w:eastAsia="Palatino Linotype" w:hAnsi="Palatino Linotype"/>
          <w:i w:val="1"/>
          <w:sz w:val="22"/>
          <w:szCs w:val="22"/>
          <w:rtl w:val="0"/>
        </w:rPr>
        <w:t xml:space="preserve">. Para el cumplimiento de las resoluciones emitidas por el Instituto se deberá observar lo dispuesto en la Ley de Transparencia.</w:t>
      </w:r>
    </w:p>
    <w:p w:rsidR="00000000" w:rsidDel="00000000" w:rsidP="00000000" w:rsidRDefault="00000000" w:rsidRPr="00000000" w14:paraId="000000B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Este Instituto considera que el término de diez días para dar cumplimiento es insuficiente para hacer la búsqueda de los datos personales requeridos por la persona solicitante a efecto de darle acceso, pues el procedimiento contenido en el Reglamento en cita, supone de un procedimiento cuya ejecución corresponde llevar a cabo a un número reducido de servidores públicos que están rebasados en su carga de trabajo, al realizar diariamente dichas búsquedas de derechohabientes que realizan el trámite de meses, quincenas o semanas cotizadas de forma física, es decir, el presente asunto supone el hecho de que se deje en fila de espera a cientos de derechohabientes que realizaron su trámite previamente conforme al Reglamento de Prestaciones del Instituto de Seguridad Social del Estado de México y Municipios, y el personal encargado de dicha labor se aboque exclusivamente a realizar el trámite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lo que no es impedimento para ser entregado a través del SAIMEX, pero si en los diez días que otorga la Ley en la materia, en ese sentido es que se considera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deberá dar atención en los sesenta días hábiles posteriores a la notificación de la presente resolución.</w:t>
      </w:r>
    </w:p>
    <w:p w:rsidR="00000000" w:rsidDel="00000000" w:rsidP="00000000" w:rsidRDefault="00000000" w:rsidRPr="00000000" w14:paraId="000000BF">
      <w:pPr>
        <w:widowControl w:val="0"/>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base en todo lo expuesto, este Organismo Garante considera parcialmente fundadas las razones o motivos de inconformidad expuestos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y con fundamento en el artículo 137, fracción III, de la Ley de Protección de Datos Personales en Posesión de Sujetos Obligados del Estado de México y Municipios, se estima procedente </w:t>
      </w:r>
      <w:r w:rsidDel="00000000" w:rsidR="00000000" w:rsidRPr="00000000">
        <w:rPr>
          <w:rFonts w:ascii="Palatino Linotype" w:cs="Palatino Linotype" w:eastAsia="Palatino Linotype" w:hAnsi="Palatino Linotype"/>
          <w:i w:val="1"/>
          <w:rtl w:val="0"/>
        </w:rPr>
        <w:t xml:space="preserve">Modificar</w:t>
      </w:r>
      <w:r w:rsidDel="00000000" w:rsidR="00000000" w:rsidRPr="00000000">
        <w:rPr>
          <w:rFonts w:ascii="Palatino Linotype" w:cs="Palatino Linotype" w:eastAsia="Palatino Linotype" w:hAnsi="Palatino Linotype"/>
          <w:rtl w:val="0"/>
        </w:rPr>
        <w:t xml:space="preserve"> la respuesta otorgada por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y ordenar la entrega de la información solicitada.</w:t>
      </w:r>
    </w:p>
    <w:p w:rsidR="00000000" w:rsidDel="00000000" w:rsidP="00000000" w:rsidRDefault="00000000" w:rsidRPr="00000000" w14:paraId="000000C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con fundamento en lo prescrito en los artículos 5 párrafos trigésimo, trigésimo primero y trigésimo segundo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III. R E S U E L V E</w:t>
      </w:r>
    </w:p>
    <w:p w:rsidR="00000000" w:rsidDel="00000000" w:rsidP="00000000" w:rsidRDefault="00000000" w:rsidRPr="00000000" w14:paraId="000000C2">
      <w:pPr>
        <w:spacing w:after="240" w:before="240" w:line="360" w:lineRule="auto"/>
        <w:jc w:val="both"/>
        <w:rPr>
          <w:rFonts w:ascii="Palatino Linotype" w:cs="Palatino Linotype" w:eastAsia="Palatino Linotype" w:hAnsi="Palatino Linotype"/>
          <w:b w:val="1"/>
        </w:rPr>
      </w:pPr>
      <w:bookmarkStart w:colFirst="0" w:colLast="0" w:name="_heading=h.1fob9te" w:id="4"/>
      <w:bookmarkEnd w:id="4"/>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Resultan</w:t>
      </w:r>
      <w:r w:rsidDel="00000000" w:rsidR="00000000" w:rsidRPr="00000000">
        <w:rPr>
          <w:rFonts w:ascii="Palatino Linotype" w:cs="Palatino Linotype" w:eastAsia="Palatino Linotype" w:hAnsi="Palatino Linotype"/>
          <w:b w:val="1"/>
          <w:rtl w:val="0"/>
        </w:rPr>
        <w:t xml:space="preserve"> parcialmente fundados</w:t>
      </w:r>
      <w:r w:rsidDel="00000000" w:rsidR="00000000" w:rsidRPr="00000000">
        <w:rPr>
          <w:rFonts w:ascii="Palatino Linotype" w:cs="Palatino Linotype" w:eastAsia="Palatino Linotype" w:hAnsi="Palatino Linotype"/>
          <w:rtl w:val="0"/>
        </w:rPr>
        <w:t xml:space="preserve"> los motivos de inconformidad hechos valer por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en el recurso de revisión </w:t>
      </w:r>
      <w:r w:rsidDel="00000000" w:rsidR="00000000" w:rsidRPr="00000000">
        <w:rPr>
          <w:rFonts w:ascii="Palatino Linotype" w:cs="Palatino Linotype" w:eastAsia="Palatino Linotype" w:hAnsi="Palatino Linotype"/>
          <w:b w:val="1"/>
          <w:rtl w:val="0"/>
        </w:rPr>
        <w:t xml:space="preserve">13839/INFOEM/IP/RR/2022, </w:t>
      </w:r>
      <w:r w:rsidDel="00000000" w:rsidR="00000000" w:rsidRPr="00000000">
        <w:rPr>
          <w:rFonts w:ascii="Palatino Linotype" w:cs="Palatino Linotype" w:eastAsia="Palatino Linotype" w:hAnsi="Palatino Linotype"/>
          <w:rtl w:val="0"/>
        </w:rPr>
        <w:t xml:space="preserve">por lo que, en términos del Considerando </w:t>
      </w:r>
      <w:r w:rsidDel="00000000" w:rsidR="00000000" w:rsidRPr="00000000">
        <w:rPr>
          <w:rFonts w:ascii="Palatino Linotype" w:cs="Palatino Linotype" w:eastAsia="Palatino Linotype" w:hAnsi="Palatino Linotype"/>
          <w:b w:val="1"/>
          <w:rtl w:val="0"/>
        </w:rPr>
        <w:t xml:space="preserve">Quinto</w:t>
      </w:r>
      <w:r w:rsidDel="00000000" w:rsidR="00000000" w:rsidRPr="00000000">
        <w:rPr>
          <w:rFonts w:ascii="Palatino Linotype" w:cs="Palatino Linotype" w:eastAsia="Palatino Linotype" w:hAnsi="Palatino Linotype"/>
          <w:rtl w:val="0"/>
        </w:rPr>
        <w:t xml:space="preserve"> de la presente resolución, se</w:t>
      </w:r>
      <w:r w:rsidDel="00000000" w:rsidR="00000000" w:rsidRPr="00000000">
        <w:rPr>
          <w:rFonts w:ascii="Palatino Linotype" w:cs="Palatino Linotype" w:eastAsia="Palatino Linotype" w:hAnsi="Palatino Linotype"/>
          <w:b w:val="1"/>
          <w:rtl w:val="0"/>
        </w:rPr>
        <w:t xml:space="preserve"> Modifica </w:t>
      </w:r>
      <w:r w:rsidDel="00000000" w:rsidR="00000000" w:rsidRPr="00000000">
        <w:rPr>
          <w:rFonts w:ascii="Palatino Linotype" w:cs="Palatino Linotype" w:eastAsia="Palatino Linotype" w:hAnsi="Palatino Linotype"/>
          <w:rtl w:val="0"/>
        </w:rPr>
        <w:t xml:space="preserve">la respuesta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del </w:t>
      </w:r>
      <w:r w:rsidDel="00000000" w:rsidR="00000000" w:rsidRPr="00000000">
        <w:rPr>
          <w:rFonts w:ascii="Palatino Linotype" w:cs="Palatino Linotype" w:eastAsia="Palatino Linotype" w:hAnsi="Palatino Linotype"/>
          <w:b w:val="1"/>
          <w:rtl w:val="0"/>
        </w:rPr>
        <w:t xml:space="preserve">Sujeto Obligado.</w:t>
      </w:r>
    </w:p>
    <w:p w:rsidR="00000000" w:rsidDel="00000000" w:rsidP="00000000" w:rsidRDefault="00000000" w:rsidRPr="00000000" w14:paraId="000000C3">
      <w:pPr>
        <w:spacing w:after="240" w:before="240" w:line="360" w:lineRule="auto"/>
        <w:jc w:val="both"/>
        <w:rPr>
          <w:rFonts w:ascii="Palatino Linotype" w:cs="Palatino Linotype" w:eastAsia="Palatino Linotype" w:hAnsi="Palatino Linotype"/>
        </w:rPr>
      </w:pPr>
      <w:bookmarkStart w:colFirst="0" w:colLast="0" w:name="_heading=h.4d34og8" w:id="5"/>
      <w:bookmarkEnd w:id="5"/>
      <w:r w:rsidDel="00000000" w:rsidR="00000000" w:rsidRPr="00000000">
        <w:rPr>
          <w:rFonts w:ascii="Palatino Linotype" w:cs="Palatino Linotype" w:eastAsia="Palatino Linotype" w:hAnsi="Palatino Linotype"/>
          <w:b w:val="1"/>
          <w:rtl w:val="0"/>
        </w:rPr>
        <w:t xml:space="preserve">Segundo. </w:t>
      </w:r>
      <w:r w:rsidDel="00000000" w:rsidR="00000000" w:rsidRPr="00000000">
        <w:rPr>
          <w:rFonts w:ascii="Palatino Linotype" w:cs="Palatino Linotype" w:eastAsia="Palatino Linotype" w:hAnsi="Palatino Linotype"/>
          <w:rtl w:val="0"/>
        </w:rPr>
        <w:t xml:space="preserve">Se </w:t>
      </w:r>
      <w:r w:rsidDel="00000000" w:rsidR="00000000" w:rsidRPr="00000000">
        <w:rPr>
          <w:rFonts w:ascii="Palatino Linotype" w:cs="Palatino Linotype" w:eastAsia="Palatino Linotype" w:hAnsi="Palatino Linotype"/>
          <w:b w:val="1"/>
          <w:rtl w:val="0"/>
        </w:rPr>
        <w:t xml:space="preserve">Ordena</w:t>
      </w:r>
      <w:r w:rsidDel="00000000" w:rsidR="00000000" w:rsidRPr="00000000">
        <w:rPr>
          <w:rFonts w:ascii="Palatino Linotype" w:cs="Palatino Linotype" w:eastAsia="Palatino Linotype" w:hAnsi="Palatino Linotype"/>
          <w:rtl w:val="0"/>
        </w:rPr>
        <w:t xml:space="preserve">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que, en términos del Considerando </w:t>
      </w:r>
      <w:r w:rsidDel="00000000" w:rsidR="00000000" w:rsidRPr="00000000">
        <w:rPr>
          <w:rFonts w:ascii="Palatino Linotype" w:cs="Palatino Linotype" w:eastAsia="Palatino Linotype" w:hAnsi="Palatino Linotype"/>
          <w:b w:val="1"/>
          <w:rtl w:val="0"/>
        </w:rPr>
        <w:t xml:space="preserve">Quinto </w:t>
      </w:r>
      <w:r w:rsidDel="00000000" w:rsidR="00000000" w:rsidRPr="00000000">
        <w:rPr>
          <w:rFonts w:ascii="Palatino Linotype" w:cs="Palatino Linotype" w:eastAsia="Palatino Linotype" w:hAnsi="Palatino Linotype"/>
          <w:rtl w:val="0"/>
        </w:rPr>
        <w:t xml:space="preserve">de esta resolución, previa búsqueda exhaustiva y razonable, informe a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vía SAIMEX, el procedimiento para que, </w:t>
      </w:r>
      <w:r w:rsidDel="00000000" w:rsidR="00000000" w:rsidRPr="00000000">
        <w:rPr>
          <w:rFonts w:ascii="Palatino Linotype" w:cs="Palatino Linotype" w:eastAsia="Palatino Linotype" w:hAnsi="Palatino Linotype"/>
          <w:b w:val="1"/>
          <w:rtl w:val="0"/>
        </w:rPr>
        <w:t xml:space="preserve">previa acreditación de su identidad</w:t>
      </w:r>
      <w:r w:rsidDel="00000000" w:rsidR="00000000" w:rsidRPr="00000000">
        <w:rPr>
          <w:rFonts w:ascii="Palatino Linotype" w:cs="Palatino Linotype" w:eastAsia="Palatino Linotype" w:hAnsi="Palatino Linotype"/>
          <w:rtl w:val="0"/>
        </w:rPr>
        <w:t xml:space="preserve">, haga entrega de lo siguiente:</w:t>
      </w:r>
    </w:p>
    <w:p w:rsidR="00000000" w:rsidDel="00000000" w:rsidP="00000000" w:rsidRDefault="00000000" w:rsidRPr="00000000" w14:paraId="000000C4">
      <w:pPr>
        <w:spacing w:after="240" w:before="240"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1. Soporte documental, en cualquiera de sus formas, en el que conste el número de semanas, quincenas o periodos cotizados ante el Instituto de Seguridad Social del Estado de México y Municipios, por la persona referida en la solicitud, del uno de junio de mil novecientos noventa y ocho al treinta y uno de marzo de dos mil veintiuno.</w:t>
      </w:r>
    </w:p>
    <w:p w:rsidR="00000000" w:rsidDel="00000000" w:rsidP="00000000" w:rsidRDefault="00000000" w:rsidRPr="00000000" w14:paraId="000000C5">
      <w:pPr>
        <w:spacing w:after="120" w:before="120" w:lineRule="auto"/>
        <w:ind w:left="567" w:firstLine="0"/>
        <w:jc w:val="both"/>
        <w:rPr>
          <w:rFonts w:ascii="Palatino Linotype" w:cs="Palatino Linotype" w:eastAsia="Palatino Linotype" w:hAnsi="Palatino Linotype"/>
          <w:i w:val="1"/>
          <w:sz w:val="20"/>
          <w:szCs w:val="20"/>
          <w:highlight w:val="white"/>
        </w:rPr>
      </w:pPr>
      <w:r w:rsidDel="00000000" w:rsidR="00000000" w:rsidRPr="00000000">
        <w:rPr>
          <w:rFonts w:ascii="Palatino Linotype" w:cs="Palatino Linotype" w:eastAsia="Palatino Linotype" w:hAnsi="Palatino Linotype"/>
          <w:i w:val="1"/>
          <w:sz w:val="20"/>
          <w:szCs w:val="20"/>
          <w:highlight w:val="white"/>
          <w:rtl w:val="0"/>
        </w:rPr>
        <w:t xml:space="preserve">Para la entrega de la información, el </w:t>
      </w:r>
      <w:r w:rsidDel="00000000" w:rsidR="00000000" w:rsidRPr="00000000">
        <w:rPr>
          <w:rFonts w:ascii="Palatino Linotype" w:cs="Palatino Linotype" w:eastAsia="Palatino Linotype" w:hAnsi="Palatino Linotype"/>
          <w:b w:val="1"/>
          <w:i w:val="1"/>
          <w:sz w:val="20"/>
          <w:szCs w:val="20"/>
          <w:highlight w:val="white"/>
          <w:rtl w:val="0"/>
        </w:rPr>
        <w:t xml:space="preserve">Sujeto Obligado </w:t>
      </w:r>
      <w:r w:rsidDel="00000000" w:rsidR="00000000" w:rsidRPr="00000000">
        <w:rPr>
          <w:rFonts w:ascii="Palatino Linotype" w:cs="Palatino Linotype" w:eastAsia="Palatino Linotype" w:hAnsi="Palatino Linotype"/>
          <w:i w:val="1"/>
          <w:sz w:val="20"/>
          <w:szCs w:val="20"/>
          <w:rtl w:val="0"/>
        </w:rPr>
        <w:t xml:space="preserve">previamente</w:t>
      </w:r>
      <w:r w:rsidDel="00000000" w:rsidR="00000000" w:rsidRPr="00000000">
        <w:rPr>
          <w:rFonts w:ascii="Palatino Linotype" w:cs="Palatino Linotype" w:eastAsia="Palatino Linotype" w:hAnsi="Palatino Linotype"/>
          <w:i w:val="1"/>
          <w:sz w:val="20"/>
          <w:szCs w:val="20"/>
          <w:highlight w:val="white"/>
          <w:rtl w:val="0"/>
        </w:rPr>
        <w:t xml:space="preserve"> deberá hacer del conocimiento de la parte </w:t>
      </w:r>
      <w:r w:rsidDel="00000000" w:rsidR="00000000" w:rsidRPr="00000000">
        <w:rPr>
          <w:rFonts w:ascii="Palatino Linotype" w:cs="Palatino Linotype" w:eastAsia="Palatino Linotype" w:hAnsi="Palatino Linotype"/>
          <w:b w:val="1"/>
          <w:i w:val="1"/>
          <w:sz w:val="20"/>
          <w:szCs w:val="20"/>
          <w:highlight w:val="white"/>
          <w:rtl w:val="0"/>
        </w:rPr>
        <w:t xml:space="preserve">Recurrente</w:t>
      </w:r>
      <w:r w:rsidDel="00000000" w:rsidR="00000000" w:rsidRPr="00000000">
        <w:rPr>
          <w:rFonts w:ascii="Palatino Linotype" w:cs="Palatino Linotype" w:eastAsia="Palatino Linotype" w:hAnsi="Palatino Linotype"/>
          <w:i w:val="1"/>
          <w:sz w:val="20"/>
          <w:szCs w:val="20"/>
          <w:highlight w:val="white"/>
          <w:rtl w:val="0"/>
        </w:rPr>
        <w:t xml:space="preserve">, </w:t>
      </w:r>
      <w:r w:rsidDel="00000000" w:rsidR="00000000" w:rsidRPr="00000000">
        <w:rPr>
          <w:rFonts w:ascii="Palatino Linotype" w:cs="Palatino Linotype" w:eastAsia="Palatino Linotype" w:hAnsi="Palatino Linotype"/>
          <w:i w:val="1"/>
          <w:sz w:val="20"/>
          <w:szCs w:val="20"/>
          <w:rtl w:val="0"/>
        </w:rPr>
        <w:t xml:space="preserve">vía SAIMEX,</w:t>
      </w:r>
      <w:r w:rsidDel="00000000" w:rsidR="00000000" w:rsidRPr="00000000">
        <w:rPr>
          <w:rFonts w:ascii="Palatino Linotype" w:cs="Palatino Linotype" w:eastAsia="Palatino Linotype" w:hAnsi="Palatino Linotype"/>
          <w:i w:val="1"/>
          <w:sz w:val="20"/>
          <w:szCs w:val="20"/>
          <w:highlight w:val="white"/>
          <w:rtl w:val="0"/>
        </w:rPr>
        <w:t xml:space="preserve"> el domicilio al cual deberá acudir, el nombre de la dependencia o área respectiva, los días y horarios de atención en los cuales podrá realizar la consulta, la forma y procedimiento a seguir, así como el periodo durante el cual quedará a su disposición la documentación conforme a lo dispuesto por el artículo 166 de la Ley de Transparencia y Acceso a la Información Pública del Estado de México y Municipios de aplicación supletoria.  </w:t>
      </w:r>
    </w:p>
    <w:p w:rsidR="00000000" w:rsidDel="00000000" w:rsidP="00000000" w:rsidRDefault="00000000" w:rsidRPr="00000000" w14:paraId="000000C6">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Tercero. Notifíquese, </w:t>
      </w:r>
      <w:r w:rsidDel="00000000" w:rsidR="00000000" w:rsidRPr="00000000">
        <w:rPr>
          <w:rFonts w:ascii="Palatino Linotype" w:cs="Palatino Linotype" w:eastAsia="Palatino Linotype" w:hAnsi="Palatino Linotype"/>
          <w:rtl w:val="0"/>
        </w:rPr>
        <w:t xml:space="preserve">vía</w:t>
      </w:r>
      <w:r w:rsidDel="00000000" w:rsidR="00000000" w:rsidRPr="00000000">
        <w:rPr>
          <w:rFonts w:ascii="Palatino Linotype" w:cs="Palatino Linotype" w:eastAsia="Palatino Linotype" w:hAnsi="Palatino Linotype"/>
          <w:b w:val="1"/>
          <w:rtl w:val="0"/>
        </w:rPr>
        <w:t xml:space="preserve"> SAIMEX, </w:t>
      </w:r>
      <w:r w:rsidDel="00000000" w:rsidR="00000000" w:rsidRPr="00000000">
        <w:rPr>
          <w:rFonts w:ascii="Palatino Linotype" w:cs="Palatino Linotype" w:eastAsia="Palatino Linotype" w:hAnsi="Palatino Linotype"/>
          <w:rtl w:val="0"/>
        </w:rPr>
        <w:t xml:space="preserve">al Responsable de la Unidad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presente resolución, para que conforme al artículo 186 último párrafo, 189 segundo párrafo y 194 de la Ley de Transparencia y Acceso a la Información Pública del Estado de México y Municipios; dé cumplimiento a lo ordenado dentro del plazo de sesenta días hábiles, e informe a este Instituto en un plazo de tres días hábiles siguientes sobre el cumplimiento dado a la presente.</w:t>
      </w:r>
      <w:r w:rsidDel="00000000" w:rsidR="00000000" w:rsidRPr="00000000">
        <w:rPr>
          <w:rtl w:val="0"/>
        </w:rPr>
      </w:r>
    </w:p>
    <w:p w:rsidR="00000000" w:rsidDel="00000000" w:rsidP="00000000" w:rsidRDefault="00000000" w:rsidRPr="00000000" w14:paraId="000000C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conformidad con el artículo 198 de la Ley de Transparencia y Acceso a la Información Pública del Estado de México y Municipios, de considerarlo procedente,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 manera fundada y motivada, podrá solicitar una ampliación de plazo para el cumplimiento de la presente resolución.</w:t>
      </w:r>
    </w:p>
    <w:p w:rsidR="00000000" w:rsidDel="00000000" w:rsidP="00000000" w:rsidRDefault="00000000" w:rsidRPr="00000000" w14:paraId="000000C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Notifíquese, </w:t>
      </w:r>
      <w:r w:rsidDel="00000000" w:rsidR="00000000" w:rsidRPr="00000000">
        <w:rPr>
          <w:rFonts w:ascii="Palatino Linotype" w:cs="Palatino Linotype" w:eastAsia="Palatino Linotype" w:hAnsi="Palatino Linotype"/>
          <w:rtl w:val="0"/>
        </w:rPr>
        <w:t xml:space="preserve">vía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la presente resolución, así como, que de conformidad con lo establecido en el artículo 142 de la Ley de Protección de Datos Personales en Posesión de Sujetos Obligados del Estado de México y Municipios podrá promover el Juicio de Amparo en los términos de las leyes aplicables.</w:t>
      </w:r>
    </w:p>
    <w:p w:rsidR="00000000" w:rsidDel="00000000" w:rsidP="00000000" w:rsidRDefault="00000000" w:rsidRPr="00000000" w14:paraId="000000C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MAYORÍA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EMITIENDO VOTO DISIDENTE; EN LA DÉCIMA SESIÓN ORDINARIA, CELEBRADA EL QUINCE DE MARZO DE DOS MIL VEINTITRÉS, ANTE EL SECRETARIO TÉCNICO DEL PLENO ALEXIS TAPIA RAMÍREZ.</w:t>
      </w:r>
    </w:p>
    <w:p w:rsidR="00000000" w:rsidDel="00000000" w:rsidP="00000000" w:rsidRDefault="00000000" w:rsidRPr="00000000" w14:paraId="000000CA">
      <w:pPr>
        <w:spacing w:line="360" w:lineRule="auto"/>
        <w:jc w:val="both"/>
        <w:rPr>
          <w:rFonts w:ascii="Palatino Linotype" w:cs="Palatino Linotype" w:eastAsia="Palatino Linotype" w:hAnsi="Palatino Linotyp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5654675" cy="3463925"/>
                <wp:effectExtent b="0" l="0" r="0" t="0"/>
                <wp:wrapNone/>
                <wp:docPr id="123" name=""/>
                <a:graphic>
                  <a:graphicData uri="http://schemas.microsoft.com/office/word/2010/wordprocessingShape">
                    <wps:wsp>
                      <wps:cNvCnPr/>
                      <wps:spPr>
                        <a:xfrm>
                          <a:off x="2531363" y="2060738"/>
                          <a:ext cx="5629275" cy="3438525"/>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5654675" cy="3463925"/>
                <wp:effectExtent b="0" l="0" r="0" t="0"/>
                <wp:wrapNone/>
                <wp:docPr id="123"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654675" cy="3463925"/>
                        </a:xfrm>
                        <a:prstGeom prst="rect"/>
                        <a:ln/>
                      </pic:spPr>
                    </pic:pic>
                  </a:graphicData>
                </a:graphic>
              </wp:anchor>
            </w:drawing>
          </mc:Fallback>
        </mc:AlternateContent>
      </w:r>
    </w:p>
    <w:p w:rsidR="00000000" w:rsidDel="00000000" w:rsidP="00000000" w:rsidRDefault="00000000" w:rsidRPr="00000000" w14:paraId="000000CB">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C">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D">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E">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F">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0">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1">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2">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3">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4">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5">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6">
      <w:pPr>
        <w:spacing w:line="360" w:lineRule="auto"/>
        <w:jc w:val="both"/>
        <w:rPr>
          <w:rFonts w:ascii="Palatino Linotype" w:cs="Palatino Linotype" w:eastAsia="Palatino Linotype" w:hAnsi="Palatino Linotype"/>
        </w:rPr>
      </w:pPr>
      <w:bookmarkStart w:colFirst="0" w:colLast="0" w:name="_heading=h.3rdcrjn" w:id="6"/>
      <w:bookmarkEnd w:id="6"/>
      <w:r w:rsidDel="00000000" w:rsidR="00000000" w:rsidRPr="00000000">
        <w:rPr>
          <w:rtl w:val="0"/>
        </w:rPr>
      </w:r>
    </w:p>
    <w:p w:rsidR="00000000" w:rsidDel="00000000" w:rsidP="00000000" w:rsidRDefault="00000000" w:rsidRPr="00000000" w14:paraId="000000D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9">
      <w:pPr>
        <w:spacing w:line="360" w:lineRule="auto"/>
        <w:jc w:val="both"/>
        <w:rPr>
          <w:rFonts w:ascii="Palatino Linotype" w:cs="Palatino Linotype" w:eastAsia="Palatino Linotype" w:hAnsi="Palatino Linotype"/>
        </w:rPr>
      </w:pPr>
      <w:bookmarkStart w:colFirst="0" w:colLast="0" w:name="_heading=h.1t3h5sf" w:id="7"/>
      <w:bookmarkEnd w:id="7"/>
      <w:r w:rsidDel="00000000" w:rsidR="00000000" w:rsidRPr="00000000">
        <w:rPr>
          <w:rtl w:val="0"/>
        </w:rPr>
      </w:r>
    </w:p>
    <w:p w:rsidR="00000000" w:rsidDel="00000000" w:rsidP="00000000" w:rsidRDefault="00000000" w:rsidRPr="00000000" w14:paraId="000000D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B">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0">
      <w:pPr>
        <w:tabs>
          <w:tab w:val="left" w:leader="none" w:pos="6645"/>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ab/>
      </w:r>
    </w:p>
    <w:p w:rsidR="00000000" w:rsidDel="00000000" w:rsidP="00000000" w:rsidRDefault="00000000" w:rsidRPr="00000000" w14:paraId="000000E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4">
      <w:pPr>
        <w:spacing w:line="360" w:lineRule="auto"/>
        <w:jc w:val="both"/>
        <w:rPr>
          <w:rFonts w:ascii="Palatino Linotype" w:cs="Palatino Linotype" w:eastAsia="Palatino Linotype" w:hAnsi="Palatino Linotype"/>
        </w:rPr>
      </w:pP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106.</w:t>
      </w:r>
    </w:p>
    <w:p w:rsidR="00000000" w:rsidDel="00000000" w:rsidP="00000000" w:rsidRDefault="00000000" w:rsidRPr="00000000" w14:paraId="000000E6">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Para el ejercicio de los derechos ARCO solicitados será necesario acreditar la identidad de titular y en su caso la identidad y personalidad con la que actúe el representante.”</w:t>
      </w:r>
    </w:p>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tl w:val="0"/>
        </w:rPr>
      </w:r>
    </w:p>
  </w:footnote>
  <w:footnote w:id="1">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6o. (…) II. La información que se refiere a la vida privada y los datos personales será protegida en los términos y con las excepciones que fijen las leyes. (…) III. Toda persona, sin necesidad de acreditar interés alguno o justificar su utilización, tendrá acceso gratuito a la información pública, a sus datos personales o a la rectificación de éstos.</w:t>
      </w:r>
    </w:p>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Artículo 16. (…)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-1075689</wp:posOffset>
          </wp:positionH>
          <wp:positionV relativeFrom="paragraph">
            <wp:posOffset>-338454</wp:posOffset>
          </wp:positionV>
          <wp:extent cx="7809865" cy="10165715"/>
          <wp:effectExtent b="0" l="0" r="0" t="0"/>
          <wp:wrapNone/>
          <wp:docPr id="1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1"/>
      <w:tblW w:w="5953.0" w:type="dxa"/>
      <w:jc w:val="left"/>
      <w:tblInd w:w="3261.0" w:type="dxa"/>
      <w:tblLayout w:type="fixed"/>
      <w:tblLook w:val="0400"/>
    </w:tblPr>
    <w:tblGrid>
      <w:gridCol w:w="2551"/>
      <w:gridCol w:w="3402"/>
      <w:tblGridChange w:id="0">
        <w:tblGrid>
          <w:gridCol w:w="2551"/>
          <w:gridCol w:w="3402"/>
        </w:tblGrid>
      </w:tblGridChange>
    </w:tblGrid>
    <w:tr>
      <w:trPr>
        <w:cantSplit w:val="0"/>
        <w:tblHeader w:val="0"/>
      </w:trPr>
      <w:tc>
        <w:tcPr>
          <w:shd w:fill="auto" w:val="clear"/>
          <w:vAlign w:val="center"/>
        </w:tcPr>
        <w:p w:rsidR="00000000" w:rsidDel="00000000" w:rsidP="00000000" w:rsidRDefault="00000000" w:rsidRPr="00000000" w14:paraId="000000EB">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EC">
          <w:pPr>
            <w:tabs>
              <w:tab w:val="left" w:leader="none" w:pos="3153"/>
            </w:tabs>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13839/INFOEM/IP/RR/2022</w:t>
          </w:r>
        </w:p>
      </w:tc>
    </w:tr>
    <w:tr>
      <w:trPr>
        <w:cantSplit w:val="0"/>
        <w:trHeight w:val="130" w:hRule="atLeast"/>
        <w:tblHeader w:val="0"/>
      </w:trPr>
      <w:tc>
        <w:tcPr>
          <w:shd w:fill="auto" w:val="clear"/>
          <w:vAlign w:val="center"/>
        </w:tcPr>
        <w:p w:rsidR="00000000" w:rsidDel="00000000" w:rsidP="00000000" w:rsidRDefault="00000000" w:rsidRPr="00000000" w14:paraId="000000ED">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shd w:fill="auto" w:val="clear"/>
          <w:vAlign w:val="center"/>
        </w:tcPr>
        <w:p w:rsidR="00000000" w:rsidDel="00000000" w:rsidP="00000000" w:rsidRDefault="00000000" w:rsidRPr="00000000" w14:paraId="000000EE">
          <w:pPr>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XXXXXXXX XXXXXX XXXXXXX</w:t>
          </w:r>
        </w:p>
      </w:tc>
    </w:tr>
    <w:tr>
      <w:trPr>
        <w:cantSplit w:val="0"/>
        <w:trHeight w:val="228" w:hRule="atLeast"/>
        <w:tblHeader w:val="0"/>
      </w:trPr>
      <w:tc>
        <w:tcPr>
          <w:shd w:fill="auto" w:val="clear"/>
          <w:vAlign w:val="center"/>
        </w:tcPr>
        <w:p w:rsidR="00000000" w:rsidDel="00000000" w:rsidP="00000000" w:rsidRDefault="00000000" w:rsidRPr="00000000" w14:paraId="000000EF">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F0">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Instituto de Seguridad Social del Estado de México y Municipios</w:t>
          </w:r>
        </w:p>
      </w:tc>
    </w:tr>
    <w:tr>
      <w:trPr>
        <w:cantSplit w:val="0"/>
        <w:tblHeader w:val="0"/>
      </w:trPr>
      <w:tc>
        <w:tcPr>
          <w:shd w:fill="auto" w:val="clear"/>
          <w:vAlign w:val="center"/>
        </w:tcPr>
        <w:p w:rsidR="00000000" w:rsidDel="00000000" w:rsidP="00000000" w:rsidRDefault="00000000" w:rsidRPr="00000000" w14:paraId="000000F1">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F2">
          <w:pPr>
            <w:ind w:left="-45" w:right="-533"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-459104</wp:posOffset>
          </wp:positionV>
          <wp:extent cx="7809865" cy="10165715"/>
          <wp:effectExtent b="0" l="0" r="0" t="0"/>
          <wp:wrapNone/>
          <wp:docPr id="1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2"/>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shd w:fill="auto" w:val="clear"/>
        </w:tcPr>
        <w:p w:rsidR="00000000" w:rsidDel="00000000" w:rsidP="00000000" w:rsidRDefault="00000000" w:rsidRPr="00000000" w14:paraId="000000F6">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F7">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13839/INFOEM/IP/RR/2022</w:t>
          </w:r>
        </w:p>
      </w:tc>
    </w:tr>
    <w:tr>
      <w:trPr>
        <w:cantSplit w:val="0"/>
        <w:trHeight w:val="228" w:hRule="atLeast"/>
        <w:tblHeader w:val="0"/>
      </w:trPr>
      <w:tc>
        <w:tcPr>
          <w:shd w:fill="auto" w:val="clear"/>
          <w:vAlign w:val="center"/>
        </w:tcPr>
        <w:p w:rsidR="00000000" w:rsidDel="00000000" w:rsidP="00000000" w:rsidRDefault="00000000" w:rsidRPr="00000000" w14:paraId="000000F8">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F9">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Instituto de Seguridad Social del Estado de México y Municipios</w:t>
          </w:r>
        </w:p>
      </w:tc>
    </w:tr>
    <w:tr>
      <w:trPr>
        <w:cantSplit w:val="0"/>
        <w:tblHeader w:val="0"/>
      </w:trPr>
      <w:tc>
        <w:tcPr>
          <w:shd w:fill="auto" w:val="clear"/>
          <w:vAlign w:val="center"/>
        </w:tcPr>
        <w:p w:rsidR="00000000" w:rsidDel="00000000" w:rsidP="00000000" w:rsidRDefault="00000000" w:rsidRPr="00000000" w14:paraId="000000FA">
          <w:pPr>
            <w:ind w:right="-108"/>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FB">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FC">
    <w:pPr>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
    <w:lvl w:ilvl="0">
      <w:start w:val="1"/>
      <w:numFmt w:val="upperRoman"/>
      <w:lvlText w:val="%1."/>
      <w:lvlJc w:val="left"/>
      <w:pPr>
        <w:ind w:left="1571" w:hanging="720"/>
      </w:pPr>
      <w:rPr>
        <w:b w:val="1"/>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3">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B2902"/>
  </w:style>
  <w:style w:type="paragraph" w:styleId="Ttulo1">
    <w:name w:val="heading 1"/>
    <w:basedOn w:val="Normal"/>
    <w:next w:val="Normal"/>
    <w:link w:val="Ttulo1Car"/>
    <w:uiPriority w:val="9"/>
    <w:qFormat w:val="1"/>
    <w:rsid w:val="00603D72"/>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semiHidden w:val="1"/>
    <w:unhideWhenUsed w:val="1"/>
    <w:qFormat w:val="1"/>
    <w:rsid w:val="00603D72"/>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Ttulo3">
    <w:name w:val="heading 3"/>
    <w:basedOn w:val="Normal"/>
    <w:next w:val="Normal"/>
    <w:link w:val="Ttulo3Car"/>
    <w:uiPriority w:val="9"/>
    <w:semiHidden w:val="1"/>
    <w:unhideWhenUsed w:val="1"/>
    <w:qFormat w:val="1"/>
    <w:rsid w:val="003B73CD"/>
    <w:pPr>
      <w:keepNext w:val="1"/>
      <w:tabs>
        <w:tab w:val="num" w:pos="2160"/>
      </w:tabs>
      <w:spacing w:after="60" w:before="240"/>
      <w:ind w:left="2160" w:hanging="720"/>
      <w:outlineLvl w:val="2"/>
    </w:pPr>
    <w:rPr>
      <w:rFonts w:asciiTheme="majorHAnsi" w:cstheme="majorBidi" w:eastAsiaTheme="majorEastAsia" w:hAnsiTheme="majorHAnsi"/>
      <w:b w:val="1"/>
      <w:bCs w:val="1"/>
      <w:sz w:val="26"/>
      <w:szCs w:val="26"/>
      <w:lang w:eastAsia="en-US" w:val="en-US"/>
    </w:rPr>
  </w:style>
  <w:style w:type="paragraph" w:styleId="Ttulo4">
    <w:name w:val="heading 4"/>
    <w:basedOn w:val="Normal"/>
    <w:next w:val="Normal"/>
    <w:link w:val="Ttulo4Car"/>
    <w:uiPriority w:val="9"/>
    <w:semiHidden w:val="1"/>
    <w:unhideWhenUsed w:val="1"/>
    <w:qFormat w:val="1"/>
    <w:rsid w:val="003B73CD"/>
    <w:pPr>
      <w:keepNext w:val="1"/>
      <w:tabs>
        <w:tab w:val="num" w:pos="2880"/>
      </w:tabs>
      <w:spacing w:after="60" w:before="240"/>
      <w:ind w:left="2880" w:hanging="720"/>
      <w:outlineLvl w:val="3"/>
    </w:pPr>
    <w:rPr>
      <w:rFonts w:asciiTheme="minorHAnsi" w:cstheme="minorBidi" w:eastAsiaTheme="minorEastAsia" w:hAnsiTheme="minorHAnsi"/>
      <w:b w:val="1"/>
      <w:bCs w:val="1"/>
      <w:sz w:val="28"/>
      <w:szCs w:val="28"/>
      <w:lang w:eastAsia="en-US" w:val="en-US"/>
    </w:rPr>
  </w:style>
  <w:style w:type="paragraph" w:styleId="Ttulo5">
    <w:name w:val="heading 5"/>
    <w:basedOn w:val="Normal"/>
    <w:next w:val="Normal"/>
    <w:link w:val="Ttulo5Car"/>
    <w:uiPriority w:val="9"/>
    <w:semiHidden w:val="1"/>
    <w:unhideWhenUsed w:val="1"/>
    <w:qFormat w:val="1"/>
    <w:rsid w:val="003B73CD"/>
    <w:pPr>
      <w:tabs>
        <w:tab w:val="num" w:pos="3600"/>
      </w:tabs>
      <w:spacing w:after="60" w:before="240"/>
      <w:ind w:left="3600" w:hanging="720"/>
      <w:outlineLvl w:val="4"/>
    </w:pPr>
    <w:rPr>
      <w:rFonts w:asciiTheme="minorHAnsi" w:cstheme="minorBidi" w:eastAsiaTheme="minorEastAsia" w:hAnsiTheme="minorHAnsi"/>
      <w:b w:val="1"/>
      <w:bCs w:val="1"/>
      <w:i w:val="1"/>
      <w:iCs w:val="1"/>
      <w:sz w:val="26"/>
      <w:szCs w:val="26"/>
      <w:lang w:eastAsia="en-US" w:val="en-US"/>
    </w:rPr>
  </w:style>
  <w:style w:type="paragraph" w:styleId="Ttulo6">
    <w:name w:val="heading 6"/>
    <w:basedOn w:val="Normal"/>
    <w:next w:val="Normal"/>
    <w:link w:val="Ttulo6Car"/>
    <w:uiPriority w:val="9"/>
    <w:semiHidden w:val="1"/>
    <w:unhideWhenUsed w:val="1"/>
    <w:qFormat w:val="1"/>
    <w:rsid w:val="003B73CD"/>
    <w:pPr>
      <w:tabs>
        <w:tab w:val="num" w:pos="4320"/>
      </w:tabs>
      <w:spacing w:after="60" w:before="240"/>
      <w:ind w:left="4320" w:hanging="720"/>
      <w:outlineLvl w:val="5"/>
    </w:pPr>
    <w:rPr>
      <w:b w:val="1"/>
      <w:bCs w:val="1"/>
      <w:sz w:val="22"/>
      <w:szCs w:val="22"/>
      <w:lang w:eastAsia="en-US" w:val="en-US"/>
    </w:rPr>
  </w:style>
  <w:style w:type="paragraph" w:styleId="Ttulo7">
    <w:name w:val="heading 7"/>
    <w:basedOn w:val="Normal"/>
    <w:next w:val="Normal"/>
    <w:link w:val="Ttulo7Car"/>
    <w:uiPriority w:val="9"/>
    <w:semiHidden w:val="1"/>
    <w:unhideWhenUsed w:val="1"/>
    <w:qFormat w:val="1"/>
    <w:rsid w:val="003B73CD"/>
    <w:pPr>
      <w:tabs>
        <w:tab w:val="num" w:pos="5040"/>
      </w:tabs>
      <w:spacing w:after="60" w:before="240"/>
      <w:ind w:left="5040" w:hanging="720"/>
      <w:outlineLvl w:val="6"/>
    </w:pPr>
    <w:rPr>
      <w:rFonts w:asciiTheme="minorHAnsi" w:cstheme="minorBidi" w:eastAsiaTheme="minorEastAsia" w:hAnsiTheme="minorHAnsi"/>
      <w:lang w:eastAsia="en-US" w:val="en-US"/>
    </w:rPr>
  </w:style>
  <w:style w:type="paragraph" w:styleId="Ttulo8">
    <w:name w:val="heading 8"/>
    <w:basedOn w:val="Normal"/>
    <w:next w:val="Normal"/>
    <w:link w:val="Ttulo8Car"/>
    <w:uiPriority w:val="9"/>
    <w:semiHidden w:val="1"/>
    <w:unhideWhenUsed w:val="1"/>
    <w:qFormat w:val="1"/>
    <w:rsid w:val="003B73CD"/>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Ttulo9">
    <w:name w:val="heading 9"/>
    <w:basedOn w:val="Normal"/>
    <w:next w:val="Normal"/>
    <w:link w:val="Ttulo9Car"/>
    <w:uiPriority w:val="9"/>
    <w:semiHidden w:val="1"/>
    <w:unhideWhenUsed w:val="1"/>
    <w:qFormat w:val="1"/>
    <w:rsid w:val="003B73CD"/>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9" w:customStyle="1">
    <w:name w:val="Table Normal9"/>
    <w:tblPr>
      <w:tblCellMar>
        <w:top w:w="0.0" w:type="dxa"/>
        <w:left w:w="0.0" w:type="dxa"/>
        <w:bottom w:w="0.0" w:type="dxa"/>
        <w:right w:w="0.0" w:type="dxa"/>
      </w:tblCellMar>
    </w:tblPr>
  </w:style>
  <w:style w:type="table" w:styleId="TableNormal8" w:customStyle="1">
    <w:name w:val="Table Normal8"/>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val="1"/>
    <w:rsid w:val="0070703E"/>
    <w:pPr>
      <w:ind w:left="720"/>
      <w:contextualSpacing w:val="1"/>
    </w:pPr>
  </w:style>
  <w:style w:type="character" w:styleId="Hipervnculo">
    <w:name w:val="Hyperlink"/>
    <w:basedOn w:val="Fuentedeprrafopredeter"/>
    <w:uiPriority w:val="99"/>
    <w:unhideWhenUsed w:val="1"/>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val="1"/>
    <w:rsid w:val="000D2D89"/>
    <w:pPr>
      <w:ind w:left="708"/>
    </w:pPr>
  </w:style>
  <w:style w:type="character" w:styleId="Listavistosa-nfasis1Car" w:customStyle="1">
    <w:name w:val="Lista vistosa - Énfasis 1 Car"/>
    <w:link w:val="Listavistosa-nfasis11"/>
    <w:uiPriority w:val="34"/>
    <w:locked w:val="1"/>
    <w:rsid w:val="000D2D89"/>
    <w:rPr>
      <w:rFonts w:ascii="Times New Roman" w:cs="Times New Roman" w:eastAsia="Times New Roman" w:hAnsi="Times New Roman"/>
      <w:lang w:val="es-ES"/>
    </w:rPr>
  </w:style>
  <w:style w:type="paragraph" w:styleId="Texto" w:customStyle="1">
    <w:name w:val="Texto"/>
    <w:basedOn w:val="Normal"/>
    <w:link w:val="TextoCar"/>
    <w:rsid w:val="000470FE"/>
    <w:pPr>
      <w:spacing w:after="101" w:line="216" w:lineRule="exact"/>
      <w:ind w:firstLine="288"/>
      <w:jc w:val="both"/>
    </w:pPr>
    <w:rPr>
      <w:rFonts w:ascii="Arial" w:cs="Arial" w:hAnsi="Arial"/>
      <w:sz w:val="18"/>
      <w:szCs w:val="18"/>
    </w:rPr>
  </w:style>
  <w:style w:type="paragraph" w:styleId="NormalWeb">
    <w:name w:val="Normal (Web)"/>
    <w:basedOn w:val="Normal"/>
    <w:uiPriority w:val="99"/>
    <w:rsid w:val="000470FE"/>
    <w:pPr>
      <w:spacing w:after="100" w:afterAutospacing="1" w:before="100" w:before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val="1"/>
    <w:locked w:val="1"/>
    <w:rsid w:val="007E1FF4"/>
    <w:rPr>
      <w:rFonts w:ascii="Times New Roman" w:cs="Times New Roman" w:eastAsia="Times New Roman" w:hAnsi="Times New Roman"/>
      <w:lang w:val="es-ES"/>
    </w:rPr>
  </w:style>
  <w:style w:type="character" w:styleId="Textoennegrita">
    <w:name w:val="Strong"/>
    <w:uiPriority w:val="22"/>
    <w:qFormat w:val="1"/>
    <w:rsid w:val="003D1B5F"/>
    <w:rPr>
      <w:b w:val="1"/>
      <w:bCs w:val="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2944C8"/>
    <w:rPr>
      <w:rFonts w:asciiTheme="minorHAnsi" w:cstheme="minorBidi" w:eastAsiaTheme="minorHAnsi" w:hAnsiTheme="minorHAns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val="1"/>
    <w:qFormat w:val="1"/>
    <w:rsid w:val="002944C8"/>
    <w:rPr>
      <w:vertAlign w:val="superscript"/>
    </w:rPr>
  </w:style>
  <w:style w:type="paragraph" w:styleId="Sinespaciado">
    <w:name w:val="No Spacing"/>
    <w:aliases w:val="Francesa,INAI"/>
    <w:link w:val="SinespaciadoCar"/>
    <w:uiPriority w:val="1"/>
    <w:qFormat w:val="1"/>
    <w:rsid w:val="002944C8"/>
  </w:style>
  <w:style w:type="paragraph" w:styleId="Textoindependiente2">
    <w:name w:val="Body Text 2"/>
    <w:basedOn w:val="Normal"/>
    <w:link w:val="Textoindependiente2Car"/>
    <w:uiPriority w:val="99"/>
    <w:unhideWhenUsed w:val="1"/>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cs="Times New Roman" w:eastAsia="Times New Roman" w:hAnsi="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styleId="TextosinformatoCar" w:customStyle="1">
    <w:name w:val="Texto sin formato Car"/>
    <w:basedOn w:val="Fuentedeprrafopredeter"/>
    <w:link w:val="Textosinformato"/>
    <w:rsid w:val="002944C8"/>
    <w:rPr>
      <w:rFonts w:ascii="Courier New" w:cs="Times New Roman" w:eastAsia="Times New Roman" w:hAnsi="Courier New"/>
      <w:sz w:val="20"/>
      <w:szCs w:val="20"/>
      <w:lang w:val="es-ES"/>
    </w:rPr>
  </w:style>
  <w:style w:type="paragraph" w:styleId="Standard" w:customStyle="1">
    <w:name w:val="Standard"/>
    <w:rsid w:val="002944C8"/>
    <w:pPr>
      <w:widowControl w:val="0"/>
      <w:suppressAutoHyphens w:val="1"/>
      <w:autoSpaceDN w:val="0"/>
      <w:textAlignment w:val="baseline"/>
    </w:pPr>
    <w:rPr>
      <w:rFonts w:ascii="Liberation Serif" w:cs="Lohit Hindi" w:eastAsia="DejaVu Sans" w:hAnsi="Liberation Serif"/>
      <w:kern w:val="3"/>
      <w:lang w:bidi="hi-IN" w:eastAsia="zh-CN"/>
    </w:rPr>
  </w:style>
  <w:style w:type="character" w:styleId="negritas1" w:customStyle="1">
    <w:name w:val="negritas1"/>
    <w:rsid w:val="002944C8"/>
    <w:rPr>
      <w:rFonts w:ascii="Arial" w:cs="Arial" w:hAnsi="Arial" w:hint="default"/>
      <w:b w:val="1"/>
      <w:bCs w:val="1"/>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eastAsia="es-ES_tradnl" w:val="es-ES_tradnl"/>
    </w:rPr>
  </w:style>
  <w:style w:type="paragraph" w:styleId="Default" w:customStyle="1">
    <w:name w:val="Default"/>
    <w:rsid w:val="002944C8"/>
    <w:pPr>
      <w:autoSpaceDE w:val="0"/>
      <w:autoSpaceDN w:val="0"/>
      <w:adjustRightInd w:val="0"/>
    </w:pPr>
    <w:rPr>
      <w:rFonts w:ascii="Arial" w:cs="Arial" w:hAnsi="Arial" w:eastAsiaTheme="minorHAnsi"/>
      <w:color w:val="000000"/>
      <w:lang w:eastAsia="en-US"/>
    </w:rPr>
  </w:style>
  <w:style w:type="character" w:styleId="f" w:customStyle="1">
    <w:name w:val="f"/>
    <w:basedOn w:val="Fuentedeprrafopredeter"/>
    <w:rsid w:val="002944C8"/>
  </w:style>
  <w:style w:type="paragraph" w:styleId="q" w:customStyle="1">
    <w:name w:val="q"/>
    <w:basedOn w:val="Normal"/>
    <w:rsid w:val="002944C8"/>
    <w:pPr>
      <w:spacing w:after="100" w:afterAutospacing="1" w:before="100" w:beforeAutospacing="1"/>
    </w:p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val="1"/>
    <w:unhideWhenUsed w:val="1"/>
    <w:rsid w:val="002944C8"/>
    <w:rPr>
      <w:color w:val="800080" w:themeColor="followedHyperlink"/>
      <w:u w:val="single"/>
    </w:rPr>
  </w:style>
  <w:style w:type="character" w:styleId="CitaHTML">
    <w:name w:val="HTML Cite"/>
    <w:uiPriority w:val="99"/>
    <w:semiHidden w:val="1"/>
    <w:unhideWhenUsed w:val="1"/>
    <w:rsid w:val="00B85C7C"/>
    <w:rPr>
      <w:i w:val="1"/>
      <w:iCs w:val="1"/>
    </w:rPr>
  </w:style>
  <w:style w:type="character" w:styleId="SinespaciadoCar" w:customStyle="1">
    <w:name w:val="Sin espaciado Car"/>
    <w:aliases w:val="Francesa Car,INAI Car"/>
    <w:link w:val="Sinespaciado"/>
    <w:uiPriority w:val="1"/>
    <w:locked w:val="1"/>
    <w:rsid w:val="00270539"/>
    <w:rPr>
      <w:rFonts w:ascii="Times New Roman" w:cs="Times New Roman" w:eastAsia="Times New Roman" w:hAnsi="Times New Roman"/>
      <w:lang w:val="es-MX"/>
    </w:rPr>
  </w:style>
  <w:style w:type="character" w:styleId="medium" w:customStyle="1">
    <w:name w:val="medium"/>
    <w:basedOn w:val="Fuentedeprrafopredeter"/>
    <w:rsid w:val="00354DB7"/>
  </w:style>
  <w:style w:type="table" w:styleId="Tablaconcuadrcula">
    <w:name w:val="Table Grid"/>
    <w:basedOn w:val="Tablanormal"/>
    <w:uiPriority w:val="59"/>
    <w:rsid w:val="00BB3AE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umeroconsecutivo" w:customStyle="1">
    <w:name w:val="numeroconsecutivo"/>
    <w:basedOn w:val="Fuentedeprrafopredeter"/>
    <w:rsid w:val="00615060"/>
  </w:style>
  <w:style w:type="character" w:styleId="titulorubrolgt" w:customStyle="1">
    <w:name w:val="titulorubrolgt"/>
    <w:basedOn w:val="Fuentedeprrafopredeter"/>
    <w:rsid w:val="00615060"/>
  </w:style>
  <w:style w:type="character" w:styleId="ctr" w:customStyle="1">
    <w:name w:val="ctr"/>
    <w:basedOn w:val="Fuentedeprrafopredeter"/>
    <w:rsid w:val="00615060"/>
  </w:style>
  <w:style w:type="paragraph" w:styleId="Textonotaalfinal">
    <w:name w:val="endnote text"/>
    <w:basedOn w:val="Normal"/>
    <w:link w:val="TextonotaalfinalCar"/>
    <w:uiPriority w:val="99"/>
    <w:semiHidden w:val="1"/>
    <w:unhideWhenUsed w:val="1"/>
    <w:rsid w:val="00D25E88"/>
    <w:rPr>
      <w:sz w:val="20"/>
      <w:szCs w:val="20"/>
    </w:rPr>
  </w:style>
  <w:style w:type="character" w:styleId="TextonotaalfinalCar" w:customStyle="1">
    <w:name w:val="Texto nota al final Car"/>
    <w:basedOn w:val="Fuentedeprrafopredeter"/>
    <w:link w:val="Textonotaalfinal"/>
    <w:uiPriority w:val="99"/>
    <w:semiHidden w:val="1"/>
    <w:rsid w:val="00D25E88"/>
    <w:rPr>
      <w:rFonts w:ascii="Times New Roman" w:cs="Times New Roman" w:eastAsia="Times New Roman" w:hAnsi="Times New Roman"/>
      <w:sz w:val="20"/>
      <w:szCs w:val="20"/>
      <w:lang w:val="es-ES"/>
    </w:rPr>
  </w:style>
  <w:style w:type="character" w:styleId="Refdenotaalfinal">
    <w:name w:val="endnote reference"/>
    <w:basedOn w:val="Fuentedeprrafopredeter"/>
    <w:uiPriority w:val="99"/>
    <w:semiHidden w:val="1"/>
    <w:unhideWhenUsed w:val="1"/>
    <w:rsid w:val="00D25E88"/>
    <w:rPr>
      <w:vertAlign w:val="superscript"/>
    </w:rPr>
  </w:style>
  <w:style w:type="character" w:styleId="A1" w:customStyle="1">
    <w:name w:val="A1"/>
    <w:uiPriority w:val="99"/>
    <w:rsid w:val="00EC4ECD"/>
    <w:rPr>
      <w:rFonts w:ascii="Myriad Pro" w:cs="Myriad Pro" w:hAnsi="Myriad Pro" w:hint="default"/>
      <w:color w:val="000000"/>
      <w:sz w:val="22"/>
      <w:szCs w:val="22"/>
    </w:rPr>
  </w:style>
  <w:style w:type="paragraph" w:styleId="Pa9" w:customStyle="1">
    <w:name w:val="Pa9"/>
    <w:basedOn w:val="Normal"/>
    <w:next w:val="Normal"/>
    <w:uiPriority w:val="99"/>
    <w:rsid w:val="00EC4ECD"/>
    <w:pPr>
      <w:autoSpaceDE w:val="0"/>
      <w:autoSpaceDN w:val="0"/>
      <w:adjustRightInd w:val="0"/>
      <w:spacing w:line="241" w:lineRule="atLeast"/>
    </w:pPr>
    <w:rPr>
      <w:rFonts w:ascii="Myriad Pro" w:hAnsi="Myriad Pro" w:cstheme="minorBidi" w:eastAsiaTheme="minorHAnsi"/>
      <w:lang w:eastAsia="en-US"/>
    </w:rPr>
  </w:style>
  <w:style w:type="paragraph" w:styleId="Pa5" w:customStyle="1">
    <w:name w:val="Pa5"/>
    <w:basedOn w:val="Normal"/>
    <w:next w:val="Normal"/>
    <w:uiPriority w:val="99"/>
    <w:rsid w:val="00EC4ECD"/>
    <w:pPr>
      <w:autoSpaceDE w:val="0"/>
      <w:autoSpaceDN w:val="0"/>
      <w:adjustRightInd w:val="0"/>
      <w:spacing w:line="201" w:lineRule="atLeast"/>
    </w:pPr>
    <w:rPr>
      <w:rFonts w:ascii="Myriad Pro" w:hAnsi="Myriad Pro" w:cstheme="minorBidi" w:eastAsiaTheme="minorHAnsi"/>
      <w:lang w:eastAsia="en-US"/>
    </w:rPr>
  </w:style>
  <w:style w:type="paragraph" w:styleId="m5127500252372250437gmail-paragraph" w:customStyle="1">
    <w:name w:val="m_5127500252372250437gmail-paragraph"/>
    <w:basedOn w:val="Normal"/>
    <w:rsid w:val="00980B7E"/>
    <w:pPr>
      <w:spacing w:after="100" w:afterAutospacing="1" w:before="100" w:beforeAutospacing="1"/>
    </w:pPr>
  </w:style>
  <w:style w:type="character" w:styleId="nombrefraccder" w:customStyle="1">
    <w:name w:val="nombrefraccder"/>
    <w:basedOn w:val="Fuentedeprrafopredeter"/>
    <w:rsid w:val="009B4A68"/>
  </w:style>
  <w:style w:type="character" w:styleId="numberfraccder" w:customStyle="1">
    <w:name w:val="numberfraccder"/>
    <w:basedOn w:val="Fuentedeprrafopredeter"/>
    <w:rsid w:val="009B4A68"/>
  </w:style>
  <w:style w:type="character" w:styleId="TextoCar" w:customStyle="1">
    <w:name w:val="Texto Car"/>
    <w:link w:val="Texto"/>
    <w:locked w:val="1"/>
    <w:rsid w:val="002B0963"/>
    <w:rPr>
      <w:rFonts w:ascii="Arial" w:cs="Arial" w:eastAsia="Times New Roman" w:hAnsi="Arial"/>
      <w:sz w:val="18"/>
      <w:szCs w:val="18"/>
      <w:lang w:val="es-MX"/>
    </w:rPr>
  </w:style>
  <w:style w:type="character" w:styleId="nfasis">
    <w:name w:val="Emphasis"/>
    <w:basedOn w:val="Fuentedeprrafopredeter"/>
    <w:uiPriority w:val="20"/>
    <w:qFormat w:val="1"/>
    <w:rsid w:val="00C536F2"/>
    <w:rPr>
      <w:i w:val="1"/>
      <w:iCs w:val="1"/>
    </w:rPr>
  </w:style>
  <w:style w:type="character" w:styleId="normaltextrun" w:customStyle="1">
    <w:name w:val="normaltextrun"/>
    <w:basedOn w:val="Fuentedeprrafopredeter"/>
    <w:rsid w:val="0011437B"/>
  </w:style>
  <w:style w:type="character" w:styleId="m5127500252372250437gmail-normaltextrun" w:customStyle="1">
    <w:name w:val="m_5127500252372250437gmail-normaltextrun"/>
    <w:basedOn w:val="Fuentedeprrafopredeter"/>
    <w:rsid w:val="0011437B"/>
  </w:style>
  <w:style w:type="paragraph" w:styleId="m-60081275284358516gmail-msolistparagraph" w:customStyle="1">
    <w:name w:val="m_-60081275284358516gmail-msolistparagraph"/>
    <w:basedOn w:val="Normal"/>
    <w:rsid w:val="00207C90"/>
    <w:pPr>
      <w:spacing w:after="100" w:afterAutospacing="1" w:before="100" w:beforeAutospacing="1"/>
    </w:pPr>
  </w:style>
  <w:style w:type="paragraph" w:styleId="ANOTACION" w:customStyle="1">
    <w:name w:val="ANOTACION"/>
    <w:basedOn w:val="Normal"/>
    <w:link w:val="ANOTACIONCar"/>
    <w:rsid w:val="001B5A73"/>
    <w:pPr>
      <w:spacing w:after="101" w:before="101" w:line="216" w:lineRule="atLeast"/>
      <w:jc w:val="center"/>
    </w:pPr>
    <w:rPr>
      <w:b w:val="1"/>
      <w:sz w:val="18"/>
      <w:szCs w:val="20"/>
      <w:lang w:val="es-ES_tradnl"/>
    </w:rPr>
  </w:style>
  <w:style w:type="character" w:styleId="ANOTACIONCar" w:customStyle="1">
    <w:name w:val="ANOTACION Car"/>
    <w:link w:val="ANOTACION"/>
    <w:locked w:val="1"/>
    <w:rsid w:val="001B5A73"/>
    <w:rPr>
      <w:rFonts w:ascii="Times New Roman" w:cs="Times New Roman" w:eastAsia="Times New Roman" w:hAnsi="Times New Roman"/>
      <w:b w:val="1"/>
      <w:sz w:val="18"/>
      <w:szCs w:val="20"/>
    </w:rPr>
  </w:style>
  <w:style w:type="paragraph" w:styleId="j" w:customStyle="1">
    <w:name w:val="j"/>
    <w:basedOn w:val="Normal"/>
    <w:rsid w:val="007B00BD"/>
    <w:pPr>
      <w:spacing w:after="100" w:afterAutospacing="1" w:before="100" w:beforeAutospacing="1"/>
    </w:pPr>
  </w:style>
  <w:style w:type="character" w:styleId="nacep" w:customStyle="1">
    <w:name w:val="n_acep"/>
    <w:basedOn w:val="Fuentedeprrafopredeter"/>
    <w:rsid w:val="007B00BD"/>
  </w:style>
  <w:style w:type="paragraph" w:styleId="k5" w:customStyle="1">
    <w:name w:val="k5"/>
    <w:basedOn w:val="Normal"/>
    <w:rsid w:val="007B00BD"/>
    <w:pPr>
      <w:spacing w:after="100" w:afterAutospacing="1" w:before="100" w:beforeAutospacing="1"/>
    </w:pPr>
  </w:style>
  <w:style w:type="paragraph" w:styleId="m" w:customStyle="1">
    <w:name w:val="m"/>
    <w:basedOn w:val="Normal"/>
    <w:rsid w:val="007B00BD"/>
    <w:pPr>
      <w:spacing w:after="100" w:afterAutospacing="1" w:before="100" w:beforeAutospacing="1"/>
    </w:pPr>
  </w:style>
  <w:style w:type="character" w:styleId="Refdecomentario">
    <w:name w:val="annotation reference"/>
    <w:basedOn w:val="Fuentedeprrafopredeter"/>
    <w:uiPriority w:val="99"/>
    <w:semiHidden w:val="1"/>
    <w:unhideWhenUsed w:val="1"/>
    <w:rsid w:val="003219FE"/>
    <w:rPr>
      <w:sz w:val="16"/>
      <w:szCs w:val="16"/>
    </w:rPr>
  </w:style>
  <w:style w:type="paragraph" w:styleId="Textocomentario">
    <w:name w:val="annotation text"/>
    <w:basedOn w:val="Normal"/>
    <w:link w:val="TextocomentarioCar"/>
    <w:uiPriority w:val="99"/>
    <w:semiHidden w:val="1"/>
    <w:unhideWhenUsed w:val="1"/>
    <w:rsid w:val="003219FE"/>
    <w:rPr>
      <w:sz w:val="20"/>
      <w:szCs w:val="20"/>
    </w:rPr>
  </w:style>
  <w:style w:type="character" w:styleId="TextocomentarioCar" w:customStyle="1">
    <w:name w:val="Texto comentario Car"/>
    <w:basedOn w:val="Fuentedeprrafopredeter"/>
    <w:link w:val="Textocomentario"/>
    <w:uiPriority w:val="99"/>
    <w:semiHidden w:val="1"/>
    <w:rsid w:val="003219FE"/>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3219FE"/>
    <w:rPr>
      <w:b w:val="1"/>
      <w:bCs w:val="1"/>
    </w:rPr>
  </w:style>
  <w:style w:type="character" w:styleId="AsuntodelcomentarioCar" w:customStyle="1">
    <w:name w:val="Asunto del comentario Car"/>
    <w:basedOn w:val="TextocomentarioCar"/>
    <w:link w:val="Asuntodelcomentario"/>
    <w:uiPriority w:val="99"/>
    <w:semiHidden w:val="1"/>
    <w:rsid w:val="003219FE"/>
    <w:rPr>
      <w:rFonts w:ascii="Times New Roman" w:cs="Times New Roman" w:eastAsia="Times New Roman" w:hAnsi="Times New Roman"/>
      <w:b w:val="1"/>
      <w:bCs w:val="1"/>
      <w:sz w:val="20"/>
      <w:szCs w:val="20"/>
      <w:lang w:val="es-ES"/>
    </w:rPr>
  </w:style>
  <w:style w:type="paragraph" w:styleId="FAFunotente1" w:customStyle="1">
    <w:name w:val="FA Fu?notente1"/>
    <w:basedOn w:val="Normal"/>
    <w:next w:val="Textonotapie"/>
    <w:uiPriority w:val="99"/>
    <w:unhideWhenUsed w:val="1"/>
    <w:rsid w:val="00A403D3"/>
    <w:rPr>
      <w:rFonts w:eastAsia="Cambria" w:asciiTheme="minorHAnsi" w:cstheme="minorBidi" w:hAnsiTheme="minorHAnsi"/>
      <w:sz w:val="20"/>
      <w:szCs w:val="20"/>
      <w:lang w:eastAsia="en-US"/>
    </w:rPr>
  </w:style>
  <w:style w:type="character" w:styleId="Ttulo1Car" w:customStyle="1">
    <w:name w:val="Título 1 Car"/>
    <w:basedOn w:val="Fuentedeprrafopredeter"/>
    <w:link w:val="Ttulo1"/>
    <w:uiPriority w:val="9"/>
    <w:rsid w:val="00603D72"/>
    <w:rPr>
      <w:rFonts w:asciiTheme="majorHAnsi" w:cstheme="majorBidi" w:eastAsiaTheme="majorEastAsia" w:hAnsiTheme="majorHAnsi"/>
      <w:color w:val="365f91" w:themeColor="accent1" w:themeShade="0000BF"/>
      <w:sz w:val="32"/>
      <w:szCs w:val="32"/>
      <w:lang w:val="es-ES"/>
    </w:rPr>
  </w:style>
  <w:style w:type="character" w:styleId="Ttulo2Car" w:customStyle="1">
    <w:name w:val="Título 2 Car"/>
    <w:basedOn w:val="Fuentedeprrafopredeter"/>
    <w:link w:val="Ttulo2"/>
    <w:uiPriority w:val="9"/>
    <w:rsid w:val="00603D72"/>
    <w:rPr>
      <w:rFonts w:asciiTheme="majorHAnsi" w:cstheme="majorBidi" w:eastAsiaTheme="majorEastAsia" w:hAnsiTheme="majorHAnsi"/>
      <w:color w:val="365f91" w:themeColor="accent1" w:themeShade="0000BF"/>
      <w:sz w:val="26"/>
      <w:szCs w:val="26"/>
      <w:lang w:val="es-ES"/>
    </w:rPr>
  </w:style>
  <w:style w:type="paragraph" w:styleId="Lista">
    <w:name w:val="List"/>
    <w:basedOn w:val="Normal"/>
    <w:uiPriority w:val="99"/>
    <w:unhideWhenUsed w:val="1"/>
    <w:rsid w:val="00603D72"/>
    <w:pPr>
      <w:ind w:left="283" w:hanging="283"/>
      <w:contextualSpacing w:val="1"/>
    </w:pPr>
  </w:style>
  <w:style w:type="paragraph" w:styleId="Lista2">
    <w:name w:val="List 2"/>
    <w:basedOn w:val="Normal"/>
    <w:uiPriority w:val="99"/>
    <w:unhideWhenUsed w:val="1"/>
    <w:rsid w:val="00603D72"/>
    <w:pPr>
      <w:ind w:left="566" w:hanging="283"/>
      <w:contextualSpacing w:val="1"/>
    </w:pPr>
  </w:style>
  <w:style w:type="paragraph" w:styleId="Lista3">
    <w:name w:val="List 3"/>
    <w:basedOn w:val="Normal"/>
    <w:uiPriority w:val="99"/>
    <w:unhideWhenUsed w:val="1"/>
    <w:rsid w:val="00603D72"/>
    <w:pPr>
      <w:ind w:left="849" w:hanging="283"/>
      <w:contextualSpacing w:val="1"/>
    </w:pPr>
  </w:style>
  <w:style w:type="paragraph" w:styleId="Listaconvietas3">
    <w:name w:val="List Bullet 3"/>
    <w:basedOn w:val="Normal"/>
    <w:uiPriority w:val="99"/>
    <w:unhideWhenUsed w:val="1"/>
    <w:rsid w:val="00603D72"/>
    <w:pPr>
      <w:numPr>
        <w:numId w:val="2"/>
      </w:numPr>
      <w:contextualSpacing w:val="1"/>
    </w:pPr>
  </w:style>
  <w:style w:type="paragraph" w:styleId="Continuarlista">
    <w:name w:val="List Continue"/>
    <w:basedOn w:val="Normal"/>
    <w:uiPriority w:val="99"/>
    <w:unhideWhenUsed w:val="1"/>
    <w:rsid w:val="00603D72"/>
    <w:pPr>
      <w:spacing w:after="120"/>
      <w:ind w:left="283"/>
      <w:contextualSpacing w:val="1"/>
    </w:pPr>
  </w:style>
  <w:style w:type="paragraph" w:styleId="Continuarlista2">
    <w:name w:val="List Continue 2"/>
    <w:basedOn w:val="Normal"/>
    <w:uiPriority w:val="99"/>
    <w:unhideWhenUsed w:val="1"/>
    <w:rsid w:val="00603D72"/>
    <w:pPr>
      <w:spacing w:after="120"/>
      <w:ind w:left="566"/>
      <w:contextualSpacing w:val="1"/>
    </w:pPr>
  </w:style>
  <w:style w:type="paragraph" w:styleId="Textoindependiente">
    <w:name w:val="Body Text"/>
    <w:basedOn w:val="Normal"/>
    <w:link w:val="TextoindependienteCar"/>
    <w:uiPriority w:val="99"/>
    <w:unhideWhenUsed w:val="1"/>
    <w:rsid w:val="00603D72"/>
    <w:pPr>
      <w:spacing w:after="120"/>
    </w:pPr>
  </w:style>
  <w:style w:type="character" w:styleId="TextoindependienteCar" w:customStyle="1">
    <w:name w:val="Texto independiente Car"/>
    <w:basedOn w:val="Fuentedeprrafopredeter"/>
    <w:link w:val="Textoindependiente"/>
    <w:uiPriority w:val="99"/>
    <w:rsid w:val="00603D72"/>
    <w:rPr>
      <w:rFonts w:ascii="Times New Roman" w:cs="Times New Roman" w:eastAsia="Times New Roman" w:hAnsi="Times New Roman"/>
      <w:lang w:val="es-ES"/>
    </w:rPr>
  </w:style>
  <w:style w:type="paragraph" w:styleId="Sangradetextonormal">
    <w:name w:val="Body Text Indent"/>
    <w:basedOn w:val="Normal"/>
    <w:link w:val="SangradetextonormalCar"/>
    <w:uiPriority w:val="99"/>
    <w:semiHidden w:val="1"/>
    <w:unhideWhenUsed w:val="1"/>
    <w:rsid w:val="00603D72"/>
    <w:pPr>
      <w:spacing w:after="120"/>
      <w:ind w:left="283"/>
    </w:pPr>
  </w:style>
  <w:style w:type="character" w:styleId="SangradetextonormalCar" w:customStyle="1">
    <w:name w:val="Sangría de texto normal Car"/>
    <w:basedOn w:val="Fuentedeprrafopredeter"/>
    <w:link w:val="Sangradetextonormal"/>
    <w:uiPriority w:val="99"/>
    <w:semiHidden w:val="1"/>
    <w:rsid w:val="00603D72"/>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603D7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603D72"/>
    <w:rPr>
      <w:rFonts w:ascii="Times New Roman" w:cs="Times New Roman" w:eastAsia="Times New Roman" w:hAnsi="Times New Roman"/>
      <w:lang w:val="es-ES"/>
    </w:rPr>
  </w:style>
  <w:style w:type="paragraph" w:styleId="paragraph" w:customStyle="1">
    <w:name w:val="paragraph"/>
    <w:basedOn w:val="Normal"/>
    <w:rsid w:val="00E34821"/>
    <w:pPr>
      <w:spacing w:after="100" w:afterAutospacing="1" w:before="100" w:beforeAutospacing="1"/>
    </w:pPr>
  </w:style>
  <w:style w:type="paragraph" w:styleId="n2" w:customStyle="1">
    <w:name w:val="n2"/>
    <w:basedOn w:val="Normal"/>
    <w:rsid w:val="009D307C"/>
    <w:pPr>
      <w:spacing w:after="100" w:afterAutospacing="1" w:before="100" w:beforeAutospacing="1"/>
    </w:pPr>
  </w:style>
  <w:style w:type="character" w:styleId="u" w:customStyle="1">
    <w:name w:val="u"/>
    <w:basedOn w:val="Fuentedeprrafopredeter"/>
    <w:rsid w:val="009D307C"/>
  </w:style>
  <w:style w:type="paragraph" w:styleId="j1" w:customStyle="1">
    <w:name w:val="j1"/>
    <w:basedOn w:val="Normal"/>
    <w:rsid w:val="009D307C"/>
    <w:pPr>
      <w:spacing w:after="100" w:afterAutospacing="1" w:before="100" w:beforeAutospacing="1"/>
    </w:pPr>
  </w:style>
  <w:style w:type="paragraph" w:styleId="j2" w:customStyle="1">
    <w:name w:val="j2"/>
    <w:basedOn w:val="Normal"/>
    <w:rsid w:val="009D307C"/>
    <w:pPr>
      <w:spacing w:after="100" w:afterAutospacing="1" w:before="100" w:before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encinsinresolver1" w:customStyle="1">
    <w:name w:val="Mención sin resolver1"/>
    <w:basedOn w:val="Fuentedeprrafopredeter"/>
    <w:uiPriority w:val="99"/>
    <w:semiHidden w:val="1"/>
    <w:unhideWhenUsed w:val="1"/>
    <w:rsid w:val="00457753"/>
    <w:rPr>
      <w:color w:val="605e5c"/>
      <w:shd w:color="auto" w:fill="e1dfdd" w:val="clear"/>
    </w:rPr>
  </w:style>
  <w:style w:type="character" w:styleId="Mencinsinresolver2" w:customStyle="1">
    <w:name w:val="Mención sin resolver2"/>
    <w:basedOn w:val="Fuentedeprrafopredeter"/>
    <w:uiPriority w:val="99"/>
    <w:semiHidden w:val="1"/>
    <w:unhideWhenUsed w:val="1"/>
    <w:rsid w:val="00CE48D4"/>
    <w:rPr>
      <w:color w:val="605e5c"/>
      <w:shd w:color="auto" w:fill="e1dfdd" w:val="clear"/>
    </w:rPr>
  </w:style>
  <w:style w:type="table" w:styleId="Tabladelista1clara-nfasis11" w:customStyle="1">
    <w:name w:val="Tabla de lista 1 clara - Énfasis 11"/>
    <w:basedOn w:val="Tablanormal"/>
    <w:uiPriority w:val="46"/>
    <w:rsid w:val="008F79FD"/>
    <w:rPr>
      <w:rFonts w:eastAsia="MS Mincho"/>
    </w:rPr>
    <w:tblPr>
      <w:tblStyleRowBandSize w:val="1"/>
      <w:tblStyleColBandSize w:val="1"/>
    </w:tblPr>
    <w:tblStylePr w:type="firstRow">
      <w:rPr>
        <w:b w:val="1"/>
        <w:bCs w:val="1"/>
      </w:rPr>
      <w:tblPr/>
      <w:tcPr>
        <w:tcBorders>
          <w:bottom w:color="95b3d7" w:space="0" w:sz="4" w:val="single"/>
        </w:tcBorders>
      </w:tcPr>
    </w:tblStylePr>
    <w:tblStylePr w:type="lastRow">
      <w:rPr>
        <w:b w:val="1"/>
        <w:bCs w:val="1"/>
      </w:rPr>
      <w:tblPr/>
      <w:tcPr>
        <w:tcBorders>
          <w:top w:color="95b3d7" w:space="0" w:sz="4" w:val="single"/>
        </w:tcBorders>
      </w:tcPr>
    </w:tblStylePr>
    <w:tblStylePr w:type="firstCol">
      <w:rPr>
        <w:b w:val="1"/>
        <w:bCs w:val="1"/>
      </w:rPr>
    </w:tblStylePr>
    <w:tblStylePr w:type="lastCol">
      <w:rPr>
        <w:b w:val="1"/>
        <w:bCs w:val="1"/>
      </w:rPr>
    </w:tblStylePr>
    <w:tblStylePr w:type="band1Vert">
      <w:tblPr/>
      <w:tcPr>
        <w:shd w:color="auto" w:fill="dbe5f1" w:val="clear"/>
      </w:tcPr>
    </w:tblStylePr>
    <w:tblStylePr w:type="band1Horz">
      <w:tblPr/>
      <w:tcPr>
        <w:shd w:color="auto" w:fill="dbe5f1" w:val="clear"/>
      </w:tcPr>
    </w:tblStylePr>
  </w:style>
  <w:style w:type="character" w:styleId="Ttulo3Car" w:customStyle="1">
    <w:name w:val="Título 3 Car"/>
    <w:basedOn w:val="Fuentedeprrafopredeter"/>
    <w:link w:val="Ttulo3"/>
    <w:uiPriority w:val="9"/>
    <w:semiHidden w:val="1"/>
    <w:rsid w:val="003B73CD"/>
    <w:rPr>
      <w:rFonts w:asciiTheme="majorHAnsi" w:cstheme="majorBidi" w:eastAsiaTheme="majorEastAsia" w:hAnsiTheme="majorHAnsi"/>
      <w:b w:val="1"/>
      <w:bCs w:val="1"/>
      <w:sz w:val="26"/>
      <w:szCs w:val="26"/>
      <w:lang w:eastAsia="en-US" w:val="en-US"/>
    </w:rPr>
  </w:style>
  <w:style w:type="character" w:styleId="Ttulo4Car" w:customStyle="1">
    <w:name w:val="Título 4 Car"/>
    <w:basedOn w:val="Fuentedeprrafopredeter"/>
    <w:link w:val="Ttulo4"/>
    <w:uiPriority w:val="9"/>
    <w:semiHidden w:val="1"/>
    <w:rsid w:val="003B73CD"/>
    <w:rPr>
      <w:b w:val="1"/>
      <w:bCs w:val="1"/>
      <w:sz w:val="28"/>
      <w:szCs w:val="28"/>
      <w:lang w:eastAsia="en-US" w:val="en-US"/>
    </w:rPr>
  </w:style>
  <w:style w:type="character" w:styleId="Ttulo5Car" w:customStyle="1">
    <w:name w:val="Título 5 Car"/>
    <w:basedOn w:val="Fuentedeprrafopredeter"/>
    <w:link w:val="Ttulo5"/>
    <w:uiPriority w:val="9"/>
    <w:semiHidden w:val="1"/>
    <w:rsid w:val="003B73CD"/>
    <w:rPr>
      <w:b w:val="1"/>
      <w:bCs w:val="1"/>
      <w:i w:val="1"/>
      <w:iCs w:val="1"/>
      <w:sz w:val="26"/>
      <w:szCs w:val="26"/>
      <w:lang w:eastAsia="en-US" w:val="en-US"/>
    </w:rPr>
  </w:style>
  <w:style w:type="character" w:styleId="Ttulo6Car" w:customStyle="1">
    <w:name w:val="Título 6 Car"/>
    <w:basedOn w:val="Fuentedeprrafopredeter"/>
    <w:link w:val="Ttulo6"/>
    <w:semiHidden w:val="1"/>
    <w:rsid w:val="003B73CD"/>
    <w:rPr>
      <w:rFonts w:ascii="Times New Roman" w:cs="Times New Roman" w:eastAsia="Times New Roman" w:hAnsi="Times New Roman"/>
      <w:b w:val="1"/>
      <w:bCs w:val="1"/>
      <w:sz w:val="22"/>
      <w:szCs w:val="22"/>
      <w:lang w:eastAsia="en-US" w:val="en-US"/>
    </w:rPr>
  </w:style>
  <w:style w:type="character" w:styleId="Ttulo7Car" w:customStyle="1">
    <w:name w:val="Título 7 Car"/>
    <w:basedOn w:val="Fuentedeprrafopredeter"/>
    <w:link w:val="Ttulo7"/>
    <w:uiPriority w:val="9"/>
    <w:semiHidden w:val="1"/>
    <w:rsid w:val="003B73CD"/>
    <w:rPr>
      <w:lang w:eastAsia="en-US" w:val="en-US"/>
    </w:rPr>
  </w:style>
  <w:style w:type="character" w:styleId="Ttulo8Car" w:customStyle="1">
    <w:name w:val="Título 8 Car"/>
    <w:basedOn w:val="Fuentedeprrafopredeter"/>
    <w:link w:val="Ttulo8"/>
    <w:uiPriority w:val="9"/>
    <w:semiHidden w:val="1"/>
    <w:rsid w:val="003B73CD"/>
    <w:rPr>
      <w:i w:val="1"/>
      <w:iCs w:val="1"/>
      <w:lang w:eastAsia="en-US" w:val="en-US"/>
    </w:rPr>
  </w:style>
  <w:style w:type="character" w:styleId="Ttulo9Car" w:customStyle="1">
    <w:name w:val="Título 9 Car"/>
    <w:basedOn w:val="Fuentedeprrafopredeter"/>
    <w:link w:val="Ttulo9"/>
    <w:uiPriority w:val="9"/>
    <w:semiHidden w:val="1"/>
    <w:rsid w:val="003B73CD"/>
    <w:rPr>
      <w:rFonts w:asciiTheme="majorHAnsi" w:cstheme="majorBidi" w:eastAsiaTheme="majorEastAsia" w:hAnsiTheme="majorHAnsi"/>
      <w:sz w:val="22"/>
      <w:szCs w:val="22"/>
      <w:lang w:eastAsia="en-US" w:val="en-U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5" w:customStyle="1">
    <w:name w:val="5"/>
    <w:basedOn w:val="TableNormal10"/>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4" w:customStyle="1">
    <w:name w:val="4"/>
    <w:basedOn w:val="TableNormal10"/>
    <w:tblPr>
      <w:tblStyleRowBandSize w:val="1"/>
      <w:tblStyleColBandSize w:val="1"/>
      <w:tblCellMar>
        <w:left w:w="115.0" w:type="dxa"/>
        <w:right w:w="115.0" w:type="dxa"/>
      </w:tblCellMar>
    </w:tblPr>
  </w:style>
  <w:style w:type="table" w:styleId="3" w:customStyle="1">
    <w:name w:val="3"/>
    <w:basedOn w:val="TableNormal10"/>
    <w:tblPr>
      <w:tblStyleRowBandSize w:val="1"/>
      <w:tblStyleColBandSize w:val="1"/>
      <w:tblCellMar>
        <w:left w:w="115.0" w:type="dxa"/>
        <w:right w:w="115.0" w:type="dxa"/>
      </w:tblCellMar>
    </w:tblPr>
  </w:style>
  <w:style w:type="character" w:styleId="Mencinsinresolver3" w:customStyle="1">
    <w:name w:val="Mención sin resolver3"/>
    <w:basedOn w:val="Fuentedeprrafopredeter"/>
    <w:uiPriority w:val="99"/>
    <w:semiHidden w:val="1"/>
    <w:unhideWhenUsed w:val="1"/>
    <w:rsid w:val="0094565C"/>
    <w:rPr>
      <w:color w:val="605e5c"/>
      <w:shd w:color="auto" w:fill="e1dfdd" w:val="clear"/>
    </w:rPr>
  </w:style>
  <w:style w:type="table" w:styleId="2" w:customStyle="1">
    <w:name w:val="2"/>
    <w:basedOn w:val="TableNormal10"/>
    <w:tblPr>
      <w:tblStyleRowBandSize w:val="1"/>
      <w:tblStyleColBandSize w:val="1"/>
      <w:tblCellMar>
        <w:left w:w="115.0" w:type="dxa"/>
        <w:right w:w="115.0" w:type="dxa"/>
      </w:tblCellMar>
    </w:tblPr>
  </w:style>
  <w:style w:type="table" w:styleId="1" w:customStyle="1">
    <w:name w:val="1"/>
    <w:basedOn w:val="TableNormal10"/>
    <w:tblPr>
      <w:tblStyleRowBandSize w:val="1"/>
      <w:tblStyleColBandSize w:val="1"/>
      <w:tblCellMar>
        <w:left w:w="115.0" w:type="dxa"/>
        <w:right w:w="115.0" w:type="dxa"/>
      </w:tblCellMar>
    </w:tblPr>
  </w:style>
  <w:style w:type="table" w:styleId="9" w:customStyle="1">
    <w:name w:val="9"/>
    <w:basedOn w:val="TableNormal20"/>
    <w:tblPr>
      <w:tblStyleRowBandSize w:val="1"/>
      <w:tblStyleColBandSize w:val="1"/>
      <w:tblCellMar>
        <w:left w:w="115.0" w:type="dxa"/>
        <w:right w:w="115.0" w:type="dxa"/>
      </w:tblCellMar>
    </w:tblPr>
  </w:style>
  <w:style w:type="table" w:styleId="8" w:customStyle="1">
    <w:name w:val="8"/>
    <w:basedOn w:val="TableNormal20"/>
    <w:tblPr>
      <w:tblStyleRowBandSize w:val="1"/>
      <w:tblStyleColBandSize w:val="1"/>
      <w:tblCellMar>
        <w:left w:w="115.0" w:type="dxa"/>
        <w:right w:w="115.0" w:type="dxa"/>
      </w:tblCellMar>
    </w:tblPr>
  </w:style>
  <w:style w:type="table" w:styleId="7" w:customStyle="1">
    <w:name w:val="7"/>
    <w:basedOn w:val="TableNormal30"/>
    <w:tblPr>
      <w:tblStyleRowBandSize w:val="1"/>
      <w:tblStyleColBandSize w:val="1"/>
      <w:tblCellMar>
        <w:left w:w="115.0" w:type="dxa"/>
        <w:right w:w="115.0" w:type="dxa"/>
      </w:tblCellMar>
    </w:tblPr>
  </w:style>
  <w:style w:type="table" w:styleId="6" w:customStyle="1">
    <w:name w:val="6"/>
    <w:basedOn w:val="TableNormal30"/>
    <w:tblPr>
      <w:tblStyleRowBandSize w:val="1"/>
      <w:tblStyleColBandSize w:val="1"/>
      <w:tblCellMar>
        <w:left w:w="115.0" w:type="dxa"/>
        <w:right w:w="115.0" w:type="dxa"/>
      </w:tblCellMar>
    </w:tblPr>
  </w:style>
  <w:style w:type="table" w:styleId="20" w:customStyle="1">
    <w:name w:val="20"/>
    <w:basedOn w:val="TableNormal4"/>
    <w:tblPr>
      <w:tblStyleRowBandSize w:val="1"/>
      <w:tblStyleColBandSize w:val="1"/>
      <w:tblCellMar>
        <w:left w:w="115.0" w:type="dxa"/>
        <w:right w:w="115.0" w:type="dxa"/>
      </w:tblCellMar>
    </w:tblPr>
  </w:style>
  <w:style w:type="table" w:styleId="19" w:customStyle="1">
    <w:name w:val="19"/>
    <w:basedOn w:val="TableNormal4"/>
    <w:tblPr>
      <w:tblStyleRowBandSize w:val="1"/>
      <w:tblStyleColBandSize w:val="1"/>
      <w:tblCellMar>
        <w:left w:w="115.0" w:type="dxa"/>
        <w:right w:w="115.0" w:type="dxa"/>
      </w:tblCellMar>
    </w:tblPr>
  </w:style>
  <w:style w:type="table" w:styleId="18" w:customStyle="1">
    <w:name w:val="18"/>
    <w:basedOn w:val="TableNormal5"/>
    <w:tblPr>
      <w:tblStyleRowBandSize w:val="1"/>
      <w:tblStyleColBandSize w:val="1"/>
      <w:tblCellMar>
        <w:left w:w="115.0" w:type="dxa"/>
        <w:right w:w="115.0" w:type="dxa"/>
      </w:tblCellMar>
    </w:tblPr>
  </w:style>
  <w:style w:type="table" w:styleId="17" w:customStyle="1">
    <w:name w:val="17"/>
    <w:basedOn w:val="TableNormal5"/>
    <w:tblPr>
      <w:tblStyleRowBandSize w:val="1"/>
      <w:tblStyleColBandSize w:val="1"/>
      <w:tblCellMar>
        <w:left w:w="115.0" w:type="dxa"/>
        <w:right w:w="115.0" w:type="dxa"/>
      </w:tblCellMar>
    </w:tblPr>
  </w:style>
  <w:style w:type="table" w:styleId="16" w:customStyle="1">
    <w:name w:val="16"/>
    <w:basedOn w:val="TableNormal6"/>
    <w:tblPr>
      <w:tblStyleRowBandSize w:val="1"/>
      <w:tblStyleColBandSize w:val="1"/>
      <w:tblCellMar>
        <w:left w:w="115.0" w:type="dxa"/>
        <w:right w:w="115.0" w:type="dxa"/>
      </w:tblCellMar>
    </w:tblPr>
  </w:style>
  <w:style w:type="table" w:styleId="15" w:customStyle="1">
    <w:name w:val="15"/>
    <w:basedOn w:val="TableNormal6"/>
    <w:tblPr>
      <w:tblStyleRowBandSize w:val="1"/>
      <w:tblStyleColBandSize w:val="1"/>
      <w:tblCellMar>
        <w:left w:w="115.0" w:type="dxa"/>
        <w:right w:w="115.0" w:type="dxa"/>
      </w:tblCellMar>
    </w:tblPr>
  </w:style>
  <w:style w:type="table" w:styleId="14" w:customStyle="1">
    <w:name w:val="14"/>
    <w:basedOn w:val="TableNormal7"/>
    <w:tblPr>
      <w:tblStyleRowBandSize w:val="1"/>
      <w:tblStyleColBandSize w:val="1"/>
      <w:tblCellMar>
        <w:left w:w="115.0" w:type="dxa"/>
        <w:right w:w="115.0" w:type="dxa"/>
      </w:tblCellMar>
    </w:tblPr>
  </w:style>
  <w:style w:type="table" w:styleId="13" w:customStyle="1">
    <w:name w:val="13"/>
    <w:basedOn w:val="TableNormal7"/>
    <w:tblPr>
      <w:tblStyleRowBandSize w:val="1"/>
      <w:tblStyleColBandSize w:val="1"/>
      <w:tblCellMar>
        <w:left w:w="115.0" w:type="dxa"/>
        <w:right w:w="115.0" w:type="dxa"/>
      </w:tblCellMar>
    </w:tblPr>
  </w:style>
  <w:style w:type="character" w:styleId="rse6dlih" w:customStyle="1">
    <w:name w:val="rse6dlih"/>
    <w:basedOn w:val="Fuentedeprrafopredeter"/>
    <w:rsid w:val="00190860"/>
  </w:style>
  <w:style w:type="table" w:styleId="12" w:customStyle="1">
    <w:name w:val="12"/>
    <w:basedOn w:val="TableNormal8"/>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11" w:customStyle="1">
    <w:name w:val="11"/>
    <w:basedOn w:val="TableNormal8"/>
    <w:tblPr>
      <w:tblStyleRowBandSize w:val="1"/>
      <w:tblStyleColBandSize w:val="1"/>
      <w:tblCellMar>
        <w:left w:w="115.0" w:type="dxa"/>
        <w:right w:w="115.0" w:type="dxa"/>
      </w:tblCellMar>
    </w:tblPr>
  </w:style>
  <w:style w:type="table" w:styleId="10" w:customStyle="1">
    <w:name w:val="10"/>
    <w:basedOn w:val="TableNormal8"/>
    <w:tblPr>
      <w:tblStyleRowBandSize w:val="1"/>
      <w:tblStyleColBandSize w:val="1"/>
      <w:tblCellMar>
        <w:left w:w="115.0" w:type="dxa"/>
        <w:right w:w="115.0" w:type="dxa"/>
      </w:tblCellMar>
    </w:tblPr>
  </w:style>
  <w:style w:type="table" w:styleId="24" w:customStyle="1">
    <w:name w:val="24"/>
    <w:basedOn w:val="TableNormal9"/>
    <w:tblPr>
      <w:tblStyleRowBandSize w:val="1"/>
      <w:tblStyleColBandSize w:val="1"/>
      <w:tblCellMar>
        <w:left w:w="115.0" w:type="dxa"/>
        <w:right w:w="115.0" w:type="dxa"/>
      </w:tblCellMar>
    </w:tblPr>
  </w:style>
  <w:style w:type="table" w:styleId="23" w:customStyle="1">
    <w:name w:val="23"/>
    <w:basedOn w:val="TableNormal9"/>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22" w:customStyle="1">
    <w:name w:val="22"/>
    <w:basedOn w:val="TableNormal9"/>
    <w:tblPr>
      <w:tblStyleRowBandSize w:val="1"/>
      <w:tblStyleColBandSize w:val="1"/>
      <w:tblCellMar>
        <w:left w:w="115.0" w:type="dxa"/>
        <w:right w:w="115.0" w:type="dxa"/>
      </w:tblCellMar>
    </w:tblPr>
  </w:style>
  <w:style w:type="table" w:styleId="21" w:customStyle="1">
    <w:name w:val="21"/>
    <w:basedOn w:val="TableNormal9"/>
    <w:tblPr>
      <w:tblStyleRowBandSize w:val="1"/>
      <w:tblStyleColBandSize w:val="1"/>
      <w:tblCellMar>
        <w:left w:w="115.0" w:type="dxa"/>
        <w:right w:w="115.0" w:type="dxa"/>
      </w:tblCellMar>
    </w:tblPr>
  </w:style>
  <w:style w:type="table" w:styleId="a" w:customStyle="1">
    <w:basedOn w:val="TableNormal3"/>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3"/>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2"/>
    <w:tblPr>
      <w:tblStyleRowBandSize w:val="1"/>
      <w:tblStyleColBandSize w:val="1"/>
      <w:tblCellMar>
        <w:left w:w="115.0" w:type="dxa"/>
        <w:right w:w="115.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4" w:customStyle="1">
    <w:basedOn w:val="TableNormal2"/>
    <w:tblPr>
      <w:tblStyleRowBandSize w:val="1"/>
      <w:tblStyleColBandSize w:val="1"/>
      <w:tblCellMar>
        <w:left w:w="115.0" w:type="dxa"/>
        <w:right w:w="115.0" w:type="dxa"/>
      </w:tblCellMar>
    </w:tblPr>
  </w:style>
  <w:style w:type="table" w:styleId="a5" w:customStyle="1">
    <w:basedOn w:val="TableNormal2"/>
    <w:tblPr>
      <w:tblStyleRowBandSize w:val="1"/>
      <w:tblStyleColBandSize w:val="1"/>
      <w:tblCellMar>
        <w:left w:w="115.0" w:type="dxa"/>
        <w:right w:w="115.0" w:type="dxa"/>
      </w:tblCellMar>
    </w:tblPr>
  </w:style>
  <w:style w:type="table" w:styleId="a6" w:customStyle="1">
    <w:basedOn w:val="TableNormal1"/>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7" w:customStyle="1">
    <w:basedOn w:val="TableNormal1"/>
    <w:tblPr>
      <w:tblStyleRowBandSize w:val="1"/>
      <w:tblStyleColBandSize w:val="1"/>
      <w:tblCellMar>
        <w:left w:w="115.0" w:type="dxa"/>
        <w:right w:w="115.0" w:type="dxa"/>
      </w:tblCellMar>
    </w:tblPr>
  </w:style>
  <w:style w:type="table" w:styleId="a8" w:customStyle="1">
    <w:basedOn w:val="TableNormal1"/>
    <w:tblPr>
      <w:tblStyleRowBandSize w:val="1"/>
      <w:tblStyleColBandSize w:val="1"/>
      <w:tblCellMar>
        <w:left w:w="115.0" w:type="dxa"/>
        <w:right w:w="115.0" w:type="dxa"/>
      </w:tblCellMar>
    </w:tblPr>
  </w:style>
  <w:style w:type="character" w:styleId="Mencinsinresolver4" w:customStyle="1">
    <w:name w:val="Mención sin resolver4"/>
    <w:basedOn w:val="Fuentedeprrafopredeter"/>
    <w:uiPriority w:val="99"/>
    <w:semiHidden w:val="1"/>
    <w:unhideWhenUsed w:val="1"/>
    <w:rsid w:val="00B70D09"/>
    <w:rPr>
      <w:color w:val="605e5c"/>
      <w:shd w:color="auto" w:fill="e1dfdd" w:val="clear"/>
    </w:rPr>
  </w:style>
  <w:style w:type="table" w:styleId="a9" w:customStyle="1">
    <w:basedOn w:val="TableNormal0"/>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a" w:customStyle="1">
    <w:basedOn w:val="TableNormal0"/>
    <w:tblPr>
      <w:tblStyleRowBandSize w:val="1"/>
      <w:tblStyleColBandSize w:val="1"/>
      <w:tblCellMar>
        <w:left w:w="115.0" w:type="dxa"/>
        <w:right w:w="115.0" w:type="dxa"/>
      </w:tblCellMar>
    </w:tblPr>
  </w:style>
  <w:style w:type="table" w:styleId="ab"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restaciones.issemym.gob.mx/citas/citasinicio.aspx" TargetMode="External"/><Relationship Id="rId10" Type="http://schemas.openxmlformats.org/officeDocument/2006/relationships/hyperlink" Target="http://www.issemym.gob.mx/uoad-mapa" TargetMode="External"/><Relationship Id="rId13" Type="http://schemas.openxmlformats.org/officeDocument/2006/relationships/header" Target="header2.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restaciones.issemym.gob.mx/citas/citasinicio.aspx"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issemym.gob.mx/uoad-map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2XFEpOitGOdu0kFDBal3SMUwZUA==">AMUW2mW2vZZlDIVYhNpt+Dsj1UpgwGDUMSsCtmX+42qzMROy6V0w7oUhb2BB5dpKsHCXWBg+OgUjvdvHHjufJ+Zc6DeWtre8ri/LXvRRURMy1kx0UVSp95BnRQviEh4AhYqAytRCfHkkBDtSCSOfw4XdQLPXRzdOQyfbE+Pm5zVzqylBWIdUb1DtvNelGEoRLrKnU4iax4sqPb/pMCApJfeIGHtJSTnobuq/qQMQsYYMm30r/CWfWng=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2023-03-27T20:47:00Z</dcterms:created>
  <dc:creator>iMac</dc:creator>
</cp:coreProperties>
</file>