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07" w:rsidRPr="002C3EC8" w:rsidRDefault="00BD1607" w:rsidP="00BD160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enero de dos mil veintitrés</w:t>
      </w:r>
      <w:r w:rsidRPr="002C3EC8">
        <w:rPr>
          <w:rFonts w:ascii="Palatino Linotype" w:eastAsia="Times New Roman" w:hAnsi="Palatino Linotype" w:cs="Arial"/>
          <w:color w:val="000000"/>
          <w:sz w:val="24"/>
          <w:szCs w:val="24"/>
          <w:lang w:eastAsia="es-MX"/>
        </w:rPr>
        <w:t>.</w:t>
      </w:r>
    </w:p>
    <w:p w:rsidR="00BD1607" w:rsidRPr="002C3EC8" w:rsidRDefault="00BD1607" w:rsidP="00BD160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16950/INFOEM/IP/RR/2022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Pr="002C3EC8">
        <w:rPr>
          <w:rFonts w:ascii="Palatino Linotype" w:hAnsi="Palatino Linotype"/>
          <w:sz w:val="24"/>
        </w:rPr>
        <w:t>un particular que al momento de ingresar la solicitud</w:t>
      </w:r>
      <w:r>
        <w:rPr>
          <w:rFonts w:ascii="Palatino Linotype" w:hAnsi="Palatino Linotype"/>
          <w:sz w:val="24"/>
        </w:rPr>
        <w:t xml:space="preserve"> de información e interponer el</w:t>
      </w:r>
      <w:r w:rsidRPr="002C3EC8">
        <w:rPr>
          <w:rFonts w:ascii="Palatino Linotype" w:hAnsi="Palatino Linotype"/>
          <w:sz w:val="24"/>
        </w:rPr>
        <w:t xml:space="preserve"> recurso de revisión, no señaló nombre o seudónimo,</w:t>
      </w:r>
      <w:r>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BD1607">
        <w:rPr>
          <w:rFonts w:ascii="Palatino Linotype" w:hAnsi="Palatino Linotype"/>
          <w:b/>
          <w:sz w:val="24"/>
        </w:rPr>
        <w:t>Ayuntamiento de Tianguistenco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BD1607" w:rsidRPr="002C3EC8" w:rsidRDefault="00BD1607" w:rsidP="00BD1607">
      <w:pPr>
        <w:tabs>
          <w:tab w:val="left" w:pos="1701"/>
        </w:tabs>
        <w:spacing w:before="240" w:line="360" w:lineRule="auto"/>
        <w:jc w:val="both"/>
        <w:rPr>
          <w:rFonts w:ascii="Palatino Linotype" w:hAnsi="Palatino Linotype" w:cs="Arial"/>
          <w:b/>
          <w:sz w:val="24"/>
        </w:rPr>
      </w:pPr>
      <w:bookmarkStart w:id="0" w:name="_GoBack"/>
      <w:bookmarkEnd w:id="0"/>
    </w:p>
    <w:p w:rsidR="00BD1607" w:rsidRPr="002C3EC8" w:rsidRDefault="00BD1607" w:rsidP="00BD1607">
      <w:pPr>
        <w:pStyle w:val="infoemcitas"/>
        <w:jc w:val="center"/>
        <w:rPr>
          <w:b/>
          <w:bCs/>
          <w:i w:val="0"/>
          <w:iCs/>
          <w:sz w:val="28"/>
          <w:szCs w:val="28"/>
        </w:rPr>
      </w:pPr>
      <w:r w:rsidRPr="002C3EC8">
        <w:rPr>
          <w:b/>
          <w:bCs/>
          <w:i w:val="0"/>
          <w:iCs/>
          <w:sz w:val="28"/>
          <w:szCs w:val="28"/>
        </w:rPr>
        <w:t>A N T E C E D E N T E S   D E L   A S U N T O</w:t>
      </w:r>
    </w:p>
    <w:p w:rsidR="00BD1607" w:rsidRPr="002C3EC8" w:rsidRDefault="00BD1607" w:rsidP="00BD160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BD1607" w:rsidRPr="002C3EC8" w:rsidRDefault="00BD1607" w:rsidP="00BD1607">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tres de noviembre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00193/TIANGUIS/IP/2022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rsidR="00BD1607" w:rsidRPr="001C7F6F" w:rsidRDefault="00BD1607" w:rsidP="00BD1607">
      <w:pPr>
        <w:pStyle w:val="INFOEM"/>
        <w:rPr>
          <w:lang w:val="es-ES_tradnl" w:eastAsia="es-ES"/>
        </w:rPr>
      </w:pPr>
      <w:r>
        <w:rPr>
          <w:lang w:val="es-ES_tradnl" w:eastAsia="es-ES"/>
        </w:rPr>
        <w:t>“</w:t>
      </w:r>
      <w:r w:rsidRPr="00BD1607">
        <w:rPr>
          <w:lang w:val="es-ES_tradnl" w:eastAsia="es-ES"/>
        </w:rPr>
        <w:t xml:space="preserve">Solicito la certificaciones de competencia laboral de los titulares de las siguientes áreas </w:t>
      </w:r>
      <w:proofErr w:type="gramStart"/>
      <w:r w:rsidRPr="00BD1607">
        <w:rPr>
          <w:lang w:val="es-ES_tradnl" w:eastAsia="es-ES"/>
        </w:rPr>
        <w:t>administrativas :</w:t>
      </w:r>
      <w:proofErr w:type="gramEnd"/>
      <w:r w:rsidRPr="00BD1607">
        <w:rPr>
          <w:lang w:val="es-ES_tradnl" w:eastAsia="es-ES"/>
        </w:rPr>
        <w:t xml:space="preserve"> Desarrollo urbano, unidad de Transparencia y obras públicas, de la presente administración</w:t>
      </w:r>
      <w:r w:rsidRPr="003D7938">
        <w:rPr>
          <w:lang w:val="es-ES_tradnl" w:eastAsia="es-ES"/>
        </w:rPr>
        <w:t>.</w:t>
      </w:r>
      <w:r>
        <w:rPr>
          <w:lang w:val="es-ES_tradnl" w:eastAsia="es-ES"/>
        </w:rPr>
        <w:t>” (sic)</w:t>
      </w:r>
    </w:p>
    <w:p w:rsidR="00BD1607" w:rsidRPr="002C3EC8" w:rsidRDefault="00BD1607" w:rsidP="00BD160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sidRPr="002C3EC8">
        <w:rPr>
          <w:rFonts w:ascii="Palatino Linotype" w:eastAsia="Times New Roman" w:hAnsi="Palatino Linotype" w:cs="Times New Roman"/>
          <w:sz w:val="24"/>
          <w:szCs w:val="24"/>
          <w:lang w:val="es-ES_tradnl" w:eastAsia="es-ES"/>
        </w:rPr>
        <w:t xml:space="preserve"> A través del SAIMEX.</w:t>
      </w:r>
    </w:p>
    <w:p w:rsidR="00BD1607" w:rsidRDefault="00BD1607" w:rsidP="00BD160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 xml:space="preserve"> respuesta a la solicitud o entrega de información</w:t>
      </w:r>
      <w:r w:rsidRPr="00165D6E">
        <w:rPr>
          <w:rFonts w:ascii="Palatino Linotype" w:hAnsi="Palatino Linotype" w:cs="Arial"/>
          <w:b/>
          <w:sz w:val="28"/>
          <w:szCs w:val="20"/>
        </w:rPr>
        <w:t>.</w:t>
      </w:r>
    </w:p>
    <w:p w:rsidR="00BD1607" w:rsidRDefault="00BD1607" w:rsidP="00BD160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veinticinco de noviembre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BD1607" w:rsidRPr="00E818A5" w:rsidRDefault="00BD1607" w:rsidP="00BD1607">
      <w:pPr>
        <w:spacing w:after="0" w:line="360" w:lineRule="auto"/>
        <w:jc w:val="both"/>
        <w:rPr>
          <w:rFonts w:ascii="Palatino Linotype" w:hAnsi="Palatino Linotype" w:cs="Arial"/>
          <w:sz w:val="24"/>
        </w:rPr>
      </w:pPr>
    </w:p>
    <w:p w:rsidR="00BD1607" w:rsidRPr="00BD1607" w:rsidRDefault="00BD1607" w:rsidP="00BD1607">
      <w:pPr>
        <w:spacing w:after="0" w:line="240" w:lineRule="auto"/>
        <w:ind w:left="567" w:right="567"/>
        <w:jc w:val="right"/>
        <w:rPr>
          <w:rFonts w:ascii="Palatino Linotype" w:hAnsi="Palatino Linotype" w:cs="Arial"/>
          <w:i/>
        </w:rPr>
      </w:pPr>
      <w:r>
        <w:rPr>
          <w:rFonts w:ascii="Palatino Linotype" w:hAnsi="Palatino Linotype" w:cs="Arial"/>
          <w:i/>
        </w:rPr>
        <w:t>“</w:t>
      </w:r>
      <w:r w:rsidRPr="00BD1607">
        <w:rPr>
          <w:rFonts w:ascii="Palatino Linotype" w:hAnsi="Palatino Linotype" w:cs="Arial"/>
          <w:i/>
        </w:rPr>
        <w:t>Tianguistenco, México a 25 de Noviembre de 2022</w:t>
      </w:r>
    </w:p>
    <w:p w:rsidR="00BD1607" w:rsidRPr="00BD1607" w:rsidRDefault="00BD1607" w:rsidP="00BD1607">
      <w:pPr>
        <w:spacing w:after="0" w:line="240" w:lineRule="auto"/>
        <w:ind w:left="567" w:right="567"/>
        <w:jc w:val="right"/>
        <w:rPr>
          <w:rFonts w:ascii="Palatino Linotype" w:hAnsi="Palatino Linotype" w:cs="Arial"/>
          <w:i/>
        </w:rPr>
      </w:pPr>
      <w:r w:rsidRPr="00BD1607">
        <w:rPr>
          <w:rFonts w:ascii="Palatino Linotype" w:hAnsi="Palatino Linotype" w:cs="Arial"/>
          <w:i/>
        </w:rPr>
        <w:t>Nombre del solicitante: C. Solicitante</w:t>
      </w:r>
    </w:p>
    <w:p w:rsidR="00BD1607" w:rsidRPr="00BD1607" w:rsidRDefault="00BD1607" w:rsidP="00BD1607">
      <w:pPr>
        <w:spacing w:after="0" w:line="240" w:lineRule="auto"/>
        <w:ind w:left="567" w:right="567"/>
        <w:jc w:val="right"/>
        <w:rPr>
          <w:rFonts w:ascii="Palatino Linotype" w:hAnsi="Palatino Linotype" w:cs="Arial"/>
          <w:i/>
        </w:rPr>
      </w:pPr>
      <w:r w:rsidRPr="00BD1607">
        <w:rPr>
          <w:rFonts w:ascii="Palatino Linotype" w:hAnsi="Palatino Linotype" w:cs="Arial"/>
          <w:i/>
        </w:rPr>
        <w:t>Folio de la solicitud: 00193/TIANGUIS/IP/2022</w:t>
      </w:r>
    </w:p>
    <w:p w:rsidR="00BD1607" w:rsidRDefault="00BD1607" w:rsidP="00BD1607">
      <w:pPr>
        <w:spacing w:after="0" w:line="240" w:lineRule="auto"/>
        <w:ind w:left="567" w:right="567"/>
        <w:jc w:val="both"/>
        <w:rPr>
          <w:rFonts w:ascii="Palatino Linotype" w:hAnsi="Palatino Linotype" w:cs="Arial"/>
          <w:i/>
        </w:rPr>
      </w:pPr>
    </w:p>
    <w:p w:rsidR="00BD1607" w:rsidRPr="00BD1607" w:rsidRDefault="00BD1607" w:rsidP="00BD1607">
      <w:pPr>
        <w:spacing w:after="0" w:line="240" w:lineRule="auto"/>
        <w:ind w:left="567" w:right="567"/>
        <w:jc w:val="both"/>
        <w:rPr>
          <w:rFonts w:ascii="Palatino Linotype" w:hAnsi="Palatino Linotype" w:cs="Arial"/>
          <w:i/>
        </w:rPr>
      </w:pPr>
      <w:r w:rsidRPr="00BD160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D1607" w:rsidRPr="00BD1607" w:rsidRDefault="00BD1607" w:rsidP="00BD1607">
      <w:pPr>
        <w:spacing w:after="0" w:line="240" w:lineRule="auto"/>
        <w:ind w:left="567" w:right="567"/>
        <w:jc w:val="both"/>
        <w:rPr>
          <w:rFonts w:ascii="Palatino Linotype" w:hAnsi="Palatino Linotype" w:cs="Arial"/>
          <w:i/>
        </w:rPr>
      </w:pPr>
      <w:r w:rsidRPr="00BD1607">
        <w:rPr>
          <w:rFonts w:ascii="Palatino Linotype" w:hAnsi="Palatino Linotype" w:cs="Arial"/>
          <w:i/>
        </w:rPr>
        <w:t>CONFORME A LO ESTABLECIDO EN LOS ARTICULOS 12, 150 Y 160 DE LA LEY DE TRANSPARECNIA Y ACCESO A LA INFORMACION PUBLICA DEL ESTADO DE MEXICO Y MUNICIPIOS ME DIRIJO A USTED DE MANERA RESPETUOSA CON LA FINALIDAD DE DAR CUMPLIMIENTO A SU SOLICITUD.</w:t>
      </w:r>
    </w:p>
    <w:p w:rsidR="00BD1607" w:rsidRPr="00BD1607" w:rsidRDefault="00BD1607" w:rsidP="00BD1607">
      <w:pPr>
        <w:spacing w:after="0" w:line="240" w:lineRule="auto"/>
        <w:ind w:left="567" w:right="567"/>
        <w:jc w:val="both"/>
        <w:rPr>
          <w:rFonts w:ascii="Palatino Linotype" w:hAnsi="Palatino Linotype" w:cs="Arial"/>
          <w:i/>
        </w:rPr>
      </w:pPr>
      <w:r w:rsidRPr="00BD1607">
        <w:rPr>
          <w:rFonts w:ascii="Palatino Linotype" w:hAnsi="Palatino Linotype" w:cs="Arial"/>
          <w:i/>
        </w:rPr>
        <w:t>ATENTAMENTE</w:t>
      </w:r>
    </w:p>
    <w:p w:rsidR="00BD1607" w:rsidRDefault="00BD1607" w:rsidP="00BD1607">
      <w:pPr>
        <w:spacing w:after="0" w:line="240" w:lineRule="auto"/>
        <w:ind w:left="567" w:right="567"/>
        <w:jc w:val="both"/>
        <w:rPr>
          <w:rFonts w:ascii="Palatino Linotype" w:hAnsi="Palatino Linotype" w:cs="Arial"/>
          <w:i/>
        </w:rPr>
      </w:pPr>
      <w:r w:rsidRPr="00BD1607">
        <w:rPr>
          <w:rFonts w:ascii="Palatino Linotype" w:hAnsi="Palatino Linotype" w:cs="Arial"/>
          <w:i/>
        </w:rPr>
        <w:t xml:space="preserve">L.A.E RAMSES OLIVARES MOJICA </w:t>
      </w:r>
      <w:r w:rsidRPr="00667998">
        <w:rPr>
          <w:rFonts w:ascii="Palatino Linotype" w:hAnsi="Palatino Linotype" w:cs="Arial"/>
          <w:i/>
        </w:rPr>
        <w:t>“</w:t>
      </w:r>
      <w:r>
        <w:rPr>
          <w:rFonts w:ascii="Palatino Linotype" w:hAnsi="Palatino Linotype" w:cs="Arial"/>
          <w:i/>
        </w:rPr>
        <w:t>(</w:t>
      </w:r>
      <w:r w:rsidRPr="00667998">
        <w:rPr>
          <w:rFonts w:ascii="Palatino Linotype" w:hAnsi="Palatino Linotype" w:cs="Arial"/>
          <w:i/>
        </w:rPr>
        <w:t>Sic).</w:t>
      </w:r>
    </w:p>
    <w:p w:rsidR="00BD1607" w:rsidRPr="00515DC5" w:rsidRDefault="00BD1607" w:rsidP="00BD1607">
      <w:pPr>
        <w:spacing w:after="0" w:line="240" w:lineRule="auto"/>
        <w:ind w:right="567"/>
        <w:jc w:val="both"/>
        <w:rPr>
          <w:rFonts w:ascii="Palatino Linotype" w:hAnsi="Palatino Linotype" w:cs="Arial"/>
          <w:i/>
          <w:sz w:val="24"/>
        </w:rPr>
      </w:pPr>
    </w:p>
    <w:p w:rsidR="00BD1607" w:rsidRDefault="00BD1607" w:rsidP="00BD1607">
      <w:pPr>
        <w:spacing w:after="0" w:line="240" w:lineRule="auto"/>
        <w:ind w:right="567"/>
        <w:jc w:val="both"/>
        <w:rPr>
          <w:rFonts w:ascii="Palatino Linotype" w:hAnsi="Palatino Linotype" w:cs="Arial"/>
        </w:rPr>
      </w:pPr>
    </w:p>
    <w:p w:rsidR="00BD1607" w:rsidRDefault="00BD1607" w:rsidP="00BD160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Pr="0033050B">
        <w:rPr>
          <w:rFonts w:ascii="Palatino Linotype" w:hAnsi="Palatino Linotype" w:cs="Arial"/>
          <w:b/>
          <w:sz w:val="24"/>
          <w:szCs w:val="24"/>
        </w:rPr>
        <w:t>“</w:t>
      </w:r>
      <w:r w:rsidRPr="00BD1607">
        <w:rPr>
          <w:rFonts w:ascii="Palatino Linotype" w:hAnsi="Palatino Linotype" w:cs="Arial"/>
          <w:b/>
          <w:i/>
          <w:sz w:val="24"/>
          <w:szCs w:val="24"/>
        </w:rPr>
        <w:t>respuesta ciudadano sol 193.pdf</w:t>
      </w:r>
      <w:r>
        <w:rPr>
          <w:rFonts w:ascii="Palatino Linotype" w:hAnsi="Palatino Linotype" w:cs="Arial"/>
          <w:b/>
          <w:i/>
          <w:sz w:val="24"/>
          <w:szCs w:val="24"/>
        </w:rPr>
        <w:t xml:space="preserve">”, </w:t>
      </w:r>
      <w:r w:rsidRPr="00BD1607">
        <w:rPr>
          <w:rFonts w:ascii="Palatino Linotype" w:hAnsi="Palatino Linotype" w:cs="Arial"/>
          <w:b/>
          <w:i/>
          <w:sz w:val="24"/>
          <w:szCs w:val="24"/>
        </w:rPr>
        <w:t>SOLICITUD DE INFORMACIÓN REC HUM SOL 193.pdf</w:t>
      </w:r>
      <w:r>
        <w:rPr>
          <w:rFonts w:ascii="Palatino Linotype" w:hAnsi="Palatino Linotype" w:cs="Arial"/>
          <w:b/>
          <w:i/>
          <w:sz w:val="24"/>
          <w:szCs w:val="24"/>
        </w:rPr>
        <w:t>” y “</w:t>
      </w:r>
      <w:r w:rsidRPr="00BD1607">
        <w:rPr>
          <w:rFonts w:ascii="Palatino Linotype" w:hAnsi="Palatino Linotype" w:cs="Arial"/>
          <w:b/>
          <w:i/>
          <w:sz w:val="24"/>
          <w:szCs w:val="24"/>
        </w:rPr>
        <w:t>RESPUESTA REC HUM SOL 193.pdf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BD1607" w:rsidRDefault="00BD1607" w:rsidP="00BD1607">
      <w:pPr>
        <w:spacing w:after="0" w:line="360" w:lineRule="auto"/>
        <w:jc w:val="both"/>
        <w:rPr>
          <w:rFonts w:ascii="Palatino Linotype" w:hAnsi="Palatino Linotype" w:cs="Arial"/>
          <w:b/>
          <w:sz w:val="28"/>
        </w:rPr>
      </w:pPr>
    </w:p>
    <w:p w:rsidR="00BD1607" w:rsidRPr="002C3EC8" w:rsidRDefault="00BD1607" w:rsidP="00BD1607">
      <w:pPr>
        <w:spacing w:before="240" w:line="360" w:lineRule="auto"/>
        <w:jc w:val="both"/>
        <w:rPr>
          <w:rFonts w:ascii="Palatino Linotype" w:hAnsi="Palatino Linotype" w:cs="Arial"/>
          <w:b/>
          <w:sz w:val="28"/>
        </w:rPr>
      </w:pPr>
      <w:r>
        <w:rPr>
          <w:rFonts w:ascii="Palatino Linotype" w:hAnsi="Palatino Linotype" w:cs="Arial"/>
          <w:b/>
          <w:sz w:val="28"/>
        </w:rPr>
        <w:t>TERCER</w:t>
      </w:r>
      <w:r w:rsidRPr="002C3EC8">
        <w:rPr>
          <w:rFonts w:ascii="Palatino Linotype" w:hAnsi="Palatino Linotype" w:cs="Arial"/>
          <w:b/>
          <w:sz w:val="28"/>
        </w:rPr>
        <w:t xml:space="preserve">O. </w:t>
      </w:r>
      <w:r w:rsidRPr="002C3EC8">
        <w:rPr>
          <w:rFonts w:ascii="Palatino Linotype" w:hAnsi="Palatino Linotype"/>
          <w:b/>
          <w:sz w:val="28"/>
        </w:rPr>
        <w:t>Del recurso de revisión.</w:t>
      </w:r>
    </w:p>
    <w:p w:rsidR="00BD1607" w:rsidRDefault="00BD1607" w:rsidP="00BD160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szCs w:val="24"/>
        </w:rPr>
        <w:t>veintiocho de noviembre</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16950/INFOEM/IP/RR/2022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BD1607" w:rsidRPr="0033050B" w:rsidRDefault="00BD1607" w:rsidP="00BD1607">
      <w:pPr>
        <w:pStyle w:val="Prrafodelista"/>
        <w:numPr>
          <w:ilvl w:val="0"/>
          <w:numId w:val="3"/>
        </w:numPr>
        <w:spacing w:before="240" w:line="360" w:lineRule="auto"/>
        <w:ind w:left="142" w:hanging="11"/>
        <w:jc w:val="both"/>
        <w:rPr>
          <w:rFonts w:ascii="Palatino Linotype" w:hAnsi="Palatino Linotype" w:cs="Arial"/>
          <w:b/>
          <w:i/>
        </w:rPr>
      </w:pPr>
      <w:r w:rsidRPr="0033050B">
        <w:rPr>
          <w:rFonts w:ascii="Palatino Linotype" w:hAnsi="Palatino Linotype" w:cs="Arial"/>
          <w:b/>
          <w:i/>
        </w:rPr>
        <w:t>Acto impugnado:</w:t>
      </w:r>
    </w:p>
    <w:p w:rsidR="00BD1607" w:rsidRPr="009068C9" w:rsidRDefault="00BD1607" w:rsidP="00BD1607">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Pr="00BD1607">
        <w:rPr>
          <w:rFonts w:ascii="Palatino Linotype" w:hAnsi="Palatino Linotype" w:cs="Arial"/>
          <w:i/>
          <w:sz w:val="24"/>
          <w:szCs w:val="24"/>
        </w:rPr>
        <w:t>información incompleta</w:t>
      </w:r>
      <w:r>
        <w:rPr>
          <w:rFonts w:ascii="Palatino Linotype" w:hAnsi="Palatino Linotype" w:cs="Arial"/>
          <w:i/>
          <w:sz w:val="24"/>
          <w:szCs w:val="24"/>
        </w:rPr>
        <w:t>” (sic)</w:t>
      </w:r>
    </w:p>
    <w:p w:rsidR="00BD1607" w:rsidRPr="0033050B" w:rsidRDefault="00BD1607" w:rsidP="00BD1607">
      <w:pPr>
        <w:pStyle w:val="Prrafodelista"/>
        <w:numPr>
          <w:ilvl w:val="0"/>
          <w:numId w:val="3"/>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BD1607" w:rsidRPr="009068C9" w:rsidRDefault="00BD1607" w:rsidP="00BD1607">
      <w:pPr>
        <w:spacing w:before="240" w:line="360" w:lineRule="auto"/>
        <w:ind w:left="142"/>
        <w:jc w:val="both"/>
        <w:rPr>
          <w:rFonts w:ascii="Palatino Linotype" w:hAnsi="Palatino Linotype" w:cs="Arial"/>
          <w:i/>
          <w:sz w:val="24"/>
          <w:szCs w:val="24"/>
        </w:rPr>
      </w:pPr>
      <w:r>
        <w:rPr>
          <w:rFonts w:ascii="Palatino Linotype" w:hAnsi="Palatino Linotype" w:cs="Arial"/>
          <w:i/>
          <w:sz w:val="24"/>
          <w:szCs w:val="24"/>
        </w:rPr>
        <w:t>“</w:t>
      </w:r>
      <w:r w:rsidRPr="00BD1607">
        <w:rPr>
          <w:rFonts w:ascii="Palatino Linotype" w:hAnsi="Palatino Linotype" w:cs="Arial"/>
          <w:i/>
          <w:sz w:val="24"/>
          <w:szCs w:val="24"/>
        </w:rPr>
        <w:t xml:space="preserve">por que tapan datos de la respuesta que </w:t>
      </w:r>
      <w:proofErr w:type="gramStart"/>
      <w:r w:rsidRPr="00BD1607">
        <w:rPr>
          <w:rFonts w:ascii="Palatino Linotype" w:hAnsi="Palatino Linotype" w:cs="Arial"/>
          <w:i/>
          <w:sz w:val="24"/>
          <w:szCs w:val="24"/>
        </w:rPr>
        <w:t>proporcionan ?</w:t>
      </w:r>
      <w:r w:rsidRPr="009068C9">
        <w:rPr>
          <w:rFonts w:ascii="Palatino Linotype" w:hAnsi="Palatino Linotype" w:cs="Arial"/>
          <w:i/>
          <w:sz w:val="24"/>
          <w:szCs w:val="24"/>
        </w:rPr>
        <w:t>”</w:t>
      </w:r>
      <w:proofErr w:type="gramEnd"/>
      <w:r w:rsidRPr="009068C9">
        <w:rPr>
          <w:rFonts w:ascii="Palatino Linotype" w:hAnsi="Palatino Linotype" w:cs="Arial"/>
          <w:i/>
          <w:sz w:val="24"/>
          <w:szCs w:val="24"/>
        </w:rPr>
        <w:t xml:space="preserve"> (Sic)</w:t>
      </w:r>
    </w:p>
    <w:p w:rsidR="00BD1607" w:rsidRPr="002C3EC8" w:rsidRDefault="00BD1607" w:rsidP="00BD1607">
      <w:pPr>
        <w:spacing w:before="240" w:line="360" w:lineRule="auto"/>
        <w:jc w:val="both"/>
        <w:rPr>
          <w:rFonts w:ascii="Palatino Linotype" w:hAnsi="Palatino Linotype" w:cs="Arial"/>
          <w:b/>
          <w:sz w:val="28"/>
        </w:rPr>
      </w:pPr>
    </w:p>
    <w:p w:rsidR="00BD1607" w:rsidRPr="002C3EC8" w:rsidRDefault="00BD1607" w:rsidP="00BD1607">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BD1607" w:rsidRPr="002C3EC8" w:rsidRDefault="00BD1607" w:rsidP="00BD1607">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Pr>
          <w:rFonts w:ascii="Palatino Linotype" w:hAnsi="Palatino Linotype"/>
          <w:b/>
          <w:sz w:val="24"/>
        </w:rPr>
        <w:t>veintinueve de noviembre</w:t>
      </w:r>
      <w:r w:rsidRPr="002C3EC8">
        <w:rPr>
          <w:rFonts w:ascii="Palatino Linotype" w:hAnsi="Palatino Linotype"/>
          <w:sz w:val="24"/>
        </w:rPr>
        <w:t xml:space="preserve"> </w:t>
      </w:r>
      <w:r w:rsidRPr="00BD1607">
        <w:rPr>
          <w:rFonts w:ascii="Palatino Linotype" w:hAnsi="Palatino Linotype"/>
          <w:b/>
          <w:sz w:val="24"/>
        </w:rPr>
        <w:t>de dos mil veintidós</w:t>
      </w:r>
      <w:r w:rsidRPr="002C3EC8">
        <w:rPr>
          <w:rFonts w:ascii="Palatino Linotype" w:hAnsi="Palatino Linotype"/>
          <w:sz w:val="24"/>
        </w:rPr>
        <w:t>, determinándose en ellos, un plazo de siete días para que las partes manifestaran lo que a su derecho corresponda en términos del numeral ya citado.</w:t>
      </w:r>
    </w:p>
    <w:p w:rsidR="00BD1607" w:rsidRPr="002C3EC8" w:rsidRDefault="00BD1607" w:rsidP="00BD1607">
      <w:pPr>
        <w:spacing w:before="240" w:line="360" w:lineRule="auto"/>
        <w:jc w:val="both"/>
        <w:rPr>
          <w:rFonts w:ascii="Palatino Linotype" w:hAnsi="Palatino Linotype" w:cs="Arial"/>
          <w:sz w:val="24"/>
          <w:szCs w:val="24"/>
        </w:rPr>
      </w:pPr>
    </w:p>
    <w:p w:rsidR="00BD1607" w:rsidRPr="00E52C83" w:rsidRDefault="00BD1607" w:rsidP="00BD160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rsidR="00610D84" w:rsidRPr="005A6D66" w:rsidRDefault="00610D84" w:rsidP="00610D84">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lastRenderedPageBreak/>
        <w:t>De las constancias que obran en el SAIMEX, se advierte que el Sujeto Obligado rindió su informe justificado por medio de</w:t>
      </w:r>
      <w:r>
        <w:rPr>
          <w:rFonts w:ascii="Palatino Linotype" w:hAnsi="Palatino Linotype" w:cs="Arial"/>
          <w:sz w:val="24"/>
          <w:szCs w:val="24"/>
        </w:rPr>
        <w:t xml:space="preserve"> </w:t>
      </w:r>
      <w:r w:rsidRPr="00DD2E32">
        <w:rPr>
          <w:rFonts w:ascii="Palatino Linotype" w:hAnsi="Palatino Linotype" w:cs="Arial"/>
          <w:sz w:val="24"/>
          <w:szCs w:val="24"/>
        </w:rPr>
        <w:t>l</w:t>
      </w:r>
      <w:r>
        <w:rPr>
          <w:rFonts w:ascii="Palatino Linotype" w:hAnsi="Palatino Linotype" w:cs="Arial"/>
          <w:sz w:val="24"/>
          <w:szCs w:val="24"/>
        </w:rPr>
        <w:t>os</w:t>
      </w:r>
      <w:r w:rsidRPr="00DD2E32">
        <w:rPr>
          <w:rFonts w:ascii="Palatino Linotype" w:hAnsi="Palatino Linotype" w:cs="Arial"/>
          <w:sz w:val="24"/>
          <w:szCs w:val="24"/>
        </w:rPr>
        <w:t xml:space="preserve"> archivo</w:t>
      </w:r>
      <w:r>
        <w:rPr>
          <w:rFonts w:ascii="Palatino Linotype" w:hAnsi="Palatino Linotype" w:cs="Arial"/>
          <w:sz w:val="24"/>
          <w:szCs w:val="24"/>
        </w:rPr>
        <w:t>s</w:t>
      </w:r>
      <w:r w:rsidRPr="00DD2E32">
        <w:rPr>
          <w:rFonts w:ascii="Palatino Linotype" w:hAnsi="Palatino Linotype" w:cs="Arial"/>
          <w:sz w:val="24"/>
          <w:szCs w:val="24"/>
        </w:rPr>
        <w:t xml:space="preserve"> electrónico</w:t>
      </w:r>
      <w:r>
        <w:rPr>
          <w:rFonts w:ascii="Palatino Linotype" w:hAnsi="Palatino Linotype" w:cs="Arial"/>
          <w:sz w:val="24"/>
          <w:szCs w:val="24"/>
        </w:rPr>
        <w:t>s</w:t>
      </w:r>
      <w:r w:rsidRPr="00DD2E32">
        <w:rPr>
          <w:rFonts w:ascii="Palatino Linotype" w:hAnsi="Palatino Linotype" w:cs="Arial"/>
          <w:sz w:val="24"/>
          <w:szCs w:val="24"/>
        </w:rPr>
        <w:t xml:space="preserve"> “</w:t>
      </w:r>
      <w:r w:rsidR="000E0700" w:rsidRPr="000E0700">
        <w:rPr>
          <w:rFonts w:ascii="Palatino Linotype" w:hAnsi="Palatino Linotype" w:cs="Arial"/>
          <w:b/>
          <w:i/>
          <w:sz w:val="24"/>
          <w:szCs w:val="24"/>
        </w:rPr>
        <w:t>Manifestaciones del Particular.pdf</w:t>
      </w:r>
      <w:r>
        <w:rPr>
          <w:rFonts w:ascii="Palatino Linotype" w:hAnsi="Palatino Linotype" w:cs="Arial"/>
          <w:b/>
          <w:i/>
          <w:sz w:val="24"/>
          <w:szCs w:val="24"/>
        </w:rPr>
        <w:t>”, “</w:t>
      </w:r>
      <w:r w:rsidR="000E0700" w:rsidRPr="000E0700">
        <w:rPr>
          <w:rFonts w:ascii="Palatino Linotype" w:hAnsi="Palatino Linotype" w:cs="Arial"/>
          <w:b/>
          <w:i/>
          <w:sz w:val="24"/>
          <w:szCs w:val="24"/>
        </w:rPr>
        <w:t>16950_2022_AA_JMV.pdf</w:t>
      </w:r>
      <w:r>
        <w:rPr>
          <w:rFonts w:ascii="Palatino Linotype" w:hAnsi="Palatino Linotype" w:cs="Arial"/>
          <w:b/>
          <w:i/>
          <w:sz w:val="24"/>
          <w:szCs w:val="24"/>
        </w:rPr>
        <w:t>” y “</w:t>
      </w:r>
      <w:r w:rsidR="000E0700" w:rsidRPr="000E0700">
        <w:rPr>
          <w:rFonts w:ascii="Palatino Linotype" w:hAnsi="Palatino Linotype" w:cs="Arial"/>
          <w:b/>
          <w:i/>
          <w:sz w:val="24"/>
          <w:szCs w:val="24"/>
        </w:rPr>
        <w:t>MANIFESTACIONES RR 16950.pdf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estos a la vista del Recurrente.</w:t>
      </w:r>
    </w:p>
    <w:p w:rsidR="00610D84" w:rsidRPr="00DD2E32" w:rsidRDefault="00610D84" w:rsidP="00610D84">
      <w:pPr>
        <w:spacing w:after="0" w:line="360" w:lineRule="auto"/>
        <w:jc w:val="both"/>
        <w:rPr>
          <w:rFonts w:ascii="Palatino Linotype" w:hAnsi="Palatino Linotype" w:cs="Arial"/>
          <w:sz w:val="24"/>
          <w:szCs w:val="24"/>
        </w:rPr>
      </w:pPr>
    </w:p>
    <w:p w:rsidR="00610D84" w:rsidRDefault="00610D84" w:rsidP="00610D84">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sidR="000E0700">
        <w:rPr>
          <w:rFonts w:ascii="Palatino Linotype" w:hAnsi="Palatino Linotype" w:cs="Arial"/>
          <w:sz w:val="24"/>
          <w:szCs w:val="24"/>
        </w:rPr>
        <w:t>l Estado de México y Municipios.</w:t>
      </w:r>
    </w:p>
    <w:p w:rsidR="00BD1607" w:rsidRDefault="00BD1607" w:rsidP="00BD1607">
      <w:pPr>
        <w:spacing w:after="0" w:line="360" w:lineRule="auto"/>
        <w:jc w:val="both"/>
        <w:rPr>
          <w:rFonts w:ascii="Palatino Linotype" w:hAnsi="Palatino Linotype" w:cs="Arial"/>
          <w:b/>
          <w:sz w:val="28"/>
          <w:szCs w:val="28"/>
        </w:rPr>
      </w:pPr>
    </w:p>
    <w:p w:rsidR="00BD1607" w:rsidRPr="002C3EC8" w:rsidRDefault="00BD1607" w:rsidP="00BD1607">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BD1607" w:rsidRDefault="00BD1607" w:rsidP="00BD160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 xml:space="preserve">catorce de </w:t>
      </w:r>
      <w:r w:rsidR="000E0700">
        <w:rPr>
          <w:rFonts w:ascii="Palatino Linotype" w:hAnsi="Palatino Linotype" w:cs="Arial"/>
          <w:b/>
          <w:sz w:val="24"/>
          <w:szCs w:val="24"/>
        </w:rPr>
        <w:t>diciembre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D1607" w:rsidRDefault="00BD1607" w:rsidP="00BD1607">
      <w:pPr>
        <w:spacing w:after="0" w:line="360" w:lineRule="auto"/>
        <w:jc w:val="both"/>
        <w:rPr>
          <w:rFonts w:ascii="Palatino Linotype" w:hAnsi="Palatino Linotype" w:cs="Arial"/>
          <w:sz w:val="24"/>
          <w:szCs w:val="24"/>
        </w:rPr>
      </w:pPr>
    </w:p>
    <w:p w:rsidR="00BD1607" w:rsidRPr="002C3EC8" w:rsidRDefault="00BD1607" w:rsidP="00BD1607">
      <w:pPr>
        <w:spacing w:after="0" w:line="360" w:lineRule="auto"/>
        <w:jc w:val="both"/>
        <w:rPr>
          <w:rFonts w:ascii="Palatino Linotype" w:hAnsi="Palatino Linotype" w:cs="Arial"/>
          <w:sz w:val="24"/>
          <w:szCs w:val="24"/>
        </w:rPr>
      </w:pPr>
    </w:p>
    <w:p w:rsidR="00BD1607" w:rsidRPr="002C3EC8" w:rsidRDefault="00BD1607" w:rsidP="00BD1607">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BD1607" w:rsidRPr="002C3EC8" w:rsidRDefault="00BD1607" w:rsidP="00BD1607">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BD1607" w:rsidRPr="002C3EC8" w:rsidRDefault="00BD1607" w:rsidP="00BD1607">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D1607" w:rsidRPr="002C3EC8" w:rsidRDefault="00BD1607" w:rsidP="00BD1607">
      <w:pPr>
        <w:spacing w:before="240" w:line="360" w:lineRule="auto"/>
        <w:jc w:val="both"/>
        <w:rPr>
          <w:rFonts w:ascii="Palatino Linotype" w:eastAsia="Calibri" w:hAnsi="Palatino Linotype"/>
          <w:b/>
          <w:color w:val="000000" w:themeColor="text1"/>
          <w:sz w:val="24"/>
          <w:szCs w:val="24"/>
        </w:rPr>
      </w:pP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BD1607" w:rsidRPr="002C3EC8" w:rsidRDefault="00BD1607" w:rsidP="00BD1607">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BD1607" w:rsidRPr="002C3EC8" w:rsidRDefault="00BD1607" w:rsidP="00BD160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rsidR="00BD1607" w:rsidRPr="002C3EC8" w:rsidRDefault="00BD1607" w:rsidP="00BD160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BD1607" w:rsidRPr="002C3EC8" w:rsidRDefault="00BD1607" w:rsidP="00BD160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rsidR="00BD1607" w:rsidRPr="002C3EC8" w:rsidRDefault="00BD1607" w:rsidP="00BD160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BD1607" w:rsidRPr="002C3EC8" w:rsidRDefault="00BD1607" w:rsidP="00BD160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rsidR="00BD1607" w:rsidRPr="002C3EC8" w:rsidRDefault="00BD1607" w:rsidP="00BD1607">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rsidR="00BD1607" w:rsidRPr="002C3EC8" w:rsidRDefault="00BD1607" w:rsidP="00BD160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BD1607" w:rsidRPr="002C3EC8" w:rsidRDefault="00BD1607" w:rsidP="00BD1607">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BD1607" w:rsidRPr="002C3EC8" w:rsidRDefault="00BD1607" w:rsidP="00BD1607">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BD1607" w:rsidRPr="002C3EC8" w:rsidRDefault="00BD1607" w:rsidP="00BD1607">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rsidR="00BD1607" w:rsidRPr="002C3EC8" w:rsidRDefault="00BD1607" w:rsidP="00BD1607">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rPr>
      </w:pP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 xml:space="preserve">Cabe señalar que El Recurrente ejerció de manera anónima su derecho de acceso a la información pública, sin embargo, no es motivo para desechar las solicitudes de acceso </w:t>
      </w:r>
      <w:r w:rsidRPr="002C3EC8">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D1607" w:rsidRPr="002C3EC8" w:rsidTr="00BD1607">
        <w:trPr>
          <w:trHeight w:val="1360"/>
        </w:trPr>
        <w:tc>
          <w:tcPr>
            <w:tcW w:w="7982" w:type="dxa"/>
          </w:tcPr>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D1607" w:rsidRPr="002C3EC8" w:rsidTr="00BD1607">
        <w:trPr>
          <w:jc w:val="center"/>
        </w:trPr>
        <w:tc>
          <w:tcPr>
            <w:tcW w:w="8075" w:type="dxa"/>
          </w:tcPr>
          <w:p w:rsidR="00BD1607" w:rsidRPr="002C3EC8" w:rsidRDefault="00BD1607" w:rsidP="00BD1607">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BD1607" w:rsidRPr="002C3EC8" w:rsidRDefault="00BD1607" w:rsidP="00BD1607">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BD1607" w:rsidRPr="002C3EC8" w:rsidRDefault="00BD1607" w:rsidP="00BD1607">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BD1607" w:rsidRPr="002C3EC8" w:rsidRDefault="00BD1607" w:rsidP="00BD1607">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BD1607" w:rsidRPr="002C3EC8"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rsidR="00BD1607" w:rsidRPr="002C3EC8" w:rsidRDefault="00BD1607" w:rsidP="00BD160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BD1607" w:rsidRDefault="00BD1607" w:rsidP="00BD1607">
      <w:pPr>
        <w:tabs>
          <w:tab w:val="left" w:pos="709"/>
        </w:tabs>
        <w:spacing w:before="240" w:line="360" w:lineRule="auto"/>
        <w:ind w:right="51"/>
        <w:jc w:val="both"/>
        <w:rPr>
          <w:rFonts w:ascii="Palatino Linotype" w:hAnsi="Palatino Linotype"/>
          <w:b/>
          <w:sz w:val="28"/>
          <w:szCs w:val="28"/>
        </w:rPr>
      </w:pPr>
    </w:p>
    <w:p w:rsidR="00BD1607" w:rsidRPr="002C3EC8" w:rsidRDefault="00BD1607" w:rsidP="00BD160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BD1607" w:rsidRPr="007379EE" w:rsidRDefault="00BD1607" w:rsidP="00BD160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1607" w:rsidRPr="007379EE" w:rsidRDefault="00BD1607" w:rsidP="00BD160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D1607" w:rsidRDefault="00BD1607" w:rsidP="00BD1607">
      <w:pPr>
        <w:autoSpaceDE w:val="0"/>
        <w:autoSpaceDN w:val="0"/>
        <w:adjustRightInd w:val="0"/>
        <w:ind w:left="567" w:right="567"/>
        <w:jc w:val="right"/>
        <w:rPr>
          <w:rFonts w:ascii="Palatino Linotype" w:eastAsia="Calibri" w:hAnsi="Palatino Linotype" w:cs="Arial"/>
        </w:rPr>
      </w:pPr>
    </w:p>
    <w:p w:rsidR="00BD1607" w:rsidRPr="00A779C7" w:rsidRDefault="00BD1607" w:rsidP="00BD1607">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0E0700" w:rsidRDefault="000E0700" w:rsidP="000E0700">
      <w:pPr>
        <w:pStyle w:val="Sinespaciado"/>
        <w:numPr>
          <w:ilvl w:val="0"/>
          <w:numId w:val="5"/>
        </w:numPr>
        <w:spacing w:before="240" w:line="360" w:lineRule="auto"/>
        <w:ind w:left="284"/>
        <w:jc w:val="both"/>
        <w:rPr>
          <w:rFonts w:ascii="Palatino Linotype" w:hAnsi="Palatino Linotype" w:cs="Tahoma"/>
          <w:bCs/>
          <w:lang w:val="es-ES"/>
        </w:rPr>
      </w:pPr>
      <w:r>
        <w:rPr>
          <w:rFonts w:ascii="Palatino Linotype" w:hAnsi="Palatino Linotype" w:cs="Tahoma"/>
          <w:bCs/>
          <w:lang w:val="es-ES"/>
        </w:rPr>
        <w:t>C</w:t>
      </w:r>
      <w:r w:rsidRPr="000E0700">
        <w:rPr>
          <w:rFonts w:ascii="Palatino Linotype" w:hAnsi="Palatino Linotype" w:cs="Tahoma"/>
          <w:bCs/>
          <w:lang w:val="es-ES"/>
        </w:rPr>
        <w:t>ertificaciones de competencia laboral de los titulares de las siguientes áreas administrativas</w:t>
      </w:r>
      <w:r>
        <w:rPr>
          <w:rFonts w:ascii="Palatino Linotype" w:hAnsi="Palatino Linotype" w:cs="Tahoma"/>
          <w:bCs/>
          <w:lang w:val="es-ES"/>
        </w:rPr>
        <w:t xml:space="preserve">, </w:t>
      </w:r>
      <w:r w:rsidRPr="000E0700">
        <w:rPr>
          <w:rFonts w:ascii="Palatino Linotype" w:hAnsi="Palatino Linotype" w:cs="Tahoma"/>
          <w:bCs/>
          <w:lang w:val="es-ES"/>
        </w:rPr>
        <w:t xml:space="preserve">de la presente administración: </w:t>
      </w:r>
    </w:p>
    <w:p w:rsidR="000E0700" w:rsidRDefault="000E0700" w:rsidP="000E0700">
      <w:pPr>
        <w:pStyle w:val="Sinespaciado"/>
        <w:numPr>
          <w:ilvl w:val="0"/>
          <w:numId w:val="9"/>
        </w:numPr>
        <w:spacing w:before="240" w:line="360" w:lineRule="auto"/>
        <w:jc w:val="both"/>
        <w:rPr>
          <w:rFonts w:ascii="Palatino Linotype" w:hAnsi="Palatino Linotype" w:cs="Tahoma"/>
          <w:bCs/>
          <w:lang w:val="es-ES"/>
        </w:rPr>
      </w:pPr>
      <w:r>
        <w:rPr>
          <w:rFonts w:ascii="Palatino Linotype" w:hAnsi="Palatino Linotype" w:cs="Tahoma"/>
          <w:bCs/>
          <w:lang w:val="es-ES"/>
        </w:rPr>
        <w:t>Desarrollo urbano</w:t>
      </w:r>
      <w:r w:rsidRPr="000E0700">
        <w:rPr>
          <w:rFonts w:ascii="Palatino Linotype" w:hAnsi="Palatino Linotype" w:cs="Tahoma"/>
          <w:bCs/>
          <w:lang w:val="es-ES"/>
        </w:rPr>
        <w:t xml:space="preserve"> </w:t>
      </w:r>
    </w:p>
    <w:p w:rsidR="000E0700" w:rsidRDefault="000E0700" w:rsidP="000E0700">
      <w:pPr>
        <w:pStyle w:val="Sinespaciado"/>
        <w:numPr>
          <w:ilvl w:val="0"/>
          <w:numId w:val="9"/>
        </w:numPr>
        <w:spacing w:before="240" w:line="360" w:lineRule="auto"/>
        <w:jc w:val="both"/>
        <w:rPr>
          <w:rFonts w:ascii="Palatino Linotype" w:hAnsi="Palatino Linotype" w:cs="Tahoma"/>
          <w:bCs/>
          <w:lang w:val="es-ES"/>
        </w:rPr>
      </w:pPr>
      <w:r>
        <w:rPr>
          <w:rFonts w:ascii="Palatino Linotype" w:hAnsi="Palatino Linotype" w:cs="Tahoma"/>
          <w:bCs/>
          <w:lang w:val="es-ES"/>
        </w:rPr>
        <w:t>U</w:t>
      </w:r>
      <w:r w:rsidRPr="000E0700">
        <w:rPr>
          <w:rFonts w:ascii="Palatino Linotype" w:hAnsi="Palatino Linotype" w:cs="Tahoma"/>
          <w:bCs/>
          <w:lang w:val="es-ES"/>
        </w:rPr>
        <w:t xml:space="preserve">nidad de Transparencia  </w:t>
      </w:r>
    </w:p>
    <w:p w:rsidR="00BD1607" w:rsidRPr="00063DFB" w:rsidRDefault="000E0700" w:rsidP="000E0700">
      <w:pPr>
        <w:pStyle w:val="Sinespaciado"/>
        <w:numPr>
          <w:ilvl w:val="0"/>
          <w:numId w:val="9"/>
        </w:numPr>
        <w:spacing w:before="240" w:line="360" w:lineRule="auto"/>
        <w:jc w:val="both"/>
        <w:rPr>
          <w:rFonts w:ascii="Palatino Linotype" w:hAnsi="Palatino Linotype" w:cs="Tahoma"/>
          <w:bCs/>
          <w:lang w:val="es-ES"/>
        </w:rPr>
      </w:pPr>
      <w:r>
        <w:rPr>
          <w:rFonts w:ascii="Palatino Linotype" w:hAnsi="Palatino Linotype" w:cs="Tahoma"/>
          <w:bCs/>
          <w:lang w:val="es-ES"/>
        </w:rPr>
        <w:t>Obras públicas</w:t>
      </w:r>
    </w:p>
    <w:p w:rsidR="00BD1607" w:rsidRDefault="00BD1607" w:rsidP="00BD1607">
      <w:pPr>
        <w:pStyle w:val="Sinespaciado"/>
        <w:spacing w:before="240" w:line="360" w:lineRule="auto"/>
        <w:jc w:val="both"/>
        <w:rPr>
          <w:rFonts w:ascii="Palatino Linotype" w:hAnsi="Palatino Linotype" w:cs="Arial"/>
          <w:b/>
        </w:rPr>
      </w:pPr>
      <w:r>
        <w:rPr>
          <w:rFonts w:ascii="Palatino Linotype" w:hAnsi="Palatino Linotype" w:cs="Arial"/>
        </w:rPr>
        <w:lastRenderedPageBreak/>
        <w:t xml:space="preserve">De conformidad con las constancias que obran en el expediente electrónico,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Pr>
          <w:rFonts w:ascii="Palatino Linotype" w:hAnsi="Palatino Linotype" w:cs="Arial"/>
          <w:b/>
        </w:rPr>
        <w:t>00193/TIANGUIS/IP/2022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rsidR="00BD1607" w:rsidRPr="000E0700" w:rsidRDefault="000E0700" w:rsidP="00F776D0">
      <w:pPr>
        <w:pStyle w:val="Sinespaciado"/>
        <w:numPr>
          <w:ilvl w:val="0"/>
          <w:numId w:val="4"/>
        </w:numPr>
        <w:spacing w:before="240" w:line="360" w:lineRule="auto"/>
        <w:ind w:left="426"/>
        <w:jc w:val="both"/>
        <w:rPr>
          <w:rFonts w:ascii="Palatino Linotype" w:hAnsi="Palatino Linotype" w:cs="Arial"/>
          <w:i/>
        </w:rPr>
      </w:pPr>
      <w:r w:rsidRPr="000E0700">
        <w:rPr>
          <w:rFonts w:ascii="Palatino Linotype" w:hAnsi="Palatino Linotype" w:cs="Arial"/>
          <w:b/>
          <w:i/>
        </w:rPr>
        <w:t>respuesta ciudadano sol 193.pdf</w:t>
      </w:r>
      <w:r w:rsidR="00BD1607" w:rsidRPr="00DB0D96">
        <w:rPr>
          <w:rFonts w:ascii="Palatino Linotype" w:hAnsi="Palatino Linotype" w:cs="Arial"/>
          <w:b/>
          <w:i/>
        </w:rPr>
        <w:t xml:space="preserve">: </w:t>
      </w:r>
      <w:r w:rsidR="00BD1607" w:rsidRPr="00DB0D96">
        <w:rPr>
          <w:rFonts w:ascii="Palatino Linotype" w:hAnsi="Palatino Linotype" w:cs="Arial"/>
        </w:rPr>
        <w:t>cons</w:t>
      </w:r>
      <w:r w:rsidR="00776768">
        <w:rPr>
          <w:rFonts w:ascii="Palatino Linotype" w:hAnsi="Palatino Linotype" w:cs="Arial"/>
        </w:rPr>
        <w:t>tante de</w:t>
      </w:r>
      <w:r w:rsidR="00BD1607" w:rsidRPr="00DB0D96">
        <w:rPr>
          <w:rFonts w:ascii="Palatino Linotype" w:hAnsi="Palatino Linotype" w:cs="Arial"/>
        </w:rPr>
        <w:t xml:space="preserve"> </w:t>
      </w:r>
      <w:r>
        <w:rPr>
          <w:rFonts w:ascii="Palatino Linotype" w:hAnsi="Palatino Linotype" w:cs="Arial"/>
        </w:rPr>
        <w:t>cuatro</w:t>
      </w:r>
      <w:r w:rsidR="00BD1607" w:rsidRPr="00DB0D96">
        <w:rPr>
          <w:rFonts w:ascii="Palatino Linotype" w:hAnsi="Palatino Linotype" w:cs="Arial"/>
        </w:rPr>
        <w:t xml:space="preserve"> foja</w:t>
      </w:r>
      <w:r w:rsidR="00BD1607">
        <w:rPr>
          <w:rFonts w:ascii="Palatino Linotype" w:hAnsi="Palatino Linotype" w:cs="Arial"/>
        </w:rPr>
        <w:t>s</w:t>
      </w:r>
      <w:r w:rsidR="00BD1607" w:rsidRPr="00DB0D96">
        <w:rPr>
          <w:rFonts w:ascii="Palatino Linotype" w:hAnsi="Palatino Linotype" w:cs="Arial"/>
        </w:rPr>
        <w:t xml:space="preserve">, </w:t>
      </w:r>
      <w:r w:rsidR="00776768">
        <w:rPr>
          <w:rFonts w:ascii="Palatino Linotype" w:hAnsi="Palatino Linotype" w:cs="Arial"/>
        </w:rPr>
        <w:t xml:space="preserve">en </w:t>
      </w:r>
      <w:r w:rsidR="00BD1607" w:rsidRPr="00DB0D96">
        <w:rPr>
          <w:rFonts w:ascii="Palatino Linotype" w:hAnsi="Palatino Linotype" w:cs="Arial"/>
        </w:rPr>
        <w:t xml:space="preserve">formato </w:t>
      </w:r>
      <w:proofErr w:type="spellStart"/>
      <w:r w:rsidR="00BD1607" w:rsidRPr="00DB0D96">
        <w:rPr>
          <w:rFonts w:ascii="Palatino Linotype" w:hAnsi="Palatino Linotype" w:cs="Arial"/>
        </w:rPr>
        <w:t>pdf</w:t>
      </w:r>
      <w:proofErr w:type="spellEnd"/>
      <w:r w:rsidR="00BD1607" w:rsidRPr="00DB0D96">
        <w:rPr>
          <w:rFonts w:ascii="Palatino Linotype" w:hAnsi="Palatino Linotype" w:cs="Arial"/>
        </w:rPr>
        <w:t xml:space="preserve">, que contiene </w:t>
      </w:r>
      <w:r w:rsidR="00BD1607">
        <w:rPr>
          <w:rFonts w:ascii="Palatino Linotype" w:hAnsi="Palatino Linotype" w:cs="Arial"/>
        </w:rPr>
        <w:t xml:space="preserve">el </w:t>
      </w:r>
      <w:r>
        <w:rPr>
          <w:rFonts w:ascii="Palatino Linotype" w:hAnsi="Palatino Linotype" w:cs="Arial"/>
        </w:rPr>
        <w:t>oficio número PMT/UT/0723/2022</w:t>
      </w:r>
      <w:r w:rsidR="00BD1607">
        <w:rPr>
          <w:rFonts w:ascii="Palatino Linotype" w:hAnsi="Palatino Linotype" w:cs="Arial"/>
        </w:rPr>
        <w:t xml:space="preserve">, de </w:t>
      </w:r>
      <w:r w:rsidR="00F776D0">
        <w:rPr>
          <w:rFonts w:ascii="Palatino Linotype" w:hAnsi="Palatino Linotype" w:cs="Arial"/>
        </w:rPr>
        <w:t>fecha veinticuatro de noviembre de dos mil veintidós</w:t>
      </w:r>
      <w:r w:rsidR="00BD1607">
        <w:rPr>
          <w:rFonts w:ascii="Palatino Linotype" w:hAnsi="Palatino Linotype" w:cs="Arial"/>
        </w:rPr>
        <w:t xml:space="preserve">, firmado por </w:t>
      </w:r>
      <w:r w:rsidR="00F776D0">
        <w:rPr>
          <w:rFonts w:ascii="Palatino Linotype" w:hAnsi="Palatino Linotype" w:cs="Arial"/>
        </w:rPr>
        <w:t>el Titular de la Unidad de Transparencia</w:t>
      </w:r>
      <w:r w:rsidR="00BD1607">
        <w:rPr>
          <w:rFonts w:ascii="Palatino Linotype" w:hAnsi="Palatino Linotype" w:cs="Arial"/>
        </w:rPr>
        <w:t xml:space="preserve">, </w:t>
      </w:r>
      <w:r w:rsidR="00776768">
        <w:rPr>
          <w:rFonts w:ascii="Palatino Linotype" w:hAnsi="Palatino Linotype" w:cs="Arial"/>
        </w:rPr>
        <w:t xml:space="preserve">mediante el cual se hace del conocimiento </w:t>
      </w:r>
      <w:r w:rsidR="00F776D0">
        <w:rPr>
          <w:rFonts w:ascii="Palatino Linotype" w:hAnsi="Palatino Linotype" w:cs="Arial"/>
        </w:rPr>
        <w:t>al hoy recurrente</w:t>
      </w:r>
      <w:r w:rsidR="00776768">
        <w:rPr>
          <w:rFonts w:ascii="Palatino Linotype" w:hAnsi="Palatino Linotype" w:cs="Arial"/>
        </w:rPr>
        <w:t xml:space="preserve"> la respuesta a su solicitud de información</w:t>
      </w:r>
      <w:r w:rsidR="00F776D0">
        <w:rPr>
          <w:rFonts w:ascii="Palatino Linotype" w:hAnsi="Palatino Linotype" w:cs="Arial"/>
        </w:rPr>
        <w:t>.</w:t>
      </w:r>
      <w:r w:rsidR="00791EBA">
        <w:rPr>
          <w:rFonts w:ascii="Palatino Linotype" w:hAnsi="Palatino Linotype" w:cs="Arial"/>
        </w:rPr>
        <w:t xml:space="preserve"> </w:t>
      </w:r>
    </w:p>
    <w:p w:rsidR="00F776D0" w:rsidRPr="000E0700" w:rsidRDefault="000E0700" w:rsidP="00791EBA">
      <w:pPr>
        <w:pStyle w:val="Sinespaciado"/>
        <w:numPr>
          <w:ilvl w:val="0"/>
          <w:numId w:val="4"/>
        </w:numPr>
        <w:spacing w:before="240" w:line="360" w:lineRule="auto"/>
        <w:ind w:left="426"/>
        <w:jc w:val="both"/>
      </w:pPr>
      <w:r w:rsidRPr="000E0700">
        <w:rPr>
          <w:rFonts w:ascii="Palatino Linotype" w:hAnsi="Palatino Linotype" w:cs="Arial"/>
          <w:b/>
          <w:i/>
        </w:rPr>
        <w:t>SOLICITUD DE INFORMACIÓN REC HUM SOL 193.pdf:</w:t>
      </w:r>
      <w:r w:rsidR="00F776D0">
        <w:rPr>
          <w:rFonts w:ascii="Palatino Linotype" w:hAnsi="Palatino Linotype" w:cs="Arial"/>
          <w:b/>
          <w:i/>
        </w:rPr>
        <w:t xml:space="preserve"> </w:t>
      </w:r>
      <w:r w:rsidR="00715E90" w:rsidRPr="00DB0D96">
        <w:rPr>
          <w:rFonts w:ascii="Palatino Linotype" w:hAnsi="Palatino Linotype" w:cs="Arial"/>
        </w:rPr>
        <w:t>cons</w:t>
      </w:r>
      <w:r w:rsidR="00776768">
        <w:rPr>
          <w:rFonts w:ascii="Palatino Linotype" w:hAnsi="Palatino Linotype" w:cs="Arial"/>
        </w:rPr>
        <w:t>tante de</w:t>
      </w:r>
      <w:r w:rsidR="00715E90" w:rsidRPr="00DB0D96">
        <w:rPr>
          <w:rFonts w:ascii="Palatino Linotype" w:hAnsi="Palatino Linotype" w:cs="Arial"/>
        </w:rPr>
        <w:t xml:space="preserve"> </w:t>
      </w:r>
      <w:r w:rsidR="00715E90">
        <w:rPr>
          <w:rFonts w:ascii="Palatino Linotype" w:hAnsi="Palatino Linotype" w:cs="Arial"/>
        </w:rPr>
        <w:t xml:space="preserve">una </w:t>
      </w:r>
      <w:r w:rsidR="00715E90" w:rsidRPr="00DB0D96">
        <w:rPr>
          <w:rFonts w:ascii="Palatino Linotype" w:hAnsi="Palatino Linotype" w:cs="Arial"/>
        </w:rPr>
        <w:t xml:space="preserve">foja, formato </w:t>
      </w:r>
      <w:proofErr w:type="spellStart"/>
      <w:r w:rsidR="00715E90" w:rsidRPr="00DB0D96">
        <w:rPr>
          <w:rFonts w:ascii="Palatino Linotype" w:hAnsi="Palatino Linotype" w:cs="Arial"/>
        </w:rPr>
        <w:t>pdf</w:t>
      </w:r>
      <w:proofErr w:type="spellEnd"/>
      <w:r w:rsidR="00715E90" w:rsidRPr="00DB0D96">
        <w:rPr>
          <w:rFonts w:ascii="Palatino Linotype" w:hAnsi="Palatino Linotype" w:cs="Arial"/>
        </w:rPr>
        <w:t xml:space="preserve">, que contiene </w:t>
      </w:r>
      <w:r w:rsidR="00715E90">
        <w:rPr>
          <w:rFonts w:ascii="Palatino Linotype" w:hAnsi="Palatino Linotype" w:cs="Arial"/>
        </w:rPr>
        <w:t>el oficio número PMT/UT/0689/2022, de fecha siete de noviembre de dos mil veintidós, firmado por el Titular de la Unidad de Transparencia, dirigido a la Coordinadora de Recursos Humanos</w:t>
      </w:r>
      <w:r w:rsidR="00196A2B">
        <w:rPr>
          <w:rFonts w:ascii="Palatino Linotype" w:hAnsi="Palatino Linotype" w:cs="Arial"/>
        </w:rPr>
        <w:t xml:space="preserve">, en el que pide proporcione la información solicitada por el hoy recurrente, en un término de cinco días hábiles. </w:t>
      </w:r>
    </w:p>
    <w:p w:rsidR="00715E90" w:rsidRPr="00F776D0" w:rsidRDefault="000E0700" w:rsidP="00715E90">
      <w:pPr>
        <w:pStyle w:val="Sinespaciado"/>
        <w:numPr>
          <w:ilvl w:val="0"/>
          <w:numId w:val="4"/>
        </w:numPr>
        <w:spacing w:before="240" w:line="360" w:lineRule="auto"/>
        <w:ind w:left="426"/>
        <w:jc w:val="both"/>
        <w:rPr>
          <w:rFonts w:ascii="Palatino Linotype" w:hAnsi="Palatino Linotype" w:cs="Arial"/>
          <w:b/>
          <w:i/>
        </w:rPr>
      </w:pPr>
      <w:r w:rsidRPr="00715E90">
        <w:rPr>
          <w:rFonts w:ascii="Palatino Linotype" w:hAnsi="Palatino Linotype" w:cs="Arial"/>
          <w:b/>
          <w:i/>
        </w:rPr>
        <w:t>RESPUESTA REC HUM SOL 193.pdf:</w:t>
      </w:r>
      <w:r w:rsidR="00F776D0" w:rsidRPr="00715E90">
        <w:rPr>
          <w:rFonts w:ascii="Palatino Linotype" w:hAnsi="Palatino Linotype" w:cs="Arial"/>
        </w:rPr>
        <w:t xml:space="preserve"> </w:t>
      </w:r>
      <w:r w:rsidR="00715E90" w:rsidRPr="00DB0D96">
        <w:rPr>
          <w:rFonts w:ascii="Palatino Linotype" w:hAnsi="Palatino Linotype" w:cs="Arial"/>
        </w:rPr>
        <w:t>cons</w:t>
      </w:r>
      <w:r w:rsidR="00776768">
        <w:rPr>
          <w:rFonts w:ascii="Palatino Linotype" w:hAnsi="Palatino Linotype" w:cs="Arial"/>
        </w:rPr>
        <w:t>tante de</w:t>
      </w:r>
      <w:r w:rsidR="00715E90" w:rsidRPr="00DB0D96">
        <w:rPr>
          <w:rFonts w:ascii="Palatino Linotype" w:hAnsi="Palatino Linotype" w:cs="Arial"/>
        </w:rPr>
        <w:t xml:space="preserve"> </w:t>
      </w:r>
      <w:r w:rsidR="00715E90">
        <w:rPr>
          <w:rFonts w:ascii="Palatino Linotype" w:hAnsi="Palatino Linotype" w:cs="Arial"/>
        </w:rPr>
        <w:t>cuatro</w:t>
      </w:r>
      <w:r w:rsidR="00715E90" w:rsidRPr="00DB0D96">
        <w:rPr>
          <w:rFonts w:ascii="Palatino Linotype" w:hAnsi="Palatino Linotype" w:cs="Arial"/>
        </w:rPr>
        <w:t xml:space="preserve"> foja</w:t>
      </w:r>
      <w:r w:rsidR="00715E90">
        <w:rPr>
          <w:rFonts w:ascii="Palatino Linotype" w:hAnsi="Palatino Linotype" w:cs="Arial"/>
        </w:rPr>
        <w:t>s</w:t>
      </w:r>
      <w:r w:rsidR="00715E90" w:rsidRPr="00DB0D96">
        <w:rPr>
          <w:rFonts w:ascii="Palatino Linotype" w:hAnsi="Palatino Linotype" w:cs="Arial"/>
        </w:rPr>
        <w:t xml:space="preserve">, </w:t>
      </w:r>
      <w:r w:rsidR="00776768">
        <w:rPr>
          <w:rFonts w:ascii="Palatino Linotype" w:hAnsi="Palatino Linotype" w:cs="Arial"/>
        </w:rPr>
        <w:t xml:space="preserve">en </w:t>
      </w:r>
      <w:r w:rsidR="00715E90" w:rsidRPr="00DB0D96">
        <w:rPr>
          <w:rFonts w:ascii="Palatino Linotype" w:hAnsi="Palatino Linotype" w:cs="Arial"/>
        </w:rPr>
        <w:t xml:space="preserve">formato </w:t>
      </w:r>
      <w:proofErr w:type="spellStart"/>
      <w:r w:rsidR="00715E90" w:rsidRPr="00DB0D96">
        <w:rPr>
          <w:rFonts w:ascii="Palatino Linotype" w:hAnsi="Palatino Linotype" w:cs="Arial"/>
        </w:rPr>
        <w:t>pdf</w:t>
      </w:r>
      <w:proofErr w:type="spellEnd"/>
      <w:r w:rsidR="00715E90" w:rsidRPr="00DB0D96">
        <w:rPr>
          <w:rFonts w:ascii="Palatino Linotype" w:hAnsi="Palatino Linotype" w:cs="Arial"/>
        </w:rPr>
        <w:t>, que contiene</w:t>
      </w:r>
      <w:r w:rsidR="00776768">
        <w:rPr>
          <w:rFonts w:ascii="Palatino Linotype" w:hAnsi="Palatino Linotype" w:cs="Arial"/>
        </w:rPr>
        <w:t xml:space="preserve"> lo siguiente</w:t>
      </w:r>
      <w:r w:rsidR="00715E90">
        <w:rPr>
          <w:rFonts w:ascii="Palatino Linotype" w:hAnsi="Palatino Linotype" w:cs="Arial"/>
        </w:rPr>
        <w:t>:</w:t>
      </w:r>
    </w:p>
    <w:p w:rsidR="00715E90" w:rsidRPr="00F776D0" w:rsidRDefault="00715E90" w:rsidP="00715E90">
      <w:pPr>
        <w:pStyle w:val="Sinespaciado"/>
        <w:numPr>
          <w:ilvl w:val="0"/>
          <w:numId w:val="10"/>
        </w:numPr>
        <w:spacing w:before="240" w:line="360" w:lineRule="auto"/>
        <w:ind w:left="567"/>
        <w:jc w:val="both"/>
        <w:rPr>
          <w:rFonts w:ascii="Palatino Linotype" w:hAnsi="Palatino Linotype" w:cs="Arial"/>
          <w:b/>
          <w:i/>
        </w:rPr>
      </w:pPr>
      <w:r>
        <w:rPr>
          <w:rFonts w:ascii="Palatino Linotype" w:hAnsi="Palatino Linotype" w:cs="Arial"/>
        </w:rPr>
        <w:t xml:space="preserve">Oficio número PMT/CRH/469/2022, de fecha veintitrés de noviembre de dos mil veintidós, firmado por la Coordinadora de Recursos Humanos, dirigido al Titular de la Unidad de Transparencia, en el que manifiesta lo siguiente: </w:t>
      </w:r>
    </w:p>
    <w:p w:rsidR="00715E90" w:rsidRDefault="00715E90" w:rsidP="00715E90">
      <w:pPr>
        <w:pStyle w:val="infoemcitas"/>
      </w:pPr>
      <w:r>
        <w:t xml:space="preserve">“Se informa que una vez realizada una búsqueda exhaustiva y minuciosa de la información solicitada dentro de los archivos que obran en esta Coordinación, se hace de su conocimiento que conforme al ejercicio de las funciones que lleva a cabo esta </w:t>
      </w:r>
      <w:r>
        <w:lastRenderedPageBreak/>
        <w:t xml:space="preserve">área administrativa, y en términos de lo establecido en el </w:t>
      </w:r>
      <w:r w:rsidR="00196A2B">
        <w:t>artículo</w:t>
      </w:r>
      <w:r>
        <w:t xml:space="preserve"> 12 de la Ley de Transparencia y Acceso a la Información Pública del Estado de México y Municipios, se adjuntan en formato PDF y en su versión pública, las copias de los certificados de Competencia Laboral que obran en los expedientes de los servidores públicos.” (sic)</w:t>
      </w:r>
    </w:p>
    <w:p w:rsidR="00715E90" w:rsidRDefault="00715E90" w:rsidP="00715E90">
      <w:pPr>
        <w:pStyle w:val="INFOEM"/>
        <w:numPr>
          <w:ilvl w:val="0"/>
          <w:numId w:val="10"/>
        </w:numPr>
        <w:ind w:left="567"/>
        <w:rPr>
          <w:i w:val="0"/>
          <w:sz w:val="24"/>
        </w:rPr>
      </w:pPr>
      <w:r>
        <w:rPr>
          <w:i w:val="0"/>
          <w:sz w:val="24"/>
        </w:rPr>
        <w:t>Certificado de competencia laboral de servidor público, de forma ilegible.</w:t>
      </w:r>
    </w:p>
    <w:p w:rsidR="00715E90" w:rsidRDefault="00715E90" w:rsidP="00715E90">
      <w:pPr>
        <w:pStyle w:val="INFOEM"/>
        <w:numPr>
          <w:ilvl w:val="0"/>
          <w:numId w:val="10"/>
        </w:numPr>
        <w:ind w:left="567"/>
        <w:rPr>
          <w:i w:val="0"/>
          <w:sz w:val="24"/>
        </w:rPr>
      </w:pPr>
      <w:r>
        <w:rPr>
          <w:i w:val="0"/>
          <w:sz w:val="24"/>
        </w:rPr>
        <w:t>Certificado de competencia laboral del Titular de la Unidad de Transparencia, de forma poco legible, en el que se testa Clave Única de Registro de Población (CURP) y Código QR.</w:t>
      </w:r>
    </w:p>
    <w:p w:rsidR="00667CD7" w:rsidRDefault="00715E90" w:rsidP="00667CD7">
      <w:pPr>
        <w:pStyle w:val="INFOEM"/>
        <w:numPr>
          <w:ilvl w:val="0"/>
          <w:numId w:val="10"/>
        </w:numPr>
        <w:ind w:left="567"/>
        <w:rPr>
          <w:i w:val="0"/>
          <w:sz w:val="24"/>
        </w:rPr>
      </w:pPr>
      <w:r>
        <w:rPr>
          <w:i w:val="0"/>
          <w:sz w:val="24"/>
        </w:rPr>
        <w:t>Certificado de competencia laboral del Titular de Obras Públicas, de forma poco legible, en el que se testa Clave Única de Registro de Población (CURP) y Código QR.</w:t>
      </w:r>
    </w:p>
    <w:p w:rsidR="00667CD7" w:rsidRPr="00667CD7" w:rsidRDefault="00667CD7" w:rsidP="00667CD7">
      <w:pPr>
        <w:pStyle w:val="INFOEM"/>
        <w:ind w:left="207"/>
        <w:rPr>
          <w:i w:val="0"/>
          <w:sz w:val="24"/>
        </w:rPr>
      </w:pPr>
    </w:p>
    <w:p w:rsidR="00667CD7" w:rsidRPr="00667CD7" w:rsidRDefault="00776768" w:rsidP="00667CD7">
      <w:pPr>
        <w:pStyle w:val="INFOEM"/>
        <w:ind w:left="0" w:right="0"/>
        <w:rPr>
          <w:i w:val="0"/>
          <w:sz w:val="24"/>
        </w:rPr>
      </w:pPr>
      <w:r>
        <w:rPr>
          <w:rFonts w:cs="Arial"/>
          <w:bCs/>
          <w:i w:val="0"/>
          <w:sz w:val="24"/>
        </w:rPr>
        <w:t>D</w:t>
      </w:r>
      <w:r w:rsidR="00667CD7" w:rsidRPr="00667CD7">
        <w:rPr>
          <w:rFonts w:cs="Arial"/>
          <w:bCs/>
          <w:i w:val="0"/>
          <w:sz w:val="24"/>
        </w:rPr>
        <w:t xml:space="preserve">erivado de la respuesta emitida por </w:t>
      </w:r>
      <w:r w:rsidR="00667CD7" w:rsidRPr="00667CD7">
        <w:rPr>
          <w:rFonts w:cs="Arial"/>
          <w:b/>
          <w:bCs/>
          <w:i w:val="0"/>
          <w:sz w:val="24"/>
        </w:rPr>
        <w:t>El Sujeto Obligado</w:t>
      </w:r>
      <w:r w:rsidR="00667CD7" w:rsidRPr="00667CD7">
        <w:rPr>
          <w:rFonts w:cs="Arial"/>
          <w:bCs/>
          <w:i w:val="0"/>
          <w:sz w:val="24"/>
        </w:rPr>
        <w:t xml:space="preserve">, </w:t>
      </w:r>
      <w:r w:rsidR="00667CD7" w:rsidRPr="00667CD7">
        <w:rPr>
          <w:rFonts w:cs="Arial"/>
          <w:b/>
          <w:bCs/>
          <w:i w:val="0"/>
          <w:sz w:val="24"/>
        </w:rPr>
        <w:t>el Recurrente</w:t>
      </w:r>
      <w:r w:rsidR="00667CD7" w:rsidRPr="00667CD7">
        <w:rPr>
          <w:rFonts w:cs="Arial"/>
          <w:bCs/>
          <w:i w:val="0"/>
          <w:sz w:val="24"/>
        </w:rPr>
        <w:t>, interpuso el presente recurso de revisión, señalando sustancialmente como sus razones o motivos de inconformidad, lo siguiente:</w:t>
      </w:r>
      <w:r w:rsidR="00667CD7" w:rsidRPr="00667CD7" w:rsidDel="00107C3B">
        <w:rPr>
          <w:b/>
          <w:i w:val="0"/>
          <w:sz w:val="24"/>
        </w:rPr>
        <w:t xml:space="preserve"> </w:t>
      </w:r>
      <w:r w:rsidR="00667CD7" w:rsidRPr="00667CD7">
        <w:rPr>
          <w:i w:val="0"/>
          <w:sz w:val="24"/>
        </w:rPr>
        <w:t>“</w:t>
      </w:r>
      <w:r w:rsidR="00667CD7" w:rsidRPr="00667CD7">
        <w:rPr>
          <w:sz w:val="24"/>
        </w:rPr>
        <w:t>por que tapan datos de la respuesta que proporcionan?” (Sic)</w:t>
      </w:r>
      <w:r w:rsidR="00667CD7" w:rsidRPr="00667CD7">
        <w:rPr>
          <w:i w:val="0"/>
          <w:sz w:val="24"/>
        </w:rPr>
        <w:t xml:space="preserve">. </w:t>
      </w:r>
      <w:r w:rsidR="00667CD7" w:rsidRPr="00667CD7">
        <w:rPr>
          <w:rFonts w:eastAsia="Palatino Linotype" w:cs="Palatino Linotype"/>
          <w:i w:val="0"/>
          <w:color w:val="000000"/>
          <w:sz w:val="24"/>
        </w:rPr>
        <w:t>Posteriormente el sujeto obligado en su informe justificado remitió archivos electrónicos, mismos que se pusieron a la vista del recurrente, documentos que contienen lo siguiente:</w:t>
      </w:r>
      <w:r w:rsidR="00791EBA">
        <w:rPr>
          <w:rFonts w:eastAsia="Palatino Linotype" w:cs="Palatino Linotype"/>
          <w:i w:val="0"/>
          <w:color w:val="000000"/>
          <w:sz w:val="24"/>
        </w:rPr>
        <w:t xml:space="preserve">   </w:t>
      </w:r>
    </w:p>
    <w:p w:rsidR="00667CD7" w:rsidRDefault="00286834" w:rsidP="00286834">
      <w:pPr>
        <w:pStyle w:val="Prrafodelista"/>
        <w:numPr>
          <w:ilvl w:val="0"/>
          <w:numId w:val="11"/>
        </w:numPr>
        <w:pBdr>
          <w:top w:val="nil"/>
          <w:left w:val="nil"/>
          <w:bottom w:val="nil"/>
          <w:right w:val="nil"/>
          <w:between w:val="nil"/>
        </w:pBdr>
        <w:spacing w:line="360" w:lineRule="auto"/>
        <w:contextualSpacing/>
        <w:jc w:val="both"/>
        <w:rPr>
          <w:rFonts w:ascii="Palatino Linotype" w:hAnsi="Palatino Linotype" w:cs="Arial"/>
          <w:i/>
          <w:sz w:val="22"/>
          <w:szCs w:val="22"/>
        </w:rPr>
      </w:pPr>
      <w:r w:rsidRPr="00286834">
        <w:rPr>
          <w:rFonts w:ascii="Palatino Linotype" w:hAnsi="Palatino Linotype" w:cs="Arial"/>
          <w:b/>
        </w:rPr>
        <w:t>Manifestaciones del Particular.pdf</w:t>
      </w:r>
      <w:r w:rsidR="00667CD7" w:rsidRPr="00EC5F2F">
        <w:rPr>
          <w:rFonts w:ascii="Palatino Linotype" w:hAnsi="Palatino Linotype" w:cs="Arial"/>
          <w:b/>
        </w:rPr>
        <w:t xml:space="preserve">: </w:t>
      </w:r>
      <w:r w:rsidR="00667CD7">
        <w:rPr>
          <w:rFonts w:ascii="Palatino Linotype" w:hAnsi="Palatino Linotype" w:cs="Arial"/>
        </w:rPr>
        <w:t xml:space="preserve">contiene </w:t>
      </w:r>
      <w:r>
        <w:rPr>
          <w:rFonts w:ascii="Palatino Linotype" w:hAnsi="Palatino Linotype" w:cs="Arial"/>
        </w:rPr>
        <w:t>el acuse de Interposición de Recurso.</w:t>
      </w:r>
    </w:p>
    <w:p w:rsidR="00286834" w:rsidRDefault="00286834" w:rsidP="00286834">
      <w:pPr>
        <w:pStyle w:val="Prrafodelista"/>
        <w:numPr>
          <w:ilvl w:val="0"/>
          <w:numId w:val="12"/>
        </w:numPr>
        <w:pBdr>
          <w:top w:val="nil"/>
          <w:left w:val="nil"/>
          <w:bottom w:val="nil"/>
          <w:right w:val="nil"/>
          <w:between w:val="nil"/>
        </w:pBdr>
        <w:spacing w:line="360" w:lineRule="auto"/>
        <w:ind w:left="709" w:right="-18"/>
        <w:contextualSpacing/>
        <w:jc w:val="both"/>
        <w:rPr>
          <w:rFonts w:ascii="Palatino Linotype" w:hAnsi="Palatino Linotype" w:cs="Arial"/>
          <w:b/>
        </w:rPr>
      </w:pPr>
      <w:r w:rsidRPr="00286834">
        <w:rPr>
          <w:rFonts w:ascii="Palatino Linotype" w:hAnsi="Palatino Linotype" w:cs="Arial"/>
          <w:b/>
        </w:rPr>
        <w:lastRenderedPageBreak/>
        <w:t>16950_2022_AA_JMV.pdf</w:t>
      </w:r>
      <w:r>
        <w:rPr>
          <w:rFonts w:ascii="Palatino Linotype" w:hAnsi="Palatino Linotype" w:cs="Arial"/>
          <w:b/>
        </w:rPr>
        <w:t xml:space="preserve">: </w:t>
      </w:r>
      <w:r>
        <w:rPr>
          <w:rFonts w:ascii="Palatino Linotype" w:hAnsi="Palatino Linotype" w:cs="Arial"/>
        </w:rPr>
        <w:t>contiene el acuerdo de admisión del recurso de revisión citado al rubro.</w:t>
      </w:r>
    </w:p>
    <w:p w:rsidR="00286834" w:rsidRPr="00286834" w:rsidRDefault="00286834" w:rsidP="00286834">
      <w:pPr>
        <w:pStyle w:val="Prrafodelista"/>
        <w:numPr>
          <w:ilvl w:val="0"/>
          <w:numId w:val="12"/>
        </w:numPr>
        <w:pBdr>
          <w:top w:val="nil"/>
          <w:left w:val="nil"/>
          <w:bottom w:val="nil"/>
          <w:right w:val="nil"/>
          <w:between w:val="nil"/>
        </w:pBdr>
        <w:spacing w:line="360" w:lineRule="auto"/>
        <w:ind w:left="709" w:right="-18"/>
        <w:contextualSpacing/>
        <w:jc w:val="both"/>
        <w:rPr>
          <w:rFonts w:ascii="Palatino Linotype" w:hAnsi="Palatino Linotype" w:cs="Arial"/>
          <w:b/>
        </w:rPr>
      </w:pPr>
      <w:r w:rsidRPr="00286834">
        <w:rPr>
          <w:rFonts w:ascii="Palatino Linotype" w:hAnsi="Palatino Linotype" w:cs="Arial"/>
          <w:b/>
        </w:rPr>
        <w:t>MANIFESTACIONES RR 16950.pdf</w:t>
      </w:r>
      <w:r>
        <w:rPr>
          <w:rFonts w:ascii="Palatino Linotype" w:hAnsi="Palatino Linotype" w:cs="Arial"/>
          <w:b/>
        </w:rPr>
        <w:t xml:space="preserve">: </w:t>
      </w:r>
      <w:r>
        <w:rPr>
          <w:rFonts w:ascii="Palatino Linotype" w:hAnsi="Palatino Linotype" w:cs="Arial"/>
        </w:rPr>
        <w:t>cons</w:t>
      </w:r>
      <w:r w:rsidR="00776768">
        <w:rPr>
          <w:rFonts w:ascii="Palatino Linotype" w:hAnsi="Palatino Linotype" w:cs="Arial"/>
        </w:rPr>
        <w:t xml:space="preserve">tante de </w:t>
      </w:r>
      <w:r>
        <w:rPr>
          <w:rFonts w:ascii="Palatino Linotype" w:hAnsi="Palatino Linotype" w:cs="Arial"/>
        </w:rPr>
        <w:t xml:space="preserve">cuatro fojas, formato </w:t>
      </w:r>
      <w:proofErr w:type="spellStart"/>
      <w:r>
        <w:rPr>
          <w:rFonts w:ascii="Palatino Linotype" w:hAnsi="Palatino Linotype" w:cs="Arial"/>
        </w:rPr>
        <w:t>pdf</w:t>
      </w:r>
      <w:proofErr w:type="spellEnd"/>
      <w:r>
        <w:rPr>
          <w:rFonts w:ascii="Palatino Linotype" w:hAnsi="Palatino Linotype" w:cs="Arial"/>
        </w:rPr>
        <w:t>, que contienen el informe justificado del Sujeto Obligado.</w:t>
      </w:r>
    </w:p>
    <w:p w:rsidR="00D43A68" w:rsidRDefault="00512AB7" w:rsidP="00715E90">
      <w:pPr>
        <w:pStyle w:val="Sinespaciado"/>
        <w:spacing w:before="240" w:line="360" w:lineRule="auto"/>
        <w:jc w:val="both"/>
        <w:rPr>
          <w:rFonts w:ascii="Palatino Linotype" w:hAnsi="Palatino Linotype"/>
        </w:rPr>
      </w:pPr>
      <w:r>
        <w:rPr>
          <w:rFonts w:ascii="Palatino Linotype" w:hAnsi="Palatino Linotype"/>
        </w:rPr>
        <w:t xml:space="preserve">En primer lugar, </w:t>
      </w:r>
      <w:r w:rsidR="00D43A68">
        <w:rPr>
          <w:rFonts w:ascii="Palatino Linotype" w:hAnsi="Palatino Linotype"/>
        </w:rPr>
        <w:t>se advierte que fueron adjuntados los certificados de competencia</w:t>
      </w:r>
      <w:r w:rsidR="00E30AD9">
        <w:rPr>
          <w:rFonts w:ascii="Palatino Linotype" w:hAnsi="Palatino Linotype"/>
        </w:rPr>
        <w:t xml:space="preserve"> laboral, si bien se encuentra </w:t>
      </w:r>
      <w:r w:rsidR="00D43A68">
        <w:rPr>
          <w:rFonts w:ascii="Palatino Linotype" w:hAnsi="Palatino Linotype"/>
        </w:rPr>
        <w:t xml:space="preserve">clasificada la información de carácter sensible como lo es el CURP, también lo es que el </w:t>
      </w:r>
      <w:r w:rsidR="00E30AD9">
        <w:rPr>
          <w:rFonts w:ascii="Palatino Linotype" w:hAnsi="Palatino Linotype"/>
        </w:rPr>
        <w:t xml:space="preserve">Código QR no contiene datos susceptibles de clasificarse, aunado a ello, el </w:t>
      </w:r>
      <w:r w:rsidR="00D43A68">
        <w:rPr>
          <w:rFonts w:ascii="Palatino Linotype" w:hAnsi="Palatino Linotype"/>
        </w:rPr>
        <w:t>Sujeto Obligado fue omiso en remitir el acuerdo de clasificación que sustenta la clasificación de la información, circunstancia que genera una incertidumbre en el Recurrente, respecto de cuáles son las consideraciones de hecho y de derecho que justifican la clasificación de la información.</w:t>
      </w:r>
    </w:p>
    <w:p w:rsidR="00715E90" w:rsidRDefault="00D43A68" w:rsidP="00715E90">
      <w:pPr>
        <w:pStyle w:val="Sinespaciado"/>
        <w:spacing w:before="240" w:line="360" w:lineRule="auto"/>
        <w:jc w:val="both"/>
        <w:rPr>
          <w:rFonts w:ascii="Palatino Linotype" w:hAnsi="Palatino Linotype"/>
        </w:rPr>
      </w:pPr>
      <w:r>
        <w:rPr>
          <w:rFonts w:ascii="Palatino Linotype" w:hAnsi="Palatino Linotype"/>
        </w:rPr>
        <w:t xml:space="preserve">Aunado a ello, dichos certificados no se logran apreciar completamente, por lo que si bien el Sujeto Obligado pretendió hacer entrega de la información, de conformidad con el contenido de los documentos proporcionados, en el primer certificado no se logra vincular el cargo para el que está capacitado, por lo que respecta a los certificados restantes no se logran apreciar ciertas leyendas, circunstancia que pone en estado de incertidumbre tanto al </w:t>
      </w:r>
      <w:r>
        <w:rPr>
          <w:rFonts w:ascii="Palatino Linotype" w:hAnsi="Palatino Linotype"/>
          <w:b/>
        </w:rPr>
        <w:t xml:space="preserve">Recurrente </w:t>
      </w:r>
      <w:r>
        <w:rPr>
          <w:rFonts w:ascii="Palatino Linotype" w:hAnsi="Palatino Linotype"/>
        </w:rPr>
        <w:t xml:space="preserve">como a este </w:t>
      </w:r>
      <w:r>
        <w:rPr>
          <w:rFonts w:ascii="Palatino Linotype" w:hAnsi="Palatino Linotype"/>
          <w:b/>
        </w:rPr>
        <w:t xml:space="preserve">Órgano Garante, </w:t>
      </w:r>
      <w:r>
        <w:rPr>
          <w:rFonts w:ascii="Palatino Linotype" w:hAnsi="Palatino Linotype"/>
        </w:rPr>
        <w:t>el poder determinar si las documentales, satisfacen los requerimientos de información.</w:t>
      </w:r>
    </w:p>
    <w:p w:rsidR="00D43A68" w:rsidRDefault="00D43A68" w:rsidP="00715E90">
      <w:pPr>
        <w:pStyle w:val="Sinespaciado"/>
        <w:spacing w:before="240" w:line="360" w:lineRule="auto"/>
        <w:jc w:val="both"/>
        <w:rPr>
          <w:rFonts w:ascii="Palatino Linotype" w:hAnsi="Palatino Linotype"/>
        </w:rPr>
      </w:pPr>
      <w:r>
        <w:rPr>
          <w:rFonts w:ascii="Palatino Linotype" w:hAnsi="Palatino Linotype"/>
        </w:rPr>
        <w:t xml:space="preserve">Ahora bien, de conformidad con la información peticionada, particularmente certificaciones de competencia laboral, conviene hacer referencia a lo estipulado por la Ley Orgánica Municipal del Estado de México, en los siguientes artículos: </w:t>
      </w:r>
    </w:p>
    <w:p w:rsidR="00A200F0" w:rsidRPr="00A200F0" w:rsidRDefault="00A200F0" w:rsidP="00A200F0">
      <w:pPr>
        <w:pStyle w:val="infoemcitas"/>
        <w:spacing w:line="240" w:lineRule="auto"/>
      </w:pPr>
      <w:r w:rsidRPr="00A200F0">
        <w:rPr>
          <w:b/>
        </w:rPr>
        <w:lastRenderedPageBreak/>
        <w:t xml:space="preserve">Artículo 32. </w:t>
      </w:r>
      <w:r w:rsidRPr="00A200F0">
        <w:t xml:space="preserve">Para ocupar las titularidades de la Secretaría, la Tesorería, la </w:t>
      </w:r>
      <w:r w:rsidRPr="00A200F0">
        <w:rPr>
          <w:b/>
        </w:rPr>
        <w:t>Dirección de Obras Públicas,</w:t>
      </w:r>
      <w:r w:rsidRPr="00A200F0">
        <w:t xml:space="preserve"> de Desarrollo Económico, de Turismo, de Ecología, de </w:t>
      </w:r>
      <w:r w:rsidRPr="00A200F0">
        <w:rPr>
          <w:b/>
        </w:rPr>
        <w:t>Desarrollo Urbano</w:t>
      </w:r>
      <w:r w:rsidRPr="00A200F0">
        <w:t>, de</w:t>
      </w:r>
      <w:r>
        <w:t xml:space="preserve"> </w:t>
      </w:r>
      <w:r w:rsidRPr="00A200F0">
        <w:t xml:space="preserve">Desarrollo Social, de las Mujeres, de la Coordinación General Municipal de Mejora Regulatoria, de la Coordinación Municipal de Protección Civil, de las </w:t>
      </w:r>
      <w:r w:rsidRPr="00A200F0">
        <w:rPr>
          <w:b/>
        </w:rPr>
        <w:t>unidades administrativas</w:t>
      </w:r>
      <w:r w:rsidRPr="00A200F0">
        <w:t xml:space="preserve"> y de los</w:t>
      </w:r>
      <w:r>
        <w:t xml:space="preserve"> </w:t>
      </w:r>
      <w:r w:rsidRPr="00A200F0">
        <w:t>organismos auxiliares, se deberán satisfacer los siguientes requisitos:</w:t>
      </w:r>
    </w:p>
    <w:p w:rsidR="00A200F0" w:rsidRPr="00A200F0" w:rsidRDefault="00A200F0" w:rsidP="00A200F0">
      <w:pPr>
        <w:pStyle w:val="infoemcitas"/>
        <w:spacing w:line="240" w:lineRule="auto"/>
      </w:pPr>
      <w:r w:rsidRPr="00A200F0">
        <w:t>I. Ser persona ciudadana del Estado, en pleno uso de sus derechos;</w:t>
      </w:r>
    </w:p>
    <w:p w:rsidR="00A200F0" w:rsidRPr="00A200F0" w:rsidRDefault="00A200F0" w:rsidP="00A200F0">
      <w:pPr>
        <w:pStyle w:val="infoemcitas"/>
        <w:spacing w:line="240" w:lineRule="auto"/>
      </w:pPr>
      <w:r w:rsidRPr="00A200F0">
        <w:t>II. No estar inhabilitada o inhabilitado para desempeñar cargo, empleo, o comisión pública;</w:t>
      </w:r>
    </w:p>
    <w:p w:rsidR="00A200F0" w:rsidRPr="00A200F0" w:rsidRDefault="00A200F0" w:rsidP="00A200F0">
      <w:pPr>
        <w:pStyle w:val="infoemcitas"/>
        <w:spacing w:line="240" w:lineRule="auto"/>
      </w:pPr>
      <w:r w:rsidRPr="00A200F0">
        <w:t>III. Contar con título profesional o acreditar experiencia mínima de un año en la materia, ante</w:t>
      </w:r>
      <w:r>
        <w:t xml:space="preserve"> </w:t>
      </w:r>
      <w:r w:rsidRPr="00A200F0">
        <w:t>la o el Presidente o el Ayuntamiento, cuando sea el caso, para el desempeño de los cargos que</w:t>
      </w:r>
      <w:r>
        <w:t xml:space="preserve"> </w:t>
      </w:r>
      <w:r w:rsidRPr="00A200F0">
        <w:t>así lo requieran;</w:t>
      </w:r>
    </w:p>
    <w:p w:rsidR="00A200F0" w:rsidRPr="00A200F0" w:rsidRDefault="00A200F0" w:rsidP="00A200F0">
      <w:pPr>
        <w:pStyle w:val="infoemcitas"/>
        <w:spacing w:line="240" w:lineRule="auto"/>
        <w:rPr>
          <w:b/>
        </w:rPr>
      </w:pPr>
      <w:r w:rsidRPr="00A200F0">
        <w:rPr>
          <w:b/>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rsidR="00A200F0" w:rsidRPr="00A200F0" w:rsidRDefault="00A200F0" w:rsidP="00A200F0">
      <w:pPr>
        <w:pStyle w:val="infoemcitas"/>
        <w:spacing w:line="240" w:lineRule="auto"/>
      </w:pPr>
      <w:r w:rsidRPr="00A200F0">
        <w:t>V. No estar condenada o condenado por sentencia ejecutoriada por el delito de violencia política</w:t>
      </w:r>
      <w:r>
        <w:t xml:space="preserve"> </w:t>
      </w:r>
      <w:r w:rsidRPr="00A200F0">
        <w:t>contra las mujeres en razón de género;</w:t>
      </w:r>
    </w:p>
    <w:p w:rsidR="00A200F0" w:rsidRPr="00A200F0" w:rsidRDefault="00A200F0" w:rsidP="00A200F0">
      <w:pPr>
        <w:pStyle w:val="infoemcitas"/>
        <w:spacing w:line="240" w:lineRule="auto"/>
      </w:pPr>
      <w:r w:rsidRPr="00A200F0">
        <w:t>VI. No estar inscrito en el Registro de Deudores Alimentarios Morosos en el Estado, ni en otra</w:t>
      </w:r>
      <w:r>
        <w:t xml:space="preserve"> </w:t>
      </w:r>
      <w:r w:rsidRPr="00A200F0">
        <w:t>entidad federativa, y</w:t>
      </w:r>
    </w:p>
    <w:p w:rsidR="00A200F0" w:rsidRPr="00A200F0" w:rsidRDefault="00A200F0" w:rsidP="00A200F0">
      <w:pPr>
        <w:pStyle w:val="infoemcitas"/>
        <w:spacing w:line="240" w:lineRule="auto"/>
      </w:pPr>
      <w:r w:rsidRPr="00A200F0">
        <w:t>VII. No estar condenada o condenado por sentencia ejecutoriada por delitos de violencia</w:t>
      </w:r>
      <w:r>
        <w:t xml:space="preserve"> </w:t>
      </w:r>
      <w:r w:rsidRPr="00A200F0">
        <w:t>familiar, contra la libertad sexual o de violencia de género.</w:t>
      </w:r>
    </w:p>
    <w:p w:rsidR="00BD1607" w:rsidRDefault="00A200F0" w:rsidP="00A200F0">
      <w:pPr>
        <w:pStyle w:val="infoemcitas"/>
        <w:spacing w:line="240" w:lineRule="auto"/>
        <w:rPr>
          <w:sz w:val="24"/>
          <w:szCs w:val="24"/>
        </w:rPr>
      </w:pPr>
      <w:r w:rsidRPr="00A200F0">
        <w:t>Vencido el plazo a que se refiere la fracción IV, la o el Presidente Municipal informará al Cabildo</w:t>
      </w:r>
      <w:r>
        <w:t xml:space="preserve"> </w:t>
      </w:r>
      <w:r w:rsidRPr="00A200F0">
        <w:t>sobre el cumplimiento de dicha certificación laboral para que, en su caso, el Ayuntamiento</w:t>
      </w:r>
      <w:r>
        <w:t xml:space="preserve"> </w:t>
      </w:r>
      <w:r w:rsidRPr="00A200F0">
        <w:t>tome las medidas correspondientes</w:t>
      </w:r>
      <w:r w:rsidRPr="00A200F0">
        <w:rPr>
          <w:b/>
        </w:rPr>
        <w:t xml:space="preserve"> </w:t>
      </w:r>
      <w:r w:rsidRPr="00A200F0">
        <w:t>respecto de aquellos servidores públicos que no hubiesen</w:t>
      </w:r>
      <w:r>
        <w:t xml:space="preserve"> </w:t>
      </w:r>
      <w:r w:rsidRPr="00A200F0">
        <w:t>cumplido.</w:t>
      </w:r>
      <w:r w:rsidRPr="00A200F0">
        <w:cr/>
      </w:r>
    </w:p>
    <w:p w:rsidR="00A200F0" w:rsidRPr="00A200F0" w:rsidRDefault="00A200F0" w:rsidP="00A200F0">
      <w:pPr>
        <w:pStyle w:val="infoemcitas"/>
        <w:spacing w:line="240" w:lineRule="auto"/>
        <w:rPr>
          <w:rFonts w:cs="Tahoma"/>
          <w:bCs/>
          <w:iCs/>
          <w:sz w:val="24"/>
          <w:szCs w:val="24"/>
        </w:rPr>
      </w:pPr>
      <w:r w:rsidRPr="007002D5">
        <w:rPr>
          <w:rFonts w:cs="Tahoma"/>
          <w:b/>
          <w:bCs/>
          <w:iCs/>
          <w:sz w:val="24"/>
          <w:szCs w:val="24"/>
        </w:rPr>
        <w:t xml:space="preserve">Artículo 96 Ter. </w:t>
      </w:r>
      <w:r w:rsidRPr="00791EBA">
        <w:rPr>
          <w:rFonts w:cs="Tahoma"/>
          <w:b/>
          <w:bCs/>
          <w:iCs/>
          <w:sz w:val="24"/>
          <w:szCs w:val="24"/>
          <w:u w:val="single"/>
        </w:rPr>
        <w:t>El Director de Obras Públicas o Titular de la Unidad Administrativa equivalente</w:t>
      </w:r>
      <w:r w:rsidRPr="00A200F0">
        <w:rPr>
          <w:rFonts w:cs="Tahoma"/>
          <w:bCs/>
          <w:iCs/>
          <w:sz w:val="24"/>
          <w:szCs w:val="24"/>
        </w:rPr>
        <w:t>, además de los requisitos del artículo 32 de esta Ley, requiere contar con título</w:t>
      </w:r>
      <w:r>
        <w:rPr>
          <w:rFonts w:cs="Tahoma"/>
          <w:bCs/>
          <w:iCs/>
          <w:sz w:val="24"/>
          <w:szCs w:val="24"/>
        </w:rPr>
        <w:t xml:space="preserve"> </w:t>
      </w:r>
      <w:r w:rsidRPr="00A200F0">
        <w:rPr>
          <w:rFonts w:cs="Tahoma"/>
          <w:bCs/>
          <w:iCs/>
          <w:sz w:val="24"/>
          <w:szCs w:val="24"/>
        </w:rPr>
        <w:t xml:space="preserve">profesional en ingeniería, arquitectura o </w:t>
      </w:r>
      <w:r w:rsidRPr="00A200F0">
        <w:rPr>
          <w:rFonts w:cs="Tahoma"/>
          <w:bCs/>
          <w:iCs/>
          <w:sz w:val="24"/>
          <w:szCs w:val="24"/>
        </w:rPr>
        <w:lastRenderedPageBreak/>
        <w:t>alguna área afín, o contar con una experiencia mínima</w:t>
      </w:r>
      <w:r>
        <w:rPr>
          <w:rFonts w:cs="Tahoma"/>
          <w:bCs/>
          <w:iCs/>
          <w:sz w:val="24"/>
          <w:szCs w:val="24"/>
        </w:rPr>
        <w:t xml:space="preserve"> </w:t>
      </w:r>
      <w:r w:rsidRPr="00A200F0">
        <w:rPr>
          <w:rFonts w:cs="Tahoma"/>
          <w:bCs/>
          <w:iCs/>
          <w:sz w:val="24"/>
          <w:szCs w:val="24"/>
        </w:rPr>
        <w:t>de un año, con anterioridad a la fecha de su designación.</w:t>
      </w:r>
    </w:p>
    <w:p w:rsidR="00A200F0" w:rsidRDefault="00A200F0" w:rsidP="00A200F0">
      <w:pPr>
        <w:pStyle w:val="infoemcitas"/>
        <w:spacing w:line="240" w:lineRule="auto"/>
        <w:rPr>
          <w:rFonts w:cs="Tahoma"/>
          <w:bCs/>
          <w:iCs/>
          <w:sz w:val="24"/>
          <w:szCs w:val="24"/>
        </w:rPr>
      </w:pPr>
      <w:r w:rsidRPr="00A200F0">
        <w:rPr>
          <w:rFonts w:cs="Tahoma"/>
          <w:bCs/>
          <w:iCs/>
          <w:sz w:val="24"/>
          <w:szCs w:val="24"/>
        </w:rPr>
        <w:t>Además, deberá acreditar, dentro de los seis meses siguientes a la fecha en que inicie</w:t>
      </w:r>
      <w:r>
        <w:rPr>
          <w:rFonts w:cs="Tahoma"/>
          <w:bCs/>
          <w:iCs/>
          <w:sz w:val="24"/>
          <w:szCs w:val="24"/>
        </w:rPr>
        <w:t xml:space="preserve"> </w:t>
      </w:r>
      <w:r w:rsidRPr="00A200F0">
        <w:rPr>
          <w:rFonts w:cs="Tahoma"/>
          <w:bCs/>
          <w:iCs/>
          <w:sz w:val="24"/>
          <w:szCs w:val="24"/>
        </w:rPr>
        <w:t>funciones, la certificación de competencia laboral expedida por el Instituto Hacendario del</w:t>
      </w:r>
      <w:r>
        <w:rPr>
          <w:rFonts w:cs="Tahoma"/>
          <w:bCs/>
          <w:iCs/>
          <w:sz w:val="24"/>
          <w:szCs w:val="24"/>
        </w:rPr>
        <w:t xml:space="preserve"> </w:t>
      </w:r>
      <w:r w:rsidRPr="00A200F0">
        <w:rPr>
          <w:rFonts w:cs="Tahoma"/>
          <w:bCs/>
          <w:iCs/>
          <w:sz w:val="24"/>
          <w:szCs w:val="24"/>
        </w:rPr>
        <w:t>Estado de México o por alguna otra institución con reconocimiento de validez oficial, que</w:t>
      </w:r>
      <w:r>
        <w:rPr>
          <w:rFonts w:cs="Tahoma"/>
          <w:bCs/>
          <w:iCs/>
          <w:sz w:val="24"/>
          <w:szCs w:val="24"/>
        </w:rPr>
        <w:t xml:space="preserve"> </w:t>
      </w:r>
      <w:r w:rsidRPr="00A200F0">
        <w:rPr>
          <w:rFonts w:cs="Tahoma"/>
          <w:bCs/>
          <w:iCs/>
          <w:sz w:val="24"/>
          <w:szCs w:val="24"/>
        </w:rPr>
        <w:t>asegure los conocimientos y habilidades para desempeñar el cargo, de conformidad con los</w:t>
      </w:r>
      <w:r w:rsidR="00791EBA">
        <w:rPr>
          <w:rFonts w:cs="Tahoma"/>
          <w:bCs/>
          <w:iCs/>
          <w:sz w:val="24"/>
          <w:szCs w:val="24"/>
        </w:rPr>
        <w:t xml:space="preserve"> </w:t>
      </w:r>
      <w:r w:rsidRPr="00A200F0">
        <w:rPr>
          <w:rFonts w:cs="Tahoma"/>
          <w:bCs/>
          <w:iCs/>
          <w:sz w:val="24"/>
          <w:szCs w:val="24"/>
        </w:rPr>
        <w:t>aspectos técnicos y operativos aplicables al Estado de México.</w:t>
      </w:r>
    </w:p>
    <w:p w:rsidR="00D96DAC" w:rsidRDefault="007002D5" w:rsidP="007002D5">
      <w:pPr>
        <w:pStyle w:val="infoemcitas"/>
        <w:spacing w:line="240" w:lineRule="auto"/>
        <w:rPr>
          <w:rFonts w:cs="Tahoma"/>
          <w:bCs/>
          <w:iCs/>
          <w:sz w:val="24"/>
          <w:szCs w:val="24"/>
        </w:rPr>
      </w:pPr>
      <w:r w:rsidRPr="007002D5">
        <w:rPr>
          <w:rFonts w:cs="Tahoma"/>
          <w:b/>
          <w:bCs/>
          <w:iCs/>
          <w:sz w:val="24"/>
          <w:szCs w:val="24"/>
        </w:rPr>
        <w:t xml:space="preserve">Artículo 96 </w:t>
      </w:r>
      <w:proofErr w:type="spellStart"/>
      <w:r w:rsidRPr="007002D5">
        <w:rPr>
          <w:rFonts w:cs="Tahoma"/>
          <w:b/>
          <w:bCs/>
          <w:iCs/>
          <w:sz w:val="24"/>
          <w:szCs w:val="24"/>
        </w:rPr>
        <w:t>Septies</w:t>
      </w:r>
      <w:proofErr w:type="spellEnd"/>
      <w:r w:rsidRPr="007002D5">
        <w:rPr>
          <w:rFonts w:cs="Tahoma"/>
          <w:b/>
          <w:bCs/>
          <w:iCs/>
          <w:sz w:val="24"/>
          <w:szCs w:val="24"/>
        </w:rPr>
        <w:t>.</w:t>
      </w:r>
      <w:r w:rsidRPr="007002D5">
        <w:rPr>
          <w:rFonts w:cs="Tahoma"/>
          <w:bCs/>
          <w:iCs/>
          <w:sz w:val="24"/>
          <w:szCs w:val="24"/>
        </w:rPr>
        <w:t xml:space="preserve"> </w:t>
      </w:r>
      <w:r w:rsidRPr="00791EBA">
        <w:rPr>
          <w:rFonts w:cs="Tahoma"/>
          <w:b/>
          <w:bCs/>
          <w:iCs/>
          <w:sz w:val="24"/>
          <w:szCs w:val="24"/>
          <w:u w:val="single"/>
        </w:rPr>
        <w:t>El Director de Desarrollo Urbano o el Titular de la Unidad Administrativa equivalente</w:t>
      </w:r>
      <w:r w:rsidRPr="007002D5">
        <w:rPr>
          <w:rFonts w:cs="Tahoma"/>
          <w:bCs/>
          <w:iCs/>
          <w:sz w:val="24"/>
          <w:szCs w:val="24"/>
        </w:rPr>
        <w:t>, además de los requisitos establecidos en el artículo 32 de esta Ley, requiere contar</w:t>
      </w:r>
      <w:r>
        <w:rPr>
          <w:rFonts w:cs="Tahoma"/>
          <w:bCs/>
          <w:iCs/>
          <w:sz w:val="24"/>
          <w:szCs w:val="24"/>
        </w:rPr>
        <w:t xml:space="preserve"> </w:t>
      </w:r>
      <w:r w:rsidRPr="007002D5">
        <w:rPr>
          <w:rFonts w:cs="Tahoma"/>
          <w:bCs/>
          <w:iCs/>
          <w:sz w:val="24"/>
          <w:szCs w:val="24"/>
        </w:rPr>
        <w:t>con título profesional en el área de ingeniería civil-arquitectura o afín, o contar con una</w:t>
      </w:r>
      <w:r>
        <w:rPr>
          <w:rFonts w:cs="Tahoma"/>
          <w:bCs/>
          <w:iCs/>
          <w:sz w:val="24"/>
          <w:szCs w:val="24"/>
        </w:rPr>
        <w:t xml:space="preserve"> </w:t>
      </w:r>
      <w:r w:rsidRPr="007002D5">
        <w:rPr>
          <w:rFonts w:cs="Tahoma"/>
          <w:bCs/>
          <w:iCs/>
          <w:sz w:val="24"/>
          <w:szCs w:val="24"/>
        </w:rPr>
        <w:t>experiencia mínima de un año, con anterioridad a la fecha de su designación; además deberá</w:t>
      </w:r>
      <w:r>
        <w:rPr>
          <w:rFonts w:cs="Tahoma"/>
          <w:bCs/>
          <w:iCs/>
          <w:sz w:val="24"/>
          <w:szCs w:val="24"/>
        </w:rPr>
        <w:t xml:space="preserve"> </w:t>
      </w:r>
      <w:r w:rsidRPr="007002D5">
        <w:rPr>
          <w:rFonts w:cs="Tahoma"/>
          <w:bCs/>
          <w:iCs/>
          <w:sz w:val="24"/>
          <w:szCs w:val="24"/>
        </w:rPr>
        <w:t>acreditar, dentro de los seis meses siguientes a la fecha en que inicie sus funciones, la</w:t>
      </w:r>
      <w:r>
        <w:rPr>
          <w:rFonts w:cs="Tahoma"/>
          <w:bCs/>
          <w:iCs/>
          <w:sz w:val="24"/>
          <w:szCs w:val="24"/>
        </w:rPr>
        <w:t xml:space="preserve"> </w:t>
      </w:r>
      <w:r w:rsidRPr="007002D5">
        <w:rPr>
          <w:rFonts w:cs="Tahoma"/>
          <w:bCs/>
          <w:iCs/>
          <w:sz w:val="24"/>
          <w:szCs w:val="24"/>
        </w:rPr>
        <w:t>certificación de competencia laboral expedida por el Instituto Hacendario del Estado de México</w:t>
      </w:r>
      <w:r>
        <w:rPr>
          <w:rFonts w:cs="Tahoma"/>
          <w:bCs/>
          <w:iCs/>
          <w:sz w:val="24"/>
          <w:szCs w:val="24"/>
        </w:rPr>
        <w:t xml:space="preserve"> </w:t>
      </w:r>
      <w:r w:rsidRPr="007002D5">
        <w:rPr>
          <w:rFonts w:cs="Tahoma"/>
          <w:bCs/>
          <w:iCs/>
          <w:sz w:val="24"/>
          <w:szCs w:val="24"/>
        </w:rPr>
        <w:t>o por alguna otra institución con reconocimiento de validez oficial, que asegure los</w:t>
      </w:r>
      <w:r>
        <w:rPr>
          <w:rFonts w:cs="Tahoma"/>
          <w:bCs/>
          <w:iCs/>
          <w:sz w:val="24"/>
          <w:szCs w:val="24"/>
        </w:rPr>
        <w:t xml:space="preserve"> </w:t>
      </w:r>
      <w:r w:rsidRPr="007002D5">
        <w:rPr>
          <w:rFonts w:cs="Tahoma"/>
          <w:bCs/>
          <w:iCs/>
          <w:sz w:val="24"/>
          <w:szCs w:val="24"/>
        </w:rPr>
        <w:t>conocimientos y habilidades para desempeñar el cargo, de conformidad con los aspectos</w:t>
      </w:r>
      <w:r>
        <w:rPr>
          <w:rFonts w:cs="Tahoma"/>
          <w:bCs/>
          <w:iCs/>
          <w:sz w:val="24"/>
          <w:szCs w:val="24"/>
        </w:rPr>
        <w:t xml:space="preserve"> </w:t>
      </w:r>
      <w:r w:rsidRPr="007002D5">
        <w:rPr>
          <w:rFonts w:cs="Tahoma"/>
          <w:bCs/>
          <w:iCs/>
          <w:sz w:val="24"/>
          <w:szCs w:val="24"/>
        </w:rPr>
        <w:t>técnicos y operativos aplicables al Estado de México.</w:t>
      </w:r>
    </w:p>
    <w:p w:rsidR="005D27D8" w:rsidRDefault="005D27D8" w:rsidP="007002D5">
      <w:pPr>
        <w:pStyle w:val="infoemcitas"/>
        <w:spacing w:line="240" w:lineRule="auto"/>
        <w:rPr>
          <w:rFonts w:cs="Tahoma"/>
          <w:bCs/>
          <w:iCs/>
          <w:sz w:val="24"/>
          <w:szCs w:val="24"/>
        </w:rPr>
      </w:pPr>
    </w:p>
    <w:p w:rsidR="007002D5" w:rsidRDefault="007002D5" w:rsidP="007002D5">
      <w:pPr>
        <w:pStyle w:val="infoemcitas"/>
        <w:ind w:left="0" w:right="0"/>
        <w:rPr>
          <w:rFonts w:cs="Tahoma"/>
          <w:bCs/>
          <w:i w:val="0"/>
          <w:iCs/>
          <w:sz w:val="24"/>
          <w:szCs w:val="24"/>
        </w:rPr>
      </w:pPr>
      <w:r>
        <w:rPr>
          <w:rFonts w:cs="Tahoma"/>
          <w:bCs/>
          <w:i w:val="0"/>
          <w:iCs/>
          <w:sz w:val="24"/>
          <w:szCs w:val="24"/>
        </w:rPr>
        <w:t>Derivado del articulado referido, se advierte que la Ley en cita establece que para ocupar los cargos de Director de Desarrollo Urbano y Director de Obras Públicas se requiere contar la certificación emitida por alguna institución con reconocimiento de validez oficial, así mismo, establece un periodo de seis meses después de la fecha en la que inicien sus funciones para contar con certificación.</w:t>
      </w:r>
    </w:p>
    <w:p w:rsidR="007002D5" w:rsidRPr="007002D5" w:rsidRDefault="00F329F8" w:rsidP="007002D5">
      <w:pPr>
        <w:pStyle w:val="infoemcitas"/>
        <w:ind w:left="0" w:right="0"/>
        <w:rPr>
          <w:rFonts w:cs="Tahoma"/>
          <w:bCs/>
          <w:i w:val="0"/>
          <w:iCs/>
          <w:sz w:val="24"/>
          <w:szCs w:val="24"/>
        </w:rPr>
      </w:pPr>
      <w:r>
        <w:rPr>
          <w:rFonts w:cs="Tahoma"/>
          <w:bCs/>
          <w:i w:val="0"/>
          <w:iCs/>
          <w:sz w:val="24"/>
          <w:szCs w:val="24"/>
        </w:rPr>
        <w:t>De mismo modo</w:t>
      </w:r>
      <w:r w:rsidR="007002D5">
        <w:rPr>
          <w:rFonts w:cs="Tahoma"/>
          <w:bCs/>
          <w:i w:val="0"/>
          <w:iCs/>
          <w:sz w:val="24"/>
          <w:szCs w:val="24"/>
        </w:rPr>
        <w:t>,</w:t>
      </w:r>
      <w:r>
        <w:rPr>
          <w:rFonts w:cs="Tahoma"/>
          <w:bCs/>
          <w:i w:val="0"/>
          <w:iCs/>
          <w:sz w:val="24"/>
          <w:szCs w:val="24"/>
        </w:rPr>
        <w:t xml:space="preserve"> no se debe soslayar que </w:t>
      </w:r>
      <w:r w:rsidR="007002D5">
        <w:rPr>
          <w:rFonts w:cs="Tahoma"/>
          <w:bCs/>
          <w:i w:val="0"/>
          <w:iCs/>
          <w:sz w:val="24"/>
          <w:szCs w:val="24"/>
        </w:rPr>
        <w:t xml:space="preserve">el artículo 57 de la Ley de Transparencia y Acceso a la Información Pública del Estado de México y Municipios, </w:t>
      </w:r>
      <w:r>
        <w:rPr>
          <w:rFonts w:cs="Tahoma"/>
          <w:bCs/>
          <w:i w:val="0"/>
          <w:iCs/>
          <w:sz w:val="24"/>
          <w:szCs w:val="24"/>
        </w:rPr>
        <w:t xml:space="preserve">establece que para ser nombrado titular de la Unidad de Transparencia se deberá contar con la </w:t>
      </w:r>
      <w:r>
        <w:rPr>
          <w:rFonts w:cs="Tahoma"/>
          <w:bCs/>
          <w:i w:val="0"/>
          <w:iCs/>
          <w:sz w:val="24"/>
          <w:szCs w:val="24"/>
        </w:rPr>
        <w:lastRenderedPageBreak/>
        <w:t>certificación en materia de acceso a la información, transparencia y protección de datos personales, como se observa a continuación</w:t>
      </w:r>
      <w:r w:rsidR="007002D5">
        <w:rPr>
          <w:rFonts w:cs="Tahoma"/>
          <w:bCs/>
          <w:i w:val="0"/>
          <w:iCs/>
          <w:sz w:val="24"/>
          <w:szCs w:val="24"/>
        </w:rPr>
        <w:t>:</w:t>
      </w:r>
    </w:p>
    <w:p w:rsidR="007002D5" w:rsidRPr="007002D5" w:rsidRDefault="007002D5" w:rsidP="00776768">
      <w:pPr>
        <w:pStyle w:val="infoemcitas"/>
        <w:spacing w:line="240" w:lineRule="auto"/>
        <w:ind w:left="709"/>
        <w:rPr>
          <w:rFonts w:cs="Tahoma"/>
          <w:bCs/>
          <w:iCs/>
          <w:sz w:val="24"/>
          <w:szCs w:val="24"/>
        </w:rPr>
      </w:pPr>
      <w:r w:rsidRPr="007002D5">
        <w:rPr>
          <w:rFonts w:cs="Tahoma"/>
          <w:b/>
          <w:bCs/>
          <w:iCs/>
          <w:sz w:val="24"/>
          <w:szCs w:val="24"/>
        </w:rPr>
        <w:t>Artículo 57.</w:t>
      </w:r>
      <w:r w:rsidRPr="007002D5">
        <w:rPr>
          <w:rFonts w:cs="Tahoma"/>
          <w:bCs/>
          <w:iCs/>
          <w:sz w:val="24"/>
          <w:szCs w:val="24"/>
        </w:rPr>
        <w:t xml:space="preserve"> El responsable de la Unidad de Transparencia deberá tener el perfil adecuado para el</w:t>
      </w:r>
      <w:r>
        <w:rPr>
          <w:rFonts w:cs="Tahoma"/>
          <w:bCs/>
          <w:iCs/>
          <w:sz w:val="24"/>
          <w:szCs w:val="24"/>
        </w:rPr>
        <w:t xml:space="preserve"> </w:t>
      </w:r>
      <w:r w:rsidRPr="007002D5">
        <w:rPr>
          <w:rFonts w:cs="Tahoma"/>
          <w:bCs/>
          <w:iCs/>
          <w:sz w:val="24"/>
          <w:szCs w:val="24"/>
        </w:rPr>
        <w:t xml:space="preserve">cumplimiento de las obligaciones que se derivan de la presente Ley. </w:t>
      </w:r>
      <w:r w:rsidRPr="00F329F8">
        <w:rPr>
          <w:rFonts w:cs="Tahoma"/>
          <w:b/>
          <w:bCs/>
          <w:iCs/>
          <w:sz w:val="24"/>
          <w:szCs w:val="24"/>
          <w:u w:val="single"/>
        </w:rPr>
        <w:t>Para ser nombrado titular de la Unidad de Transparencia, deberá cumplir, por lo menos, con los siguientes requisitos:</w:t>
      </w:r>
    </w:p>
    <w:p w:rsidR="007002D5" w:rsidRPr="00F329F8" w:rsidRDefault="007002D5" w:rsidP="005D27D8">
      <w:pPr>
        <w:pStyle w:val="infoemcitas"/>
        <w:numPr>
          <w:ilvl w:val="1"/>
          <w:numId w:val="16"/>
        </w:numPr>
        <w:spacing w:line="240" w:lineRule="auto"/>
        <w:ind w:left="1276"/>
        <w:rPr>
          <w:rFonts w:cs="Tahoma"/>
          <w:b/>
          <w:bCs/>
          <w:iCs/>
          <w:sz w:val="24"/>
          <w:szCs w:val="24"/>
          <w:u w:val="single"/>
        </w:rPr>
      </w:pPr>
      <w:r w:rsidRPr="00F329F8">
        <w:rPr>
          <w:rFonts w:cs="Tahoma"/>
          <w:b/>
          <w:bCs/>
          <w:iCs/>
          <w:sz w:val="24"/>
          <w:szCs w:val="24"/>
          <w:u w:val="single"/>
        </w:rPr>
        <w:t>Contar con</w:t>
      </w:r>
      <w:r w:rsidRPr="007002D5">
        <w:rPr>
          <w:rFonts w:cs="Tahoma"/>
          <w:bCs/>
          <w:iCs/>
          <w:sz w:val="24"/>
          <w:szCs w:val="24"/>
        </w:rPr>
        <w:t xml:space="preserve"> conocimiento o, tratándose d</w:t>
      </w:r>
      <w:r>
        <w:rPr>
          <w:rFonts w:cs="Tahoma"/>
          <w:bCs/>
          <w:iCs/>
          <w:sz w:val="24"/>
          <w:szCs w:val="24"/>
        </w:rPr>
        <w:t xml:space="preserve">e las entidades gubernamentales </w:t>
      </w:r>
      <w:r w:rsidRPr="007002D5">
        <w:rPr>
          <w:rFonts w:cs="Tahoma"/>
          <w:bCs/>
          <w:iCs/>
          <w:sz w:val="24"/>
          <w:szCs w:val="24"/>
        </w:rPr>
        <w:t>estatales y los municipios</w:t>
      </w:r>
      <w:r>
        <w:rPr>
          <w:rFonts w:cs="Tahoma"/>
          <w:bCs/>
          <w:iCs/>
          <w:sz w:val="24"/>
          <w:szCs w:val="24"/>
        </w:rPr>
        <w:t xml:space="preserve"> </w:t>
      </w:r>
      <w:r w:rsidRPr="00F329F8">
        <w:rPr>
          <w:rFonts w:cs="Tahoma"/>
          <w:b/>
          <w:bCs/>
          <w:iCs/>
          <w:sz w:val="24"/>
          <w:szCs w:val="24"/>
          <w:u w:val="single"/>
        </w:rPr>
        <w:t>certificación en materia de acceso a la información, transparencia y protección de datos personales, que para tal efecto emita el Instituto;</w:t>
      </w:r>
    </w:p>
    <w:p w:rsidR="005D27D8" w:rsidRDefault="007002D5" w:rsidP="005D27D8">
      <w:pPr>
        <w:pStyle w:val="infoemcitas"/>
        <w:numPr>
          <w:ilvl w:val="1"/>
          <w:numId w:val="16"/>
        </w:numPr>
        <w:spacing w:line="240" w:lineRule="auto"/>
        <w:ind w:left="1276"/>
        <w:rPr>
          <w:rFonts w:cs="Tahoma"/>
          <w:bCs/>
          <w:iCs/>
          <w:sz w:val="24"/>
          <w:szCs w:val="24"/>
        </w:rPr>
      </w:pPr>
      <w:r w:rsidRPr="007002D5">
        <w:rPr>
          <w:rFonts w:cs="Tahoma"/>
          <w:bCs/>
          <w:iCs/>
          <w:sz w:val="24"/>
          <w:szCs w:val="24"/>
        </w:rPr>
        <w:t>Experiencia en materia de acceso a la información y protección de datos personales; y</w:t>
      </w:r>
    </w:p>
    <w:p w:rsidR="007002D5" w:rsidRPr="005D27D8" w:rsidRDefault="007002D5" w:rsidP="005D27D8">
      <w:pPr>
        <w:pStyle w:val="infoemcitas"/>
        <w:numPr>
          <w:ilvl w:val="1"/>
          <w:numId w:val="16"/>
        </w:numPr>
        <w:spacing w:line="240" w:lineRule="auto"/>
        <w:ind w:left="1276"/>
        <w:rPr>
          <w:rFonts w:cs="Tahoma"/>
          <w:bCs/>
          <w:iCs/>
          <w:sz w:val="24"/>
          <w:szCs w:val="24"/>
        </w:rPr>
      </w:pPr>
      <w:r w:rsidRPr="005D27D8">
        <w:rPr>
          <w:rFonts w:cs="Tahoma"/>
          <w:bCs/>
          <w:iCs/>
          <w:sz w:val="24"/>
          <w:szCs w:val="24"/>
        </w:rPr>
        <w:t>Habilidades de organización y comunicación, así como visión y liderazgo.</w:t>
      </w:r>
      <w:r w:rsidRPr="005D27D8">
        <w:rPr>
          <w:rFonts w:cs="Tahoma"/>
          <w:bCs/>
          <w:iCs/>
          <w:sz w:val="24"/>
          <w:szCs w:val="24"/>
        </w:rPr>
        <w:cr/>
      </w:r>
    </w:p>
    <w:p w:rsidR="00BD1607" w:rsidRPr="00F36AD4" w:rsidRDefault="00BD1607" w:rsidP="00BD1607">
      <w:pPr>
        <w:spacing w:after="0" w:line="360" w:lineRule="auto"/>
        <w:jc w:val="both"/>
        <w:rPr>
          <w:rFonts w:ascii="Palatino Linotype" w:hAnsi="Palatino Linotype" w:cs="Tahoma"/>
          <w:sz w:val="24"/>
          <w:szCs w:val="24"/>
          <w:highlight w:val="yellow"/>
        </w:rPr>
      </w:pPr>
    </w:p>
    <w:p w:rsidR="00BD1607" w:rsidRPr="00CD78E2" w:rsidRDefault="00CD78E2" w:rsidP="00BD1607">
      <w:pPr>
        <w:spacing w:after="0" w:line="360" w:lineRule="auto"/>
        <w:contextualSpacing/>
        <w:jc w:val="both"/>
        <w:rPr>
          <w:rFonts w:ascii="Palatino Linotype" w:hAnsi="Palatino Linotype" w:cs="Tahoma"/>
          <w:bCs/>
          <w:sz w:val="24"/>
          <w:szCs w:val="24"/>
        </w:rPr>
      </w:pPr>
      <w:r>
        <w:rPr>
          <w:rFonts w:ascii="Palatino Linotype" w:hAnsi="Palatino Linotype" w:cs="Tahoma"/>
          <w:sz w:val="24"/>
          <w:szCs w:val="24"/>
        </w:rPr>
        <w:t>Con base en las consideraciones de hecho y de derecho señala</w:t>
      </w:r>
      <w:r w:rsidR="00776768">
        <w:rPr>
          <w:rFonts w:ascii="Palatino Linotype" w:hAnsi="Palatino Linotype" w:cs="Tahoma"/>
          <w:sz w:val="24"/>
          <w:szCs w:val="24"/>
        </w:rPr>
        <w:t>das</w:t>
      </w:r>
      <w:r>
        <w:rPr>
          <w:rFonts w:ascii="Palatino Linotype" w:hAnsi="Palatino Linotype" w:cs="Tahoma"/>
          <w:sz w:val="24"/>
          <w:szCs w:val="24"/>
        </w:rPr>
        <w:t xml:space="preserve"> en párrafos anteriores, se tiene por acreditado que si bien el </w:t>
      </w:r>
      <w:r>
        <w:rPr>
          <w:rFonts w:ascii="Palatino Linotype" w:hAnsi="Palatino Linotype" w:cs="Tahoma"/>
          <w:b/>
          <w:sz w:val="24"/>
          <w:szCs w:val="24"/>
        </w:rPr>
        <w:t>Sujeto Obligado</w:t>
      </w:r>
      <w:r>
        <w:rPr>
          <w:rFonts w:ascii="Palatino Linotype" w:hAnsi="Palatino Linotype" w:cs="Tahoma"/>
          <w:sz w:val="24"/>
          <w:szCs w:val="24"/>
        </w:rPr>
        <w:t xml:space="preserve"> pretendió hacer entrega de la información peticionada, empero la misma fue proporcionada de manera ilegible y sin el Acuerdo emitido por el Comité de Transparencia en el que se funde y motive la eliminación de los datos personales, por lo que es dable ordenar su entrega, debiendo observar lo relativo a la clasificación de los datos de carácter sensible y confidencial, en términos tanto de la Ley de Transparencia y Acceso a la Información Pública del Estado de México y Municipios, como de la Ley de Protección de Datos Personales en posesión de Sujetos Obligados del Estado de México y Municipios.</w:t>
      </w:r>
    </w:p>
    <w:p w:rsidR="00BD1607" w:rsidRDefault="00BD1607" w:rsidP="00BD1607">
      <w:pPr>
        <w:spacing w:line="360" w:lineRule="auto"/>
        <w:jc w:val="both"/>
        <w:rPr>
          <w:rFonts w:ascii="Palatino Linotype" w:hAnsi="Palatino Linotype" w:cs="Arial"/>
          <w:sz w:val="24"/>
        </w:rPr>
      </w:pPr>
    </w:p>
    <w:p w:rsidR="00BD1607" w:rsidRDefault="00BD1607" w:rsidP="00BD1607">
      <w:pPr>
        <w:spacing w:after="0" w:line="360" w:lineRule="auto"/>
        <w:contextualSpacing/>
        <w:jc w:val="both"/>
        <w:rPr>
          <w:rFonts w:ascii="Palatino Linotype" w:eastAsia="Palatino Linotype" w:hAnsi="Palatino Linotype" w:cs="Palatino Linotype"/>
          <w:sz w:val="24"/>
          <w:szCs w:val="24"/>
        </w:rPr>
      </w:pPr>
      <w:r w:rsidRPr="00C064E4">
        <w:rPr>
          <w:rFonts w:ascii="Palatino Linotype" w:eastAsia="Palatino Linotype" w:hAnsi="Palatino Linotype" w:cs="Palatino Linotype"/>
          <w:sz w:val="24"/>
          <w:szCs w:val="24"/>
        </w:rPr>
        <w:lastRenderedPageBreak/>
        <w:t>Por lo señalado</w:t>
      </w:r>
      <w:r>
        <w:rPr>
          <w:rFonts w:ascii="Palatino Linotype" w:eastAsia="Palatino Linotype" w:hAnsi="Palatino Linotype" w:cs="Palatino Linotype"/>
          <w:sz w:val="24"/>
          <w:szCs w:val="24"/>
        </w:rPr>
        <w:t xml:space="preserve">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w:t>
      </w:r>
      <w:r w:rsidR="00CD78E2">
        <w:rPr>
          <w:rFonts w:ascii="Palatino Linotype" w:eastAsia="Palatino Linotype" w:hAnsi="Palatino Linotype" w:cs="Palatino Linotype"/>
          <w:sz w:val="24"/>
          <w:szCs w:val="24"/>
        </w:rPr>
        <w:t>en versión pública, de los certificados de competencia laboral remitidos en respuesta, en una correcta digitalización</w:t>
      </w:r>
      <w:r w:rsidRPr="00566986">
        <w:rPr>
          <w:rFonts w:ascii="Palatino Linotype" w:eastAsia="Palatino Linotype" w:hAnsi="Palatino Linotype" w:cs="Palatino Linotype"/>
          <w:sz w:val="24"/>
          <w:szCs w:val="24"/>
        </w:rPr>
        <w:t>.</w:t>
      </w:r>
    </w:p>
    <w:p w:rsidR="00BD1607" w:rsidRDefault="00BD1607" w:rsidP="00BD1607">
      <w:pPr>
        <w:spacing w:after="0" w:line="360" w:lineRule="auto"/>
        <w:contextualSpacing/>
        <w:jc w:val="both"/>
        <w:rPr>
          <w:rFonts w:ascii="Palatino Linotype" w:hAnsi="Palatino Linotype" w:cs="Arial"/>
        </w:rPr>
      </w:pPr>
    </w:p>
    <w:p w:rsidR="00BD1607" w:rsidRPr="002C3EC8" w:rsidRDefault="00BD1607" w:rsidP="00BD1607">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rsidR="00BD1607" w:rsidRPr="002C3EC8" w:rsidRDefault="00BD1607" w:rsidP="00BD1607">
      <w:pPr>
        <w:tabs>
          <w:tab w:val="left" w:pos="8647"/>
        </w:tabs>
        <w:spacing w:after="0" w:line="360" w:lineRule="auto"/>
        <w:ind w:right="51"/>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39499D">
        <w:rPr>
          <w:rFonts w:ascii="Palatino Linotype" w:hAnsi="Palatino Linotype" w:cs="Arial"/>
          <w:i/>
          <w:szCs w:val="24"/>
        </w:rPr>
        <w:lastRenderedPageBreak/>
        <w:t xml:space="preserve">destrucción, o el uso, transferencia, acceso o cualquier tratamiento no autorizado o ilícito, de conformidad con lo dispuesto en los lineamientos que al efecto se expidan.” </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C0635C" w:rsidRPr="0039499D" w:rsidRDefault="00C0635C" w:rsidP="00C0635C">
      <w:pPr>
        <w:spacing w:line="360" w:lineRule="auto"/>
        <w:jc w:val="both"/>
        <w:rPr>
          <w:rFonts w:ascii="Palatino Linotype" w:hAnsi="Palatino Linotype" w:cs="Arial"/>
          <w:sz w:val="24"/>
          <w:szCs w:val="24"/>
        </w:rPr>
      </w:pPr>
    </w:p>
    <w:p w:rsidR="00C0635C" w:rsidRPr="00E5613E" w:rsidRDefault="00C0635C" w:rsidP="00C0635C">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lastRenderedPageBreak/>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39499D">
        <w:rPr>
          <w:rFonts w:ascii="Palatino Linotype" w:hAnsi="Palatino Linotype" w:cs="Arial"/>
          <w:sz w:val="24"/>
          <w:szCs w:val="24"/>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C0635C" w:rsidRPr="0039499D" w:rsidRDefault="00C0635C" w:rsidP="00C0635C">
      <w:pPr>
        <w:spacing w:line="360" w:lineRule="auto"/>
        <w:jc w:val="both"/>
        <w:rPr>
          <w:rFonts w:ascii="Palatino Linotype" w:hAnsi="Palatino Linotype" w:cs="Arial"/>
          <w:sz w:val="24"/>
          <w:szCs w:val="24"/>
        </w:rPr>
      </w:pPr>
      <w:r>
        <w:rPr>
          <w:rFonts w:ascii="Palatino Linotype" w:hAnsi="Palatino Linotype" w:cs="Arial"/>
          <w:i/>
          <w:szCs w:val="24"/>
        </w:rPr>
        <w:t xml:space="preserve"> </w:t>
      </w: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w:t>
      </w:r>
      <w:r w:rsidR="00E30AD9" w:rsidRPr="0039499D">
        <w:rPr>
          <w:rFonts w:ascii="Palatino Linotype" w:hAnsi="Palatino Linotype" w:cs="Arial"/>
          <w:sz w:val="24"/>
          <w:szCs w:val="24"/>
        </w:rPr>
        <w:t>de</w:t>
      </w:r>
      <w:r w:rsidRPr="0039499D">
        <w:rPr>
          <w:rFonts w:ascii="Palatino Linotype" w:hAnsi="Palatino Linotype" w:cs="Arial"/>
          <w:sz w:val="24"/>
          <w:szCs w:val="24"/>
        </w:rPr>
        <w:t xml:space="preserve"> </w:t>
      </w:r>
      <w:r>
        <w:rPr>
          <w:rFonts w:ascii="Palatino Linotype" w:hAnsi="Palatino Linotype" w:cs="Arial"/>
          <w:b/>
          <w:sz w:val="24"/>
          <w:szCs w:val="24"/>
        </w:rPr>
        <w:t xml:space="preserve"> </w:t>
      </w:r>
      <w:r w:rsidRPr="0039499D">
        <w:rPr>
          <w:rFonts w:ascii="Palatino Linotype" w:hAnsi="Palatino Linotype" w:cs="Arial"/>
          <w:sz w:val="24"/>
          <w:szCs w:val="24"/>
        </w:rPr>
        <w:t xml:space="preserve">la </w:t>
      </w:r>
      <w:r w:rsidRPr="0039499D">
        <w:rPr>
          <w:rFonts w:ascii="Palatino Linotype" w:hAnsi="Palatino Linotype" w:cs="Arial"/>
          <w:b/>
          <w:sz w:val="24"/>
          <w:szCs w:val="24"/>
        </w:rPr>
        <w:t>Clave Única de Registro de Población (CURP)</w:t>
      </w:r>
      <w:r w:rsidR="00E30AD9">
        <w:rPr>
          <w:rFonts w:ascii="Palatino Linotype" w:hAnsi="Palatino Linotype" w:cs="Arial"/>
          <w:sz w:val="24"/>
          <w:szCs w:val="24"/>
        </w:rPr>
        <w:t>.</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rsidR="00C0635C" w:rsidRPr="0039499D" w:rsidRDefault="00C0635C" w:rsidP="00C0635C">
      <w:pPr>
        <w:spacing w:line="276" w:lineRule="auto"/>
        <w:jc w:val="both"/>
        <w:rPr>
          <w:rFonts w:ascii="Palatino Linotype" w:hAnsi="Palatino Linotype" w:cs="Arial"/>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Al respecto, el Instituto Nacional de Transparencia, Acceso a la Información y Protección de Datos Personales (INAI) a través del Criterio 18/17, señala literalmente lo siguiente:</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0635C" w:rsidRPr="0039499D" w:rsidRDefault="00C0635C" w:rsidP="00C0635C">
      <w:pPr>
        <w:spacing w:line="276"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w:t>
      </w:r>
      <w:r w:rsidRPr="0039499D">
        <w:rPr>
          <w:rFonts w:ascii="Palatino Linotype" w:hAnsi="Palatino Linotype" w:cs="Arial"/>
          <w:sz w:val="24"/>
          <w:szCs w:val="24"/>
        </w:rPr>
        <w:lastRenderedPageBreak/>
        <w:t>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39499D">
        <w:rPr>
          <w:rFonts w:ascii="Palatino Linotype" w:hAnsi="Palatino Linotype" w:cs="Arial"/>
          <w:sz w:val="24"/>
          <w:szCs w:val="24"/>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Los Sujetos Obligados deberán aplicar, de manera estricta, las excepciones al derecho de acceso a la información y sólo podrán invocarlas cuando acrediten su procedencia.</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En ausencia de los titulares de las áreas, la información será clasificada o desclasificada por la persona que lo supla, en términos de la normativa que rija la actuación del sujeto obligado.</w:t>
      </w:r>
    </w:p>
    <w:p w:rsidR="00C0635C" w:rsidRPr="0039499D" w:rsidRDefault="00C0635C" w:rsidP="00C0635C">
      <w:pPr>
        <w:spacing w:line="276" w:lineRule="auto"/>
        <w:ind w:left="567" w:right="567"/>
        <w:jc w:val="both"/>
        <w:rPr>
          <w:rFonts w:ascii="Palatino Linotype" w:hAnsi="Palatino Linotype" w:cs="Arial"/>
          <w:i/>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0635C" w:rsidRPr="0039499D" w:rsidRDefault="00C0635C" w:rsidP="00C0635C">
      <w:pPr>
        <w:spacing w:line="276" w:lineRule="auto"/>
        <w:jc w:val="both"/>
        <w:rPr>
          <w:rFonts w:ascii="Palatino Linotype" w:hAnsi="Palatino Linotype" w:cs="Arial"/>
          <w:szCs w:val="24"/>
        </w:rPr>
      </w:pPr>
    </w:p>
    <w:p w:rsidR="00C0635C" w:rsidRPr="0039499D" w:rsidRDefault="00C0635C" w:rsidP="00C0635C">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w:t>
      </w:r>
      <w:r w:rsidRPr="0039499D">
        <w:rPr>
          <w:rFonts w:ascii="Palatino Linotype" w:hAnsi="Palatino Linotype" w:cs="Arial"/>
          <w:i/>
          <w:sz w:val="24"/>
          <w:szCs w:val="24"/>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0635C" w:rsidRPr="0039499D" w:rsidRDefault="00C0635C" w:rsidP="00C0635C">
      <w:pPr>
        <w:spacing w:line="276"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0635C" w:rsidRPr="0039499D" w:rsidRDefault="00C0635C" w:rsidP="00C0635C">
      <w:pPr>
        <w:spacing w:line="360" w:lineRule="auto"/>
        <w:jc w:val="both"/>
        <w:rPr>
          <w:rFonts w:ascii="Palatino Linotype" w:hAnsi="Palatino Linotype" w:cs="Arial"/>
          <w:sz w:val="24"/>
          <w:szCs w:val="24"/>
        </w:rPr>
      </w:pPr>
    </w:p>
    <w:p w:rsidR="00C0635C" w:rsidRPr="0039499D" w:rsidRDefault="00C0635C" w:rsidP="00C0635C">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w:t>
      </w:r>
      <w:r w:rsidRPr="0039499D">
        <w:rPr>
          <w:rFonts w:ascii="Palatino Linotype" w:hAnsi="Palatino Linotype" w:cs="Arial"/>
          <w:sz w:val="24"/>
          <w:szCs w:val="24"/>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D1607" w:rsidRPr="00A058D5" w:rsidRDefault="00BD1607" w:rsidP="00BD1607">
      <w:pPr>
        <w:autoSpaceDE w:val="0"/>
        <w:autoSpaceDN w:val="0"/>
        <w:adjustRightInd w:val="0"/>
        <w:spacing w:after="0" w:line="360" w:lineRule="auto"/>
        <w:jc w:val="both"/>
        <w:rPr>
          <w:rFonts w:ascii="Palatino Linotype" w:hAnsi="Palatino Linotype" w:cs="Arial"/>
          <w:sz w:val="24"/>
          <w:szCs w:val="24"/>
          <w:lang w:eastAsia="es-MX"/>
        </w:rPr>
      </w:pPr>
    </w:p>
    <w:p w:rsidR="00BD1607" w:rsidRPr="002C3EC8" w:rsidRDefault="00BD1607" w:rsidP="00BD1607">
      <w:pPr>
        <w:spacing w:after="0" w:line="360" w:lineRule="auto"/>
        <w:jc w:val="both"/>
        <w:rPr>
          <w:rFonts w:ascii="Palatino Linotype" w:eastAsia="Times New Roman" w:hAnsi="Palatino Linotype" w:cs="Times New Roman"/>
          <w:sz w:val="24"/>
          <w:szCs w:val="24"/>
          <w:lang w:eastAsia="es-ES"/>
        </w:rPr>
      </w:pPr>
    </w:p>
    <w:p w:rsidR="00BD1607" w:rsidRPr="002C3EC8" w:rsidRDefault="00BD1607" w:rsidP="00BD1607">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Pr>
          <w:rFonts w:ascii="Palatino Linotype" w:hAnsi="Palatino Linotype" w:cs="Arial"/>
          <w:b/>
          <w:sz w:val="24"/>
        </w:rPr>
        <w:t>00193/TIANGUIS/IP/2022</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rsidR="00BD1607" w:rsidRPr="002C3EC8" w:rsidRDefault="00BD1607" w:rsidP="00BD1607">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BD1607" w:rsidRPr="002C3EC8" w:rsidRDefault="00BD1607" w:rsidP="00BD1607">
      <w:pPr>
        <w:spacing w:line="360" w:lineRule="auto"/>
        <w:contextualSpacing/>
        <w:jc w:val="both"/>
        <w:rPr>
          <w:rFonts w:ascii="Palatino Linotype" w:eastAsia="MS Mincho" w:hAnsi="Palatino Linotype"/>
        </w:rPr>
      </w:pPr>
    </w:p>
    <w:p w:rsidR="00BD1607" w:rsidRPr="002C3EC8" w:rsidRDefault="00BD1607" w:rsidP="00BD1607">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BD1607" w:rsidRPr="008C27E8" w:rsidRDefault="00BD1607" w:rsidP="00BD1607">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BD1607" w:rsidRPr="008C27E8" w:rsidRDefault="00BD1607" w:rsidP="00BD1607">
      <w:pPr>
        <w:spacing w:line="360" w:lineRule="auto"/>
        <w:jc w:val="both"/>
        <w:rPr>
          <w:rFonts w:ascii="Palatino Linotype" w:hAnsi="Palatino Linotype" w:cs="Arial"/>
          <w:b/>
          <w:sz w:val="24"/>
          <w:szCs w:val="28"/>
          <w:lang w:val="es-ES"/>
        </w:rPr>
      </w:pPr>
    </w:p>
    <w:p w:rsidR="00BD1607" w:rsidRPr="00297333" w:rsidRDefault="00BD1607" w:rsidP="00BD1607">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lastRenderedPageBreak/>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Pr>
          <w:rFonts w:ascii="Palatino Linotype" w:hAnsi="Palatino Linotype" w:cs="Arial"/>
          <w:sz w:val="24"/>
          <w:szCs w:val="24"/>
        </w:rPr>
        <w:t>en la solicitud de información número</w:t>
      </w:r>
      <w:r w:rsidRPr="002C3EC8">
        <w:rPr>
          <w:rFonts w:ascii="Palatino Linotype" w:hAnsi="Palatino Linotype" w:cs="Arial"/>
          <w:sz w:val="24"/>
          <w:szCs w:val="24"/>
        </w:rPr>
        <w:t xml:space="preserve"> </w:t>
      </w:r>
      <w:r>
        <w:rPr>
          <w:rFonts w:ascii="Palatino Linotype" w:hAnsi="Palatino Linotype" w:cs="Arial"/>
          <w:b/>
          <w:sz w:val="24"/>
        </w:rPr>
        <w:t xml:space="preserve">00193/TIANGUIS/IP/2022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w:t>
      </w:r>
      <w:r>
        <w:rPr>
          <w:rFonts w:ascii="Palatino Linotype" w:eastAsia="Calibri" w:hAnsi="Palatino Linotype" w:cs="Arial"/>
          <w:b/>
          <w:sz w:val="24"/>
          <w:szCs w:val="24"/>
        </w:rPr>
        <w:t>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C</w:t>
      </w:r>
      <w:r>
        <w:rPr>
          <w:rFonts w:ascii="Palatino Linotype" w:hAnsi="Palatino Linotype" w:cs="Arial"/>
          <w:b/>
          <w:sz w:val="24"/>
        </w:rPr>
        <w:t>UARTO</w:t>
      </w:r>
      <w:r w:rsidRPr="00297333">
        <w:rPr>
          <w:rFonts w:ascii="Palatino Linotype" w:hAnsi="Palatino Linotype" w:cs="Arial"/>
          <w:b/>
          <w:sz w:val="24"/>
        </w:rPr>
        <w:t xml:space="preserve"> </w:t>
      </w:r>
      <w:r w:rsidRPr="00297333">
        <w:rPr>
          <w:rFonts w:ascii="Palatino Linotype" w:hAnsi="Palatino Linotype" w:cs="Arial"/>
          <w:sz w:val="24"/>
        </w:rPr>
        <w:t>de esta resolución, haga entrega en versión pública</w:t>
      </w:r>
      <w:r w:rsidR="005D27D8">
        <w:rPr>
          <w:rFonts w:ascii="Palatino Linotype" w:hAnsi="Palatino Linotype" w:cs="Arial"/>
          <w:sz w:val="24"/>
        </w:rPr>
        <w:t xml:space="preserve"> y en correcta digitalización</w:t>
      </w:r>
      <w:r w:rsidRPr="00297333">
        <w:rPr>
          <w:rFonts w:ascii="Palatino Linotype" w:hAnsi="Palatino Linotype" w:cs="Arial"/>
          <w:sz w:val="24"/>
        </w:rPr>
        <w:t xml:space="preserve">, </w:t>
      </w:r>
      <w:r w:rsidR="006B20AC">
        <w:rPr>
          <w:rFonts w:ascii="Palatino Linotype" w:hAnsi="Palatino Linotype" w:cs="Arial"/>
          <w:sz w:val="24"/>
        </w:rPr>
        <w:t>de</w:t>
      </w:r>
      <w:r w:rsidRPr="00297333">
        <w:rPr>
          <w:rFonts w:ascii="Palatino Linotype" w:hAnsi="Palatino Linotype" w:cs="Arial"/>
          <w:sz w:val="24"/>
        </w:rPr>
        <w:t xml:space="preserve"> lo siguiente</w:t>
      </w:r>
      <w:r w:rsidRPr="00297333">
        <w:rPr>
          <w:rFonts w:ascii="Palatino Linotype" w:hAnsi="Palatino Linotype"/>
          <w:bCs/>
          <w:sz w:val="24"/>
        </w:rPr>
        <w:t>:</w:t>
      </w:r>
    </w:p>
    <w:p w:rsidR="00BD1607" w:rsidRPr="00D242DF" w:rsidRDefault="00C0635C" w:rsidP="00C0635C">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Certificados de competencia laboral de los titulares y/o Directores de Desarrollo Urbano, Obras Públicas y Unidad de Transparencia.</w:t>
      </w:r>
    </w:p>
    <w:p w:rsidR="00BD1607" w:rsidRPr="00C04899" w:rsidRDefault="00BD1607" w:rsidP="00BD1607">
      <w:pPr>
        <w:pStyle w:val="INFOEM"/>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04899">
        <w:rPr>
          <w:b/>
        </w:rPr>
        <w:t>Recurrente</w:t>
      </w:r>
      <w:r w:rsidRPr="00C04899">
        <w:t>.</w:t>
      </w:r>
    </w:p>
    <w:p w:rsidR="00BD1607" w:rsidRPr="0039499D" w:rsidRDefault="00BD1607" w:rsidP="00BD1607">
      <w:pPr>
        <w:spacing w:line="360" w:lineRule="auto"/>
        <w:jc w:val="both"/>
        <w:rPr>
          <w:rFonts w:ascii="Palatino Linotype" w:hAnsi="Palatino Linotype" w:cs="Arial"/>
          <w:sz w:val="24"/>
        </w:rPr>
      </w:pPr>
    </w:p>
    <w:p w:rsidR="00BD1607" w:rsidRDefault="00BD1607" w:rsidP="00BD1607">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BD1607" w:rsidRPr="00E5613E" w:rsidRDefault="00BD1607" w:rsidP="00BD1607">
      <w:pPr>
        <w:autoSpaceDE w:val="0"/>
        <w:autoSpaceDN w:val="0"/>
        <w:adjustRightInd w:val="0"/>
        <w:spacing w:line="360" w:lineRule="auto"/>
        <w:ind w:right="49"/>
        <w:jc w:val="both"/>
        <w:rPr>
          <w:rFonts w:ascii="Palatino Linotype" w:hAnsi="Palatino Linotype" w:cs="Arial"/>
          <w:sz w:val="24"/>
        </w:rPr>
      </w:pPr>
    </w:p>
    <w:p w:rsidR="00BD1607" w:rsidRPr="0039499D" w:rsidRDefault="00BD1607" w:rsidP="00BD1607">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w:t>
      </w:r>
      <w:r w:rsidRPr="0039499D">
        <w:rPr>
          <w:rFonts w:ascii="Palatino Linotype" w:hAnsi="Palatino Linotype" w:cs="Arial"/>
          <w:sz w:val="24"/>
        </w:rPr>
        <w:lastRenderedPageBreak/>
        <w:t xml:space="preserve">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BD1607" w:rsidRPr="0039499D" w:rsidRDefault="00BD1607" w:rsidP="00BD1607">
      <w:pPr>
        <w:autoSpaceDE w:val="0"/>
        <w:autoSpaceDN w:val="0"/>
        <w:adjustRightInd w:val="0"/>
        <w:spacing w:line="360" w:lineRule="auto"/>
        <w:jc w:val="both"/>
        <w:rPr>
          <w:rFonts w:ascii="Palatino Linotype" w:hAnsi="Palatino Linotype" w:cs="Arial"/>
          <w:sz w:val="24"/>
        </w:rPr>
      </w:pPr>
    </w:p>
    <w:p w:rsidR="00BD1607" w:rsidRPr="006377D5" w:rsidRDefault="00BD1607" w:rsidP="006377D5">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ASÍ LO ACORDÓ, POR </w:t>
      </w:r>
      <w:r>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w:t>
      </w:r>
      <w:r w:rsidRPr="002C3EC8">
        <w:rPr>
          <w:rFonts w:ascii="Palatino Linotype" w:hAnsi="Palatino Linotype" w:cs="Arial"/>
        </w:rPr>
        <w:t xml:space="preserve"> MARÍA DEL ROSARIO MEJÍA AYALA, SHARON CRISTINA MORALES MARTÍNEZ, LUIS GUSTAVO PARRA NORIEGA</w:t>
      </w:r>
      <w:r>
        <w:rPr>
          <w:rFonts w:ascii="Palatino Linotype" w:hAnsi="Palatino Linotype" w:cs="Arial"/>
        </w:rPr>
        <w:t xml:space="preserve"> </w:t>
      </w:r>
      <w:r w:rsidRPr="002C3EC8">
        <w:rPr>
          <w:rFonts w:ascii="Palatino Linotype" w:hAnsi="Palatino Linotype" w:cs="Arial"/>
        </w:rPr>
        <w:t xml:space="preserve">Y GUADALUPE RAMÍREZ PEÑA; EN LA </w:t>
      </w:r>
      <w:r w:rsidR="006B20AC">
        <w:rPr>
          <w:rFonts w:ascii="Palatino Linotype" w:hAnsi="Palatino Linotype" w:cs="Arial"/>
        </w:rPr>
        <w:t>TERCERA</w:t>
      </w:r>
      <w:r>
        <w:rPr>
          <w:rFonts w:ascii="Palatino Linotype" w:hAnsi="Palatino Linotype" w:cs="Arial"/>
        </w:rPr>
        <w:t xml:space="preserve"> </w:t>
      </w:r>
      <w:r w:rsidRPr="002C3EC8">
        <w:rPr>
          <w:rFonts w:ascii="Palatino Linotype" w:hAnsi="Palatino Linotype" w:cs="Arial"/>
        </w:rPr>
        <w:t xml:space="preserve">SESIÓN ORDINARIA CELEBRADA EL </w:t>
      </w:r>
      <w:r w:rsidR="006B20AC">
        <w:rPr>
          <w:rFonts w:ascii="Palatino Linotype" w:hAnsi="Palatino Linotype" w:cs="Arial"/>
        </w:rPr>
        <w:t>VEINTICINCO</w:t>
      </w:r>
      <w:r>
        <w:rPr>
          <w:rFonts w:ascii="Palatino Linotype" w:hAnsi="Palatino Linotype" w:cs="Arial"/>
        </w:rPr>
        <w:t xml:space="preserve"> DE ENERO</w:t>
      </w:r>
      <w:r w:rsidRPr="002C3EC8">
        <w:rPr>
          <w:rFonts w:ascii="Palatino Linotype" w:hAnsi="Palatino Linotype" w:cs="Arial"/>
        </w:rPr>
        <w:t xml:space="preserve"> </w:t>
      </w:r>
      <w:r>
        <w:rPr>
          <w:rFonts w:ascii="Palatino Linotype" w:hAnsi="Palatino Linotype" w:cs="Arial"/>
        </w:rPr>
        <w:t xml:space="preserve">DE DOS MIL VEINTITRÉS,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6B20AC">
        <w:rPr>
          <w:rFonts w:ascii="Palatino Linotype" w:hAnsi="Palatino Linotype" w:cs="Arial"/>
        </w:rPr>
        <w:t>------------------------------------------------------------------------------</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BD1607" w:rsidRDefault="00BD1607" w:rsidP="00BD16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rsidR="00BD1607" w:rsidRDefault="00BD1607" w:rsidP="00BD1607">
      <w:pPr>
        <w:spacing w:line="360" w:lineRule="auto"/>
        <w:jc w:val="both"/>
        <w:rPr>
          <w:rFonts w:ascii="Palatino Linotype" w:hAnsi="Palatino Linotype"/>
          <w:bCs/>
          <w:sz w:val="18"/>
          <w:szCs w:val="18"/>
        </w:rPr>
      </w:pPr>
      <w:r w:rsidRPr="002C3EC8">
        <w:rPr>
          <w:rFonts w:ascii="Palatino Linotype" w:hAnsi="Palatino Linotype"/>
          <w:bCs/>
          <w:sz w:val="18"/>
          <w:szCs w:val="18"/>
        </w:rPr>
        <w:t>CCR/LMST</w:t>
      </w:r>
    </w:p>
    <w:p w:rsidR="00BD1607" w:rsidRDefault="00BD1607" w:rsidP="00BD1607">
      <w:pPr>
        <w:spacing w:line="360" w:lineRule="auto"/>
        <w:jc w:val="both"/>
        <w:rPr>
          <w:rFonts w:ascii="Palatino Linotype" w:hAnsi="Palatino Linotype"/>
          <w:bCs/>
          <w:sz w:val="18"/>
          <w:szCs w:val="18"/>
        </w:rPr>
      </w:pPr>
    </w:p>
    <w:p w:rsidR="00BD1607" w:rsidRDefault="00BD1607" w:rsidP="00BD1607">
      <w:pPr>
        <w:spacing w:line="360" w:lineRule="auto"/>
        <w:jc w:val="both"/>
        <w:rPr>
          <w:rFonts w:ascii="Palatino Linotype" w:hAnsi="Palatino Linotype"/>
          <w:bCs/>
          <w:sz w:val="18"/>
          <w:szCs w:val="18"/>
        </w:rPr>
      </w:pPr>
    </w:p>
    <w:p w:rsidR="00BD1607" w:rsidRDefault="00BD1607" w:rsidP="00BD1607">
      <w:pPr>
        <w:spacing w:line="360" w:lineRule="auto"/>
        <w:jc w:val="both"/>
        <w:rPr>
          <w:rFonts w:ascii="Palatino Linotype" w:hAnsi="Palatino Linotype"/>
          <w:bCs/>
          <w:sz w:val="18"/>
          <w:szCs w:val="18"/>
        </w:rPr>
      </w:pPr>
    </w:p>
    <w:p w:rsidR="00BD1607" w:rsidRDefault="00BD1607" w:rsidP="00BD1607">
      <w:pPr>
        <w:spacing w:line="360" w:lineRule="auto"/>
        <w:jc w:val="both"/>
        <w:rPr>
          <w:rFonts w:ascii="Palatino Linotype" w:hAnsi="Palatino Linotype"/>
          <w:bCs/>
          <w:sz w:val="18"/>
          <w:szCs w:val="18"/>
        </w:rPr>
      </w:pPr>
    </w:p>
    <w:p w:rsidR="00BD1607" w:rsidRDefault="00BD1607" w:rsidP="00BD1607">
      <w:pPr>
        <w:spacing w:line="360" w:lineRule="auto"/>
        <w:jc w:val="both"/>
      </w:pPr>
    </w:p>
    <w:p w:rsidR="00BD1607" w:rsidRDefault="00BD1607" w:rsidP="00BD1607"/>
    <w:p w:rsidR="00BD1607" w:rsidRDefault="00BD1607" w:rsidP="00BD1607"/>
    <w:p w:rsidR="00BD1607" w:rsidRDefault="00BD1607" w:rsidP="00BD1607"/>
    <w:p w:rsidR="00CD23E8" w:rsidRDefault="00CD23E8"/>
    <w:sectPr w:rsidR="00CD23E8" w:rsidSect="00BD160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3E" w:rsidRDefault="00F8043E" w:rsidP="00BD1607">
      <w:pPr>
        <w:spacing w:after="0" w:line="240" w:lineRule="auto"/>
      </w:pPr>
      <w:r>
        <w:separator/>
      </w:r>
    </w:p>
  </w:endnote>
  <w:endnote w:type="continuationSeparator" w:id="0">
    <w:p w:rsidR="00F8043E" w:rsidRDefault="00F8043E" w:rsidP="00BD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07" w:rsidRPr="000B69FA" w:rsidRDefault="00BD1607" w:rsidP="00BD16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19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19C">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07" w:rsidRPr="000B69FA" w:rsidRDefault="00BD1607" w:rsidP="00BD16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1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19C">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3E" w:rsidRDefault="00F8043E" w:rsidP="00BD1607">
      <w:pPr>
        <w:spacing w:after="0" w:line="240" w:lineRule="auto"/>
      </w:pPr>
      <w:r>
        <w:separator/>
      </w:r>
    </w:p>
  </w:footnote>
  <w:footnote w:type="continuationSeparator" w:id="0">
    <w:p w:rsidR="00F8043E" w:rsidRDefault="00F8043E" w:rsidP="00BD1607">
      <w:pPr>
        <w:spacing w:after="0" w:line="240" w:lineRule="auto"/>
      </w:pPr>
      <w:r>
        <w:continuationSeparator/>
      </w:r>
    </w:p>
  </w:footnote>
  <w:footnote w:id="1">
    <w:p w:rsidR="00BD1607" w:rsidRPr="005552A8" w:rsidRDefault="00BD1607" w:rsidP="00BD160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D1607" w:rsidRPr="005552A8" w:rsidRDefault="00BD1607" w:rsidP="00BD160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07" w:rsidRDefault="00BD160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93D728" wp14:editId="00B1F14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D1607" w:rsidTr="00BD1607">
      <w:trPr>
        <w:trHeight w:val="227"/>
      </w:trPr>
      <w:tc>
        <w:tcPr>
          <w:tcW w:w="5529" w:type="dxa"/>
          <w:hideMark/>
        </w:tcPr>
        <w:p w:rsidR="00BD1607" w:rsidRDefault="00BD1607" w:rsidP="00BD160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D1607" w:rsidRPr="003D7938" w:rsidRDefault="00BD1607" w:rsidP="00BD1607">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16950</w:t>
          </w:r>
          <w:r w:rsidRPr="003D7938">
            <w:rPr>
              <w:rFonts w:ascii="Palatino Linotype" w:hAnsi="Palatino Linotype" w:cs="Arial"/>
              <w:bCs/>
              <w:sz w:val="24"/>
              <w:lang w:eastAsia="es-MX"/>
            </w:rPr>
            <w:t>/INFOEM/IP/RR/2022</w:t>
          </w:r>
        </w:p>
      </w:tc>
    </w:tr>
    <w:tr w:rsidR="00BD1607" w:rsidTr="00BD1607">
      <w:trPr>
        <w:trHeight w:val="242"/>
      </w:trPr>
      <w:tc>
        <w:tcPr>
          <w:tcW w:w="5529" w:type="dxa"/>
          <w:hideMark/>
        </w:tcPr>
        <w:p w:rsidR="00BD1607" w:rsidRDefault="00BD1607" w:rsidP="00BD160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D1607" w:rsidRPr="003D7938" w:rsidRDefault="00BD1607" w:rsidP="00BD1607">
          <w:pPr>
            <w:spacing w:after="120" w:line="256" w:lineRule="auto"/>
            <w:ind w:left="639" w:right="214"/>
            <w:jc w:val="both"/>
            <w:rPr>
              <w:rFonts w:ascii="Palatino Linotype" w:hAnsi="Palatino Linotype" w:cs="Arial"/>
              <w:sz w:val="24"/>
            </w:rPr>
          </w:pPr>
          <w:r w:rsidRPr="00BD1607">
            <w:rPr>
              <w:rFonts w:ascii="Palatino Linotype" w:hAnsi="Palatino Linotype" w:cs="Arial"/>
              <w:sz w:val="24"/>
              <w:szCs w:val="20"/>
            </w:rPr>
            <w:t>Ayuntamiento de Tianguistenco</w:t>
          </w:r>
        </w:p>
      </w:tc>
    </w:tr>
    <w:tr w:rsidR="00BD1607" w:rsidTr="00BD1607">
      <w:trPr>
        <w:trHeight w:val="342"/>
      </w:trPr>
      <w:tc>
        <w:tcPr>
          <w:tcW w:w="5529" w:type="dxa"/>
          <w:hideMark/>
        </w:tcPr>
        <w:p w:rsidR="00BD1607" w:rsidRDefault="00BD1607" w:rsidP="00BD160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D1607" w:rsidRPr="003D7938" w:rsidRDefault="00BD1607" w:rsidP="00BD1607">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rsidR="00BD1607" w:rsidRDefault="00BD16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D1607" w:rsidTr="00BD1607">
      <w:trPr>
        <w:trHeight w:val="227"/>
      </w:trPr>
      <w:tc>
        <w:tcPr>
          <w:tcW w:w="5529" w:type="dxa"/>
          <w:hideMark/>
        </w:tcPr>
        <w:p w:rsidR="00BD1607" w:rsidRDefault="00BD1607" w:rsidP="00BD160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D1607" w:rsidRPr="00B4142F" w:rsidRDefault="00BD1607" w:rsidP="00BD160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16950/INFOEM/IP/RR/2022</w:t>
          </w:r>
        </w:p>
      </w:tc>
    </w:tr>
    <w:tr w:rsidR="00BD1607" w:rsidTr="00BD1607">
      <w:trPr>
        <w:trHeight w:val="196"/>
      </w:trPr>
      <w:tc>
        <w:tcPr>
          <w:tcW w:w="5529" w:type="dxa"/>
          <w:hideMark/>
        </w:tcPr>
        <w:p w:rsidR="00BD1607" w:rsidRDefault="00BD1607" w:rsidP="00BD160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D1607" w:rsidRPr="003D7938" w:rsidRDefault="0098119C" w:rsidP="00BD1607">
          <w:pPr>
            <w:spacing w:after="120" w:line="256" w:lineRule="auto"/>
            <w:ind w:left="639" w:right="214"/>
            <w:jc w:val="both"/>
            <w:rPr>
              <w:rFonts w:ascii="Palatino Linotype" w:hAnsi="Palatino Linotype" w:cs="Arial"/>
              <w:sz w:val="24"/>
            </w:rPr>
          </w:pPr>
          <w:proofErr w:type="spellStart"/>
          <w:r>
            <w:rPr>
              <w:rFonts w:ascii="Palatino Linotype" w:hAnsi="Palatino Linotype" w:cs="Arial"/>
              <w:sz w:val="24"/>
            </w:rPr>
            <w:t>xxxx</w:t>
          </w:r>
          <w:proofErr w:type="spellEnd"/>
        </w:p>
      </w:tc>
    </w:tr>
    <w:tr w:rsidR="00BD1607" w:rsidTr="00BD1607">
      <w:trPr>
        <w:trHeight w:val="242"/>
      </w:trPr>
      <w:tc>
        <w:tcPr>
          <w:tcW w:w="5529" w:type="dxa"/>
          <w:hideMark/>
        </w:tcPr>
        <w:p w:rsidR="00BD1607" w:rsidRDefault="00BD1607" w:rsidP="00BD160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D1607" w:rsidRPr="003D7938" w:rsidRDefault="00BD1607" w:rsidP="00BD1607">
          <w:pPr>
            <w:spacing w:after="120" w:line="256" w:lineRule="auto"/>
            <w:ind w:left="639" w:right="214"/>
            <w:jc w:val="both"/>
            <w:rPr>
              <w:rFonts w:ascii="Palatino Linotype" w:hAnsi="Palatino Linotype" w:cs="Arial"/>
              <w:sz w:val="24"/>
              <w:szCs w:val="20"/>
            </w:rPr>
          </w:pPr>
          <w:r w:rsidRPr="00BD1607">
            <w:rPr>
              <w:rFonts w:ascii="Palatino Linotype" w:hAnsi="Palatino Linotype" w:cs="Arial"/>
              <w:sz w:val="24"/>
              <w:szCs w:val="20"/>
            </w:rPr>
            <w:t>Ayuntamiento de Tianguistenco</w:t>
          </w:r>
        </w:p>
      </w:tc>
    </w:tr>
    <w:tr w:rsidR="00BD1607" w:rsidTr="00BD1607">
      <w:trPr>
        <w:trHeight w:val="342"/>
      </w:trPr>
      <w:tc>
        <w:tcPr>
          <w:tcW w:w="5529" w:type="dxa"/>
          <w:hideMark/>
        </w:tcPr>
        <w:p w:rsidR="00BD1607" w:rsidRDefault="00BD1607" w:rsidP="00BD160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D1607" w:rsidRPr="003D7938" w:rsidRDefault="00BD1607" w:rsidP="00BD1607">
          <w:pPr>
            <w:spacing w:after="120" w:line="256" w:lineRule="auto"/>
            <w:ind w:left="639"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rsidR="00BD1607" w:rsidRDefault="00BD160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81D8CE" wp14:editId="21673087">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A7B"/>
    <w:multiLevelType w:val="hybridMultilevel"/>
    <w:tmpl w:val="153C10BA"/>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33B2"/>
    <w:multiLevelType w:val="hybridMultilevel"/>
    <w:tmpl w:val="BC12A940"/>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B2A05"/>
    <w:multiLevelType w:val="hybridMultilevel"/>
    <w:tmpl w:val="75580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F85D02"/>
    <w:multiLevelType w:val="hybridMultilevel"/>
    <w:tmpl w:val="B1045A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2F523E"/>
    <w:multiLevelType w:val="hybridMultilevel"/>
    <w:tmpl w:val="8FB20D2E"/>
    <w:lvl w:ilvl="0" w:tplc="62D4DAB4">
      <w:start w:val="1"/>
      <w:numFmt w:val="decimal"/>
      <w:lvlText w:val="%1."/>
      <w:lvlJc w:val="left"/>
      <w:pPr>
        <w:ind w:left="720" w:hanging="360"/>
      </w:pPr>
      <w:rPr>
        <w:b/>
      </w:rPr>
    </w:lvl>
    <w:lvl w:ilvl="1" w:tplc="03064B86">
      <w:start w:val="1"/>
      <w:numFmt w:val="upperRoman"/>
      <w:lvlText w:val="%2."/>
      <w:lvlJc w:val="left"/>
      <w:pPr>
        <w:ind w:left="1800" w:hanging="720"/>
      </w:pPr>
      <w:rPr>
        <w:rFonts w:hint="default"/>
        <w:b w:val="0"/>
        <w:u w:val="no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FD367A"/>
    <w:multiLevelType w:val="hybridMultilevel"/>
    <w:tmpl w:val="EAE60020"/>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5447B2F"/>
    <w:multiLevelType w:val="hybridMultilevel"/>
    <w:tmpl w:val="AE58FB86"/>
    <w:lvl w:ilvl="0" w:tplc="096822D6">
      <w:start w:val="1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D17478"/>
    <w:multiLevelType w:val="hybridMultilevel"/>
    <w:tmpl w:val="39D641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A834A7"/>
    <w:multiLevelType w:val="hybridMultilevel"/>
    <w:tmpl w:val="38D4684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934BB2"/>
    <w:multiLevelType w:val="hybridMultilevel"/>
    <w:tmpl w:val="7848F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231B62"/>
    <w:multiLevelType w:val="hybridMultilevel"/>
    <w:tmpl w:val="E4A05EE4"/>
    <w:lvl w:ilvl="0" w:tplc="6324F6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
  </w:num>
  <w:num w:numId="4">
    <w:abstractNumId w:val="5"/>
  </w:num>
  <w:num w:numId="5">
    <w:abstractNumId w:val="4"/>
  </w:num>
  <w:num w:numId="6">
    <w:abstractNumId w:val="1"/>
  </w:num>
  <w:num w:numId="7">
    <w:abstractNumId w:val="13"/>
  </w:num>
  <w:num w:numId="8">
    <w:abstractNumId w:val="6"/>
  </w:num>
  <w:num w:numId="9">
    <w:abstractNumId w:val="11"/>
  </w:num>
  <w:num w:numId="10">
    <w:abstractNumId w:val="7"/>
  </w:num>
  <w:num w:numId="11">
    <w:abstractNumId w:val="8"/>
  </w:num>
  <w:num w:numId="12">
    <w:abstractNumId w:val="9"/>
  </w:num>
  <w:num w:numId="13">
    <w:abstractNumId w:val="12"/>
  </w:num>
  <w:num w:numId="14">
    <w:abstractNumId w:val="10"/>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07"/>
    <w:rsid w:val="00017E01"/>
    <w:rsid w:val="000E0700"/>
    <w:rsid w:val="00196A2B"/>
    <w:rsid w:val="00286834"/>
    <w:rsid w:val="00512AB7"/>
    <w:rsid w:val="005D27D8"/>
    <w:rsid w:val="00610D84"/>
    <w:rsid w:val="006377D5"/>
    <w:rsid w:val="00667CD7"/>
    <w:rsid w:val="006B20AC"/>
    <w:rsid w:val="007002D5"/>
    <w:rsid w:val="00715E90"/>
    <w:rsid w:val="00776768"/>
    <w:rsid w:val="00791EBA"/>
    <w:rsid w:val="007A7307"/>
    <w:rsid w:val="0098119C"/>
    <w:rsid w:val="00A200F0"/>
    <w:rsid w:val="00B8562E"/>
    <w:rsid w:val="00BD1607"/>
    <w:rsid w:val="00C0635C"/>
    <w:rsid w:val="00C43EC9"/>
    <w:rsid w:val="00CD23E8"/>
    <w:rsid w:val="00CD78E2"/>
    <w:rsid w:val="00D43A68"/>
    <w:rsid w:val="00D96DAC"/>
    <w:rsid w:val="00E30AD9"/>
    <w:rsid w:val="00F329F8"/>
    <w:rsid w:val="00F776D0"/>
    <w:rsid w:val="00F8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4790443-3DF0-4DD9-B019-DB314904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6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60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160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160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160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160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160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160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D160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D1607"/>
    <w:rPr>
      <w:color w:val="0563C1" w:themeColor="hyperlink"/>
      <w:u w:val="single"/>
    </w:rPr>
  </w:style>
  <w:style w:type="paragraph" w:styleId="Sinespaciado">
    <w:name w:val="No Spacing"/>
    <w:aliases w:val="Francesa,INAI"/>
    <w:link w:val="SinespaciadoCar"/>
    <w:uiPriority w:val="1"/>
    <w:qFormat/>
    <w:rsid w:val="00BD160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D1607"/>
    <w:rPr>
      <w:rFonts w:ascii="Times New Roman" w:eastAsia="Times New Roman" w:hAnsi="Times New Roman" w:cs="Times New Roman"/>
      <w:sz w:val="24"/>
      <w:szCs w:val="24"/>
      <w:lang w:eastAsia="es-ES"/>
    </w:rPr>
  </w:style>
  <w:style w:type="paragraph" w:customStyle="1" w:styleId="infoemcitas">
    <w:name w:val="infoem citas"/>
    <w:basedOn w:val="Normal"/>
    <w:qFormat/>
    <w:rsid w:val="00BD1607"/>
    <w:pPr>
      <w:spacing w:before="240" w:line="360" w:lineRule="auto"/>
      <w:ind w:left="851" w:right="851"/>
      <w:jc w:val="both"/>
    </w:pPr>
    <w:rPr>
      <w:rFonts w:ascii="Palatino Linotype" w:hAnsi="Palatino Linotype"/>
      <w:i/>
    </w:rPr>
  </w:style>
  <w:style w:type="paragraph" w:customStyle="1" w:styleId="INFOEM">
    <w:name w:val="INFOEM"/>
    <w:basedOn w:val="Normal"/>
    <w:qFormat/>
    <w:rsid w:val="00BD1607"/>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BD1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767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6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11832">
      <w:bodyDiv w:val="1"/>
      <w:marLeft w:val="0"/>
      <w:marRight w:val="0"/>
      <w:marTop w:val="0"/>
      <w:marBottom w:val="0"/>
      <w:divBdr>
        <w:top w:val="none" w:sz="0" w:space="0" w:color="auto"/>
        <w:left w:val="none" w:sz="0" w:space="0" w:color="auto"/>
        <w:bottom w:val="none" w:sz="0" w:space="0" w:color="auto"/>
        <w:right w:val="none" w:sz="0" w:space="0" w:color="auto"/>
      </w:divBdr>
      <w:divsChild>
        <w:div w:id="6221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36</Pages>
  <Words>8333</Words>
  <Characters>45837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2023-01-13T16:02:00Z</dcterms:created>
  <dcterms:modified xsi:type="dcterms:W3CDTF">2023-02-08T18:47:00Z</dcterms:modified>
</cp:coreProperties>
</file>