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0A8" w:rsidRDefault="003E20A8" w:rsidP="00E16E35">
      <w:pPr>
        <w:tabs>
          <w:tab w:val="left" w:pos="3465"/>
        </w:tabs>
        <w:spacing w:before="240" w:after="360" w:line="360" w:lineRule="auto"/>
        <w:jc w:val="both"/>
        <w:rPr>
          <w:rFonts w:ascii="Palatino Linotype" w:eastAsia="Palatino Linotype" w:hAnsi="Palatino Linotype" w:cs="Palatino Linotype"/>
          <w:color w:val="000000"/>
        </w:rPr>
      </w:pPr>
    </w:p>
    <w:p w:rsidR="00F745F9" w:rsidRPr="003E20A8" w:rsidRDefault="00B25D7B" w:rsidP="00E16E35">
      <w:pPr>
        <w:tabs>
          <w:tab w:val="left" w:pos="3465"/>
        </w:tabs>
        <w:spacing w:before="240" w:after="360" w:line="360" w:lineRule="auto"/>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w:t>
      </w:r>
      <w:r w:rsidR="00665E4F" w:rsidRPr="003E20A8">
        <w:rPr>
          <w:rFonts w:ascii="Palatino Linotype" w:eastAsia="Palatino Linotype" w:hAnsi="Palatino Linotype" w:cs="Palatino Linotype"/>
          <w:color w:val="000000"/>
        </w:rPr>
        <w:t>Estado</w:t>
      </w:r>
      <w:r w:rsidR="00C0318F" w:rsidRPr="003E20A8">
        <w:rPr>
          <w:rFonts w:ascii="Palatino Linotype" w:eastAsia="Palatino Linotype" w:hAnsi="Palatino Linotype" w:cs="Palatino Linotype"/>
          <w:color w:val="000000"/>
        </w:rPr>
        <w:t xml:space="preserve"> de México; de veintiocho (28</w:t>
      </w:r>
      <w:r w:rsidR="00665E4F" w:rsidRPr="003E20A8">
        <w:rPr>
          <w:rFonts w:ascii="Palatino Linotype" w:eastAsia="Palatino Linotype" w:hAnsi="Palatino Linotype" w:cs="Palatino Linotype"/>
          <w:color w:val="000000"/>
        </w:rPr>
        <w:t>) de</w:t>
      </w:r>
      <w:r w:rsidR="00C0318F" w:rsidRPr="003E20A8">
        <w:rPr>
          <w:rFonts w:ascii="Palatino Linotype" w:eastAsia="Palatino Linotype" w:hAnsi="Palatino Linotype" w:cs="Palatino Linotype"/>
          <w:color w:val="000000"/>
        </w:rPr>
        <w:t xml:space="preserve"> junio </w:t>
      </w:r>
      <w:r w:rsidRPr="003E20A8">
        <w:rPr>
          <w:rFonts w:ascii="Palatino Linotype" w:eastAsia="Palatino Linotype" w:hAnsi="Palatino Linotype" w:cs="Palatino Linotype"/>
          <w:color w:val="000000"/>
        </w:rPr>
        <w:t xml:space="preserve">de dos mil veintitrés. </w:t>
      </w:r>
    </w:p>
    <w:p w:rsidR="00665E4F" w:rsidRPr="003E20A8" w:rsidRDefault="00B25D7B" w:rsidP="00E16E3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E20A8">
        <w:rPr>
          <w:rFonts w:ascii="Palatino Linotype" w:eastAsia="Palatino Linotype" w:hAnsi="Palatino Linotype" w:cs="Palatino Linotype"/>
          <w:b/>
          <w:color w:val="000000"/>
        </w:rPr>
        <w:t>VISTO</w:t>
      </w:r>
      <w:r w:rsidRPr="003E20A8">
        <w:rPr>
          <w:rFonts w:ascii="Palatino Linotype" w:eastAsia="Palatino Linotype" w:hAnsi="Palatino Linotype" w:cs="Palatino Linotype"/>
          <w:color w:val="000000"/>
        </w:rPr>
        <w:t xml:space="preserve"> el expediente electrónico formado con motivo del recurso de revisión </w:t>
      </w:r>
      <w:r w:rsidR="00C0318F" w:rsidRPr="003E20A8">
        <w:rPr>
          <w:rFonts w:ascii="Palatino Linotype" w:eastAsia="Palatino Linotype" w:hAnsi="Palatino Linotype" w:cs="Palatino Linotype"/>
          <w:b/>
          <w:bCs/>
          <w:color w:val="000000"/>
        </w:rPr>
        <w:t>02558/INFOEM/IP/RR/2023</w:t>
      </w:r>
      <w:r w:rsidRPr="003E20A8">
        <w:rPr>
          <w:rFonts w:ascii="Palatino Linotype" w:eastAsia="Palatino Linotype" w:hAnsi="Palatino Linotype" w:cs="Palatino Linotype"/>
          <w:b/>
          <w:color w:val="000000"/>
        </w:rPr>
        <w:t xml:space="preserve">, </w:t>
      </w:r>
      <w:r w:rsidR="00665E4F" w:rsidRPr="003E20A8">
        <w:rPr>
          <w:rFonts w:ascii="Palatino Linotype" w:eastAsiaTheme="minorEastAsia" w:hAnsi="Palatino Linotype" w:cstheme="minorBidi"/>
          <w:color w:val="000000" w:themeColor="text1"/>
          <w:lang w:val="es-ES_tradnl"/>
        </w:rPr>
        <w:t xml:space="preserve">promovido por </w:t>
      </w:r>
      <w:r w:rsidR="003E20A8" w:rsidRPr="003E20A8">
        <w:rPr>
          <w:rFonts w:ascii="Palatino Linotype" w:eastAsiaTheme="minorEastAsia" w:hAnsi="Palatino Linotype" w:cstheme="minorBidi"/>
          <w:b/>
          <w:color w:val="000000" w:themeColor="text1"/>
          <w:lang w:val="es-ES_tradnl"/>
        </w:rPr>
        <w:t>XXXXX XXXX XXXX</w:t>
      </w:r>
      <w:r w:rsidR="00665E4F" w:rsidRPr="003E20A8">
        <w:rPr>
          <w:rFonts w:ascii="Palatino Linotype" w:eastAsiaTheme="minorEastAsia" w:hAnsi="Palatino Linotype" w:cstheme="minorBidi"/>
          <w:color w:val="000000" w:themeColor="text1"/>
          <w:lang w:val="es-ES_tradnl"/>
        </w:rPr>
        <w:t xml:space="preserve">, por lo que en lo sucesivo será identificado en su calidad de </w:t>
      </w:r>
      <w:r w:rsidR="00665E4F" w:rsidRPr="003E20A8">
        <w:rPr>
          <w:rFonts w:ascii="Palatino Linotype" w:eastAsiaTheme="minorEastAsia" w:hAnsi="Palatino Linotype" w:cstheme="minorBidi"/>
          <w:b/>
          <w:color w:val="000000" w:themeColor="text1"/>
          <w:lang w:val="es-ES_tradnl"/>
        </w:rPr>
        <w:t>RECURRENTE</w:t>
      </w:r>
      <w:r w:rsidR="00665E4F" w:rsidRPr="003E20A8">
        <w:rPr>
          <w:rFonts w:ascii="Palatino Linotype" w:eastAsiaTheme="minorEastAsia" w:hAnsi="Palatino Linotype" w:cstheme="minorBidi"/>
          <w:color w:val="000000" w:themeColor="text1"/>
          <w:lang w:val="es-ES_tradnl"/>
        </w:rPr>
        <w:t>, en contra de la respuesta del</w:t>
      </w:r>
      <w:r w:rsidR="00C0318F" w:rsidRPr="003E20A8">
        <w:rPr>
          <w:rFonts w:ascii="Palatino Linotype" w:eastAsiaTheme="minorEastAsia" w:hAnsi="Palatino Linotype" w:cstheme="minorBidi"/>
          <w:color w:val="000000" w:themeColor="text1"/>
          <w:lang w:val="es-ES_tradnl"/>
        </w:rPr>
        <w:t xml:space="preserve"> </w:t>
      </w:r>
      <w:r w:rsidR="00C0318F" w:rsidRPr="003E20A8">
        <w:rPr>
          <w:rFonts w:ascii="Palatino Linotype" w:eastAsiaTheme="minorEastAsia" w:hAnsi="Palatino Linotype" w:cstheme="minorBidi"/>
          <w:b/>
          <w:bCs/>
          <w:color w:val="000000" w:themeColor="text1"/>
        </w:rPr>
        <w:t>Ayuntamiento de Ixtapaluca</w:t>
      </w:r>
      <w:r w:rsidR="005B78D3" w:rsidRPr="003E20A8">
        <w:rPr>
          <w:rFonts w:ascii="Palatino Linotype" w:eastAsiaTheme="minorEastAsia" w:hAnsi="Palatino Linotype" w:cstheme="minorBidi"/>
          <w:b/>
          <w:bCs/>
          <w:color w:val="000000" w:themeColor="text1"/>
        </w:rPr>
        <w:t>,</w:t>
      </w:r>
      <w:r w:rsidR="00C0318F" w:rsidRPr="003E20A8">
        <w:rPr>
          <w:rFonts w:ascii="Palatino Linotype" w:eastAsiaTheme="minorEastAsia" w:hAnsi="Palatino Linotype" w:cstheme="minorBidi"/>
          <w:color w:val="000000" w:themeColor="text1"/>
          <w:lang w:val="es-ES_tradnl"/>
        </w:rPr>
        <w:t xml:space="preserve"> </w:t>
      </w:r>
      <w:r w:rsidR="00665E4F" w:rsidRPr="003E20A8">
        <w:rPr>
          <w:rFonts w:ascii="Palatino Linotype" w:eastAsiaTheme="minorEastAsia" w:hAnsi="Palatino Linotype" w:cstheme="minorBidi"/>
          <w:color w:val="000000" w:themeColor="text1"/>
          <w:lang w:val="es-ES_tradnl"/>
        </w:rPr>
        <w:t>en lo</w:t>
      </w:r>
      <w:r w:rsidR="00665E4F" w:rsidRPr="003E20A8">
        <w:rPr>
          <w:rFonts w:ascii="Palatino Linotype" w:eastAsiaTheme="minorEastAsia" w:hAnsi="Palatino Linotype" w:cstheme="minorBidi"/>
          <w:b/>
          <w:color w:val="000000" w:themeColor="text1"/>
          <w:lang w:val="es-ES_tradnl"/>
        </w:rPr>
        <w:t xml:space="preserve"> </w:t>
      </w:r>
      <w:r w:rsidR="00665E4F" w:rsidRPr="003E20A8">
        <w:rPr>
          <w:rFonts w:ascii="Palatino Linotype" w:eastAsiaTheme="minorEastAsia" w:hAnsi="Palatino Linotype" w:cstheme="minorBidi"/>
          <w:color w:val="000000" w:themeColor="text1"/>
          <w:lang w:val="es-ES_tradnl"/>
        </w:rPr>
        <w:t>sucesivo el</w:t>
      </w:r>
      <w:r w:rsidR="00665E4F" w:rsidRPr="003E20A8">
        <w:rPr>
          <w:rFonts w:ascii="Palatino Linotype" w:eastAsiaTheme="minorEastAsia" w:hAnsi="Palatino Linotype" w:cstheme="minorBidi"/>
          <w:b/>
          <w:color w:val="000000" w:themeColor="text1"/>
          <w:lang w:val="es-ES_tradnl"/>
        </w:rPr>
        <w:t xml:space="preserve"> SUJETO OBLIGADO, </w:t>
      </w:r>
      <w:r w:rsidR="00665E4F" w:rsidRPr="003E20A8">
        <w:rPr>
          <w:rFonts w:ascii="Palatino Linotype" w:eastAsiaTheme="minorEastAsia" w:hAnsi="Palatino Linotype" w:cstheme="minorBidi"/>
          <w:color w:val="000000" w:themeColor="text1"/>
          <w:lang w:val="es-ES_tradnl"/>
        </w:rPr>
        <w:t>se procede a dictar la presente resolución, con base en los siguientes:</w:t>
      </w:r>
    </w:p>
    <w:p w:rsidR="00F745F9" w:rsidRPr="003E20A8" w:rsidRDefault="00B25D7B" w:rsidP="00E16E35">
      <w:pPr>
        <w:pStyle w:val="Ttulo1"/>
        <w:spacing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3E20A8">
        <w:rPr>
          <w:rFonts w:ascii="Palatino Linotype" w:eastAsia="Palatino Linotype" w:hAnsi="Palatino Linotype" w:cs="Palatino Linotype"/>
          <w:b/>
          <w:color w:val="000000"/>
          <w:sz w:val="24"/>
          <w:szCs w:val="24"/>
        </w:rPr>
        <w:t>ANTECEDENTES</w:t>
      </w:r>
    </w:p>
    <w:p w:rsidR="00F745F9" w:rsidRPr="003E20A8" w:rsidRDefault="00C0318F" w:rsidP="00E16E35">
      <w:pPr>
        <w:numPr>
          <w:ilvl w:val="0"/>
          <w:numId w:val="12"/>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El dos (02</w:t>
      </w:r>
      <w:r w:rsidR="00346B32" w:rsidRPr="003E20A8">
        <w:rPr>
          <w:rFonts w:ascii="Palatino Linotype" w:eastAsia="Palatino Linotype" w:hAnsi="Palatino Linotype" w:cs="Palatino Linotype"/>
          <w:color w:val="000000"/>
        </w:rPr>
        <w:t>) de</w:t>
      </w:r>
      <w:r w:rsidRPr="003E20A8">
        <w:rPr>
          <w:rFonts w:ascii="Palatino Linotype" w:eastAsia="Palatino Linotype" w:hAnsi="Palatino Linotype" w:cs="Palatino Linotype"/>
          <w:color w:val="000000"/>
        </w:rPr>
        <w:t xml:space="preserve"> mayo </w:t>
      </w:r>
      <w:r w:rsidR="00346B32" w:rsidRPr="003E20A8">
        <w:rPr>
          <w:rFonts w:ascii="Palatino Linotype" w:eastAsia="Palatino Linotype" w:hAnsi="Palatino Linotype" w:cs="Palatino Linotype"/>
          <w:color w:val="000000"/>
        </w:rPr>
        <w:t xml:space="preserve">de dos mil </w:t>
      </w:r>
      <w:r w:rsidR="00665E4F" w:rsidRPr="003E20A8">
        <w:rPr>
          <w:rFonts w:ascii="Palatino Linotype" w:eastAsia="Palatino Linotype" w:hAnsi="Palatino Linotype" w:cs="Palatino Linotype"/>
          <w:color w:val="000000"/>
        </w:rPr>
        <w:t>veintitrés,</w:t>
      </w:r>
      <w:r w:rsidR="00B25D7B" w:rsidRPr="003E20A8">
        <w:rPr>
          <w:rFonts w:ascii="Palatino Linotype" w:eastAsia="Palatino Linotype" w:hAnsi="Palatino Linotype" w:cs="Palatino Linotype"/>
          <w:color w:val="000000"/>
        </w:rPr>
        <w:t xml:space="preserve"> el particular presentó</w:t>
      </w:r>
      <w:r w:rsidR="00B25D7B" w:rsidRPr="003E20A8">
        <w:rPr>
          <w:rFonts w:ascii="Palatino Linotype" w:eastAsia="Palatino Linotype" w:hAnsi="Palatino Linotype" w:cs="Palatino Linotype"/>
          <w:b/>
          <w:color w:val="000000"/>
        </w:rPr>
        <w:t xml:space="preserve"> </w:t>
      </w:r>
      <w:r w:rsidR="00B25D7B" w:rsidRPr="003E20A8">
        <w:rPr>
          <w:rFonts w:ascii="Palatino Linotype" w:eastAsia="Palatino Linotype" w:hAnsi="Palatino Linotype" w:cs="Palatino Linotype"/>
          <w:color w:val="000000"/>
        </w:rPr>
        <w:t xml:space="preserve">a través del Sistema de Acceso a la Información Mexiquense </w:t>
      </w:r>
      <w:r w:rsidR="00B25D7B" w:rsidRPr="003E20A8">
        <w:rPr>
          <w:rFonts w:ascii="Palatino Linotype" w:eastAsia="Palatino Linotype" w:hAnsi="Palatino Linotype" w:cs="Palatino Linotype"/>
          <w:b/>
          <w:color w:val="000000"/>
        </w:rPr>
        <w:t xml:space="preserve">(SAIMEX), </w:t>
      </w:r>
      <w:r w:rsidR="00B25D7B" w:rsidRPr="003E20A8">
        <w:rPr>
          <w:rFonts w:ascii="Palatino Linotype" w:eastAsia="Palatino Linotype" w:hAnsi="Palatino Linotype" w:cs="Palatino Linotype"/>
          <w:color w:val="000000"/>
        </w:rPr>
        <w:t>la solicitud de información pública registrada con el número</w:t>
      </w:r>
      <w:r w:rsidR="0075041C" w:rsidRPr="003E20A8">
        <w:rPr>
          <w:rFonts w:ascii="Palatino Linotype" w:eastAsia="Palatino Linotype" w:hAnsi="Palatino Linotype" w:cs="Palatino Linotype"/>
          <w:color w:val="000000"/>
        </w:rPr>
        <w:t xml:space="preserve"> </w:t>
      </w:r>
      <w:r w:rsidRPr="003E20A8">
        <w:rPr>
          <w:rFonts w:ascii="Palatino Linotype" w:eastAsia="Palatino Linotype" w:hAnsi="Palatino Linotype" w:cs="Palatino Linotype"/>
          <w:b/>
          <w:bCs/>
          <w:color w:val="000000"/>
        </w:rPr>
        <w:t>00166/IXTAPALU/IP/2023</w:t>
      </w:r>
      <w:r w:rsidR="00B25D7B" w:rsidRPr="003E20A8">
        <w:rPr>
          <w:rFonts w:ascii="Palatino Linotype" w:eastAsia="Palatino Linotype" w:hAnsi="Palatino Linotype" w:cs="Palatino Linotype"/>
          <w:b/>
          <w:color w:val="000000"/>
        </w:rPr>
        <w:t>,</w:t>
      </w:r>
      <w:r w:rsidR="00B25D7B" w:rsidRPr="003E20A8">
        <w:rPr>
          <w:rFonts w:ascii="Palatino Linotype" w:eastAsia="Palatino Linotype" w:hAnsi="Palatino Linotype" w:cs="Palatino Linotype"/>
          <w:color w:val="000000"/>
        </w:rPr>
        <w:t xml:space="preserve"> mediante la cual requirió:</w:t>
      </w:r>
    </w:p>
    <w:p w:rsidR="00F745F9" w:rsidRPr="003E20A8" w:rsidRDefault="00B25D7B" w:rsidP="00E16E35">
      <w:pPr>
        <w:spacing w:line="360" w:lineRule="auto"/>
        <w:ind w:left="567" w:right="567"/>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i/>
          <w:color w:val="000000"/>
        </w:rPr>
        <w:t>“</w:t>
      </w:r>
      <w:r w:rsidR="00C0318F" w:rsidRPr="003E20A8">
        <w:rPr>
          <w:rFonts w:ascii="Palatino Linotype" w:eastAsia="Palatino Linotype" w:hAnsi="Palatino Linotype" w:cs="Palatino Linotype"/>
          <w:i/>
          <w:color w:val="000000"/>
        </w:rPr>
        <w:t>Por mediod de la presente me permito solicitar información relacionada a los cobros, a detalle (actas de nacimiento, acta de recono, acta de defuncion, etc.) realizados en las distintas oficialias del registro civil del municipio durante el año fiscal 2022 y lo que del 2023</w:t>
      </w:r>
      <w:r w:rsidRPr="003E20A8">
        <w:rPr>
          <w:rFonts w:ascii="Palatino Linotype" w:eastAsia="Palatino Linotype" w:hAnsi="Palatino Linotype" w:cs="Palatino Linotype"/>
          <w:i/>
          <w:color w:val="000000"/>
        </w:rPr>
        <w:t xml:space="preserve">” </w:t>
      </w:r>
      <w:r w:rsidRPr="003E20A8">
        <w:rPr>
          <w:rFonts w:ascii="Palatino Linotype" w:eastAsia="Palatino Linotype" w:hAnsi="Palatino Linotype" w:cs="Palatino Linotype"/>
          <w:color w:val="000000"/>
        </w:rPr>
        <w:t>(Sic).</w:t>
      </w:r>
    </w:p>
    <w:p w:rsidR="00F745F9" w:rsidRPr="003E20A8" w:rsidRDefault="00F745F9" w:rsidP="00E16E35">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F745F9" w:rsidRPr="003E20A8" w:rsidRDefault="00B25D7B" w:rsidP="00E16E35">
      <w:pPr>
        <w:numPr>
          <w:ilvl w:val="0"/>
          <w:numId w:val="12"/>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lastRenderedPageBreak/>
        <w:t>Se hace constar que se señaló como modalidad de entrega de la información</w:t>
      </w:r>
      <w:r w:rsidRPr="003E20A8">
        <w:rPr>
          <w:rFonts w:ascii="Palatino Linotype" w:eastAsia="Palatino Linotype" w:hAnsi="Palatino Linotype" w:cs="Palatino Linotype"/>
          <w:b/>
          <w:color w:val="000000"/>
        </w:rPr>
        <w:t>:</w:t>
      </w:r>
      <w:r w:rsidRPr="003E20A8">
        <w:rPr>
          <w:rFonts w:ascii="Palatino Linotype" w:eastAsia="Palatino Linotype" w:hAnsi="Palatino Linotype" w:cs="Palatino Linotype"/>
          <w:color w:val="000000"/>
        </w:rPr>
        <w:t xml:space="preserve"> </w:t>
      </w:r>
      <w:r w:rsidRPr="003E20A8">
        <w:rPr>
          <w:rFonts w:ascii="Palatino Linotype" w:eastAsia="Palatino Linotype" w:hAnsi="Palatino Linotype" w:cs="Palatino Linotype"/>
          <w:b/>
          <w:color w:val="000000"/>
        </w:rPr>
        <w:t>A través del SAIMEX.</w:t>
      </w:r>
    </w:p>
    <w:p w:rsidR="00C0318F" w:rsidRPr="003E20A8" w:rsidRDefault="00C0318F" w:rsidP="00E16E3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F745F9" w:rsidRPr="003E20A8" w:rsidRDefault="00665E4F" w:rsidP="00E16E35">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Consecuentemente, el trece (13</w:t>
      </w:r>
      <w:r w:rsidR="00B25D7B" w:rsidRPr="003E20A8">
        <w:rPr>
          <w:rFonts w:ascii="Palatino Linotype" w:eastAsia="Palatino Linotype" w:hAnsi="Palatino Linotype" w:cs="Palatino Linotype"/>
          <w:color w:val="000000"/>
        </w:rPr>
        <w:t>) de</w:t>
      </w:r>
      <w:r w:rsidR="00230C2A" w:rsidRPr="003E20A8">
        <w:rPr>
          <w:rFonts w:ascii="Palatino Linotype" w:eastAsia="Palatino Linotype" w:hAnsi="Palatino Linotype" w:cs="Palatino Linotype"/>
          <w:color w:val="000000"/>
        </w:rPr>
        <w:t xml:space="preserve"> mayo</w:t>
      </w:r>
      <w:r w:rsidR="00B25D7B" w:rsidRPr="003E20A8">
        <w:rPr>
          <w:rFonts w:ascii="Palatino Linotype" w:eastAsia="Palatino Linotype" w:hAnsi="Palatino Linotype" w:cs="Palatino Linotype"/>
          <w:color w:val="000000"/>
        </w:rPr>
        <w:t xml:space="preserve"> de dos mil veintitrés, el </w:t>
      </w:r>
      <w:r w:rsidR="00B25D7B" w:rsidRPr="003E20A8">
        <w:rPr>
          <w:rFonts w:ascii="Palatino Linotype" w:eastAsia="Palatino Linotype" w:hAnsi="Palatino Linotype" w:cs="Palatino Linotype"/>
          <w:b/>
          <w:color w:val="000000"/>
        </w:rPr>
        <w:t>SUJETO OBLIGADO</w:t>
      </w:r>
      <w:r w:rsidR="00B25D7B" w:rsidRPr="003E20A8">
        <w:rPr>
          <w:rFonts w:ascii="Palatino Linotype" w:eastAsia="Palatino Linotype" w:hAnsi="Palatino Linotype" w:cs="Palatino Linotype"/>
          <w:color w:val="000000"/>
        </w:rPr>
        <w:t xml:space="preserve"> dio respuesta a la solicitud de información en los siguientes términos:</w:t>
      </w:r>
    </w:p>
    <w:p w:rsidR="00F745F9" w:rsidRPr="003E20A8" w:rsidRDefault="00F745F9" w:rsidP="00E16E3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C0318F" w:rsidRPr="003E20A8" w:rsidRDefault="00665E4F" w:rsidP="00E16E35">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r w:rsidRPr="003E20A8">
        <w:rPr>
          <w:rFonts w:ascii="Palatino Linotype" w:eastAsia="Palatino Linotype" w:hAnsi="Palatino Linotype" w:cs="Palatino Linotype"/>
          <w:i/>
          <w:color w:val="000000"/>
        </w:rPr>
        <w:t>“</w:t>
      </w:r>
      <w:r w:rsidR="00C0318F" w:rsidRPr="003E20A8">
        <w:rPr>
          <w:rFonts w:ascii="Palatino Linotype" w:eastAsia="Palatino Linotype" w:hAnsi="Palatino Linotype" w:cs="Palatino Linotype"/>
          <w:i/>
          <w:color w:val="000000"/>
        </w:rPr>
        <w:t>Ixtapaluca, México a 03 de Mayo de 2023</w:t>
      </w:r>
    </w:p>
    <w:p w:rsidR="00C0318F" w:rsidRPr="003E20A8" w:rsidRDefault="00C0318F" w:rsidP="00E16E35">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r w:rsidRPr="003E20A8">
        <w:rPr>
          <w:rFonts w:ascii="Palatino Linotype" w:eastAsia="Palatino Linotype" w:hAnsi="Palatino Linotype" w:cs="Palatino Linotype"/>
          <w:i/>
          <w:color w:val="000000"/>
        </w:rPr>
        <w:t>Nombre del solicitante: C. Solicitante</w:t>
      </w:r>
    </w:p>
    <w:p w:rsidR="00C0318F" w:rsidRPr="003E20A8" w:rsidRDefault="00C0318F" w:rsidP="00E16E35">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r w:rsidRPr="003E20A8">
        <w:rPr>
          <w:rFonts w:ascii="Palatino Linotype" w:eastAsia="Palatino Linotype" w:hAnsi="Palatino Linotype" w:cs="Palatino Linotype"/>
          <w:i/>
          <w:color w:val="000000"/>
        </w:rPr>
        <w:t>Folio de la solicitud: 00166/IXTAPALU/IP/2023</w:t>
      </w:r>
    </w:p>
    <w:p w:rsidR="00C0318F" w:rsidRPr="003E20A8" w:rsidRDefault="00C0318F" w:rsidP="00E16E35">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p>
    <w:p w:rsidR="00C0318F" w:rsidRPr="003E20A8" w:rsidRDefault="00C0318F" w:rsidP="00E16E35">
      <w:pPr>
        <w:pBdr>
          <w:top w:val="nil"/>
          <w:left w:val="nil"/>
          <w:bottom w:val="nil"/>
          <w:right w:val="nil"/>
          <w:between w:val="nil"/>
        </w:pBdr>
        <w:tabs>
          <w:tab w:val="left" w:pos="426"/>
        </w:tabs>
        <w:spacing w:line="360" w:lineRule="auto"/>
        <w:ind w:left="708" w:right="474"/>
        <w:jc w:val="both"/>
        <w:rPr>
          <w:rFonts w:ascii="Palatino Linotype" w:eastAsia="Palatino Linotype" w:hAnsi="Palatino Linotype" w:cs="Palatino Linotype"/>
          <w:i/>
          <w:color w:val="000000"/>
        </w:rPr>
      </w:pPr>
      <w:r w:rsidRPr="003E20A8">
        <w:rPr>
          <w:rFonts w:ascii="Palatino Linotype" w:eastAsia="Palatino Linotype" w:hAnsi="Palatino Linotype" w:cs="Palatino Linotype"/>
          <w:i/>
          <w:color w:val="000000"/>
        </w:rPr>
        <w:t xml:space="preserve">Me refiero a su Solicitud de Información presentada a través del Sistema de Acceso a la Información Mexiquense, SAIMEX, con número de folio 00166/IXTAPALU/IP/2023, en donde señala como información solicitada: Por mediod de la presente me permito solicitar información relacionada a los cobros, a detalle (actas de nacimiento, acta de recono, acta de defuncion, etc.) realizados en las distintas oficialias del registro civil del municipio durante el año fiscal 2022 y lo que del 2023 (sic) Al tenor de lo anterior, hago de su conocimiento que el Municipio de Ixtapaluca carece de facultades sobre la información que generan, poseen y/o administran las distintas Oficialías del Registro Civil, dado que éstas se encuentran a cargo de la Dirección General del Registro Civil, de la Secretaría de Justicia y Derechos Humanos del Gobierno del Estado de México. Dicho lo anterior, se trata de Dependencias adscritas a un Sujeto Obligado independiente en materia de Transparencia. En tal sentido, se le orienta a dirigir </w:t>
      </w:r>
      <w:r w:rsidRPr="003E20A8">
        <w:rPr>
          <w:rFonts w:ascii="Palatino Linotype" w:eastAsia="Palatino Linotype" w:hAnsi="Palatino Linotype" w:cs="Palatino Linotype"/>
          <w:i/>
          <w:color w:val="000000"/>
        </w:rPr>
        <w:lastRenderedPageBreak/>
        <w:t>su solicitud al Sujeto Obligado, Secretaría de Justicia y Derechos Humanos del Gobierno del Estado de México. Sin otro particular, quedo de Usted.</w:t>
      </w:r>
    </w:p>
    <w:p w:rsidR="00C0318F" w:rsidRPr="003E20A8" w:rsidRDefault="00C0318F" w:rsidP="00E16E35">
      <w:pPr>
        <w:pBdr>
          <w:top w:val="nil"/>
          <w:left w:val="nil"/>
          <w:bottom w:val="nil"/>
          <w:right w:val="nil"/>
          <w:between w:val="nil"/>
        </w:pBdr>
        <w:tabs>
          <w:tab w:val="left" w:pos="426"/>
        </w:tabs>
        <w:spacing w:line="360" w:lineRule="auto"/>
        <w:ind w:left="708" w:right="474"/>
        <w:jc w:val="right"/>
        <w:rPr>
          <w:rFonts w:ascii="Palatino Linotype" w:eastAsia="Palatino Linotype" w:hAnsi="Palatino Linotype" w:cs="Palatino Linotype"/>
          <w:i/>
          <w:color w:val="000000"/>
        </w:rPr>
      </w:pPr>
    </w:p>
    <w:p w:rsidR="00C0318F" w:rsidRPr="003E20A8" w:rsidRDefault="00C0318F" w:rsidP="00E16E35">
      <w:pPr>
        <w:pBdr>
          <w:top w:val="nil"/>
          <w:left w:val="nil"/>
          <w:bottom w:val="nil"/>
          <w:right w:val="nil"/>
          <w:between w:val="nil"/>
        </w:pBdr>
        <w:tabs>
          <w:tab w:val="left" w:pos="426"/>
        </w:tabs>
        <w:spacing w:line="360" w:lineRule="auto"/>
        <w:ind w:left="708" w:right="474"/>
        <w:rPr>
          <w:rFonts w:ascii="Palatino Linotype" w:eastAsia="Palatino Linotype" w:hAnsi="Palatino Linotype" w:cs="Palatino Linotype"/>
          <w:i/>
          <w:color w:val="000000"/>
        </w:rPr>
      </w:pPr>
      <w:r w:rsidRPr="003E20A8">
        <w:rPr>
          <w:rFonts w:ascii="Palatino Linotype" w:eastAsia="Palatino Linotype" w:hAnsi="Palatino Linotype" w:cs="Palatino Linotype"/>
          <w:i/>
          <w:color w:val="000000"/>
        </w:rPr>
        <w:t>ATENTAMENTE</w:t>
      </w:r>
    </w:p>
    <w:p w:rsidR="00F745F9" w:rsidRPr="003E20A8" w:rsidRDefault="00C0318F" w:rsidP="00E16E35">
      <w:pPr>
        <w:pBdr>
          <w:top w:val="nil"/>
          <w:left w:val="nil"/>
          <w:bottom w:val="nil"/>
          <w:right w:val="nil"/>
          <w:between w:val="nil"/>
        </w:pBdr>
        <w:tabs>
          <w:tab w:val="left" w:pos="426"/>
        </w:tabs>
        <w:spacing w:line="360" w:lineRule="auto"/>
        <w:ind w:left="708" w:right="474"/>
        <w:rPr>
          <w:rFonts w:ascii="Palatino Linotype" w:eastAsia="Palatino Linotype" w:hAnsi="Palatino Linotype" w:cs="Palatino Linotype"/>
          <w:i/>
          <w:color w:val="000000"/>
        </w:rPr>
      </w:pPr>
      <w:r w:rsidRPr="003E20A8">
        <w:rPr>
          <w:rFonts w:ascii="Palatino Linotype" w:eastAsia="Palatino Linotype" w:hAnsi="Palatino Linotype" w:cs="Palatino Linotype"/>
          <w:i/>
          <w:color w:val="000000"/>
        </w:rPr>
        <w:t>C. Alejandro Parra De la Rosa</w:t>
      </w:r>
      <w:r w:rsidR="00B25D7B" w:rsidRPr="003E20A8">
        <w:rPr>
          <w:rFonts w:ascii="Palatino Linotype" w:eastAsia="Palatino Linotype" w:hAnsi="Palatino Linotype" w:cs="Palatino Linotype"/>
          <w:i/>
          <w:color w:val="000000"/>
        </w:rPr>
        <w:t>.” (Sic)</w:t>
      </w:r>
    </w:p>
    <w:p w:rsidR="00F745F9" w:rsidRPr="003E20A8" w:rsidRDefault="00F745F9" w:rsidP="00E16E35">
      <w:pPr>
        <w:pBdr>
          <w:top w:val="nil"/>
          <w:left w:val="nil"/>
          <w:bottom w:val="nil"/>
          <w:right w:val="nil"/>
          <w:between w:val="nil"/>
        </w:pBdr>
        <w:tabs>
          <w:tab w:val="left" w:pos="426"/>
        </w:tabs>
        <w:spacing w:line="360" w:lineRule="auto"/>
        <w:ind w:left="708" w:right="474"/>
        <w:rPr>
          <w:rFonts w:ascii="Palatino Linotype" w:eastAsia="Palatino Linotype" w:hAnsi="Palatino Linotype" w:cs="Palatino Linotype"/>
          <w:i/>
          <w:color w:val="000000"/>
        </w:rPr>
      </w:pPr>
    </w:p>
    <w:p w:rsidR="00F745F9" w:rsidRPr="003E20A8" w:rsidRDefault="00B25D7B" w:rsidP="00E16E35">
      <w:pPr>
        <w:numPr>
          <w:ilvl w:val="0"/>
          <w:numId w:val="12"/>
        </w:numPr>
        <w:pBdr>
          <w:top w:val="nil"/>
          <w:left w:val="nil"/>
          <w:bottom w:val="nil"/>
          <w:right w:val="nil"/>
          <w:between w:val="nil"/>
        </w:pBdr>
        <w:tabs>
          <w:tab w:val="left" w:pos="180"/>
        </w:tabs>
        <w:spacing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 Asimismo, el </w:t>
      </w:r>
      <w:r w:rsidRPr="003E20A8">
        <w:rPr>
          <w:rFonts w:ascii="Palatino Linotype" w:eastAsia="Palatino Linotype" w:hAnsi="Palatino Linotype" w:cs="Palatino Linotype"/>
          <w:b/>
          <w:color w:val="000000"/>
        </w:rPr>
        <w:t>SUJETO OBLIGADO</w:t>
      </w:r>
      <w:r w:rsidRPr="003E20A8">
        <w:rPr>
          <w:rFonts w:ascii="Palatino Linotype" w:eastAsia="Palatino Linotype" w:hAnsi="Palatino Linotype" w:cs="Palatino Linotype"/>
          <w:color w:val="000000"/>
        </w:rPr>
        <w:t xml:space="preserve"> adjuntó a su respuesta los archivos electrónicos que se describen a continuación:</w:t>
      </w:r>
    </w:p>
    <w:p w:rsidR="00F745F9" w:rsidRPr="003E20A8" w:rsidRDefault="00F745F9" w:rsidP="00E16E35">
      <w:pPr>
        <w:tabs>
          <w:tab w:val="left" w:pos="284"/>
          <w:tab w:val="left" w:pos="426"/>
        </w:tabs>
        <w:spacing w:line="360" w:lineRule="auto"/>
        <w:jc w:val="both"/>
        <w:rPr>
          <w:rFonts w:ascii="Palatino Linotype" w:eastAsia="Palatino Linotype" w:hAnsi="Palatino Linotype" w:cs="Palatino Linotype"/>
          <w:color w:val="000000"/>
        </w:rPr>
      </w:pPr>
    </w:p>
    <w:p w:rsidR="00C0318F" w:rsidRPr="003E20A8" w:rsidRDefault="00C0318F" w:rsidP="00E16E35">
      <w:pPr>
        <w:numPr>
          <w:ilvl w:val="0"/>
          <w:numId w:val="2"/>
        </w:numPr>
        <w:tabs>
          <w:tab w:val="left" w:pos="284"/>
          <w:tab w:val="left" w:pos="426"/>
          <w:tab w:val="left" w:pos="993"/>
          <w:tab w:val="left" w:pos="1134"/>
        </w:tabs>
        <w:spacing w:line="360" w:lineRule="auto"/>
        <w:ind w:right="616"/>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b/>
          <w:color w:val="000000"/>
        </w:rPr>
        <w:t>ncompetencia, sol. 00166.pdf</w:t>
      </w:r>
      <w:r w:rsidR="00B25D7B" w:rsidRPr="003E20A8">
        <w:rPr>
          <w:rFonts w:ascii="Palatino Linotype" w:eastAsia="Palatino Linotype" w:hAnsi="Palatino Linotype" w:cs="Palatino Linotype"/>
          <w:b/>
          <w:color w:val="000000"/>
        </w:rPr>
        <w:t>:</w:t>
      </w:r>
      <w:r w:rsidR="00B25D7B" w:rsidRPr="003E20A8">
        <w:rPr>
          <w:rFonts w:ascii="Palatino Linotype" w:eastAsia="Palatino Linotype" w:hAnsi="Palatino Linotype" w:cs="Palatino Linotype"/>
          <w:color w:val="000000"/>
        </w:rPr>
        <w:t xml:space="preserve"> Documen</w:t>
      </w:r>
      <w:r w:rsidR="00665E4F" w:rsidRPr="003E20A8">
        <w:rPr>
          <w:rFonts w:ascii="Palatino Linotype" w:eastAsia="Palatino Linotype" w:hAnsi="Palatino Linotype" w:cs="Palatino Linotype"/>
          <w:color w:val="000000"/>
        </w:rPr>
        <w:t>to electrónico que en una (01) hoja contiene el oficio</w:t>
      </w:r>
      <w:r w:rsidRPr="003E20A8">
        <w:rPr>
          <w:rFonts w:ascii="Palatino Linotype" w:eastAsia="Palatino Linotype" w:hAnsi="Palatino Linotype" w:cs="Palatino Linotype"/>
          <w:color w:val="000000"/>
        </w:rPr>
        <w:t xml:space="preserve"> de fecha tres (03) de mayo de dos mil veintitrés de aunto “Incompetencia del Sujeto Obligado”, dirigido al solicitante y suscrito por el Titular de la Unidad de Transparencia y Acceso a la Información mediante el cual se refiere, medularmente que: </w:t>
      </w:r>
    </w:p>
    <w:p w:rsidR="00C0318F" w:rsidRPr="003E20A8" w:rsidRDefault="00C0318F" w:rsidP="00E16E35">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b/>
          <w:color w:val="000000"/>
        </w:rPr>
      </w:pPr>
    </w:p>
    <w:p w:rsidR="00D0119C" w:rsidRPr="003E20A8" w:rsidRDefault="00C0318F" w:rsidP="00E16E35">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b/>
          <w:color w:val="000000"/>
        </w:rPr>
        <w:t xml:space="preserve">“… </w:t>
      </w:r>
      <w:r w:rsidRPr="003E20A8">
        <w:rPr>
          <w:rFonts w:ascii="Palatino Linotype" w:eastAsia="Palatino Linotype" w:hAnsi="Palatino Linotype" w:cs="Palatino Linotype"/>
          <w:i/>
          <w:color w:val="000000"/>
        </w:rPr>
        <w:t>el Municipios de Ixtapaluca carece de facultades sobre la información que generan, poseen y/o administran las distintas Oficialías del Registro Civil, dado que éstas se encuentran a cargo del Gobierno General del Registro Civil, de la Secretaría de Justicia y Derechos Humanos del Gobierno del Estado de México.  Dicho la anterior, se trata de Dependencias adscritas a un Sujeto Obligado independiente en materia de Transparencia</w:t>
      </w:r>
      <w:r w:rsidRPr="003E20A8">
        <w:rPr>
          <w:rFonts w:ascii="Palatino Linotype" w:eastAsia="Palatino Linotype" w:hAnsi="Palatino Linotype" w:cs="Palatino Linotype"/>
          <w:color w:val="000000"/>
        </w:rPr>
        <w:t xml:space="preserve">.” (Sic) </w:t>
      </w:r>
    </w:p>
    <w:p w:rsidR="00C0318F" w:rsidRPr="003E20A8" w:rsidRDefault="00C0318F" w:rsidP="00E16E35">
      <w:pPr>
        <w:tabs>
          <w:tab w:val="left" w:pos="284"/>
          <w:tab w:val="left" w:pos="426"/>
          <w:tab w:val="left" w:pos="993"/>
          <w:tab w:val="left" w:pos="1134"/>
        </w:tabs>
        <w:spacing w:line="360" w:lineRule="auto"/>
        <w:ind w:left="720" w:right="616"/>
        <w:jc w:val="both"/>
        <w:rPr>
          <w:rFonts w:ascii="Palatino Linotype" w:eastAsia="Palatino Linotype" w:hAnsi="Palatino Linotype" w:cs="Palatino Linotype"/>
          <w:color w:val="000000"/>
        </w:rPr>
      </w:pPr>
    </w:p>
    <w:p w:rsidR="00F745F9" w:rsidRPr="003E20A8" w:rsidRDefault="00B25D7B" w:rsidP="00E16E35">
      <w:pPr>
        <w:numPr>
          <w:ilvl w:val="0"/>
          <w:numId w:val="12"/>
        </w:numPr>
        <w:tabs>
          <w:tab w:val="left" w:pos="284"/>
        </w:tabs>
        <w:spacing w:line="360" w:lineRule="auto"/>
        <w:ind w:left="0" w:firstLine="0"/>
        <w:jc w:val="both"/>
        <w:rPr>
          <w:rFonts w:ascii="Palatino Linotype" w:eastAsia="Palatino Linotype" w:hAnsi="Palatino Linotype" w:cs="Palatino Linotype"/>
          <w:b/>
          <w:i/>
        </w:rPr>
      </w:pPr>
      <w:r w:rsidRPr="003E20A8">
        <w:rPr>
          <w:rFonts w:ascii="Palatino Linotype" w:eastAsia="Palatino Linotype" w:hAnsi="Palatino Linotype" w:cs="Palatino Linotype"/>
        </w:rPr>
        <w:lastRenderedPageBreak/>
        <w:t>Derivado de la respuesta otor</w:t>
      </w:r>
      <w:r w:rsidR="00E7399C" w:rsidRPr="003E20A8">
        <w:rPr>
          <w:rFonts w:ascii="Palatino Linotype" w:eastAsia="Palatino Linotype" w:hAnsi="Palatino Linotype" w:cs="Palatino Linotype"/>
        </w:rPr>
        <w:t>gada, el diez (10</w:t>
      </w:r>
      <w:r w:rsidRPr="003E20A8">
        <w:rPr>
          <w:rFonts w:ascii="Palatino Linotype" w:eastAsia="Palatino Linotype" w:hAnsi="Palatino Linotype" w:cs="Palatino Linotype"/>
        </w:rPr>
        <w:t>) de</w:t>
      </w:r>
      <w:r w:rsidR="00E7399C" w:rsidRPr="003E20A8">
        <w:rPr>
          <w:rFonts w:ascii="Palatino Linotype" w:eastAsia="Palatino Linotype" w:hAnsi="Palatino Linotype" w:cs="Palatino Linotype"/>
        </w:rPr>
        <w:t xml:space="preserve"> mayo</w:t>
      </w:r>
      <w:r w:rsidR="009E72D9" w:rsidRPr="003E20A8">
        <w:rPr>
          <w:rFonts w:ascii="Palatino Linotype" w:eastAsia="Palatino Linotype" w:hAnsi="Palatino Linotype" w:cs="Palatino Linotype"/>
        </w:rPr>
        <w:t xml:space="preserve"> </w:t>
      </w:r>
      <w:r w:rsidRPr="003E20A8">
        <w:rPr>
          <w:rFonts w:ascii="Palatino Linotype" w:eastAsia="Palatino Linotype" w:hAnsi="Palatino Linotype" w:cs="Palatino Linotype"/>
        </w:rPr>
        <w:t>de dos mil veintitrés, el particular interpuso el recurso de revisión con número</w:t>
      </w:r>
      <w:r w:rsidR="009E72D9" w:rsidRPr="003E20A8">
        <w:rPr>
          <w:rFonts w:ascii="Palatino Linotype" w:eastAsia="Palatino Linotype" w:hAnsi="Palatino Linotype" w:cs="Palatino Linotype"/>
        </w:rPr>
        <w:t xml:space="preserve"> </w:t>
      </w:r>
      <w:r w:rsidR="00E7399C" w:rsidRPr="003E20A8">
        <w:rPr>
          <w:rFonts w:ascii="Palatino Linotype" w:eastAsia="Palatino Linotype" w:hAnsi="Palatino Linotype" w:cs="Palatino Linotype"/>
          <w:b/>
        </w:rPr>
        <w:t>02558/INFOEM/IP/RR/2023</w:t>
      </w:r>
      <w:r w:rsidR="00E7399C" w:rsidRPr="003E20A8">
        <w:rPr>
          <w:rFonts w:ascii="Palatino Linotype" w:eastAsia="Palatino Linotype" w:hAnsi="Palatino Linotype" w:cs="Palatino Linotype"/>
          <w:b/>
          <w:i/>
        </w:rPr>
        <w:t xml:space="preserve"> </w:t>
      </w:r>
      <w:r w:rsidRPr="003E20A8">
        <w:rPr>
          <w:rFonts w:ascii="Palatino Linotype" w:eastAsia="Palatino Linotype" w:hAnsi="Palatino Linotype" w:cs="Palatino Linotype"/>
        </w:rPr>
        <w:t>indicado al rubro y señalando como:</w:t>
      </w:r>
    </w:p>
    <w:p w:rsidR="00F745F9" w:rsidRPr="003E20A8" w:rsidRDefault="00F745F9" w:rsidP="00E16E35">
      <w:pPr>
        <w:spacing w:line="360" w:lineRule="auto"/>
        <w:rPr>
          <w:rFonts w:ascii="Palatino Linotype" w:eastAsia="Palatino Linotype" w:hAnsi="Palatino Linotype" w:cs="Palatino Linotype"/>
          <w:b/>
        </w:rPr>
      </w:pPr>
    </w:p>
    <w:p w:rsidR="00F745F9" w:rsidRPr="003E20A8" w:rsidRDefault="00B25D7B" w:rsidP="00E16E35">
      <w:pPr>
        <w:numPr>
          <w:ilvl w:val="0"/>
          <w:numId w:val="5"/>
        </w:numPr>
        <w:tabs>
          <w:tab w:val="left" w:pos="284"/>
        </w:tabs>
        <w:spacing w:line="360" w:lineRule="auto"/>
        <w:ind w:right="738"/>
        <w:jc w:val="both"/>
        <w:rPr>
          <w:rFonts w:ascii="Palatino Linotype" w:eastAsia="Palatino Linotype" w:hAnsi="Palatino Linotype" w:cs="Palatino Linotype"/>
          <w:i/>
        </w:rPr>
      </w:pPr>
      <w:r w:rsidRPr="003E20A8">
        <w:rPr>
          <w:rFonts w:ascii="Palatino Linotype" w:eastAsia="Palatino Linotype" w:hAnsi="Palatino Linotype" w:cs="Palatino Linotype"/>
          <w:b/>
        </w:rPr>
        <w:t>Acto impugnado:</w:t>
      </w:r>
      <w:r w:rsidRPr="003E20A8">
        <w:rPr>
          <w:rFonts w:ascii="Palatino Linotype" w:eastAsia="Palatino Linotype" w:hAnsi="Palatino Linotype" w:cs="Palatino Linotype"/>
        </w:rPr>
        <w:t xml:space="preserve"> </w:t>
      </w:r>
      <w:r w:rsidR="00E60FB1" w:rsidRPr="003E20A8">
        <w:rPr>
          <w:rFonts w:ascii="Palatino Linotype" w:eastAsia="Palatino Linotype" w:hAnsi="Palatino Linotype" w:cs="Palatino Linotype"/>
          <w:i/>
        </w:rPr>
        <w:t>“</w:t>
      </w:r>
      <w:r w:rsidR="00E7399C" w:rsidRPr="003E20A8">
        <w:rPr>
          <w:rFonts w:ascii="Palatino Linotype" w:eastAsia="Palatino Linotype" w:hAnsi="Palatino Linotype" w:cs="Palatino Linotype"/>
          <w:i/>
        </w:rPr>
        <w:t>El no tener competencia con la información solicitada si es el municipio el que cobra dichas operaciones.</w:t>
      </w:r>
      <w:r w:rsidRPr="003E20A8">
        <w:rPr>
          <w:rFonts w:ascii="Palatino Linotype" w:eastAsia="Palatino Linotype" w:hAnsi="Palatino Linotype" w:cs="Palatino Linotype"/>
          <w:i/>
        </w:rPr>
        <w:t>” (Sic).</w:t>
      </w:r>
    </w:p>
    <w:p w:rsidR="00F745F9" w:rsidRPr="003E20A8" w:rsidRDefault="00F745F9" w:rsidP="00E16E35">
      <w:pPr>
        <w:tabs>
          <w:tab w:val="left" w:pos="426"/>
          <w:tab w:val="left" w:pos="993"/>
        </w:tabs>
        <w:spacing w:line="360" w:lineRule="auto"/>
        <w:ind w:left="567" w:right="738"/>
        <w:jc w:val="both"/>
        <w:rPr>
          <w:rFonts w:ascii="Palatino Linotype" w:eastAsia="Palatino Linotype" w:hAnsi="Palatino Linotype" w:cs="Palatino Linotype"/>
        </w:rPr>
      </w:pPr>
    </w:p>
    <w:p w:rsidR="00F745F9" w:rsidRPr="003E20A8" w:rsidRDefault="00B25D7B" w:rsidP="00E16E35">
      <w:pPr>
        <w:numPr>
          <w:ilvl w:val="0"/>
          <w:numId w:val="5"/>
        </w:numPr>
        <w:tabs>
          <w:tab w:val="left" w:pos="426"/>
          <w:tab w:val="left" w:pos="993"/>
        </w:tabs>
        <w:spacing w:line="360" w:lineRule="auto"/>
        <w:ind w:right="738"/>
        <w:jc w:val="both"/>
        <w:rPr>
          <w:rFonts w:ascii="Palatino Linotype" w:eastAsia="Palatino Linotype" w:hAnsi="Palatino Linotype" w:cs="Palatino Linotype"/>
        </w:rPr>
      </w:pPr>
      <w:r w:rsidRPr="003E20A8">
        <w:rPr>
          <w:rFonts w:ascii="Palatino Linotype" w:eastAsia="Palatino Linotype" w:hAnsi="Palatino Linotype" w:cs="Palatino Linotype"/>
          <w:b/>
        </w:rPr>
        <w:t>Razones o motivos de inconformidad:</w:t>
      </w:r>
      <w:r w:rsidRPr="003E20A8">
        <w:rPr>
          <w:rFonts w:ascii="Palatino Linotype" w:eastAsia="Palatino Linotype" w:hAnsi="Palatino Linotype" w:cs="Palatino Linotype"/>
        </w:rPr>
        <w:t xml:space="preserve"> </w:t>
      </w:r>
      <w:r w:rsidRPr="003E20A8">
        <w:rPr>
          <w:rFonts w:ascii="Palatino Linotype" w:eastAsia="Palatino Linotype" w:hAnsi="Palatino Linotype" w:cs="Palatino Linotype"/>
          <w:i/>
        </w:rPr>
        <w:t>“</w:t>
      </w:r>
      <w:r w:rsidR="00E7399C" w:rsidRPr="003E20A8">
        <w:rPr>
          <w:rFonts w:ascii="Palatino Linotype" w:eastAsia="Palatino Linotype" w:hAnsi="Palatino Linotype" w:cs="Palatino Linotype"/>
          <w:i/>
        </w:rPr>
        <w:t>El total de las operaciones realizadas por conceptos referentes al registro civil por cada una de sus oficialias, si son competencia del municipio ya que dichos cobros entran a cuentas del municipio a traves de sus caja de cobro</w:t>
      </w:r>
      <w:r w:rsidRPr="003E20A8">
        <w:rPr>
          <w:rFonts w:ascii="Palatino Linotype" w:eastAsia="Palatino Linotype" w:hAnsi="Palatino Linotype" w:cs="Palatino Linotype"/>
          <w:i/>
        </w:rPr>
        <w:t>” (Sic).</w:t>
      </w:r>
    </w:p>
    <w:p w:rsidR="00F745F9" w:rsidRPr="003E20A8" w:rsidRDefault="00F745F9" w:rsidP="00E16E35">
      <w:pPr>
        <w:tabs>
          <w:tab w:val="left" w:pos="0"/>
        </w:tabs>
        <w:spacing w:line="360" w:lineRule="auto"/>
        <w:ind w:right="616"/>
        <w:jc w:val="both"/>
        <w:rPr>
          <w:rFonts w:ascii="Palatino Linotype" w:eastAsia="Palatino Linotype" w:hAnsi="Palatino Linotype" w:cs="Palatino Linotype"/>
          <w:color w:val="000000"/>
        </w:rPr>
      </w:pPr>
    </w:p>
    <w:p w:rsidR="00F745F9" w:rsidRPr="003E20A8" w:rsidRDefault="00B25D7B" w:rsidP="00E16E35">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3E20A8">
        <w:rPr>
          <w:rFonts w:ascii="Palatino Linotype" w:eastAsia="Palatino Linotype" w:hAnsi="Palatino Linotype" w:cs="Palatino Linotype"/>
          <w:b/>
          <w:color w:val="000000"/>
        </w:rPr>
        <w:t xml:space="preserve">Ley de Transparencia y Acceso a la Información Pública del Estado de México y Municipios </w:t>
      </w:r>
      <w:r w:rsidRPr="003E20A8">
        <w:rPr>
          <w:rFonts w:ascii="Palatino Linotype" w:eastAsia="Palatino Linotype" w:hAnsi="Palatino Linotype" w:cs="Palatino Linotype"/>
          <w:color w:val="000000"/>
        </w:rPr>
        <w:t xml:space="preserve">se turnó a la </w:t>
      </w:r>
      <w:r w:rsidRPr="003E20A8">
        <w:rPr>
          <w:rFonts w:ascii="Palatino Linotype" w:eastAsia="Palatino Linotype" w:hAnsi="Palatino Linotype" w:cs="Palatino Linotype"/>
          <w:b/>
          <w:color w:val="000000"/>
        </w:rPr>
        <w:t xml:space="preserve">Comisionada María del Rosario Mejía Ayala, </w:t>
      </w:r>
      <w:r w:rsidRPr="003E20A8">
        <w:rPr>
          <w:rFonts w:ascii="Palatino Linotype" w:eastAsia="Palatino Linotype" w:hAnsi="Palatino Linotype" w:cs="Palatino Linotype"/>
          <w:color w:val="000000"/>
        </w:rPr>
        <w:t>con el objeto de su análisis.</w:t>
      </w:r>
    </w:p>
    <w:p w:rsidR="00F745F9" w:rsidRPr="003E20A8" w:rsidRDefault="00F745F9" w:rsidP="00E16E35">
      <w:pPr>
        <w:tabs>
          <w:tab w:val="left" w:pos="426"/>
        </w:tabs>
        <w:spacing w:line="360" w:lineRule="auto"/>
        <w:jc w:val="both"/>
        <w:rPr>
          <w:rFonts w:ascii="Palatino Linotype" w:eastAsia="Palatino Linotype" w:hAnsi="Palatino Linotype" w:cs="Palatino Linotype"/>
          <w:color w:val="000000"/>
        </w:rPr>
      </w:pPr>
    </w:p>
    <w:p w:rsidR="00F745F9" w:rsidRPr="003E20A8" w:rsidRDefault="00B25D7B" w:rsidP="00E16E35">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bookmarkStart w:id="1" w:name="_heading=h.1fob9te" w:colFirst="0" w:colLast="0"/>
      <w:bookmarkEnd w:id="1"/>
      <w:r w:rsidRPr="003E20A8">
        <w:rPr>
          <w:rFonts w:ascii="Palatino Linotype" w:eastAsia="Palatino Linotype" w:hAnsi="Palatino Linotype" w:cs="Palatino Linotype"/>
          <w:color w:val="000000"/>
        </w:rPr>
        <w:t xml:space="preserve">La </w:t>
      </w:r>
      <w:r w:rsidR="005B78D3" w:rsidRPr="003E20A8">
        <w:rPr>
          <w:rFonts w:ascii="Palatino Linotype" w:eastAsia="Palatino Linotype" w:hAnsi="Palatino Linotype" w:cs="Palatino Linotype"/>
          <w:b/>
          <w:color w:val="000000"/>
        </w:rPr>
        <w:t>c</w:t>
      </w:r>
      <w:r w:rsidRPr="003E20A8">
        <w:rPr>
          <w:rFonts w:ascii="Palatino Linotype" w:eastAsia="Palatino Linotype" w:hAnsi="Palatino Linotype" w:cs="Palatino Linotype"/>
          <w:b/>
          <w:color w:val="000000"/>
        </w:rPr>
        <w:t>omisionada María del Rosario Mejía Ayala</w:t>
      </w:r>
      <w:r w:rsidRPr="003E20A8">
        <w:rPr>
          <w:rFonts w:ascii="Palatino Linotype" w:eastAsia="Palatino Linotype" w:hAnsi="Palatino Linotype" w:cs="Palatino Linotype"/>
          <w:color w:val="000000"/>
        </w:rPr>
        <w:t xml:space="preserve">, con fundamento en lo dispuesto por el artículo 185 fracción II de la ley de la materia, a través </w:t>
      </w:r>
      <w:r w:rsidR="00157D4C" w:rsidRPr="003E20A8">
        <w:rPr>
          <w:rFonts w:ascii="Palatino Linotype" w:eastAsia="Palatino Linotype" w:hAnsi="Palatino Linotype" w:cs="Palatino Linotype"/>
          <w:color w:val="000000"/>
        </w:rPr>
        <w:t>de</w:t>
      </w:r>
      <w:r w:rsidR="00E7399C" w:rsidRPr="003E20A8">
        <w:rPr>
          <w:rFonts w:ascii="Palatino Linotype" w:eastAsia="Palatino Linotype" w:hAnsi="Palatino Linotype" w:cs="Palatino Linotype"/>
          <w:color w:val="000000"/>
        </w:rPr>
        <w:t>l acuerdo de admisión de quince (15</w:t>
      </w:r>
      <w:r w:rsidRPr="003E20A8">
        <w:rPr>
          <w:rFonts w:ascii="Palatino Linotype" w:eastAsia="Palatino Linotype" w:hAnsi="Palatino Linotype" w:cs="Palatino Linotype"/>
          <w:color w:val="000000"/>
        </w:rPr>
        <w:t>) de</w:t>
      </w:r>
      <w:r w:rsidR="00E7399C" w:rsidRPr="003E20A8">
        <w:rPr>
          <w:rFonts w:ascii="Palatino Linotype" w:eastAsia="Palatino Linotype" w:hAnsi="Palatino Linotype" w:cs="Palatino Linotype"/>
          <w:color w:val="000000"/>
        </w:rPr>
        <w:t xml:space="preserve"> mayo </w:t>
      </w:r>
      <w:r w:rsidRPr="003E20A8">
        <w:rPr>
          <w:rFonts w:ascii="Palatino Linotype" w:eastAsia="Palatino Linotype" w:hAnsi="Palatino Linotype" w:cs="Palatino Linotype"/>
          <w:color w:val="000000"/>
        </w:rPr>
        <w:t xml:space="preserve">de dos mil veintitrés, puso a disposición de las partes el expediente electrónico vía Sistema de Acceso a la Información Mexiquense a efecto de que en un plazo máximo de siete días manifestaran lo que a su derecho convinieran, ofrecieran pruebas y alegatos según corresponda a los casos concretos, </w:t>
      </w:r>
      <w:r w:rsidRPr="003E20A8">
        <w:rPr>
          <w:rFonts w:ascii="Palatino Linotype" w:eastAsia="Palatino Linotype" w:hAnsi="Palatino Linotype" w:cs="Palatino Linotype"/>
          <w:color w:val="000000"/>
        </w:rPr>
        <w:lastRenderedPageBreak/>
        <w:t xml:space="preserve">de esta forma para que el </w:t>
      </w:r>
      <w:r w:rsidRPr="003E20A8">
        <w:rPr>
          <w:rFonts w:ascii="Palatino Linotype" w:eastAsia="Palatino Linotype" w:hAnsi="Palatino Linotype" w:cs="Palatino Linotype"/>
          <w:b/>
          <w:color w:val="000000"/>
        </w:rPr>
        <w:t>SUJETO OBLIGADO</w:t>
      </w:r>
      <w:r w:rsidRPr="003E20A8">
        <w:rPr>
          <w:rFonts w:ascii="Palatino Linotype" w:eastAsia="Palatino Linotype" w:hAnsi="Palatino Linotype" w:cs="Palatino Linotype"/>
          <w:color w:val="000000"/>
        </w:rPr>
        <w:t xml:space="preserve"> presentara el informe just</w:t>
      </w:r>
      <w:r w:rsidR="00D44021" w:rsidRPr="003E20A8">
        <w:rPr>
          <w:rFonts w:ascii="Palatino Linotype" w:eastAsia="Palatino Linotype" w:hAnsi="Palatino Linotype" w:cs="Palatino Linotype"/>
          <w:color w:val="000000"/>
        </w:rPr>
        <w:t xml:space="preserve">ificado procedente, situación que no aconteció por ninguna de las partes. </w:t>
      </w:r>
    </w:p>
    <w:p w:rsidR="007B72C5" w:rsidRPr="003E20A8" w:rsidRDefault="007B72C5" w:rsidP="00E16E35">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eastAsia="es-ES"/>
        </w:rPr>
      </w:pPr>
    </w:p>
    <w:p w:rsidR="007B72C5" w:rsidRPr="003E20A8" w:rsidRDefault="007B72C5" w:rsidP="00E16E35">
      <w:pPr>
        <w:pStyle w:val="Prrafodelista"/>
        <w:numPr>
          <w:ilvl w:val="0"/>
          <w:numId w:val="12"/>
        </w:numPr>
        <w:tabs>
          <w:tab w:val="left" w:pos="284"/>
        </w:tabs>
        <w:spacing w:before="240" w:after="240" w:line="360" w:lineRule="auto"/>
        <w:ind w:left="0" w:firstLine="0"/>
        <w:contextualSpacing/>
        <w:jc w:val="both"/>
        <w:rPr>
          <w:rFonts w:ascii="Palatino Linotype" w:eastAsia="Calibri" w:hAnsi="Palatino Linotype" w:cs="Arial"/>
          <w:color w:val="000000" w:themeColor="text1"/>
          <w:lang w:eastAsia="es-ES"/>
        </w:rPr>
      </w:pPr>
      <w:r w:rsidRPr="003E20A8">
        <w:rPr>
          <w:rFonts w:ascii="Palatino Linotype" w:eastAsia="Calibri" w:hAnsi="Palatino Linotype" w:cs="Arial"/>
          <w:color w:val="000000" w:themeColor="text1"/>
          <w:lang w:eastAsia="es-ES"/>
        </w:rPr>
        <w:t xml:space="preserve">De </w:t>
      </w:r>
      <w:r w:rsidRPr="003E20A8">
        <w:rPr>
          <w:rFonts w:ascii="Palatino Linotype" w:eastAsiaTheme="minorEastAsia" w:hAnsi="Palatino Linotype" w:cstheme="minorBidi"/>
          <w:color w:val="000000"/>
          <w:lang w:eastAsia="es-ES"/>
        </w:rPr>
        <w:t xml:space="preserve">las </w:t>
      </w:r>
      <w:r w:rsidRPr="003E20A8">
        <w:rPr>
          <w:rFonts w:ascii="Palatino Linotype" w:eastAsiaTheme="minorEastAsia" w:hAnsi="Palatino Linotype" w:cstheme="minorBidi"/>
          <w:color w:val="000000"/>
          <w:lang w:val="es-ES_tradnl" w:eastAsia="es-ES"/>
        </w:rPr>
        <w:t xml:space="preserve">constancias que obran en el expediente digital del recurso de revisión que hoy se resuelve, se aprecia que el </w:t>
      </w:r>
      <w:r w:rsidRPr="003E20A8">
        <w:rPr>
          <w:rFonts w:ascii="Palatino Linotype" w:eastAsiaTheme="minorEastAsia" w:hAnsi="Palatino Linotype" w:cstheme="minorBidi"/>
          <w:b/>
          <w:color w:val="000000"/>
          <w:lang w:val="es-ES_tradnl" w:eastAsia="es-ES"/>
        </w:rPr>
        <w:t>SUJETO OBLIGADO</w:t>
      </w:r>
      <w:r w:rsidR="005B78D3" w:rsidRPr="003E20A8">
        <w:rPr>
          <w:rFonts w:ascii="Palatino Linotype" w:eastAsiaTheme="minorEastAsia" w:hAnsi="Palatino Linotype" w:cstheme="minorBidi"/>
          <w:b/>
          <w:color w:val="000000"/>
          <w:lang w:val="es-ES_tradnl" w:eastAsia="es-ES"/>
        </w:rPr>
        <w:t>,</w:t>
      </w:r>
      <w:r w:rsidRPr="003E20A8">
        <w:rPr>
          <w:rFonts w:ascii="Palatino Linotype" w:eastAsiaTheme="minorEastAsia" w:hAnsi="Palatino Linotype" w:cstheme="minorBidi"/>
          <w:b/>
          <w:color w:val="000000"/>
          <w:lang w:val="es-ES_tradnl" w:eastAsia="es-ES"/>
        </w:rPr>
        <w:t xml:space="preserve"> </w:t>
      </w:r>
      <w:r w:rsidRPr="003E20A8">
        <w:rPr>
          <w:rFonts w:ascii="Palatino Linotype" w:eastAsiaTheme="minorEastAsia" w:hAnsi="Palatino Linotype" w:cstheme="minorBidi"/>
          <w:color w:val="000000"/>
          <w:lang w:val="es-ES_tradnl" w:eastAsia="es-ES"/>
        </w:rPr>
        <w:t xml:space="preserve">rindió informe justificado el veintiséis (26) de mayo de dos mil veintitrés; mismo se puso a disposición del particular a través del acuerdo de fecha veintiuno (21) de junio de dos mil veintitrés, no obstante, se describen a continuación. </w:t>
      </w:r>
    </w:p>
    <w:p w:rsidR="007B72C5" w:rsidRPr="003E20A8" w:rsidRDefault="007B72C5" w:rsidP="00E16E35">
      <w:pPr>
        <w:tabs>
          <w:tab w:val="left" w:pos="284"/>
        </w:tabs>
        <w:spacing w:before="240" w:after="240" w:line="360" w:lineRule="auto"/>
        <w:contextualSpacing/>
        <w:rPr>
          <w:rFonts w:ascii="Palatino Linotype" w:eastAsia="Calibri" w:hAnsi="Palatino Linotype" w:cs="Arial"/>
          <w:color w:val="000000" w:themeColor="text1"/>
          <w:lang w:eastAsia="es-ES"/>
        </w:rPr>
      </w:pPr>
    </w:p>
    <w:p w:rsidR="007B72C5" w:rsidRPr="003E20A8" w:rsidRDefault="00AD6F3B" w:rsidP="00E16E35">
      <w:pPr>
        <w:numPr>
          <w:ilvl w:val="0"/>
          <w:numId w:val="27"/>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eastAsia="es-ES"/>
        </w:rPr>
      </w:pPr>
      <w:hyperlink r:id="rId9" w:history="1">
        <w:r w:rsidR="007B72C5" w:rsidRPr="003E20A8">
          <w:rPr>
            <w:rStyle w:val="Hipervnculo"/>
            <w:rFonts w:ascii="Palatino Linotype" w:hAnsi="Palatino Linotype"/>
            <w:b/>
            <w:bCs/>
            <w:color w:val="000000" w:themeColor="text1"/>
            <w:u w:val="none"/>
            <w:lang w:eastAsia="es-ES"/>
          </w:rPr>
          <w:t>Respuesta 166 Recaudación.pdf</w:t>
        </w:r>
      </w:hyperlink>
      <w:hyperlink r:id="rId10" w:history="1"/>
      <w:hyperlink r:id="rId11" w:tgtFrame="_blank" w:history="1"/>
      <w:r w:rsidR="007B72C5" w:rsidRPr="003E20A8">
        <w:rPr>
          <w:rFonts w:ascii="Palatino Linotype" w:eastAsiaTheme="minorEastAsia" w:hAnsi="Palatino Linotype" w:cstheme="minorBidi"/>
          <w:b/>
          <w:color w:val="000000" w:themeColor="text1"/>
          <w:lang w:val="es-ES_tradnl" w:eastAsia="es-ES"/>
        </w:rPr>
        <w:t>:</w:t>
      </w:r>
      <w:r w:rsidR="007B72C5" w:rsidRPr="003E20A8">
        <w:rPr>
          <w:rFonts w:ascii="Palatino Linotype" w:eastAsiaTheme="minorEastAsia" w:hAnsi="Palatino Linotype" w:cstheme="minorBidi"/>
          <w:color w:val="000000" w:themeColor="text1"/>
          <w:lang w:val="es-ES_tradnl" w:eastAsia="es-ES"/>
        </w:rPr>
        <w:t xml:space="preserve"> Documento electrónico que en tres (03) hojas contiene el  oficio IXT/SDR/0076/2023 dirigido al Titular de la Unidad de Transparencia y Acceso a la Información Pública; y suscrito por el Subdirector de Recaudación del Municipio,  mediante el cual se refiere que: </w:t>
      </w:r>
    </w:p>
    <w:p w:rsidR="007B72C5" w:rsidRPr="003E20A8" w:rsidRDefault="007B72C5" w:rsidP="00E16E35">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color w:val="000000" w:themeColor="text1"/>
          <w:lang w:val="es-ES_tradnl" w:eastAsia="es-ES"/>
        </w:rPr>
      </w:pPr>
    </w:p>
    <w:p w:rsidR="007B72C5" w:rsidRPr="003E20A8" w:rsidRDefault="007B72C5" w:rsidP="00E16E35">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eastAsia="es-ES"/>
        </w:rPr>
      </w:pPr>
      <w:r w:rsidRPr="003E20A8">
        <w:rPr>
          <w:rFonts w:ascii="Palatino Linotype" w:eastAsiaTheme="minorEastAsia" w:hAnsi="Palatino Linotype" w:cstheme="minorBidi"/>
          <w:i/>
          <w:color w:val="000000" w:themeColor="text1"/>
          <w:lang w:val="es-ES_tradnl" w:eastAsia="es-ES"/>
        </w:rPr>
        <w:t xml:space="preserve">“Al respecto se hace entrega de la información requerida” </w:t>
      </w:r>
    </w:p>
    <w:p w:rsidR="007B72C5" w:rsidRPr="003E20A8" w:rsidRDefault="007B72C5" w:rsidP="00E16E35">
      <w:pPr>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eastAsia="es-ES"/>
        </w:rPr>
      </w:pPr>
      <w:r w:rsidRPr="003E20A8">
        <w:rPr>
          <w:rFonts w:ascii="Palatino Linotype" w:eastAsiaTheme="minorEastAsia" w:hAnsi="Palatino Linotype" w:cstheme="minorBidi"/>
          <w:i/>
          <w:noProof/>
          <w:color w:val="000000" w:themeColor="text1"/>
          <w:lang w:val="es-MX"/>
        </w:rPr>
        <mc:AlternateContent>
          <mc:Choice Requires="wps">
            <w:drawing>
              <wp:anchor distT="0" distB="0" distL="114300" distR="114300" simplePos="0" relativeHeight="251659264" behindDoc="0" locked="0" layoutInCell="1" allowOverlap="1">
                <wp:simplePos x="0" y="0"/>
                <wp:positionH relativeFrom="column">
                  <wp:posOffset>281939</wp:posOffset>
                </wp:positionH>
                <wp:positionV relativeFrom="paragraph">
                  <wp:posOffset>268604</wp:posOffset>
                </wp:positionV>
                <wp:extent cx="5076825" cy="20097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076825" cy="2009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1E9B7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pt,21.15pt" to="42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" strokecolor="black [3040]"/>
            </w:pict>
          </mc:Fallback>
        </mc:AlternateContent>
      </w:r>
    </w:p>
    <w:p w:rsidR="007B72C5" w:rsidRPr="003E20A8" w:rsidRDefault="007B72C5" w:rsidP="00E16E35">
      <w:pPr>
        <w:tabs>
          <w:tab w:val="left" w:pos="284"/>
          <w:tab w:val="left" w:pos="426"/>
          <w:tab w:val="left" w:pos="993"/>
          <w:tab w:val="left" w:pos="1134"/>
        </w:tabs>
        <w:spacing w:line="360" w:lineRule="auto"/>
        <w:ind w:left="567" w:right="616"/>
        <w:contextualSpacing/>
        <w:jc w:val="center"/>
        <w:rPr>
          <w:rFonts w:ascii="Palatino Linotype" w:eastAsiaTheme="minorEastAsia" w:hAnsi="Palatino Linotype" w:cstheme="minorBidi"/>
          <w:i/>
          <w:color w:val="000000" w:themeColor="text1"/>
          <w:lang w:val="es-ES_tradnl" w:eastAsia="es-ES"/>
        </w:rPr>
      </w:pPr>
      <w:r w:rsidRPr="003E20A8">
        <w:rPr>
          <w:rFonts w:ascii="Palatino Linotype" w:hAnsi="Palatino Linotype"/>
          <w:noProof/>
          <w:lang w:val="es-MX"/>
        </w:rPr>
        <w:lastRenderedPageBreak/>
        <w:drawing>
          <wp:inline distT="0" distB="0" distL="0" distR="0" wp14:anchorId="27C5ED0A" wp14:editId="2C01F7D1">
            <wp:extent cx="1989667" cy="3581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512" t="25347" r="14970" b="12190"/>
                    <a:stretch/>
                  </pic:blipFill>
                  <pic:spPr bwMode="auto">
                    <a:xfrm>
                      <a:off x="0" y="0"/>
                      <a:ext cx="1992046" cy="3585683"/>
                    </a:xfrm>
                    <a:prstGeom prst="rect">
                      <a:avLst/>
                    </a:prstGeom>
                    <a:ln>
                      <a:noFill/>
                    </a:ln>
                    <a:extLst>
                      <a:ext uri="{53640926-AAD7-44D8-BBD7-CCE9431645EC}">
                        <a14:shadowObscured xmlns:a14="http://schemas.microsoft.com/office/drawing/2010/main"/>
                      </a:ext>
                    </a:extLst>
                  </pic:spPr>
                </pic:pic>
              </a:graphicData>
            </a:graphic>
          </wp:inline>
        </w:drawing>
      </w:r>
    </w:p>
    <w:p w:rsidR="007B72C5" w:rsidRPr="003E20A8" w:rsidRDefault="007B72C5" w:rsidP="00E16E35">
      <w:pPr>
        <w:tabs>
          <w:tab w:val="left" w:pos="284"/>
          <w:tab w:val="left" w:pos="426"/>
          <w:tab w:val="left" w:pos="993"/>
          <w:tab w:val="left" w:pos="1134"/>
        </w:tabs>
        <w:spacing w:line="360" w:lineRule="auto"/>
        <w:ind w:right="616"/>
        <w:contextualSpacing/>
        <w:jc w:val="center"/>
        <w:rPr>
          <w:rFonts w:ascii="Palatino Linotype" w:eastAsiaTheme="minorEastAsia" w:hAnsi="Palatino Linotype" w:cstheme="minorBidi"/>
          <w:i/>
          <w:color w:val="000000" w:themeColor="text1"/>
          <w:lang w:val="es-ES_tradnl" w:eastAsia="es-ES"/>
        </w:rPr>
      </w:pPr>
      <w:r w:rsidRPr="003E20A8">
        <w:rPr>
          <w:rFonts w:ascii="Palatino Linotype" w:eastAsiaTheme="minorEastAsia" w:hAnsi="Palatino Linotype" w:cstheme="minorBidi"/>
          <w:i/>
          <w:color w:val="000000" w:themeColor="text1"/>
          <w:lang w:val="es-ES_tradnl" w:eastAsia="es-ES"/>
        </w:rPr>
        <w:t xml:space="preserve">         </w:t>
      </w:r>
      <w:r w:rsidRPr="003E20A8">
        <w:rPr>
          <w:rFonts w:ascii="Palatino Linotype" w:hAnsi="Palatino Linotype"/>
          <w:noProof/>
          <w:lang w:val="es-MX"/>
        </w:rPr>
        <w:drawing>
          <wp:inline distT="0" distB="0" distL="0" distR="0" wp14:anchorId="6E982D9B" wp14:editId="0DE4FC5E">
            <wp:extent cx="1933575" cy="361048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512" t="26855" r="15309" b="9476"/>
                    <a:stretch/>
                  </pic:blipFill>
                  <pic:spPr bwMode="auto">
                    <a:xfrm>
                      <a:off x="0" y="0"/>
                      <a:ext cx="1939707" cy="3621932"/>
                    </a:xfrm>
                    <a:prstGeom prst="rect">
                      <a:avLst/>
                    </a:prstGeom>
                    <a:ln>
                      <a:noFill/>
                    </a:ln>
                    <a:extLst>
                      <a:ext uri="{53640926-AAD7-44D8-BBD7-CCE9431645EC}">
                        <a14:shadowObscured xmlns:a14="http://schemas.microsoft.com/office/drawing/2010/main"/>
                      </a:ext>
                    </a:extLst>
                  </pic:spPr>
                </pic:pic>
              </a:graphicData>
            </a:graphic>
          </wp:inline>
        </w:drawing>
      </w:r>
    </w:p>
    <w:p w:rsidR="007B72C5" w:rsidRPr="003E20A8" w:rsidRDefault="007B72C5" w:rsidP="00E16E35">
      <w:pPr>
        <w:tabs>
          <w:tab w:val="left" w:pos="426"/>
        </w:tabs>
        <w:spacing w:line="360" w:lineRule="auto"/>
        <w:contextualSpacing/>
        <w:jc w:val="both"/>
        <w:rPr>
          <w:rFonts w:ascii="Palatino Linotype" w:eastAsiaTheme="minorEastAsia" w:hAnsi="Palatino Linotype" w:cstheme="minorBidi"/>
          <w:color w:val="000000" w:themeColor="text1"/>
          <w:lang w:val="es-ES_tradnl" w:eastAsia="es-ES"/>
        </w:rPr>
      </w:pPr>
    </w:p>
    <w:p w:rsidR="007B72C5" w:rsidRPr="003E20A8" w:rsidRDefault="007B72C5" w:rsidP="00E16E35">
      <w:pPr>
        <w:numPr>
          <w:ilvl w:val="0"/>
          <w:numId w:val="12"/>
        </w:numPr>
        <w:tabs>
          <w:tab w:val="left" w:pos="426"/>
        </w:tabs>
        <w:spacing w:line="360" w:lineRule="auto"/>
        <w:ind w:left="0" w:firstLine="0"/>
        <w:contextualSpacing/>
        <w:jc w:val="both"/>
        <w:rPr>
          <w:rFonts w:ascii="Palatino Linotype" w:eastAsia="Calibri" w:hAnsi="Palatino Linotype" w:cs="Arial"/>
          <w:color w:val="000000" w:themeColor="text1"/>
          <w:lang w:eastAsia="es-ES"/>
        </w:rPr>
      </w:pPr>
      <w:r w:rsidRPr="003E20A8">
        <w:rPr>
          <w:rFonts w:ascii="Palatino Linotype" w:eastAsia="Calibri" w:hAnsi="Palatino Linotype" w:cs="Arial"/>
          <w:color w:val="000000" w:themeColor="text1"/>
          <w:lang w:val="es-MX" w:eastAsia="es-ES"/>
        </w:rPr>
        <w:t xml:space="preserve">El veintidós (22) de junio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rsidR="00D44021" w:rsidRPr="003E20A8" w:rsidRDefault="00D44021" w:rsidP="00E16E35">
      <w:pPr>
        <w:spacing w:line="360" w:lineRule="auto"/>
        <w:rPr>
          <w:rFonts w:ascii="Palatino Linotype" w:hAnsi="Palatino Linotype"/>
          <w:lang w:val="es-ES_tradnl" w:eastAsia="en-US"/>
        </w:rPr>
      </w:pPr>
    </w:p>
    <w:p w:rsidR="00F745F9" w:rsidRPr="003E20A8" w:rsidRDefault="005B78D3" w:rsidP="00E16E35">
      <w:pPr>
        <w:numPr>
          <w:ilvl w:val="0"/>
          <w:numId w:val="12"/>
        </w:numPr>
        <w:spacing w:line="360" w:lineRule="auto"/>
        <w:ind w:left="0" w:firstLine="0"/>
        <w:jc w:val="both"/>
        <w:rPr>
          <w:rFonts w:ascii="Palatino Linotype" w:hAnsi="Palatino Linotype"/>
          <w:lang w:val="es-ES_tradnl" w:eastAsia="en-US"/>
        </w:rPr>
      </w:pPr>
      <w:r w:rsidRPr="003E20A8">
        <w:rPr>
          <w:rFonts w:ascii="Palatino Linotype" w:eastAsia="Palatino Linotype" w:hAnsi="Palatino Linotype" w:cs="Palatino Linotype"/>
          <w:color w:val="000000"/>
        </w:rPr>
        <w:t>Así las cosas</w:t>
      </w:r>
      <w:r w:rsidR="0036223C" w:rsidRPr="003E20A8">
        <w:rPr>
          <w:rFonts w:ascii="Palatino Linotype" w:eastAsia="Palatino Linotype" w:hAnsi="Palatino Linotype" w:cs="Palatino Linotype"/>
          <w:color w:val="000000"/>
        </w:rPr>
        <w:t xml:space="preserve"> la</w:t>
      </w:r>
      <w:r w:rsidRPr="003E20A8">
        <w:rPr>
          <w:rFonts w:ascii="Palatino Linotype" w:eastAsia="Palatino Linotype" w:hAnsi="Palatino Linotype" w:cs="Palatino Linotype"/>
          <w:b/>
          <w:color w:val="000000"/>
        </w:rPr>
        <w:t xml:space="preserve"> c</w:t>
      </w:r>
      <w:r w:rsidR="0036223C" w:rsidRPr="003E20A8">
        <w:rPr>
          <w:rFonts w:ascii="Palatino Linotype" w:eastAsia="Palatino Linotype" w:hAnsi="Palatino Linotype" w:cs="Palatino Linotype"/>
          <w:b/>
          <w:color w:val="000000"/>
        </w:rPr>
        <w:t>omisionada María del Rosario Mejía Ayala</w:t>
      </w:r>
      <w:r w:rsidRPr="003E20A8">
        <w:rPr>
          <w:rFonts w:ascii="Palatino Linotype" w:eastAsia="Palatino Linotype" w:hAnsi="Palatino Linotype" w:cs="Palatino Linotype"/>
          <w:b/>
          <w:color w:val="000000"/>
        </w:rPr>
        <w:t>,</w:t>
      </w:r>
      <w:r w:rsidR="0036223C" w:rsidRPr="003E20A8">
        <w:rPr>
          <w:rFonts w:ascii="Palatino Linotype" w:eastAsia="Palatino Linotype" w:hAnsi="Palatino Linotype" w:cs="Palatino Linotype"/>
          <w:color w:val="000000"/>
        </w:rPr>
        <w:t xml:space="preserve"> decretó el cierre de instrucción mediante acuer</w:t>
      </w:r>
      <w:r w:rsidR="00297F36" w:rsidRPr="003E20A8">
        <w:rPr>
          <w:rFonts w:ascii="Palatino Linotype" w:eastAsia="Palatino Linotype" w:hAnsi="Palatino Linotype" w:cs="Palatino Linotype"/>
          <w:color w:val="000000"/>
        </w:rPr>
        <w:t>do de fecha veintisiete (27</w:t>
      </w:r>
      <w:r w:rsidR="0036223C" w:rsidRPr="003E20A8">
        <w:rPr>
          <w:rFonts w:ascii="Palatino Linotype" w:eastAsia="Palatino Linotype" w:hAnsi="Palatino Linotype" w:cs="Palatino Linotype"/>
          <w:color w:val="000000"/>
        </w:rPr>
        <w:t xml:space="preserve">) de abril de dos mil veintitrés. </w:t>
      </w:r>
      <w:bookmarkStart w:id="2" w:name="_heading=h.3znysh7" w:colFirst="0" w:colLast="0"/>
      <w:bookmarkEnd w:id="2"/>
    </w:p>
    <w:p w:rsidR="00F745F9" w:rsidRPr="003E20A8" w:rsidRDefault="00B25D7B" w:rsidP="00E16E35">
      <w:pPr>
        <w:pStyle w:val="Ttulo1"/>
        <w:spacing w:line="360" w:lineRule="auto"/>
        <w:jc w:val="center"/>
        <w:rPr>
          <w:rFonts w:ascii="Palatino Linotype" w:eastAsia="Palatino Linotype" w:hAnsi="Palatino Linotype" w:cs="Palatino Linotype"/>
          <w:b/>
          <w:color w:val="000000"/>
          <w:sz w:val="24"/>
          <w:szCs w:val="24"/>
        </w:rPr>
      </w:pPr>
      <w:bookmarkStart w:id="3" w:name="_heading=h.2et92p0" w:colFirst="0" w:colLast="0"/>
      <w:bookmarkEnd w:id="3"/>
      <w:r w:rsidRPr="003E20A8">
        <w:rPr>
          <w:rFonts w:ascii="Palatino Linotype" w:eastAsia="Palatino Linotype" w:hAnsi="Palatino Linotype" w:cs="Palatino Linotype"/>
          <w:b/>
          <w:color w:val="000000"/>
          <w:sz w:val="24"/>
          <w:szCs w:val="24"/>
        </w:rPr>
        <w:t>CONSIDERANDO</w:t>
      </w:r>
    </w:p>
    <w:p w:rsidR="00F745F9" w:rsidRPr="003E20A8" w:rsidRDefault="00B25D7B" w:rsidP="00E16E35">
      <w:pPr>
        <w:pStyle w:val="Ttulo1"/>
        <w:spacing w:line="360" w:lineRule="auto"/>
        <w:rPr>
          <w:rFonts w:ascii="Palatino Linotype" w:eastAsia="Palatino Linotype" w:hAnsi="Palatino Linotype" w:cs="Palatino Linotype"/>
          <w:b/>
          <w:color w:val="000000"/>
          <w:sz w:val="24"/>
          <w:szCs w:val="24"/>
        </w:rPr>
      </w:pPr>
      <w:bookmarkStart w:id="4" w:name="_heading=h.tyjcwt" w:colFirst="0" w:colLast="0"/>
      <w:bookmarkEnd w:id="4"/>
      <w:r w:rsidRPr="003E20A8">
        <w:rPr>
          <w:rFonts w:ascii="Palatino Linotype" w:eastAsia="Palatino Linotype" w:hAnsi="Palatino Linotype" w:cs="Palatino Linotype"/>
          <w:b/>
          <w:color w:val="000000"/>
          <w:sz w:val="24"/>
          <w:szCs w:val="24"/>
        </w:rPr>
        <w:t>PRIMERO. De la competencia.</w:t>
      </w:r>
    </w:p>
    <w:p w:rsidR="0055399D" w:rsidRPr="003E20A8" w:rsidRDefault="0055399D" w:rsidP="00E16E35">
      <w:pPr>
        <w:spacing w:line="360" w:lineRule="auto"/>
        <w:rPr>
          <w:rFonts w:ascii="Palatino Linotype" w:eastAsia="Palatino Linotype" w:hAnsi="Palatino Linotype"/>
        </w:rPr>
      </w:pPr>
    </w:p>
    <w:p w:rsidR="0055399D" w:rsidRPr="003E20A8" w:rsidRDefault="0055399D" w:rsidP="00E16E35">
      <w:pPr>
        <w:numPr>
          <w:ilvl w:val="0"/>
          <w:numId w:val="12"/>
        </w:numPr>
        <w:pBdr>
          <w:top w:val="nil"/>
          <w:left w:val="nil"/>
          <w:bottom w:val="nil"/>
          <w:right w:val="nil"/>
          <w:between w:val="nil"/>
        </w:pBdr>
        <w:tabs>
          <w:tab w:val="left" w:pos="0"/>
        </w:tabs>
        <w:spacing w:after="160"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sidRPr="003E20A8">
        <w:rPr>
          <w:rFonts w:ascii="Palatino Linotype" w:eastAsia="Palatino Linotype" w:hAnsi="Palatino Linotype" w:cs="Palatino Linotype"/>
          <w:b/>
          <w:color w:val="000000"/>
        </w:rPr>
        <w:t>Constitución Política de los Estados Unidos Mexicanos</w:t>
      </w:r>
      <w:r w:rsidRPr="003E20A8">
        <w:rPr>
          <w:rFonts w:ascii="Palatino Linotype" w:eastAsia="Palatino Linotype" w:hAnsi="Palatino Linotype" w:cs="Palatino Linotype"/>
          <w:color w:val="000000"/>
        </w:rPr>
        <w:t xml:space="preserve">; 5, párrafos trigésimo, trigésimo primero y trigésimo segundo, fracciones IV y V, de la </w:t>
      </w:r>
      <w:r w:rsidRPr="003E20A8">
        <w:rPr>
          <w:rFonts w:ascii="Palatino Linotype" w:eastAsia="Palatino Linotype" w:hAnsi="Palatino Linotype" w:cs="Palatino Linotype"/>
          <w:b/>
          <w:color w:val="000000"/>
        </w:rPr>
        <w:t>Constitución Política del Estado Libre y Soberano de México</w:t>
      </w:r>
      <w:r w:rsidRPr="003E20A8">
        <w:rPr>
          <w:rFonts w:ascii="Palatino Linotype" w:eastAsia="Palatino Linotype" w:hAnsi="Palatino Linotype" w:cs="Palatino Linotype"/>
          <w:color w:val="000000"/>
        </w:rPr>
        <w:t xml:space="preserve">; artículos 1, 2 fracción II, 13, 29, 36 fracciones I y II, 176, 178, 179, 181 párrafo tercero y 185 de la </w:t>
      </w:r>
      <w:r w:rsidRPr="003E20A8">
        <w:rPr>
          <w:rFonts w:ascii="Palatino Linotype" w:eastAsia="Palatino Linotype" w:hAnsi="Palatino Linotype" w:cs="Palatino Linotype"/>
          <w:b/>
          <w:color w:val="000000"/>
        </w:rPr>
        <w:t>Ley de Transparencia y Acceso a la Información Pública del Estado de México y Municipios</w:t>
      </w:r>
      <w:r w:rsidRPr="003E20A8">
        <w:rPr>
          <w:rFonts w:ascii="Palatino Linotype" w:eastAsia="Palatino Linotype" w:hAnsi="Palatino Linotype" w:cs="Palatino Linotype"/>
          <w:color w:val="000000"/>
        </w:rPr>
        <w:t xml:space="preserve">; 6, 9 fracciones I y XXIII, y 11 del </w:t>
      </w:r>
      <w:r w:rsidRPr="003E20A8">
        <w:rPr>
          <w:rFonts w:ascii="Palatino Linotype" w:eastAsia="Palatino Linotype" w:hAnsi="Palatino Linotype" w:cs="Palatino Linotype"/>
          <w:b/>
          <w:color w:val="000000"/>
        </w:rPr>
        <w:t xml:space="preserve">Reglamento </w:t>
      </w:r>
      <w:r w:rsidRPr="003E20A8">
        <w:rPr>
          <w:rFonts w:ascii="Palatino Linotype" w:eastAsia="Palatino Linotype" w:hAnsi="Palatino Linotype" w:cs="Palatino Linotype"/>
          <w:b/>
          <w:color w:val="000000"/>
        </w:rPr>
        <w:lastRenderedPageBreak/>
        <w:t>Interior del Instituto de Transparencia, Acceso a la Información Pública y Protección de Datos Personales del Estado de México y Municipios</w:t>
      </w:r>
      <w:r w:rsidRPr="003E20A8">
        <w:rPr>
          <w:rFonts w:ascii="Palatino Linotype" w:eastAsia="Palatino Linotype" w:hAnsi="Palatino Linotype" w:cs="Palatino Linotype"/>
          <w:color w:val="000000"/>
        </w:rPr>
        <w:t>.</w:t>
      </w:r>
    </w:p>
    <w:p w:rsidR="00F745F9" w:rsidRPr="003E20A8" w:rsidRDefault="00B25D7B" w:rsidP="00E16E35">
      <w:pPr>
        <w:pStyle w:val="Ttulo1"/>
        <w:spacing w:line="360" w:lineRule="auto"/>
        <w:rPr>
          <w:rFonts w:ascii="Palatino Linotype" w:eastAsia="Palatino Linotype" w:hAnsi="Palatino Linotype" w:cs="Palatino Linotype"/>
          <w:b/>
          <w:color w:val="000000"/>
          <w:sz w:val="24"/>
          <w:szCs w:val="24"/>
        </w:rPr>
      </w:pPr>
      <w:bookmarkStart w:id="5" w:name="_heading=h.3dy6vkm" w:colFirst="0" w:colLast="0"/>
      <w:bookmarkEnd w:id="5"/>
      <w:r w:rsidRPr="003E20A8">
        <w:rPr>
          <w:rFonts w:ascii="Palatino Linotype" w:eastAsia="Palatino Linotype" w:hAnsi="Palatino Linotype" w:cs="Palatino Linotype"/>
          <w:b/>
          <w:color w:val="000000"/>
          <w:sz w:val="24"/>
          <w:szCs w:val="24"/>
        </w:rPr>
        <w:t>SEGUNDO. De la oportunidad y procedencia.</w:t>
      </w:r>
    </w:p>
    <w:p w:rsidR="00F745F9" w:rsidRPr="003E20A8" w:rsidRDefault="00B25D7B" w:rsidP="00E16E35">
      <w:pPr>
        <w:pStyle w:val="Ttulo1"/>
        <w:numPr>
          <w:ilvl w:val="0"/>
          <w:numId w:val="4"/>
        </w:numPr>
        <w:spacing w:line="360" w:lineRule="auto"/>
        <w:ind w:left="0" w:firstLine="0"/>
        <w:rPr>
          <w:rFonts w:ascii="Palatino Linotype" w:eastAsia="Palatino Linotype" w:hAnsi="Palatino Linotype" w:cs="Palatino Linotype"/>
          <w:sz w:val="24"/>
          <w:szCs w:val="24"/>
        </w:rPr>
      </w:pPr>
      <w:bookmarkStart w:id="6" w:name="_heading=h.1t3h5sf" w:colFirst="0" w:colLast="0"/>
      <w:bookmarkEnd w:id="6"/>
      <w:r w:rsidRPr="003E20A8">
        <w:rPr>
          <w:rFonts w:ascii="Palatino Linotype" w:eastAsia="Palatino Linotype" w:hAnsi="Palatino Linotype" w:cs="Palatino Linotype"/>
          <w:b/>
          <w:color w:val="000000"/>
          <w:sz w:val="24"/>
          <w:szCs w:val="24"/>
        </w:rPr>
        <w:t>De la interposición del recurso</w:t>
      </w:r>
      <w:r w:rsidRPr="003E20A8">
        <w:rPr>
          <w:rFonts w:ascii="Palatino Linotype" w:eastAsia="Palatino Linotype" w:hAnsi="Palatino Linotype" w:cs="Palatino Linotype"/>
          <w:sz w:val="24"/>
          <w:szCs w:val="24"/>
        </w:rPr>
        <w:t xml:space="preserve">. </w:t>
      </w:r>
    </w:p>
    <w:p w:rsidR="00F745F9" w:rsidRPr="003E20A8" w:rsidRDefault="00F745F9" w:rsidP="00E16E35">
      <w:pPr>
        <w:spacing w:line="360" w:lineRule="auto"/>
        <w:rPr>
          <w:rFonts w:ascii="Palatino Linotype" w:eastAsia="Palatino Linotype" w:hAnsi="Palatino Linotype" w:cs="Palatino Linotype"/>
        </w:rPr>
      </w:pPr>
    </w:p>
    <w:p w:rsidR="00F745F9" w:rsidRPr="003E20A8" w:rsidRDefault="00B25D7B" w:rsidP="00E16E3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El medio de impugnación fue presentado a través del </w:t>
      </w:r>
      <w:r w:rsidRPr="003E20A8">
        <w:rPr>
          <w:rFonts w:ascii="Palatino Linotype" w:eastAsia="Palatino Linotype" w:hAnsi="Palatino Linotype" w:cs="Palatino Linotype"/>
          <w:b/>
          <w:color w:val="000000"/>
        </w:rPr>
        <w:t>SAIMEX</w:t>
      </w:r>
      <w:r w:rsidRPr="003E20A8">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si el </w:t>
      </w:r>
      <w:r w:rsidRPr="003E20A8">
        <w:rPr>
          <w:rFonts w:ascii="Palatino Linotype" w:eastAsia="Palatino Linotype" w:hAnsi="Palatino Linotype" w:cs="Palatino Linotype"/>
          <w:b/>
          <w:color w:val="000000"/>
        </w:rPr>
        <w:t>SUJETO OBLIGADO</w:t>
      </w:r>
      <w:r w:rsidR="005B78D3" w:rsidRPr="003E20A8">
        <w:rPr>
          <w:rFonts w:ascii="Palatino Linotype" w:eastAsia="Palatino Linotype" w:hAnsi="Palatino Linotype" w:cs="Palatino Linotype"/>
          <w:b/>
          <w:color w:val="000000"/>
        </w:rPr>
        <w:t>,</w:t>
      </w:r>
      <w:r w:rsidR="00A259CE" w:rsidRPr="003E20A8">
        <w:rPr>
          <w:rFonts w:ascii="Palatino Linotype" w:eastAsia="Palatino Linotype" w:hAnsi="Palatino Linotype" w:cs="Palatino Linotype"/>
          <w:color w:val="000000"/>
        </w:rPr>
        <w:t xml:space="preserve"> entregó respuesta el día tres (03</w:t>
      </w:r>
      <w:r w:rsidRPr="003E20A8">
        <w:rPr>
          <w:rFonts w:ascii="Palatino Linotype" w:eastAsia="Palatino Linotype" w:hAnsi="Palatino Linotype" w:cs="Palatino Linotype"/>
          <w:color w:val="000000"/>
        </w:rPr>
        <w:t>) de</w:t>
      </w:r>
      <w:r w:rsidR="00A259CE" w:rsidRPr="003E20A8">
        <w:rPr>
          <w:rFonts w:ascii="Palatino Linotype" w:eastAsia="Palatino Linotype" w:hAnsi="Palatino Linotype" w:cs="Palatino Linotype"/>
          <w:color w:val="000000"/>
        </w:rPr>
        <w:t xml:space="preserve"> mayo </w:t>
      </w:r>
      <w:r w:rsidRPr="003E20A8">
        <w:rPr>
          <w:rFonts w:ascii="Palatino Linotype" w:eastAsia="Palatino Linotype" w:hAnsi="Palatino Linotype" w:cs="Palatino Linotype"/>
          <w:color w:val="000000"/>
        </w:rPr>
        <w:t xml:space="preserve">de dos mil veintitrés, el plazo para interponer el recurso </w:t>
      </w:r>
      <w:r w:rsidR="00D44021" w:rsidRPr="003E20A8">
        <w:rPr>
          <w:rFonts w:ascii="Palatino Linotype" w:eastAsia="Palatino Linotype" w:hAnsi="Palatino Linotype" w:cs="Palatino Linotype"/>
          <w:color w:val="000000"/>
        </w:rPr>
        <w:t>de</w:t>
      </w:r>
      <w:r w:rsidR="00A259CE" w:rsidRPr="003E20A8">
        <w:rPr>
          <w:rFonts w:ascii="Palatino Linotype" w:eastAsia="Palatino Linotype" w:hAnsi="Palatino Linotype" w:cs="Palatino Linotype"/>
          <w:color w:val="000000"/>
        </w:rPr>
        <w:t xml:space="preserve"> revisión trascurrió del cuatro (04</w:t>
      </w:r>
      <w:r w:rsidR="00810830" w:rsidRPr="003E20A8">
        <w:rPr>
          <w:rFonts w:ascii="Palatino Linotype" w:eastAsia="Palatino Linotype" w:hAnsi="Palatino Linotype" w:cs="Palatino Linotype"/>
          <w:color w:val="000000"/>
        </w:rPr>
        <w:t>)</w:t>
      </w:r>
      <w:r w:rsidR="00CA7921" w:rsidRPr="003E20A8">
        <w:rPr>
          <w:rFonts w:ascii="Palatino Linotype" w:eastAsia="Palatino Linotype" w:hAnsi="Palatino Linotype" w:cs="Palatino Linotype"/>
          <w:color w:val="000000"/>
        </w:rPr>
        <w:t xml:space="preserve"> al veinticinco (25) de</w:t>
      </w:r>
      <w:r w:rsidR="00810830" w:rsidRPr="003E20A8">
        <w:rPr>
          <w:rFonts w:ascii="Palatino Linotype" w:eastAsia="Palatino Linotype" w:hAnsi="Palatino Linotype" w:cs="Palatino Linotype"/>
          <w:color w:val="000000"/>
        </w:rPr>
        <w:t xml:space="preserve"> </w:t>
      </w:r>
      <w:r w:rsidR="00A259CE" w:rsidRPr="003E20A8">
        <w:rPr>
          <w:rFonts w:ascii="Palatino Linotype" w:eastAsia="Palatino Linotype" w:hAnsi="Palatino Linotype" w:cs="Palatino Linotype"/>
          <w:color w:val="000000"/>
        </w:rPr>
        <w:t xml:space="preserve">mayo </w:t>
      </w:r>
      <w:r w:rsidR="00810830" w:rsidRPr="003E20A8">
        <w:rPr>
          <w:rFonts w:ascii="Palatino Linotype" w:eastAsia="Palatino Linotype" w:hAnsi="Palatino Linotype" w:cs="Palatino Linotype"/>
          <w:color w:val="000000"/>
        </w:rPr>
        <w:t xml:space="preserve"> </w:t>
      </w:r>
      <w:r w:rsidRPr="003E20A8">
        <w:rPr>
          <w:rFonts w:ascii="Palatino Linotype" w:eastAsia="Palatino Linotype" w:hAnsi="Palatino Linotype" w:cs="Palatino Linotype"/>
          <w:color w:val="000000"/>
        </w:rPr>
        <w:t>de dos mil veintitrés, por lo que si el particular interpuso recurso de</w:t>
      </w:r>
      <w:r w:rsidR="00CA7921" w:rsidRPr="003E20A8">
        <w:rPr>
          <w:rFonts w:ascii="Palatino Linotype" w:eastAsia="Palatino Linotype" w:hAnsi="Palatino Linotype" w:cs="Palatino Linotype"/>
          <w:color w:val="000000"/>
        </w:rPr>
        <w:t xml:space="preserve"> revisión el diez (10</w:t>
      </w:r>
      <w:r w:rsidRPr="003E20A8">
        <w:rPr>
          <w:rFonts w:ascii="Palatino Linotype" w:eastAsia="Palatino Linotype" w:hAnsi="Palatino Linotype" w:cs="Palatino Linotype"/>
          <w:color w:val="000000"/>
        </w:rPr>
        <w:t>) de</w:t>
      </w:r>
      <w:r w:rsidR="00CA7921" w:rsidRPr="003E20A8">
        <w:rPr>
          <w:rFonts w:ascii="Palatino Linotype" w:eastAsia="Palatino Linotype" w:hAnsi="Palatino Linotype" w:cs="Palatino Linotype"/>
          <w:color w:val="000000"/>
        </w:rPr>
        <w:t xml:space="preserve"> mayo </w:t>
      </w:r>
      <w:r w:rsidRPr="003E20A8">
        <w:rPr>
          <w:rFonts w:ascii="Palatino Linotype" w:eastAsia="Palatino Linotype" w:hAnsi="Palatino Linotype" w:cs="Palatino Linotype"/>
          <w:color w:val="000000"/>
        </w:rPr>
        <w:t>de dos mil veintitrés se encuentra dentro del periodo establecido por la Ley.</w:t>
      </w:r>
    </w:p>
    <w:p w:rsidR="00D44021" w:rsidRPr="003E20A8" w:rsidRDefault="00D44021" w:rsidP="00E16E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44021" w:rsidRPr="003E20A8" w:rsidRDefault="00D44021" w:rsidP="00E16E35">
      <w:pPr>
        <w:keepNext/>
        <w:keepLines/>
        <w:spacing w:before="240" w:line="360" w:lineRule="auto"/>
        <w:jc w:val="both"/>
        <w:outlineLvl w:val="0"/>
        <w:rPr>
          <w:rFonts w:ascii="Palatino Linotype" w:hAnsi="Palatino Linotype" w:cs="Arial"/>
          <w:b/>
          <w:lang w:eastAsia="es-ES"/>
        </w:rPr>
      </w:pPr>
      <w:bookmarkStart w:id="7" w:name="_heading=h.4d34og8" w:colFirst="0" w:colLast="0"/>
      <w:bookmarkStart w:id="8" w:name="_Toc89170794"/>
      <w:bookmarkStart w:id="9" w:name="_Toc89335547"/>
      <w:bookmarkStart w:id="10" w:name="_Toc89964362"/>
      <w:bookmarkStart w:id="11" w:name="_Toc98350361"/>
      <w:bookmarkStart w:id="12" w:name="_Toc99564200"/>
      <w:bookmarkStart w:id="13" w:name="_Toc99564863"/>
      <w:bookmarkStart w:id="14" w:name="_Toc100062588"/>
      <w:bookmarkEnd w:id="7"/>
      <w:r w:rsidRPr="003E20A8">
        <w:rPr>
          <w:rFonts w:ascii="Palatino Linotype" w:eastAsiaTheme="majorEastAsia" w:hAnsi="Palatino Linotype" w:cstheme="majorBidi"/>
          <w:b/>
          <w:lang w:eastAsia="es-ES"/>
        </w:rPr>
        <w:t>II</w:t>
      </w:r>
      <w:bookmarkStart w:id="15" w:name="_Toc113462272"/>
      <w:bookmarkEnd w:id="8"/>
      <w:bookmarkEnd w:id="9"/>
      <w:bookmarkEnd w:id="10"/>
      <w:bookmarkEnd w:id="11"/>
      <w:bookmarkEnd w:id="12"/>
      <w:bookmarkEnd w:id="13"/>
      <w:bookmarkEnd w:id="14"/>
      <w:r w:rsidRPr="003E20A8">
        <w:rPr>
          <w:rFonts w:ascii="Palatino Linotype" w:eastAsiaTheme="majorEastAsia" w:hAnsi="Palatino Linotype" w:cstheme="majorBidi"/>
          <w:b/>
          <w:color w:val="000000" w:themeColor="text1"/>
          <w:lang w:eastAsia="es-ES"/>
        </w:rPr>
        <w:t>. De la determinación sobre la procedibilidad del recurso.</w:t>
      </w:r>
      <w:bookmarkEnd w:id="15"/>
    </w:p>
    <w:p w:rsidR="00D44021" w:rsidRPr="003E20A8" w:rsidRDefault="00D44021" w:rsidP="00E16E35">
      <w:pPr>
        <w:tabs>
          <w:tab w:val="left" w:pos="426"/>
        </w:tabs>
        <w:spacing w:line="360" w:lineRule="auto"/>
        <w:ind w:right="49"/>
        <w:contextualSpacing/>
        <w:jc w:val="both"/>
        <w:rPr>
          <w:rFonts w:ascii="Palatino Linotype" w:hAnsi="Palatino Linotype" w:cs="Arial"/>
          <w:b/>
          <w:lang w:eastAsia="es-ES"/>
        </w:rPr>
      </w:pPr>
    </w:p>
    <w:p w:rsidR="00F745F9" w:rsidRPr="003E20A8" w:rsidRDefault="00D44021" w:rsidP="00E16E35">
      <w:pPr>
        <w:numPr>
          <w:ilvl w:val="0"/>
          <w:numId w:val="12"/>
        </w:numPr>
        <w:tabs>
          <w:tab w:val="left" w:pos="0"/>
        </w:tabs>
        <w:spacing w:after="160" w:line="360" w:lineRule="auto"/>
        <w:ind w:left="0" w:right="49" w:firstLine="0"/>
        <w:contextualSpacing/>
        <w:jc w:val="both"/>
        <w:rPr>
          <w:rFonts w:ascii="Palatino Linotype" w:hAnsi="Palatino Linotype" w:cs="Arial"/>
          <w:b/>
          <w:lang w:val="es-ES_tradnl" w:eastAsia="es-ES"/>
        </w:rPr>
      </w:pPr>
      <w:r w:rsidRPr="003E20A8">
        <w:rPr>
          <w:rFonts w:ascii="Palatino Linotype" w:eastAsia="Calibri" w:hAnsi="Palatino Linotype" w:cs="Arial"/>
          <w:lang w:val="es-ES_tradnl" w:eastAsia="es-ES"/>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bookmarkStart w:id="16" w:name="_heading=h.2s8eyo1" w:colFirst="0" w:colLast="0"/>
      <w:bookmarkEnd w:id="16"/>
    </w:p>
    <w:p w:rsidR="00F745F9" w:rsidRPr="003E20A8" w:rsidRDefault="00B25D7B" w:rsidP="00E16E35">
      <w:pPr>
        <w:pStyle w:val="Ttulo1"/>
        <w:spacing w:line="360" w:lineRule="auto"/>
        <w:jc w:val="both"/>
        <w:rPr>
          <w:rFonts w:ascii="Palatino Linotype" w:eastAsia="Palatino Linotype" w:hAnsi="Palatino Linotype" w:cs="Palatino Linotype"/>
          <w:b/>
          <w:i/>
          <w:color w:val="000000"/>
          <w:sz w:val="24"/>
          <w:szCs w:val="24"/>
        </w:rPr>
      </w:pPr>
      <w:bookmarkStart w:id="17" w:name="_heading=h.17dp8vu" w:colFirst="0" w:colLast="0"/>
      <w:bookmarkEnd w:id="17"/>
      <w:r w:rsidRPr="003E20A8">
        <w:rPr>
          <w:rFonts w:ascii="Palatino Linotype" w:eastAsia="Palatino Linotype" w:hAnsi="Palatino Linotype" w:cs="Palatino Linotype"/>
          <w:b/>
          <w:color w:val="000000"/>
          <w:sz w:val="24"/>
          <w:szCs w:val="24"/>
        </w:rPr>
        <w:lastRenderedPageBreak/>
        <w:t xml:space="preserve">TERCERO. Del planteamiento de la </w:t>
      </w:r>
      <w:r w:rsidRPr="003E20A8">
        <w:rPr>
          <w:rFonts w:ascii="Palatino Linotype" w:eastAsia="Palatino Linotype" w:hAnsi="Palatino Linotype" w:cs="Palatino Linotype"/>
          <w:b/>
          <w:i/>
          <w:color w:val="000000"/>
          <w:sz w:val="24"/>
          <w:szCs w:val="24"/>
        </w:rPr>
        <w:t>Litis.</w:t>
      </w:r>
    </w:p>
    <w:p w:rsidR="00D44021" w:rsidRPr="003E20A8" w:rsidRDefault="00D44021" w:rsidP="00E16E35">
      <w:pPr>
        <w:spacing w:line="360" w:lineRule="auto"/>
        <w:rPr>
          <w:rFonts w:ascii="Palatino Linotype" w:eastAsia="Palatino Linotype" w:hAnsi="Palatino Linotype"/>
        </w:rPr>
      </w:pPr>
    </w:p>
    <w:p w:rsidR="00F745F9" w:rsidRPr="003E20A8" w:rsidRDefault="00B25D7B" w:rsidP="00E16E35">
      <w:pPr>
        <w:numPr>
          <w:ilvl w:val="0"/>
          <w:numId w:val="1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rPr>
      </w:pPr>
      <w:r w:rsidRPr="003E20A8">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w:t>
      </w:r>
      <w:r w:rsidRPr="003E20A8">
        <w:rPr>
          <w:rFonts w:ascii="Palatino Linotype" w:eastAsia="Palatino Linotype" w:hAnsi="Palatino Linotype" w:cs="Palatino Linotype"/>
          <w:b/>
          <w:color w:val="000000"/>
        </w:rPr>
        <w:t>Ley de Transparencia y Acceso a la Información Pública del Estado de México y Municipios</w:t>
      </w:r>
      <w:r w:rsidRPr="003E20A8">
        <w:rPr>
          <w:rFonts w:ascii="Palatino Linotype" w:eastAsia="Palatino Linotype" w:hAnsi="Palatino Linotype" w:cs="Palatino Linotype"/>
          <w:color w:val="000000"/>
        </w:rPr>
        <w:t xml:space="preserve"> y determinar la confirmación; revocación o modificación; desechamiento o sobreseimiento; y en su </w:t>
      </w:r>
      <w:r w:rsidRPr="003E20A8">
        <w:rPr>
          <w:rFonts w:ascii="Palatino Linotype" w:eastAsia="Palatino Linotype" w:hAnsi="Palatino Linotype" w:cs="Palatino Linotype"/>
          <w:b/>
          <w:color w:val="000000"/>
        </w:rPr>
        <w:t>caso ordenar la entrega de la información,</w:t>
      </w:r>
      <w:r w:rsidRPr="003E20A8">
        <w:rPr>
          <w:rFonts w:ascii="Palatino Linotype" w:eastAsia="Palatino Linotype" w:hAnsi="Palatino Linotype" w:cs="Palatino Linotype"/>
          <w:color w:val="000000"/>
        </w:rPr>
        <w:t xml:space="preserve"> respecto a las respuestas o falta de ellas de los Sujetos Obligados. </w:t>
      </w:r>
    </w:p>
    <w:p w:rsidR="00F745F9" w:rsidRPr="003E20A8" w:rsidRDefault="00F745F9" w:rsidP="00E16E3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F745F9" w:rsidRPr="003E20A8" w:rsidRDefault="00B25D7B" w:rsidP="00E16E35">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De las constancias </w:t>
      </w:r>
      <w:r w:rsidR="00810830" w:rsidRPr="003E20A8">
        <w:rPr>
          <w:rFonts w:ascii="Palatino Linotype" w:eastAsia="Palatino Linotype" w:hAnsi="Palatino Linotype" w:cs="Palatino Linotype"/>
          <w:color w:val="000000"/>
        </w:rPr>
        <w:t xml:space="preserve">que obran </w:t>
      </w:r>
      <w:r w:rsidRPr="003E20A8">
        <w:rPr>
          <w:rFonts w:ascii="Palatino Linotype" w:eastAsia="Palatino Linotype" w:hAnsi="Palatino Linotype" w:cs="Palatino Linotype"/>
          <w:color w:val="000000"/>
        </w:rPr>
        <w:t>en el expediente al rubro indicado, se desprende que el particular solicitó acceso a</w:t>
      </w:r>
      <w:r w:rsidR="00810830" w:rsidRPr="003E20A8">
        <w:rPr>
          <w:rFonts w:ascii="Palatino Linotype" w:eastAsia="Palatino Linotype" w:hAnsi="Palatino Linotype" w:cs="Palatino Linotype"/>
          <w:color w:val="000000"/>
        </w:rPr>
        <w:t xml:space="preserve"> divers</w:t>
      </w:r>
      <w:r w:rsidR="00CA7921" w:rsidRPr="003E20A8">
        <w:rPr>
          <w:rFonts w:ascii="Palatino Linotype" w:eastAsia="Palatino Linotype" w:hAnsi="Palatino Linotype" w:cs="Palatino Linotype"/>
          <w:color w:val="000000"/>
        </w:rPr>
        <w:t>a información relacionada con los cobros a detalle de los tramites desarrollados por las oficialías de registro civil de los años 2022 y 2023</w:t>
      </w:r>
      <w:r w:rsidRPr="003E20A8">
        <w:rPr>
          <w:rFonts w:ascii="Palatino Linotype" w:eastAsia="Palatino Linotype" w:hAnsi="Palatino Linotype" w:cs="Palatino Linotype"/>
          <w:color w:val="000000"/>
        </w:rPr>
        <w:t>, requerimientos a los que se respondió por parte del</w:t>
      </w:r>
      <w:r w:rsidR="00CA7921" w:rsidRPr="003E20A8">
        <w:rPr>
          <w:rFonts w:ascii="Palatino Linotype" w:eastAsia="Palatino Linotype" w:hAnsi="Palatino Linotype" w:cs="Palatino Linotype"/>
          <w:color w:val="000000"/>
        </w:rPr>
        <w:t xml:space="preserve"> Titular de la Unidad de Transparencia refiriendo la imposibilidad para otorgar la información debido a una incompetencia a favor de la Secretaría de Desarrollo </w:t>
      </w:r>
      <w:r w:rsidRPr="003E20A8">
        <w:rPr>
          <w:rFonts w:ascii="Palatino Linotype" w:eastAsia="Palatino Linotype" w:hAnsi="Palatino Linotype" w:cs="Palatino Linotype"/>
          <w:color w:val="000000"/>
        </w:rPr>
        <w:t xml:space="preserve">, no obstante lo anterior,  la parte recurrente se inconforma e interpone el presente recurso de revisión, argumentado como razones o motivos de inconformidad la </w:t>
      </w:r>
      <w:r w:rsidR="008C199E" w:rsidRPr="003E20A8">
        <w:rPr>
          <w:rFonts w:ascii="Palatino Linotype" w:eastAsia="Palatino Linotype" w:hAnsi="Palatino Linotype" w:cs="Palatino Linotype"/>
          <w:color w:val="000000"/>
        </w:rPr>
        <w:t xml:space="preserve">declaración de incompetencia del sujeto obligado. </w:t>
      </w:r>
    </w:p>
    <w:p w:rsidR="00F745F9" w:rsidRPr="003E20A8" w:rsidRDefault="00F745F9" w:rsidP="00E16E35">
      <w:pPr>
        <w:pBdr>
          <w:top w:val="nil"/>
          <w:left w:val="nil"/>
          <w:bottom w:val="nil"/>
          <w:right w:val="nil"/>
          <w:between w:val="nil"/>
        </w:pBdr>
        <w:spacing w:line="360" w:lineRule="auto"/>
        <w:rPr>
          <w:rFonts w:ascii="Palatino Linotype" w:eastAsia="Palatino Linotype" w:hAnsi="Palatino Linotype" w:cs="Palatino Linotype"/>
          <w:i/>
          <w:color w:val="000000"/>
        </w:rPr>
      </w:pPr>
    </w:p>
    <w:p w:rsidR="00F745F9" w:rsidRPr="003E20A8" w:rsidRDefault="00B25D7B" w:rsidP="00E16E35">
      <w:pPr>
        <w:numPr>
          <w:ilvl w:val="0"/>
          <w:numId w:val="12"/>
        </w:numPr>
        <w:spacing w:before="240" w:line="360" w:lineRule="auto"/>
        <w:ind w:left="0" w:firstLine="0"/>
        <w:jc w:val="both"/>
        <w:rPr>
          <w:rFonts w:ascii="Palatino Linotype" w:eastAsia="Palatino Linotype" w:hAnsi="Palatino Linotype" w:cs="Palatino Linotype"/>
          <w:i/>
        </w:rPr>
      </w:pPr>
      <w:r w:rsidRPr="003E20A8">
        <w:rPr>
          <w:rFonts w:ascii="Palatino Linotype" w:eastAsia="Palatino Linotype" w:hAnsi="Palatino Linotype" w:cs="Palatino Linotype"/>
        </w:rPr>
        <w:t xml:space="preserve">En ese sentido, el agravio del recurrente consiste en que la respuesta proporcionada por el </w:t>
      </w:r>
      <w:r w:rsidRPr="003E20A8">
        <w:rPr>
          <w:rFonts w:ascii="Palatino Linotype" w:eastAsia="Palatino Linotype" w:hAnsi="Palatino Linotype" w:cs="Palatino Linotype"/>
          <w:b/>
        </w:rPr>
        <w:t>SUJETO OBLIGADO</w:t>
      </w:r>
      <w:r w:rsidR="005B78D3" w:rsidRPr="003E20A8">
        <w:rPr>
          <w:rFonts w:ascii="Palatino Linotype" w:eastAsia="Palatino Linotype" w:hAnsi="Palatino Linotype" w:cs="Palatino Linotype"/>
          <w:b/>
        </w:rPr>
        <w:t>,</w:t>
      </w:r>
      <w:r w:rsidRPr="003E20A8">
        <w:rPr>
          <w:rFonts w:ascii="Palatino Linotype" w:eastAsia="Palatino Linotype" w:hAnsi="Palatino Linotype" w:cs="Palatino Linotype"/>
        </w:rPr>
        <w:t xml:space="preserve"> no garantizo el principio contenido en el artículo 11 de la Ley de Transparencia y Acceso a la Información Pública del </w:t>
      </w:r>
      <w:r w:rsidRPr="003E20A8">
        <w:rPr>
          <w:rFonts w:ascii="Palatino Linotype" w:eastAsia="Palatino Linotype" w:hAnsi="Palatino Linotype" w:cs="Palatino Linotype"/>
        </w:rPr>
        <w:lastRenderedPageBreak/>
        <w:t>Estado de México y Municipios, el cual señala que en la generación, publicación y entrega de información se</w:t>
      </w:r>
      <w:r w:rsidR="006376E2" w:rsidRPr="003E20A8">
        <w:rPr>
          <w:rFonts w:ascii="Palatino Linotype" w:eastAsia="Palatino Linotype" w:hAnsi="Palatino Linotype" w:cs="Palatino Linotype"/>
        </w:rPr>
        <w:t xml:space="preserve"> beberá de </w:t>
      </w:r>
      <w:r w:rsidR="00C4717C" w:rsidRPr="003E20A8">
        <w:rPr>
          <w:rFonts w:ascii="Palatino Linotype" w:eastAsia="Palatino Linotype" w:hAnsi="Palatino Linotype" w:cs="Palatino Linotype"/>
        </w:rPr>
        <w:t>garantizar que sea</w:t>
      </w:r>
      <w:r w:rsidR="008C199E" w:rsidRPr="003E20A8">
        <w:rPr>
          <w:rFonts w:ascii="Palatino Linotype" w:eastAsia="Palatino Linotype" w:hAnsi="Palatino Linotype" w:cs="Palatino Linotype"/>
        </w:rPr>
        <w:t xml:space="preserve"> congruente y confiable. </w:t>
      </w:r>
    </w:p>
    <w:p w:rsidR="00FE0836" w:rsidRPr="003E20A8" w:rsidRDefault="00FE0836" w:rsidP="00E16E35">
      <w:pPr>
        <w:spacing w:before="240" w:line="360" w:lineRule="auto"/>
        <w:jc w:val="both"/>
        <w:rPr>
          <w:rFonts w:ascii="Palatino Linotype" w:eastAsia="Palatino Linotype" w:hAnsi="Palatino Linotype" w:cs="Palatino Linotype"/>
          <w:i/>
        </w:rPr>
      </w:pPr>
    </w:p>
    <w:p w:rsidR="00F745F9" w:rsidRPr="003E20A8" w:rsidRDefault="00B25D7B" w:rsidP="00E16E35">
      <w:pPr>
        <w:numPr>
          <w:ilvl w:val="0"/>
          <w:numId w:val="12"/>
        </w:numPr>
        <w:spacing w:after="240" w:line="360" w:lineRule="auto"/>
        <w:ind w:left="0" w:firstLine="0"/>
        <w:jc w:val="both"/>
        <w:rPr>
          <w:rFonts w:ascii="Palatino Linotype" w:eastAsia="Palatino Linotype" w:hAnsi="Palatino Linotype" w:cs="Palatino Linotype"/>
          <w:i/>
        </w:rPr>
      </w:pPr>
      <w:r w:rsidRPr="003E20A8">
        <w:rPr>
          <w:rFonts w:ascii="Palatino Linotype" w:eastAsia="Palatino Linotype" w:hAnsi="Palatino Linotype" w:cs="Palatino Linotype"/>
        </w:rPr>
        <w:t xml:space="preserve">Por lo que de este modo, el presente recurso de revisión se circunscribe a determinar si el </w:t>
      </w:r>
      <w:r w:rsidRPr="003E20A8">
        <w:rPr>
          <w:rFonts w:ascii="Palatino Linotype" w:eastAsia="Palatino Linotype" w:hAnsi="Palatino Linotype" w:cs="Palatino Linotype"/>
          <w:b/>
        </w:rPr>
        <w:t>SUJETO OBLIGADO</w:t>
      </w:r>
      <w:r w:rsidR="005B78D3" w:rsidRPr="003E20A8">
        <w:rPr>
          <w:rFonts w:ascii="Palatino Linotype" w:eastAsia="Palatino Linotype" w:hAnsi="Palatino Linotype" w:cs="Palatino Linotype"/>
          <w:b/>
        </w:rPr>
        <w:t>,</w:t>
      </w:r>
      <w:r w:rsidRPr="003E20A8">
        <w:rPr>
          <w:rFonts w:ascii="Palatino Linotype" w:eastAsia="Palatino Linotype" w:hAnsi="Palatino Linotype" w:cs="Palatino Linotype"/>
        </w:rPr>
        <w:t xml:space="preserve"> con la respuesta otorgada, vulnera el derecho de acceso a la información accionado por el particular actualizando la causal de procedencia previst</w:t>
      </w:r>
      <w:r w:rsidR="00D0119C" w:rsidRPr="003E20A8">
        <w:rPr>
          <w:rFonts w:ascii="Palatino Linotype" w:eastAsia="Palatino Linotype" w:hAnsi="Palatino Linotype" w:cs="Palatino Linotype"/>
        </w:rPr>
        <w:t xml:space="preserve">a en el artículo 179 fracción </w:t>
      </w:r>
      <w:r w:rsidR="008C199E" w:rsidRPr="003E20A8">
        <w:rPr>
          <w:rFonts w:ascii="Palatino Linotype" w:eastAsia="Palatino Linotype" w:hAnsi="Palatino Linotype" w:cs="Palatino Linotype"/>
        </w:rPr>
        <w:t>IV</w:t>
      </w:r>
      <w:r w:rsidRPr="003E20A8">
        <w:rPr>
          <w:rFonts w:ascii="Palatino Linotype" w:eastAsia="Palatino Linotype" w:hAnsi="Palatino Linotype" w:cs="Palatino Linotype"/>
          <w:vertAlign w:val="superscript"/>
        </w:rPr>
        <w:footnoteReference w:id="1"/>
      </w:r>
      <w:r w:rsidRPr="003E20A8">
        <w:rPr>
          <w:rFonts w:ascii="Palatino Linotype" w:eastAsia="Palatino Linotype" w:hAnsi="Palatino Linotype" w:cs="Palatino Linotype"/>
        </w:rPr>
        <w:t xml:space="preserve"> de la Ley de Transparencia y Acceso a la Información del Estado de México y Municipios.</w:t>
      </w:r>
    </w:p>
    <w:p w:rsidR="00F745F9" w:rsidRPr="003E20A8" w:rsidRDefault="00B25D7B" w:rsidP="00E16E35">
      <w:pPr>
        <w:pStyle w:val="Ttulo1"/>
        <w:spacing w:line="360" w:lineRule="auto"/>
        <w:rPr>
          <w:rFonts w:ascii="Palatino Linotype" w:eastAsia="Palatino Linotype" w:hAnsi="Palatino Linotype" w:cs="Palatino Linotype"/>
          <w:i/>
          <w:sz w:val="24"/>
          <w:szCs w:val="24"/>
        </w:rPr>
      </w:pPr>
      <w:bookmarkStart w:id="18" w:name="_heading=h.3rdcrjn" w:colFirst="0" w:colLast="0"/>
      <w:bookmarkEnd w:id="18"/>
      <w:r w:rsidRPr="003E20A8">
        <w:rPr>
          <w:rFonts w:ascii="Palatino Linotype" w:eastAsia="Palatino Linotype" w:hAnsi="Palatino Linotype" w:cs="Palatino Linotype"/>
          <w:b/>
          <w:color w:val="000000"/>
          <w:sz w:val="24"/>
          <w:szCs w:val="24"/>
        </w:rPr>
        <w:t>CUARTO. Estudio y resolución del asunto.</w:t>
      </w:r>
    </w:p>
    <w:p w:rsidR="00F745F9" w:rsidRPr="003E20A8" w:rsidRDefault="00B25D7B" w:rsidP="00E16E35">
      <w:pPr>
        <w:numPr>
          <w:ilvl w:val="0"/>
          <w:numId w:val="1"/>
        </w:numPr>
        <w:pBdr>
          <w:top w:val="nil"/>
          <w:left w:val="nil"/>
          <w:bottom w:val="nil"/>
          <w:right w:val="nil"/>
          <w:between w:val="nil"/>
        </w:pBdr>
        <w:tabs>
          <w:tab w:val="left" w:pos="426"/>
        </w:tabs>
        <w:spacing w:before="240" w:line="360" w:lineRule="auto"/>
        <w:ind w:left="0" w:right="51" w:firstLine="0"/>
        <w:jc w:val="both"/>
        <w:rPr>
          <w:rFonts w:ascii="Palatino Linotype" w:eastAsia="Palatino Linotype" w:hAnsi="Palatino Linotype" w:cs="Palatino Linotype"/>
          <w:b/>
          <w:color w:val="000000"/>
        </w:rPr>
      </w:pPr>
      <w:bookmarkStart w:id="19" w:name="_heading=h.26in1rg" w:colFirst="0" w:colLast="0"/>
      <w:bookmarkEnd w:id="19"/>
      <w:r w:rsidRPr="003E20A8">
        <w:rPr>
          <w:rFonts w:ascii="Palatino Linotype" w:eastAsia="Palatino Linotype" w:hAnsi="Palatino Linotype" w:cs="Palatino Linotype"/>
          <w:b/>
          <w:color w:val="000000"/>
        </w:rPr>
        <w:t>Del deber de las autoridades de promover, respetar, proteger y garantizar el derecho de acceso a la información pública.</w:t>
      </w:r>
    </w:p>
    <w:p w:rsidR="00F745F9" w:rsidRPr="003E20A8" w:rsidRDefault="00F745F9" w:rsidP="00E16E3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rPr>
      </w:pPr>
    </w:p>
    <w:p w:rsidR="00F745F9" w:rsidRPr="003E20A8" w:rsidRDefault="00B25D7B" w:rsidP="00E16E35">
      <w:pPr>
        <w:numPr>
          <w:ilvl w:val="0"/>
          <w:numId w:val="12"/>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E20A8">
        <w:rPr>
          <w:rFonts w:ascii="Palatino Linotype" w:eastAsia="Palatino Linotype" w:hAnsi="Palatino Linotype" w:cs="Palatino Linotype"/>
          <w:b/>
          <w:color w:val="000000"/>
        </w:rPr>
        <w:t>SUJETO OBLIGADO</w:t>
      </w:r>
      <w:r w:rsidR="005B78D3" w:rsidRPr="003E20A8">
        <w:rPr>
          <w:rFonts w:ascii="Palatino Linotype" w:eastAsia="Palatino Linotype" w:hAnsi="Palatino Linotype" w:cs="Palatino Linotype"/>
          <w:b/>
          <w:color w:val="000000"/>
        </w:rPr>
        <w:t>,</w:t>
      </w:r>
      <w:r w:rsidRPr="003E20A8">
        <w:rPr>
          <w:rFonts w:ascii="Palatino Linotype" w:eastAsia="Palatino Linotype" w:hAnsi="Palatino Linotype" w:cs="Palatino Linotype"/>
          <w:color w:val="000000"/>
        </w:rPr>
        <w:t xml:space="preserve"> debe ser </w:t>
      </w:r>
      <w:r w:rsidRPr="003E20A8">
        <w:rPr>
          <w:rFonts w:ascii="Palatino Linotype" w:eastAsia="Palatino Linotype" w:hAnsi="Palatino Linotype" w:cs="Palatino Linotype"/>
          <w:color w:val="000000"/>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3E20A8">
        <w:rPr>
          <w:rFonts w:ascii="Palatino Linotype" w:eastAsia="Palatino Linotype" w:hAnsi="Palatino Linotype" w:cs="Palatino Linotype"/>
          <w:b/>
          <w:color w:val="000000"/>
        </w:rPr>
        <w:t>Constitución Política de los Estados Unidos Mexicanos</w:t>
      </w:r>
      <w:r w:rsidRPr="003E20A8">
        <w:rPr>
          <w:rFonts w:ascii="Palatino Linotype" w:eastAsia="Palatino Linotype" w:hAnsi="Palatino Linotype" w:cs="Palatino Linotype"/>
          <w:color w:val="000000"/>
        </w:rPr>
        <w:t>, tienen</w:t>
      </w:r>
      <w:r w:rsidRPr="003E20A8">
        <w:rPr>
          <w:rFonts w:ascii="Palatino Linotype" w:eastAsia="Palatino Linotype" w:hAnsi="Palatino Linotype" w:cs="Palatino Linotype"/>
          <w:b/>
          <w:color w:val="000000"/>
        </w:rPr>
        <w:t xml:space="preserve"> </w:t>
      </w:r>
      <w:r w:rsidRPr="003E20A8">
        <w:rPr>
          <w:rFonts w:ascii="Palatino Linotype" w:eastAsia="Palatino Linotype" w:hAnsi="Palatino Linotype" w:cs="Palatino Linotype"/>
          <w:color w:val="000000"/>
        </w:rPr>
        <w:t xml:space="preserve">la obligación de “promover, </w:t>
      </w:r>
      <w:r w:rsidRPr="003E20A8">
        <w:rPr>
          <w:rFonts w:ascii="Palatino Linotype" w:eastAsia="Palatino Linotype" w:hAnsi="Palatino Linotype" w:cs="Palatino Linotype"/>
          <w:b/>
          <w:color w:val="000000"/>
        </w:rPr>
        <w:t>respetar</w:t>
      </w:r>
      <w:r w:rsidRPr="003E20A8">
        <w:rPr>
          <w:rFonts w:ascii="Palatino Linotype" w:eastAsia="Palatino Linotype" w:hAnsi="Palatino Linotype" w:cs="Palatino Linotype"/>
          <w:color w:val="000000"/>
        </w:rPr>
        <w:t xml:space="preserve">, proteger y </w:t>
      </w:r>
      <w:r w:rsidRPr="003E20A8">
        <w:rPr>
          <w:rFonts w:ascii="Palatino Linotype" w:eastAsia="Palatino Linotype" w:hAnsi="Palatino Linotype" w:cs="Palatino Linotype"/>
          <w:b/>
          <w:color w:val="000000"/>
        </w:rPr>
        <w:t>garantizar</w:t>
      </w:r>
      <w:r w:rsidRPr="003E20A8">
        <w:rPr>
          <w:rFonts w:ascii="Palatino Linotype" w:eastAsia="Palatino Linotype" w:hAnsi="Palatino Linotype" w:cs="Palatino Linotype"/>
          <w:color w:val="000000"/>
        </w:rPr>
        <w:t xml:space="preserve"> los derechos humanos”, entre los cuales se encuentra dicho derecho.</w:t>
      </w:r>
    </w:p>
    <w:p w:rsidR="00F745F9" w:rsidRPr="003E20A8" w:rsidRDefault="00B25D7B" w:rsidP="00E16E35">
      <w:pPr>
        <w:numPr>
          <w:ilvl w:val="0"/>
          <w:numId w:val="12"/>
        </w:numPr>
        <w:pBdr>
          <w:top w:val="nil"/>
          <w:left w:val="nil"/>
          <w:bottom w:val="nil"/>
          <w:right w:val="nil"/>
          <w:between w:val="nil"/>
        </w:pBdr>
        <w:tabs>
          <w:tab w:val="left" w:pos="426"/>
        </w:tabs>
        <w:spacing w:before="240" w:after="240" w:line="360" w:lineRule="auto"/>
        <w:ind w:left="0" w:right="51"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F745F9" w:rsidRPr="003E20A8" w:rsidRDefault="00B25D7B" w:rsidP="00E16E35">
      <w:pPr>
        <w:numPr>
          <w:ilvl w:val="0"/>
          <w:numId w:val="12"/>
        </w:numPr>
        <w:tabs>
          <w:tab w:val="left" w:pos="426"/>
        </w:tabs>
        <w:spacing w:line="360" w:lineRule="auto"/>
        <w:ind w:left="0" w:right="51"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Así las cosas, podemos definir el Derecho de Acceso a la Información Pública como: </w:t>
      </w:r>
      <w:r w:rsidRPr="003E20A8">
        <w:rPr>
          <w:rFonts w:ascii="Palatino Linotype" w:eastAsia="Palatino Linotype" w:hAnsi="Palatino Linotype" w:cs="Palatino Linotype"/>
          <w:i/>
          <w:color w:val="000000"/>
        </w:rPr>
        <w:t>La igualdad de oportunidades para recibir, buscar e impartir información</w:t>
      </w:r>
      <w:r w:rsidRPr="003E20A8">
        <w:rPr>
          <w:rFonts w:ascii="Palatino Linotype" w:eastAsia="Palatino Linotype" w:hAnsi="Palatino Linotype" w:cs="Palatino Linotype"/>
          <w:i/>
          <w:color w:val="000000"/>
          <w:vertAlign w:val="superscript"/>
        </w:rPr>
        <w:footnoteReference w:id="2"/>
      </w:r>
      <w:r w:rsidRPr="003E20A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E20A8">
        <w:rPr>
          <w:rFonts w:ascii="Palatino Linotype" w:eastAsia="Palatino Linotype" w:hAnsi="Palatino Linotype" w:cs="Palatino Linotype"/>
          <w:i/>
          <w:color w:val="000000"/>
          <w:vertAlign w:val="superscript"/>
        </w:rPr>
        <w:footnoteReference w:id="3"/>
      </w:r>
      <w:r w:rsidRPr="003E20A8">
        <w:rPr>
          <w:rFonts w:ascii="Palatino Linotype" w:eastAsia="Palatino Linotype" w:hAnsi="Palatino Linotype" w:cs="Palatino Linotype"/>
          <w:color w:val="000000"/>
        </w:rPr>
        <w:t>que se constituye como una herramienta fundamental para ejercer</w:t>
      </w:r>
      <w:r w:rsidRPr="003E20A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3E20A8">
        <w:rPr>
          <w:rFonts w:ascii="Palatino Linotype" w:eastAsia="Palatino Linotype" w:hAnsi="Palatino Linotype" w:cs="Palatino Linotype"/>
          <w:i/>
          <w:color w:val="000000"/>
          <w:vertAlign w:val="superscript"/>
        </w:rPr>
        <w:footnoteReference w:id="4"/>
      </w:r>
      <w:r w:rsidRPr="003E20A8">
        <w:rPr>
          <w:rFonts w:ascii="Palatino Linotype" w:eastAsia="Palatino Linotype" w:hAnsi="Palatino Linotype" w:cs="Palatino Linotype"/>
          <w:i/>
          <w:color w:val="000000"/>
        </w:rPr>
        <w:t xml:space="preserve"> </w:t>
      </w:r>
      <w:r w:rsidRPr="003E20A8">
        <w:rPr>
          <w:rFonts w:ascii="Palatino Linotype" w:eastAsia="Palatino Linotype" w:hAnsi="Palatino Linotype" w:cs="Palatino Linotype"/>
          <w:color w:val="000000"/>
        </w:rPr>
        <w:t>fomentando</w:t>
      </w:r>
      <w:r w:rsidRPr="003E20A8">
        <w:rPr>
          <w:rFonts w:ascii="Palatino Linotype" w:eastAsia="Palatino Linotype" w:hAnsi="Palatino Linotype" w:cs="Palatino Linotype"/>
          <w:i/>
          <w:color w:val="000000"/>
        </w:rPr>
        <w:t xml:space="preserve"> la transparencia de las actividades estatales y </w:t>
      </w:r>
      <w:r w:rsidRPr="003E20A8">
        <w:rPr>
          <w:rFonts w:ascii="Palatino Linotype" w:eastAsia="Palatino Linotype" w:hAnsi="Palatino Linotype" w:cs="Palatino Linotype"/>
          <w:color w:val="000000"/>
        </w:rPr>
        <w:t>promoviendo</w:t>
      </w:r>
      <w:r w:rsidRPr="003E20A8">
        <w:rPr>
          <w:rFonts w:ascii="Palatino Linotype" w:eastAsia="Palatino Linotype" w:hAnsi="Palatino Linotype" w:cs="Palatino Linotype"/>
          <w:i/>
          <w:color w:val="000000"/>
        </w:rPr>
        <w:t xml:space="preserve"> la responsabilidad de los funcionarios sobre su gestión </w:t>
      </w:r>
      <w:r w:rsidRPr="003E20A8">
        <w:rPr>
          <w:rFonts w:ascii="Palatino Linotype" w:eastAsia="Palatino Linotype" w:hAnsi="Palatino Linotype" w:cs="Palatino Linotype"/>
          <w:i/>
          <w:color w:val="000000"/>
        </w:rPr>
        <w:lastRenderedPageBreak/>
        <w:t>pública,</w:t>
      </w:r>
      <w:r w:rsidRPr="003E20A8">
        <w:rPr>
          <w:rFonts w:ascii="Palatino Linotype" w:eastAsia="Palatino Linotype" w:hAnsi="Palatino Linotype" w:cs="Palatino Linotype"/>
          <w:i/>
          <w:color w:val="000000"/>
          <w:vertAlign w:val="superscript"/>
        </w:rPr>
        <w:footnoteReference w:id="5"/>
      </w:r>
      <w:r w:rsidRPr="003E20A8">
        <w:rPr>
          <w:rFonts w:ascii="Palatino Linotype" w:eastAsia="Palatino Linotype" w:hAnsi="Palatino Linotype" w:cs="Palatino Linotype"/>
          <w:color w:val="000000"/>
        </w:rPr>
        <w:t>que permite</w:t>
      </w:r>
      <w:r w:rsidRPr="003E20A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F745F9" w:rsidRPr="003E20A8" w:rsidRDefault="00F745F9" w:rsidP="00E16E35">
      <w:pPr>
        <w:tabs>
          <w:tab w:val="left" w:pos="426"/>
        </w:tabs>
        <w:spacing w:line="360" w:lineRule="auto"/>
        <w:ind w:right="51"/>
        <w:jc w:val="both"/>
        <w:rPr>
          <w:rFonts w:ascii="Palatino Linotype" w:eastAsia="Palatino Linotype" w:hAnsi="Palatino Linotype" w:cs="Palatino Linotype"/>
          <w:color w:val="000000"/>
        </w:rPr>
      </w:pPr>
    </w:p>
    <w:p w:rsidR="00F745F9" w:rsidRPr="003E20A8" w:rsidRDefault="00B25D7B" w:rsidP="00E16E35">
      <w:pPr>
        <w:numPr>
          <w:ilvl w:val="0"/>
          <w:numId w:val="12"/>
        </w:numPr>
        <w:tabs>
          <w:tab w:val="left" w:pos="426"/>
        </w:tabs>
        <w:spacing w:line="360" w:lineRule="auto"/>
        <w:ind w:left="0" w:right="51"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F745F9" w:rsidRPr="003E20A8" w:rsidRDefault="00F745F9" w:rsidP="00E16E35">
      <w:pPr>
        <w:spacing w:line="360" w:lineRule="auto"/>
        <w:rPr>
          <w:rFonts w:ascii="Palatino Linotype" w:eastAsia="Palatino Linotype" w:hAnsi="Palatino Linotype" w:cs="Palatino Linotype"/>
        </w:rPr>
      </w:pPr>
    </w:p>
    <w:p w:rsidR="00F745F9" w:rsidRPr="003E20A8" w:rsidRDefault="00B25D7B" w:rsidP="00E16E35">
      <w:pPr>
        <w:keepNext/>
        <w:keepLines/>
        <w:numPr>
          <w:ilvl w:val="0"/>
          <w:numId w:val="1"/>
        </w:numPr>
        <w:spacing w:before="240" w:line="360" w:lineRule="auto"/>
        <w:ind w:left="0" w:firstLine="0"/>
        <w:rPr>
          <w:rFonts w:ascii="Palatino Linotype" w:eastAsia="Palatino Linotype" w:hAnsi="Palatino Linotype" w:cs="Palatino Linotype"/>
          <w:b/>
        </w:rPr>
      </w:pPr>
      <w:bookmarkStart w:id="20" w:name="_heading=h.lnxbz9" w:colFirst="0" w:colLast="0"/>
      <w:bookmarkEnd w:id="20"/>
      <w:r w:rsidRPr="003E20A8">
        <w:rPr>
          <w:rFonts w:ascii="Palatino Linotype" w:eastAsia="Palatino Linotype" w:hAnsi="Palatino Linotype" w:cs="Palatino Linotype"/>
          <w:b/>
        </w:rPr>
        <w:t xml:space="preserve">De la solicitud de información y la respuesta otorgada. </w:t>
      </w:r>
    </w:p>
    <w:p w:rsidR="00F745F9" w:rsidRPr="003E20A8" w:rsidRDefault="00F745F9" w:rsidP="00E16E35">
      <w:pPr>
        <w:spacing w:line="360" w:lineRule="auto"/>
        <w:ind w:left="1080" w:firstLine="708"/>
        <w:rPr>
          <w:rFonts w:ascii="Palatino Linotype" w:eastAsia="Palatino Linotype" w:hAnsi="Palatino Linotype" w:cs="Palatino Linotype"/>
        </w:rPr>
      </w:pPr>
    </w:p>
    <w:p w:rsidR="00F745F9" w:rsidRPr="003E20A8" w:rsidRDefault="00B25D7B" w:rsidP="00E16E35">
      <w:pPr>
        <w:numPr>
          <w:ilvl w:val="0"/>
          <w:numId w:val="12"/>
        </w:numPr>
        <w:spacing w:line="360" w:lineRule="auto"/>
        <w:ind w:left="0" w:firstLine="0"/>
        <w:jc w:val="both"/>
        <w:rPr>
          <w:rFonts w:ascii="Palatino Linotype" w:eastAsia="Palatino Linotype" w:hAnsi="Palatino Linotype" w:cs="Palatino Linotype"/>
          <w:i/>
        </w:rPr>
      </w:pPr>
      <w:r w:rsidRPr="003E20A8">
        <w:rPr>
          <w:rFonts w:ascii="Palatino Linotype" w:eastAsia="Palatino Linotype" w:hAnsi="Palatino Linotype" w:cs="Palatino Linotype"/>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3E20A8">
        <w:rPr>
          <w:rFonts w:ascii="Palatino Linotype" w:eastAsia="Palatino Linotype" w:hAnsi="Palatino Linotype" w:cs="Palatino Linotype"/>
        </w:rPr>
        <w:lastRenderedPageBreak/>
        <w:t xml:space="preserve">artículo 8 de la </w:t>
      </w:r>
      <w:r w:rsidRPr="003E20A8">
        <w:rPr>
          <w:rFonts w:ascii="Palatino Linotype" w:eastAsia="Palatino Linotype" w:hAnsi="Palatino Linotype" w:cs="Palatino Linotype"/>
          <w:b/>
        </w:rPr>
        <w:t>Ley de Transparencia y Acceso a la Información Pública del Estado de México y Municipios</w:t>
      </w:r>
      <w:r w:rsidRPr="003E20A8">
        <w:rPr>
          <w:rFonts w:ascii="Palatino Linotype" w:eastAsia="Palatino Linotype" w:hAnsi="Palatino Linotype" w:cs="Palatino Linotype"/>
        </w:rPr>
        <w:t>.</w:t>
      </w:r>
    </w:p>
    <w:p w:rsidR="00F745F9" w:rsidRPr="003E20A8" w:rsidRDefault="00F745F9" w:rsidP="00E16E35">
      <w:pPr>
        <w:spacing w:line="360" w:lineRule="auto"/>
        <w:jc w:val="both"/>
        <w:rPr>
          <w:rFonts w:ascii="Palatino Linotype" w:eastAsia="Palatino Linotype" w:hAnsi="Palatino Linotype" w:cs="Palatino Linotype"/>
          <w:i/>
        </w:rPr>
      </w:pPr>
    </w:p>
    <w:p w:rsidR="00CB7DF0" w:rsidRPr="003E20A8" w:rsidRDefault="00B25D7B" w:rsidP="00E16E35">
      <w:pPr>
        <w:numPr>
          <w:ilvl w:val="0"/>
          <w:numId w:val="12"/>
        </w:numPr>
        <w:spacing w:line="360" w:lineRule="auto"/>
        <w:ind w:left="0" w:firstLine="0"/>
        <w:jc w:val="both"/>
        <w:rPr>
          <w:rFonts w:ascii="Palatino Linotype" w:eastAsia="Palatino Linotype" w:hAnsi="Palatino Linotype" w:cs="Palatino Linotype"/>
        </w:rPr>
      </w:pPr>
      <w:r w:rsidRPr="003E20A8">
        <w:rPr>
          <w:rFonts w:ascii="Palatino Linotype" w:eastAsia="Palatino Linotype" w:hAnsi="Palatino Linotype" w:cs="Palatino Linotype"/>
        </w:rPr>
        <w:t xml:space="preserve">Así, de la lectura </w:t>
      </w:r>
      <w:r w:rsidR="00CB7DF0" w:rsidRPr="003E20A8">
        <w:rPr>
          <w:rFonts w:ascii="Palatino Linotype" w:eastAsia="Palatino Linotype" w:hAnsi="Palatino Linotype" w:cs="Palatino Linotype"/>
        </w:rPr>
        <w:t xml:space="preserve">a la solicitud de información, </w:t>
      </w:r>
      <w:r w:rsidRPr="003E20A8">
        <w:rPr>
          <w:rFonts w:ascii="Palatino Linotype" w:eastAsia="Palatino Linotype" w:hAnsi="Palatino Linotype" w:cs="Palatino Linotype"/>
        </w:rPr>
        <w:t>se observa</w:t>
      </w:r>
      <w:r w:rsidR="00CB7DF0" w:rsidRPr="003E20A8">
        <w:rPr>
          <w:rFonts w:ascii="Palatino Linotype" w:eastAsia="Palatino Linotype" w:hAnsi="Palatino Linotype" w:cs="Palatino Linotype"/>
        </w:rPr>
        <w:t>,</w:t>
      </w:r>
      <w:r w:rsidRPr="003E20A8">
        <w:rPr>
          <w:rFonts w:ascii="Palatino Linotype" w:eastAsia="Palatino Linotype" w:hAnsi="Palatino Linotype" w:cs="Palatino Linotype"/>
        </w:rPr>
        <w:t xml:space="preserve"> que el particular requirió al</w:t>
      </w:r>
      <w:r w:rsidR="008E3D36" w:rsidRPr="003E20A8">
        <w:rPr>
          <w:rFonts w:ascii="Palatino Linotype" w:eastAsia="Palatino Linotype" w:hAnsi="Palatino Linotype" w:cs="Palatino Linotype"/>
        </w:rPr>
        <w:t xml:space="preserve"> </w:t>
      </w:r>
      <w:r w:rsidR="008C199E" w:rsidRPr="003E20A8">
        <w:rPr>
          <w:rFonts w:ascii="Palatino Linotype" w:eastAsia="Palatino Linotype" w:hAnsi="Palatino Linotype" w:cs="Palatino Linotype"/>
          <w:b/>
        </w:rPr>
        <w:t xml:space="preserve">Ayuntamiento de Ixtapaluca </w:t>
      </w:r>
      <w:r w:rsidR="008E3D36" w:rsidRPr="003E20A8">
        <w:rPr>
          <w:rFonts w:ascii="Palatino Linotype" w:eastAsia="Palatino Linotype" w:hAnsi="Palatino Linotype" w:cs="Palatino Linotype"/>
          <w:i/>
        </w:rPr>
        <w:t xml:space="preserve"> </w:t>
      </w:r>
      <w:r w:rsidRPr="003E20A8">
        <w:rPr>
          <w:rFonts w:ascii="Palatino Linotype" w:eastAsia="Palatino Linotype" w:hAnsi="Palatino Linotype" w:cs="Palatino Linotype"/>
        </w:rPr>
        <w:t xml:space="preserve">acceder a información relacionada con </w:t>
      </w:r>
      <w:r w:rsidR="008C199E" w:rsidRPr="003E20A8">
        <w:rPr>
          <w:rFonts w:ascii="Palatino Linotype" w:eastAsia="Palatino Linotype" w:hAnsi="Palatino Linotype" w:cs="Palatino Linotype"/>
        </w:rPr>
        <w:t xml:space="preserve">el cobro detallado de los </w:t>
      </w:r>
      <w:r w:rsidR="00CB7DF0" w:rsidRPr="003E20A8">
        <w:rPr>
          <w:rFonts w:ascii="Palatino Linotype" w:eastAsia="Palatino Linotype" w:hAnsi="Palatino Linotype" w:cs="Palatino Linotype"/>
        </w:rPr>
        <w:t>trámites</w:t>
      </w:r>
      <w:r w:rsidR="008C199E" w:rsidRPr="003E20A8">
        <w:rPr>
          <w:rFonts w:ascii="Palatino Linotype" w:eastAsia="Palatino Linotype" w:hAnsi="Palatino Linotype" w:cs="Palatino Linotype"/>
        </w:rPr>
        <w:t xml:space="preserve"> que realizan las oficialías</w:t>
      </w:r>
      <w:r w:rsidR="00CB7DF0" w:rsidRPr="003E20A8">
        <w:rPr>
          <w:rFonts w:ascii="Palatino Linotype" w:eastAsia="Palatino Linotype" w:hAnsi="Palatino Linotype" w:cs="Palatino Linotype"/>
        </w:rPr>
        <w:t xml:space="preserve"> del registro civil, por lo que  </w:t>
      </w:r>
      <w:r w:rsidR="00CB7DF0" w:rsidRPr="003E20A8">
        <w:rPr>
          <w:rFonts w:ascii="Palatino Linotype" w:eastAsia="Palatino Linotype" w:hAnsi="Palatino Linotype" w:cs="Palatino Linotype"/>
          <w:color w:val="000000"/>
        </w:rPr>
        <w:t xml:space="preserve">de conformidad con lo que dispone la Ley de la Materia, este Instituto de Transparencia, </w:t>
      </w:r>
      <w:r w:rsidR="0022574D" w:rsidRPr="003E20A8">
        <w:rPr>
          <w:rFonts w:ascii="Palatino Linotype" w:eastAsia="Palatino Linotype" w:hAnsi="Palatino Linotype" w:cs="Palatino Linotype"/>
          <w:color w:val="000000"/>
        </w:rPr>
        <w:t xml:space="preserve">al tenor de </w:t>
      </w:r>
      <w:r w:rsidR="00CB7DF0" w:rsidRPr="003E20A8">
        <w:rPr>
          <w:rFonts w:ascii="Palatino Linotype" w:eastAsia="Palatino Linotype" w:hAnsi="Palatino Linotype" w:cs="Palatino Linotype"/>
          <w:color w:val="000000"/>
        </w:rPr>
        <w:t>los principios de eficacia y profesionalismo</w:t>
      </w:r>
      <w:r w:rsidR="00CB7DF0" w:rsidRPr="003E20A8">
        <w:rPr>
          <w:rFonts w:ascii="Palatino Linotype" w:eastAsia="Palatino Linotype" w:hAnsi="Palatino Linotype" w:cs="Palatino Linotype"/>
          <w:color w:val="000000"/>
          <w:vertAlign w:val="superscript"/>
        </w:rPr>
        <w:footnoteReference w:id="6"/>
      </w:r>
      <w:r w:rsidR="00CB7DF0" w:rsidRPr="003E20A8">
        <w:rPr>
          <w:rFonts w:ascii="Palatino Linotype" w:eastAsia="Palatino Linotype" w:hAnsi="Palatino Linotype" w:cs="Palatino Linotype"/>
          <w:color w:val="000000"/>
        </w:rPr>
        <w:t xml:space="preserve">, procederá a verificar la información remitida por el </w:t>
      </w:r>
      <w:r w:rsidR="00CB7DF0" w:rsidRPr="003E20A8">
        <w:rPr>
          <w:rFonts w:ascii="Palatino Linotype" w:eastAsia="Palatino Linotype" w:hAnsi="Palatino Linotype" w:cs="Palatino Linotype"/>
          <w:b/>
          <w:color w:val="000000"/>
        </w:rPr>
        <w:t>SUJETO OBLIGADO y</w:t>
      </w:r>
      <w:r w:rsidR="00CB7DF0" w:rsidRPr="003E20A8">
        <w:rPr>
          <w:rFonts w:ascii="Palatino Linotype" w:eastAsia="Palatino Linotype" w:hAnsi="Palatino Linotype" w:cs="Palatino Linotype"/>
          <w:color w:val="000000"/>
        </w:rPr>
        <w:t xml:space="preserve"> las manifestaciones realizadas por el </w:t>
      </w:r>
      <w:r w:rsidR="00CB7DF0" w:rsidRPr="003E20A8">
        <w:rPr>
          <w:rFonts w:ascii="Palatino Linotype" w:eastAsia="Palatino Linotype" w:hAnsi="Palatino Linotype" w:cs="Palatino Linotype"/>
          <w:b/>
          <w:color w:val="000000"/>
        </w:rPr>
        <w:t xml:space="preserve">SOLICTANTE </w:t>
      </w:r>
      <w:r w:rsidR="00CB7DF0" w:rsidRPr="003E20A8">
        <w:rPr>
          <w:rFonts w:ascii="Palatino Linotype" w:eastAsia="Palatino Linotype" w:hAnsi="Palatino Linotype" w:cs="Palatino Linotype"/>
          <w:color w:val="000000"/>
        </w:rPr>
        <w:t xml:space="preserve">a efecto de determinar si la información remitida se encuentra apegada a lo que establece la Ley en materia de transparencia, resultando necesario </w:t>
      </w:r>
      <w:r w:rsidR="00CB7DF0" w:rsidRPr="003E20A8">
        <w:rPr>
          <w:rFonts w:ascii="Palatino Linotype" w:eastAsia="Palatino Linotype" w:hAnsi="Palatino Linotype" w:cs="Palatino Linotype"/>
        </w:rPr>
        <w:t>realizar algunas consideraciones.</w:t>
      </w:r>
    </w:p>
    <w:p w:rsidR="00266B62" w:rsidRPr="003E20A8" w:rsidRDefault="00266B62" w:rsidP="00E16E35">
      <w:pPr>
        <w:pStyle w:val="Prrafodelista"/>
        <w:spacing w:line="360" w:lineRule="auto"/>
        <w:rPr>
          <w:rFonts w:ascii="Palatino Linotype" w:eastAsia="Palatino Linotype" w:hAnsi="Palatino Linotype" w:cs="Palatino Linotype"/>
        </w:rPr>
      </w:pPr>
    </w:p>
    <w:p w:rsidR="002D4F5E" w:rsidRPr="003E20A8" w:rsidRDefault="00266B62" w:rsidP="00E16E35">
      <w:pPr>
        <w:numPr>
          <w:ilvl w:val="0"/>
          <w:numId w:val="12"/>
        </w:numPr>
        <w:spacing w:line="360" w:lineRule="auto"/>
        <w:ind w:left="0" w:firstLine="0"/>
        <w:jc w:val="both"/>
        <w:rPr>
          <w:rFonts w:ascii="Palatino Linotype" w:eastAsia="Palatino Linotype" w:hAnsi="Palatino Linotype" w:cs="Palatino Linotype"/>
        </w:rPr>
      </w:pPr>
      <w:r w:rsidRPr="003E20A8">
        <w:rPr>
          <w:rFonts w:ascii="Palatino Linotype" w:eastAsia="Palatino Linotype" w:hAnsi="Palatino Linotype" w:cs="Palatino Linotype"/>
        </w:rPr>
        <w:t xml:space="preserve">Por una parte, </w:t>
      </w:r>
      <w:r w:rsidR="00B25D7B" w:rsidRPr="003E20A8">
        <w:rPr>
          <w:rFonts w:ascii="Palatino Linotype" w:eastAsia="Palatino Linotype" w:hAnsi="Palatino Linotype" w:cs="Palatino Linotype"/>
        </w:rPr>
        <w:t xml:space="preserve"> </w:t>
      </w:r>
      <w:r w:rsidRPr="003E20A8">
        <w:rPr>
          <w:rFonts w:ascii="Palatino Linotype" w:eastAsia="Palatino Linotype" w:hAnsi="Palatino Linotype" w:cs="Palatino Linotype"/>
        </w:rPr>
        <w:t>apuntar</w:t>
      </w:r>
      <w:r w:rsidR="00B25D7B" w:rsidRPr="003E20A8">
        <w:rPr>
          <w:rFonts w:ascii="Palatino Linotype" w:eastAsia="Palatino Linotype" w:hAnsi="Palatino Linotype" w:cs="Palatino Linotype"/>
        </w:rPr>
        <w:t xml:space="preserve"> </w:t>
      </w:r>
      <w:bookmarkStart w:id="21" w:name="_heading=h.35nkun2" w:colFirst="0" w:colLast="0"/>
      <w:bookmarkEnd w:id="21"/>
      <w:r w:rsidRPr="003E20A8">
        <w:rPr>
          <w:rFonts w:ascii="Palatino Linotype" w:eastAsia="Palatino Linotype" w:hAnsi="Palatino Linotype" w:cs="Palatino Linotype"/>
        </w:rPr>
        <w:t xml:space="preserve"> que si bien, en un primer momento el </w:t>
      </w:r>
      <w:r w:rsidR="002D4F5E" w:rsidRPr="003E20A8">
        <w:rPr>
          <w:rFonts w:ascii="Palatino Linotype" w:eastAsia="Palatino Linotype" w:hAnsi="Palatino Linotype" w:cs="Palatino Linotype"/>
          <w:b/>
        </w:rPr>
        <w:t xml:space="preserve">SUJETO OBLIGADO </w:t>
      </w:r>
      <w:r w:rsidR="002D4F5E" w:rsidRPr="003E20A8">
        <w:rPr>
          <w:rFonts w:ascii="Palatino Linotype" w:eastAsia="Palatino Linotype" w:hAnsi="Palatino Linotype" w:cs="Palatino Linotype"/>
        </w:rPr>
        <w:t xml:space="preserve">refirió incompetencia, dicha manifestación queda superada de conformidad con la información remitida mediante informe justificado, lo anterior, por se asume contar con la información solicitada al remitir información estadística del número de trámites realizados durante la temporalidad referida por el </w:t>
      </w:r>
      <w:r w:rsidR="002D4F5E" w:rsidRPr="003E20A8">
        <w:rPr>
          <w:rFonts w:ascii="Palatino Linotype" w:eastAsia="Palatino Linotype" w:hAnsi="Palatino Linotype" w:cs="Palatino Linotype"/>
        </w:rPr>
        <w:lastRenderedPageBreak/>
        <w:t>particular, de lo que se deduce que, derivado de sus facultades y atribuciones, la genera posee o administra.</w:t>
      </w:r>
    </w:p>
    <w:p w:rsidR="002D4F5E" w:rsidRPr="003E20A8" w:rsidRDefault="002D4F5E" w:rsidP="00E16E35">
      <w:pPr>
        <w:pStyle w:val="Prrafodelista"/>
        <w:spacing w:line="360" w:lineRule="auto"/>
        <w:rPr>
          <w:rFonts w:ascii="Palatino Linotype" w:eastAsia="Palatino Linotype" w:hAnsi="Palatino Linotype" w:cs="Palatino Linotype"/>
        </w:rPr>
      </w:pPr>
    </w:p>
    <w:p w:rsidR="00F745F9" w:rsidRPr="003E20A8" w:rsidRDefault="002D4F5E" w:rsidP="00E16E35">
      <w:pPr>
        <w:numPr>
          <w:ilvl w:val="0"/>
          <w:numId w:val="12"/>
        </w:numPr>
        <w:spacing w:line="360" w:lineRule="auto"/>
        <w:ind w:left="0" w:firstLine="0"/>
        <w:jc w:val="both"/>
        <w:rPr>
          <w:rFonts w:ascii="Palatino Linotype" w:eastAsia="Palatino Linotype" w:hAnsi="Palatino Linotype" w:cs="Palatino Linotype"/>
        </w:rPr>
      </w:pPr>
      <w:r w:rsidRPr="003E20A8">
        <w:rPr>
          <w:rFonts w:ascii="Palatino Linotype" w:eastAsia="Palatino Linotype" w:hAnsi="Palatino Linotype" w:cs="Palatino Linotype"/>
        </w:rPr>
        <w:t xml:space="preserve">En ese contexto, el </w:t>
      </w:r>
      <w:r w:rsidRPr="003E20A8">
        <w:rPr>
          <w:rFonts w:ascii="Palatino Linotype" w:eastAsia="Palatino Linotype" w:hAnsi="Palatino Linotype" w:cs="Palatino Linotype"/>
          <w:b/>
        </w:rPr>
        <w:t>SUJETO OBLIGADO</w:t>
      </w:r>
      <w:r w:rsidRPr="003E20A8">
        <w:rPr>
          <w:rFonts w:ascii="Palatino Linotype" w:eastAsia="Palatino Linotype" w:hAnsi="Palatino Linotype" w:cs="Palatino Linotype"/>
        </w:rPr>
        <w:t xml:space="preserve"> se encuentra bajo el </w:t>
      </w:r>
      <w:r w:rsidR="00E16E35" w:rsidRPr="003E20A8">
        <w:rPr>
          <w:rFonts w:ascii="Palatino Linotype" w:eastAsia="Palatino Linotype" w:hAnsi="Palatino Linotype" w:cs="Palatino Linotype"/>
        </w:rPr>
        <w:t xml:space="preserve">supuesto de lo que prevé, </w:t>
      </w:r>
      <w:r w:rsidR="00B25D7B" w:rsidRPr="003E20A8">
        <w:rPr>
          <w:rFonts w:ascii="Palatino Linotype" w:eastAsia="Palatino Linotype" w:hAnsi="Palatino Linotype" w:cs="Palatino Linotype"/>
        </w:rPr>
        <w:t xml:space="preserve">el </w:t>
      </w:r>
      <w:r w:rsidR="00B25D7B" w:rsidRPr="003E20A8">
        <w:rPr>
          <w:rFonts w:ascii="Palatino Linotype" w:eastAsia="Palatino Linotype" w:hAnsi="Palatino Linotype" w:cs="Palatino Linotype"/>
          <w:color w:val="000000"/>
        </w:rPr>
        <w:t xml:space="preserve">artículo 18 de Ley de Transparencia y Acceso a la Información Pública del Estado de México y Municipios </w:t>
      </w:r>
      <w:r w:rsidR="00E16E35" w:rsidRPr="003E20A8">
        <w:rPr>
          <w:rFonts w:ascii="Palatino Linotype" w:eastAsia="Palatino Linotype" w:hAnsi="Palatino Linotype" w:cs="Palatino Linotype"/>
          <w:color w:val="000000"/>
        </w:rPr>
        <w:t xml:space="preserve">mismo que </w:t>
      </w:r>
      <w:r w:rsidR="00B25D7B" w:rsidRPr="003E20A8">
        <w:rPr>
          <w:rFonts w:ascii="Palatino Linotype" w:eastAsia="Palatino Linotype" w:hAnsi="Palatino Linotype" w:cs="Palatino Linotype"/>
          <w:color w:val="000000"/>
        </w:rPr>
        <w:t>establece que los Sujetos Obligados tienen el ineludible compromiso de documentar todos los actos que deriven de sus atribuciones, funciones y competencias considerando desde su origen la eventual publicidad de la información como a continuación se observa:</w:t>
      </w:r>
    </w:p>
    <w:p w:rsidR="00F745F9" w:rsidRPr="003E20A8" w:rsidRDefault="00F745F9" w:rsidP="00E16E35">
      <w:pPr>
        <w:spacing w:after="160" w:line="360" w:lineRule="auto"/>
        <w:jc w:val="both"/>
        <w:rPr>
          <w:rFonts w:ascii="Palatino Linotype" w:eastAsia="Palatino Linotype" w:hAnsi="Palatino Linotype" w:cs="Palatino Linotype"/>
        </w:rPr>
      </w:pPr>
    </w:p>
    <w:p w:rsidR="00F745F9" w:rsidRPr="003E20A8" w:rsidRDefault="00B25D7B" w:rsidP="00E16E35">
      <w:pPr>
        <w:widowControl w:val="0"/>
        <w:spacing w:before="240" w:after="240" w:line="360" w:lineRule="auto"/>
        <w:ind w:left="567" w:right="567"/>
        <w:jc w:val="both"/>
        <w:rPr>
          <w:rFonts w:ascii="Palatino Linotype" w:eastAsia="Palatino Linotype" w:hAnsi="Palatino Linotype" w:cs="Palatino Linotype"/>
          <w:i/>
        </w:rPr>
      </w:pPr>
      <w:r w:rsidRPr="003E20A8">
        <w:rPr>
          <w:rFonts w:ascii="Palatino Linotype" w:eastAsia="Palatino Linotype" w:hAnsi="Palatino Linotype" w:cs="Palatino Linotype"/>
          <w:b/>
          <w:i/>
        </w:rPr>
        <w:t>Artículo 18.</w:t>
      </w:r>
      <w:r w:rsidRPr="003E20A8">
        <w:rPr>
          <w:rFonts w:ascii="Palatino Linotype" w:eastAsia="Palatino Linotype" w:hAnsi="Palatino Linotype" w:cs="Palatino Linotype"/>
          <w:i/>
        </w:rPr>
        <w:t xml:space="preserve"> Los sujetos obligados deberán documentar todo acto que derive del ejercicio de sus facultades, competencias o funciones, considerando desde su origen la eventual publicidad y reutilización de la información que generen.</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numPr>
          <w:ilvl w:val="0"/>
          <w:numId w:val="12"/>
        </w:numPr>
        <w:spacing w:after="160" w:line="360" w:lineRule="auto"/>
        <w:ind w:left="0" w:firstLine="0"/>
        <w:jc w:val="both"/>
        <w:rPr>
          <w:rFonts w:ascii="Palatino Linotype" w:eastAsia="Palatino Linotype" w:hAnsi="Palatino Linotype" w:cs="Palatino Linotype"/>
        </w:rPr>
      </w:pPr>
      <w:r w:rsidRPr="003E20A8">
        <w:rPr>
          <w:rFonts w:ascii="Palatino Linotype" w:eastAsia="Palatino Linotype" w:hAnsi="Palatino Linotype" w:cs="Palatino Linotype"/>
        </w:rPr>
        <w:t xml:space="preserve">En ese sentido, no debe de pasar de vista para el </w:t>
      </w:r>
      <w:r w:rsidRPr="003E20A8">
        <w:rPr>
          <w:rFonts w:ascii="Palatino Linotype" w:eastAsia="Palatino Linotype" w:hAnsi="Palatino Linotype" w:cs="Palatino Linotype"/>
          <w:b/>
        </w:rPr>
        <w:t>SUJETO OBLIGADO</w:t>
      </w:r>
      <w:r w:rsidRPr="003E20A8">
        <w:rPr>
          <w:rFonts w:ascii="Palatino Linotype" w:eastAsia="Palatino Linotype" w:hAnsi="Palatino Linotype" w:cs="Palatino Linotype"/>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spacing w:after="160" w:line="360" w:lineRule="auto"/>
        <w:ind w:left="567" w:right="567"/>
        <w:jc w:val="both"/>
        <w:rPr>
          <w:rFonts w:ascii="Palatino Linotype" w:eastAsia="Palatino Linotype" w:hAnsi="Palatino Linotype" w:cs="Palatino Linotype"/>
          <w:i/>
        </w:rPr>
      </w:pPr>
      <w:r w:rsidRPr="003E20A8">
        <w:rPr>
          <w:rFonts w:ascii="Palatino Linotype" w:eastAsia="Palatino Linotype" w:hAnsi="Palatino Linotype" w:cs="Palatino Linotype"/>
          <w:i/>
        </w:rPr>
        <w:lastRenderedPageBreak/>
        <w:t>“</w:t>
      </w:r>
      <w:r w:rsidRPr="003E20A8">
        <w:rPr>
          <w:rFonts w:ascii="Palatino Linotype" w:eastAsia="Palatino Linotype" w:hAnsi="Palatino Linotype" w:cs="Palatino Linotype"/>
          <w:b/>
          <w:i/>
        </w:rPr>
        <w:t>Artículo 8.</w:t>
      </w:r>
      <w:r w:rsidRPr="003E20A8">
        <w:rPr>
          <w:rFonts w:ascii="Palatino Linotype" w:eastAsia="Palatino Linotype" w:hAnsi="Palatino Linotype" w:cs="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745F9" w:rsidRPr="003E20A8" w:rsidRDefault="00F745F9" w:rsidP="00E16E35">
      <w:pPr>
        <w:spacing w:after="160" w:line="360" w:lineRule="auto"/>
        <w:ind w:left="567" w:right="567"/>
        <w:jc w:val="both"/>
        <w:rPr>
          <w:rFonts w:ascii="Palatino Linotype" w:eastAsia="Palatino Linotype" w:hAnsi="Palatino Linotype" w:cs="Palatino Linotype"/>
          <w:i/>
        </w:rPr>
      </w:pPr>
    </w:p>
    <w:p w:rsidR="00F745F9" w:rsidRPr="003E20A8" w:rsidRDefault="00B25D7B" w:rsidP="00E16E35">
      <w:pPr>
        <w:spacing w:after="160" w:line="360" w:lineRule="auto"/>
        <w:ind w:left="567" w:right="567"/>
        <w:jc w:val="both"/>
        <w:rPr>
          <w:rFonts w:ascii="Palatino Linotype" w:eastAsia="Palatino Linotype" w:hAnsi="Palatino Linotype" w:cs="Palatino Linotype"/>
          <w:i/>
        </w:rPr>
      </w:pPr>
      <w:r w:rsidRPr="003E20A8">
        <w:rPr>
          <w:rFonts w:ascii="Palatino Linotype" w:eastAsia="Palatino Linotype" w:hAnsi="Palatino Linotype" w:cs="Palatino Linotype"/>
          <w:b/>
          <w:i/>
        </w:rPr>
        <w:t>En la aplicación e interpretación de la presente Ley deberá prevalecer el principio de máxima publicidad,</w:t>
      </w:r>
      <w:r w:rsidRPr="003E20A8">
        <w:rPr>
          <w:rFonts w:ascii="Palatino Linotype" w:eastAsia="Palatino Linotype" w:hAnsi="Palatino Linotype" w:cs="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F745F9" w:rsidRPr="003E20A8" w:rsidRDefault="00F745F9" w:rsidP="00E16E35">
      <w:pPr>
        <w:spacing w:after="160" w:line="360" w:lineRule="auto"/>
        <w:ind w:left="567" w:right="567"/>
        <w:jc w:val="both"/>
        <w:rPr>
          <w:rFonts w:ascii="Palatino Linotype" w:eastAsia="Palatino Linotype" w:hAnsi="Palatino Linotype" w:cs="Palatino Linotype"/>
          <w:i/>
        </w:rPr>
      </w:pPr>
    </w:p>
    <w:p w:rsidR="00F745F9" w:rsidRPr="003E20A8" w:rsidRDefault="00B25D7B" w:rsidP="00E16E35">
      <w:pPr>
        <w:spacing w:after="160" w:line="360" w:lineRule="auto"/>
        <w:ind w:left="567" w:right="567"/>
        <w:jc w:val="both"/>
        <w:rPr>
          <w:rFonts w:ascii="Palatino Linotype" w:eastAsia="Palatino Linotype" w:hAnsi="Palatino Linotype" w:cs="Palatino Linotype"/>
          <w:i/>
        </w:rPr>
      </w:pPr>
      <w:r w:rsidRPr="003E20A8">
        <w:rPr>
          <w:rFonts w:ascii="Palatino Linotype" w:eastAsia="Palatino Linotype" w:hAnsi="Palatino Linotype" w:cs="Palatino Linotype"/>
          <w:i/>
        </w:rPr>
        <w:t>Para el caso de la interpretación se podrá tomar en cuenta los criterios, determinaciones y opiniones de los organismos nacionales e internacionales, en materia de transparencia y el derecho de acceso a la información.</w:t>
      </w:r>
    </w:p>
    <w:p w:rsidR="00F745F9" w:rsidRPr="003E20A8" w:rsidRDefault="00B25D7B" w:rsidP="00E16E35">
      <w:pPr>
        <w:spacing w:after="160" w:line="360" w:lineRule="auto"/>
        <w:ind w:left="567" w:right="567"/>
        <w:jc w:val="both"/>
        <w:rPr>
          <w:rFonts w:ascii="Palatino Linotype" w:eastAsia="Palatino Linotype" w:hAnsi="Palatino Linotype" w:cs="Palatino Linotype"/>
          <w:i/>
        </w:rPr>
      </w:pPr>
      <w:r w:rsidRPr="003E20A8">
        <w:rPr>
          <w:rFonts w:ascii="Palatino Linotype" w:eastAsia="Palatino Linotype" w:hAnsi="Palatino Linotype" w:cs="Palatino Linotype"/>
          <w:i/>
        </w:rPr>
        <w:t>(Énfasis añadido)</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numPr>
          <w:ilvl w:val="0"/>
          <w:numId w:val="12"/>
        </w:numPr>
        <w:spacing w:after="160" w:line="360" w:lineRule="auto"/>
        <w:ind w:left="0" w:firstLine="0"/>
        <w:jc w:val="both"/>
        <w:rPr>
          <w:rFonts w:ascii="Palatino Linotype" w:eastAsia="Palatino Linotype" w:hAnsi="Palatino Linotype" w:cs="Palatino Linotype"/>
        </w:rPr>
      </w:pPr>
      <w:r w:rsidRPr="003E20A8">
        <w:rPr>
          <w:rFonts w:ascii="Palatino Linotype" w:eastAsia="Palatino Linotype" w:hAnsi="Palatino Linotype" w:cs="Palatino Linotype"/>
        </w:rPr>
        <w:t>Establecido lo anterior el artículo 7 de la Ley antes citada señala que el estado mexicano garantizará el efectivo acceso a toda persona a la información en su posesión, como se aprecia a continuación:</w:t>
      </w:r>
    </w:p>
    <w:p w:rsidR="00F745F9" w:rsidRPr="003E20A8" w:rsidRDefault="00F745F9" w:rsidP="00E16E35">
      <w:pPr>
        <w:spacing w:after="160" w:line="360" w:lineRule="auto"/>
        <w:jc w:val="both"/>
        <w:rPr>
          <w:rFonts w:ascii="Palatino Linotype" w:eastAsia="Palatino Linotype" w:hAnsi="Palatino Linotype" w:cs="Palatino Linotype"/>
        </w:rPr>
      </w:pPr>
    </w:p>
    <w:p w:rsidR="00F745F9" w:rsidRPr="003E20A8" w:rsidRDefault="00B25D7B" w:rsidP="00E16E35">
      <w:pPr>
        <w:spacing w:before="160" w:line="360" w:lineRule="auto"/>
        <w:ind w:left="540" w:right="738"/>
        <w:jc w:val="both"/>
        <w:rPr>
          <w:rFonts w:ascii="Palatino Linotype" w:eastAsia="Palatino Linotype" w:hAnsi="Palatino Linotype" w:cs="Palatino Linotype"/>
          <w:i/>
        </w:rPr>
      </w:pPr>
      <w:r w:rsidRPr="003E20A8">
        <w:rPr>
          <w:rFonts w:ascii="Palatino Linotype" w:eastAsia="Palatino Linotype" w:hAnsi="Palatino Linotype" w:cs="Palatino Linotype"/>
        </w:rPr>
        <w:lastRenderedPageBreak/>
        <w:t>“</w:t>
      </w:r>
      <w:r w:rsidRPr="003E20A8">
        <w:rPr>
          <w:rFonts w:ascii="Palatino Linotype" w:eastAsia="Palatino Linotype" w:hAnsi="Palatino Linotype" w:cs="Palatino Linotype"/>
          <w:b/>
          <w:i/>
        </w:rPr>
        <w:t>Artículo 7.</w:t>
      </w:r>
      <w:r w:rsidRPr="003E20A8">
        <w:rPr>
          <w:rFonts w:ascii="Palatino Linotype" w:eastAsia="Palatino Linotype" w:hAnsi="Palatino Linotype" w:cs="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numPr>
          <w:ilvl w:val="0"/>
          <w:numId w:val="12"/>
        </w:numPr>
        <w:spacing w:after="160" w:line="360" w:lineRule="auto"/>
        <w:ind w:left="0" w:firstLine="0"/>
        <w:jc w:val="both"/>
        <w:rPr>
          <w:rFonts w:ascii="Palatino Linotype" w:eastAsia="Palatino Linotype" w:hAnsi="Palatino Linotype" w:cs="Palatino Linotype"/>
        </w:rPr>
      </w:pPr>
      <w:r w:rsidRPr="003E20A8">
        <w:rPr>
          <w:rFonts w:ascii="Palatino Linotype" w:eastAsia="Palatino Linotype" w:hAnsi="Palatino Linotype" w:cs="Palatino Linotype"/>
        </w:rPr>
        <w:t>Además, Ley de Transparencia y Acceso a la Información Pública del Estado de México y Municipios, prevé en su artículo 23 fracción IV que son Sujetos Obligados a Transparentar y permitir el acceso a su información y proteger los datos que obren en su poder:</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spacing w:line="360" w:lineRule="auto"/>
        <w:ind w:left="426" w:right="616"/>
        <w:jc w:val="both"/>
        <w:rPr>
          <w:rFonts w:ascii="Palatino Linotype" w:eastAsia="Palatino Linotype" w:hAnsi="Palatino Linotype" w:cs="Palatino Linotype"/>
          <w:i/>
        </w:rPr>
      </w:pPr>
      <w:r w:rsidRPr="003E20A8">
        <w:rPr>
          <w:rFonts w:ascii="Palatino Linotype" w:eastAsia="Palatino Linotype" w:hAnsi="Palatino Linotype" w:cs="Palatino Linotype"/>
          <w:b/>
          <w:i/>
        </w:rPr>
        <w:t>“Artículo 23.</w:t>
      </w:r>
      <w:r w:rsidRPr="003E20A8">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spacing w:line="360" w:lineRule="auto"/>
        <w:ind w:left="567" w:right="616"/>
        <w:jc w:val="both"/>
        <w:rPr>
          <w:rFonts w:ascii="Palatino Linotype" w:eastAsia="Palatino Linotype" w:hAnsi="Palatino Linotype" w:cs="Palatino Linotype"/>
        </w:rPr>
      </w:pPr>
      <w:r w:rsidRPr="003E20A8">
        <w:rPr>
          <w:rFonts w:ascii="Palatino Linotype" w:eastAsia="Palatino Linotype" w:hAnsi="Palatino Linotype" w:cs="Palatino Linotype"/>
        </w:rPr>
        <w:t>(…)</w:t>
      </w:r>
    </w:p>
    <w:p w:rsidR="00F745F9" w:rsidRPr="003E20A8" w:rsidRDefault="00B25D7B" w:rsidP="00E16E35">
      <w:pPr>
        <w:numPr>
          <w:ilvl w:val="0"/>
          <w:numId w:val="1"/>
        </w:numPr>
        <w:spacing w:line="360" w:lineRule="auto"/>
        <w:ind w:right="616"/>
        <w:jc w:val="both"/>
        <w:rPr>
          <w:rFonts w:ascii="Palatino Linotype" w:eastAsia="Palatino Linotype" w:hAnsi="Palatino Linotype" w:cs="Palatino Linotype"/>
          <w:b/>
          <w:i/>
        </w:rPr>
      </w:pPr>
      <w:r w:rsidRPr="003E20A8">
        <w:rPr>
          <w:rFonts w:ascii="Palatino Linotype" w:eastAsia="Palatino Linotype" w:hAnsi="Palatino Linotype" w:cs="Palatino Linotype"/>
          <w:b/>
          <w:i/>
        </w:rPr>
        <w:t>Los ayuntamientos y las dependencias, organismos, órganos y entidades de la administración municipal;"</w:t>
      </w:r>
    </w:p>
    <w:p w:rsidR="00F745F9" w:rsidRPr="003E20A8" w:rsidRDefault="00B25D7B" w:rsidP="00E16E35">
      <w:pPr>
        <w:tabs>
          <w:tab w:val="left" w:pos="851"/>
        </w:tabs>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w:t>
      </w:r>
    </w:p>
    <w:p w:rsidR="00F745F9" w:rsidRPr="003E20A8" w:rsidRDefault="00F745F9" w:rsidP="00E16E35">
      <w:pPr>
        <w:tabs>
          <w:tab w:val="left" w:pos="851"/>
        </w:tabs>
        <w:spacing w:line="360" w:lineRule="auto"/>
        <w:ind w:left="567" w:right="616"/>
        <w:jc w:val="both"/>
        <w:rPr>
          <w:rFonts w:ascii="Palatino Linotype" w:eastAsia="Palatino Linotype" w:hAnsi="Palatino Linotype" w:cs="Palatino Linotype"/>
          <w:i/>
        </w:rPr>
      </w:pPr>
    </w:p>
    <w:p w:rsidR="00F745F9" w:rsidRPr="003E20A8" w:rsidRDefault="00B25D7B" w:rsidP="00E16E35">
      <w:pPr>
        <w:numPr>
          <w:ilvl w:val="0"/>
          <w:numId w:val="12"/>
        </w:numPr>
        <w:pBdr>
          <w:top w:val="nil"/>
          <w:left w:val="nil"/>
          <w:bottom w:val="nil"/>
          <w:right w:val="nil"/>
          <w:between w:val="nil"/>
        </w:pBdr>
        <w:spacing w:after="160" w:line="360" w:lineRule="auto"/>
        <w:ind w:left="0" w:firstLine="0"/>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color w:val="000000"/>
        </w:rPr>
        <w:t xml:space="preserve">Al tenor de lo anterior, es oportuno establecer que la fracciones </w:t>
      </w:r>
      <w:r w:rsidR="00FB0B4D" w:rsidRPr="003E20A8">
        <w:rPr>
          <w:rFonts w:ascii="Palatino Linotype" w:eastAsia="Palatino Linotype" w:hAnsi="Palatino Linotype" w:cs="Palatino Linotype"/>
          <w:color w:val="000000"/>
        </w:rPr>
        <w:t>XX</w:t>
      </w:r>
      <w:r w:rsidR="0022574D" w:rsidRPr="003E20A8">
        <w:rPr>
          <w:rFonts w:ascii="Palatino Linotype" w:eastAsia="Palatino Linotype" w:hAnsi="Palatino Linotype" w:cs="Palatino Linotype"/>
          <w:color w:val="000000"/>
        </w:rPr>
        <w:t>I</w:t>
      </w:r>
      <w:r w:rsidR="00FB0B4D" w:rsidRPr="003E20A8">
        <w:rPr>
          <w:rFonts w:ascii="Palatino Linotype" w:eastAsia="Palatino Linotype" w:hAnsi="Palatino Linotype" w:cs="Palatino Linotype"/>
          <w:color w:val="000000"/>
        </w:rPr>
        <w:t>V, XX</w:t>
      </w:r>
      <w:r w:rsidR="0022574D" w:rsidRPr="003E20A8">
        <w:rPr>
          <w:rFonts w:ascii="Palatino Linotype" w:eastAsia="Palatino Linotype" w:hAnsi="Palatino Linotype" w:cs="Palatino Linotype"/>
          <w:color w:val="000000"/>
        </w:rPr>
        <w:t>X</w:t>
      </w:r>
      <w:r w:rsidR="00FB0B4D" w:rsidRPr="003E20A8">
        <w:rPr>
          <w:rFonts w:ascii="Palatino Linotype" w:eastAsia="Palatino Linotype" w:hAnsi="Palatino Linotype" w:cs="Palatino Linotype"/>
          <w:color w:val="000000"/>
        </w:rPr>
        <w:t xml:space="preserve">III,  </w:t>
      </w:r>
      <w:r w:rsidR="0022574D" w:rsidRPr="003E20A8">
        <w:rPr>
          <w:rFonts w:ascii="Palatino Linotype" w:eastAsia="Palatino Linotype" w:hAnsi="Palatino Linotype" w:cs="Palatino Linotype"/>
          <w:color w:val="000000"/>
        </w:rPr>
        <w:t xml:space="preserve">XXXIV y </w:t>
      </w:r>
      <w:r w:rsidR="00FB0B4D" w:rsidRPr="003E20A8">
        <w:rPr>
          <w:rFonts w:ascii="Palatino Linotype" w:eastAsia="Palatino Linotype" w:hAnsi="Palatino Linotype" w:cs="Palatino Linotype"/>
          <w:color w:val="000000"/>
        </w:rPr>
        <w:t>L</w:t>
      </w:r>
      <w:r w:rsidR="0022574D" w:rsidRPr="003E20A8">
        <w:rPr>
          <w:rFonts w:ascii="Palatino Linotype" w:eastAsia="Palatino Linotype" w:hAnsi="Palatino Linotype" w:cs="Palatino Linotype"/>
          <w:color w:val="000000"/>
        </w:rPr>
        <w:t xml:space="preserve">II </w:t>
      </w:r>
      <w:r w:rsidRPr="003E20A8">
        <w:rPr>
          <w:rFonts w:ascii="Palatino Linotype" w:eastAsia="Palatino Linotype" w:hAnsi="Palatino Linotype" w:cs="Palatino Linotype"/>
          <w:color w:val="000000"/>
        </w:rPr>
        <w:t>del artículo 92 de la Ley de Transparencia y Acceso a la Información del Estado de México y Municipios, establece</w:t>
      </w:r>
      <w:r w:rsidR="002A5015" w:rsidRPr="003E20A8">
        <w:rPr>
          <w:rFonts w:ascii="Palatino Linotype" w:eastAsia="Palatino Linotype" w:hAnsi="Palatino Linotype" w:cs="Palatino Linotype"/>
          <w:color w:val="000000"/>
        </w:rPr>
        <w:t>n</w:t>
      </w:r>
      <w:r w:rsidRPr="003E20A8">
        <w:rPr>
          <w:rFonts w:ascii="Palatino Linotype" w:eastAsia="Palatino Linotype" w:hAnsi="Palatino Linotype" w:cs="Palatino Linotype"/>
          <w:color w:val="000000"/>
        </w:rPr>
        <w:t xml:space="preserve"> que resulta información accesi</w:t>
      </w:r>
      <w:r w:rsidR="002A5015" w:rsidRPr="003E20A8">
        <w:rPr>
          <w:rFonts w:ascii="Palatino Linotype" w:eastAsia="Palatino Linotype" w:hAnsi="Palatino Linotype" w:cs="Palatino Linotype"/>
          <w:color w:val="000000"/>
        </w:rPr>
        <w:t xml:space="preserve">ble la </w:t>
      </w:r>
      <w:r w:rsidR="002A5015" w:rsidRPr="003E20A8">
        <w:rPr>
          <w:rFonts w:ascii="Palatino Linotype" w:eastAsia="Palatino Linotype" w:hAnsi="Palatino Linotype" w:cs="Palatino Linotype"/>
          <w:color w:val="000000"/>
        </w:rPr>
        <w:lastRenderedPageBreak/>
        <w:t>información relativa a lo</w:t>
      </w:r>
      <w:r w:rsidRPr="003E20A8">
        <w:rPr>
          <w:rFonts w:ascii="Palatino Linotype" w:eastAsia="Palatino Linotype" w:hAnsi="Palatino Linotype" w:cs="Palatino Linotype"/>
          <w:color w:val="000000"/>
        </w:rPr>
        <w:t>s</w:t>
      </w:r>
      <w:r w:rsidR="00532CD0" w:rsidRPr="003E20A8">
        <w:rPr>
          <w:rFonts w:ascii="Palatino Linotype" w:eastAsia="Palatino Linotype" w:hAnsi="Palatino Linotype" w:cs="Palatino Linotype"/>
          <w:color w:val="000000"/>
        </w:rPr>
        <w:t xml:space="preserve"> </w:t>
      </w:r>
      <w:r w:rsidR="0022574D" w:rsidRPr="003E20A8">
        <w:rPr>
          <w:rFonts w:ascii="Palatino Linotype" w:eastAsia="Palatino Linotype" w:hAnsi="Palatino Linotype" w:cs="Palatino Linotype"/>
          <w:color w:val="000000"/>
        </w:rPr>
        <w:t xml:space="preserve">tramites, </w:t>
      </w:r>
      <w:r w:rsidR="00532CD0" w:rsidRPr="003E20A8">
        <w:rPr>
          <w:rFonts w:ascii="Palatino Linotype" w:eastAsia="Palatino Linotype" w:hAnsi="Palatino Linotype" w:cs="Palatino Linotype"/>
          <w:color w:val="000000"/>
        </w:rPr>
        <w:t>informes</w:t>
      </w:r>
      <w:r w:rsidR="002A5015" w:rsidRPr="003E20A8">
        <w:rPr>
          <w:rFonts w:ascii="Palatino Linotype" w:eastAsia="Palatino Linotype" w:hAnsi="Palatino Linotype" w:cs="Palatino Linotype"/>
          <w:color w:val="000000"/>
        </w:rPr>
        <w:t xml:space="preserve"> o estadística</w:t>
      </w:r>
      <w:r w:rsidRPr="003E20A8">
        <w:rPr>
          <w:rFonts w:ascii="Palatino Linotype" w:eastAsia="Palatino Linotype" w:hAnsi="Palatino Linotype" w:cs="Palatino Linotype"/>
          <w:color w:val="000000"/>
        </w:rPr>
        <w:t xml:space="preserve">, como a continuación se observa: </w:t>
      </w:r>
    </w:p>
    <w:p w:rsidR="00F745F9" w:rsidRPr="003E20A8" w:rsidRDefault="00F745F9" w:rsidP="00E16E35">
      <w:pPr>
        <w:spacing w:line="360" w:lineRule="auto"/>
        <w:jc w:val="both"/>
        <w:rPr>
          <w:rFonts w:ascii="Palatino Linotype" w:eastAsia="Palatino Linotype" w:hAnsi="Palatino Linotype" w:cs="Palatino Linotype"/>
        </w:rPr>
      </w:pPr>
    </w:p>
    <w:p w:rsidR="00F745F9" w:rsidRPr="003E20A8" w:rsidRDefault="00B25D7B"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w:t>
      </w:r>
      <w:r w:rsidRPr="003E20A8">
        <w:rPr>
          <w:rFonts w:ascii="Palatino Linotype" w:eastAsia="Palatino Linotype" w:hAnsi="Palatino Linotype" w:cs="Palatino Linotype"/>
          <w:b/>
          <w:i/>
        </w:rPr>
        <w:t>Artículo 92.</w:t>
      </w:r>
      <w:r w:rsidRPr="003E20A8">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745F9" w:rsidRPr="003E20A8" w:rsidRDefault="00F745F9" w:rsidP="00E16E35">
      <w:pPr>
        <w:spacing w:line="360" w:lineRule="auto"/>
        <w:ind w:left="567" w:right="616"/>
        <w:jc w:val="both"/>
        <w:rPr>
          <w:rFonts w:ascii="Palatino Linotype" w:eastAsia="Palatino Linotype" w:hAnsi="Palatino Linotype" w:cs="Palatino Linotype"/>
          <w:i/>
        </w:rPr>
      </w:pPr>
    </w:p>
    <w:p w:rsidR="0055399D" w:rsidRPr="003E20A8" w:rsidRDefault="00B25D7B"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w:t>
      </w:r>
    </w:p>
    <w:p w:rsidR="00CB7DF0" w:rsidRPr="003E20A8" w:rsidRDefault="00CB7DF0"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XXIV. Los trámites, requisitos y formatos que ofrecen, así como los tiempos de respuesta;</w:t>
      </w:r>
    </w:p>
    <w:p w:rsidR="00532CD0" w:rsidRPr="003E20A8" w:rsidRDefault="00B25D7B" w:rsidP="00E16E35">
      <w:pPr>
        <w:spacing w:line="360" w:lineRule="auto"/>
        <w:ind w:left="540"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w:t>
      </w:r>
    </w:p>
    <w:p w:rsidR="00F745F9" w:rsidRPr="003E20A8" w:rsidRDefault="00532CD0"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XXXIII. Los informes que por disposición legal generen los sujetos obligados</w:t>
      </w:r>
      <w:r w:rsidR="0055399D" w:rsidRPr="003E20A8">
        <w:rPr>
          <w:rFonts w:ascii="Palatino Linotype" w:eastAsia="Palatino Linotype" w:hAnsi="Palatino Linotype" w:cs="Palatino Linotype"/>
          <w:i/>
        </w:rPr>
        <w:t>;</w:t>
      </w:r>
    </w:p>
    <w:p w:rsidR="0055399D" w:rsidRPr="003E20A8" w:rsidRDefault="0055399D"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w:t>
      </w:r>
    </w:p>
    <w:p w:rsidR="00CB7DF0" w:rsidRPr="003E20A8" w:rsidRDefault="00CB7DF0" w:rsidP="00E16E35">
      <w:pPr>
        <w:spacing w:line="360" w:lineRule="auto"/>
        <w:ind w:left="567" w:right="616"/>
        <w:jc w:val="both"/>
        <w:rPr>
          <w:rFonts w:ascii="Palatino Linotype" w:eastAsia="Palatino Linotype" w:hAnsi="Palatino Linotype" w:cs="Palatino Linotype"/>
          <w:i/>
        </w:rPr>
      </w:pPr>
    </w:p>
    <w:p w:rsidR="00CB7DF0" w:rsidRPr="003E20A8" w:rsidRDefault="00CB7DF0"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XXXIV. Las estadísticas que generen en cumplimiento de sus facultades, competencias o funciones con la mayor desagregación posible;</w:t>
      </w:r>
    </w:p>
    <w:p w:rsidR="00CB7DF0" w:rsidRPr="003E20A8" w:rsidRDefault="00CB7DF0" w:rsidP="00E16E35">
      <w:pPr>
        <w:spacing w:line="360" w:lineRule="auto"/>
        <w:ind w:left="567" w:right="616"/>
        <w:jc w:val="both"/>
        <w:rPr>
          <w:rFonts w:ascii="Palatino Linotype" w:eastAsia="Palatino Linotype" w:hAnsi="Palatino Linotype" w:cs="Palatino Linotype"/>
          <w:i/>
        </w:rPr>
      </w:pPr>
    </w:p>
    <w:p w:rsidR="00CB7DF0" w:rsidRPr="003E20A8" w:rsidRDefault="00CB7DF0"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w:t>
      </w:r>
    </w:p>
    <w:p w:rsidR="00532CD0" w:rsidRPr="003E20A8" w:rsidRDefault="00CB7DF0"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LII. Cualquier otra información que sea de utilidad o se considere relevante, además de la que, con base en la información estadística, responda a las preguntas hechas con más frecuencia por el público.</w:t>
      </w:r>
    </w:p>
    <w:p w:rsidR="00532CD0" w:rsidRPr="003E20A8" w:rsidRDefault="00532CD0" w:rsidP="00E16E35">
      <w:pPr>
        <w:spacing w:line="360" w:lineRule="auto"/>
        <w:ind w:right="616"/>
        <w:jc w:val="both"/>
        <w:rPr>
          <w:rFonts w:ascii="Palatino Linotype" w:eastAsia="Palatino Linotype" w:hAnsi="Palatino Linotype" w:cs="Palatino Linotype"/>
          <w:i/>
        </w:rPr>
      </w:pPr>
    </w:p>
    <w:p w:rsidR="0055399D" w:rsidRPr="003E20A8" w:rsidRDefault="00532CD0"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lastRenderedPageBreak/>
        <w:t xml:space="preserve"> </w:t>
      </w:r>
      <w:r w:rsidR="00B25D7B" w:rsidRPr="003E20A8">
        <w:rPr>
          <w:rFonts w:ascii="Palatino Linotype" w:eastAsia="Palatino Linotype" w:hAnsi="Palatino Linotype" w:cs="Palatino Linotype"/>
          <w:i/>
        </w:rPr>
        <w:t>(…)</w:t>
      </w:r>
    </w:p>
    <w:p w:rsidR="00F745F9" w:rsidRPr="003E20A8" w:rsidRDefault="00B25D7B" w:rsidP="00E16E35">
      <w:pPr>
        <w:spacing w:line="360" w:lineRule="auto"/>
        <w:ind w:left="567" w:right="616"/>
        <w:jc w:val="both"/>
        <w:rPr>
          <w:rFonts w:ascii="Palatino Linotype" w:eastAsia="Palatino Linotype" w:hAnsi="Palatino Linotype" w:cs="Palatino Linotype"/>
          <w:i/>
        </w:rPr>
      </w:pPr>
      <w:r w:rsidRPr="003E20A8">
        <w:rPr>
          <w:rFonts w:ascii="Palatino Linotype" w:eastAsia="Palatino Linotype" w:hAnsi="Palatino Linotype" w:cs="Palatino Linotype"/>
          <w:i/>
        </w:rPr>
        <w:t xml:space="preserve">(Énfasis añadido) </w:t>
      </w:r>
    </w:p>
    <w:p w:rsidR="00F745F9" w:rsidRPr="003E20A8" w:rsidRDefault="00F745F9" w:rsidP="00E16E35">
      <w:pPr>
        <w:spacing w:line="360" w:lineRule="auto"/>
        <w:rPr>
          <w:rFonts w:ascii="Palatino Linotype" w:eastAsia="Palatino Linotype" w:hAnsi="Palatino Linotype" w:cs="Palatino Linotype"/>
        </w:rPr>
      </w:pPr>
    </w:p>
    <w:p w:rsidR="00A102D7" w:rsidRPr="003E20A8" w:rsidRDefault="00B25D7B" w:rsidP="00E16E35">
      <w:pPr>
        <w:numPr>
          <w:ilvl w:val="0"/>
          <w:numId w:val="12"/>
        </w:numPr>
        <w:tabs>
          <w:tab w:val="left" w:pos="0"/>
        </w:tabs>
        <w:spacing w:line="360" w:lineRule="auto"/>
        <w:ind w:left="0" w:right="49" w:firstLine="0"/>
        <w:jc w:val="both"/>
        <w:rPr>
          <w:rFonts w:ascii="Palatino Linotype" w:hAnsi="Palatino Linotype" w:cs="Arial"/>
          <w:color w:val="000000" w:themeColor="text1"/>
          <w:lang w:val="es-ES_tradnl" w:eastAsia="es-ES"/>
        </w:rPr>
      </w:pPr>
      <w:r w:rsidRPr="003E20A8">
        <w:rPr>
          <w:rFonts w:ascii="Palatino Linotype" w:eastAsia="Palatino Linotype" w:hAnsi="Palatino Linotype" w:cs="Palatino Linotype"/>
        </w:rPr>
        <w:t>Demostrada la procedencia del acceso en términos de l</w:t>
      </w:r>
      <w:r w:rsidR="00C866E2" w:rsidRPr="003E20A8">
        <w:rPr>
          <w:rFonts w:ascii="Palatino Linotype" w:eastAsia="Palatino Linotype" w:hAnsi="Palatino Linotype" w:cs="Palatino Linotype"/>
        </w:rPr>
        <w:t xml:space="preserve">a Ley </w:t>
      </w:r>
      <w:r w:rsidRPr="003E20A8">
        <w:rPr>
          <w:rFonts w:ascii="Palatino Linotype" w:eastAsia="Palatino Linotype" w:hAnsi="Palatino Linotype" w:cs="Palatino Linotype"/>
        </w:rPr>
        <w:t>de Transparencia Estatal,</w:t>
      </w:r>
      <w:r w:rsidR="00FB0B4D" w:rsidRPr="003E20A8">
        <w:rPr>
          <w:rFonts w:ascii="Palatino Linotype" w:eastAsia="Palatino Linotype" w:hAnsi="Palatino Linotype" w:cs="Palatino Linotype"/>
        </w:rPr>
        <w:t xml:space="preserve"> y en un primer acercamiento</w:t>
      </w:r>
      <w:r w:rsidR="002A5015" w:rsidRPr="003E20A8">
        <w:rPr>
          <w:rFonts w:ascii="Palatino Linotype" w:eastAsia="Palatino Linotype" w:hAnsi="Palatino Linotype" w:cs="Palatino Linotype"/>
        </w:rPr>
        <w:t xml:space="preserve"> al estudio de la controversia</w:t>
      </w:r>
      <w:r w:rsidR="00FB0B4D" w:rsidRPr="003E20A8">
        <w:rPr>
          <w:rFonts w:ascii="Palatino Linotype" w:eastAsia="Palatino Linotype" w:hAnsi="Palatino Linotype" w:cs="Palatino Linotype"/>
        </w:rPr>
        <w:t xml:space="preserve">, es necesario señalar que </w:t>
      </w:r>
      <w:r w:rsidR="002A5015" w:rsidRPr="003E20A8">
        <w:rPr>
          <w:rFonts w:ascii="Palatino Linotype" w:eastAsia="Palatino Linotype" w:hAnsi="Palatino Linotype" w:cs="Palatino Linotype"/>
        </w:rPr>
        <w:t xml:space="preserve">el particular requirió información sobre los “cobros a detalle” realizados en las distintas oficialías del registro civil, </w:t>
      </w:r>
      <w:r w:rsidR="00A102D7" w:rsidRPr="003E20A8">
        <w:rPr>
          <w:rFonts w:ascii="Palatino Linotype" w:eastAsia="Palatino Linotype" w:hAnsi="Palatino Linotype" w:cs="Palatino Linotype"/>
        </w:rPr>
        <w:t>por lo que resulta oportuno señalar lo que estable el</w:t>
      </w:r>
      <w:r w:rsidR="00072275" w:rsidRPr="003E20A8">
        <w:rPr>
          <w:rFonts w:ascii="Palatino Linotype" w:eastAsia="Palatino Linotype" w:hAnsi="Palatino Linotype" w:cs="Palatino Linotype"/>
        </w:rPr>
        <w:t xml:space="preserve"> Bando Municipal del Ayuntamiento de Ixtapaluca  en su diverso 106, en relación con el artículo 142</w:t>
      </w:r>
      <w:r w:rsidR="00072275" w:rsidRPr="003E20A8">
        <w:rPr>
          <w:rStyle w:val="Refdenotaalpie"/>
          <w:rFonts w:ascii="Palatino Linotype" w:eastAsia="Palatino Linotype" w:hAnsi="Palatino Linotype" w:cs="Palatino Linotype"/>
        </w:rPr>
        <w:footnoteReference w:id="7"/>
      </w:r>
      <w:r w:rsidR="00A102D7" w:rsidRPr="003E20A8">
        <w:rPr>
          <w:rFonts w:ascii="Palatino Linotype" w:eastAsia="Palatino Linotype" w:hAnsi="Palatino Linotype" w:cs="Palatino Linotype"/>
        </w:rPr>
        <w:t xml:space="preserve"> </w:t>
      </w:r>
      <w:r w:rsidR="00072275" w:rsidRPr="003E20A8">
        <w:rPr>
          <w:rFonts w:ascii="Palatino Linotype" w:eastAsia="Palatino Linotype" w:hAnsi="Palatino Linotype" w:cs="Palatino Linotype"/>
        </w:rPr>
        <w:t xml:space="preserve">del </w:t>
      </w:r>
      <w:r w:rsidR="00A102D7" w:rsidRPr="003E20A8">
        <w:rPr>
          <w:rFonts w:ascii="Palatino Linotype" w:eastAsia="Palatino Linotype" w:hAnsi="Palatino Linotype" w:cs="Palatino Linotype"/>
        </w:rPr>
        <w:t>Código Financiero del Estado de México</w:t>
      </w:r>
      <w:r w:rsidR="00072275" w:rsidRPr="003E20A8">
        <w:rPr>
          <w:rFonts w:ascii="Palatino Linotype" w:eastAsia="Palatino Linotype" w:hAnsi="Palatino Linotype" w:cs="Palatino Linotype"/>
        </w:rPr>
        <w:t xml:space="preserve">, </w:t>
      </w:r>
      <w:r w:rsidR="00DC6EDE" w:rsidRPr="003E20A8">
        <w:rPr>
          <w:rFonts w:ascii="Palatino Linotype" w:eastAsia="Palatino Linotype" w:hAnsi="Palatino Linotype" w:cs="Palatino Linotype"/>
        </w:rPr>
        <w:t xml:space="preserve">con el como a continuación se observa: </w:t>
      </w:r>
    </w:p>
    <w:p w:rsidR="00072275" w:rsidRPr="003E20A8" w:rsidRDefault="00072275" w:rsidP="00072275">
      <w:pPr>
        <w:tabs>
          <w:tab w:val="left" w:pos="0"/>
        </w:tabs>
        <w:spacing w:line="360" w:lineRule="auto"/>
        <w:ind w:right="49"/>
        <w:jc w:val="both"/>
        <w:rPr>
          <w:rFonts w:ascii="Palatino Linotype" w:hAnsi="Palatino Linotype" w:cs="Arial"/>
          <w:color w:val="000000" w:themeColor="text1"/>
          <w:lang w:val="es-ES_tradnl" w:eastAsia="es-ES"/>
        </w:rPr>
      </w:pP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w:t>
      </w:r>
      <w:r w:rsidRPr="003E20A8">
        <w:rPr>
          <w:rFonts w:ascii="Palatino Linotype" w:hAnsi="Palatino Linotype"/>
          <w:b/>
          <w:i/>
        </w:rPr>
        <w:t>ARTÍCULO 106.-</w:t>
      </w:r>
      <w:r w:rsidRPr="003E20A8">
        <w:rPr>
          <w:rFonts w:ascii="Palatino Linotype" w:hAnsi="Palatino Linotype"/>
          <w:i/>
        </w:rPr>
        <w:t xml:space="preserve"> El Ayuntamiento tendrá a su cargo la prestación, </w:t>
      </w:r>
      <w:r w:rsidRPr="003E20A8">
        <w:rPr>
          <w:rFonts w:ascii="Palatino Linotype" w:hAnsi="Palatino Linotype"/>
          <w:b/>
          <w:i/>
        </w:rPr>
        <w:t>explotación,</w:t>
      </w:r>
      <w:r w:rsidRPr="003E20A8">
        <w:rPr>
          <w:rFonts w:ascii="Palatino Linotype" w:hAnsi="Palatino Linotype"/>
          <w:i/>
        </w:rPr>
        <w:t xml:space="preserve"> </w:t>
      </w:r>
      <w:r w:rsidRPr="003E20A8">
        <w:rPr>
          <w:rFonts w:ascii="Palatino Linotype" w:hAnsi="Palatino Linotype"/>
          <w:b/>
          <w:i/>
        </w:rPr>
        <w:t>administración y conservación</w:t>
      </w:r>
      <w:r w:rsidRPr="003E20A8">
        <w:rPr>
          <w:rFonts w:ascii="Palatino Linotype" w:hAnsi="Palatino Linotype"/>
          <w:i/>
        </w:rPr>
        <w:t xml:space="preserve"> de los servicios públicos municipales, considerándose enunciativa y no limitativamente los siguientes:</w:t>
      </w:r>
    </w:p>
    <w:p w:rsidR="00072275" w:rsidRPr="003E20A8" w:rsidRDefault="00072275" w:rsidP="00072275">
      <w:pPr>
        <w:tabs>
          <w:tab w:val="left" w:pos="567"/>
        </w:tabs>
        <w:spacing w:line="360" w:lineRule="auto"/>
        <w:ind w:left="567" w:right="616"/>
        <w:jc w:val="both"/>
        <w:rPr>
          <w:rFonts w:ascii="Palatino Linotype" w:hAnsi="Palatino Linotype"/>
          <w:i/>
        </w:rPr>
      </w:pP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 I. Agua potable, drenaje, alcantarillado, saneamiento y aguas residuales;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II. Alumbrado público;</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III. Limpia, recolección, traslado, tratamiento y disposición final de residuos sólidos;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IV. Mercados;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V.  Panteones;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VI. Rastros;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lastRenderedPageBreak/>
        <w:t xml:space="preserve">VII. Calles, parques, jardines, áreas verdes y recreativas;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VIII. Seguridad pública;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IX. Protección civil y bomberos;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X. Embellecimiento y conservación de los poblados, centros urbanos o rurales y obras de interés social;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XI. Asistencia social en el ámbito de su competencia, y atención para el desarrollo integral de la mujer;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XII. Fomento al empleo;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XIII. Fomento a la cultura, </w:t>
      </w:r>
    </w:p>
    <w:p w:rsidR="00072275" w:rsidRPr="003E20A8" w:rsidRDefault="00072275" w:rsidP="00072275">
      <w:pPr>
        <w:tabs>
          <w:tab w:val="left" w:pos="567"/>
        </w:tabs>
        <w:spacing w:line="360" w:lineRule="auto"/>
        <w:ind w:left="567" w:right="616"/>
        <w:jc w:val="both"/>
        <w:rPr>
          <w:rFonts w:ascii="Palatino Linotype" w:hAnsi="Palatino Linotype"/>
          <w:b/>
          <w:i/>
        </w:rPr>
      </w:pPr>
      <w:r w:rsidRPr="003E20A8">
        <w:rPr>
          <w:rFonts w:ascii="Palatino Linotype" w:hAnsi="Palatino Linotype"/>
          <w:b/>
          <w:i/>
        </w:rPr>
        <w:t xml:space="preserve">XIV. Registro civil; </w:t>
      </w:r>
    </w:p>
    <w:p w:rsidR="00072275"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 xml:space="preserve">XV. Control de mascotas en situación de calle; y </w:t>
      </w:r>
    </w:p>
    <w:p w:rsidR="00A102D7" w:rsidRPr="003E20A8" w:rsidRDefault="00072275" w:rsidP="00072275">
      <w:pPr>
        <w:tabs>
          <w:tab w:val="left" w:pos="567"/>
        </w:tabs>
        <w:spacing w:line="360" w:lineRule="auto"/>
        <w:ind w:left="567" w:right="616"/>
        <w:jc w:val="both"/>
        <w:rPr>
          <w:rFonts w:ascii="Palatino Linotype" w:hAnsi="Palatino Linotype"/>
          <w:i/>
        </w:rPr>
      </w:pPr>
      <w:r w:rsidRPr="003E20A8">
        <w:rPr>
          <w:rFonts w:ascii="Palatino Linotype" w:hAnsi="Palatino Linotype"/>
          <w:i/>
        </w:rPr>
        <w:t>XVI. Otros que determine el Ayuntamiento por ser necesarios y de beneficio colectivo.” (Sic)</w:t>
      </w:r>
    </w:p>
    <w:p w:rsidR="00072275" w:rsidRPr="003E20A8" w:rsidRDefault="00072275" w:rsidP="00072275">
      <w:pPr>
        <w:tabs>
          <w:tab w:val="left" w:pos="567"/>
        </w:tabs>
        <w:spacing w:line="360" w:lineRule="auto"/>
        <w:ind w:left="567" w:right="616"/>
        <w:jc w:val="both"/>
        <w:rPr>
          <w:rFonts w:ascii="Palatino Linotype" w:hAnsi="Palatino Linotype"/>
          <w:i/>
        </w:rPr>
      </w:pPr>
    </w:p>
    <w:p w:rsidR="00072275" w:rsidRPr="003E20A8" w:rsidRDefault="00072275" w:rsidP="00072275">
      <w:pPr>
        <w:tabs>
          <w:tab w:val="left" w:pos="567"/>
        </w:tabs>
        <w:spacing w:line="360" w:lineRule="auto"/>
        <w:ind w:left="567" w:right="616"/>
        <w:jc w:val="both"/>
        <w:rPr>
          <w:rFonts w:ascii="Palatino Linotype" w:hAnsi="Palatino Linotype" w:cs="Arial"/>
          <w:i/>
          <w:color w:val="000000" w:themeColor="text1"/>
          <w:lang w:val="es-ES_tradnl" w:eastAsia="es-ES"/>
        </w:rPr>
      </w:pPr>
      <w:r w:rsidRPr="003E20A8">
        <w:rPr>
          <w:rFonts w:ascii="Palatino Linotype" w:hAnsi="Palatino Linotype"/>
          <w:i/>
        </w:rPr>
        <w:t>(Énfasis añadido)</w:t>
      </w:r>
    </w:p>
    <w:p w:rsidR="00072275" w:rsidRPr="003E20A8" w:rsidRDefault="00072275" w:rsidP="00072275">
      <w:pPr>
        <w:tabs>
          <w:tab w:val="left" w:pos="0"/>
        </w:tabs>
        <w:spacing w:line="360" w:lineRule="auto"/>
        <w:ind w:right="49"/>
        <w:jc w:val="both"/>
        <w:rPr>
          <w:rFonts w:ascii="Palatino Linotype" w:hAnsi="Palatino Linotype" w:cs="Arial"/>
          <w:color w:val="000000" w:themeColor="text1"/>
          <w:lang w:val="es-ES_tradnl" w:eastAsia="es-ES"/>
        </w:rPr>
      </w:pPr>
    </w:p>
    <w:p w:rsidR="00E16E35" w:rsidRPr="003E20A8" w:rsidRDefault="00A102D7" w:rsidP="00072275">
      <w:pPr>
        <w:numPr>
          <w:ilvl w:val="0"/>
          <w:numId w:val="12"/>
        </w:numPr>
        <w:tabs>
          <w:tab w:val="left" w:pos="0"/>
        </w:tabs>
        <w:spacing w:line="360" w:lineRule="auto"/>
        <w:ind w:left="0" w:right="49" w:firstLine="0"/>
        <w:jc w:val="both"/>
        <w:rPr>
          <w:rFonts w:ascii="Palatino Linotype" w:hAnsi="Palatino Linotype" w:cs="Arial"/>
          <w:color w:val="000000" w:themeColor="text1"/>
          <w:lang w:val="es-ES_tradnl" w:eastAsia="es-ES"/>
        </w:rPr>
      </w:pPr>
      <w:r w:rsidRPr="003E20A8">
        <w:rPr>
          <w:rFonts w:ascii="Palatino Linotype" w:eastAsia="Palatino Linotype" w:hAnsi="Palatino Linotype" w:cs="Palatino Linotype"/>
        </w:rPr>
        <w:t>A</w:t>
      </w:r>
      <w:r w:rsidR="00072275" w:rsidRPr="003E20A8">
        <w:rPr>
          <w:rFonts w:ascii="Palatino Linotype" w:eastAsia="Palatino Linotype" w:hAnsi="Palatino Linotype" w:cs="Palatino Linotype"/>
        </w:rPr>
        <w:t xml:space="preserve">puntado lo anterior, es posible determinar que el Ayuntamiento de Ixtapaluca cuenta con facultades para “explotar” los servicios de registro civil, sin embargo, </w:t>
      </w:r>
      <w:r w:rsidRPr="003E20A8">
        <w:rPr>
          <w:rFonts w:ascii="Palatino Linotype" w:eastAsia="Palatino Linotype" w:hAnsi="Palatino Linotype" w:cs="Palatino Linotype"/>
        </w:rPr>
        <w:t xml:space="preserve">a </w:t>
      </w:r>
      <w:r w:rsidR="00C276CD" w:rsidRPr="003E20A8">
        <w:rPr>
          <w:rFonts w:ascii="Palatino Linotype" w:hAnsi="Palatino Linotype" w:cs="Arial"/>
          <w:color w:val="000000" w:themeColor="text1"/>
          <w:lang w:val="es-ES_tradnl" w:eastAsia="es-ES"/>
        </w:rPr>
        <w:t xml:space="preserve">efecto de que no constituya un procesamiento de información para el ente recurrido </w:t>
      </w:r>
      <w:r w:rsidR="00E16E35" w:rsidRPr="003E20A8">
        <w:rPr>
          <w:rFonts w:ascii="Palatino Linotype" w:eastAsiaTheme="minorEastAsia" w:hAnsi="Palatino Linotype" w:cstheme="minorBidi"/>
          <w:color w:val="000000" w:themeColor="text1"/>
          <w:lang w:val="es-MX" w:eastAsia="es-ES"/>
        </w:rPr>
        <w:t xml:space="preserve">este Organismo Garante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00E16E35" w:rsidRPr="003E20A8">
        <w:rPr>
          <w:rFonts w:ascii="Palatino Linotype" w:eastAsiaTheme="minorEastAsia" w:hAnsi="Palatino Linotype" w:cstheme="minorBidi"/>
          <w:color w:val="000000" w:themeColor="text1"/>
          <w:lang w:val="es-MX" w:eastAsia="es-ES"/>
        </w:rPr>
        <w:lastRenderedPageBreak/>
        <w:t>Estado Libre y Soberano de México “Gaceta del Gobierno” el diecinueve (19) de octubre de dos mil once, cuyo rubro y texto dispone:</w:t>
      </w:r>
    </w:p>
    <w:p w:rsidR="00E16E35" w:rsidRPr="003E20A8" w:rsidRDefault="00E16E35" w:rsidP="00E16E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b/>
          <w:i/>
          <w:lang w:val="es-ES_tradnl" w:eastAsia="es-ES"/>
        </w:rPr>
        <w:t>INFORMACIÓN PÚBLICA, CONCEPTO DE, EN MATERIA DE TRANSPARENCIA. INTERPRETACIÓN TEMÁTICA DE LOS ARTÍCULOS 2, FRACCIÓN V, XV, Y XVI, 3, 4,11 Y 41.</w:t>
      </w:r>
      <w:r w:rsidRPr="003E20A8">
        <w:rPr>
          <w:rFonts w:ascii="Palatino Linotype" w:eastAsia="Palatino Linotype" w:hAnsi="Palatino Linotype" w:cs="Palatino Linotype"/>
          <w:i/>
          <w:lang w:val="es-ES_tradnl"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i/>
          <w:lang w:val="es-ES_tradnl" w:eastAsia="es-ES"/>
        </w:rPr>
        <w:t>En consecuencia el acceso a la información se refiere a que se cumplan cualquiera de los siguientes tres supuestos:</w:t>
      </w: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i/>
          <w:lang w:val="es-ES_tradnl" w:eastAsia="es-ES"/>
        </w:rPr>
        <w:t>Que se trate de información registrada en cualquier soporte documental, que en ejercicio de las atribuciones conferidas, sea generada por los Sujetos Obligados;</w:t>
      </w: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i/>
          <w:lang w:val="es-ES_tradnl" w:eastAsia="es-ES"/>
        </w:rPr>
        <w:t>Que se trate de información registrada en cualquier soporte documental, que en ejercicio de las atribuciones conferidas, sea administrada por los Sujetos Obligados, y</w:t>
      </w:r>
    </w:p>
    <w:p w:rsidR="00E16E35" w:rsidRPr="003E20A8" w:rsidRDefault="00E16E35" w:rsidP="00E16E35">
      <w:pPr>
        <w:spacing w:line="360" w:lineRule="auto"/>
        <w:ind w:left="567" w:right="567"/>
        <w:jc w:val="both"/>
        <w:rPr>
          <w:rFonts w:ascii="Palatino Linotype" w:eastAsia="Palatino Linotype" w:hAnsi="Palatino Linotype" w:cs="Palatino Linotype"/>
          <w:lang w:val="es-ES_tradnl" w:eastAsia="es-ES"/>
        </w:rPr>
      </w:pPr>
      <w:r w:rsidRPr="003E20A8">
        <w:rPr>
          <w:rFonts w:ascii="Palatino Linotype" w:eastAsia="Palatino Linotype" w:hAnsi="Palatino Linotype" w:cs="Palatino Linotype"/>
          <w:i/>
          <w:lang w:val="es-ES_tradnl" w:eastAsia="es-ES"/>
        </w:rPr>
        <w:t>Que se trate de información registrada en cualquier soporte documental, que en ejercicio de las atribuciones conferidas, se encuentre en posesión de los Sujetos Obligados.”</w:t>
      </w:r>
    </w:p>
    <w:p w:rsidR="00E16E35" w:rsidRPr="003E20A8" w:rsidRDefault="00E16E35" w:rsidP="00E16E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E16E35">
      <w:pPr>
        <w:pStyle w:val="Prrafodelista"/>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lastRenderedPageBreak/>
        <w:t xml:space="preserve">El </w:t>
      </w:r>
      <w:r w:rsidRPr="003E20A8">
        <w:rPr>
          <w:rFonts w:ascii="Palatino Linotype" w:eastAsia="Palatino Linotype" w:hAnsi="Palatino Linotype" w:cs="Palatino Linotype"/>
          <w:color w:val="000000"/>
          <w:lang w:val="es-ES_tradnl" w:eastAsia="es-ES"/>
        </w:rPr>
        <w:t>derecho de acceso a la información encuentra su materia elemental en los documentos, y la Ley de Transparencia local nos brinda el siguiente concepto</w:t>
      </w:r>
      <w:r w:rsidRPr="003E20A8">
        <w:rPr>
          <w:rFonts w:ascii="Palatino Linotype" w:eastAsia="Palatino Linotype" w:hAnsi="Palatino Linotype"/>
          <w:vertAlign w:val="superscript"/>
          <w:lang w:val="es-ES_tradnl" w:eastAsia="es-ES"/>
        </w:rPr>
        <w:footnoteReference w:id="8"/>
      </w:r>
      <w:r w:rsidRPr="003E20A8">
        <w:rPr>
          <w:rFonts w:ascii="Palatino Linotype" w:eastAsia="Palatino Linotype" w:hAnsi="Palatino Linotype" w:cs="Palatino Linotype"/>
          <w:color w:val="000000"/>
          <w:lang w:val="es-ES_tradnl" w:eastAsia="es-ES"/>
        </w:rPr>
        <w:t>, para darnos un mejor panorama:</w:t>
      </w:r>
    </w:p>
    <w:p w:rsidR="00E16E35" w:rsidRPr="003E20A8" w:rsidRDefault="00E16E35" w:rsidP="00E16E35">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b/>
          <w:i/>
          <w:lang w:val="es-ES_tradnl" w:eastAsia="es-ES"/>
        </w:rPr>
        <w:t xml:space="preserve">“XI. Documento: </w:t>
      </w:r>
      <w:r w:rsidRPr="003E20A8">
        <w:rPr>
          <w:rFonts w:ascii="Palatino Linotype" w:eastAsia="Palatino Linotype" w:hAnsi="Palatino Linotype" w:cs="Palatino Linotype"/>
          <w:b/>
          <w:bCs/>
          <w:i/>
          <w:lang w:val="es-ES_tradnl" w:eastAsia="es-ES"/>
        </w:rPr>
        <w:t>Los</w:t>
      </w:r>
      <w:r w:rsidRPr="003E20A8">
        <w:rPr>
          <w:rFonts w:ascii="Palatino Linotype" w:eastAsia="Palatino Linotype" w:hAnsi="Palatino Linotype" w:cs="Palatino Linotype"/>
          <w:i/>
          <w:lang w:val="es-ES_tradnl" w:eastAsia="es-ES"/>
        </w:rPr>
        <w:t xml:space="preserve"> expedientes, </w:t>
      </w:r>
      <w:r w:rsidRPr="003E20A8">
        <w:rPr>
          <w:rFonts w:ascii="Palatino Linotype" w:eastAsia="Palatino Linotype" w:hAnsi="Palatino Linotype" w:cs="Palatino Linotype"/>
          <w:b/>
          <w:bCs/>
          <w:i/>
          <w:lang w:val="es-ES_tradnl" w:eastAsia="es-ES"/>
        </w:rPr>
        <w:t>reportes, estudios</w:t>
      </w:r>
      <w:r w:rsidRPr="003E20A8">
        <w:rPr>
          <w:rFonts w:ascii="Palatino Linotype" w:eastAsia="Palatino Linotype" w:hAnsi="Palatino Linotype" w:cs="Palatino Linotype"/>
          <w:i/>
          <w:lang w:val="es-ES_tradnl" w:eastAsia="es-ES"/>
        </w:rPr>
        <w:t xml:space="preserve">, actas, resoluciones, </w:t>
      </w:r>
      <w:r w:rsidRPr="003E20A8">
        <w:rPr>
          <w:rFonts w:ascii="Palatino Linotype" w:eastAsia="Palatino Linotype" w:hAnsi="Palatino Linotype" w:cs="Palatino Linotype"/>
          <w:b/>
          <w:bCs/>
          <w:i/>
          <w:lang w:val="es-ES_tradnl" w:eastAsia="es-ES"/>
        </w:rPr>
        <w:t>oficios</w:t>
      </w:r>
      <w:r w:rsidRPr="003E20A8">
        <w:rPr>
          <w:rFonts w:ascii="Palatino Linotype" w:eastAsia="Palatino Linotype" w:hAnsi="Palatino Linotype" w:cs="Palatino Linotype"/>
          <w:i/>
          <w:lang w:val="es-ES_tradnl" w:eastAsia="es-ES"/>
        </w:rPr>
        <w:t xml:space="preserve">, </w:t>
      </w:r>
      <w:r w:rsidRPr="003E20A8">
        <w:rPr>
          <w:rFonts w:ascii="Palatino Linotype" w:eastAsia="Palatino Linotype" w:hAnsi="Palatino Linotype" w:cs="Palatino Linotype"/>
          <w:b/>
          <w:bCs/>
          <w:i/>
          <w:lang w:val="es-ES_tradnl" w:eastAsia="es-ES"/>
        </w:rPr>
        <w:t>correspondencia</w:t>
      </w:r>
      <w:r w:rsidRPr="003E20A8">
        <w:rPr>
          <w:rFonts w:ascii="Palatino Linotype" w:eastAsia="Palatino Linotype" w:hAnsi="Palatino Linotype" w:cs="Palatino Linotype"/>
          <w:i/>
          <w:lang w:val="es-ES_tradnl" w:eastAsia="es-ES"/>
        </w:rPr>
        <w:t xml:space="preserve">, </w:t>
      </w:r>
      <w:r w:rsidRPr="003E20A8">
        <w:rPr>
          <w:rFonts w:ascii="Palatino Linotype" w:eastAsia="Palatino Linotype" w:hAnsi="Palatino Linotype" w:cs="Palatino Linotype"/>
          <w:b/>
          <w:bCs/>
          <w:i/>
          <w:lang w:val="es-ES_tradnl" w:eastAsia="es-ES"/>
        </w:rPr>
        <w:t>acuerdos</w:t>
      </w:r>
      <w:r w:rsidRPr="003E20A8">
        <w:rPr>
          <w:rFonts w:ascii="Palatino Linotype" w:eastAsia="Palatino Linotype" w:hAnsi="Palatino Linotype" w:cs="Palatino Linotype"/>
          <w:i/>
          <w:lang w:val="es-ES_tradnl" w:eastAsia="es-ES"/>
        </w:rPr>
        <w:t xml:space="preserve">, directivas, directrices, </w:t>
      </w:r>
      <w:r w:rsidRPr="003E20A8">
        <w:rPr>
          <w:rFonts w:ascii="Palatino Linotype" w:eastAsia="Palatino Linotype" w:hAnsi="Palatino Linotype" w:cs="Palatino Linotype"/>
          <w:b/>
          <w:bCs/>
          <w:i/>
          <w:lang w:val="es-ES_tradnl" w:eastAsia="es-ES"/>
        </w:rPr>
        <w:t>circulares</w:t>
      </w:r>
      <w:r w:rsidRPr="003E20A8">
        <w:rPr>
          <w:rFonts w:ascii="Palatino Linotype" w:eastAsia="Palatino Linotype" w:hAnsi="Palatino Linotype" w:cs="Palatino Linotype"/>
          <w:i/>
          <w:lang w:val="es-ES_tradnl" w:eastAsia="es-ES"/>
        </w:rPr>
        <w:t xml:space="preserve">, contratos, convenios, instructivos, </w:t>
      </w:r>
      <w:r w:rsidRPr="003E20A8">
        <w:rPr>
          <w:rFonts w:ascii="Palatino Linotype" w:eastAsia="Palatino Linotype" w:hAnsi="Palatino Linotype" w:cs="Palatino Linotype"/>
          <w:b/>
          <w:bCs/>
          <w:i/>
          <w:lang w:val="es-ES_tradnl" w:eastAsia="es-ES"/>
        </w:rPr>
        <w:t>notas, memorandos</w:t>
      </w:r>
      <w:r w:rsidRPr="003E20A8">
        <w:rPr>
          <w:rFonts w:ascii="Palatino Linotype" w:eastAsia="Palatino Linotype" w:hAnsi="Palatino Linotype" w:cs="Palatino Linotype"/>
          <w:i/>
          <w:lang w:val="es-ES_tradnl" w:eastAsia="es-ES"/>
        </w:rPr>
        <w:t xml:space="preserve">, estadísticas </w:t>
      </w:r>
      <w:r w:rsidRPr="003E20A8">
        <w:rPr>
          <w:rFonts w:ascii="Palatino Linotype" w:eastAsia="Palatino Linotype" w:hAnsi="Palatino Linotype" w:cs="Palatino Linotype"/>
          <w:b/>
          <w:bCs/>
          <w:i/>
          <w:lang w:val="es-ES_tradnl" w:eastAsia="es-ES"/>
        </w:rPr>
        <w:t>o</w:t>
      </w:r>
      <w:r w:rsidRPr="003E20A8">
        <w:rPr>
          <w:rFonts w:ascii="Palatino Linotype" w:eastAsia="Palatino Linotype" w:hAnsi="Palatino Linotype" w:cs="Palatino Linotype"/>
          <w:i/>
          <w:lang w:val="es-ES_tradnl" w:eastAsia="es-ES"/>
        </w:rPr>
        <w:t xml:space="preserve"> bien, </w:t>
      </w:r>
      <w:r w:rsidRPr="003E20A8">
        <w:rPr>
          <w:rFonts w:ascii="Palatino Linotype" w:eastAsia="Palatino Linotype" w:hAnsi="Palatino Linotype" w:cs="Palatino Linotype"/>
          <w:b/>
          <w:bCs/>
          <w:i/>
          <w:lang w:val="es-ES_tradnl" w:eastAsia="es-ES"/>
        </w:rPr>
        <w:t>cualquier otro registro que documente el ejercicio de las facultades, funciones y competencias de los sujetos obligados</w:t>
      </w:r>
      <w:r w:rsidRPr="003E20A8">
        <w:rPr>
          <w:rFonts w:ascii="Palatino Linotype" w:eastAsia="Palatino Linotype" w:hAnsi="Palatino Linotype" w:cs="Palatino Linotype"/>
          <w:i/>
          <w:lang w:val="es-ES_tradnl" w:eastAsia="es-ES"/>
        </w:rPr>
        <w:t xml:space="preserve">, sus servidores públicos e integrantes, </w:t>
      </w:r>
      <w:r w:rsidRPr="003E20A8">
        <w:rPr>
          <w:rFonts w:ascii="Palatino Linotype" w:eastAsia="Palatino Linotype" w:hAnsi="Palatino Linotype" w:cs="Palatino Linotype"/>
          <w:b/>
          <w:bCs/>
          <w:i/>
          <w:lang w:val="es-ES_tradnl" w:eastAsia="es-ES"/>
        </w:rPr>
        <w:t>sin importar su fuente o fecha de elaboración</w:t>
      </w:r>
      <w:r w:rsidRPr="003E20A8">
        <w:rPr>
          <w:rFonts w:ascii="Palatino Linotype" w:eastAsia="Palatino Linotype" w:hAnsi="Palatino Linotype" w:cs="Palatino Linotype"/>
          <w:i/>
          <w:lang w:val="es-ES_tradnl" w:eastAsia="es-ES"/>
        </w:rPr>
        <w:t>. Los documentos podrán estar en cualquier medio, sea escrito, impreso,  sonoro, visual, electrónico, informático u holográfico;”</w:t>
      </w:r>
    </w:p>
    <w:p w:rsidR="00E16E35" w:rsidRPr="003E20A8" w:rsidRDefault="00E16E35" w:rsidP="00E16E35">
      <w:pPr>
        <w:spacing w:line="360" w:lineRule="auto"/>
        <w:ind w:left="567" w:right="567"/>
        <w:jc w:val="both"/>
        <w:rPr>
          <w:rFonts w:ascii="Palatino Linotype" w:eastAsia="Palatino Linotype" w:hAnsi="Palatino Linotype" w:cs="Palatino Linotype"/>
          <w:iCs/>
          <w:lang w:val="es-ES_tradnl" w:eastAsia="es-ES"/>
        </w:rPr>
      </w:pPr>
      <w:r w:rsidRPr="003E20A8">
        <w:rPr>
          <w:rFonts w:ascii="Palatino Linotype" w:eastAsia="Palatino Linotype" w:hAnsi="Palatino Linotype" w:cs="Palatino Linotype"/>
          <w:iCs/>
          <w:lang w:val="es-ES_tradnl" w:eastAsia="es-ES"/>
        </w:rPr>
        <w:t>(Énfasis añadido)</w:t>
      </w:r>
    </w:p>
    <w:p w:rsidR="00E16E35" w:rsidRPr="003E20A8" w:rsidRDefault="00E16E35" w:rsidP="00E16E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E16E35">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t xml:space="preserve">Correlativo </w:t>
      </w:r>
      <w:r w:rsidRPr="003E20A8">
        <w:rPr>
          <w:rFonts w:ascii="Palatino Linotype" w:eastAsia="Palatino Linotype" w:hAnsi="Palatino Linotype" w:cs="Palatino Linotype"/>
          <w:color w:val="000000"/>
          <w:lang w:val="es-ES_tradnl" w:eastAsia="es-ES"/>
        </w:rPr>
        <w:t>a lo anterior, debemos tomar en cuenta los artículos 4 y 12, de la Ley de Transparencia y Acceso a la Información Pública del Estado de México y Municipios, los cuales establecen lo siguiente:</w:t>
      </w:r>
    </w:p>
    <w:p w:rsidR="00E16E35" w:rsidRPr="003E20A8" w:rsidRDefault="00E16E35" w:rsidP="00E16E35">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b/>
          <w:i/>
          <w:lang w:val="es-ES_tradnl" w:eastAsia="es-ES"/>
        </w:rPr>
        <w:t xml:space="preserve">“Artículo 4. </w:t>
      </w:r>
      <w:r w:rsidRPr="003E20A8">
        <w:rPr>
          <w:rFonts w:ascii="Palatino Linotype" w:eastAsia="Palatino Linotype" w:hAnsi="Palatino Linotype" w:cs="Palatino Linotype"/>
          <w:i/>
          <w:lang w:val="es-ES_tradnl" w:eastAsia="es-ES"/>
        </w:rPr>
        <w:t xml:space="preserve">El derecho humano de acceso a la información pública es la prerrogativa de las personas para buscar, difundir, investigar, recabar, recibir y </w:t>
      </w:r>
      <w:r w:rsidRPr="003E20A8">
        <w:rPr>
          <w:rFonts w:ascii="Palatino Linotype" w:eastAsia="Palatino Linotype" w:hAnsi="Palatino Linotype" w:cs="Palatino Linotype"/>
          <w:i/>
          <w:lang w:val="es-ES_tradnl" w:eastAsia="es-ES"/>
        </w:rPr>
        <w:lastRenderedPageBreak/>
        <w:t>solicitar información pública, sin necesidad de acreditar personalidad ni interés jurídico.</w:t>
      </w: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b/>
          <w:i/>
          <w:lang w:val="es-ES_tradnl" w:eastAsia="es-ES"/>
        </w:rPr>
        <w:t>Toda la información generada, obtenida, adquirida, transformada, administrada o en posesión de los sujetos obligados es pública y accesible de manera permanente a cualquier persona</w:t>
      </w:r>
      <w:r w:rsidRPr="003E20A8">
        <w:rPr>
          <w:rFonts w:ascii="Palatino Linotype" w:eastAsia="Palatino Linotype" w:hAnsi="Palatino Linotype" w:cs="Palatino Linotype"/>
          <w:i/>
          <w:lang w:val="es-ES_tradnl"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16E35" w:rsidRPr="003E20A8" w:rsidRDefault="00E16E35" w:rsidP="00E16E35">
      <w:pPr>
        <w:spacing w:line="360" w:lineRule="auto"/>
        <w:ind w:left="567" w:right="567"/>
        <w:jc w:val="both"/>
        <w:rPr>
          <w:rFonts w:ascii="Palatino Linotype" w:eastAsia="Palatino Linotype" w:hAnsi="Palatino Linotype" w:cs="Palatino Linotype"/>
          <w:b/>
          <w:i/>
          <w:lang w:val="es-ES_tradnl" w:eastAsia="es-ES"/>
        </w:rPr>
      </w:pPr>
      <w:r w:rsidRPr="003E20A8">
        <w:rPr>
          <w:rFonts w:ascii="Palatino Linotype" w:eastAsia="Palatino Linotype" w:hAnsi="Palatino Linotype" w:cs="Palatino Linotype"/>
          <w:b/>
          <w:i/>
          <w:lang w:val="es-ES_tradnl" w:eastAsia="es-ES"/>
        </w:rPr>
        <w:t>Los sujetos obligados deben poner en práctica, políticas y programas de acceso a la información que se apeguen a criterios de publicidad, veracidad, oportunidad, precisión y suficiencia en beneficio de los solicitantes.</w:t>
      </w:r>
    </w:p>
    <w:p w:rsidR="00E16E35" w:rsidRPr="003E20A8" w:rsidRDefault="00E16E35" w:rsidP="00E16E35">
      <w:pPr>
        <w:spacing w:line="360" w:lineRule="auto"/>
        <w:ind w:right="567"/>
        <w:jc w:val="both"/>
        <w:rPr>
          <w:rFonts w:ascii="Palatino Linotype" w:eastAsia="Palatino Linotype" w:hAnsi="Palatino Linotype" w:cs="Palatino Linotype"/>
          <w:i/>
          <w:color w:val="000000"/>
          <w:lang w:val="es-ES_tradnl" w:eastAsia="es-ES"/>
        </w:rPr>
      </w:pP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b/>
          <w:i/>
          <w:lang w:val="es-ES_tradnl" w:eastAsia="es-ES"/>
        </w:rPr>
        <w:t>Artículo 12. Quienes generen, recopilen, administren, manejen, procesen, archiven o conserven información pública serán responsables de la misma en los términos de las disposiciones jurídicas aplicables</w:t>
      </w:r>
      <w:r w:rsidRPr="003E20A8">
        <w:rPr>
          <w:rFonts w:ascii="Palatino Linotype" w:eastAsia="Palatino Linotype" w:hAnsi="Palatino Linotype" w:cs="Palatino Linotype"/>
          <w:i/>
          <w:lang w:val="es-ES_tradnl" w:eastAsia="es-ES"/>
        </w:rPr>
        <w:t xml:space="preserve">. </w:t>
      </w:r>
    </w:p>
    <w:p w:rsidR="00E16E35" w:rsidRPr="003E20A8" w:rsidRDefault="00E16E35" w:rsidP="00E16E35">
      <w:pPr>
        <w:spacing w:line="360" w:lineRule="auto"/>
        <w:ind w:left="567" w:right="567"/>
        <w:jc w:val="both"/>
        <w:rPr>
          <w:rFonts w:ascii="Palatino Linotype" w:eastAsia="Palatino Linotype" w:hAnsi="Palatino Linotype" w:cs="Palatino Linotype"/>
          <w:i/>
          <w:lang w:val="es-ES_tradnl" w:eastAsia="es-ES"/>
        </w:rPr>
      </w:pPr>
      <w:r w:rsidRPr="003E20A8">
        <w:rPr>
          <w:rFonts w:ascii="Palatino Linotype" w:eastAsia="Palatino Linotype" w:hAnsi="Palatino Linotype" w:cs="Palatino Linotype"/>
          <w:i/>
          <w:lang w:val="es-ES_tradnl"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16E35" w:rsidRPr="003E20A8" w:rsidRDefault="00E16E35" w:rsidP="00E16E35">
      <w:pPr>
        <w:spacing w:line="360" w:lineRule="auto"/>
        <w:ind w:left="567" w:right="567"/>
        <w:jc w:val="both"/>
        <w:rPr>
          <w:rFonts w:ascii="Palatino Linotype" w:eastAsia="Palatino Linotype" w:hAnsi="Palatino Linotype" w:cs="Palatino Linotype"/>
          <w:lang w:val="es-ES_tradnl" w:eastAsia="es-ES"/>
        </w:rPr>
      </w:pPr>
      <w:r w:rsidRPr="003E20A8">
        <w:rPr>
          <w:rFonts w:ascii="Palatino Linotype" w:eastAsia="Palatino Linotype" w:hAnsi="Palatino Linotype" w:cs="Palatino Linotype"/>
          <w:lang w:val="es-ES_tradnl" w:eastAsia="es-ES"/>
        </w:rPr>
        <w:lastRenderedPageBreak/>
        <w:t>(Énfasis añadido)</w:t>
      </w:r>
    </w:p>
    <w:p w:rsidR="00E16E35" w:rsidRPr="003E20A8" w:rsidRDefault="00E16E35" w:rsidP="00E16E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0267C6">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t xml:space="preserve">Es </w:t>
      </w:r>
      <w:r w:rsidRPr="003E20A8">
        <w:rPr>
          <w:rFonts w:ascii="Palatino Linotype" w:eastAsia="Palatino Linotype" w:hAnsi="Palatino Linotype" w:cs="Palatino Linotype"/>
          <w:color w:val="000000"/>
          <w:lang w:val="es-ES_tradnl" w:eastAsia="es-ES"/>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rsidR="00E16E35" w:rsidRPr="003E20A8" w:rsidRDefault="00E16E35" w:rsidP="000267C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0267C6">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t xml:space="preserve">Por </w:t>
      </w:r>
      <w:r w:rsidRPr="003E20A8">
        <w:rPr>
          <w:rFonts w:ascii="Palatino Linotype" w:eastAsia="Palatino Linotype" w:hAnsi="Palatino Linotype" w:cs="Palatino Linotype"/>
          <w:color w:val="000000"/>
          <w:lang w:val="es-ES_tradnl" w:eastAsia="es-ES"/>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3E20A8">
        <w:rPr>
          <w:rFonts w:ascii="Palatino Linotype" w:eastAsia="Palatino Linotype" w:hAnsi="Palatino Linotype" w:cs="Palatino Linotype"/>
          <w:color w:val="000000"/>
          <w:vertAlign w:val="superscript"/>
          <w:lang w:val="es-ES_tradnl" w:eastAsia="es-ES"/>
        </w:rPr>
        <w:footnoteReference w:id="9"/>
      </w:r>
      <w:r w:rsidRPr="003E20A8">
        <w:rPr>
          <w:rFonts w:ascii="Palatino Linotype" w:eastAsia="Palatino Linotype" w:hAnsi="Palatino Linotype" w:cs="Palatino Linotype"/>
          <w:color w:val="000000"/>
          <w:lang w:val="es-ES_tradnl" w:eastAsia="es-ES"/>
        </w:rPr>
        <w:t>.</w:t>
      </w:r>
    </w:p>
    <w:p w:rsidR="00E16E35" w:rsidRPr="003E20A8" w:rsidRDefault="00E16E35" w:rsidP="000267C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0267C6">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t xml:space="preserve">En </w:t>
      </w:r>
      <w:r w:rsidRPr="003E20A8">
        <w:rPr>
          <w:rFonts w:ascii="Palatino Linotype" w:eastAsia="Palatino Linotype" w:hAnsi="Palatino Linotype" w:cs="Palatino Linotype"/>
          <w:color w:val="000000"/>
          <w:lang w:val="es-ES_tradnl" w:eastAsia="es-ES"/>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E20A8">
        <w:rPr>
          <w:rFonts w:ascii="Palatino Linotype" w:eastAsia="Palatino Linotype" w:hAnsi="Palatino Linotype" w:cs="Palatino Linotype"/>
          <w:color w:val="000000"/>
          <w:vertAlign w:val="superscript"/>
          <w:lang w:val="es-ES_tradnl" w:eastAsia="es-ES"/>
        </w:rPr>
        <w:footnoteReference w:id="10"/>
      </w:r>
      <w:r w:rsidRPr="003E20A8">
        <w:rPr>
          <w:rFonts w:ascii="Palatino Linotype" w:eastAsia="Palatino Linotype" w:hAnsi="Palatino Linotype" w:cs="Palatino Linotype"/>
          <w:color w:val="000000"/>
          <w:lang w:val="es-ES_tradnl" w:eastAsia="es-ES"/>
        </w:rPr>
        <w:t xml:space="preserve"> y máxima publicidad; sobre éste último se debe poner mayor </w:t>
      </w:r>
      <w:r w:rsidRPr="003E20A8">
        <w:rPr>
          <w:rFonts w:ascii="Palatino Linotype" w:eastAsia="Palatino Linotype" w:hAnsi="Palatino Linotype" w:cs="Palatino Linotype"/>
          <w:color w:val="000000"/>
          <w:lang w:val="es-ES_tradnl" w:eastAsia="es-ES"/>
        </w:rPr>
        <w:lastRenderedPageBreak/>
        <w:t xml:space="preserve">énfasis, puesto que establece que </w:t>
      </w:r>
      <w:r w:rsidRPr="003E20A8">
        <w:rPr>
          <w:rFonts w:ascii="Palatino Linotype" w:eastAsia="Palatino Linotype" w:hAnsi="Palatino Linotype" w:cs="Palatino Linotype"/>
          <w:b/>
          <w:color w:val="000000"/>
          <w:u w:val="single"/>
          <w:lang w:val="es-ES_tradnl" w:eastAsia="es-ES"/>
        </w:rPr>
        <w:t>toda la información en posesión de los Sujetos Obligados será</w:t>
      </w:r>
      <w:r w:rsidRPr="003E20A8">
        <w:rPr>
          <w:rFonts w:ascii="Palatino Linotype" w:eastAsia="Palatino Linotype" w:hAnsi="Palatino Linotype" w:cs="Palatino Linotype"/>
          <w:color w:val="000000"/>
          <w:lang w:val="es-ES_tradnl" w:eastAsia="es-ES"/>
        </w:rPr>
        <w:t xml:space="preserve"> pública, completa, </w:t>
      </w:r>
      <w:r w:rsidRPr="003E20A8">
        <w:rPr>
          <w:rFonts w:ascii="Palatino Linotype" w:eastAsia="Palatino Linotype" w:hAnsi="Palatino Linotype" w:cs="Palatino Linotype"/>
          <w:b/>
          <w:color w:val="000000"/>
          <w:u w:val="single"/>
          <w:lang w:val="es-ES_tradnl" w:eastAsia="es-ES"/>
        </w:rPr>
        <w:t>oportuna</w:t>
      </w:r>
      <w:r w:rsidRPr="003E20A8">
        <w:rPr>
          <w:rFonts w:ascii="Palatino Linotype" w:eastAsia="Palatino Linotype" w:hAnsi="Palatino Linotype" w:cs="Palatino Linotype"/>
          <w:color w:val="000000"/>
          <w:lang w:val="es-ES_tradnl" w:eastAsia="es-ES"/>
        </w:rPr>
        <w:t xml:space="preserve"> y </w:t>
      </w:r>
      <w:r w:rsidRPr="003E20A8">
        <w:rPr>
          <w:rFonts w:ascii="Palatino Linotype" w:eastAsia="Palatino Linotype" w:hAnsi="Palatino Linotype" w:cs="Palatino Linotype"/>
          <w:b/>
          <w:color w:val="000000"/>
          <w:u w:val="single"/>
          <w:lang w:val="es-ES_tradnl" w:eastAsia="es-ES"/>
        </w:rPr>
        <w:t>accesible</w:t>
      </w:r>
      <w:r w:rsidRPr="003E20A8">
        <w:rPr>
          <w:rFonts w:ascii="Palatino Linotype" w:eastAsia="Palatino Linotype" w:hAnsi="Palatino Linotype" w:cs="Palatino Linotype"/>
          <w:color w:val="000000"/>
          <w:lang w:val="es-ES_tradnl" w:eastAsia="es-ES"/>
        </w:rPr>
        <w:t xml:space="preserve">, </w:t>
      </w:r>
      <w:r w:rsidRPr="003E20A8">
        <w:rPr>
          <w:rFonts w:ascii="Palatino Linotype" w:eastAsia="Palatino Linotype" w:hAnsi="Palatino Linotype" w:cs="Palatino Linotype"/>
          <w:b/>
          <w:color w:val="000000"/>
          <w:lang w:val="es-ES_tradnl" w:eastAsia="es-ES"/>
        </w:rPr>
        <w:t>lo que permite que la ciudadanía tenga un amplio acceso sobre lo que es el actuar de las autoridades</w:t>
      </w:r>
      <w:r w:rsidRPr="003E20A8">
        <w:rPr>
          <w:rFonts w:ascii="Palatino Linotype" w:eastAsia="Palatino Linotype" w:hAnsi="Palatino Linotype" w:cs="Palatino Linotype"/>
          <w:color w:val="000000"/>
          <w:lang w:val="es-ES_tradnl" w:eastAsia="es-ES"/>
        </w:rPr>
        <w:t>.</w:t>
      </w:r>
    </w:p>
    <w:p w:rsidR="00E16E35" w:rsidRPr="003E20A8" w:rsidRDefault="00E16E35" w:rsidP="000267C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0267C6">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t xml:space="preserve">Robustece </w:t>
      </w:r>
      <w:r w:rsidRPr="003E20A8">
        <w:rPr>
          <w:rFonts w:ascii="Palatino Linotype" w:eastAsia="Palatino Linotype" w:hAnsi="Palatino Linotype" w:cs="Palatino Linotype"/>
          <w:color w:val="000000"/>
          <w:lang w:val="es-ES_tradnl" w:eastAsia="es-ES"/>
        </w:rPr>
        <w:t>lo anterior la Tesis aislada identificada con la clave I.4º.A.40 A del Cuarto Tribunal colegiado en Materia Administrativa del Primer Circuito, publicada en el Seminario Judicial de la Federación y su Gaceta en el libro XVIII, Marzo 2013, Página 1899:</w:t>
      </w:r>
    </w:p>
    <w:p w:rsidR="00E16E35" w:rsidRPr="003E20A8" w:rsidRDefault="00E16E35" w:rsidP="00E16E35">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eastAsia="es-ES"/>
        </w:rPr>
      </w:pPr>
    </w:p>
    <w:p w:rsidR="00E16E35" w:rsidRPr="003E20A8" w:rsidRDefault="00E16E35" w:rsidP="00E16E35">
      <w:pPr>
        <w:pBdr>
          <w:top w:val="nil"/>
          <w:left w:val="nil"/>
          <w:bottom w:val="nil"/>
          <w:right w:val="nil"/>
          <w:between w:val="nil"/>
        </w:pBdr>
        <w:tabs>
          <w:tab w:val="left" w:pos="142"/>
          <w:tab w:val="left" w:pos="284"/>
          <w:tab w:val="left" w:pos="426"/>
        </w:tabs>
        <w:spacing w:line="360" w:lineRule="auto"/>
        <w:ind w:left="567" w:right="567"/>
        <w:jc w:val="both"/>
        <w:rPr>
          <w:rFonts w:ascii="Palatino Linotype" w:eastAsia="Palatino Linotype" w:hAnsi="Palatino Linotype" w:cs="Palatino Linotype"/>
          <w:color w:val="000000"/>
          <w:lang w:val="es-ES_tradnl" w:eastAsia="es-ES"/>
        </w:rPr>
      </w:pPr>
      <w:r w:rsidRPr="003E20A8">
        <w:rPr>
          <w:rFonts w:ascii="Palatino Linotype" w:eastAsia="Palatino Linotype" w:hAnsi="Palatino Linotype" w:cs="Palatino Linotype"/>
          <w:b/>
          <w:i/>
          <w:color w:val="000000"/>
          <w:lang w:val="es-ES_tradnl" w:eastAsia="es-ES"/>
        </w:rPr>
        <w:t>ACCESO A LA INFORMACIÓN. IMPLICACIÓN DEL PRINCIPIO DE MÁXIMA PUBLICIDAD EN EL DERECHO FUNDAMENTAL RELATIVO.</w:t>
      </w:r>
      <w:r w:rsidRPr="003E20A8">
        <w:rPr>
          <w:rFonts w:ascii="Palatino Linotype" w:eastAsia="Palatino Linotype" w:hAnsi="Palatino Linotype" w:cs="Palatino Linotype"/>
          <w:i/>
          <w:color w:val="000000"/>
          <w:lang w:val="es-ES_tradnl"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w:t>
      </w:r>
      <w:r w:rsidRPr="003E20A8">
        <w:rPr>
          <w:rFonts w:ascii="Palatino Linotype" w:eastAsia="Palatino Linotype" w:hAnsi="Palatino Linotype" w:cs="Palatino Linotype"/>
          <w:i/>
          <w:color w:val="000000"/>
          <w:lang w:val="es-ES_tradnl" w:eastAsia="es-ES"/>
        </w:rPr>
        <w:lastRenderedPageBreak/>
        <w:t>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E16E35" w:rsidRPr="003E20A8" w:rsidRDefault="00E16E35" w:rsidP="00E16E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A102D7" w:rsidRPr="003E20A8" w:rsidRDefault="00E16E35" w:rsidP="00A102D7">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eastAsia="es-ES"/>
        </w:rPr>
      </w:pPr>
      <w:r w:rsidRPr="003E20A8">
        <w:rPr>
          <w:rFonts w:ascii="Palatino Linotype" w:eastAsiaTheme="minorEastAsia" w:hAnsi="Palatino Linotype" w:cstheme="minorBidi"/>
          <w:color w:val="000000" w:themeColor="text1"/>
          <w:lang w:val="es-ES_tradnl" w:eastAsia="es-ES"/>
        </w:rPr>
        <w:t xml:space="preserve">Tal </w:t>
      </w:r>
      <w:r w:rsidRPr="003E20A8">
        <w:rPr>
          <w:rFonts w:ascii="Palatino Linotype" w:eastAsia="Palatino Linotype" w:hAnsi="Palatino Linotype" w:cs="Palatino Linotype"/>
          <w:color w:val="000000"/>
          <w:lang w:val="es-ES_tradnl" w:eastAsia="es-ES"/>
        </w:rPr>
        <w:t xml:space="preserve">y como se ha señalado, </w:t>
      </w:r>
      <w:r w:rsidRPr="003E20A8">
        <w:rPr>
          <w:rFonts w:ascii="Palatino Linotype" w:eastAsia="Palatino Linotype" w:hAnsi="Palatino Linotype" w:cs="Palatino Linotype"/>
          <w:b/>
          <w:bCs/>
          <w:color w:val="000000"/>
          <w:lang w:val="es-ES_tradnl" w:eastAsia="es-ES"/>
        </w:rPr>
        <w:t>el derecho de acceso a la información se basa en permitir que la ciudadanía conozca de primera mano toda aquella información que se encuentra en posesión de los Sujetos Obligados</w:t>
      </w:r>
      <w:r w:rsidRPr="003E20A8">
        <w:rPr>
          <w:rFonts w:ascii="Palatino Linotype" w:eastAsia="Palatino Linotype" w:hAnsi="Palatino Linotype" w:cs="Palatino Linotype"/>
          <w:color w:val="000000"/>
          <w:lang w:val="es-ES_tradnl" w:eastAsia="es-ES"/>
        </w:rPr>
        <w:t xml:space="preserve">, ya sea porque la genera, posee o administra; </w:t>
      </w:r>
      <w:r w:rsidRPr="003E20A8">
        <w:rPr>
          <w:rFonts w:ascii="Palatino Linotype" w:eastAsia="Palatino Linotype" w:hAnsi="Palatino Linotype" w:cs="Palatino Linotype"/>
          <w:b/>
          <w:bCs/>
          <w:color w:val="000000"/>
          <w:lang w:val="es-ES_tradnl" w:eastAsia="es-ES"/>
        </w:rPr>
        <w:t>toda vez que</w:t>
      </w:r>
      <w:r w:rsidRPr="003E20A8">
        <w:rPr>
          <w:rFonts w:ascii="Palatino Linotype" w:eastAsia="Palatino Linotype" w:hAnsi="Palatino Linotype" w:cs="Palatino Linotype"/>
          <w:color w:val="000000"/>
          <w:lang w:val="es-ES_tradnl" w:eastAsia="es-ES"/>
        </w:rPr>
        <w:t xml:space="preserve">, a través de dicha acción, </w:t>
      </w:r>
      <w:r w:rsidRPr="003E20A8">
        <w:rPr>
          <w:rFonts w:ascii="Palatino Linotype" w:eastAsia="Palatino Linotype" w:hAnsi="Palatino Linotype" w:cs="Palatino Linotype"/>
          <w:b/>
          <w:color w:val="000000"/>
          <w:lang w:val="es-ES_tradnl" w:eastAsia="es-ES"/>
        </w:rPr>
        <w:t>permite que las personas ejerzan un medio de control sobre las acciones que se están e</w:t>
      </w:r>
      <w:r w:rsidR="00A102D7" w:rsidRPr="003E20A8">
        <w:rPr>
          <w:rFonts w:ascii="Palatino Linotype" w:eastAsia="Palatino Linotype" w:hAnsi="Palatino Linotype" w:cs="Palatino Linotype"/>
          <w:b/>
          <w:color w:val="000000"/>
          <w:lang w:val="es-ES_tradnl" w:eastAsia="es-ES"/>
        </w:rPr>
        <w:t xml:space="preserve">jerciendo y evaluar su desempeño, razón por la cual es dable ordenar </w:t>
      </w:r>
      <w:r w:rsidR="00A102D7" w:rsidRPr="003E20A8">
        <w:rPr>
          <w:rFonts w:ascii="Palatino Linotype" w:eastAsiaTheme="minorEastAsia" w:hAnsi="Palatino Linotype" w:cstheme="minorBidi"/>
          <w:color w:val="000000" w:themeColor="text1"/>
          <w:lang w:val="es-MX" w:eastAsia="es-ES"/>
        </w:rPr>
        <w:t>los montos de los servicios y/o tramites ofrecidos por las oficialías de registro civil del Ayuntamiento de Ixtapaluca, remitidos en informe justificado, del uno (01) de enero de dos mil veintidós  al dos (02) de mayo de dos mil veintitrés.</w:t>
      </w:r>
    </w:p>
    <w:p w:rsidR="00A102D7" w:rsidRPr="003E20A8" w:rsidRDefault="00A102D7" w:rsidP="00A102D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eastAsia="es-ES"/>
        </w:rPr>
      </w:pPr>
    </w:p>
    <w:p w:rsidR="00F745F9" w:rsidRPr="003E20A8" w:rsidRDefault="00E610CE" w:rsidP="00E16E35">
      <w:pPr>
        <w:keepNext/>
        <w:keepLines/>
        <w:spacing w:before="80" w:line="360" w:lineRule="auto"/>
        <w:rPr>
          <w:rFonts w:ascii="Palatino Linotype" w:eastAsia="Palatino Linotype" w:hAnsi="Palatino Linotype" w:cs="Palatino Linotype"/>
          <w:color w:val="366091"/>
        </w:rPr>
      </w:pPr>
      <w:bookmarkStart w:id="22" w:name="_heading=h.2bn6wsx" w:colFirst="0" w:colLast="0"/>
      <w:bookmarkEnd w:id="22"/>
      <w:r w:rsidRPr="003E20A8">
        <w:rPr>
          <w:rFonts w:ascii="Palatino Linotype" w:eastAsia="Palatino Linotype" w:hAnsi="Palatino Linotype" w:cs="Palatino Linotype"/>
          <w:b/>
        </w:rPr>
        <w:lastRenderedPageBreak/>
        <w:t>QUINTO</w:t>
      </w:r>
      <w:r w:rsidR="00B25D7B" w:rsidRPr="003E20A8">
        <w:rPr>
          <w:rFonts w:ascii="Palatino Linotype" w:eastAsia="Palatino Linotype" w:hAnsi="Palatino Linotype" w:cs="Palatino Linotype"/>
          <w:b/>
        </w:rPr>
        <w:t xml:space="preserve">. </w:t>
      </w:r>
      <w:r w:rsidR="00B25D7B" w:rsidRPr="003E20A8">
        <w:rPr>
          <w:rFonts w:ascii="Palatino Linotype" w:eastAsia="Palatino Linotype" w:hAnsi="Palatino Linotype" w:cs="Palatino Linotype"/>
          <w:b/>
          <w:color w:val="000000"/>
        </w:rPr>
        <w:t xml:space="preserve">De la decisión. </w:t>
      </w:r>
    </w:p>
    <w:p w:rsidR="00F745F9" w:rsidRPr="003E20A8" w:rsidRDefault="00B25D7B" w:rsidP="00E16E35">
      <w:pPr>
        <w:numPr>
          <w:ilvl w:val="0"/>
          <w:numId w:val="12"/>
        </w:numPr>
        <w:shd w:val="clear" w:color="auto" w:fill="FFFFFF"/>
        <w:tabs>
          <w:tab w:val="left" w:pos="0"/>
        </w:tabs>
        <w:spacing w:before="240" w:after="240" w:line="360" w:lineRule="auto"/>
        <w:ind w:left="0" w:right="49" w:firstLine="0"/>
        <w:jc w:val="both"/>
        <w:rPr>
          <w:rFonts w:ascii="Palatino Linotype" w:eastAsia="Palatino Linotype" w:hAnsi="Palatino Linotype" w:cs="Palatino Linotype"/>
          <w:i/>
          <w:color w:val="000000"/>
        </w:rPr>
      </w:pPr>
      <w:r w:rsidRPr="003E20A8">
        <w:rPr>
          <w:rFonts w:ascii="Palatino Linotype" w:eastAsia="Palatino Linotype" w:hAnsi="Palatino Linotype" w:cs="Palatino Linotype"/>
        </w:rPr>
        <w:t>Con base en todo lo expuesto, y con fundamento en el artículo 186, fracción III, de la Ley de Transparencia y Acceso a la Información Pública del Estado de México y Municipios, este Instituto considera procedente</w:t>
      </w:r>
      <w:r w:rsidRPr="003E20A8">
        <w:rPr>
          <w:rFonts w:ascii="Palatino Linotype" w:eastAsia="Palatino Linotype" w:hAnsi="Palatino Linotype" w:cs="Palatino Linotype"/>
          <w:b/>
        </w:rPr>
        <w:t xml:space="preserve"> </w:t>
      </w:r>
      <w:r w:rsidR="00576279" w:rsidRPr="003E20A8">
        <w:rPr>
          <w:rFonts w:ascii="Palatino Linotype" w:eastAsia="Palatino Linotype" w:hAnsi="Palatino Linotype" w:cs="Palatino Linotype"/>
          <w:b/>
        </w:rPr>
        <w:t xml:space="preserve">REVOCAR </w:t>
      </w:r>
      <w:r w:rsidRPr="003E20A8">
        <w:rPr>
          <w:rFonts w:ascii="Palatino Linotype" w:eastAsia="Palatino Linotype" w:hAnsi="Palatino Linotype" w:cs="Palatino Linotype"/>
        </w:rPr>
        <w:t xml:space="preserve">la respuesta otorgada por el </w:t>
      </w:r>
      <w:r w:rsidR="00E610CE" w:rsidRPr="003E20A8">
        <w:rPr>
          <w:rFonts w:ascii="Palatino Linotype" w:eastAsia="Palatino Linotype" w:hAnsi="Palatino Linotype" w:cs="Palatino Linotype"/>
          <w:b/>
          <w:color w:val="000000"/>
        </w:rPr>
        <w:t>Ayuntamiento de Ixtapaluca</w:t>
      </w:r>
      <w:r w:rsidR="00576279" w:rsidRPr="003E20A8">
        <w:rPr>
          <w:rFonts w:ascii="Palatino Linotype" w:eastAsia="Palatino Linotype" w:hAnsi="Palatino Linotype" w:cs="Palatino Linotype"/>
          <w:i/>
          <w:color w:val="000000"/>
        </w:rPr>
        <w:t xml:space="preserve"> </w:t>
      </w:r>
      <w:r w:rsidRPr="003E20A8">
        <w:rPr>
          <w:rFonts w:ascii="Palatino Linotype" w:eastAsia="Palatino Linotype" w:hAnsi="Palatino Linotype" w:cs="Palatino Linotype"/>
        </w:rPr>
        <w:t xml:space="preserve">y ordenar la entrega de los documentos donde conste la información </w:t>
      </w:r>
      <w:r w:rsidR="00E610CE" w:rsidRPr="003E20A8">
        <w:rPr>
          <w:rFonts w:ascii="Palatino Linotype" w:eastAsia="Palatino Linotype" w:hAnsi="Palatino Linotype" w:cs="Palatino Linotype"/>
        </w:rPr>
        <w:t>solicitada por el particular.</w:t>
      </w:r>
    </w:p>
    <w:p w:rsidR="00F745F9" w:rsidRPr="003E20A8" w:rsidRDefault="00B25D7B" w:rsidP="00E16E35">
      <w:pPr>
        <w:numPr>
          <w:ilvl w:val="0"/>
          <w:numId w:val="12"/>
        </w:numPr>
        <w:shd w:val="clear" w:color="auto" w:fill="FFFFFF"/>
        <w:tabs>
          <w:tab w:val="left" w:pos="0"/>
        </w:tabs>
        <w:spacing w:before="240" w:after="240" w:line="360" w:lineRule="auto"/>
        <w:ind w:left="0" w:right="49" w:firstLine="0"/>
        <w:jc w:val="both"/>
        <w:rPr>
          <w:rFonts w:ascii="Palatino Linotype" w:eastAsia="Palatino Linotype" w:hAnsi="Palatino Linotype" w:cs="Palatino Linotype"/>
          <w:i/>
          <w:color w:val="000000"/>
        </w:rPr>
      </w:pPr>
      <w:r w:rsidRPr="003E20A8">
        <w:rPr>
          <w:rFonts w:ascii="Palatino Linotype" w:eastAsia="Palatino Linotype" w:hAnsi="Palatino Linotype" w:cs="Palatino Linotype"/>
          <w:color w:val="000000"/>
        </w:rPr>
        <w:t xml:space="preserve">Por lo anteriormente expuesto y fundado, este </w:t>
      </w:r>
      <w:r w:rsidRPr="003E20A8">
        <w:rPr>
          <w:rFonts w:ascii="Palatino Linotype" w:eastAsia="Palatino Linotype" w:hAnsi="Palatino Linotype" w:cs="Palatino Linotype"/>
          <w:b/>
          <w:color w:val="000000"/>
        </w:rPr>
        <w:t>ÓRGANO GARANTE</w:t>
      </w:r>
      <w:r w:rsidRPr="003E20A8">
        <w:rPr>
          <w:rFonts w:ascii="Palatino Linotype" w:eastAsia="Palatino Linotype" w:hAnsi="Palatino Linotype" w:cs="Palatino Linotype"/>
          <w:color w:val="000000"/>
        </w:rPr>
        <w:t xml:space="preserve"> emite los siguientes:</w:t>
      </w:r>
    </w:p>
    <w:p w:rsidR="00F745F9" w:rsidRPr="003E20A8" w:rsidRDefault="00B25D7B" w:rsidP="00E16E35">
      <w:pPr>
        <w:keepNext/>
        <w:keepLines/>
        <w:spacing w:before="240" w:line="360" w:lineRule="auto"/>
        <w:jc w:val="center"/>
        <w:rPr>
          <w:rFonts w:ascii="Palatino Linotype" w:eastAsia="Palatino Linotype" w:hAnsi="Palatino Linotype" w:cs="Palatino Linotype"/>
          <w:b/>
          <w:color w:val="000000"/>
        </w:rPr>
      </w:pPr>
      <w:bookmarkStart w:id="23" w:name="_heading=h.qsh70q" w:colFirst="0" w:colLast="0"/>
      <w:bookmarkEnd w:id="23"/>
      <w:r w:rsidRPr="003E20A8">
        <w:rPr>
          <w:rFonts w:ascii="Palatino Linotype" w:eastAsia="Palatino Linotype" w:hAnsi="Palatino Linotype" w:cs="Palatino Linotype"/>
          <w:b/>
          <w:color w:val="000000"/>
        </w:rPr>
        <w:t>R E S O L U T I V O S</w:t>
      </w:r>
    </w:p>
    <w:p w:rsidR="00F745F9" w:rsidRPr="003E20A8" w:rsidRDefault="00F745F9" w:rsidP="00E16E35">
      <w:pPr>
        <w:spacing w:line="360" w:lineRule="auto"/>
        <w:rPr>
          <w:rFonts w:ascii="Palatino Linotype" w:eastAsia="Palatino Linotype" w:hAnsi="Palatino Linotype" w:cs="Palatino Linotype"/>
        </w:rPr>
      </w:pPr>
    </w:p>
    <w:p w:rsidR="00F745F9" w:rsidRPr="003E20A8" w:rsidRDefault="00B25D7B" w:rsidP="00E16E35">
      <w:pPr>
        <w:spacing w:line="360" w:lineRule="auto"/>
        <w:jc w:val="both"/>
        <w:rPr>
          <w:rFonts w:ascii="Palatino Linotype" w:eastAsia="Palatino Linotype" w:hAnsi="Palatino Linotype" w:cs="Palatino Linotype"/>
        </w:rPr>
      </w:pPr>
      <w:r w:rsidRPr="003E20A8">
        <w:rPr>
          <w:rFonts w:ascii="Palatino Linotype" w:eastAsia="Palatino Linotype" w:hAnsi="Palatino Linotype" w:cs="Palatino Linotype"/>
          <w:b/>
        </w:rPr>
        <w:t xml:space="preserve">PRIMERO. </w:t>
      </w:r>
      <w:r w:rsidR="00207008" w:rsidRPr="003E20A8">
        <w:rPr>
          <w:rFonts w:ascii="Palatino Linotype" w:eastAsia="Palatino Linotype" w:hAnsi="Palatino Linotype" w:cs="Palatino Linotype"/>
        </w:rPr>
        <w:t xml:space="preserve">Resultan </w:t>
      </w:r>
      <w:r w:rsidRPr="003E20A8">
        <w:rPr>
          <w:rFonts w:ascii="Palatino Linotype" w:eastAsia="Palatino Linotype" w:hAnsi="Palatino Linotype" w:cs="Palatino Linotype"/>
        </w:rPr>
        <w:t>fundadas las</w:t>
      </w:r>
      <w:r w:rsidRPr="003E20A8">
        <w:rPr>
          <w:rFonts w:ascii="Palatino Linotype" w:eastAsia="Palatino Linotype" w:hAnsi="Palatino Linotype" w:cs="Palatino Linotype"/>
          <w:b/>
        </w:rPr>
        <w:t xml:space="preserve"> </w:t>
      </w:r>
      <w:r w:rsidRPr="003E20A8">
        <w:rPr>
          <w:rFonts w:ascii="Palatino Linotype" w:eastAsia="Palatino Linotype" w:hAnsi="Palatino Linotype" w:cs="Palatino Linotype"/>
        </w:rPr>
        <w:t>razones y motivos de inconformidad hechos valer en el recurso de revisión</w:t>
      </w:r>
      <w:r w:rsidR="00504EAB" w:rsidRPr="003E20A8">
        <w:rPr>
          <w:rFonts w:ascii="Palatino Linotype" w:eastAsia="Palatino Linotype" w:hAnsi="Palatino Linotype" w:cs="Palatino Linotype"/>
        </w:rPr>
        <w:t xml:space="preserve"> </w:t>
      </w:r>
      <w:r w:rsidR="00E610CE" w:rsidRPr="003E20A8">
        <w:rPr>
          <w:rFonts w:ascii="Palatino Linotype" w:eastAsia="Palatino Linotype" w:hAnsi="Palatino Linotype" w:cs="Palatino Linotype"/>
          <w:b/>
          <w:bCs/>
        </w:rPr>
        <w:t>02558/INFOEM/IP/RR/2023</w:t>
      </w:r>
      <w:r w:rsidRPr="003E20A8">
        <w:rPr>
          <w:rFonts w:ascii="Palatino Linotype" w:eastAsia="Palatino Linotype" w:hAnsi="Palatino Linotype" w:cs="Palatino Linotype"/>
          <w:b/>
        </w:rPr>
        <w:t xml:space="preserve">, </w:t>
      </w:r>
      <w:r w:rsidRPr="003E20A8">
        <w:rPr>
          <w:rFonts w:ascii="Palatino Linotype" w:eastAsia="Palatino Linotype" w:hAnsi="Palatino Linotype" w:cs="Palatino Linotype"/>
        </w:rPr>
        <w:t xml:space="preserve">en términos de los </w:t>
      </w:r>
      <w:r w:rsidR="005B78D3" w:rsidRPr="003E20A8">
        <w:rPr>
          <w:rFonts w:ascii="Palatino Linotype" w:eastAsia="Palatino Linotype" w:hAnsi="Palatino Linotype" w:cs="Palatino Linotype"/>
          <w:b/>
        </w:rPr>
        <w:t>c</w:t>
      </w:r>
      <w:r w:rsidRPr="003E20A8">
        <w:rPr>
          <w:rFonts w:ascii="Palatino Linotype" w:eastAsia="Palatino Linotype" w:hAnsi="Palatino Linotype" w:cs="Palatino Linotype"/>
          <w:b/>
        </w:rPr>
        <w:t>onsiderandos</w:t>
      </w:r>
      <w:r w:rsidRPr="003E20A8">
        <w:rPr>
          <w:rFonts w:ascii="Palatino Linotype" w:eastAsia="Palatino Linotype" w:hAnsi="Palatino Linotype" w:cs="Palatino Linotype"/>
        </w:rPr>
        <w:t xml:space="preserve"> </w:t>
      </w:r>
      <w:r w:rsidRPr="003E20A8">
        <w:rPr>
          <w:rFonts w:ascii="Palatino Linotype" w:eastAsia="Palatino Linotype" w:hAnsi="Palatino Linotype" w:cs="Palatino Linotype"/>
          <w:b/>
        </w:rPr>
        <w:t xml:space="preserve">CUARTO y QUINTO </w:t>
      </w:r>
      <w:r w:rsidRPr="003E20A8">
        <w:rPr>
          <w:rFonts w:ascii="Palatino Linotype" w:eastAsia="Palatino Linotype" w:hAnsi="Palatino Linotype" w:cs="Palatino Linotype"/>
        </w:rPr>
        <w:t>de la presente resolución.</w:t>
      </w:r>
    </w:p>
    <w:p w:rsidR="00F745F9" w:rsidRPr="003E20A8" w:rsidRDefault="00B25D7B" w:rsidP="00E16E35">
      <w:pPr>
        <w:spacing w:before="240" w:line="360" w:lineRule="auto"/>
        <w:jc w:val="both"/>
        <w:rPr>
          <w:rFonts w:ascii="Palatino Linotype" w:eastAsia="Palatino Linotype" w:hAnsi="Palatino Linotype" w:cs="Palatino Linotype"/>
          <w:b/>
        </w:rPr>
      </w:pPr>
      <w:r w:rsidRPr="003E20A8">
        <w:rPr>
          <w:rFonts w:ascii="Palatino Linotype" w:eastAsia="Palatino Linotype" w:hAnsi="Palatino Linotype" w:cs="Palatino Linotype"/>
          <w:b/>
        </w:rPr>
        <w:t>SEGUNDO.</w:t>
      </w:r>
      <w:r w:rsidRPr="003E20A8">
        <w:rPr>
          <w:rFonts w:ascii="Palatino Linotype" w:eastAsia="Palatino Linotype" w:hAnsi="Palatino Linotype" w:cs="Palatino Linotype"/>
          <w:b/>
          <w:color w:val="366091"/>
        </w:rPr>
        <w:t xml:space="preserve"> </w:t>
      </w:r>
      <w:r w:rsidRPr="003E20A8">
        <w:rPr>
          <w:rFonts w:ascii="Palatino Linotype" w:eastAsia="Palatino Linotype" w:hAnsi="Palatino Linotype" w:cs="Palatino Linotype"/>
        </w:rPr>
        <w:t>Se</w:t>
      </w:r>
      <w:r w:rsidR="00576279" w:rsidRPr="003E20A8">
        <w:rPr>
          <w:rFonts w:ascii="Palatino Linotype" w:eastAsia="Palatino Linotype" w:hAnsi="Palatino Linotype" w:cs="Palatino Linotype"/>
          <w:b/>
        </w:rPr>
        <w:t xml:space="preserve"> REVOCA</w:t>
      </w:r>
      <w:r w:rsidRPr="003E20A8">
        <w:rPr>
          <w:rFonts w:ascii="Palatino Linotype" w:eastAsia="Palatino Linotype" w:hAnsi="Palatino Linotype" w:cs="Palatino Linotype"/>
          <w:b/>
        </w:rPr>
        <w:t xml:space="preserve"> </w:t>
      </w:r>
      <w:r w:rsidRPr="003E20A8">
        <w:rPr>
          <w:rFonts w:ascii="Palatino Linotype" w:eastAsia="Palatino Linotype" w:hAnsi="Palatino Linotype" w:cs="Palatino Linotype"/>
        </w:rPr>
        <w:t>la respuesta emitida por el</w:t>
      </w:r>
      <w:r w:rsidRPr="003E20A8">
        <w:rPr>
          <w:rFonts w:ascii="Palatino Linotype" w:eastAsia="Palatino Linotype" w:hAnsi="Palatino Linotype" w:cs="Palatino Linotype"/>
          <w:b/>
        </w:rPr>
        <w:t xml:space="preserve"> </w:t>
      </w:r>
      <w:r w:rsidR="00576279" w:rsidRPr="003E20A8">
        <w:rPr>
          <w:rFonts w:ascii="Palatino Linotype" w:eastAsia="Palatino Linotype" w:hAnsi="Palatino Linotype" w:cs="Palatino Linotype"/>
          <w:b/>
        </w:rPr>
        <w:t xml:space="preserve">Ayuntamiento de </w:t>
      </w:r>
      <w:r w:rsidR="00C76B16" w:rsidRPr="003E20A8">
        <w:rPr>
          <w:rFonts w:ascii="Palatino Linotype" w:eastAsia="Palatino Linotype" w:hAnsi="Palatino Linotype" w:cs="Palatino Linotype"/>
          <w:b/>
        </w:rPr>
        <w:t xml:space="preserve">Ixtapaluca </w:t>
      </w:r>
      <w:r w:rsidRPr="003E20A8">
        <w:rPr>
          <w:rFonts w:ascii="Palatino Linotype" w:eastAsia="Palatino Linotype" w:hAnsi="Palatino Linotype" w:cs="Palatino Linotype"/>
        </w:rPr>
        <w:t>y se</w:t>
      </w:r>
      <w:r w:rsidRPr="003E20A8">
        <w:rPr>
          <w:rFonts w:ascii="Palatino Linotype" w:eastAsia="Palatino Linotype" w:hAnsi="Palatino Linotype" w:cs="Palatino Linotype"/>
          <w:b/>
        </w:rPr>
        <w:t xml:space="preserve"> ORDENA </w:t>
      </w:r>
      <w:r w:rsidRPr="003E20A8">
        <w:rPr>
          <w:rFonts w:ascii="Palatino Linotype" w:eastAsia="Palatino Linotype" w:hAnsi="Palatino Linotype" w:cs="Palatino Linotype"/>
        </w:rPr>
        <w:t xml:space="preserve">entregar vía Sistema de Acceso a la Información Mexiquense </w:t>
      </w:r>
      <w:r w:rsidRPr="003E20A8">
        <w:rPr>
          <w:rFonts w:ascii="Palatino Linotype" w:eastAsia="Palatino Linotype" w:hAnsi="Palatino Linotype" w:cs="Palatino Linotype"/>
          <w:b/>
        </w:rPr>
        <w:t>(SAIMEX)</w:t>
      </w:r>
      <w:r w:rsidRPr="003E20A8">
        <w:rPr>
          <w:rFonts w:ascii="Palatino Linotype" w:eastAsia="Palatino Linotype" w:hAnsi="Palatino Linotype" w:cs="Palatino Linotype"/>
        </w:rPr>
        <w:t>, el o los documentos</w:t>
      </w:r>
      <w:r w:rsidR="00490819" w:rsidRPr="003E20A8">
        <w:rPr>
          <w:rFonts w:ascii="Palatino Linotype" w:eastAsia="Palatino Linotype" w:hAnsi="Palatino Linotype" w:cs="Palatino Linotype"/>
        </w:rPr>
        <w:t>, al mayor grado de desagregación</w:t>
      </w:r>
      <w:r w:rsidR="00A102D7" w:rsidRPr="003E20A8">
        <w:rPr>
          <w:rFonts w:ascii="Palatino Linotype" w:eastAsia="Palatino Linotype" w:hAnsi="Palatino Linotype" w:cs="Palatino Linotype"/>
        </w:rPr>
        <w:t xml:space="preserve"> posible</w:t>
      </w:r>
      <w:r w:rsidR="00490819" w:rsidRPr="003E20A8">
        <w:rPr>
          <w:rFonts w:ascii="Palatino Linotype" w:eastAsia="Palatino Linotype" w:hAnsi="Palatino Linotype" w:cs="Palatino Linotype"/>
        </w:rPr>
        <w:t>,</w:t>
      </w:r>
      <w:r w:rsidRPr="003E20A8">
        <w:rPr>
          <w:rFonts w:ascii="Palatino Linotype" w:eastAsia="Palatino Linotype" w:hAnsi="Palatino Linotype" w:cs="Palatino Linotype"/>
        </w:rPr>
        <w:t xml:space="preserve"> donde obre la siguiente información:</w:t>
      </w:r>
    </w:p>
    <w:p w:rsidR="00576279" w:rsidRPr="003E20A8" w:rsidRDefault="00576279" w:rsidP="00E16E35">
      <w:pPr>
        <w:spacing w:line="360" w:lineRule="auto"/>
        <w:rPr>
          <w:rFonts w:ascii="Palatino Linotype" w:eastAsia="Palatino Linotype" w:hAnsi="Palatino Linotype" w:cs="Palatino Linotype"/>
          <w:b/>
        </w:rPr>
      </w:pPr>
    </w:p>
    <w:p w:rsidR="00576279" w:rsidRPr="003E20A8" w:rsidRDefault="00576279" w:rsidP="00E16E35">
      <w:pPr>
        <w:spacing w:line="360" w:lineRule="auto"/>
        <w:ind w:left="708"/>
        <w:rPr>
          <w:rFonts w:ascii="Palatino Linotype" w:eastAsia="Palatino Linotype" w:hAnsi="Palatino Linotype" w:cs="Palatino Linotype"/>
          <w:b/>
        </w:rPr>
      </w:pPr>
    </w:p>
    <w:p w:rsidR="00576279" w:rsidRPr="003E20A8" w:rsidRDefault="00E610CE" w:rsidP="00E16E35">
      <w:pPr>
        <w:pStyle w:val="Prrafodelista"/>
        <w:numPr>
          <w:ilvl w:val="0"/>
          <w:numId w:val="28"/>
        </w:numPr>
        <w:spacing w:line="360" w:lineRule="auto"/>
        <w:ind w:left="851" w:right="616" w:hanging="284"/>
        <w:jc w:val="both"/>
        <w:rPr>
          <w:rFonts w:ascii="Palatino Linotype" w:eastAsia="Palatino Linotype" w:hAnsi="Palatino Linotype" w:cs="Palatino Linotype"/>
          <w:b/>
        </w:rPr>
      </w:pPr>
      <w:r w:rsidRPr="003E20A8">
        <w:rPr>
          <w:rFonts w:ascii="Palatino Linotype" w:eastAsia="Palatino Linotype" w:hAnsi="Palatino Linotype" w:cs="Palatino Linotype"/>
          <w:b/>
        </w:rPr>
        <w:t>Montos</w:t>
      </w:r>
      <w:r w:rsidR="00203510" w:rsidRPr="003E20A8">
        <w:rPr>
          <w:rFonts w:ascii="Palatino Linotype" w:eastAsia="Palatino Linotype" w:hAnsi="Palatino Linotype" w:cs="Palatino Linotype"/>
          <w:b/>
        </w:rPr>
        <w:t xml:space="preserve"> unitarios</w:t>
      </w:r>
      <w:r w:rsidRPr="003E20A8">
        <w:rPr>
          <w:rFonts w:ascii="Palatino Linotype" w:eastAsia="Palatino Linotype" w:hAnsi="Palatino Linotype" w:cs="Palatino Linotype"/>
          <w:b/>
        </w:rPr>
        <w:t xml:space="preserve"> de los servicios</w:t>
      </w:r>
      <w:r w:rsidR="00983026" w:rsidRPr="003E20A8">
        <w:rPr>
          <w:rFonts w:ascii="Palatino Linotype" w:eastAsia="Palatino Linotype" w:hAnsi="Palatino Linotype" w:cs="Palatino Linotype"/>
          <w:b/>
        </w:rPr>
        <w:t xml:space="preserve"> y/o tramites </w:t>
      </w:r>
      <w:r w:rsidRPr="003E20A8">
        <w:rPr>
          <w:rFonts w:ascii="Palatino Linotype" w:eastAsia="Palatino Linotype" w:hAnsi="Palatino Linotype" w:cs="Palatino Linotype"/>
          <w:b/>
        </w:rPr>
        <w:t>ofrecidos por las oficialías de registro civil del Ayuntamiento de Ixtapaluca</w:t>
      </w:r>
      <w:r w:rsidR="00B64A37" w:rsidRPr="003E20A8">
        <w:rPr>
          <w:rFonts w:ascii="Palatino Linotype" w:eastAsia="Palatino Linotype" w:hAnsi="Palatino Linotype" w:cs="Palatino Linotype"/>
          <w:b/>
        </w:rPr>
        <w:t>,</w:t>
      </w:r>
      <w:r w:rsidR="00DF3B88" w:rsidRPr="003E20A8">
        <w:rPr>
          <w:rFonts w:ascii="Palatino Linotype" w:eastAsia="Palatino Linotype" w:hAnsi="Palatino Linotype" w:cs="Palatino Linotype"/>
          <w:b/>
        </w:rPr>
        <w:t xml:space="preserve"> </w:t>
      </w:r>
      <w:r w:rsidR="00DF3B88" w:rsidRPr="003E20A8">
        <w:rPr>
          <w:rFonts w:ascii="Palatino Linotype" w:eastAsia="Palatino Linotype" w:hAnsi="Palatino Linotype" w:cs="Palatino Linotype"/>
          <w:b/>
        </w:rPr>
        <w:lastRenderedPageBreak/>
        <w:t>remitidos</w:t>
      </w:r>
      <w:r w:rsidR="00B64A37" w:rsidRPr="003E20A8">
        <w:rPr>
          <w:rFonts w:ascii="Palatino Linotype" w:eastAsia="Palatino Linotype" w:hAnsi="Palatino Linotype" w:cs="Palatino Linotype"/>
          <w:b/>
        </w:rPr>
        <w:t xml:space="preserve"> </w:t>
      </w:r>
      <w:r w:rsidR="00983026" w:rsidRPr="003E20A8">
        <w:rPr>
          <w:rFonts w:ascii="Palatino Linotype" w:eastAsia="Palatino Linotype" w:hAnsi="Palatino Linotype" w:cs="Palatino Linotype"/>
          <w:b/>
        </w:rPr>
        <w:t xml:space="preserve">en </w:t>
      </w:r>
      <w:r w:rsidR="00DF3B88" w:rsidRPr="003E20A8">
        <w:rPr>
          <w:rFonts w:ascii="Palatino Linotype" w:eastAsia="Palatino Linotype" w:hAnsi="Palatino Linotype" w:cs="Palatino Linotype"/>
          <w:b/>
        </w:rPr>
        <w:t xml:space="preserve">informe justificado, </w:t>
      </w:r>
      <w:r w:rsidRPr="003E20A8">
        <w:rPr>
          <w:rFonts w:ascii="Palatino Linotype" w:eastAsia="Palatino Linotype" w:hAnsi="Palatino Linotype" w:cs="Palatino Linotype"/>
          <w:b/>
        </w:rPr>
        <w:t>del uno (01) de enero de dos mil veintidós  al dos (02</w:t>
      </w:r>
      <w:r w:rsidR="00490819" w:rsidRPr="003E20A8">
        <w:rPr>
          <w:rFonts w:ascii="Palatino Linotype" w:eastAsia="Palatino Linotype" w:hAnsi="Palatino Linotype" w:cs="Palatino Linotype"/>
          <w:b/>
        </w:rPr>
        <w:t xml:space="preserve">) de mayo de dos mil veintitrés. </w:t>
      </w:r>
    </w:p>
    <w:p w:rsidR="00F745F9" w:rsidRPr="003E20A8" w:rsidRDefault="00F745F9" w:rsidP="00E16E35">
      <w:pPr>
        <w:spacing w:line="360" w:lineRule="auto"/>
        <w:rPr>
          <w:rFonts w:ascii="Palatino Linotype" w:eastAsia="Palatino Linotype" w:hAnsi="Palatino Linotype" w:cs="Palatino Linotype"/>
          <w:b/>
        </w:rPr>
      </w:pPr>
    </w:p>
    <w:p w:rsidR="00625D30" w:rsidRPr="003E20A8" w:rsidRDefault="00B25D7B" w:rsidP="00E16E35">
      <w:pPr>
        <w:shd w:val="clear" w:color="auto" w:fill="FFFFFF"/>
        <w:spacing w:before="240" w:line="360" w:lineRule="auto"/>
        <w:ind w:right="49"/>
        <w:jc w:val="both"/>
        <w:rPr>
          <w:rFonts w:ascii="Palatino Linotype" w:eastAsia="Palatino Linotype" w:hAnsi="Palatino Linotype" w:cs="Palatino Linotype"/>
          <w:b/>
          <w:color w:val="222222"/>
        </w:rPr>
      </w:pPr>
      <w:r w:rsidRPr="003E20A8">
        <w:rPr>
          <w:rFonts w:ascii="Palatino Linotype" w:eastAsia="Palatino Linotype" w:hAnsi="Palatino Linotype" w:cs="Palatino Linotype"/>
          <w:b/>
          <w:color w:val="222222"/>
        </w:rPr>
        <w:t xml:space="preserve">TERCERO. </w:t>
      </w:r>
      <w:r w:rsidR="00625D30" w:rsidRPr="003E20A8">
        <w:rPr>
          <w:rFonts w:ascii="Palatino Linotype" w:eastAsia="Palatino Linotype" w:hAnsi="Palatino Linotype" w:cs="Palatino Linotype"/>
          <w:b/>
          <w:color w:val="222222"/>
        </w:rPr>
        <w:t xml:space="preserve">Notifíquese </w:t>
      </w:r>
      <w:r w:rsidR="00625D30" w:rsidRPr="003E20A8">
        <w:rPr>
          <w:rFonts w:ascii="Palatino Linotype" w:eastAsia="Palatino Linotype" w:hAnsi="Palatino Linotype" w:cs="Palatino Linotype"/>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625D30" w:rsidRPr="003E20A8">
        <w:rPr>
          <w:rFonts w:ascii="Palatino Linotype" w:eastAsia="Palatino Linotype" w:hAnsi="Palatino Linotype" w:cs="Palatino Linotype"/>
          <w:b/>
          <w:lang w:val="es-ES_tradnl"/>
        </w:rPr>
        <w:t>ordenado dentro del plazo de diez días hábiles,</w:t>
      </w:r>
      <w:r w:rsidR="00625D30" w:rsidRPr="003E20A8">
        <w:rPr>
          <w:rFonts w:ascii="Palatino Linotype" w:eastAsia="Palatino Linotype" w:hAnsi="Palatino Linotype" w:cs="Palatino Linotype"/>
          <w:lang w:val="es-ES_tradnl"/>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745F9" w:rsidRPr="003E20A8" w:rsidRDefault="00F745F9" w:rsidP="00E16E35">
      <w:pPr>
        <w:shd w:val="clear" w:color="auto" w:fill="FFFFFF"/>
        <w:spacing w:before="240" w:line="360" w:lineRule="auto"/>
        <w:ind w:right="49"/>
        <w:jc w:val="both"/>
        <w:rPr>
          <w:rFonts w:ascii="Palatino Linotype" w:eastAsia="Palatino Linotype" w:hAnsi="Palatino Linotype" w:cs="Palatino Linotype"/>
          <w:b/>
          <w:color w:val="222222"/>
        </w:rPr>
      </w:pPr>
    </w:p>
    <w:p w:rsidR="00F745F9" w:rsidRPr="003E20A8" w:rsidRDefault="00B25D7B" w:rsidP="00E16E35">
      <w:pPr>
        <w:shd w:val="clear" w:color="auto" w:fill="FFFFFF"/>
        <w:spacing w:line="360" w:lineRule="auto"/>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b/>
          <w:color w:val="000000"/>
        </w:rPr>
        <w:t>CUARTO.</w:t>
      </w:r>
      <w:r w:rsidRPr="003E20A8">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745F9" w:rsidRPr="003E20A8" w:rsidRDefault="00F745F9" w:rsidP="00E16E35">
      <w:pPr>
        <w:spacing w:line="360" w:lineRule="auto"/>
        <w:rPr>
          <w:rFonts w:ascii="Palatino Linotype" w:eastAsia="Palatino Linotype" w:hAnsi="Palatino Linotype" w:cs="Palatino Linotype"/>
        </w:rPr>
      </w:pPr>
    </w:p>
    <w:p w:rsidR="00F745F9" w:rsidRPr="003E20A8" w:rsidRDefault="00B25D7B" w:rsidP="00E16E35">
      <w:pPr>
        <w:shd w:val="clear" w:color="auto" w:fill="FFFFFF"/>
        <w:spacing w:line="360" w:lineRule="auto"/>
        <w:jc w:val="both"/>
        <w:rPr>
          <w:rFonts w:ascii="Palatino Linotype" w:eastAsia="Palatino Linotype" w:hAnsi="Palatino Linotype" w:cs="Palatino Linotype"/>
          <w:color w:val="000000"/>
        </w:rPr>
      </w:pPr>
      <w:r w:rsidRPr="003E20A8">
        <w:rPr>
          <w:rFonts w:ascii="Palatino Linotype" w:eastAsia="Palatino Linotype" w:hAnsi="Palatino Linotype" w:cs="Palatino Linotype"/>
          <w:b/>
        </w:rPr>
        <w:t xml:space="preserve">QUINTO. </w:t>
      </w:r>
      <w:r w:rsidRPr="003E20A8">
        <w:rPr>
          <w:rFonts w:ascii="Palatino Linotype" w:eastAsia="Palatino Linotype" w:hAnsi="Palatino Linotype" w:cs="Palatino Linotype"/>
          <w:b/>
          <w:color w:val="222222"/>
        </w:rPr>
        <w:t xml:space="preserve">Notifíquese </w:t>
      </w:r>
      <w:r w:rsidRPr="003E20A8">
        <w:rPr>
          <w:rFonts w:ascii="Palatino Linotype" w:eastAsia="Palatino Linotype" w:hAnsi="Palatino Linotype" w:cs="Palatino Linotype"/>
          <w:color w:val="222222"/>
        </w:rPr>
        <w:t xml:space="preserve">al </w:t>
      </w:r>
      <w:r w:rsidRPr="003E20A8">
        <w:rPr>
          <w:rFonts w:ascii="Palatino Linotype" w:eastAsia="Palatino Linotype" w:hAnsi="Palatino Linotype" w:cs="Palatino Linotype"/>
          <w:b/>
          <w:color w:val="222222"/>
        </w:rPr>
        <w:t>RECURRENTE</w:t>
      </w:r>
      <w:r w:rsidRPr="003E20A8">
        <w:rPr>
          <w:rFonts w:ascii="Palatino Linotype" w:eastAsia="Palatino Linotype" w:hAnsi="Palatino Linotype" w:cs="Palatino Linotype"/>
          <w:color w:val="222222"/>
        </w:rPr>
        <w:t xml:space="preserve"> </w:t>
      </w:r>
      <w:r w:rsidRPr="003E20A8">
        <w:rPr>
          <w:rFonts w:ascii="Palatino Linotype" w:eastAsia="Palatino Linotype" w:hAnsi="Palatino Linotype" w:cs="Palatino Linotype"/>
        </w:rPr>
        <w:t xml:space="preserve">la presente resolución vía Sistema de Acceso a la Información Mexiquense </w:t>
      </w:r>
      <w:r w:rsidRPr="003E20A8">
        <w:rPr>
          <w:rFonts w:ascii="Palatino Linotype" w:eastAsia="Palatino Linotype" w:hAnsi="Palatino Linotype" w:cs="Palatino Linotype"/>
          <w:b/>
        </w:rPr>
        <w:t>(SAIMEX).</w:t>
      </w:r>
    </w:p>
    <w:p w:rsidR="00F745F9" w:rsidRPr="003E20A8" w:rsidRDefault="00F745F9" w:rsidP="00E16E35">
      <w:pPr>
        <w:shd w:val="clear" w:color="auto" w:fill="FFFFFF"/>
        <w:spacing w:line="360" w:lineRule="auto"/>
        <w:jc w:val="both"/>
        <w:rPr>
          <w:rFonts w:ascii="Palatino Linotype" w:eastAsia="Palatino Linotype" w:hAnsi="Palatino Linotype" w:cs="Palatino Linotype"/>
        </w:rPr>
      </w:pPr>
    </w:p>
    <w:p w:rsidR="00F745F9" w:rsidRPr="003E20A8" w:rsidRDefault="00B25D7B" w:rsidP="00E16E35">
      <w:pPr>
        <w:spacing w:line="360" w:lineRule="auto"/>
        <w:jc w:val="both"/>
        <w:rPr>
          <w:rFonts w:ascii="Palatino Linotype" w:eastAsia="Palatino Linotype" w:hAnsi="Palatino Linotype" w:cs="Palatino Linotype"/>
          <w:b/>
        </w:rPr>
      </w:pPr>
      <w:r w:rsidRPr="003E20A8">
        <w:rPr>
          <w:rFonts w:ascii="Palatino Linotype" w:eastAsia="Palatino Linotype" w:hAnsi="Palatino Linotype" w:cs="Palatino Linotype"/>
          <w:b/>
        </w:rPr>
        <w:lastRenderedPageBreak/>
        <w:t>SEXTO.</w:t>
      </w:r>
      <w:r w:rsidRPr="003E20A8">
        <w:rPr>
          <w:rFonts w:ascii="Palatino Linotype" w:eastAsia="Palatino Linotype" w:hAnsi="Palatino Linotype" w:cs="Palatino Linotype"/>
        </w:rPr>
        <w:t xml:space="preserve"> Se hace del conocimiento del </w:t>
      </w:r>
      <w:r w:rsidRPr="003E20A8">
        <w:rPr>
          <w:rFonts w:ascii="Palatino Linotype" w:eastAsia="Palatino Linotype" w:hAnsi="Palatino Linotype" w:cs="Palatino Linotype"/>
          <w:b/>
        </w:rPr>
        <w:t>RECURRENTE</w:t>
      </w:r>
      <w:r w:rsidRPr="003E20A8">
        <w:rPr>
          <w:rFonts w:ascii="Palatino Linotype" w:eastAsia="Palatino Linotype" w:hAnsi="Palatino Linotype" w:cs="Palatino Linotype"/>
          <w:color w:val="222222"/>
        </w:rPr>
        <w:t xml:space="preserve"> </w:t>
      </w:r>
      <w:r w:rsidRPr="003E20A8">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3E20A8">
        <w:rPr>
          <w:rFonts w:ascii="Palatino Linotype" w:eastAsia="Palatino Linotype" w:hAnsi="Palatino Linotype" w:cs="Palatino Linotype"/>
        </w:rPr>
        <w:tab/>
      </w:r>
      <w:r w:rsidRPr="003E20A8">
        <w:rPr>
          <w:rFonts w:ascii="Palatino Linotype" w:eastAsia="Palatino Linotype" w:hAnsi="Palatino Linotype" w:cs="Palatino Linotype"/>
          <w:b/>
        </w:rPr>
        <w:t xml:space="preserve"> </w:t>
      </w:r>
    </w:p>
    <w:p w:rsidR="005B78D3" w:rsidRPr="005B78D3" w:rsidRDefault="005B78D3" w:rsidP="005B78D3">
      <w:pPr>
        <w:spacing w:before="240" w:after="240" w:line="360" w:lineRule="auto"/>
        <w:ind w:firstLine="1"/>
        <w:jc w:val="both"/>
        <w:rPr>
          <w:rFonts w:ascii="Palatino Linotype" w:hAnsi="Palatino Linotype"/>
          <w:smallCaps/>
        </w:rPr>
      </w:pPr>
      <w:bookmarkStart w:id="24" w:name="_Hlk129792997"/>
      <w:r w:rsidRPr="003E20A8">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8E5B2E">
        <w:rPr>
          <w:rStyle w:val="Referenciasutil"/>
          <w:rFonts w:ascii="Palatino Linotype" w:hAnsi="Palatino Linotype"/>
          <w:color w:val="auto"/>
        </w:rPr>
        <w:t>GUADALUPE RAMÍREZ PEÑA; EN LA VI</w:t>
      </w:r>
      <w:bookmarkStart w:id="25" w:name="_GoBack"/>
      <w:bookmarkEnd w:id="25"/>
      <w:r w:rsidRPr="003E20A8">
        <w:rPr>
          <w:rStyle w:val="Referenciasutil"/>
          <w:rFonts w:ascii="Palatino Linotype" w:hAnsi="Palatino Linotype"/>
          <w:color w:val="auto"/>
        </w:rPr>
        <w:t>GÉSIMA CUARTA SESIÓN ORDINARIA CELEBRADA EL VEINTIOCHO (28) DE JUNIO DE DOS MIL VEINTITRÉS, ANTE EL SECRETARIO TÉCNICO DEL PLENO ALEXIS TAPIA RAMÍREZ.</w:t>
      </w:r>
      <w:r w:rsidRPr="005B78D3">
        <w:rPr>
          <w:rStyle w:val="Referenciasutil"/>
          <w:rFonts w:ascii="Palatino Linotype" w:hAnsi="Palatino Linotype"/>
          <w:color w:val="auto"/>
        </w:rPr>
        <w:t xml:space="preserve"> </w:t>
      </w:r>
      <w:bookmarkEnd w:id="24"/>
    </w:p>
    <w:p w:rsidR="00F745F9" w:rsidRPr="00E16E35" w:rsidRDefault="00F745F9" w:rsidP="00E16E35">
      <w:pPr>
        <w:pStyle w:val="Ttulo1"/>
        <w:spacing w:line="360" w:lineRule="auto"/>
        <w:rPr>
          <w:rFonts w:ascii="Palatino Linotype" w:eastAsia="Palatino Linotype" w:hAnsi="Palatino Linotype" w:cs="Palatino Linotype"/>
          <w:sz w:val="24"/>
          <w:szCs w:val="24"/>
        </w:rPr>
      </w:pPr>
    </w:p>
    <w:p w:rsidR="00F745F9" w:rsidRPr="00E16E35" w:rsidRDefault="00F745F9" w:rsidP="00E16E35">
      <w:pPr>
        <w:spacing w:before="240" w:after="240" w:line="360" w:lineRule="auto"/>
        <w:ind w:firstLine="1"/>
        <w:jc w:val="both"/>
        <w:rPr>
          <w:rFonts w:ascii="Palatino Linotype" w:eastAsia="Palatino Linotype" w:hAnsi="Palatino Linotype" w:cs="Palatino Linotype"/>
        </w:rPr>
      </w:pPr>
    </w:p>
    <w:p w:rsidR="00F745F9" w:rsidRPr="00E16E35" w:rsidRDefault="00F745F9" w:rsidP="00E16E3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rsidR="00F745F9" w:rsidRPr="00E16E35" w:rsidRDefault="00F745F9" w:rsidP="00E16E35">
      <w:pPr>
        <w:tabs>
          <w:tab w:val="left" w:pos="0"/>
          <w:tab w:val="left" w:pos="426"/>
        </w:tabs>
        <w:spacing w:before="240" w:line="360" w:lineRule="auto"/>
        <w:ind w:right="49"/>
        <w:jc w:val="both"/>
        <w:rPr>
          <w:rFonts w:ascii="Palatino Linotype" w:eastAsia="Palatino Linotype" w:hAnsi="Palatino Linotype" w:cs="Palatino Linotype"/>
        </w:rPr>
      </w:pPr>
    </w:p>
    <w:p w:rsidR="00F745F9" w:rsidRPr="00E16E35" w:rsidRDefault="00F745F9" w:rsidP="00E16E35">
      <w:pPr>
        <w:tabs>
          <w:tab w:val="left" w:pos="0"/>
          <w:tab w:val="left" w:pos="426"/>
        </w:tabs>
        <w:spacing w:after="240" w:line="360" w:lineRule="auto"/>
        <w:ind w:right="49"/>
        <w:jc w:val="both"/>
        <w:rPr>
          <w:rFonts w:ascii="Palatino Linotype" w:eastAsia="Palatino Linotype" w:hAnsi="Palatino Linotype" w:cs="Palatino Linotype"/>
        </w:rPr>
      </w:pPr>
    </w:p>
    <w:sectPr w:rsidR="00F745F9" w:rsidRPr="00E16E35">
      <w:headerReference w:type="default" r:id="rId14"/>
      <w:footerReference w:type="default" r:id="rId15"/>
      <w:headerReference w:type="first" r:id="rId16"/>
      <w:footerReference w:type="first" r:id="rId17"/>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F3B" w:rsidRDefault="00AD6F3B">
      <w:r>
        <w:separator/>
      </w:r>
    </w:p>
  </w:endnote>
  <w:endnote w:type="continuationSeparator" w:id="0">
    <w:p w:rsidR="00AD6F3B" w:rsidRDefault="00AD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079" w:rsidRDefault="006560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8E5B2E">
      <w:rPr>
        <w:rFonts w:ascii="Palatino Linotype" w:eastAsia="Palatino Linotype" w:hAnsi="Palatino Linotype" w:cs="Palatino Linotype"/>
        <w:b/>
        <w:noProof/>
        <w:color w:val="000000"/>
      </w:rPr>
      <w:t>27</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8E5B2E">
      <w:rPr>
        <w:rFonts w:ascii="Palatino Linotype" w:eastAsia="Palatino Linotype" w:hAnsi="Palatino Linotype" w:cs="Palatino Linotype"/>
        <w:b/>
        <w:noProof/>
        <w:color w:val="000000"/>
      </w:rPr>
      <w:t>28</w:t>
    </w:r>
    <w:r>
      <w:rPr>
        <w:rFonts w:ascii="Palatino Linotype" w:eastAsia="Palatino Linotype" w:hAnsi="Palatino Linotype" w:cs="Palatino Linotype"/>
        <w:b/>
        <w:color w:val="000000"/>
      </w:rPr>
      <w:fldChar w:fldCharType="end"/>
    </w:r>
  </w:p>
  <w:p w:rsidR="00656079" w:rsidRDefault="00656079">
    <w:pPr>
      <w:pBdr>
        <w:top w:val="nil"/>
        <w:left w:val="nil"/>
        <w:bottom w:val="nil"/>
        <w:right w:val="nil"/>
        <w:between w:val="nil"/>
      </w:pBdr>
      <w:tabs>
        <w:tab w:val="center" w:pos="4252"/>
        <w:tab w:val="right" w:pos="8504"/>
      </w:tabs>
      <w:rPr>
        <w:color w:val="000000"/>
      </w:rPr>
    </w:pPr>
  </w:p>
  <w:p w:rsidR="00656079" w:rsidRDefault="0065607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079" w:rsidRDefault="0065607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E5B2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E5B2E">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rsidR="00656079" w:rsidRDefault="0065607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F3B" w:rsidRDefault="00AD6F3B">
      <w:r>
        <w:separator/>
      </w:r>
    </w:p>
  </w:footnote>
  <w:footnote w:type="continuationSeparator" w:id="0">
    <w:p w:rsidR="00AD6F3B" w:rsidRDefault="00AD6F3B">
      <w:r>
        <w:continuationSeparator/>
      </w:r>
    </w:p>
  </w:footnote>
  <w:footnote w:id="1">
    <w:p w:rsidR="00656079" w:rsidRDefault="00656079">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Artículo 179. El recurso de revisión es un medio de protección que la Ley otorga a los particulares, para hacer valer su derecho de acceso a la información pública, y procederá en contra de las siguientes causas: </w:t>
      </w:r>
    </w:p>
    <w:p w:rsidR="00656079" w:rsidRDefault="00656079">
      <w:pPr>
        <w:pBdr>
          <w:top w:val="nil"/>
          <w:left w:val="nil"/>
          <w:bottom w:val="nil"/>
          <w:right w:val="nil"/>
          <w:between w:val="nil"/>
        </w:pBdr>
        <w:tabs>
          <w:tab w:val="left" w:pos="6300"/>
        </w:tabs>
        <w:jc w:val="both"/>
        <w:rPr>
          <w:rFonts w:ascii="Cambria" w:eastAsia="Cambria" w:hAnsi="Cambria" w:cs="Cambria"/>
          <w:color w:val="000000"/>
          <w:sz w:val="20"/>
          <w:szCs w:val="20"/>
        </w:rPr>
      </w:pPr>
      <w:r>
        <w:rPr>
          <w:rFonts w:ascii="Cambria" w:eastAsia="Cambria" w:hAnsi="Cambria" w:cs="Cambria"/>
          <w:color w:val="000000"/>
          <w:sz w:val="20"/>
          <w:szCs w:val="20"/>
        </w:rPr>
        <w:t>(…)</w:t>
      </w:r>
    </w:p>
    <w:p w:rsidR="00656079" w:rsidRDefault="00656079" w:rsidP="00C4717C">
      <w:pPr>
        <w:pBdr>
          <w:top w:val="nil"/>
          <w:left w:val="nil"/>
          <w:bottom w:val="nil"/>
          <w:right w:val="nil"/>
          <w:between w:val="nil"/>
        </w:pBdr>
        <w:tabs>
          <w:tab w:val="left" w:pos="6300"/>
        </w:tabs>
        <w:jc w:val="both"/>
        <w:rPr>
          <w:rFonts w:ascii="Cambria" w:eastAsia="Cambria" w:hAnsi="Cambria" w:cs="Cambria"/>
          <w:color w:val="000000"/>
          <w:sz w:val="20"/>
          <w:szCs w:val="20"/>
        </w:rPr>
      </w:pPr>
      <w:r>
        <w:rPr>
          <w:rFonts w:ascii="Cambria" w:eastAsia="Cambria" w:hAnsi="Cambria" w:cs="Cambria"/>
          <w:color w:val="000000"/>
          <w:sz w:val="20"/>
          <w:szCs w:val="20"/>
        </w:rPr>
        <w:t>IV</w:t>
      </w:r>
      <w:r w:rsidRPr="00C4717C">
        <w:rPr>
          <w:rFonts w:ascii="Cambria" w:eastAsia="Cambria" w:hAnsi="Cambria" w:cs="Cambria"/>
          <w:color w:val="000000"/>
          <w:sz w:val="20"/>
          <w:szCs w:val="20"/>
        </w:rPr>
        <w:t>. La entrega de información que n</w:t>
      </w:r>
      <w:r>
        <w:rPr>
          <w:rFonts w:ascii="Cambria" w:eastAsia="Cambria" w:hAnsi="Cambria" w:cs="Cambria"/>
          <w:color w:val="000000"/>
          <w:sz w:val="20"/>
          <w:szCs w:val="20"/>
        </w:rPr>
        <w:t>o corresponda con lo solicitado;</w:t>
      </w:r>
      <w:r>
        <w:rPr>
          <w:rFonts w:ascii="Cambria" w:eastAsia="Cambria" w:hAnsi="Cambria" w:cs="Cambria"/>
          <w:color w:val="000000"/>
          <w:sz w:val="20"/>
          <w:szCs w:val="20"/>
        </w:rPr>
        <w:tab/>
      </w:r>
    </w:p>
    <w:p w:rsidR="00656079" w:rsidRDefault="00656079">
      <w:pPr>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w:t>
      </w:r>
    </w:p>
    <w:p w:rsidR="00656079" w:rsidRDefault="00656079">
      <w:pPr>
        <w:pBdr>
          <w:top w:val="nil"/>
          <w:left w:val="nil"/>
          <w:bottom w:val="nil"/>
          <w:right w:val="nil"/>
          <w:between w:val="nil"/>
        </w:pBdr>
        <w:jc w:val="both"/>
        <w:rPr>
          <w:rFonts w:ascii="Cambria" w:eastAsia="Cambria" w:hAnsi="Cambria" w:cs="Cambria"/>
          <w:color w:val="000000"/>
          <w:sz w:val="20"/>
          <w:szCs w:val="20"/>
        </w:rPr>
      </w:pPr>
    </w:p>
    <w:p w:rsidR="00656079" w:rsidRDefault="00656079">
      <w:pPr>
        <w:pBdr>
          <w:top w:val="nil"/>
          <w:left w:val="nil"/>
          <w:bottom w:val="nil"/>
          <w:right w:val="nil"/>
          <w:between w:val="nil"/>
        </w:pBdr>
        <w:jc w:val="both"/>
        <w:rPr>
          <w:rFonts w:ascii="Cambria" w:eastAsia="Cambria" w:hAnsi="Cambria" w:cs="Cambria"/>
          <w:color w:val="000000"/>
          <w:sz w:val="20"/>
          <w:szCs w:val="20"/>
        </w:rPr>
      </w:pPr>
    </w:p>
  </w:footnote>
  <w:footnote w:id="2">
    <w:p w:rsidR="00656079" w:rsidRDefault="0065607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3">
    <w:p w:rsidR="00656079" w:rsidRDefault="0065607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4">
    <w:p w:rsidR="00656079" w:rsidRDefault="0065607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656079" w:rsidRDefault="0065607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6">
    <w:p w:rsidR="00656079" w:rsidRDefault="00656079" w:rsidP="00CB7DF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rsidR="00656079" w:rsidRDefault="00656079" w:rsidP="00CB7DF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rsidR="00656079" w:rsidRDefault="00656079" w:rsidP="00CB7DF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rsidR="00656079" w:rsidRDefault="00656079" w:rsidP="00CB7DF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rsidR="00656079" w:rsidRDefault="00656079" w:rsidP="00CB7DF0">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rsidR="00072275" w:rsidRDefault="00072275" w:rsidP="00072275">
      <w:pPr>
        <w:pStyle w:val="Textonotapie"/>
      </w:pPr>
      <w:r>
        <w:rPr>
          <w:rStyle w:val="Refdenotaalpie"/>
        </w:rPr>
        <w:footnoteRef/>
      </w:r>
      <w:r>
        <w:t xml:space="preserve"> Artículo 142.- Por los servicios que presta el Registro Civil, se pagarán derechos de acuerdo</w:t>
      </w:r>
    </w:p>
    <w:p w:rsidR="00072275" w:rsidRDefault="00072275" w:rsidP="00072275">
      <w:pPr>
        <w:pStyle w:val="Textonotapie"/>
      </w:pPr>
      <w:r>
        <w:t>con la siguiente:</w:t>
      </w:r>
    </w:p>
    <w:p w:rsidR="00072275" w:rsidRPr="00072275" w:rsidRDefault="00072275" w:rsidP="00072275">
      <w:pPr>
        <w:pStyle w:val="Textonotapie"/>
        <w:rPr>
          <w:lang w:val="es-ES"/>
        </w:rPr>
      </w:pPr>
      <w:r>
        <w:t>(…)</w:t>
      </w:r>
    </w:p>
  </w:footnote>
  <w:footnote w:id="8">
    <w:p w:rsidR="00E16E35" w:rsidRDefault="00E16E35" w:rsidP="00E16E3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9">
    <w:p w:rsidR="00E16E35" w:rsidRDefault="00E16E35" w:rsidP="00E16E3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0">
    <w:p w:rsidR="00E16E35" w:rsidRDefault="00E16E35" w:rsidP="00E16E3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rsidR="00E16E35" w:rsidRDefault="00E16E35" w:rsidP="00E16E35">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rsidR="00E16E35" w:rsidRDefault="00E16E35" w:rsidP="00E16E35">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E16E35" w:rsidRDefault="00E16E35" w:rsidP="00E16E35">
      <w:pPr>
        <w:pBdr>
          <w:top w:val="nil"/>
          <w:left w:val="nil"/>
          <w:bottom w:val="nil"/>
          <w:right w:val="nil"/>
          <w:between w:val="nil"/>
        </w:pBdr>
        <w:rPr>
          <w:color w:val="000000"/>
          <w:sz w:val="20"/>
          <w:szCs w:val="20"/>
        </w:rPr>
      </w:pPr>
      <w:r>
        <w:rPr>
          <w:color w:val="000000"/>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079" w:rsidRDefault="00656079">
    <w:pPr>
      <w:widowControl w:val="0"/>
      <w:pBdr>
        <w:top w:val="nil"/>
        <w:left w:val="nil"/>
        <w:bottom w:val="nil"/>
        <w:right w:val="nil"/>
        <w:between w:val="nil"/>
      </w:pBdr>
      <w:spacing w:line="276" w:lineRule="auto"/>
      <w:rPr>
        <w:rFonts w:ascii="Cambria" w:eastAsia="Cambria" w:hAnsi="Cambria" w:cs="Cambria"/>
        <w:color w:val="000000"/>
      </w:rPr>
    </w:pPr>
  </w:p>
  <w:tbl>
    <w:tblPr>
      <w:tblStyle w:val="1"/>
      <w:tblW w:w="6447" w:type="dxa"/>
      <w:tblInd w:w="2964" w:type="dxa"/>
      <w:tblLayout w:type="fixed"/>
      <w:tblLook w:val="0400" w:firstRow="0" w:lastRow="0" w:firstColumn="0" w:lastColumn="0" w:noHBand="0" w:noVBand="1"/>
    </w:tblPr>
    <w:tblGrid>
      <w:gridCol w:w="2701"/>
      <w:gridCol w:w="3746"/>
    </w:tblGrid>
    <w:tr w:rsidR="00656079">
      <w:tc>
        <w:tcPr>
          <w:tcW w:w="2701"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46" w:type="dxa"/>
          <w:vAlign w:val="center"/>
        </w:tcPr>
        <w:p w:rsidR="00656079" w:rsidRDefault="00656079">
          <w:pPr>
            <w:rPr>
              <w:rFonts w:ascii="Palatino Linotype" w:eastAsia="Palatino Linotype" w:hAnsi="Palatino Linotype" w:cs="Palatino Linotype"/>
              <w:b/>
            </w:rPr>
          </w:pPr>
          <w:r w:rsidRPr="00C0318F">
            <w:rPr>
              <w:rFonts w:ascii="Palatino Linotype" w:eastAsia="Palatino Linotype" w:hAnsi="Palatino Linotype" w:cs="Palatino Linotype"/>
              <w:b/>
              <w:bCs/>
            </w:rPr>
            <w:t>02558/INFOEM/IP/RR/2023</w:t>
          </w:r>
        </w:p>
      </w:tc>
    </w:tr>
    <w:tr w:rsidR="00656079">
      <w:trPr>
        <w:trHeight w:val="228"/>
      </w:trPr>
      <w:tc>
        <w:tcPr>
          <w:tcW w:w="2701"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46" w:type="dxa"/>
          <w:vAlign w:val="center"/>
        </w:tcPr>
        <w:p w:rsidR="00656079" w:rsidRDefault="00656079">
          <w:pPr>
            <w:jc w:val="both"/>
            <w:rPr>
              <w:rFonts w:ascii="Palatino Linotype" w:eastAsia="Palatino Linotype" w:hAnsi="Palatino Linotype" w:cs="Palatino Linotype"/>
              <w:b/>
            </w:rPr>
          </w:pPr>
          <w:r w:rsidRPr="00C0318F">
            <w:rPr>
              <w:rFonts w:ascii="Palatino Linotype" w:eastAsia="Palatino Linotype" w:hAnsi="Palatino Linotype" w:cs="Palatino Linotype"/>
              <w:b/>
              <w:bCs/>
            </w:rPr>
            <w:t>Ayuntamiento de Ixtapaluca</w:t>
          </w:r>
        </w:p>
      </w:tc>
    </w:tr>
    <w:tr w:rsidR="00656079">
      <w:tc>
        <w:tcPr>
          <w:tcW w:w="2701"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46" w:type="dxa"/>
          <w:vAlign w:val="center"/>
        </w:tcPr>
        <w:p w:rsidR="00656079" w:rsidRDefault="00656079">
          <w:pPr>
            <w:ind w:right="-533"/>
            <w:rPr>
              <w:rFonts w:ascii="Palatino Linotype" w:eastAsia="Palatino Linotype" w:hAnsi="Palatino Linotype" w:cs="Palatino Linotype"/>
              <w:b/>
            </w:rPr>
          </w:pPr>
          <w:r>
            <w:rPr>
              <w:rFonts w:ascii="Palatino Linotype" w:eastAsia="Palatino Linotype" w:hAnsi="Palatino Linotype" w:cs="Palatino Linotype"/>
              <w:b/>
            </w:rPr>
            <w:t xml:space="preserve">María del Rosario Mejía Ayala  </w:t>
          </w:r>
        </w:p>
      </w:tc>
    </w:tr>
  </w:tbl>
  <w:p w:rsidR="00656079" w:rsidRDefault="00656079">
    <w:pPr>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-1275079</wp:posOffset>
          </wp:positionV>
          <wp:extent cx="7635875" cy="9943465"/>
          <wp:effectExtent l="0" t="0" r="0" b="0"/>
          <wp:wrapNone/>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rsidR="00656079" w:rsidRDefault="00656079">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079" w:rsidRDefault="0065607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-86359</wp:posOffset>
          </wp:positionV>
          <wp:extent cx="7635875" cy="9943465"/>
          <wp:effectExtent l="0" t="0" r="0" b="0"/>
          <wp:wrapNone/>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2"/>
      <w:tblW w:w="6669" w:type="dxa"/>
      <w:tblInd w:w="3256" w:type="dxa"/>
      <w:tblLayout w:type="fixed"/>
      <w:tblLook w:val="0400" w:firstRow="0" w:lastRow="0" w:firstColumn="0" w:lastColumn="0" w:noHBand="0" w:noVBand="1"/>
    </w:tblPr>
    <w:tblGrid>
      <w:gridCol w:w="2693"/>
      <w:gridCol w:w="3976"/>
    </w:tblGrid>
    <w:tr w:rsidR="00656079">
      <w:trPr>
        <w:trHeight w:val="277"/>
      </w:trPr>
      <w:tc>
        <w:tcPr>
          <w:tcW w:w="2693"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976" w:type="dxa"/>
          <w:vAlign w:val="center"/>
        </w:tcPr>
        <w:p w:rsidR="00656079" w:rsidRDefault="00656079">
          <w:pPr>
            <w:rPr>
              <w:rFonts w:ascii="Palatino Linotype" w:eastAsia="Palatino Linotype" w:hAnsi="Palatino Linotype" w:cs="Palatino Linotype"/>
              <w:b/>
            </w:rPr>
          </w:pPr>
          <w:r w:rsidRPr="00706327">
            <w:rPr>
              <w:rFonts w:ascii="Palatino Linotype" w:eastAsia="Palatino Linotype" w:hAnsi="Palatino Linotype" w:cs="Palatino Linotype"/>
              <w:b/>
              <w:bCs/>
            </w:rPr>
            <w:t>02558/INFOEM/IP/RR/2023</w:t>
          </w:r>
        </w:p>
      </w:tc>
    </w:tr>
    <w:tr w:rsidR="00656079">
      <w:tc>
        <w:tcPr>
          <w:tcW w:w="2693"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976" w:type="dxa"/>
          <w:vAlign w:val="center"/>
        </w:tcPr>
        <w:p w:rsidR="00656079" w:rsidRDefault="003E20A8">
          <w:pPr>
            <w:rPr>
              <w:rFonts w:ascii="Palatino Linotype" w:eastAsia="Palatino Linotype" w:hAnsi="Palatino Linotype" w:cs="Palatino Linotype"/>
              <w:b/>
            </w:rPr>
          </w:pPr>
          <w:r>
            <w:rPr>
              <w:rFonts w:ascii="Palatino Linotype" w:eastAsia="Palatino Linotype" w:hAnsi="Palatino Linotype" w:cs="Palatino Linotype"/>
              <w:b/>
              <w:bCs/>
            </w:rPr>
            <w:t>XXX XXXXX XXXX</w:t>
          </w:r>
        </w:p>
      </w:tc>
    </w:tr>
    <w:tr w:rsidR="00656079">
      <w:trPr>
        <w:trHeight w:val="252"/>
      </w:trPr>
      <w:tc>
        <w:tcPr>
          <w:tcW w:w="2693"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976" w:type="dxa"/>
          <w:vAlign w:val="center"/>
        </w:tcPr>
        <w:p w:rsidR="00656079" w:rsidRDefault="00656079" w:rsidP="00665E4F">
          <w:pPr>
            <w:jc w:val="both"/>
            <w:rPr>
              <w:rFonts w:ascii="Palatino Linotype" w:eastAsia="Palatino Linotype" w:hAnsi="Palatino Linotype" w:cs="Palatino Linotype"/>
              <w:b/>
            </w:rPr>
          </w:pPr>
          <w:r w:rsidRPr="00706327">
            <w:rPr>
              <w:rFonts w:ascii="Palatino Linotype" w:eastAsia="Palatino Linotype" w:hAnsi="Palatino Linotype" w:cs="Palatino Linotype"/>
              <w:b/>
            </w:rPr>
            <w:t>Ayuntamiento de Ixtapaluca</w:t>
          </w:r>
        </w:p>
      </w:tc>
    </w:tr>
    <w:tr w:rsidR="00656079">
      <w:tc>
        <w:tcPr>
          <w:tcW w:w="2693" w:type="dxa"/>
          <w:vAlign w:val="center"/>
        </w:tcPr>
        <w:p w:rsidR="00656079" w:rsidRDefault="0065607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976" w:type="dxa"/>
          <w:vAlign w:val="center"/>
        </w:tcPr>
        <w:p w:rsidR="00656079" w:rsidRDefault="00656079">
          <w:pPr>
            <w:ind w:right="-533"/>
            <w:rPr>
              <w:rFonts w:ascii="Palatino Linotype" w:eastAsia="Palatino Linotype" w:hAnsi="Palatino Linotype" w:cs="Palatino Linotype"/>
              <w:b/>
            </w:rPr>
          </w:pPr>
          <w:r>
            <w:rPr>
              <w:rFonts w:ascii="Palatino Linotype" w:eastAsia="Palatino Linotype" w:hAnsi="Palatino Linotype" w:cs="Palatino Linotype"/>
              <w:b/>
            </w:rPr>
            <w:t>María del Rosario Mejía Ayala</w:t>
          </w:r>
        </w:p>
      </w:tc>
    </w:tr>
  </w:tbl>
  <w:p w:rsidR="00656079" w:rsidRDefault="0065607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7E15"/>
    <w:multiLevelType w:val="multilevel"/>
    <w:tmpl w:val="612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537F5"/>
    <w:multiLevelType w:val="hybridMultilevel"/>
    <w:tmpl w:val="D42AF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16803"/>
    <w:multiLevelType w:val="multilevel"/>
    <w:tmpl w:val="359A9D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9F0CCA"/>
    <w:multiLevelType w:val="multilevel"/>
    <w:tmpl w:val="CABAF7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AF6DF8"/>
    <w:multiLevelType w:val="multilevel"/>
    <w:tmpl w:val="4314A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2E456C"/>
    <w:multiLevelType w:val="multilevel"/>
    <w:tmpl w:val="182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7C1701"/>
    <w:multiLevelType w:val="hybridMultilevel"/>
    <w:tmpl w:val="C0200C78"/>
    <w:lvl w:ilvl="0" w:tplc="D3920F9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3B209BF"/>
    <w:multiLevelType w:val="hybridMultilevel"/>
    <w:tmpl w:val="2144B524"/>
    <w:lvl w:ilvl="0" w:tplc="69961DBC">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nsid w:val="245579E1"/>
    <w:multiLevelType w:val="hybridMultilevel"/>
    <w:tmpl w:val="1FF434D0"/>
    <w:lvl w:ilvl="0" w:tplc="43989DE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72F69FE"/>
    <w:multiLevelType w:val="multilevel"/>
    <w:tmpl w:val="25BE547E"/>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27827121"/>
    <w:multiLevelType w:val="multilevel"/>
    <w:tmpl w:val="AAB20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5C476C"/>
    <w:multiLevelType w:val="multilevel"/>
    <w:tmpl w:val="98A21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4317490"/>
    <w:multiLevelType w:val="hybridMultilevel"/>
    <w:tmpl w:val="9768D97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007055"/>
    <w:multiLevelType w:val="hybridMultilevel"/>
    <w:tmpl w:val="03C27DA2"/>
    <w:lvl w:ilvl="0" w:tplc="05FCE63A">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397D2740"/>
    <w:multiLevelType w:val="hybridMultilevel"/>
    <w:tmpl w:val="DB0E2F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C72EF6"/>
    <w:multiLevelType w:val="hybridMultilevel"/>
    <w:tmpl w:val="AE0A5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7E7E48"/>
    <w:multiLevelType w:val="multilevel"/>
    <w:tmpl w:val="D6B43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6057DE6"/>
    <w:multiLevelType w:val="multilevel"/>
    <w:tmpl w:val="4E0803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6FF6C67"/>
    <w:multiLevelType w:val="multilevel"/>
    <w:tmpl w:val="18F60E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D1C10C9"/>
    <w:multiLevelType w:val="multilevel"/>
    <w:tmpl w:val="58D682CC"/>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329362E"/>
    <w:multiLevelType w:val="multilevel"/>
    <w:tmpl w:val="8BA0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3204EE"/>
    <w:multiLevelType w:val="hybridMultilevel"/>
    <w:tmpl w:val="969ECF5A"/>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num>
  <w:num w:numId="2">
    <w:abstractNumId w:val="6"/>
  </w:num>
  <w:num w:numId="3">
    <w:abstractNumId w:val="3"/>
  </w:num>
  <w:num w:numId="4">
    <w:abstractNumId w:val="24"/>
  </w:num>
  <w:num w:numId="5">
    <w:abstractNumId w:val="15"/>
  </w:num>
  <w:num w:numId="6">
    <w:abstractNumId w:val="20"/>
  </w:num>
  <w:num w:numId="7">
    <w:abstractNumId w:val="4"/>
  </w:num>
  <w:num w:numId="8">
    <w:abstractNumId w:val="12"/>
  </w:num>
  <w:num w:numId="9">
    <w:abstractNumId w:val="21"/>
  </w:num>
  <w:num w:numId="10">
    <w:abstractNumId w:val="5"/>
  </w:num>
  <w:num w:numId="11">
    <w:abstractNumId w:val="11"/>
  </w:num>
  <w:num w:numId="12">
    <w:abstractNumId w:val="23"/>
  </w:num>
  <w:num w:numId="13">
    <w:abstractNumId w:val="17"/>
  </w:num>
  <w:num w:numId="14">
    <w:abstractNumId w:val="2"/>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8"/>
  </w:num>
  <w:num w:numId="18">
    <w:abstractNumId w:val="26"/>
  </w:num>
  <w:num w:numId="19">
    <w:abstractNumId w:val="14"/>
  </w:num>
  <w:num w:numId="20">
    <w:abstractNumId w:val="7"/>
  </w:num>
  <w:num w:numId="21">
    <w:abstractNumId w:val="27"/>
  </w:num>
  <w:num w:numId="22">
    <w:abstractNumId w:val="19"/>
  </w:num>
  <w:num w:numId="23">
    <w:abstractNumId w:val="0"/>
  </w:num>
  <w:num w:numId="24">
    <w:abstractNumId w:val="25"/>
  </w:num>
  <w:num w:numId="25">
    <w:abstractNumId w:val="9"/>
  </w:num>
  <w:num w:numId="26">
    <w:abstractNumId w:val="8"/>
  </w:num>
  <w:num w:numId="27">
    <w:abstractNumId w:val="13"/>
  </w:num>
  <w:num w:numId="28">
    <w:abstractNumId w:val="1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5F9"/>
    <w:rsid w:val="000267C6"/>
    <w:rsid w:val="00061F89"/>
    <w:rsid w:val="00072275"/>
    <w:rsid w:val="000826E3"/>
    <w:rsid w:val="00141638"/>
    <w:rsid w:val="00145130"/>
    <w:rsid w:val="00157D4C"/>
    <w:rsid w:val="001811F6"/>
    <w:rsid w:val="001F1C20"/>
    <w:rsid w:val="00203510"/>
    <w:rsid w:val="00207008"/>
    <w:rsid w:val="0022574D"/>
    <w:rsid w:val="00230C2A"/>
    <w:rsid w:val="00245590"/>
    <w:rsid w:val="00264C24"/>
    <w:rsid w:val="00266B62"/>
    <w:rsid w:val="00267ECD"/>
    <w:rsid w:val="002938FC"/>
    <w:rsid w:val="00297F36"/>
    <w:rsid w:val="002A5015"/>
    <w:rsid w:val="002D4F5E"/>
    <w:rsid w:val="003019B5"/>
    <w:rsid w:val="00330985"/>
    <w:rsid w:val="00346B32"/>
    <w:rsid w:val="0036223C"/>
    <w:rsid w:val="00364CE2"/>
    <w:rsid w:val="0038625E"/>
    <w:rsid w:val="003A241D"/>
    <w:rsid w:val="003C0F19"/>
    <w:rsid w:val="003C38F0"/>
    <w:rsid w:val="003C66EC"/>
    <w:rsid w:val="003E20A8"/>
    <w:rsid w:val="003E3363"/>
    <w:rsid w:val="003F61CA"/>
    <w:rsid w:val="004505B8"/>
    <w:rsid w:val="0045393D"/>
    <w:rsid w:val="004544AB"/>
    <w:rsid w:val="00490819"/>
    <w:rsid w:val="004B0827"/>
    <w:rsid w:val="004F746D"/>
    <w:rsid w:val="00504EAB"/>
    <w:rsid w:val="00532CD0"/>
    <w:rsid w:val="0055399D"/>
    <w:rsid w:val="00576279"/>
    <w:rsid w:val="00594EB2"/>
    <w:rsid w:val="005B78D3"/>
    <w:rsid w:val="005E5C33"/>
    <w:rsid w:val="00600D09"/>
    <w:rsid w:val="006053E4"/>
    <w:rsid w:val="00620227"/>
    <w:rsid w:val="00621CB3"/>
    <w:rsid w:val="00625D30"/>
    <w:rsid w:val="00634D45"/>
    <w:rsid w:val="006376E2"/>
    <w:rsid w:val="00656079"/>
    <w:rsid w:val="00664545"/>
    <w:rsid w:val="00665E4F"/>
    <w:rsid w:val="00693EA0"/>
    <w:rsid w:val="00701B3D"/>
    <w:rsid w:val="00706327"/>
    <w:rsid w:val="00741961"/>
    <w:rsid w:val="00741B79"/>
    <w:rsid w:val="0075041C"/>
    <w:rsid w:val="00757546"/>
    <w:rsid w:val="00757922"/>
    <w:rsid w:val="00796C01"/>
    <w:rsid w:val="007B72C5"/>
    <w:rsid w:val="007C4A03"/>
    <w:rsid w:val="00810830"/>
    <w:rsid w:val="008169E1"/>
    <w:rsid w:val="008732A1"/>
    <w:rsid w:val="00897269"/>
    <w:rsid w:val="008B50C0"/>
    <w:rsid w:val="008C199E"/>
    <w:rsid w:val="008E3D36"/>
    <w:rsid w:val="008E5B2E"/>
    <w:rsid w:val="008F0098"/>
    <w:rsid w:val="008F1FE7"/>
    <w:rsid w:val="008F2723"/>
    <w:rsid w:val="0090121A"/>
    <w:rsid w:val="00981034"/>
    <w:rsid w:val="00983026"/>
    <w:rsid w:val="00993B0D"/>
    <w:rsid w:val="009A3044"/>
    <w:rsid w:val="009A318E"/>
    <w:rsid w:val="009E3833"/>
    <w:rsid w:val="009E72D9"/>
    <w:rsid w:val="00A102D7"/>
    <w:rsid w:val="00A20C9D"/>
    <w:rsid w:val="00A259CE"/>
    <w:rsid w:val="00A523B4"/>
    <w:rsid w:val="00AB5942"/>
    <w:rsid w:val="00AD6F3B"/>
    <w:rsid w:val="00AE68D8"/>
    <w:rsid w:val="00AF0A1D"/>
    <w:rsid w:val="00B25D7B"/>
    <w:rsid w:val="00B510E8"/>
    <w:rsid w:val="00B64A37"/>
    <w:rsid w:val="00B86571"/>
    <w:rsid w:val="00BA4A34"/>
    <w:rsid w:val="00C0318F"/>
    <w:rsid w:val="00C03B66"/>
    <w:rsid w:val="00C276CD"/>
    <w:rsid w:val="00C27ACF"/>
    <w:rsid w:val="00C4717C"/>
    <w:rsid w:val="00C54A17"/>
    <w:rsid w:val="00C76B16"/>
    <w:rsid w:val="00C866E2"/>
    <w:rsid w:val="00CA7921"/>
    <w:rsid w:val="00CB7DF0"/>
    <w:rsid w:val="00D0119C"/>
    <w:rsid w:val="00D44021"/>
    <w:rsid w:val="00D536C2"/>
    <w:rsid w:val="00D66486"/>
    <w:rsid w:val="00DC6EDE"/>
    <w:rsid w:val="00DD5FE3"/>
    <w:rsid w:val="00DF3B88"/>
    <w:rsid w:val="00DF6B5C"/>
    <w:rsid w:val="00E0304D"/>
    <w:rsid w:val="00E043D2"/>
    <w:rsid w:val="00E13C51"/>
    <w:rsid w:val="00E13CFA"/>
    <w:rsid w:val="00E16E35"/>
    <w:rsid w:val="00E5209E"/>
    <w:rsid w:val="00E60FB1"/>
    <w:rsid w:val="00E610CE"/>
    <w:rsid w:val="00E7399C"/>
    <w:rsid w:val="00E743DA"/>
    <w:rsid w:val="00EC2F08"/>
    <w:rsid w:val="00EE5870"/>
    <w:rsid w:val="00EE6CD5"/>
    <w:rsid w:val="00F032A7"/>
    <w:rsid w:val="00F27174"/>
    <w:rsid w:val="00F55072"/>
    <w:rsid w:val="00F745F9"/>
    <w:rsid w:val="00FB0B4D"/>
    <w:rsid w:val="00FB1579"/>
    <w:rsid w:val="00FC1396"/>
    <w:rsid w:val="00FC26AB"/>
    <w:rsid w:val="00FE0836"/>
    <w:rsid w:val="00FE4775"/>
    <w:rsid w:val="00FF1E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FAF40B-1DE3-4A54-AE9A-D63B900FE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15" w:type="dxa"/>
        <w:bottom w:w="0" w:type="dxa"/>
        <w:right w:w="115" w:type="dxa"/>
      </w:tblCellMar>
    </w:tblPr>
  </w:style>
  <w:style w:type="table" w:customStyle="1" w:styleId="2">
    <w:name w:val="2"/>
    <w:basedOn w:val="TableNormal"/>
    <w:tblPr>
      <w:tblStyleRowBandSize w:val="1"/>
      <w:tblStyleColBandSize w:val="1"/>
      <w:tblCellMar>
        <w:top w:w="0" w:type="dxa"/>
        <w:left w:w="115" w:type="dxa"/>
        <w:bottom w:w="0" w:type="dxa"/>
        <w:right w:w="115"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character" w:styleId="Referenciasutil">
    <w:name w:val="Subtle Reference"/>
    <w:basedOn w:val="Fuentedeprrafopredeter"/>
    <w:uiPriority w:val="31"/>
    <w:qFormat/>
    <w:rsid w:val="005B78D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796095">
      <w:bodyDiv w:val="1"/>
      <w:marLeft w:val="0"/>
      <w:marRight w:val="0"/>
      <w:marTop w:val="0"/>
      <w:marBottom w:val="0"/>
      <w:divBdr>
        <w:top w:val="none" w:sz="0" w:space="0" w:color="auto"/>
        <w:left w:val="none" w:sz="0" w:space="0" w:color="auto"/>
        <w:bottom w:val="none" w:sz="0" w:space="0" w:color="auto"/>
        <w:right w:val="none" w:sz="0" w:space="0" w:color="auto"/>
      </w:divBdr>
    </w:div>
    <w:div w:id="1033503026">
      <w:bodyDiv w:val="1"/>
      <w:marLeft w:val="0"/>
      <w:marRight w:val="0"/>
      <w:marTop w:val="0"/>
      <w:marBottom w:val="0"/>
      <w:divBdr>
        <w:top w:val="none" w:sz="0" w:space="0" w:color="auto"/>
        <w:left w:val="none" w:sz="0" w:space="0" w:color="auto"/>
        <w:bottom w:val="none" w:sz="0" w:space="0" w:color="auto"/>
        <w:right w:val="none" w:sz="0" w:space="0" w:color="auto"/>
      </w:divBdr>
    </w:div>
    <w:div w:id="1092118500">
      <w:bodyDiv w:val="1"/>
      <w:marLeft w:val="0"/>
      <w:marRight w:val="0"/>
      <w:marTop w:val="0"/>
      <w:marBottom w:val="0"/>
      <w:divBdr>
        <w:top w:val="none" w:sz="0" w:space="0" w:color="auto"/>
        <w:left w:val="none" w:sz="0" w:space="0" w:color="auto"/>
        <w:bottom w:val="none" w:sz="0" w:space="0" w:color="auto"/>
        <w:right w:val="none" w:sz="0" w:space="0" w:color="auto"/>
      </w:divBdr>
    </w:div>
    <w:div w:id="1146509722">
      <w:bodyDiv w:val="1"/>
      <w:marLeft w:val="0"/>
      <w:marRight w:val="0"/>
      <w:marTop w:val="0"/>
      <w:marBottom w:val="0"/>
      <w:divBdr>
        <w:top w:val="none" w:sz="0" w:space="0" w:color="auto"/>
        <w:left w:val="none" w:sz="0" w:space="0" w:color="auto"/>
        <w:bottom w:val="none" w:sz="0" w:space="0" w:color="auto"/>
        <w:right w:val="none" w:sz="0" w:space="0" w:color="auto"/>
      </w:divBdr>
    </w:div>
    <w:div w:id="1365717388">
      <w:bodyDiv w:val="1"/>
      <w:marLeft w:val="0"/>
      <w:marRight w:val="0"/>
      <w:marTop w:val="0"/>
      <w:marBottom w:val="0"/>
      <w:divBdr>
        <w:top w:val="none" w:sz="0" w:space="0" w:color="auto"/>
        <w:left w:val="none" w:sz="0" w:space="0" w:color="auto"/>
        <w:bottom w:val="none" w:sz="0" w:space="0" w:color="auto"/>
        <w:right w:val="none" w:sz="0" w:space="0" w:color="auto"/>
      </w:divBdr>
    </w:div>
    <w:div w:id="1791971818">
      <w:bodyDiv w:val="1"/>
      <w:marLeft w:val="0"/>
      <w:marRight w:val="0"/>
      <w:marTop w:val="0"/>
      <w:marBottom w:val="0"/>
      <w:divBdr>
        <w:top w:val="none" w:sz="0" w:space="0" w:color="auto"/>
        <w:left w:val="none" w:sz="0" w:space="0" w:color="auto"/>
        <w:bottom w:val="none" w:sz="0" w:space="0" w:color="auto"/>
        <w:right w:val="none" w:sz="0" w:space="0" w:color="auto"/>
      </w:divBdr>
    </w:div>
    <w:div w:id="1934390015">
      <w:bodyDiv w:val="1"/>
      <w:marLeft w:val="0"/>
      <w:marRight w:val="0"/>
      <w:marTop w:val="0"/>
      <w:marBottom w:val="0"/>
      <w:divBdr>
        <w:top w:val="none" w:sz="0" w:space="0" w:color="auto"/>
        <w:left w:val="none" w:sz="0" w:space="0" w:color="auto"/>
        <w:bottom w:val="none" w:sz="0" w:space="0" w:color="auto"/>
        <w:right w:val="none" w:sz="0" w:space="0" w:color="auto"/>
      </w:divBdr>
    </w:div>
    <w:div w:id="1986006118">
      <w:bodyDiv w:val="1"/>
      <w:marLeft w:val="0"/>
      <w:marRight w:val="0"/>
      <w:marTop w:val="0"/>
      <w:marBottom w:val="0"/>
      <w:divBdr>
        <w:top w:val="none" w:sz="0" w:space="0" w:color="auto"/>
        <w:left w:val="none" w:sz="0" w:space="0" w:color="auto"/>
        <w:bottom w:val="none" w:sz="0" w:space="0" w:color="auto"/>
        <w:right w:val="none" w:sz="0" w:space="0" w:color="auto"/>
      </w:divBdr>
    </w:div>
    <w:div w:id="2067141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imex.org.mx/saimex/solicitud/downloadAttach/1193286.pag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aimex.org.mx/saimex/solicitud/downloadAttach/1533555.pag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saimex.org.mx/saimex/solicitud/downloadAttach/1794405.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w+u6xfLAarEu/Pzwj80hvTs1CA==">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770149-034D-422E-BE79-47C070F1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5273</Words>
  <Characters>29007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dcterms:created xsi:type="dcterms:W3CDTF">2023-06-28T00:21:00Z</dcterms:created>
  <dcterms:modified xsi:type="dcterms:W3CDTF">2023-07-04T02:33:00Z</dcterms:modified>
</cp:coreProperties>
</file>