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88D" w:rsidRPr="00FB7930" w:rsidRDefault="0006196D">
      <w:pPr>
        <w:tabs>
          <w:tab w:val="left" w:pos="3686"/>
        </w:tabs>
        <w:spacing w:line="360" w:lineRule="auto"/>
        <w:jc w:val="both"/>
        <w:rPr>
          <w:rFonts w:ascii="Palatino Linotype" w:eastAsia="Palatino Linotype" w:hAnsi="Palatino Linotype" w:cs="Palatino Linotype"/>
        </w:rPr>
      </w:pPr>
      <w:bookmarkStart w:id="0" w:name="_heading=h.tyjcwt" w:colFirst="0" w:colLast="0"/>
      <w:bookmarkEnd w:id="0"/>
      <w:r w:rsidRPr="00FB793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octubre de dos mil veintitrés. </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VISTO</w:t>
      </w:r>
      <w:r w:rsidRPr="00FB7930">
        <w:rPr>
          <w:rFonts w:ascii="Palatino Linotype" w:eastAsia="Palatino Linotype" w:hAnsi="Palatino Linotype" w:cs="Palatino Linotype"/>
        </w:rPr>
        <w:t xml:space="preserve"> el expediente formado con motivo del recurso de revisión </w:t>
      </w:r>
      <w:r w:rsidRPr="00FB7930">
        <w:rPr>
          <w:rFonts w:ascii="Palatino Linotype" w:eastAsia="Palatino Linotype" w:hAnsi="Palatino Linotype" w:cs="Palatino Linotype"/>
          <w:b/>
        </w:rPr>
        <w:t>03194/INFOEM/IP/RR/2023</w:t>
      </w:r>
      <w:r w:rsidRPr="00FB7930">
        <w:rPr>
          <w:rFonts w:ascii="Palatino Linotype" w:eastAsia="Palatino Linotype" w:hAnsi="Palatino Linotype" w:cs="Palatino Linotype"/>
        </w:rPr>
        <w:t>, interpuesto por una persona que dijo ser</w:t>
      </w:r>
      <w:r w:rsidR="002C191C">
        <w:rPr>
          <w:rFonts w:ascii="Palatino Linotype" w:eastAsia="Palatino Linotype" w:hAnsi="Palatino Linotype" w:cs="Palatino Linotype"/>
          <w:b/>
        </w:rPr>
        <w:t xml:space="preserve"> XXXX XXX XXXXXX XXXXXX</w:t>
      </w:r>
      <w:bookmarkStart w:id="1" w:name="_GoBack"/>
      <w:bookmarkEnd w:id="1"/>
      <w:r w:rsidRPr="00FB7930">
        <w:rPr>
          <w:rFonts w:ascii="Palatino Linotype" w:eastAsia="Palatino Linotype" w:hAnsi="Palatino Linotype" w:cs="Palatino Linotype"/>
          <w:b/>
        </w:rPr>
        <w:t xml:space="preserve">, </w:t>
      </w:r>
      <w:r w:rsidRPr="00FB7930">
        <w:rPr>
          <w:rFonts w:ascii="Palatino Linotype" w:eastAsia="Palatino Linotype" w:hAnsi="Palatino Linotype" w:cs="Palatino Linotype"/>
        </w:rPr>
        <w:t>a quien en lo subsecuente se le denominará como</w:t>
      </w:r>
      <w:r w:rsidRPr="00FB7930">
        <w:rPr>
          <w:rFonts w:ascii="Palatino Linotype" w:eastAsia="Palatino Linotype" w:hAnsi="Palatino Linotype" w:cs="Palatino Linotype"/>
          <w:b/>
        </w:rPr>
        <w:t xml:space="preserve"> LA PARTE RECURRENTE,</w:t>
      </w:r>
      <w:r w:rsidRPr="00FB7930">
        <w:rPr>
          <w:rFonts w:ascii="Palatino Linotype" w:eastAsia="Palatino Linotype" w:hAnsi="Palatino Linotype" w:cs="Palatino Linotype"/>
        </w:rPr>
        <w:t xml:space="preserve"> en contra de la respuesta a la solicitud </w:t>
      </w:r>
      <w:r w:rsidRPr="00FB7930">
        <w:rPr>
          <w:rFonts w:ascii="Palatino Linotype" w:eastAsia="Palatino Linotype" w:hAnsi="Palatino Linotype" w:cs="Palatino Linotype"/>
          <w:b/>
        </w:rPr>
        <w:t>00042/TEPETLAO/IP/2023</w:t>
      </w:r>
      <w:r w:rsidRPr="00FB7930">
        <w:rPr>
          <w:rFonts w:ascii="Palatino Linotype" w:eastAsia="Palatino Linotype" w:hAnsi="Palatino Linotype" w:cs="Palatino Linotype"/>
        </w:rPr>
        <w:t xml:space="preserve"> por parte del</w:t>
      </w:r>
      <w:r w:rsidRPr="00FB7930">
        <w:rPr>
          <w:rFonts w:ascii="Palatino Linotype" w:eastAsia="Palatino Linotype" w:hAnsi="Palatino Linotype" w:cs="Palatino Linotype"/>
          <w:b/>
        </w:rPr>
        <w:t xml:space="preserve"> Ayuntamiento de </w:t>
      </w:r>
      <w:proofErr w:type="spellStart"/>
      <w:r w:rsidRPr="00FB7930">
        <w:rPr>
          <w:rFonts w:ascii="Palatino Linotype" w:eastAsia="Palatino Linotype" w:hAnsi="Palatino Linotype" w:cs="Palatino Linotype"/>
          <w:b/>
        </w:rPr>
        <w:t>Tepetlaoxtoc</w:t>
      </w:r>
      <w:proofErr w:type="spellEnd"/>
      <w:r w:rsidRPr="00FB7930">
        <w:rPr>
          <w:rFonts w:ascii="Palatino Linotype" w:eastAsia="Palatino Linotype" w:hAnsi="Palatino Linotype" w:cs="Palatino Linotype"/>
          <w:b/>
        </w:rPr>
        <w:t xml:space="preserve">, </w:t>
      </w:r>
      <w:r w:rsidRPr="00FB7930">
        <w:rPr>
          <w:rFonts w:ascii="Palatino Linotype" w:eastAsia="Palatino Linotype" w:hAnsi="Palatino Linotype" w:cs="Palatino Linotype"/>
        </w:rPr>
        <w:t xml:space="preserve">a quien en lo sucesivo se le denominará como </w:t>
      </w:r>
      <w:r w:rsidRPr="00FB7930">
        <w:rPr>
          <w:rFonts w:ascii="Palatino Linotype" w:eastAsia="Palatino Linotype" w:hAnsi="Palatino Linotype" w:cs="Palatino Linotype"/>
          <w:b/>
        </w:rPr>
        <w:t xml:space="preserve">EL SUJETO OBLIGADO, </w:t>
      </w:r>
      <w:r w:rsidRPr="00FB7930">
        <w:rPr>
          <w:rFonts w:ascii="Palatino Linotype" w:eastAsia="Palatino Linotype" w:hAnsi="Palatino Linotype" w:cs="Palatino Linotype"/>
        </w:rPr>
        <w:t>se procede a dictar la presente resolución con base en los siguientes</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rPr>
      </w:pPr>
      <w:r w:rsidRPr="00FB7930">
        <w:rPr>
          <w:rFonts w:ascii="Palatino Linotype" w:eastAsia="Palatino Linotype" w:hAnsi="Palatino Linotype" w:cs="Palatino Linotype"/>
          <w:b/>
        </w:rPr>
        <w:t>A N T E C E D E N T E S:</w:t>
      </w:r>
    </w:p>
    <w:p w:rsidR="0047288D" w:rsidRPr="00FB7930" w:rsidRDefault="0047288D">
      <w:pPr>
        <w:pBdr>
          <w:top w:val="nil"/>
          <w:left w:val="nil"/>
          <w:bottom w:val="nil"/>
          <w:right w:val="nil"/>
          <w:between w:val="nil"/>
        </w:pBdr>
        <w:spacing w:line="360" w:lineRule="auto"/>
        <w:ind w:left="1080"/>
        <w:rPr>
          <w:rFonts w:ascii="Palatino Linotype" w:eastAsia="Palatino Linotype" w:hAnsi="Palatino Linotype" w:cs="Palatino Linotype"/>
          <w:b/>
        </w:rPr>
      </w:pPr>
    </w:p>
    <w:p w:rsidR="0047288D" w:rsidRPr="00FB7930" w:rsidRDefault="0006196D">
      <w:pPr>
        <w:spacing w:line="360" w:lineRule="auto"/>
        <w:jc w:val="both"/>
        <w:rPr>
          <w:rFonts w:ascii="Palatino Linotype" w:eastAsia="Palatino Linotype" w:hAnsi="Palatino Linotype" w:cs="Palatino Linotype"/>
        </w:rPr>
      </w:pPr>
      <w:bookmarkStart w:id="2" w:name="_heading=h.gjdgxs" w:colFirst="0" w:colLast="0"/>
      <w:bookmarkEnd w:id="2"/>
      <w:r w:rsidRPr="00FB7930">
        <w:rPr>
          <w:rFonts w:ascii="Palatino Linotype" w:eastAsia="Palatino Linotype" w:hAnsi="Palatino Linotype" w:cs="Palatino Linotype"/>
          <w:b/>
        </w:rPr>
        <w:t>1. Solicitud de acceso a la información.</w:t>
      </w:r>
      <w:r w:rsidRPr="00FB7930">
        <w:rPr>
          <w:rFonts w:ascii="Palatino Linotype" w:eastAsia="Palatino Linotype" w:hAnsi="Palatino Linotype" w:cs="Palatino Linotype"/>
        </w:rPr>
        <w:t xml:space="preserve"> El</w:t>
      </w:r>
      <w:r w:rsidRPr="00FB7930">
        <w:rPr>
          <w:rFonts w:ascii="Palatino Linotype" w:eastAsia="Palatino Linotype" w:hAnsi="Palatino Linotype" w:cs="Palatino Linotype"/>
          <w:b/>
        </w:rPr>
        <w:t xml:space="preserve"> primero de junio de dos mil veintitrés,</w:t>
      </w:r>
      <w:r w:rsidRPr="00FB7930">
        <w:rPr>
          <w:rFonts w:ascii="Palatino Linotype" w:eastAsia="Palatino Linotype" w:hAnsi="Palatino Linotype" w:cs="Palatino Linotype"/>
        </w:rPr>
        <w:t xml:space="preserve"> </w:t>
      </w:r>
      <w:r w:rsidRPr="00FB7930">
        <w:rPr>
          <w:rFonts w:ascii="Palatino Linotype" w:eastAsia="Palatino Linotype" w:hAnsi="Palatino Linotype" w:cs="Palatino Linotype"/>
          <w:b/>
        </w:rPr>
        <w:t>LA PARTE</w:t>
      </w:r>
      <w:r w:rsidRPr="00FB7930">
        <w:rPr>
          <w:rFonts w:ascii="Palatino Linotype" w:eastAsia="Palatino Linotype" w:hAnsi="Palatino Linotype" w:cs="Palatino Linotype"/>
        </w:rPr>
        <w:t xml:space="preserve"> </w:t>
      </w:r>
      <w:r w:rsidRPr="00FB7930">
        <w:rPr>
          <w:rFonts w:ascii="Palatino Linotype" w:eastAsia="Palatino Linotype" w:hAnsi="Palatino Linotype" w:cs="Palatino Linotype"/>
          <w:b/>
        </w:rPr>
        <w:t xml:space="preserve">RECURRENTE </w:t>
      </w:r>
      <w:r w:rsidRPr="00FB7930">
        <w:rPr>
          <w:rFonts w:ascii="Palatino Linotype" w:eastAsia="Palatino Linotype" w:hAnsi="Palatino Linotype" w:cs="Palatino Linotype"/>
        </w:rPr>
        <w:t>a través del Sistema de Acceso a la Información Mexiquense o SAIMEX</w:t>
      </w:r>
      <w:r w:rsidRPr="00FB7930">
        <w:rPr>
          <w:rFonts w:ascii="Palatino Linotype" w:eastAsia="Palatino Linotype" w:hAnsi="Palatino Linotype" w:cs="Palatino Linotype"/>
          <w:b/>
        </w:rPr>
        <w:t>,</w:t>
      </w:r>
      <w:r w:rsidRPr="00FB7930">
        <w:rPr>
          <w:rFonts w:ascii="Palatino Linotype" w:eastAsia="Palatino Linotype" w:hAnsi="Palatino Linotype" w:cs="Palatino Linotype"/>
        </w:rPr>
        <w:t xml:space="preserve"> realizó la solicitud de acceso a la información pública</w:t>
      </w:r>
      <w:r w:rsidRPr="00FB7930">
        <w:rPr>
          <w:rFonts w:ascii="Palatino Linotype" w:eastAsia="Palatino Linotype" w:hAnsi="Palatino Linotype" w:cs="Palatino Linotype"/>
          <w:b/>
        </w:rPr>
        <w:t xml:space="preserve"> 00042/TEPETLAO/IP/2022</w:t>
      </w:r>
      <w:r w:rsidRPr="00FB7930">
        <w:rPr>
          <w:rFonts w:ascii="Palatino Linotype" w:eastAsia="Palatino Linotype" w:hAnsi="Palatino Linotype" w:cs="Palatino Linotype"/>
        </w:rPr>
        <w:t>, en la cual requirió de:</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“Solicito copia de las </w:t>
      </w:r>
      <w:r w:rsidRPr="00FB7930">
        <w:rPr>
          <w:rFonts w:ascii="Palatino Linotype" w:eastAsia="Palatino Linotype" w:hAnsi="Palatino Linotype" w:cs="Palatino Linotype"/>
          <w:b/>
          <w:i/>
          <w:sz w:val="22"/>
          <w:szCs w:val="22"/>
          <w:u w:val="single"/>
        </w:rPr>
        <w:t xml:space="preserve">notificaciones de manera </w:t>
      </w:r>
      <w:proofErr w:type="spellStart"/>
      <w:r w:rsidRPr="00FB7930">
        <w:rPr>
          <w:rFonts w:ascii="Palatino Linotype" w:eastAsia="Palatino Linotype" w:hAnsi="Palatino Linotype" w:cs="Palatino Linotype"/>
          <w:b/>
          <w:i/>
          <w:sz w:val="22"/>
          <w:szCs w:val="22"/>
          <w:u w:val="single"/>
        </w:rPr>
        <w:t>publica</w:t>
      </w:r>
      <w:proofErr w:type="spellEnd"/>
      <w:r w:rsidRPr="00FB7930">
        <w:rPr>
          <w:rFonts w:ascii="Palatino Linotype" w:eastAsia="Palatino Linotype" w:hAnsi="Palatino Linotype" w:cs="Palatino Linotype"/>
          <w:b/>
          <w:i/>
          <w:sz w:val="22"/>
          <w:szCs w:val="22"/>
          <w:u w:val="single"/>
        </w:rPr>
        <w:t xml:space="preserve"> que se le hicieron a los propietarios de los predios colindantes de los inmuebles que se adquirieron en los últimos quince años por el municipio de </w:t>
      </w:r>
      <w:proofErr w:type="spellStart"/>
      <w:r w:rsidRPr="00FB7930">
        <w:rPr>
          <w:rFonts w:ascii="Palatino Linotype" w:eastAsia="Palatino Linotype" w:hAnsi="Palatino Linotype" w:cs="Palatino Linotype"/>
          <w:b/>
          <w:i/>
          <w:sz w:val="22"/>
          <w:szCs w:val="22"/>
          <w:u w:val="single"/>
        </w:rPr>
        <w:t>Tepetlaoxtoc</w:t>
      </w:r>
      <w:proofErr w:type="spellEnd"/>
      <w:r w:rsidRPr="00FB7930">
        <w:rPr>
          <w:rFonts w:ascii="Palatino Linotype" w:eastAsia="Palatino Linotype" w:hAnsi="Palatino Linotype" w:cs="Palatino Linotype"/>
          <w:i/>
          <w:sz w:val="22"/>
          <w:szCs w:val="22"/>
        </w:rPr>
        <w:t xml:space="preserve">, Estado de México. En caso de no tenerlas manifestar la razón, en caso de extravió </w:t>
      </w:r>
      <w:proofErr w:type="gramStart"/>
      <w:r w:rsidRPr="00FB7930">
        <w:rPr>
          <w:rFonts w:ascii="Palatino Linotype" w:eastAsia="Palatino Linotype" w:hAnsi="Palatino Linotype" w:cs="Palatino Linotype"/>
          <w:i/>
          <w:sz w:val="22"/>
          <w:szCs w:val="22"/>
        </w:rPr>
        <w:t>mencionar</w:t>
      </w:r>
      <w:proofErr w:type="gramEnd"/>
      <w:r w:rsidRPr="00FB7930">
        <w:rPr>
          <w:rFonts w:ascii="Palatino Linotype" w:eastAsia="Palatino Linotype" w:hAnsi="Palatino Linotype" w:cs="Palatino Linotype"/>
          <w:i/>
          <w:sz w:val="22"/>
          <w:szCs w:val="22"/>
        </w:rPr>
        <w:t xml:space="preserve"> si se </w:t>
      </w:r>
      <w:proofErr w:type="spellStart"/>
      <w:r w:rsidRPr="00FB7930">
        <w:rPr>
          <w:rFonts w:ascii="Palatino Linotype" w:eastAsia="Palatino Linotype" w:hAnsi="Palatino Linotype" w:cs="Palatino Linotype"/>
          <w:i/>
          <w:sz w:val="22"/>
          <w:szCs w:val="22"/>
        </w:rPr>
        <w:t>realizo</w:t>
      </w:r>
      <w:proofErr w:type="spellEnd"/>
      <w:r w:rsidRPr="00FB7930">
        <w:rPr>
          <w:rFonts w:ascii="Palatino Linotype" w:eastAsia="Palatino Linotype" w:hAnsi="Palatino Linotype" w:cs="Palatino Linotype"/>
          <w:i/>
          <w:sz w:val="22"/>
          <w:szCs w:val="22"/>
        </w:rPr>
        <w:t xml:space="preserve"> la denuncia correspondiente por sustracción de documento oficial, en caso contrario mencionar si se realizara la denuncia y el responsable de hacer la denuncia.” (Sic)</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lastRenderedPageBreak/>
        <w:t>Modalidad de Entrega:</w:t>
      </w:r>
      <w:r w:rsidRPr="00FB7930">
        <w:rPr>
          <w:rFonts w:ascii="Palatino Linotype" w:eastAsia="Palatino Linotype" w:hAnsi="Palatino Linotype" w:cs="Palatino Linotype"/>
        </w:rPr>
        <w:t xml:space="preserve"> A través del SAIMEX.</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 xml:space="preserve">2. Respuesta. </w:t>
      </w:r>
      <w:r w:rsidRPr="00FB7930">
        <w:rPr>
          <w:rFonts w:ascii="Palatino Linotype" w:eastAsia="Palatino Linotype" w:hAnsi="Palatino Linotype" w:cs="Palatino Linotype"/>
        </w:rPr>
        <w:t>El</w:t>
      </w:r>
      <w:r w:rsidRPr="00FB7930">
        <w:rPr>
          <w:rFonts w:ascii="Palatino Linotype" w:eastAsia="Palatino Linotype" w:hAnsi="Palatino Linotype" w:cs="Palatino Linotype"/>
          <w:b/>
        </w:rPr>
        <w:t xml:space="preserve"> siete de junio de dos mil veintitrés, EL SUJETO OBLIGADO </w:t>
      </w:r>
      <w:r w:rsidRPr="00FB7930">
        <w:rPr>
          <w:rFonts w:ascii="Palatino Linotype" w:eastAsia="Palatino Linotype" w:hAnsi="Palatino Linotype" w:cs="Palatino Linotype"/>
        </w:rPr>
        <w:t>respondió a la solicitud de información con los siguientes archivos:</w:t>
      </w:r>
    </w:p>
    <w:p w:rsidR="0047288D" w:rsidRPr="00FB7930" w:rsidRDefault="0047288D">
      <w:pPr>
        <w:spacing w:line="360" w:lineRule="auto"/>
        <w:jc w:val="both"/>
        <w:rPr>
          <w:rFonts w:ascii="Palatino Linotype" w:eastAsia="Palatino Linotype" w:hAnsi="Palatino Linotype" w:cs="Palatino Linotype"/>
          <w:b/>
          <w:i/>
        </w:rPr>
      </w:pPr>
    </w:p>
    <w:p w:rsidR="0047288D" w:rsidRPr="00FB7930" w:rsidRDefault="0006196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r w:rsidRPr="00FB7930">
        <w:rPr>
          <w:rFonts w:ascii="Palatino Linotype" w:eastAsia="Palatino Linotype" w:hAnsi="Palatino Linotype" w:cs="Palatino Linotype"/>
          <w:b/>
          <w:i/>
        </w:rPr>
        <w:t>respuesta sindicatura.pdf</w:t>
      </w:r>
    </w:p>
    <w:p w:rsidR="0047288D" w:rsidRPr="00FB7930" w:rsidRDefault="0047288D">
      <w:pPr>
        <w:pBdr>
          <w:top w:val="nil"/>
          <w:left w:val="nil"/>
          <w:bottom w:val="nil"/>
          <w:right w:val="nil"/>
          <w:between w:val="nil"/>
        </w:pBdr>
        <w:spacing w:line="360" w:lineRule="auto"/>
        <w:ind w:left="720"/>
        <w:jc w:val="both"/>
        <w:rPr>
          <w:rFonts w:ascii="Palatino Linotype" w:eastAsia="Palatino Linotype" w:hAnsi="Palatino Linotype" w:cs="Palatino Linotype"/>
          <w:b/>
          <w:i/>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Contiene la copia certificada por la Secretaría del Ayuntamiento </w:t>
      </w:r>
      <w:r w:rsidRPr="00FB7930">
        <w:rPr>
          <w:rFonts w:ascii="Palatino Linotype" w:eastAsia="Palatino Linotype" w:hAnsi="Palatino Linotype" w:cs="Palatino Linotype"/>
          <w:i/>
        </w:rPr>
        <w:t>TEPE/S.A./012/2023-06</w:t>
      </w:r>
      <w:r w:rsidRPr="00FB7930">
        <w:rPr>
          <w:rFonts w:ascii="Palatino Linotype" w:eastAsia="Palatino Linotype" w:hAnsi="Palatino Linotype" w:cs="Palatino Linotype"/>
        </w:rPr>
        <w:t xml:space="preserve"> del oficio </w:t>
      </w:r>
      <w:r w:rsidRPr="00FB7930">
        <w:rPr>
          <w:rFonts w:ascii="Palatino Linotype" w:eastAsia="Palatino Linotype" w:hAnsi="Palatino Linotype" w:cs="Palatino Linotype"/>
          <w:i/>
        </w:rPr>
        <w:t xml:space="preserve">TEPE/SIND/037/2023 </w:t>
      </w:r>
      <w:r w:rsidRPr="00FB7930">
        <w:rPr>
          <w:rFonts w:ascii="Palatino Linotype" w:eastAsia="Palatino Linotype" w:hAnsi="Palatino Linotype" w:cs="Palatino Linotype"/>
        </w:rPr>
        <w:t xml:space="preserve">de fecha tres de junio de dos mil veintitrés, signado por la Sindicatura Municipal de </w:t>
      </w:r>
      <w:proofErr w:type="spellStart"/>
      <w:r w:rsidRPr="00FB7930">
        <w:rPr>
          <w:rFonts w:ascii="Palatino Linotype" w:eastAsia="Palatino Linotype" w:hAnsi="Palatino Linotype" w:cs="Palatino Linotype"/>
        </w:rPr>
        <w:t>Tepetlaoxtoc</w:t>
      </w:r>
      <w:proofErr w:type="spellEnd"/>
      <w:r w:rsidRPr="00FB7930">
        <w:rPr>
          <w:rFonts w:ascii="Palatino Linotype" w:eastAsia="Palatino Linotype" w:hAnsi="Palatino Linotype" w:cs="Palatino Linotype"/>
        </w:rPr>
        <w:t xml:space="preserve"> y dirigido a la Secretaría del Ayuntamiento del mismo Ayuntamiento, por medio del cual se hizo del conocimiento que no existen las notificaciones solicitadas por </w:t>
      </w:r>
      <w:r w:rsidRPr="00FB7930">
        <w:rPr>
          <w:rFonts w:ascii="Palatino Linotype" w:eastAsia="Palatino Linotype" w:hAnsi="Palatino Linotype" w:cs="Palatino Linotype"/>
          <w:b/>
        </w:rPr>
        <w:t>LA PARTE RECURRENTE</w:t>
      </w:r>
      <w:r w:rsidRPr="00FB7930">
        <w:rPr>
          <w:rFonts w:ascii="Palatino Linotype" w:eastAsia="Palatino Linotype" w:hAnsi="Palatino Linotype" w:cs="Palatino Linotype"/>
        </w:rPr>
        <w:t xml:space="preserve"> debido a que el procedimiento de la </w:t>
      </w:r>
      <w:r w:rsidRPr="00FB7930">
        <w:rPr>
          <w:rFonts w:ascii="Palatino Linotype" w:eastAsia="Palatino Linotype" w:hAnsi="Palatino Linotype" w:cs="Palatino Linotype"/>
          <w:i/>
        </w:rPr>
        <w:t>“… Ley de Bienes Públicos Municipales…” (Sic)</w:t>
      </w:r>
      <w:r w:rsidRPr="00FB7930">
        <w:rPr>
          <w:rFonts w:ascii="Palatino Linotype" w:eastAsia="Palatino Linotype" w:hAnsi="Palatino Linotype" w:cs="Palatino Linotype"/>
        </w:rPr>
        <w:t xml:space="preserve"> para la incorporación de bienes al patrimonio municipal no prevé la notificación a propietarios colindantes. </w:t>
      </w:r>
    </w:p>
    <w:p w:rsidR="0047288D" w:rsidRPr="00FB7930" w:rsidRDefault="0047288D">
      <w:pPr>
        <w:spacing w:line="360" w:lineRule="auto"/>
        <w:jc w:val="both"/>
        <w:rPr>
          <w:rFonts w:ascii="Palatino Linotype" w:eastAsia="Palatino Linotype" w:hAnsi="Palatino Linotype" w:cs="Palatino Linotype"/>
          <w:b/>
          <w:i/>
        </w:rPr>
      </w:pPr>
    </w:p>
    <w:p w:rsidR="0047288D" w:rsidRPr="00FB7930" w:rsidRDefault="0006196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r w:rsidRPr="00FB7930">
        <w:rPr>
          <w:rFonts w:ascii="Palatino Linotype" w:eastAsia="Palatino Linotype" w:hAnsi="Palatino Linotype" w:cs="Palatino Linotype"/>
          <w:b/>
          <w:i/>
        </w:rPr>
        <w:t>respuesta secretaria 42.pdf</w:t>
      </w:r>
    </w:p>
    <w:p w:rsidR="0047288D" w:rsidRPr="00FB7930" w:rsidRDefault="0047288D">
      <w:pPr>
        <w:pBdr>
          <w:top w:val="nil"/>
          <w:left w:val="nil"/>
          <w:bottom w:val="nil"/>
          <w:right w:val="nil"/>
          <w:between w:val="nil"/>
        </w:pBdr>
        <w:spacing w:line="360" w:lineRule="auto"/>
        <w:ind w:left="720"/>
        <w:jc w:val="both"/>
        <w:rPr>
          <w:rFonts w:ascii="Palatino Linotype" w:eastAsia="Palatino Linotype" w:hAnsi="Palatino Linotype" w:cs="Palatino Linotype"/>
          <w:b/>
          <w:i/>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Contiene el oficio </w:t>
      </w:r>
      <w:r w:rsidRPr="00FB7930">
        <w:rPr>
          <w:rFonts w:ascii="Palatino Linotype" w:eastAsia="Palatino Linotype" w:hAnsi="Palatino Linotype" w:cs="Palatino Linotype"/>
          <w:i/>
        </w:rPr>
        <w:t>TEPE/S.A./007/2023-06</w:t>
      </w:r>
      <w:r w:rsidRPr="00FB7930">
        <w:rPr>
          <w:rFonts w:ascii="Palatino Linotype" w:eastAsia="Palatino Linotype" w:hAnsi="Palatino Linotype" w:cs="Palatino Linotype"/>
        </w:rPr>
        <w:t xml:space="preserve"> de fecha cinco de junio de dos mil veintitrés emitido por la Secretaría del Ayuntamiento y dirigido a la Unidad de Transparencia del Ayuntamiento de </w:t>
      </w:r>
      <w:proofErr w:type="spellStart"/>
      <w:r w:rsidRPr="00FB7930">
        <w:rPr>
          <w:rFonts w:ascii="Palatino Linotype" w:eastAsia="Palatino Linotype" w:hAnsi="Palatino Linotype" w:cs="Palatino Linotype"/>
        </w:rPr>
        <w:t>Tepetlaoxtoc</w:t>
      </w:r>
      <w:proofErr w:type="spellEnd"/>
      <w:r w:rsidRPr="00FB7930">
        <w:rPr>
          <w:rFonts w:ascii="Palatino Linotype" w:eastAsia="Palatino Linotype" w:hAnsi="Palatino Linotype" w:cs="Palatino Linotype"/>
        </w:rPr>
        <w:t xml:space="preserve">, mediante el cual se reitera que la Ley de Bienes del Estado de México y de sus Municipios no contempla o existe fundamento alguno donde señale que dichas notificaciones sean un requisito. </w:t>
      </w:r>
    </w:p>
    <w:p w:rsidR="0047288D" w:rsidRPr="00FB7930" w:rsidRDefault="0047288D">
      <w:pPr>
        <w:spacing w:line="360" w:lineRule="auto"/>
        <w:jc w:val="both"/>
        <w:rPr>
          <w:rFonts w:ascii="Palatino Linotype" w:eastAsia="Palatino Linotype" w:hAnsi="Palatino Linotype" w:cs="Palatino Linotype"/>
          <w:b/>
          <w:i/>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sz w:val="22"/>
          <w:szCs w:val="22"/>
        </w:rPr>
        <w:lastRenderedPageBreak/>
        <w:t>3.</w:t>
      </w:r>
      <w:r w:rsidRPr="00FB7930">
        <w:rPr>
          <w:rFonts w:ascii="Palatino Linotype" w:eastAsia="Palatino Linotype" w:hAnsi="Palatino Linotype" w:cs="Palatino Linotype"/>
          <w:b/>
        </w:rPr>
        <w:t xml:space="preserve"> Interposición del recurso de revisión. </w:t>
      </w:r>
      <w:r w:rsidRPr="00FB7930">
        <w:rPr>
          <w:rFonts w:ascii="Palatino Linotype" w:eastAsia="Palatino Linotype" w:hAnsi="Palatino Linotype" w:cs="Palatino Linotype"/>
        </w:rPr>
        <w:t xml:space="preserve">Inconforme la entonces persona solicitante con la respuesta del </w:t>
      </w:r>
      <w:r w:rsidRPr="00FB7930">
        <w:rPr>
          <w:rFonts w:ascii="Palatino Linotype" w:eastAsia="Palatino Linotype" w:hAnsi="Palatino Linotype" w:cs="Palatino Linotype"/>
          <w:b/>
        </w:rPr>
        <w:t>SUJETO OBLIGADO</w:t>
      </w:r>
      <w:r w:rsidRPr="00FB7930">
        <w:rPr>
          <w:rFonts w:ascii="Palatino Linotype" w:eastAsia="Palatino Linotype" w:hAnsi="Palatino Linotype" w:cs="Palatino Linotype"/>
        </w:rPr>
        <w:t>, el día</w:t>
      </w:r>
      <w:r w:rsidRPr="00FB7930">
        <w:rPr>
          <w:rFonts w:ascii="Palatino Linotype" w:eastAsia="Palatino Linotype" w:hAnsi="Palatino Linotype" w:cs="Palatino Linotype"/>
          <w:b/>
        </w:rPr>
        <w:t xml:space="preserve"> siete de junio de dos mil veintitrés, </w:t>
      </w:r>
      <w:r w:rsidRPr="00FB7930">
        <w:rPr>
          <w:rFonts w:ascii="Palatino Linotype" w:eastAsia="Palatino Linotype" w:hAnsi="Palatino Linotype" w:cs="Palatino Linotype"/>
        </w:rPr>
        <w:t xml:space="preserve">accionó este medio de defensa, mediante el cual manifestó lo siguiente: </w:t>
      </w:r>
    </w:p>
    <w:p w:rsidR="0047288D" w:rsidRPr="00FB7930" w:rsidRDefault="0047288D">
      <w:pPr>
        <w:tabs>
          <w:tab w:val="left" w:pos="2745"/>
        </w:tabs>
        <w:spacing w:line="360" w:lineRule="auto"/>
        <w:jc w:val="both"/>
        <w:rPr>
          <w:rFonts w:ascii="Palatino Linotype" w:eastAsia="Palatino Linotype" w:hAnsi="Palatino Linotype" w:cs="Palatino Linotype"/>
        </w:rPr>
      </w:pPr>
    </w:p>
    <w:p w:rsidR="0047288D" w:rsidRPr="00FB7930" w:rsidRDefault="0006196D">
      <w:pPr>
        <w:tabs>
          <w:tab w:val="left" w:pos="2745"/>
        </w:tabs>
        <w:spacing w:line="360" w:lineRule="auto"/>
        <w:jc w:val="both"/>
        <w:rPr>
          <w:rFonts w:ascii="Palatino Linotype" w:eastAsia="Palatino Linotype" w:hAnsi="Palatino Linotype" w:cs="Palatino Linotype"/>
          <w:b/>
        </w:rPr>
      </w:pPr>
      <w:r w:rsidRPr="00FB7930">
        <w:rPr>
          <w:rFonts w:ascii="Palatino Linotype" w:eastAsia="Palatino Linotype" w:hAnsi="Palatino Linotype" w:cs="Palatino Linotype"/>
          <w:b/>
        </w:rPr>
        <w:t xml:space="preserve">Acto impugnado: </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“ENVIO DE DATOS ERRONEOS” (Sic) </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Razones o motivos de inconformidad</w:t>
      </w:r>
      <w:r w:rsidRPr="00FB7930">
        <w:rPr>
          <w:rFonts w:ascii="Palatino Linotype" w:eastAsia="Palatino Linotype" w:hAnsi="Palatino Linotype" w:cs="Palatino Linotype"/>
        </w:rPr>
        <w:t>:</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bookmarkStart w:id="3" w:name="_heading=h.30j0zll" w:colFirst="0" w:colLast="0"/>
      <w:bookmarkEnd w:id="3"/>
      <w:r w:rsidRPr="00FB7930">
        <w:rPr>
          <w:rFonts w:ascii="Palatino Linotype" w:eastAsia="Palatino Linotype" w:hAnsi="Palatino Linotype" w:cs="Palatino Linotype"/>
          <w:i/>
          <w:sz w:val="22"/>
          <w:szCs w:val="22"/>
        </w:rPr>
        <w:t xml:space="preserve">“LA INFORMACIÒN ENVIADA NO ES LO QUE SE SOLICITO EN LA SOLICTUD NUMERO 00042/TEPETLAP/IP/2023” (Sic) </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spacing w:line="360" w:lineRule="auto"/>
        <w:ind w:right="51"/>
        <w:jc w:val="both"/>
        <w:rPr>
          <w:rFonts w:ascii="Palatino Linotype" w:eastAsia="Palatino Linotype" w:hAnsi="Palatino Linotype" w:cs="Palatino Linotype"/>
        </w:rPr>
      </w:pPr>
      <w:r w:rsidRPr="00FB7930">
        <w:rPr>
          <w:rFonts w:ascii="Palatino Linotype" w:eastAsia="Palatino Linotype" w:hAnsi="Palatino Linotype" w:cs="Palatino Linotype"/>
          <w:b/>
        </w:rPr>
        <w:t xml:space="preserve">4. Turno. </w:t>
      </w:r>
      <w:r w:rsidRPr="00FB7930">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 este Instituto, a la </w:t>
      </w:r>
      <w:r w:rsidRPr="00FB7930">
        <w:rPr>
          <w:rFonts w:ascii="Palatino Linotype" w:eastAsia="Palatino Linotype" w:hAnsi="Palatino Linotype" w:cs="Palatino Linotype"/>
          <w:b/>
        </w:rPr>
        <w:t xml:space="preserve">Comisionada Guadalupe Ramírez Peña, </w:t>
      </w:r>
      <w:r w:rsidRPr="00FB7930">
        <w:rPr>
          <w:rFonts w:ascii="Palatino Linotype" w:eastAsia="Palatino Linotype" w:hAnsi="Palatino Linotype" w:cs="Palatino Linotype"/>
        </w:rPr>
        <w:t xml:space="preserve">a efecto de que analizara sobre su admisión o su </w:t>
      </w:r>
      <w:proofErr w:type="spellStart"/>
      <w:r w:rsidRPr="00FB7930">
        <w:rPr>
          <w:rFonts w:ascii="Palatino Linotype" w:eastAsia="Palatino Linotype" w:hAnsi="Palatino Linotype" w:cs="Palatino Linotype"/>
        </w:rPr>
        <w:t>desechamiento</w:t>
      </w:r>
      <w:proofErr w:type="spellEnd"/>
      <w:r w:rsidRPr="00FB7930">
        <w:rPr>
          <w:rFonts w:ascii="Palatino Linotype" w:eastAsia="Palatino Linotype" w:hAnsi="Palatino Linotype" w:cs="Palatino Linotype"/>
        </w:rPr>
        <w:t>.</w:t>
      </w:r>
    </w:p>
    <w:p w:rsidR="0047288D" w:rsidRPr="00FB7930" w:rsidRDefault="0047288D">
      <w:pPr>
        <w:spacing w:line="360" w:lineRule="auto"/>
        <w:ind w:right="51"/>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5. Admisión del Recurso de revisión.</w:t>
      </w:r>
      <w:r w:rsidRPr="00FB7930">
        <w:rPr>
          <w:rFonts w:ascii="Palatino Linotype" w:eastAsia="Palatino Linotype" w:hAnsi="Palatino Linotype" w:cs="Palatino Linotype"/>
        </w:rPr>
        <w:t xml:space="preserve"> El</w:t>
      </w:r>
      <w:r w:rsidRPr="00FB7930">
        <w:rPr>
          <w:rFonts w:ascii="Palatino Linotype" w:eastAsia="Palatino Linotype" w:hAnsi="Palatino Linotype" w:cs="Palatino Linotype"/>
          <w:b/>
        </w:rPr>
        <w:t xml:space="preserve"> doce de junio de dos mil veintitrés, </w:t>
      </w:r>
      <w:r w:rsidRPr="00FB7930">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FB7930">
        <w:rPr>
          <w:rFonts w:ascii="Palatino Linotype" w:eastAsia="Palatino Linotype" w:hAnsi="Palatino Linotype" w:cs="Palatino Linotype"/>
          <w:b/>
        </w:rPr>
        <w:t xml:space="preserve">EL SUJETO OBLIGADO </w:t>
      </w:r>
      <w:r w:rsidRPr="00FB7930">
        <w:rPr>
          <w:rFonts w:ascii="Palatino Linotype" w:eastAsia="Palatino Linotype" w:hAnsi="Palatino Linotype" w:cs="Palatino Linotype"/>
        </w:rPr>
        <w:t>presentara su Informe Justificado.</w:t>
      </w: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06196D">
      <w:pPr>
        <w:spacing w:line="360" w:lineRule="auto"/>
        <w:ind w:right="49"/>
        <w:jc w:val="both"/>
        <w:rPr>
          <w:rFonts w:ascii="Palatino Linotype" w:eastAsia="Palatino Linotype" w:hAnsi="Palatino Linotype" w:cs="Palatino Linotype"/>
        </w:rPr>
      </w:pPr>
      <w:bookmarkStart w:id="4" w:name="_heading=h.2s8eyo1" w:colFirst="0" w:colLast="0"/>
      <w:bookmarkEnd w:id="4"/>
      <w:r w:rsidRPr="00FB7930">
        <w:rPr>
          <w:rFonts w:ascii="Palatino Linotype" w:eastAsia="Palatino Linotype" w:hAnsi="Palatino Linotype" w:cs="Palatino Linotype"/>
          <w:b/>
        </w:rPr>
        <w:t>6. Manifestaciones</w:t>
      </w:r>
      <w:r w:rsidRPr="00FB7930">
        <w:rPr>
          <w:rFonts w:ascii="Palatino Linotype" w:eastAsia="Palatino Linotype" w:hAnsi="Palatino Linotype" w:cs="Palatino Linotype"/>
        </w:rPr>
        <w:t xml:space="preserve">. De las constancias que integran el expediente electrónico en que se actúa se advierte que </w:t>
      </w:r>
      <w:r w:rsidRPr="00FB7930">
        <w:rPr>
          <w:rFonts w:ascii="Palatino Linotype" w:eastAsia="Palatino Linotype" w:hAnsi="Palatino Linotype" w:cs="Palatino Linotype"/>
          <w:b/>
        </w:rPr>
        <w:t xml:space="preserve">EL SUJETO OBLIGADO </w:t>
      </w:r>
      <w:r w:rsidRPr="00FB7930">
        <w:rPr>
          <w:rFonts w:ascii="Palatino Linotype" w:eastAsia="Palatino Linotype" w:hAnsi="Palatino Linotype" w:cs="Palatino Linotype"/>
        </w:rPr>
        <w:t xml:space="preserve">remitió su Informe Justificado el pasado diecinueve de junio de dos mil veintitrés, mismo que se notificó a </w:t>
      </w:r>
      <w:r w:rsidRPr="00FB7930">
        <w:rPr>
          <w:rFonts w:ascii="Palatino Linotype" w:eastAsia="Palatino Linotype" w:hAnsi="Palatino Linotype" w:cs="Palatino Linotype"/>
          <w:b/>
        </w:rPr>
        <w:t xml:space="preserve">LA </w:t>
      </w:r>
      <w:r w:rsidRPr="00FB7930">
        <w:rPr>
          <w:rFonts w:ascii="Palatino Linotype" w:eastAsia="Palatino Linotype" w:hAnsi="Palatino Linotype" w:cs="Palatino Linotype"/>
          <w:b/>
        </w:rPr>
        <w:lastRenderedPageBreak/>
        <w:t>PARTE RECURRENTE</w:t>
      </w:r>
      <w:r w:rsidRPr="00FB7930">
        <w:rPr>
          <w:rFonts w:ascii="Palatino Linotype" w:eastAsia="Palatino Linotype" w:hAnsi="Palatino Linotype" w:cs="Palatino Linotype"/>
        </w:rPr>
        <w:t xml:space="preserve"> el pasado </w:t>
      </w:r>
      <w:r w:rsidRPr="00FB7930">
        <w:rPr>
          <w:rFonts w:ascii="Palatino Linotype" w:eastAsia="Palatino Linotype" w:hAnsi="Palatino Linotype" w:cs="Palatino Linotype"/>
          <w:b/>
        </w:rPr>
        <w:t>veintiséis de septiembre de dos mil veintitrés,</w:t>
      </w:r>
      <w:r w:rsidRPr="00FB7930">
        <w:rPr>
          <w:rFonts w:ascii="Palatino Linotype" w:eastAsia="Palatino Linotype" w:hAnsi="Palatino Linotype" w:cs="Palatino Linotype"/>
        </w:rPr>
        <w:t xml:space="preserve"> en el que consta la siguiente información: </w:t>
      </w:r>
    </w:p>
    <w:p w:rsidR="0047288D" w:rsidRPr="00FB7930" w:rsidRDefault="0047288D">
      <w:pPr>
        <w:spacing w:line="360" w:lineRule="auto"/>
        <w:ind w:right="49"/>
        <w:jc w:val="both"/>
        <w:rPr>
          <w:rFonts w:ascii="Palatino Linotype" w:eastAsia="Palatino Linotype" w:hAnsi="Palatino Linotype" w:cs="Palatino Linotype"/>
          <w:b/>
          <w:i/>
        </w:rPr>
      </w:pPr>
    </w:p>
    <w:p w:rsidR="0047288D" w:rsidRPr="00FB7930" w:rsidRDefault="0006196D">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i/>
        </w:rPr>
      </w:pPr>
      <w:r w:rsidRPr="00FB7930">
        <w:rPr>
          <w:rFonts w:ascii="Palatino Linotype" w:eastAsia="Palatino Linotype" w:hAnsi="Palatino Linotype" w:cs="Palatino Linotype"/>
          <w:b/>
          <w:i/>
        </w:rPr>
        <w:t>RECURSO 03194.pdf</w:t>
      </w:r>
    </w:p>
    <w:p w:rsidR="0047288D" w:rsidRPr="00FB7930" w:rsidRDefault="0047288D">
      <w:pPr>
        <w:spacing w:line="360" w:lineRule="auto"/>
        <w:ind w:right="49"/>
        <w:jc w:val="both"/>
        <w:rPr>
          <w:rFonts w:ascii="Palatino Linotype" w:eastAsia="Palatino Linotype" w:hAnsi="Palatino Linotype" w:cs="Palatino Linotype"/>
        </w:rPr>
      </w:pPr>
    </w:p>
    <w:p w:rsidR="0047288D" w:rsidRPr="00FB7930" w:rsidRDefault="0006196D">
      <w:pPr>
        <w:spacing w:line="360" w:lineRule="auto"/>
        <w:ind w:right="49"/>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Oficio </w:t>
      </w:r>
      <w:r w:rsidRPr="00FB7930">
        <w:rPr>
          <w:rFonts w:ascii="Palatino Linotype" w:eastAsia="Palatino Linotype" w:hAnsi="Palatino Linotype" w:cs="Palatino Linotype"/>
          <w:i/>
        </w:rPr>
        <w:t>TEPE/S.A./017/2023-06</w:t>
      </w:r>
      <w:r w:rsidRPr="00FB7930">
        <w:rPr>
          <w:rFonts w:ascii="Palatino Linotype" w:eastAsia="Palatino Linotype" w:hAnsi="Palatino Linotype" w:cs="Palatino Linotype"/>
        </w:rPr>
        <w:t xml:space="preserve"> de fecha dieciséis de junio de dos mil veintitrés, emitido por la Secretaría del Ayuntamiento y dirigido a la Unidad de Transparencia del Ayuntamiento de </w:t>
      </w:r>
      <w:proofErr w:type="spellStart"/>
      <w:r w:rsidRPr="00FB7930">
        <w:rPr>
          <w:rFonts w:ascii="Palatino Linotype" w:eastAsia="Palatino Linotype" w:hAnsi="Palatino Linotype" w:cs="Palatino Linotype"/>
        </w:rPr>
        <w:t>Tepetlaoxtoc</w:t>
      </w:r>
      <w:proofErr w:type="spellEnd"/>
      <w:r w:rsidRPr="00FB7930">
        <w:rPr>
          <w:rFonts w:ascii="Palatino Linotype" w:eastAsia="Palatino Linotype" w:hAnsi="Palatino Linotype" w:cs="Palatino Linotype"/>
        </w:rPr>
        <w:t xml:space="preserve"> mediante el cual refiere que no cuenta con la información solicitada. </w:t>
      </w:r>
    </w:p>
    <w:p w:rsidR="0047288D" w:rsidRPr="00FB7930" w:rsidRDefault="0047288D">
      <w:pPr>
        <w:spacing w:line="360" w:lineRule="auto"/>
        <w:ind w:right="49"/>
        <w:jc w:val="both"/>
        <w:rPr>
          <w:rFonts w:ascii="Palatino Linotype" w:eastAsia="Palatino Linotype" w:hAnsi="Palatino Linotype" w:cs="Palatino Linotype"/>
        </w:rPr>
      </w:pPr>
    </w:p>
    <w:p w:rsidR="0047288D" w:rsidRPr="00FB7930" w:rsidRDefault="0006196D">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i/>
        </w:rPr>
      </w:pPr>
      <w:r w:rsidRPr="00FB7930">
        <w:rPr>
          <w:rFonts w:ascii="Palatino Linotype" w:eastAsia="Palatino Linotype" w:hAnsi="Palatino Linotype" w:cs="Palatino Linotype"/>
          <w:b/>
          <w:i/>
        </w:rPr>
        <w:t>RECURSO 03194-.pdf</w:t>
      </w:r>
    </w:p>
    <w:p w:rsidR="0047288D" w:rsidRPr="00FB7930" w:rsidRDefault="0047288D">
      <w:pPr>
        <w:pBdr>
          <w:top w:val="nil"/>
          <w:left w:val="nil"/>
          <w:bottom w:val="nil"/>
          <w:right w:val="nil"/>
          <w:between w:val="nil"/>
        </w:pBdr>
        <w:spacing w:line="360" w:lineRule="auto"/>
        <w:ind w:left="720" w:right="49"/>
        <w:jc w:val="both"/>
        <w:rPr>
          <w:rFonts w:ascii="Palatino Linotype" w:eastAsia="Palatino Linotype" w:hAnsi="Palatino Linotype" w:cs="Palatino Linotype"/>
          <w:b/>
          <w:i/>
        </w:rPr>
      </w:pPr>
    </w:p>
    <w:p w:rsidR="0047288D" w:rsidRPr="00FB7930" w:rsidRDefault="0006196D">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Oficio </w:t>
      </w:r>
      <w:r w:rsidRPr="00FB7930">
        <w:rPr>
          <w:rFonts w:ascii="Palatino Linotype" w:eastAsia="Palatino Linotype" w:hAnsi="Palatino Linotype" w:cs="Palatino Linotype"/>
          <w:i/>
        </w:rPr>
        <w:t xml:space="preserve">TEPE/SIND/044/2023 </w:t>
      </w:r>
      <w:r w:rsidRPr="00FB7930">
        <w:rPr>
          <w:rFonts w:ascii="Palatino Linotype" w:eastAsia="Palatino Linotype" w:hAnsi="Palatino Linotype" w:cs="Palatino Linotype"/>
        </w:rPr>
        <w:t xml:space="preserve">de fecha catorce de junio de dos mil veintitrés, signado por el Síndico Municipal y  dirigido a la Unidad de Transparencia donde  hace de su conocimiento que las referidas notificaciones no existen pues debido a que en el procedimiento marcado por la Ley de Bienes del Estado de México y sus Municipios, pues para la incorporación de un bien al patrimonio municipal, específicamente en los artículos 17, 18, 48 fracción I, 62, 63 y 64,  no se contempla la notificación a colindantes. </w:t>
      </w:r>
    </w:p>
    <w:p w:rsidR="0047288D" w:rsidRPr="00FB7930" w:rsidRDefault="0047288D">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47288D" w:rsidRPr="00FB7930" w:rsidRDefault="0006196D">
      <w:pPr>
        <w:spacing w:line="360" w:lineRule="auto"/>
        <w:ind w:right="49"/>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Conocido el Informe Justificado, es de señalar que </w:t>
      </w:r>
      <w:r w:rsidRPr="00FB7930">
        <w:rPr>
          <w:rFonts w:ascii="Palatino Linotype" w:eastAsia="Palatino Linotype" w:hAnsi="Palatino Linotype" w:cs="Palatino Linotype"/>
          <w:b/>
        </w:rPr>
        <w:t>LA PARTE RECURRENTE</w:t>
      </w:r>
      <w:r w:rsidRPr="00FB7930">
        <w:rPr>
          <w:rFonts w:ascii="Palatino Linotype" w:eastAsia="Palatino Linotype" w:hAnsi="Palatino Linotype" w:cs="Palatino Linotype"/>
        </w:rPr>
        <w:t xml:space="preserve"> no realizó manifestación alguna.</w:t>
      </w:r>
    </w:p>
    <w:p w:rsidR="0047288D" w:rsidRPr="00FB7930" w:rsidRDefault="0047288D">
      <w:pPr>
        <w:spacing w:line="360" w:lineRule="auto"/>
        <w:ind w:right="49"/>
        <w:jc w:val="both"/>
      </w:pPr>
    </w:p>
    <w:p w:rsidR="0047288D" w:rsidRPr="00FB7930" w:rsidRDefault="0006196D">
      <w:pPr>
        <w:spacing w:line="360" w:lineRule="auto"/>
        <w:ind w:right="49"/>
        <w:jc w:val="center"/>
        <w:rPr>
          <w:rFonts w:ascii="Palatino Linotype" w:eastAsia="Palatino Linotype" w:hAnsi="Palatino Linotype" w:cs="Palatino Linotype"/>
        </w:rPr>
      </w:pPr>
      <w:r w:rsidRPr="00FB7930">
        <w:rPr>
          <w:noProof/>
        </w:rPr>
        <w:lastRenderedPageBreak/>
        <w:drawing>
          <wp:inline distT="0" distB="0" distL="0" distR="0">
            <wp:extent cx="4301347" cy="1837469"/>
            <wp:effectExtent l="0" t="0" r="0" b="0"/>
            <wp:docPr id="2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1938" t="28133" r="11417" b="13655"/>
                    <a:stretch>
                      <a:fillRect/>
                    </a:stretch>
                  </pic:blipFill>
                  <pic:spPr>
                    <a:xfrm>
                      <a:off x="0" y="0"/>
                      <a:ext cx="4301347" cy="1837469"/>
                    </a:xfrm>
                    <a:prstGeom prst="rect">
                      <a:avLst/>
                    </a:prstGeom>
                    <a:ln/>
                  </pic:spPr>
                </pic:pic>
              </a:graphicData>
            </a:graphic>
          </wp:inline>
        </w:drawing>
      </w:r>
    </w:p>
    <w:p w:rsidR="0047288D" w:rsidRPr="00FB7930" w:rsidRDefault="0047288D">
      <w:pPr>
        <w:spacing w:line="360" w:lineRule="auto"/>
        <w:ind w:right="49"/>
        <w:jc w:val="center"/>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7. Ampliación del plazo para emitir resolución.</w:t>
      </w:r>
      <w:r w:rsidRPr="00FB7930">
        <w:rPr>
          <w:rFonts w:ascii="Palatino Linotype" w:eastAsia="Palatino Linotype" w:hAnsi="Palatino Linotype" w:cs="Palatino Linotype"/>
        </w:rPr>
        <w:t xml:space="preserve"> El </w:t>
      </w:r>
      <w:r w:rsidRPr="00FB7930">
        <w:rPr>
          <w:rFonts w:ascii="Palatino Linotype" w:eastAsia="Palatino Linotype" w:hAnsi="Palatino Linotype" w:cs="Palatino Linotype"/>
          <w:b/>
        </w:rPr>
        <w:t>veintiséis de septiembre de dos mil veintitrés,</w:t>
      </w:r>
      <w:r w:rsidRPr="00FB7930">
        <w:rPr>
          <w:rFonts w:ascii="Palatino Linotype" w:eastAsia="Palatino Linotype" w:hAnsi="Palatino Linotype" w:cs="Palatino Linotype"/>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FB7930">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numPr>
          <w:ilvl w:val="0"/>
          <w:numId w:val="4"/>
        </w:num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 xml:space="preserve">Complejidad del Asunto: </w:t>
      </w:r>
      <w:r w:rsidRPr="00FB7930">
        <w:rPr>
          <w:rFonts w:ascii="Palatino Linotype" w:eastAsia="Palatino Linotype" w:hAnsi="Palatino Linotype" w:cs="Palatino Linotype"/>
        </w:rPr>
        <w:t xml:space="preserve">La complejidad de la prueba, la pluralidad de sujetos procesales, el tiempo transcurrido, las características y contexto del recurso. </w:t>
      </w:r>
    </w:p>
    <w:p w:rsidR="0047288D" w:rsidRPr="00FB7930" w:rsidRDefault="0006196D">
      <w:pPr>
        <w:widowControl w:val="0"/>
        <w:numPr>
          <w:ilvl w:val="0"/>
          <w:numId w:val="4"/>
        </w:num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Actividad Procesal del interesado:</w:t>
      </w:r>
      <w:r w:rsidRPr="00FB7930">
        <w:rPr>
          <w:rFonts w:ascii="Palatino Linotype" w:eastAsia="Palatino Linotype" w:hAnsi="Palatino Linotype" w:cs="Palatino Linotype"/>
        </w:rPr>
        <w:t xml:space="preserve"> Acciones u omisiones del interesado.</w:t>
      </w:r>
    </w:p>
    <w:p w:rsidR="0047288D" w:rsidRPr="00FB7930" w:rsidRDefault="0006196D">
      <w:pPr>
        <w:widowControl w:val="0"/>
        <w:numPr>
          <w:ilvl w:val="0"/>
          <w:numId w:val="4"/>
        </w:num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Conducta de la Autoridad:</w:t>
      </w:r>
      <w:r w:rsidRPr="00FB7930">
        <w:rPr>
          <w:rFonts w:ascii="Palatino Linotype" w:eastAsia="Palatino Linotype" w:hAnsi="Palatino Linotype" w:cs="Palatino Linotype"/>
        </w:rPr>
        <w:t xml:space="preserve"> Las Acciones u omisiones realizadas en el </w:t>
      </w:r>
      <w:r w:rsidRPr="00FB7930">
        <w:rPr>
          <w:rFonts w:ascii="Palatino Linotype" w:eastAsia="Palatino Linotype" w:hAnsi="Palatino Linotype" w:cs="Palatino Linotype"/>
        </w:rPr>
        <w:lastRenderedPageBreak/>
        <w:t>procedimiento. Así como si la autoridad actuó con la debida diligencia.</w:t>
      </w:r>
    </w:p>
    <w:p w:rsidR="0047288D" w:rsidRPr="00FB7930" w:rsidRDefault="0006196D">
      <w:pPr>
        <w:widowControl w:val="0"/>
        <w:numPr>
          <w:ilvl w:val="0"/>
          <w:numId w:val="4"/>
        </w:num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La afectación generada en la situación jurídica de la persona involucrada en el proceso:</w:t>
      </w:r>
      <w:r w:rsidRPr="00FB7930">
        <w:rPr>
          <w:rFonts w:ascii="Palatino Linotype" w:eastAsia="Palatino Linotype" w:hAnsi="Palatino Linotype" w:cs="Palatino Linotype"/>
        </w:rPr>
        <w:t xml:space="preserve"> Violación a sus derechos humanos.</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Argumento que encuentra sustento en la jurisprudencia P</w:t>
      </w:r>
      <w:proofErr w:type="gramStart"/>
      <w:r w:rsidRPr="00FB7930">
        <w:rPr>
          <w:rFonts w:ascii="Palatino Linotype" w:eastAsia="Palatino Linotype" w:hAnsi="Palatino Linotype" w:cs="Palatino Linotype"/>
        </w:rPr>
        <w:t>./</w:t>
      </w:r>
      <w:proofErr w:type="gramEnd"/>
      <w:r w:rsidRPr="00FB7930">
        <w:rPr>
          <w:rFonts w:ascii="Palatino Linotype" w:eastAsia="Palatino Linotype" w:hAnsi="Palatino Linotype" w:cs="Palatino Linotype"/>
        </w:rPr>
        <w:t xml:space="preserve">J. 32/92 emitida por el Pleno de la Suprema Corte de Justicia de la Nación de rubro </w:t>
      </w:r>
      <w:r w:rsidRPr="00FB7930">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FB7930">
        <w:rPr>
          <w:rFonts w:ascii="Palatino Linotype" w:eastAsia="Palatino Linotype" w:hAnsi="Palatino Linotype" w:cs="Palatino Linotype"/>
          <w:b/>
        </w:rPr>
        <w:t>,</w:t>
      </w:r>
      <w:r w:rsidRPr="00FB7930">
        <w:rPr>
          <w:rFonts w:ascii="Palatino Linotype" w:eastAsia="Palatino Linotype" w:hAnsi="Palatino Linotype" w:cs="Palatino Linotype"/>
        </w:rPr>
        <w:t xml:space="preserve"> visible en la Gaceta del Seminario Judicial de la Federación con el registro digital 205635.</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FB7930">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i/>
        </w:rPr>
        <w:t>“PLAZO RAZONABLE PARA RESOLVER. DIMENSIÓN Y EFECTOS DE ESTE CONCEPTO CUANDO SE ADUCE EXCESIVA CARGA DE TRABAJO.”</w:t>
      </w:r>
      <w:r w:rsidRPr="00FB7930">
        <w:rPr>
          <w:rFonts w:ascii="Palatino Linotype" w:eastAsia="Palatino Linotype" w:hAnsi="Palatino Linotype" w:cs="Palatino Linotype"/>
        </w:rPr>
        <w:t xml:space="preserve"> consultable en el Seminario Judicial de la Federación y su gaceta, con el registro digital 2002351.</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i/>
        </w:rPr>
        <w:t>“PLAZO RAZONABLE PARA RESOLVER. CONCEPTO Y ELEMENTOS QUE LO INTEGRAN A LA LUZ DEL DERECHO INTERNACIONAL DE LOS DERECHOS HUMANOS.”</w:t>
      </w:r>
      <w:r w:rsidRPr="00FB7930">
        <w:rPr>
          <w:rFonts w:ascii="Palatino Linotype" w:eastAsia="Palatino Linotype" w:hAnsi="Palatino Linotype" w:cs="Palatino Linotype"/>
          <w:b/>
        </w:rPr>
        <w:t>,</w:t>
      </w:r>
      <w:r w:rsidRPr="00FB7930">
        <w:rPr>
          <w:rFonts w:ascii="Palatino Linotype" w:eastAsia="Palatino Linotype" w:hAnsi="Palatino Linotype" w:cs="Palatino Linotype"/>
        </w:rPr>
        <w:t xml:space="preserve"> visible en el Seminario Judicial de la Federación y su gaceta, con el registro digital 2002350.</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widowControl w:val="0"/>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47288D" w:rsidRPr="00FB7930" w:rsidRDefault="0047288D">
      <w:pPr>
        <w:widowControl w:val="0"/>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lastRenderedPageBreak/>
        <w:t xml:space="preserve">8. Cierre de instrucción. </w:t>
      </w:r>
      <w:r w:rsidRPr="00FB7930">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FB7930">
        <w:rPr>
          <w:rFonts w:ascii="Palatino Linotype" w:eastAsia="Palatino Linotype" w:hAnsi="Palatino Linotype" w:cs="Palatino Linotype"/>
          <w:b/>
        </w:rPr>
        <w:t xml:space="preserve"> dos de octubre de dos mil veintitrés</w:t>
      </w:r>
      <w:r w:rsidRPr="00FB7930">
        <w:rPr>
          <w:rFonts w:ascii="Palatino Linotype" w:eastAsia="Palatino Linotype" w:hAnsi="Palatino Linotype" w:cs="Palatino Linotype"/>
        </w:rPr>
        <w:t xml:space="preserve">, la </w:t>
      </w:r>
      <w:r w:rsidRPr="00FB7930">
        <w:rPr>
          <w:rFonts w:ascii="Palatino Linotype" w:eastAsia="Palatino Linotype" w:hAnsi="Palatino Linotype" w:cs="Palatino Linotype"/>
          <w:b/>
        </w:rPr>
        <w:t>Comisionada Ponente</w:t>
      </w:r>
      <w:r w:rsidRPr="00FB7930">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rsidR="0047288D" w:rsidRPr="00FB7930" w:rsidRDefault="0047288D">
      <w:pPr>
        <w:spacing w:line="360" w:lineRule="auto"/>
        <w:jc w:val="both"/>
        <w:rPr>
          <w:rFonts w:ascii="Palatino Linotype" w:eastAsia="Palatino Linotype" w:hAnsi="Palatino Linotype" w:cs="Palatino Linotype"/>
          <w:sz w:val="22"/>
          <w:szCs w:val="22"/>
        </w:rPr>
      </w:pPr>
    </w:p>
    <w:p w:rsidR="0047288D" w:rsidRPr="00FB7930" w:rsidRDefault="0006196D">
      <w:pPr>
        <w:widowControl w:val="0"/>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rPr>
      </w:pPr>
      <w:r w:rsidRPr="00FB7930">
        <w:rPr>
          <w:rFonts w:ascii="Palatino Linotype" w:eastAsia="Palatino Linotype" w:hAnsi="Palatino Linotype" w:cs="Palatino Linotype"/>
          <w:b/>
        </w:rPr>
        <w:t>C O N S I D E R A N D O:</w:t>
      </w:r>
    </w:p>
    <w:p w:rsidR="0047288D" w:rsidRPr="00FB7930" w:rsidRDefault="0047288D">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PRIMERO. COMPETENCIA.</w:t>
      </w:r>
      <w:r w:rsidRPr="00FB793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FB7930">
        <w:rPr>
          <w:rFonts w:ascii="Palatino Linotype" w:eastAsia="Palatino Linotype" w:hAnsi="Palatino Linotype" w:cs="Palatino Linotype"/>
          <w:b/>
        </w:rPr>
        <w:t>LA PARTE RECURRENTE</w:t>
      </w:r>
      <w:r w:rsidRPr="00FB7930">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SEGUNDO. OPORTUNIDAD Y PROCEDIBILIDAD DEL RECURSO DE REVISIÓN</w:t>
      </w:r>
      <w:r w:rsidRPr="00FB7930">
        <w:rPr>
          <w:rFonts w:ascii="Palatino Linotype" w:eastAsia="Palatino Linotype" w:hAnsi="Palatino Linotype" w:cs="Palatino Linotype"/>
        </w:rPr>
        <w:t xml:space="preserve">. Previo al estudio del fondo del asunto, se procede a analizar los requisitos de oportunidad y </w:t>
      </w:r>
      <w:proofErr w:type="spellStart"/>
      <w:r w:rsidRPr="00FB7930">
        <w:rPr>
          <w:rFonts w:ascii="Palatino Linotype" w:eastAsia="Palatino Linotype" w:hAnsi="Palatino Linotype" w:cs="Palatino Linotype"/>
        </w:rPr>
        <w:t>procedibilidad</w:t>
      </w:r>
      <w:proofErr w:type="spellEnd"/>
      <w:r w:rsidRPr="00FB7930">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El recurso de revisión fue interpuesto el </w:t>
      </w:r>
      <w:r w:rsidRPr="00FB7930">
        <w:rPr>
          <w:rFonts w:ascii="Palatino Linotype" w:eastAsia="Palatino Linotype" w:hAnsi="Palatino Linotype" w:cs="Palatino Linotype"/>
          <w:b/>
        </w:rPr>
        <w:t>siete de junio de dos mil veintitrés</w:t>
      </w:r>
      <w:r w:rsidRPr="00FB7930">
        <w:rPr>
          <w:rFonts w:ascii="Palatino Linotype" w:eastAsia="Palatino Linotype" w:hAnsi="Palatino Linotype" w:cs="Palatino Linotype"/>
        </w:rPr>
        <w:t xml:space="preserve">, es decir, </w:t>
      </w:r>
      <w:r w:rsidRPr="00FB7930">
        <w:rPr>
          <w:rFonts w:ascii="Palatino Linotype" w:eastAsia="Palatino Linotype" w:hAnsi="Palatino Linotype" w:cs="Palatino Linotype"/>
          <w:b/>
        </w:rPr>
        <w:t>el mismo día</w:t>
      </w:r>
      <w:r w:rsidRPr="00FB7930">
        <w:rPr>
          <w:rFonts w:ascii="Palatino Linotype" w:eastAsia="Palatino Linotype" w:hAnsi="Palatino Linotype" w:cs="Palatino Linotype"/>
        </w:rPr>
        <w:t xml:space="preserve"> en que </w:t>
      </w:r>
      <w:r w:rsidRPr="00FB7930">
        <w:rPr>
          <w:rFonts w:ascii="Palatino Linotype" w:eastAsia="Palatino Linotype" w:hAnsi="Palatino Linotype" w:cs="Palatino Linotype"/>
          <w:b/>
        </w:rPr>
        <w:t>EL SUJETO OBLIGADO</w:t>
      </w:r>
      <w:r w:rsidRPr="00FB7930">
        <w:rPr>
          <w:rFonts w:ascii="Palatino Linotype" w:eastAsia="Palatino Linotype" w:hAnsi="Palatino Linotype" w:cs="Palatino Linotype"/>
        </w:rPr>
        <w:t xml:space="preserve"> respondió a la solicitud de información</w:t>
      </w:r>
      <w:r w:rsidRPr="00FB7930">
        <w:rPr>
          <w:rFonts w:ascii="Palatino Linotype" w:eastAsia="Palatino Linotype" w:hAnsi="Palatino Linotype" w:cs="Palatino Linotype"/>
          <w:b/>
        </w:rPr>
        <w:t xml:space="preserve"> 00042/TEPETLAO/IP/2023. </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pBdr>
          <w:top w:val="nil"/>
          <w:left w:val="nil"/>
          <w:bottom w:val="nil"/>
          <w:right w:val="nil"/>
          <w:between w:val="nil"/>
        </w:pBd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Sin que contraríe a lo anterior, el artículo 178 de la Ley de Transparencia, refiere que el plazo de quince días hábiles se contará </w:t>
      </w:r>
      <w:r w:rsidRPr="00FB7930">
        <w:rPr>
          <w:rFonts w:ascii="Palatino Linotype" w:eastAsia="Palatino Linotype" w:hAnsi="Palatino Linotype" w:cs="Palatino Linotype"/>
          <w:b/>
        </w:rPr>
        <w:t>a partir del día siguiente de la fecha en que el afectado tuvo conocimiento de la resolución</w:t>
      </w:r>
      <w:r w:rsidRPr="00FB7930">
        <w:rPr>
          <w:rFonts w:ascii="Palatino Linotype" w:eastAsia="Palatino Linotype" w:hAnsi="Palatino Linotype" w:cs="Palatino Linotype"/>
        </w:rPr>
        <w:t xml:space="preserve"> materia de impugnación, ya que ello debe entenderse para el efecto de que transcurrido dicho plazo ya no podrá presentarse el medio de impugnación o si es que se presenta, el mismo se considerará extemporáneo, </w:t>
      </w:r>
      <w:r w:rsidRPr="00FB7930">
        <w:rPr>
          <w:rFonts w:ascii="Palatino Linotype" w:eastAsia="Palatino Linotype" w:hAnsi="Palatino Linotype" w:cs="Palatino Linotype"/>
          <w:b/>
        </w:rPr>
        <w:t>no así cuando el medio de defensa se interponga antes de que comience a correr el plazo legal;</w:t>
      </w:r>
      <w:r w:rsidRPr="00FB7930">
        <w:rPr>
          <w:rFonts w:ascii="Palatino Linotype" w:eastAsia="Palatino Linotype" w:hAnsi="Palatino Linotype" w:cs="Palatino Linotype"/>
        </w:rPr>
        <w:t xml:space="preserve"> tiene aplicación por analogía, la jurisprudencia 1ª. /J.41/2015, publicada en el Semanario Judicial de la Federación y su Gaceta, Libro 19, Junio de 2015, Tomo I, página 569 de la Décima época que lleva por rubro y texto los siguientes:</w:t>
      </w:r>
    </w:p>
    <w:p w:rsidR="0047288D" w:rsidRPr="00FB7930" w:rsidRDefault="004728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FB7930">
        <w:rPr>
          <w:rFonts w:ascii="Palatino Linotype" w:eastAsia="Palatino Linotype" w:hAnsi="Palatino Linotype" w:cs="Palatino Linotype"/>
          <w:i/>
          <w:sz w:val="22"/>
          <w:szCs w:val="22"/>
        </w:rPr>
        <w:t>.</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lastRenderedPageBreak/>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Al mismo tiempo, por cuanto hace a la </w:t>
      </w:r>
      <w:proofErr w:type="spellStart"/>
      <w:r w:rsidRPr="00FB7930">
        <w:rPr>
          <w:rFonts w:ascii="Palatino Linotype" w:eastAsia="Palatino Linotype" w:hAnsi="Palatino Linotype" w:cs="Palatino Linotype"/>
        </w:rPr>
        <w:t>procedibilidad</w:t>
      </w:r>
      <w:proofErr w:type="spellEnd"/>
      <w:r w:rsidRPr="00FB793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VI de la ley de la materia, que a la letra dice:</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b/>
          <w:i/>
          <w:sz w:val="22"/>
          <w:szCs w:val="22"/>
        </w:rPr>
        <w:t xml:space="preserve">Artículo 179. </w:t>
      </w:r>
      <w:r w:rsidRPr="00FB793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b/>
          <w:i/>
          <w:sz w:val="22"/>
          <w:szCs w:val="22"/>
        </w:rPr>
        <w:t>(…</w:t>
      </w:r>
      <w:r w:rsidRPr="00FB7930">
        <w:rPr>
          <w:rFonts w:ascii="Palatino Linotype" w:eastAsia="Palatino Linotype" w:hAnsi="Palatino Linotype" w:cs="Palatino Linotype"/>
          <w:i/>
          <w:sz w:val="22"/>
          <w:szCs w:val="22"/>
        </w:rPr>
        <w:t>)</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FB7930">
        <w:rPr>
          <w:rFonts w:ascii="Palatino Linotype" w:eastAsia="Palatino Linotype" w:hAnsi="Palatino Linotype" w:cs="Palatino Linotype"/>
          <w:b/>
          <w:i/>
          <w:sz w:val="22"/>
          <w:szCs w:val="22"/>
        </w:rPr>
        <w:t xml:space="preserve">VI. La entrega de información que no corresponda con lo solicitado;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47288D">
      <w:pPr>
        <w:spacing w:line="360" w:lineRule="auto"/>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TERCERO. MATERIA DE REVISIÓN</w:t>
      </w:r>
      <w:r w:rsidRPr="00FB7930">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FB7930">
        <w:rPr>
          <w:rFonts w:ascii="Palatino Linotype" w:eastAsia="Palatino Linotype" w:hAnsi="Palatino Linotype" w:cs="Palatino Linotype"/>
          <w:b/>
        </w:rPr>
        <w:t xml:space="preserve">verificar si la respuesta otorgada por EL SUJETO OBLIGADO </w:t>
      </w:r>
      <w:r w:rsidRPr="00FB7930">
        <w:rPr>
          <w:rFonts w:ascii="Palatino Linotype" w:eastAsia="Palatino Linotype" w:hAnsi="Palatino Linotype" w:cs="Palatino Linotype"/>
          <w:b/>
        </w:rPr>
        <w:lastRenderedPageBreak/>
        <w:t xml:space="preserve">es adecuada y suficiente para satisfacer el Derecho de Acceso a la Información Pública </w:t>
      </w:r>
      <w:r w:rsidRPr="00FB7930">
        <w:rPr>
          <w:rFonts w:ascii="Palatino Linotype" w:eastAsia="Palatino Linotype" w:hAnsi="Palatino Linotype" w:cs="Palatino Linotype"/>
        </w:rPr>
        <w:t xml:space="preserve">de </w:t>
      </w:r>
      <w:r w:rsidRPr="00FB7930">
        <w:rPr>
          <w:rFonts w:ascii="Palatino Linotype" w:eastAsia="Palatino Linotype" w:hAnsi="Palatino Linotype" w:cs="Palatino Linotype"/>
          <w:b/>
        </w:rPr>
        <w:t>LA PARTE RECURRENTE,</w:t>
      </w:r>
      <w:r w:rsidRPr="00FB7930">
        <w:rPr>
          <w:rFonts w:ascii="Palatino Linotype" w:eastAsia="Palatino Linotype" w:hAnsi="Palatino Linotype" w:cs="Palatino Linotype"/>
        </w:rPr>
        <w:t xml:space="preserve"> o en su defecto, en caso de ser procedente, ordenar la entrega de información.</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pBdr>
          <w:top w:val="nil"/>
          <w:left w:val="nil"/>
          <w:bottom w:val="nil"/>
          <w:right w:val="nil"/>
          <w:between w:val="nil"/>
        </w:pBd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 xml:space="preserve">CUARTO. ESTUDIO DEL ASUNTO. </w:t>
      </w:r>
      <w:r w:rsidRPr="00FB7930">
        <w:rPr>
          <w:rFonts w:ascii="Palatino Linotype" w:eastAsia="Palatino Linotype" w:hAnsi="Palatino Linotype" w:cs="Palatino Linotype"/>
        </w:rPr>
        <w:t xml:space="preserve">Antes de entrar al análisis de los pronunciamientos del </w:t>
      </w:r>
      <w:r w:rsidRPr="00FB7930">
        <w:rPr>
          <w:rFonts w:ascii="Palatino Linotype" w:eastAsia="Palatino Linotype" w:hAnsi="Palatino Linotype" w:cs="Palatino Linotype"/>
          <w:b/>
        </w:rPr>
        <w:t>SUJETO OBLIGADO</w:t>
      </w:r>
      <w:r w:rsidRPr="00FB7930">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7288D" w:rsidRPr="00FB7930" w:rsidRDefault="0047288D">
      <w:pPr>
        <w:pBdr>
          <w:top w:val="nil"/>
          <w:left w:val="nil"/>
          <w:bottom w:val="nil"/>
          <w:right w:val="nil"/>
          <w:between w:val="nil"/>
        </w:pBdr>
        <w:ind w:left="864" w:right="864"/>
        <w:jc w:val="both"/>
        <w:rPr>
          <w:rFonts w:ascii="Palatino Linotype" w:eastAsia="Palatino Linotype" w:hAnsi="Palatino Linotype" w:cs="Palatino Linotype"/>
          <w:i/>
        </w:rPr>
      </w:pP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B793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B793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rPr>
      </w:pPr>
      <w:r w:rsidRPr="00FB793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B793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rPr>
      </w:pPr>
      <w:r w:rsidRPr="00FB7930">
        <w:rPr>
          <w:rFonts w:ascii="Palatino Linotype" w:eastAsia="Palatino Linotype" w:hAnsi="Palatino Linotype" w:cs="Palatino Linotype"/>
          <w:b/>
          <w:i/>
          <w:sz w:val="22"/>
          <w:szCs w:val="22"/>
        </w:rPr>
        <w:t>Artículo 6o.</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rPr>
      </w:pPr>
      <w:r w:rsidRPr="00FB7930">
        <w:rPr>
          <w:rFonts w:ascii="Palatino Linotype" w:eastAsia="Palatino Linotype" w:hAnsi="Palatino Linotype" w:cs="Palatino Linotype"/>
          <w:i/>
          <w:sz w:val="22"/>
          <w:szCs w:val="22"/>
        </w:rPr>
        <w:t>[...]</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b/>
          <w:i/>
          <w:sz w:val="22"/>
          <w:szCs w:val="22"/>
        </w:rPr>
        <w:t xml:space="preserve">A. Para el ejercicio del derecho de acceso a la información, la Federación y </w:t>
      </w:r>
      <w:r w:rsidRPr="00FB7930">
        <w:rPr>
          <w:rFonts w:ascii="Palatino Linotype" w:eastAsia="Palatino Linotype" w:hAnsi="Palatino Linotype" w:cs="Palatino Linotype"/>
          <w:b/>
          <w:i/>
          <w:sz w:val="22"/>
          <w:szCs w:val="22"/>
          <w:u w:val="single"/>
        </w:rPr>
        <w:t>las entidades federativas</w:t>
      </w:r>
      <w:r w:rsidRPr="00FB7930">
        <w:rPr>
          <w:rFonts w:ascii="Palatino Linotype" w:eastAsia="Palatino Linotype" w:hAnsi="Palatino Linotype" w:cs="Palatino Linotype"/>
          <w:b/>
          <w:i/>
          <w:sz w:val="22"/>
          <w:szCs w:val="22"/>
        </w:rPr>
        <w:t>,</w:t>
      </w:r>
      <w:r w:rsidRPr="00FB7930">
        <w:rPr>
          <w:rFonts w:ascii="Palatino Linotype" w:eastAsia="Palatino Linotype" w:hAnsi="Palatino Linotype" w:cs="Palatino Linotype"/>
          <w:i/>
          <w:sz w:val="22"/>
          <w:szCs w:val="22"/>
        </w:rPr>
        <w:t xml:space="preserve"> en el ámbito de sus respectivas competencias, se regirán por los siguientes principios y bases:</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w:t>
      </w:r>
      <w:r w:rsidRPr="00FB7930">
        <w:rPr>
          <w:rFonts w:ascii="Palatino Linotype" w:eastAsia="Palatino Linotype" w:hAnsi="Palatino Linotype" w:cs="Palatino Linotype"/>
          <w:b/>
          <w:i/>
          <w:sz w:val="22"/>
          <w:szCs w:val="22"/>
        </w:rPr>
        <w:t xml:space="preserve">I. </w:t>
      </w:r>
      <w:r w:rsidRPr="00FB793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B7930">
        <w:rPr>
          <w:rFonts w:ascii="Palatino Linotype" w:eastAsia="Palatino Linotype" w:hAnsi="Palatino Linotype" w:cs="Palatino Linotype"/>
          <w:i/>
          <w:sz w:val="22"/>
          <w:szCs w:val="22"/>
        </w:rPr>
        <w:t xml:space="preserve"> Ejecutivo, Legislativo </w:t>
      </w:r>
      <w:r w:rsidRPr="00FB7930">
        <w:rPr>
          <w:rFonts w:ascii="Palatino Linotype" w:eastAsia="Palatino Linotype" w:hAnsi="Palatino Linotype" w:cs="Palatino Linotype"/>
          <w:b/>
          <w:i/>
          <w:sz w:val="22"/>
          <w:szCs w:val="22"/>
          <w:u w:val="single"/>
        </w:rPr>
        <w:t>y Judicial</w:t>
      </w:r>
      <w:r w:rsidRPr="00FB793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B7930">
        <w:rPr>
          <w:rFonts w:ascii="Palatino Linotype" w:eastAsia="Palatino Linotype" w:hAnsi="Palatino Linotype" w:cs="Palatino Linotype"/>
          <w:b/>
          <w:i/>
          <w:sz w:val="22"/>
          <w:szCs w:val="22"/>
        </w:rPr>
        <w:t>es pública y sólo podrá ser reservada temporalmente por razones de interés público y seguridad nacional,</w:t>
      </w:r>
      <w:r w:rsidRPr="00FB793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B7930">
        <w:rPr>
          <w:rFonts w:ascii="Palatino Linotype" w:eastAsia="Palatino Linotype" w:hAnsi="Palatino Linotype" w:cs="Palatino Linotype"/>
          <w:i/>
          <w:sz w:val="22"/>
          <w:szCs w:val="22"/>
        </w:rPr>
        <w:t> </w:t>
      </w:r>
      <w:r w:rsidRPr="00FB793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w:t>
      </w:r>
      <w:r w:rsidRPr="00FB7930">
        <w:rPr>
          <w:rFonts w:ascii="Palatino Linotype" w:eastAsia="Palatino Linotype" w:hAnsi="Palatino Linotype" w:cs="Palatino Linotype"/>
          <w:b/>
          <w:i/>
          <w:sz w:val="22"/>
          <w:szCs w:val="22"/>
        </w:rPr>
        <w:t xml:space="preserve">III. </w:t>
      </w:r>
      <w:r w:rsidRPr="00FB793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B7930">
        <w:rPr>
          <w:rFonts w:ascii="Palatino Linotype" w:eastAsia="Palatino Linotype" w:hAnsi="Palatino Linotype" w:cs="Palatino Linotype"/>
          <w:i/>
          <w:sz w:val="22"/>
          <w:szCs w:val="22"/>
        </w:rPr>
        <w:t xml:space="preserve"> a sus datos personales o a la rectificación de éstos.</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w:t>
      </w:r>
      <w:r w:rsidRPr="00FB7930">
        <w:rPr>
          <w:rFonts w:ascii="Palatino Linotype" w:eastAsia="Palatino Linotype" w:hAnsi="Palatino Linotype" w:cs="Palatino Linotype"/>
          <w:b/>
          <w:i/>
          <w:sz w:val="22"/>
          <w:szCs w:val="22"/>
        </w:rPr>
        <w:t xml:space="preserve">IV. </w:t>
      </w:r>
      <w:r w:rsidRPr="00FB793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b/>
          <w:i/>
          <w:sz w:val="22"/>
          <w:szCs w:val="22"/>
        </w:rPr>
        <w:t xml:space="preserve">V. </w:t>
      </w:r>
      <w:r w:rsidRPr="00FB793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w:t>
      </w:r>
      <w:r w:rsidRPr="00FB7930">
        <w:rPr>
          <w:rFonts w:ascii="Palatino Linotype" w:eastAsia="Palatino Linotype" w:hAnsi="Palatino Linotype" w:cs="Palatino Linotype"/>
          <w:b/>
          <w:i/>
          <w:sz w:val="22"/>
          <w:szCs w:val="22"/>
        </w:rPr>
        <w:t xml:space="preserve">VI. </w:t>
      </w:r>
      <w:r w:rsidRPr="00FB793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lastRenderedPageBreak/>
        <w:t> </w:t>
      </w:r>
      <w:r w:rsidRPr="00FB7930">
        <w:rPr>
          <w:rFonts w:ascii="Palatino Linotype" w:eastAsia="Palatino Linotype" w:hAnsi="Palatino Linotype" w:cs="Palatino Linotype"/>
          <w:b/>
          <w:i/>
          <w:sz w:val="22"/>
          <w:szCs w:val="22"/>
        </w:rPr>
        <w:t xml:space="preserve">VII. </w:t>
      </w:r>
      <w:r w:rsidRPr="00FB7930">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47288D"/>
    <w:p w:rsidR="0047288D" w:rsidRPr="00FB7930" w:rsidRDefault="0006196D">
      <w:pPr>
        <w:pBdr>
          <w:top w:val="nil"/>
          <w:left w:val="nil"/>
          <w:bottom w:val="nil"/>
          <w:right w:val="nil"/>
          <w:between w:val="nil"/>
        </w:pBd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47288D" w:rsidRPr="00FB7930" w:rsidRDefault="004728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b/>
          <w:i/>
          <w:sz w:val="22"/>
          <w:szCs w:val="22"/>
        </w:rPr>
        <w:t>Artículo 4</w:t>
      </w:r>
      <w:r w:rsidRPr="00FB7930">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B793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47288D" w:rsidRPr="00FB7930" w:rsidRDefault="0047288D">
      <w:pPr>
        <w:pBdr>
          <w:top w:val="nil"/>
          <w:left w:val="nil"/>
          <w:bottom w:val="nil"/>
          <w:right w:val="nil"/>
          <w:between w:val="nil"/>
        </w:pBdr>
        <w:spacing w:line="360" w:lineRule="auto"/>
        <w:jc w:val="both"/>
        <w:rPr>
          <w:rFonts w:ascii="Palatino Linotype" w:eastAsia="Palatino Linotype" w:hAnsi="Palatino Linotype" w:cs="Palatino Linotype"/>
        </w:rPr>
      </w:pPr>
    </w:p>
    <w:p w:rsidR="0047288D" w:rsidRPr="00FB7930" w:rsidRDefault="0006196D">
      <w:pPr>
        <w:pBdr>
          <w:top w:val="nil"/>
          <w:left w:val="nil"/>
          <w:bottom w:val="nil"/>
          <w:right w:val="nil"/>
          <w:between w:val="nil"/>
        </w:pBd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47288D" w:rsidRPr="00FB7930" w:rsidRDefault="0047288D">
      <w:pPr>
        <w:pBdr>
          <w:top w:val="nil"/>
          <w:left w:val="nil"/>
          <w:bottom w:val="nil"/>
          <w:right w:val="nil"/>
          <w:between w:val="nil"/>
        </w:pBdr>
        <w:ind w:left="864" w:right="864"/>
        <w:jc w:val="both"/>
        <w:rPr>
          <w:i/>
        </w:rPr>
      </w:pP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b/>
          <w:i/>
          <w:sz w:val="22"/>
          <w:szCs w:val="22"/>
        </w:rPr>
        <w:t>Artículo 12</w:t>
      </w:r>
      <w:r w:rsidRPr="00FB7930">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47288D" w:rsidRPr="00FB7930" w:rsidRDefault="0047288D"/>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7288D" w:rsidRPr="00FB7930" w:rsidRDefault="0047288D">
      <w:pPr>
        <w:pBdr>
          <w:top w:val="nil"/>
          <w:left w:val="nil"/>
          <w:bottom w:val="nil"/>
          <w:right w:val="nil"/>
          <w:between w:val="nil"/>
        </w:pBdr>
        <w:ind w:left="864" w:right="864"/>
        <w:jc w:val="both"/>
        <w:rPr>
          <w:i/>
        </w:rPr>
      </w:pPr>
    </w:p>
    <w:p w:rsidR="0047288D" w:rsidRPr="00FB7930" w:rsidRDefault="0006196D">
      <w:pPr>
        <w:pBdr>
          <w:top w:val="nil"/>
          <w:left w:val="nil"/>
          <w:bottom w:val="nil"/>
          <w:right w:val="nil"/>
          <w:between w:val="nil"/>
        </w:pBd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FB7930">
        <w:rPr>
          <w:rFonts w:ascii="Palatino Linotype" w:eastAsia="Palatino Linotype" w:hAnsi="Palatino Linotype" w:cs="Palatino Linotype"/>
          <w:b/>
        </w:rPr>
        <w:t xml:space="preserve"> </w:t>
      </w:r>
      <w:r w:rsidRPr="00FB7930">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FB7930">
        <w:rPr>
          <w:rFonts w:ascii="Palatino Linotype" w:eastAsia="Palatino Linotype" w:hAnsi="Palatino Linotype" w:cs="Palatino Linotype"/>
          <w:i/>
        </w:rPr>
        <w:t>ad hoc</w:t>
      </w:r>
      <w:r w:rsidRPr="00FB7930">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47288D" w:rsidRPr="00FB7930" w:rsidRDefault="004728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03/17</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NO EXISTE OBLIGACIÓN DE ELABORAR DOCUMENTOS AD HOC PARA ATENDER LAS SOLICITUDES DE ACCESO A LA INFORMACIÓN.</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7288D" w:rsidRPr="00FB7930" w:rsidRDefault="004728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7288D" w:rsidRPr="00FB7930" w:rsidRDefault="0047288D">
      <w:pPr>
        <w:pBdr>
          <w:top w:val="nil"/>
          <w:left w:val="nil"/>
          <w:bottom w:val="nil"/>
          <w:right w:val="nil"/>
          <w:between w:val="nil"/>
        </w:pBdr>
        <w:spacing w:line="360" w:lineRule="auto"/>
        <w:jc w:val="both"/>
      </w:pPr>
    </w:p>
    <w:p w:rsidR="0047288D" w:rsidRPr="00FB7930" w:rsidRDefault="0006196D">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FB793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7288D" w:rsidRPr="00FB7930" w:rsidRDefault="0047288D">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47288D" w:rsidRPr="00FB7930" w:rsidRDefault="0006196D">
      <w:pPr>
        <w:pBdr>
          <w:top w:val="nil"/>
          <w:left w:val="nil"/>
          <w:bottom w:val="nil"/>
          <w:right w:val="nil"/>
          <w:between w:val="nil"/>
        </w:pBd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FB7930">
        <w:rPr>
          <w:rFonts w:ascii="Palatino Linotype" w:eastAsia="Palatino Linotype" w:hAnsi="Palatino Linotype" w:cs="Palatino Linotype"/>
        </w:rPr>
        <w:lastRenderedPageBreak/>
        <w:t>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7288D" w:rsidRPr="00FB7930" w:rsidRDefault="004728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b/>
          <w:i/>
          <w:sz w:val="22"/>
          <w:szCs w:val="22"/>
        </w:rPr>
        <w:t xml:space="preserve">Artículo 3. </w:t>
      </w:r>
      <w:r w:rsidRPr="00FB7930">
        <w:rPr>
          <w:rFonts w:ascii="Palatino Linotype" w:eastAsia="Palatino Linotype" w:hAnsi="Palatino Linotype" w:cs="Palatino Linotype"/>
          <w:i/>
          <w:sz w:val="22"/>
          <w:szCs w:val="22"/>
        </w:rPr>
        <w:t>Para los efectos de la presente Ley se entenderá por:</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b/>
          <w:i/>
          <w:sz w:val="22"/>
          <w:szCs w:val="22"/>
        </w:rPr>
        <w:t>XI. Documento:</w:t>
      </w:r>
      <w:r w:rsidRPr="00FB7930">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b/>
          <w:i/>
          <w:sz w:val="22"/>
          <w:szCs w:val="22"/>
        </w:rPr>
        <w:t>(…</w:t>
      </w:r>
      <w:r w:rsidRPr="00FB7930">
        <w:rPr>
          <w:rFonts w:ascii="Palatino Linotype" w:eastAsia="Palatino Linotype" w:hAnsi="Palatino Linotype" w:cs="Palatino Linotype"/>
          <w:i/>
          <w:sz w:val="22"/>
          <w:szCs w:val="22"/>
        </w:rPr>
        <w:t>)</w:t>
      </w:r>
    </w:p>
    <w:p w:rsidR="0047288D" w:rsidRPr="00FB7930" w:rsidRDefault="0047288D">
      <w:pPr>
        <w:pBdr>
          <w:top w:val="nil"/>
          <w:left w:val="nil"/>
          <w:bottom w:val="nil"/>
          <w:right w:val="nil"/>
          <w:between w:val="nil"/>
        </w:pBdr>
        <w:spacing w:line="360" w:lineRule="auto"/>
        <w:jc w:val="both"/>
        <w:rPr>
          <w:rFonts w:ascii="Palatino Linotype" w:eastAsia="Palatino Linotype" w:hAnsi="Palatino Linotype" w:cs="Palatino Linotype"/>
        </w:rPr>
      </w:pPr>
    </w:p>
    <w:p w:rsidR="0047288D" w:rsidRPr="00FB7930" w:rsidRDefault="0006196D">
      <w:pPr>
        <w:pBdr>
          <w:top w:val="nil"/>
          <w:left w:val="nil"/>
          <w:bottom w:val="nil"/>
          <w:right w:val="nil"/>
          <w:between w:val="nil"/>
        </w:pBdr>
        <w:spacing w:line="360" w:lineRule="auto"/>
        <w:jc w:val="both"/>
      </w:pPr>
      <w:r w:rsidRPr="00FB793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7288D" w:rsidRPr="00FB7930" w:rsidRDefault="004728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CRITERIO 0002-11</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w:t>
      </w:r>
      <w:r w:rsidRPr="00FB7930">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47288D" w:rsidRPr="00FB7930" w:rsidRDefault="0047288D">
      <w:pPr>
        <w:pBdr>
          <w:top w:val="nil"/>
          <w:left w:val="nil"/>
          <w:bottom w:val="nil"/>
          <w:right w:val="nil"/>
          <w:between w:val="nil"/>
        </w:pBdr>
        <w:spacing w:line="360" w:lineRule="auto"/>
        <w:ind w:left="567" w:right="567" w:hanging="284"/>
        <w:jc w:val="both"/>
      </w:pPr>
    </w:p>
    <w:p w:rsidR="0047288D" w:rsidRPr="00FB7930" w:rsidRDefault="0006196D">
      <w:pPr>
        <w:pBdr>
          <w:top w:val="nil"/>
          <w:left w:val="nil"/>
          <w:bottom w:val="nil"/>
          <w:right w:val="nil"/>
          <w:between w:val="nil"/>
        </w:pBd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De ahí que </w:t>
      </w:r>
      <w:r w:rsidRPr="00FB7930">
        <w:rPr>
          <w:rFonts w:ascii="Palatino Linotype" w:eastAsia="Palatino Linotype" w:hAnsi="Palatino Linotype" w:cs="Palatino Linotype"/>
          <w:b/>
        </w:rPr>
        <w:t>EL SUJETO OBLIGADO</w:t>
      </w:r>
      <w:r w:rsidRPr="00FB7930">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47288D" w:rsidRPr="00FB7930" w:rsidRDefault="0047288D">
      <w:pPr>
        <w:pBdr>
          <w:top w:val="nil"/>
          <w:left w:val="nil"/>
          <w:bottom w:val="nil"/>
          <w:right w:val="nil"/>
          <w:between w:val="nil"/>
        </w:pBdr>
        <w:spacing w:line="360" w:lineRule="auto"/>
        <w:jc w:val="both"/>
        <w:rPr>
          <w:rFonts w:ascii="Palatino Linotype" w:eastAsia="Palatino Linotype" w:hAnsi="Palatino Linotype" w:cs="Palatino Linotype"/>
        </w:rPr>
      </w:pPr>
    </w:p>
    <w:p w:rsidR="0047288D" w:rsidRPr="00FB7930" w:rsidRDefault="0006196D">
      <w:pPr>
        <w:pBdr>
          <w:top w:val="nil"/>
          <w:left w:val="nil"/>
          <w:bottom w:val="nil"/>
          <w:right w:val="nil"/>
          <w:between w:val="nil"/>
        </w:pBd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Apuntado lo anterior, este Organismo Garante centrará su atención en el estudio de fondo del agravio hecho valer por </w:t>
      </w:r>
      <w:r w:rsidRPr="00FB7930">
        <w:rPr>
          <w:rFonts w:ascii="Palatino Linotype" w:eastAsia="Palatino Linotype" w:hAnsi="Palatino Linotype" w:cs="Palatino Linotype"/>
          <w:b/>
        </w:rPr>
        <w:t xml:space="preserve">LA PARTE RECURRENTE, </w:t>
      </w:r>
      <w:r w:rsidRPr="00FB7930">
        <w:rPr>
          <w:rFonts w:ascii="Palatino Linotype" w:eastAsia="Palatino Linotype" w:hAnsi="Palatino Linotype" w:cs="Palatino Linotype"/>
        </w:rPr>
        <w:t>pues en la solicitud</w:t>
      </w:r>
      <w:r w:rsidRPr="00FB7930">
        <w:rPr>
          <w:rFonts w:ascii="Verdana" w:eastAsia="Verdana" w:hAnsi="Verdana" w:cs="Verdana"/>
          <w:b/>
        </w:rPr>
        <w:t xml:space="preserve"> </w:t>
      </w:r>
      <w:r w:rsidRPr="00FB7930">
        <w:rPr>
          <w:rFonts w:ascii="Palatino Linotype" w:eastAsia="Palatino Linotype" w:hAnsi="Palatino Linotype" w:cs="Palatino Linotype"/>
          <w:b/>
        </w:rPr>
        <w:t xml:space="preserve">00042/TEPETLAO/IP/2023 </w:t>
      </w:r>
      <w:r w:rsidRPr="00FB7930">
        <w:rPr>
          <w:rFonts w:ascii="Palatino Linotype" w:eastAsia="Palatino Linotype" w:hAnsi="Palatino Linotype" w:cs="Palatino Linotype"/>
        </w:rPr>
        <w:t xml:space="preserve">requirió información de los últimos quince años, relativa a: </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lastRenderedPageBreak/>
        <w:t xml:space="preserve">Copia de las notificaciones hechas a los propietarios de los predios colindantes por la adquisición de inmuebles por parte del Ayuntamiento de </w:t>
      </w:r>
      <w:proofErr w:type="spellStart"/>
      <w:r w:rsidRPr="00FB7930">
        <w:rPr>
          <w:rFonts w:ascii="Palatino Linotype" w:eastAsia="Palatino Linotype" w:hAnsi="Palatino Linotype" w:cs="Palatino Linotype"/>
        </w:rPr>
        <w:t>Tepetlaoxtoc</w:t>
      </w:r>
      <w:proofErr w:type="spellEnd"/>
      <w:r w:rsidRPr="00FB7930">
        <w:rPr>
          <w:rFonts w:ascii="Palatino Linotype" w:eastAsia="Palatino Linotype" w:hAnsi="Palatino Linotype" w:cs="Palatino Linotype"/>
        </w:rPr>
        <w:t xml:space="preserve">. </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Es importante recordar que desde la respuesta a la solicitud de </w:t>
      </w:r>
      <w:r w:rsidRPr="00FB7930">
        <w:rPr>
          <w:rFonts w:ascii="Palatino Linotype" w:eastAsia="Palatino Linotype" w:hAnsi="Palatino Linotype" w:cs="Palatino Linotype"/>
          <w:b/>
        </w:rPr>
        <w:t xml:space="preserve">LA PARTE RECURRENTE, </w:t>
      </w:r>
      <w:r w:rsidRPr="00FB7930">
        <w:rPr>
          <w:rFonts w:ascii="Palatino Linotype" w:eastAsia="Palatino Linotype" w:hAnsi="Palatino Linotype" w:cs="Palatino Linotype"/>
        </w:rPr>
        <w:t xml:space="preserve">la Sindicatura y la Secretaría del Ayuntamiento de </w:t>
      </w:r>
      <w:proofErr w:type="spellStart"/>
      <w:r w:rsidRPr="00FB7930">
        <w:rPr>
          <w:rFonts w:ascii="Palatino Linotype" w:eastAsia="Palatino Linotype" w:hAnsi="Palatino Linotype" w:cs="Palatino Linotype"/>
        </w:rPr>
        <w:t>Tepetlaoxtoc</w:t>
      </w:r>
      <w:proofErr w:type="spellEnd"/>
      <w:r w:rsidRPr="00FB7930">
        <w:rPr>
          <w:rFonts w:ascii="Palatino Linotype" w:eastAsia="Palatino Linotype" w:hAnsi="Palatino Linotype" w:cs="Palatino Linotype"/>
        </w:rPr>
        <w:t xml:space="preserve"> refirieron que de acuerdo a la Ley de Bienes del Estado de México y sus Municipios, para la incorporación de bienes al patrimonio municipal, no existe la fuente obligacional para que en el procedimiento se hagan notificaciones a los propietarios de predios colindantes. </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Conocida la respuesta por </w:t>
      </w:r>
      <w:r w:rsidRPr="00FB7930">
        <w:rPr>
          <w:rFonts w:ascii="Palatino Linotype" w:eastAsia="Palatino Linotype" w:hAnsi="Palatino Linotype" w:cs="Palatino Linotype"/>
          <w:b/>
        </w:rPr>
        <w:t>LA PARTE RECURRENTE</w:t>
      </w:r>
      <w:r w:rsidRPr="00FB7930">
        <w:rPr>
          <w:rFonts w:ascii="Palatino Linotype" w:eastAsia="Palatino Linotype" w:hAnsi="Palatino Linotype" w:cs="Palatino Linotype"/>
        </w:rPr>
        <w:t xml:space="preserve"> es que accionó este medio de defensa, inconformándose acerca de que la información entregada no era la que ella había solicitado en su requerimiento. </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En ese orden de ideas, </w:t>
      </w:r>
      <w:r w:rsidRPr="00FB7930">
        <w:rPr>
          <w:rFonts w:ascii="Palatino Linotype" w:eastAsia="Palatino Linotype" w:hAnsi="Palatino Linotype" w:cs="Palatino Linotype"/>
          <w:b/>
        </w:rPr>
        <w:t>EL SUJETO OBLIGADO</w:t>
      </w:r>
      <w:r w:rsidRPr="00FB7930">
        <w:rPr>
          <w:rFonts w:ascii="Palatino Linotype" w:eastAsia="Palatino Linotype" w:hAnsi="Palatino Linotype" w:cs="Palatino Linotype"/>
        </w:rPr>
        <w:t xml:space="preserve"> remitió su Informe Justificado, de nueva cuenta se pronunció la Secretaría y la Sindicatura Municipal que en términos sustanciales reiteraron sus respuestas al señalar que la solicitud no es posible colmarla conforme la planteó </w:t>
      </w:r>
      <w:r w:rsidRPr="00FB7930">
        <w:rPr>
          <w:rFonts w:ascii="Palatino Linotype" w:eastAsia="Palatino Linotype" w:hAnsi="Palatino Linotype" w:cs="Palatino Linotype"/>
          <w:b/>
        </w:rPr>
        <w:t>LA PARTE RECURRENTE</w:t>
      </w:r>
      <w:r w:rsidRPr="00FB7930">
        <w:rPr>
          <w:rFonts w:ascii="Palatino Linotype" w:eastAsia="Palatino Linotype" w:hAnsi="Palatino Linotype" w:cs="Palatino Linotype"/>
        </w:rPr>
        <w:t xml:space="preserve"> pues la ley en la materia no establece que exista una obligación para notificar a los vecinos de un predio que se incorpore al patrimonio del Municipio. </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lastRenderedPageBreak/>
        <w:t xml:space="preserve">En este punto de la resolución conviene revisar el marco normativo aplicable y determinar si las áreas que dieron respuesta son las competentes para emitir la respuesta a la solicitud: </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FB7930">
        <w:rPr>
          <w:rFonts w:ascii="Palatino Linotype" w:eastAsia="Palatino Linotype" w:hAnsi="Palatino Linotype" w:cs="Palatino Linotype"/>
          <w:b/>
          <w:i/>
          <w:sz w:val="22"/>
          <w:szCs w:val="22"/>
        </w:rPr>
        <w:t xml:space="preserve">Ley Orgánica Municipal del Estado de México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CAPITULO SEGUNDO De los Síndicos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Artículo 53.- Los síndicos tendrán las siguientes atribuciones: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 (…)</w:t>
      </w:r>
    </w:p>
    <w:p w:rsidR="0047288D" w:rsidRPr="00FB7930" w:rsidRDefault="0047288D">
      <w:pPr>
        <w:pBdr>
          <w:top w:val="nil"/>
          <w:left w:val="nil"/>
          <w:bottom w:val="nil"/>
          <w:right w:val="nil"/>
          <w:between w:val="nil"/>
        </w:pBdr>
        <w:ind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 (…)</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FB7930">
        <w:rPr>
          <w:rFonts w:ascii="Palatino Linotype" w:eastAsia="Palatino Linotype" w:hAnsi="Palatino Linotype" w:cs="Palatino Linotype"/>
          <w:b/>
          <w:i/>
          <w:sz w:val="22"/>
          <w:szCs w:val="22"/>
        </w:rPr>
        <w:t>Ley de Bienes del Estado de México y de sus Municipios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CAPITULO SEGUNDO DE LAS FACULTADES DE LAS AUTORIDADES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Artículo 5.- Corresponde al Ejecutivo del Estado por conducto de la Secretaría de Finanzas y a los ayuntamientos: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I. La elaboración del padrón de bienes del dominio público y privado del Estado y de los ayuntamientos;</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Artículo 56.- La Secretaría de Finanzas y los ayuntamientos </w:t>
      </w:r>
      <w:r w:rsidRPr="00FB7930">
        <w:rPr>
          <w:rFonts w:ascii="Palatino Linotype" w:eastAsia="Palatino Linotype" w:hAnsi="Palatino Linotype" w:cs="Palatino Linotype"/>
          <w:b/>
          <w:i/>
          <w:sz w:val="22"/>
          <w:szCs w:val="22"/>
        </w:rPr>
        <w:t xml:space="preserve">llevarán a cabo la adquisición </w:t>
      </w:r>
      <w:r w:rsidRPr="00FB7930">
        <w:rPr>
          <w:rFonts w:ascii="Palatino Linotype" w:eastAsia="Palatino Linotype" w:hAnsi="Palatino Linotype" w:cs="Palatino Linotype"/>
          <w:i/>
          <w:sz w:val="22"/>
          <w:szCs w:val="22"/>
        </w:rPr>
        <w:t xml:space="preserve">y enajenación </w:t>
      </w:r>
      <w:r w:rsidRPr="00FB7930">
        <w:rPr>
          <w:rFonts w:ascii="Palatino Linotype" w:eastAsia="Palatino Linotype" w:hAnsi="Palatino Linotype" w:cs="Palatino Linotype"/>
          <w:b/>
          <w:i/>
          <w:sz w:val="22"/>
          <w:szCs w:val="22"/>
        </w:rPr>
        <w:t>de bienes inmuebles</w:t>
      </w:r>
      <w:r w:rsidRPr="00FB7930">
        <w:rPr>
          <w:rFonts w:ascii="Palatino Linotype" w:eastAsia="Palatino Linotype" w:hAnsi="Palatino Linotype" w:cs="Palatino Linotype"/>
          <w:i/>
          <w:sz w:val="22"/>
          <w:szCs w:val="22"/>
        </w:rPr>
        <w:t xml:space="preserve"> y enajenación de bienes muebles, </w:t>
      </w:r>
      <w:r w:rsidRPr="00FB7930">
        <w:rPr>
          <w:rFonts w:ascii="Palatino Linotype" w:eastAsia="Palatino Linotype" w:hAnsi="Palatino Linotype" w:cs="Palatino Linotype"/>
          <w:b/>
          <w:i/>
          <w:sz w:val="22"/>
          <w:szCs w:val="22"/>
          <w:u w:val="single"/>
        </w:rPr>
        <w:t xml:space="preserve">mediante licitación pública, a través de comités cuya integración, </w:t>
      </w:r>
      <w:r w:rsidRPr="00FB7930">
        <w:rPr>
          <w:rFonts w:ascii="Palatino Linotype" w:eastAsia="Palatino Linotype" w:hAnsi="Palatino Linotype" w:cs="Palatino Linotype"/>
          <w:b/>
          <w:i/>
          <w:sz w:val="22"/>
          <w:szCs w:val="22"/>
          <w:u w:val="single"/>
        </w:rPr>
        <w:lastRenderedPageBreak/>
        <w:t>organización, funcionamiento y procedimientos, serán determinados por las disposiciones reglamentarias respectivas</w:t>
      </w:r>
      <w:r w:rsidRPr="00FB7930">
        <w:rPr>
          <w:rFonts w:ascii="Palatino Linotype" w:eastAsia="Palatino Linotype" w:hAnsi="Palatino Linotype" w:cs="Palatino Linotype"/>
          <w:i/>
          <w:sz w:val="22"/>
          <w:szCs w:val="22"/>
        </w:rPr>
        <w:t>.</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Con la normativa inserta se colige que efectivamente, tanto la Secretaría como la Sindicatura del Ayuntamiento de </w:t>
      </w:r>
      <w:proofErr w:type="spellStart"/>
      <w:r w:rsidRPr="00FB7930">
        <w:rPr>
          <w:rFonts w:ascii="Palatino Linotype" w:eastAsia="Palatino Linotype" w:hAnsi="Palatino Linotype" w:cs="Palatino Linotype"/>
        </w:rPr>
        <w:t>Tepetlaoxtoc</w:t>
      </w:r>
      <w:proofErr w:type="spellEnd"/>
      <w:r w:rsidRPr="00FB7930">
        <w:rPr>
          <w:rFonts w:ascii="Palatino Linotype" w:eastAsia="Palatino Linotype" w:hAnsi="Palatino Linotype" w:cs="Palatino Linotype"/>
        </w:rPr>
        <w:t xml:space="preserve">, son las Unidades Administrativas que cuentan con las facultades expresas por las leyes para dar respuesta a la materia de la solicitud, en consecuencia, las Personas Servidoras Públicas Habilitadas Competentes dieron trámite tanto a la respuesta primigenia como al recurso de mérito. </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Ahora, es de suma importancia invocar el contenido de los artículos 162, 163, 164 y 165 de la Ley de Transparencia y Acceso a la Información Pública del Estado de México y Municipios, que dicen:</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lastRenderedPageBreak/>
        <w:t xml:space="preserve">Artículo 164. El acceso se dará en la modalidad de entrega y, en su caso, de envío elegidos por el solicitante. Cuando la información no pueda entregarse o enviarse en la modalidad solicitada, el sujeto obligado deberá ofrecer otra u otras modalidades de entrega.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En cualquier caso, se deberá fundar y motivar la necesidad de ofrecer otras modalidades.  </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Artículo 165. Los sujetos obligados establecerán la forma y términos en que darán trámite interno a las solicitudes en materia de acceso a la información…”</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Del cuerpo normativo transcrito, se advierte que las Unidades de Transparencia deberán garantizar que las solicitudes se turnen a todas las áreas que cuenten con la información o que deban tenerla de acuerdo a sus facultades, competencias o funciones.</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Siendo la Unidad de Transparencia la responsable de hacer las notificaciones correspondientes, además de llevar a </w:t>
      </w:r>
      <w:proofErr w:type="gramStart"/>
      <w:r w:rsidRPr="00FB7930">
        <w:rPr>
          <w:rFonts w:ascii="Palatino Linotype" w:eastAsia="Palatino Linotype" w:hAnsi="Palatino Linotype" w:cs="Palatino Linotype"/>
        </w:rPr>
        <w:t>cabo todas</w:t>
      </w:r>
      <w:proofErr w:type="gramEnd"/>
      <w:r w:rsidRPr="00FB7930">
        <w:rPr>
          <w:rFonts w:ascii="Palatino Linotype" w:eastAsia="Palatino Linotype" w:hAnsi="Palatino Linotype" w:cs="Palatino Linotype"/>
        </w:rPr>
        <w:t xml:space="preserve"> las gestiones necesarias para facilitar el acceso a la información; así la respuesta deberá ser notificada al interesado en el menor tiempo posible, que no podrá exceder de quince días hábiles, contados a partir de la presentación de la solicitud.</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En el caso concreto, la Unidad de Transparencia, turnó la solicitud de información y el recurso de revisión a la Secretaría y a la Sindicatura del Ayuntamiento, cuyas personas Titulares, manifestaron en la respuesta y en el Informe Justificado la imposibilidad de entregar las notificaciones requeridas por </w:t>
      </w:r>
      <w:r w:rsidRPr="00FB7930">
        <w:rPr>
          <w:rFonts w:ascii="Palatino Linotype" w:eastAsia="Palatino Linotype" w:hAnsi="Palatino Linotype" w:cs="Palatino Linotype"/>
          <w:b/>
        </w:rPr>
        <w:t>LA PARTE RECURRENTE</w:t>
      </w:r>
      <w:r w:rsidRPr="00FB7930">
        <w:rPr>
          <w:rFonts w:ascii="Palatino Linotype" w:eastAsia="Palatino Linotype" w:hAnsi="Palatino Linotype" w:cs="Palatino Linotype"/>
        </w:rPr>
        <w:t xml:space="preserve"> pues la Ley de Bienes del Estado de México y de sus Municipios, no lo prevé en alguna etapa del procedimiento de incorporación al patrimonio municipal.</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b/>
        </w:rPr>
      </w:pPr>
      <w:r w:rsidRPr="00FB7930">
        <w:rPr>
          <w:rFonts w:ascii="Palatino Linotype" w:eastAsia="Palatino Linotype" w:hAnsi="Palatino Linotype" w:cs="Palatino Linotype"/>
        </w:rPr>
        <w:lastRenderedPageBreak/>
        <w:t xml:space="preserve">Ahora bien, de la respuesta y del Informe Justificado de este recurso de revisión, efectivamente, tenemos que la Ley de Bienes enunciada en repetidas ocasiones, no ordena la notificación a propietarios colindantes de los inmuebles incorporados al patrimonio municipal, en consecuencia, no hay información generada por los últimos quince años, tal cual lo pidió </w:t>
      </w:r>
      <w:r w:rsidRPr="00FB7930">
        <w:rPr>
          <w:rFonts w:ascii="Palatino Linotype" w:eastAsia="Palatino Linotype" w:hAnsi="Palatino Linotype" w:cs="Palatino Linotype"/>
          <w:b/>
        </w:rPr>
        <w:t xml:space="preserve">LA PARTE RECURRENTE. </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FB7930">
        <w:rPr>
          <w:rFonts w:ascii="Palatino Linotype" w:eastAsia="Palatino Linotype" w:hAnsi="Palatino Linotype" w:cs="Palatino Linotype"/>
          <w:b/>
          <w:i/>
          <w:sz w:val="22"/>
          <w:szCs w:val="22"/>
        </w:rPr>
        <w:t>LEY DE BIENES DEL ESTADO DE MÉXICO Y DE SUS MUNICIPIOS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CAPITULO SEPTIMO DE LOS PROCEDIMIENTOS ADMINISTRATIVOS.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Artículo 48.- Para los efectos de esta ley se entiende por: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I. Incorporación, acto por el que se acuerda integrar un bien al patrimonio público;</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Artículo 56.- La Secretaría de Finanzas y los ayuntamientos llevarán a cabo la adquisición y enajenación de bienes inmuebles y enajenación de bienes muebles, mediante licitación pública, a través de comités cuya integración, organización, funcionamiento y procedimientos, serán determinados por las disposiciones reglamentarias respectivas.</w:t>
      </w:r>
    </w:p>
    <w:p w:rsidR="0047288D" w:rsidRPr="00FB7930" w:rsidRDefault="0047288D">
      <w:pPr>
        <w:pBdr>
          <w:top w:val="nil"/>
          <w:left w:val="nil"/>
          <w:bottom w:val="nil"/>
          <w:right w:val="nil"/>
          <w:between w:val="nil"/>
        </w:pBdr>
        <w:ind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FB7930">
        <w:rPr>
          <w:rFonts w:ascii="Palatino Linotype" w:eastAsia="Palatino Linotype" w:hAnsi="Palatino Linotype" w:cs="Palatino Linotype"/>
          <w:b/>
          <w:i/>
          <w:sz w:val="22"/>
          <w:szCs w:val="22"/>
        </w:rPr>
        <w:t>LEY DE CONTRATACIÓN PÚBLICA DEL ESTADO DE MÉXICO Y MUNICIPIOS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Artículo 4.- Para los efectos de esta Ley, en las adquisiciones, enajenaciones, arrendamientos y servicios, quedan comprendidos: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II. La adquisición de bienes inmuebles, a través de compraventa.</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CAPÍTULO QUINTO DE LA INTEGRACIÓN Y FUNCIONES DE LOS COMITÉS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Artículo 24.- El comité de arrendamientos, adquisiciones de inmuebles y enajenaciones tendrá las funciones siguientes: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I. Dictaminar sobre la procedencia de los casos de excepción al procedimiento de licitación pública, tratándose de adquisición de inmuebles y arrendamientos.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CAPÍTULO SEXTO DE LOS PROCEDIMIENTOS DE ADQUISICIÓN</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SECCIÓN PRIMERA DISPOSICIONES GENERALES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lastRenderedPageBreak/>
        <w:t>Artículo 26.- Las adquisiciones, arrendamientos y servicios se adjudicarán a través de licitaciones públicas, mediante convocatoria pública.</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Artículo 27.- La Secretaría, las entidades, los tribunales administrativos y los ayuntamientos podrán adjudicar adquisiciones, arrendamientos y servicios, mediante las excepciones al procedimiento de licitación que a continuación se señalan: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I. Invitación restringida.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FB7930">
        <w:rPr>
          <w:rFonts w:ascii="Palatino Linotype" w:eastAsia="Palatino Linotype" w:hAnsi="Palatino Linotype" w:cs="Palatino Linotype"/>
          <w:b/>
          <w:i/>
          <w:sz w:val="22"/>
          <w:szCs w:val="22"/>
        </w:rPr>
        <w:t>II. Adjudicación directa.</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SECCIÓN CUARTA DE LA INVITACIÓN RESTRINGIDA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Artículo 44.- La Secretaría, las entidades, los tribunales administrativos y los ayuntamientos podrán adquirir y contratar servicios mediante invitación restringida, cuando: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I. Se hubiere declarado desierto un procedimiento de licitación, o </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FB7930">
        <w:rPr>
          <w:rFonts w:ascii="Palatino Linotype" w:eastAsia="Palatino Linotype" w:hAnsi="Palatino Linotype" w:cs="Palatino Linotype"/>
          <w:i/>
          <w:sz w:val="22"/>
          <w:szCs w:val="22"/>
        </w:rPr>
        <w:t>II. El importe de la operación no exceda de los montos establecidos por el Presupuesto de Egresos del Gobierno del Estado de México del ejercicio correspondiente.</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SECCIÓN QUINTA DE LA ADJUDICACIÓN DIRECTA</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Artículo 48.- La Secretaría, las entidades, los tribunales administrativos y los ayuntamientos podrán adquirir bienes, arrendar bienes muebles e inmuebles y contratar servicios, mediante adjudicación directa, cuando:</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spacing w:line="360" w:lineRule="auto"/>
        <w:ind w:right="51"/>
        <w:jc w:val="both"/>
        <w:rPr>
          <w:rFonts w:ascii="Palatino Linotype" w:eastAsia="Palatino Linotype" w:hAnsi="Palatino Linotype" w:cs="Palatino Linotype"/>
          <w:b/>
        </w:rPr>
      </w:pPr>
      <w:r w:rsidRPr="00FB7930">
        <w:rPr>
          <w:rFonts w:ascii="Palatino Linotype" w:eastAsia="Palatino Linotype" w:hAnsi="Palatino Linotype" w:cs="Palatino Linotype"/>
        </w:rPr>
        <w:t xml:space="preserve">Por lo dicho, y a la luz de la Ley de Contratación Pública y de la Ley de Bienes las dos del Estado de México y de sus Municipios, tenemos que la adquisición de bienes inmuebles debe realizarse mediante el Comité de Arrendamientos, Adquisiciones de Inmuebles y Enajenaciones que tendrá la responsabilidad de adjudicar de manera directa la adquisición de algún bien inmueble con una persona determinada por contar con las características y ubicación requeridas, sin hallarse en la </w:t>
      </w:r>
      <w:r w:rsidRPr="00FB7930">
        <w:rPr>
          <w:rFonts w:ascii="Palatino Linotype" w:eastAsia="Palatino Linotype" w:hAnsi="Palatino Linotype" w:cs="Palatino Linotype"/>
        </w:rPr>
        <w:lastRenderedPageBreak/>
        <w:t xml:space="preserve">normatividad inserta alguna fuente obligacional que dé cuenta de lo solicitado por </w:t>
      </w:r>
      <w:r w:rsidRPr="00FB7930">
        <w:rPr>
          <w:rFonts w:ascii="Palatino Linotype" w:eastAsia="Palatino Linotype" w:hAnsi="Palatino Linotype" w:cs="Palatino Linotype"/>
          <w:b/>
        </w:rPr>
        <w:t xml:space="preserve">LA PARTE RECURRENTE. </w:t>
      </w:r>
    </w:p>
    <w:p w:rsidR="0047288D" w:rsidRPr="00FB7930" w:rsidRDefault="0047288D">
      <w:pPr>
        <w:spacing w:line="360" w:lineRule="auto"/>
        <w:ind w:right="51"/>
        <w:jc w:val="both"/>
        <w:rPr>
          <w:rFonts w:ascii="Palatino Linotype" w:eastAsia="Palatino Linotype" w:hAnsi="Palatino Linotype" w:cs="Palatino Linotype"/>
        </w:rPr>
      </w:pPr>
    </w:p>
    <w:p w:rsidR="0047288D" w:rsidRPr="00FB7930" w:rsidRDefault="0006196D">
      <w:pPr>
        <w:spacing w:line="360" w:lineRule="auto"/>
        <w:ind w:right="51"/>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Ahora bien, los Lineamientos para el Registro y Control del Inventario y la Conciliación y Desincorporación de Bienes Muebles e Inmuebles para las Entidades Fiscalizables Municipales del Estado de México emitidos por el Órgano Superior de Fiscalización del Estado de México, publicados en el Periódico Oficial del Gobierno del Estado Libre y Soberano de México el once de julio de dos mil trece, que establecen las herramientas, elementos de registro, altas, bajas, uso y destino asignado a los bienes. </w:t>
      </w:r>
    </w:p>
    <w:p w:rsidR="0047288D" w:rsidRPr="00FB7930" w:rsidRDefault="0047288D">
      <w:pPr>
        <w:spacing w:line="360" w:lineRule="auto"/>
        <w:ind w:right="51"/>
        <w:jc w:val="both"/>
        <w:rPr>
          <w:rFonts w:ascii="Palatino Linotype" w:eastAsia="Palatino Linotype" w:hAnsi="Palatino Linotype" w:cs="Palatino Linotype"/>
        </w:rPr>
      </w:pPr>
    </w:p>
    <w:p w:rsidR="0047288D" w:rsidRPr="00FB7930" w:rsidRDefault="0006196D">
      <w:pPr>
        <w:spacing w:line="360" w:lineRule="auto"/>
        <w:ind w:right="51"/>
        <w:jc w:val="both"/>
        <w:rPr>
          <w:rFonts w:ascii="Palatino Linotype" w:eastAsia="Palatino Linotype" w:hAnsi="Palatino Linotype" w:cs="Palatino Linotype"/>
        </w:rPr>
      </w:pPr>
      <w:bookmarkStart w:id="5" w:name="_heading=h.1fob9te" w:colFirst="0" w:colLast="0"/>
      <w:bookmarkEnd w:id="5"/>
      <w:r w:rsidRPr="00FB7930">
        <w:rPr>
          <w:rFonts w:ascii="Palatino Linotype" w:eastAsia="Palatino Linotype" w:hAnsi="Palatino Linotype" w:cs="Palatino Linotype"/>
        </w:rPr>
        <w:t xml:space="preserve">En esa tesitura, de la lectura del referido documento, al igual que las leyes de Bienes y de Contratación Pública de nuestro Estado, no se halla fuente obligacional para que </w:t>
      </w:r>
      <w:r w:rsidRPr="00FB7930">
        <w:rPr>
          <w:rFonts w:ascii="Palatino Linotype" w:eastAsia="Palatino Linotype" w:hAnsi="Palatino Linotype" w:cs="Palatino Linotype"/>
          <w:b/>
        </w:rPr>
        <w:t>EL SUJETO OBLIGADO</w:t>
      </w:r>
      <w:r w:rsidRPr="00FB7930">
        <w:rPr>
          <w:rFonts w:ascii="Palatino Linotype" w:eastAsia="Palatino Linotype" w:hAnsi="Palatino Linotype" w:cs="Palatino Linotype"/>
        </w:rPr>
        <w:t xml:space="preserve"> cuente con la información solicitada, tal y como se hace constar: </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LINEAMIENTOS PARA EL REGISTRO Y CONTROL DEL INVENTARIO Y LA CONCILIACIÓN Y DESINCORPORACIÓN DE BIENES MUEBLES E INMUEBLES PARA LAS ENTIDADES FISCALIZABLES MUNICIPALES DEL ESTADO DE MÉXICO</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CAPÍTULO XX</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DE LOS REQUISITOS PARA LA ADQUISICIÓN</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DE BIENES INMUEBLES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Sección Primera</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DE LOS BIENES INMUEBLES POR COMPRA</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QUINCUAGÉSIMO SEXTO: Para adquirir bienes inmuebles por compra, se deberán satisfacer los siguientes requisitos: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 xml:space="preserve">1. Observar lo establecido en el Código Civil del Estado de México, en la Ley de Bienes del Estado de México y sus Municipios, así como en el Reglamento del </w:t>
      </w:r>
      <w:r w:rsidRPr="00FB7930">
        <w:rPr>
          <w:rFonts w:ascii="Palatino Linotype" w:eastAsia="Palatino Linotype" w:hAnsi="Palatino Linotype" w:cs="Palatino Linotype"/>
          <w:i/>
          <w:sz w:val="22"/>
          <w:szCs w:val="22"/>
        </w:rPr>
        <w:lastRenderedPageBreak/>
        <w:t>Registro Público de la Propiedad del Estado de México, en el Código Administrativo del Estado de México, entre otros;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II. Contar con acta del órgano máximo de gobierno, autorizando la adquisición, vía presupuesto de egresos;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III. Contar con un Comité de arrendamientos en términos de las disposiciones legales aplicables;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IV. Contar con acta de fallo del Comité de arrendamientos, adquisiciones de inmuebles y enajenaciones;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Los bienes adquiridos se destinarán a cumplir con los planes y programas previamente establecidos;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V. Constar en escritura pública;</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El secretario o en su caso el director general, elaborará la actualización administrativa del inventario de bienes inmuebles, por la adquisición de los bienes al valor de su adquisición, independientemente de su valor catastral y para ello contará con 30 días hábiles a partir de su adquisición, así mismo se deberá integrar un expediente individual por bien;</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El síndico realizará las gestiones necesarias para regularizar la propiedad de los bienes inmuebles adquiridos, tendrán para ello un plazo de ciento veinte días hábiles contados a partir de la fecha de la adquisición, rindiendo un informe trimestral al Cabildo para su conocimiento y opinión;</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Lo propio hará en el ámbito de su respectiva competencia, el servidor público titular del organismo descentralizado y fideicomisos públicos.</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VI. Registrar contablemente la adquisición del bien;</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VII. Realizar el registro en el inventario de bienes inmuebles, libro especial y en el Sistema de Información Inmobiliaria; y</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VIII. Póliza.</w:t>
      </w:r>
    </w:p>
    <w:p w:rsidR="0047288D" w:rsidRPr="00FB7930" w:rsidRDefault="0006196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Sección Segunda</w:t>
      </w:r>
    </w:p>
    <w:p w:rsidR="0047288D" w:rsidRPr="00FB7930" w:rsidRDefault="0047288D">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rsidR="0047288D" w:rsidRPr="00FB7930" w:rsidRDefault="0006196D">
      <w:pPr>
        <w:spacing w:line="360" w:lineRule="auto"/>
        <w:ind w:right="51"/>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Con el marco normativo inserto, en relación a que no existe fundamento que obligue al Ayuntamiento de </w:t>
      </w:r>
      <w:proofErr w:type="spellStart"/>
      <w:r w:rsidRPr="00FB7930">
        <w:rPr>
          <w:rFonts w:ascii="Palatino Linotype" w:eastAsia="Palatino Linotype" w:hAnsi="Palatino Linotype" w:cs="Palatino Linotype"/>
        </w:rPr>
        <w:t>Tepetlaoxtoc</w:t>
      </w:r>
      <w:proofErr w:type="spellEnd"/>
      <w:r w:rsidRPr="00FB7930">
        <w:rPr>
          <w:rFonts w:ascii="Palatino Linotype" w:eastAsia="Palatino Linotype" w:hAnsi="Palatino Linotype" w:cs="Palatino Linotype"/>
        </w:rPr>
        <w:t xml:space="preserve"> para notificar a los propietarios de inmuebles colindantes de predios que fueron adquiridos por </w:t>
      </w:r>
      <w:r w:rsidRPr="00FB7930">
        <w:rPr>
          <w:rFonts w:ascii="Palatino Linotype" w:eastAsia="Palatino Linotype" w:hAnsi="Palatino Linotype" w:cs="Palatino Linotype"/>
          <w:b/>
        </w:rPr>
        <w:t>EL SUJETO OBLIGADO</w:t>
      </w:r>
      <w:r w:rsidRPr="00FB7930">
        <w:rPr>
          <w:rFonts w:ascii="Palatino Linotype" w:eastAsia="Palatino Linotype" w:hAnsi="Palatino Linotype" w:cs="Palatino Linotype"/>
        </w:rPr>
        <w:t xml:space="preserve"> en los últimos quince años, por ello con la respuesta emitida se tiene por </w:t>
      </w:r>
      <w:r w:rsidRPr="00FB7930">
        <w:rPr>
          <w:rFonts w:ascii="Palatino Linotype" w:eastAsia="Palatino Linotype" w:hAnsi="Palatino Linotype" w:cs="Palatino Linotype"/>
          <w:b/>
        </w:rPr>
        <w:t>COLMADO</w:t>
      </w:r>
      <w:r w:rsidRPr="00FB7930">
        <w:rPr>
          <w:rFonts w:ascii="Palatino Linotype" w:eastAsia="Palatino Linotype" w:hAnsi="Palatino Linotype" w:cs="Palatino Linotype"/>
        </w:rPr>
        <w:t xml:space="preserve"> con ello el Derecho de Acceso a la Información Pública de </w:t>
      </w:r>
      <w:r w:rsidRPr="00FB7930">
        <w:rPr>
          <w:rFonts w:ascii="Palatino Linotype" w:eastAsia="Palatino Linotype" w:hAnsi="Palatino Linotype" w:cs="Palatino Linotype"/>
          <w:b/>
        </w:rPr>
        <w:t>LA PARTE RECURRENTE,</w:t>
      </w:r>
      <w:r w:rsidRPr="00FB7930">
        <w:rPr>
          <w:rFonts w:ascii="Palatino Linotype" w:eastAsia="Palatino Linotype" w:hAnsi="Palatino Linotype" w:cs="Palatino Linotype"/>
        </w:rPr>
        <w:t xml:space="preserve"> ya que </w:t>
      </w:r>
      <w:r w:rsidRPr="00FB7930">
        <w:rPr>
          <w:rFonts w:ascii="Palatino Linotype" w:eastAsia="Palatino Linotype" w:hAnsi="Palatino Linotype" w:cs="Palatino Linotype"/>
          <w:b/>
        </w:rPr>
        <w:t>EL SUJETO OBLIGADO</w:t>
      </w:r>
      <w:r w:rsidRPr="00FB7930">
        <w:rPr>
          <w:rFonts w:ascii="Palatino Linotype" w:eastAsia="Palatino Linotype" w:hAnsi="Palatino Linotype" w:cs="Palatino Linotype"/>
        </w:rPr>
        <w:t xml:space="preserve"> proporcionó la información por parte de las </w:t>
      </w:r>
      <w:r w:rsidRPr="00FB7930">
        <w:rPr>
          <w:rFonts w:ascii="Palatino Linotype" w:eastAsia="Palatino Linotype" w:hAnsi="Palatino Linotype" w:cs="Palatino Linotype"/>
        </w:rPr>
        <w:lastRenderedPageBreak/>
        <w:t xml:space="preserve">Personas Servidoras Públicas Habilitadas Competentes de la Secretaría y de la Sindicatura del Ayuntamiento de </w:t>
      </w:r>
      <w:proofErr w:type="spellStart"/>
      <w:r w:rsidRPr="00FB7930">
        <w:rPr>
          <w:rFonts w:ascii="Palatino Linotype" w:eastAsia="Palatino Linotype" w:hAnsi="Palatino Linotype" w:cs="Palatino Linotype"/>
        </w:rPr>
        <w:t>Tepetlaoxtoc</w:t>
      </w:r>
      <w:proofErr w:type="spellEnd"/>
      <w:r w:rsidRPr="00FB7930">
        <w:rPr>
          <w:rFonts w:ascii="Palatino Linotype" w:eastAsia="Palatino Linotype" w:hAnsi="Palatino Linotype" w:cs="Palatino Linotype"/>
        </w:rPr>
        <w:t xml:space="preserve">. </w:t>
      </w:r>
    </w:p>
    <w:p w:rsidR="0047288D" w:rsidRPr="00FB7930" w:rsidRDefault="0047288D">
      <w:pPr>
        <w:spacing w:line="360" w:lineRule="auto"/>
        <w:ind w:right="51"/>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Además, es dable definir que al haber existido un pronunciamiento por parte de las referidas Personas Servidoras Públicas Habilitadas Competentes encargadas de gestionar, administrar y proporcionar todo lo inherente a los bienes inmuebles del Ayuntamiento de </w:t>
      </w:r>
      <w:proofErr w:type="spellStart"/>
      <w:r w:rsidRPr="00FB7930">
        <w:rPr>
          <w:rFonts w:ascii="Palatino Linotype" w:eastAsia="Palatino Linotype" w:hAnsi="Palatino Linotype" w:cs="Palatino Linotype"/>
        </w:rPr>
        <w:t>Tepetlaoxtoc</w:t>
      </w:r>
      <w:proofErr w:type="spellEnd"/>
      <w:r w:rsidRPr="00FB7930">
        <w:rPr>
          <w:rFonts w:ascii="Palatino Linotype" w:eastAsia="Palatino Linotype" w:hAnsi="Palatino Linotype" w:cs="Palatino Linotype"/>
        </w:rPr>
        <w:t xml:space="preserve">; esta Autoridad no está facultada para dudar de la veracidad de la información proporcionada por </w:t>
      </w:r>
      <w:r w:rsidRPr="00FB7930">
        <w:rPr>
          <w:rFonts w:ascii="Palatino Linotype" w:eastAsia="Palatino Linotype" w:hAnsi="Palatino Linotype" w:cs="Palatino Linotype"/>
          <w:b/>
        </w:rPr>
        <w:t>EL SUJETO OBLIGADO</w:t>
      </w:r>
      <w:r w:rsidRPr="00FB7930">
        <w:rPr>
          <w:rFonts w:ascii="Palatino Linotype" w:eastAsia="Palatino Linotype" w:hAnsi="Palatino Linotype" w:cs="Palatino Linotype"/>
        </w:rPr>
        <w:t xml:space="preserve">, lo cual, se robustece con lo plasmado en el criterio de interpretación para Sujetos Obligados, reiterado histórico con clave de control </w:t>
      </w:r>
      <w:r w:rsidRPr="00FB7930">
        <w:rPr>
          <w:rFonts w:ascii="Palatino Linotype" w:eastAsia="Palatino Linotype" w:hAnsi="Palatino Linotype" w:cs="Palatino Linotype"/>
          <w:i/>
        </w:rPr>
        <w:t>SO/031/2010</w:t>
      </w:r>
      <w:r w:rsidRPr="00FB7930">
        <w:rPr>
          <w:rFonts w:ascii="Palatino Linotype" w:eastAsia="Palatino Linotype" w:hAnsi="Palatino Linotype" w:cs="Palatino Linotype"/>
        </w:rPr>
        <w:t xml:space="preserve"> emitido por el entonces Instituto Federal de Acceso a la Información y Protección de Datos (IFAI) ahora Instituto Nacional de Transparencia, Acceso a la Información, y Protección de Datos Personales (INAI), que lleva por rubro y texto los siguientes:</w:t>
      </w:r>
    </w:p>
    <w:p w:rsidR="0047288D" w:rsidRPr="00FB7930" w:rsidRDefault="0047288D">
      <w:pPr>
        <w:pBdr>
          <w:top w:val="nil"/>
          <w:left w:val="nil"/>
          <w:bottom w:val="nil"/>
          <w:right w:val="nil"/>
          <w:between w:val="nil"/>
        </w:pBdr>
        <w:ind w:left="864" w:right="864"/>
        <w:jc w:val="both"/>
        <w:rPr>
          <w:rFonts w:ascii="Palatino Linotype" w:eastAsia="Palatino Linotype" w:hAnsi="Palatino Linotype" w:cs="Palatino Linotype"/>
          <w:i/>
          <w:sz w:val="20"/>
          <w:szCs w:val="20"/>
        </w:rPr>
      </w:pPr>
    </w:p>
    <w:p w:rsidR="0047288D" w:rsidRPr="00FB7930" w:rsidRDefault="000619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B7930">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7288D" w:rsidRPr="00FB7930" w:rsidRDefault="0047288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 xml:space="preserve">Con base en lo precedente, se determina que la información proporcionada por </w:t>
      </w:r>
      <w:r w:rsidRPr="00FB7930">
        <w:rPr>
          <w:rFonts w:ascii="Palatino Linotype" w:eastAsia="Palatino Linotype" w:hAnsi="Palatino Linotype" w:cs="Palatino Linotype"/>
          <w:b/>
        </w:rPr>
        <w:t>EL SUJETO OBLIGADO</w:t>
      </w:r>
      <w:r w:rsidRPr="00FB7930">
        <w:rPr>
          <w:rFonts w:ascii="Palatino Linotype" w:eastAsia="Palatino Linotype" w:hAnsi="Palatino Linotype" w:cs="Palatino Linotype"/>
        </w:rPr>
        <w:t xml:space="preserve"> en su respuesta, cumple con lo establecido por los artículos </w:t>
      </w:r>
      <w:r w:rsidRPr="00FB7930">
        <w:rPr>
          <w:rFonts w:ascii="Palatino Linotype" w:eastAsia="Palatino Linotype" w:hAnsi="Palatino Linotype" w:cs="Palatino Linotype"/>
        </w:rPr>
        <w:lastRenderedPageBreak/>
        <w:t xml:space="preserve">4, 12 y 24 último párrafo de la Ley de Transparencia y Acceso a la Información Pública del Estado de México y Municipios; por ello, los motivos de inconformidad acontecen </w:t>
      </w:r>
      <w:r w:rsidRPr="00FB7930">
        <w:rPr>
          <w:rFonts w:ascii="Palatino Linotype" w:eastAsia="Palatino Linotype" w:hAnsi="Palatino Linotype" w:cs="Palatino Linotype"/>
          <w:b/>
        </w:rPr>
        <w:t xml:space="preserve">INFUNDADOS </w:t>
      </w:r>
      <w:r w:rsidRPr="00FB7930">
        <w:rPr>
          <w:rFonts w:ascii="Palatino Linotype" w:eastAsia="Palatino Linotype" w:hAnsi="Palatino Linotype" w:cs="Palatino Linotype"/>
        </w:rPr>
        <w:t xml:space="preserve">para modificar o revocar la respuesta del </w:t>
      </w:r>
      <w:r w:rsidRPr="00FB7930">
        <w:rPr>
          <w:rFonts w:ascii="Palatino Linotype" w:eastAsia="Palatino Linotype" w:hAnsi="Palatino Linotype" w:cs="Palatino Linotype"/>
          <w:b/>
        </w:rPr>
        <w:t>SUJETO OBLIGADO</w:t>
      </w:r>
      <w:r w:rsidRPr="00FB7930">
        <w:rPr>
          <w:rFonts w:ascii="Palatino Linotype" w:eastAsia="Palatino Linotype" w:hAnsi="Palatino Linotype" w:cs="Palatino Linotype"/>
        </w:rPr>
        <w:t xml:space="preserve">. </w:t>
      </w:r>
    </w:p>
    <w:p w:rsidR="0047288D" w:rsidRPr="00FB7930" w:rsidRDefault="0047288D">
      <w:pPr>
        <w:spacing w:line="360" w:lineRule="auto"/>
        <w:jc w:val="both"/>
        <w:rPr>
          <w:rFonts w:ascii="Palatino Linotype" w:eastAsia="Palatino Linotype" w:hAnsi="Palatino Linotype" w:cs="Palatino Linotype"/>
          <w:i/>
        </w:rPr>
      </w:pPr>
    </w:p>
    <w:p w:rsidR="0047288D" w:rsidRPr="00FB7930" w:rsidRDefault="0006196D">
      <w:pPr>
        <w:spacing w:line="360" w:lineRule="auto"/>
        <w:ind w:right="51"/>
        <w:jc w:val="both"/>
        <w:rPr>
          <w:rFonts w:ascii="Palatino Linotype" w:eastAsia="Palatino Linotype" w:hAnsi="Palatino Linotype" w:cs="Palatino Linotype"/>
          <w:b/>
        </w:rPr>
      </w:pPr>
      <w:r w:rsidRPr="00FB7930">
        <w:rPr>
          <w:rFonts w:ascii="Palatino Linotype" w:eastAsia="Palatino Linotype" w:hAnsi="Palatino Linotype" w:cs="Palatino Linotype"/>
        </w:rPr>
        <w:t xml:space="preserve">En consecuencia de todo lo anterior, y una vez analizada las constancias que integran el expediente en que se actúa, lo procedente es </w:t>
      </w:r>
      <w:r w:rsidRPr="00FB7930">
        <w:rPr>
          <w:rFonts w:ascii="Palatino Linotype" w:eastAsia="Palatino Linotype" w:hAnsi="Palatino Linotype" w:cs="Palatino Linotype"/>
          <w:b/>
        </w:rPr>
        <w:t>CONFIRMAR</w:t>
      </w:r>
      <w:r w:rsidRPr="00FB7930">
        <w:rPr>
          <w:rFonts w:ascii="Palatino Linotype" w:eastAsia="Palatino Linotype" w:hAnsi="Palatino Linotype" w:cs="Palatino Linotype"/>
        </w:rPr>
        <w:t xml:space="preserve"> la respuesta del </w:t>
      </w:r>
      <w:r w:rsidRPr="00FB7930">
        <w:rPr>
          <w:rFonts w:ascii="Palatino Linotype" w:eastAsia="Palatino Linotype" w:hAnsi="Palatino Linotype" w:cs="Palatino Linotype"/>
          <w:b/>
        </w:rPr>
        <w:t>SUJETO OBLIGADO.</w:t>
      </w:r>
    </w:p>
    <w:p w:rsidR="0047288D" w:rsidRPr="00FB7930" w:rsidRDefault="0047288D">
      <w:pPr>
        <w:spacing w:line="360" w:lineRule="auto"/>
        <w:ind w:right="51"/>
        <w:jc w:val="both"/>
        <w:rPr>
          <w:rFonts w:ascii="Palatino Linotype" w:eastAsia="Palatino Linotype" w:hAnsi="Palatino Linotype" w:cs="Palatino Linotype"/>
          <w:b/>
        </w:rPr>
      </w:pPr>
    </w:p>
    <w:p w:rsidR="0047288D" w:rsidRPr="00FB7930" w:rsidRDefault="0006196D">
      <w:pPr>
        <w:pBdr>
          <w:top w:val="nil"/>
          <w:left w:val="nil"/>
          <w:bottom w:val="nil"/>
          <w:right w:val="nil"/>
          <w:between w:val="nil"/>
        </w:pBd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47288D" w:rsidRPr="00FB7930" w:rsidRDefault="0047288D">
      <w:pPr>
        <w:pBdr>
          <w:top w:val="nil"/>
          <w:left w:val="nil"/>
          <w:bottom w:val="nil"/>
          <w:right w:val="nil"/>
          <w:between w:val="nil"/>
        </w:pBdr>
        <w:spacing w:line="360" w:lineRule="auto"/>
        <w:jc w:val="both"/>
        <w:rPr>
          <w:rFonts w:ascii="Palatino Linotype" w:eastAsia="Palatino Linotype" w:hAnsi="Palatino Linotype" w:cs="Palatino Linotype"/>
        </w:rPr>
      </w:pPr>
    </w:p>
    <w:p w:rsidR="0047288D" w:rsidRPr="00FB7930" w:rsidRDefault="0006196D">
      <w:pPr>
        <w:pBdr>
          <w:top w:val="nil"/>
          <w:left w:val="nil"/>
          <w:bottom w:val="nil"/>
          <w:right w:val="nil"/>
          <w:between w:val="nil"/>
        </w:pBdr>
        <w:spacing w:line="360" w:lineRule="auto"/>
        <w:jc w:val="center"/>
        <w:rPr>
          <w:rFonts w:ascii="Palatino Linotype" w:eastAsia="Palatino Linotype" w:hAnsi="Palatino Linotype" w:cs="Palatino Linotype"/>
          <w:b/>
        </w:rPr>
      </w:pPr>
      <w:r w:rsidRPr="00FB7930">
        <w:rPr>
          <w:rFonts w:ascii="Palatino Linotype" w:eastAsia="Palatino Linotype" w:hAnsi="Palatino Linotype" w:cs="Palatino Linotype"/>
          <w:b/>
        </w:rPr>
        <w:t>III. R E S U E L V E:</w:t>
      </w:r>
    </w:p>
    <w:p w:rsidR="0047288D" w:rsidRPr="00FB7930" w:rsidRDefault="0047288D">
      <w:pPr>
        <w:pBdr>
          <w:top w:val="nil"/>
          <w:left w:val="nil"/>
          <w:bottom w:val="nil"/>
          <w:right w:val="nil"/>
          <w:between w:val="nil"/>
        </w:pBdr>
        <w:spacing w:line="360" w:lineRule="auto"/>
        <w:jc w:val="center"/>
        <w:rPr>
          <w:rFonts w:ascii="Palatino Linotype" w:eastAsia="Palatino Linotype" w:hAnsi="Palatino Linotype" w:cs="Palatino Linotype"/>
          <w:b/>
        </w:rPr>
      </w:pPr>
    </w:p>
    <w:p w:rsidR="0047288D" w:rsidRPr="00FB7930" w:rsidRDefault="0006196D">
      <w:pPr>
        <w:pBdr>
          <w:top w:val="nil"/>
          <w:left w:val="nil"/>
          <w:bottom w:val="nil"/>
          <w:right w:val="nil"/>
          <w:between w:val="nil"/>
        </w:pBdr>
        <w:spacing w:line="360" w:lineRule="auto"/>
        <w:jc w:val="both"/>
        <w:rPr>
          <w:rFonts w:ascii="Palatino Linotype" w:eastAsia="Palatino Linotype" w:hAnsi="Palatino Linotype" w:cs="Palatino Linotype"/>
          <w:b/>
        </w:rPr>
      </w:pPr>
      <w:bookmarkStart w:id="6" w:name="_heading=h.3dy6vkm" w:colFirst="0" w:colLast="0"/>
      <w:bookmarkEnd w:id="6"/>
      <w:r w:rsidRPr="00FB7930">
        <w:rPr>
          <w:rFonts w:ascii="Palatino Linotype" w:eastAsia="Palatino Linotype" w:hAnsi="Palatino Linotype" w:cs="Palatino Linotype"/>
          <w:b/>
        </w:rPr>
        <w:t>PRIMERO.</w:t>
      </w:r>
      <w:r w:rsidRPr="00FB7930">
        <w:rPr>
          <w:rFonts w:ascii="Palatino Linotype" w:eastAsia="Palatino Linotype" w:hAnsi="Palatino Linotype" w:cs="Palatino Linotype"/>
        </w:rPr>
        <w:t xml:space="preserve"> Resultan </w:t>
      </w:r>
      <w:r w:rsidRPr="00FB7930">
        <w:rPr>
          <w:rFonts w:ascii="Palatino Linotype" w:eastAsia="Palatino Linotype" w:hAnsi="Palatino Linotype" w:cs="Palatino Linotype"/>
          <w:b/>
        </w:rPr>
        <w:t>INFUNDADOS</w:t>
      </w:r>
      <w:r w:rsidRPr="00FB7930">
        <w:rPr>
          <w:rFonts w:ascii="Palatino Linotype" w:eastAsia="Palatino Linotype" w:hAnsi="Palatino Linotype" w:cs="Palatino Linotype"/>
        </w:rPr>
        <w:t xml:space="preserve"> los motivos de inconformidad aducidos por </w:t>
      </w:r>
      <w:r w:rsidRPr="00FB7930">
        <w:rPr>
          <w:rFonts w:ascii="Palatino Linotype" w:eastAsia="Palatino Linotype" w:hAnsi="Palatino Linotype" w:cs="Palatino Linotype"/>
          <w:b/>
        </w:rPr>
        <w:t>LA PARTE RECURRENTE</w:t>
      </w:r>
      <w:r w:rsidRPr="00FB7930">
        <w:rPr>
          <w:rFonts w:ascii="Palatino Linotype" w:eastAsia="Palatino Linotype" w:hAnsi="Palatino Linotype" w:cs="Palatino Linotype"/>
        </w:rPr>
        <w:t xml:space="preserve"> en el recurso de revisión </w:t>
      </w:r>
      <w:r w:rsidRPr="00FB7930">
        <w:rPr>
          <w:rFonts w:ascii="Palatino Linotype" w:eastAsia="Palatino Linotype" w:hAnsi="Palatino Linotype" w:cs="Palatino Linotype"/>
          <w:b/>
        </w:rPr>
        <w:t>03194/INFOEM/IP/RR/2023</w:t>
      </w:r>
      <w:r w:rsidRPr="00FB7930">
        <w:rPr>
          <w:rFonts w:ascii="Palatino Linotype" w:eastAsia="Palatino Linotype" w:hAnsi="Palatino Linotype" w:cs="Palatino Linotype"/>
        </w:rPr>
        <w:t xml:space="preserve">; por lo que, en términos de los argumentos señalados en el </w:t>
      </w:r>
      <w:r w:rsidRPr="00FB7930">
        <w:rPr>
          <w:rFonts w:ascii="Palatino Linotype" w:eastAsia="Palatino Linotype" w:hAnsi="Palatino Linotype" w:cs="Palatino Linotype"/>
          <w:b/>
        </w:rPr>
        <w:t>CONSIDERANDO CUARTO</w:t>
      </w:r>
      <w:r w:rsidRPr="00FB7930">
        <w:rPr>
          <w:rFonts w:ascii="Palatino Linotype" w:eastAsia="Palatino Linotype" w:hAnsi="Palatino Linotype" w:cs="Palatino Linotype"/>
        </w:rPr>
        <w:t xml:space="preserve"> se </w:t>
      </w:r>
      <w:r w:rsidRPr="00FB7930">
        <w:rPr>
          <w:rFonts w:ascii="Palatino Linotype" w:eastAsia="Palatino Linotype" w:hAnsi="Palatino Linotype" w:cs="Palatino Linotype"/>
          <w:b/>
        </w:rPr>
        <w:t>CONFIRMA</w:t>
      </w:r>
      <w:r w:rsidRPr="00FB7930">
        <w:rPr>
          <w:rFonts w:ascii="Palatino Linotype" w:eastAsia="Palatino Linotype" w:hAnsi="Palatino Linotype" w:cs="Palatino Linotype"/>
        </w:rPr>
        <w:t xml:space="preserve"> la respuesta emitida por </w:t>
      </w:r>
      <w:r w:rsidRPr="00FB7930">
        <w:rPr>
          <w:rFonts w:ascii="Palatino Linotype" w:eastAsia="Palatino Linotype" w:hAnsi="Palatino Linotype" w:cs="Palatino Linotype"/>
          <w:b/>
        </w:rPr>
        <w:t>EL SUJETO OBLIGADO.</w:t>
      </w:r>
    </w:p>
    <w:p w:rsidR="0047288D" w:rsidRPr="00FB7930" w:rsidRDefault="0047288D">
      <w:pPr>
        <w:pBdr>
          <w:top w:val="nil"/>
          <w:left w:val="nil"/>
          <w:bottom w:val="nil"/>
          <w:right w:val="nil"/>
          <w:between w:val="nil"/>
        </w:pBdr>
        <w:spacing w:line="360" w:lineRule="auto"/>
        <w:jc w:val="both"/>
        <w:rPr>
          <w:rFonts w:ascii="Palatino Linotype" w:eastAsia="Palatino Linotype" w:hAnsi="Palatino Linotype" w:cs="Palatino Linotype"/>
          <w:b/>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b/>
        </w:rPr>
        <w:t>SEGUNDO. NOTIFÍQUESE</w:t>
      </w:r>
      <w:r w:rsidRPr="00FB7930">
        <w:rPr>
          <w:rFonts w:ascii="Palatino Linotype" w:eastAsia="Palatino Linotype" w:hAnsi="Palatino Linotype" w:cs="Palatino Linotype"/>
        </w:rPr>
        <w:t xml:space="preserve"> vía </w:t>
      </w:r>
      <w:r w:rsidRPr="00FB7930">
        <w:rPr>
          <w:rFonts w:ascii="Palatino Linotype" w:eastAsia="Palatino Linotype" w:hAnsi="Palatino Linotype" w:cs="Palatino Linotype"/>
          <w:b/>
        </w:rPr>
        <w:t xml:space="preserve">SAIMEX </w:t>
      </w:r>
      <w:r w:rsidRPr="00FB7930">
        <w:rPr>
          <w:rFonts w:ascii="Palatino Linotype" w:eastAsia="Palatino Linotype" w:hAnsi="Palatino Linotype" w:cs="Palatino Linotype"/>
        </w:rPr>
        <w:t xml:space="preserve">la presente resolución a la Persona Titular de la Unidad de Transparencia del </w:t>
      </w:r>
      <w:r w:rsidRPr="00FB7930">
        <w:rPr>
          <w:rFonts w:ascii="Palatino Linotype" w:eastAsia="Palatino Linotype" w:hAnsi="Palatino Linotype" w:cs="Palatino Linotype"/>
          <w:b/>
        </w:rPr>
        <w:t>SUJETO OBLIGADO</w:t>
      </w:r>
      <w:r w:rsidRPr="00FB7930">
        <w:rPr>
          <w:rFonts w:ascii="Palatino Linotype" w:eastAsia="Palatino Linotype" w:hAnsi="Palatino Linotype" w:cs="Palatino Linotype"/>
        </w:rPr>
        <w:t xml:space="preserve">, para su </w:t>
      </w:r>
      <w:r w:rsidRPr="00FB7930">
        <w:rPr>
          <w:rFonts w:ascii="Palatino Linotype" w:eastAsia="Palatino Linotype" w:hAnsi="Palatino Linotype" w:cs="Palatino Linotype"/>
        </w:rPr>
        <w:lastRenderedPageBreak/>
        <w:t>conocimiento, lo anterior en términos del artículo 189 de la Ley de Transparencia y Acceso a la Información Pública del Estado de México y Municipios.</w:t>
      </w: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06196D">
      <w:pPr>
        <w:tabs>
          <w:tab w:val="left" w:pos="8647"/>
        </w:tabs>
        <w:spacing w:line="360" w:lineRule="auto"/>
        <w:ind w:right="51"/>
        <w:jc w:val="both"/>
        <w:rPr>
          <w:rFonts w:ascii="Palatino Linotype" w:eastAsia="Palatino Linotype" w:hAnsi="Palatino Linotype" w:cs="Palatino Linotype"/>
        </w:rPr>
      </w:pPr>
      <w:r w:rsidRPr="00FB7930">
        <w:rPr>
          <w:rFonts w:ascii="Palatino Linotype" w:eastAsia="Palatino Linotype" w:hAnsi="Palatino Linotype" w:cs="Palatino Linotype"/>
          <w:b/>
        </w:rPr>
        <w:t xml:space="preserve">TERCERO. NOTIFÍQUESE, </w:t>
      </w:r>
      <w:r w:rsidRPr="00FB7930">
        <w:rPr>
          <w:rFonts w:ascii="Palatino Linotype" w:eastAsia="Palatino Linotype" w:hAnsi="Palatino Linotype" w:cs="Palatino Linotype"/>
        </w:rPr>
        <w:t>vía SAIMEX</w:t>
      </w:r>
      <w:r w:rsidRPr="00FB7930">
        <w:rPr>
          <w:rFonts w:ascii="Palatino Linotype" w:eastAsia="Palatino Linotype" w:hAnsi="Palatino Linotype" w:cs="Palatino Linotype"/>
          <w:b/>
        </w:rPr>
        <w:t xml:space="preserve"> </w:t>
      </w:r>
      <w:r w:rsidRPr="00FB7930">
        <w:rPr>
          <w:rFonts w:ascii="Palatino Linotype" w:eastAsia="Palatino Linotype" w:hAnsi="Palatino Linotype" w:cs="Palatino Linotype"/>
        </w:rPr>
        <w:t>a</w:t>
      </w:r>
      <w:r w:rsidRPr="00FB7930">
        <w:rPr>
          <w:rFonts w:ascii="Palatino Linotype" w:eastAsia="Palatino Linotype" w:hAnsi="Palatino Linotype" w:cs="Palatino Linotype"/>
          <w:b/>
        </w:rPr>
        <w:t xml:space="preserve"> LA PARTE RECURRENTE</w:t>
      </w:r>
      <w:r w:rsidRPr="00FB7930">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47288D" w:rsidRPr="00FB7930" w:rsidRDefault="0047288D">
      <w:pPr>
        <w:tabs>
          <w:tab w:val="left" w:pos="8647"/>
        </w:tabs>
        <w:spacing w:line="360" w:lineRule="auto"/>
        <w:ind w:right="51"/>
        <w:jc w:val="both"/>
        <w:rPr>
          <w:rFonts w:ascii="Palatino Linotype" w:eastAsia="Palatino Linotype" w:hAnsi="Palatino Linotype" w:cs="Palatino Linotype"/>
        </w:rPr>
      </w:pPr>
    </w:p>
    <w:p w:rsidR="0047288D" w:rsidRPr="00FB7930" w:rsidRDefault="0006196D">
      <w:pPr>
        <w:spacing w:line="360" w:lineRule="auto"/>
        <w:jc w:val="both"/>
        <w:rPr>
          <w:rFonts w:ascii="Palatino Linotype" w:eastAsia="Palatino Linotype" w:hAnsi="Palatino Linotype" w:cs="Palatino Linotype"/>
        </w:rPr>
      </w:pPr>
      <w:r w:rsidRPr="00FB793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DE OCTUBRE DE DOS MIL VEINTIDÓS, ANTE EL SECRETARIO TÉCNICO DEL PLENO ALEXIS TAPIA RAMÍREZ.</w:t>
      </w:r>
    </w:p>
    <w:p w:rsidR="0047288D" w:rsidRPr="00FB7930" w:rsidRDefault="0047288D">
      <w:pPr>
        <w:spacing w:line="360" w:lineRule="auto"/>
        <w:rPr>
          <w:rFonts w:ascii="Palatino Linotype" w:eastAsia="Palatino Linotype" w:hAnsi="Palatino Linotype" w:cs="Palatino Linotype"/>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b/>
        </w:rPr>
      </w:pPr>
    </w:p>
    <w:p w:rsidR="0047288D" w:rsidRPr="00FB7930" w:rsidRDefault="0047288D">
      <w:pPr>
        <w:spacing w:line="360" w:lineRule="auto"/>
        <w:jc w:val="both"/>
        <w:rPr>
          <w:rFonts w:ascii="Palatino Linotype" w:eastAsia="Palatino Linotype" w:hAnsi="Palatino Linotype" w:cs="Palatino Linotype"/>
        </w:rPr>
      </w:pPr>
      <w:bookmarkStart w:id="7" w:name="_heading=h.2et92p0" w:colFirst="0" w:colLast="0"/>
      <w:bookmarkEnd w:id="7"/>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47288D">
      <w:pPr>
        <w:spacing w:line="360" w:lineRule="auto"/>
        <w:jc w:val="both"/>
        <w:rPr>
          <w:rFonts w:ascii="Palatino Linotype" w:eastAsia="Palatino Linotype" w:hAnsi="Palatino Linotype" w:cs="Palatino Linotype"/>
        </w:rPr>
      </w:pPr>
    </w:p>
    <w:p w:rsidR="0047288D" w:rsidRPr="00FB7930" w:rsidRDefault="0047288D">
      <w:pPr>
        <w:spacing w:line="360" w:lineRule="auto"/>
        <w:jc w:val="both"/>
        <w:rPr>
          <w:rFonts w:ascii="Palatino Linotype" w:eastAsia="Palatino Linotype" w:hAnsi="Palatino Linotype" w:cs="Palatino Linotype"/>
        </w:rPr>
      </w:pPr>
    </w:p>
    <w:sectPr w:rsidR="0047288D" w:rsidRPr="00FB793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2F7" w:rsidRDefault="000712F7">
      <w:r>
        <w:separator/>
      </w:r>
    </w:p>
  </w:endnote>
  <w:endnote w:type="continuationSeparator" w:id="0">
    <w:p w:rsidR="000712F7" w:rsidRDefault="0007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88D" w:rsidRDefault="0006196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0797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0797C">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47288D" w:rsidRDefault="0047288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88D" w:rsidRDefault="0006196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C191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C191C">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2F7" w:rsidRDefault="000712F7">
      <w:r>
        <w:separator/>
      </w:r>
    </w:p>
  </w:footnote>
  <w:footnote w:type="continuationSeparator" w:id="0">
    <w:p w:rsidR="000712F7" w:rsidRDefault="00071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88D" w:rsidRDefault="0006196D">
    <w:pPr>
      <w:rPr>
        <w:rFonts w:ascii="Cambria" w:eastAsia="Cambria" w:hAnsi="Cambria" w:cs="Cambria"/>
      </w:rPr>
    </w:pPr>
    <w:r>
      <w:rPr>
        <w:noProof/>
      </w:rPr>
      <w:drawing>
        <wp:anchor distT="0" distB="0" distL="0" distR="0" simplePos="0" relativeHeight="251658240" behindDoc="1" locked="0" layoutInCell="1" hidden="0" allowOverlap="1">
          <wp:simplePos x="0" y="0"/>
          <wp:positionH relativeFrom="column">
            <wp:posOffset>-1079496</wp:posOffset>
          </wp:positionH>
          <wp:positionV relativeFrom="paragraph">
            <wp:posOffset>-430526</wp:posOffset>
          </wp:positionV>
          <wp:extent cx="7809865" cy="10165715"/>
          <wp:effectExtent l="0" t="0" r="0" b="0"/>
          <wp:wrapNone/>
          <wp:docPr id="2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6100" w:type="dxa"/>
      <w:tblInd w:w="3114" w:type="dxa"/>
      <w:tblLayout w:type="fixed"/>
      <w:tblLook w:val="0400" w:firstRow="0" w:lastRow="0" w:firstColumn="0" w:lastColumn="0" w:noHBand="0" w:noVBand="1"/>
    </w:tblPr>
    <w:tblGrid>
      <w:gridCol w:w="2410"/>
      <w:gridCol w:w="3690"/>
    </w:tblGrid>
    <w:tr w:rsidR="0047288D">
      <w:tc>
        <w:tcPr>
          <w:tcW w:w="2410" w:type="dxa"/>
          <w:shd w:val="clear" w:color="auto" w:fill="auto"/>
        </w:tcPr>
        <w:p w:rsidR="0047288D" w:rsidRDefault="000619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90" w:type="dxa"/>
          <w:shd w:val="clear" w:color="auto" w:fill="auto"/>
          <w:vAlign w:val="center"/>
        </w:tcPr>
        <w:p w:rsidR="0047288D" w:rsidRDefault="000619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03194/INFOEM/IP/RR/2023</w:t>
          </w:r>
        </w:p>
      </w:tc>
    </w:tr>
    <w:tr w:rsidR="0047288D">
      <w:trPr>
        <w:trHeight w:val="228"/>
      </w:trPr>
      <w:tc>
        <w:tcPr>
          <w:tcW w:w="2410" w:type="dxa"/>
          <w:shd w:val="clear" w:color="auto" w:fill="auto"/>
          <w:vAlign w:val="center"/>
        </w:tcPr>
        <w:p w:rsidR="0047288D" w:rsidRDefault="000619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90" w:type="dxa"/>
          <w:shd w:val="clear" w:color="auto" w:fill="auto"/>
          <w:vAlign w:val="center"/>
        </w:tcPr>
        <w:p w:rsidR="0047288D" w:rsidRDefault="0006196D">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Tepetlaoxtoc</w:t>
          </w:r>
          <w:proofErr w:type="spellEnd"/>
        </w:p>
      </w:tc>
    </w:tr>
    <w:tr w:rsidR="0047288D">
      <w:tc>
        <w:tcPr>
          <w:tcW w:w="2410" w:type="dxa"/>
          <w:shd w:val="clear" w:color="auto" w:fill="auto"/>
          <w:vAlign w:val="center"/>
        </w:tcPr>
        <w:p w:rsidR="0047288D" w:rsidRDefault="0006196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90" w:type="dxa"/>
          <w:shd w:val="clear" w:color="auto" w:fill="auto"/>
          <w:vAlign w:val="center"/>
        </w:tcPr>
        <w:p w:rsidR="0047288D" w:rsidRDefault="000619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7288D" w:rsidRDefault="0006196D">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88D" w:rsidRDefault="0006196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-1089021</wp:posOffset>
          </wp:positionH>
          <wp:positionV relativeFrom="paragraph">
            <wp:posOffset>-459736</wp:posOffset>
          </wp:positionV>
          <wp:extent cx="7809865" cy="10165715"/>
          <wp:effectExtent l="0" t="0" r="0" b="0"/>
          <wp:wrapNone/>
          <wp:docPr id="2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6483" w:type="dxa"/>
      <w:tblInd w:w="3174" w:type="dxa"/>
      <w:tblLayout w:type="fixed"/>
      <w:tblLook w:val="0400" w:firstRow="0" w:lastRow="0" w:firstColumn="0" w:lastColumn="0" w:noHBand="0" w:noVBand="1"/>
    </w:tblPr>
    <w:tblGrid>
      <w:gridCol w:w="2917"/>
      <w:gridCol w:w="3566"/>
    </w:tblGrid>
    <w:tr w:rsidR="0047288D">
      <w:trPr>
        <w:trHeight w:val="213"/>
      </w:trPr>
      <w:tc>
        <w:tcPr>
          <w:tcW w:w="2917" w:type="dxa"/>
          <w:shd w:val="clear" w:color="auto" w:fill="auto"/>
          <w:vAlign w:val="center"/>
        </w:tcPr>
        <w:p w:rsidR="0047288D" w:rsidRDefault="000619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66" w:type="dxa"/>
          <w:tcBorders>
            <w:left w:val="nil"/>
          </w:tcBorders>
          <w:shd w:val="clear" w:color="auto" w:fill="auto"/>
          <w:vAlign w:val="center"/>
        </w:tcPr>
        <w:p w:rsidR="0047288D" w:rsidRDefault="0006196D">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03194/INFOEM/IP/RR/2023</w:t>
          </w:r>
        </w:p>
      </w:tc>
    </w:tr>
    <w:tr w:rsidR="0047288D">
      <w:trPr>
        <w:trHeight w:val="91"/>
      </w:trPr>
      <w:tc>
        <w:tcPr>
          <w:tcW w:w="2917" w:type="dxa"/>
          <w:tcBorders>
            <w:right w:val="single" w:sz="4" w:space="0" w:color="FFFFFF"/>
          </w:tcBorders>
          <w:shd w:val="clear" w:color="auto" w:fill="auto"/>
          <w:vAlign w:val="center"/>
        </w:tcPr>
        <w:p w:rsidR="0047288D" w:rsidRDefault="000619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66" w:type="dxa"/>
          <w:tcBorders>
            <w:left w:val="single" w:sz="4" w:space="0" w:color="FFFFFF"/>
            <w:right w:val="single" w:sz="4" w:space="0" w:color="FFFFFF"/>
          </w:tcBorders>
          <w:shd w:val="clear" w:color="auto" w:fill="FFFFFF"/>
          <w:vAlign w:val="center"/>
        </w:tcPr>
        <w:p w:rsidR="0047288D" w:rsidRDefault="002C191C" w:rsidP="002C191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 XXXXXX XXXXX</w:t>
          </w:r>
        </w:p>
      </w:tc>
    </w:tr>
    <w:tr w:rsidR="0047288D">
      <w:trPr>
        <w:trHeight w:val="161"/>
      </w:trPr>
      <w:tc>
        <w:tcPr>
          <w:tcW w:w="2917" w:type="dxa"/>
          <w:tcBorders>
            <w:bottom w:val="single" w:sz="4" w:space="0" w:color="FFFFFF"/>
            <w:right w:val="single" w:sz="4" w:space="0" w:color="FFFFFF"/>
          </w:tcBorders>
          <w:shd w:val="clear" w:color="auto" w:fill="auto"/>
          <w:vAlign w:val="center"/>
        </w:tcPr>
        <w:p w:rsidR="0047288D" w:rsidRDefault="000619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66" w:type="dxa"/>
          <w:tcBorders>
            <w:left w:val="single" w:sz="4" w:space="0" w:color="FFFFFF"/>
            <w:bottom w:val="single" w:sz="4" w:space="0" w:color="FFFFFF"/>
            <w:right w:val="single" w:sz="4" w:space="0" w:color="FFFFFF"/>
          </w:tcBorders>
          <w:shd w:val="clear" w:color="auto" w:fill="auto"/>
          <w:vAlign w:val="center"/>
        </w:tcPr>
        <w:p w:rsidR="0047288D" w:rsidRDefault="0006196D">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Tepetlaoxtoc</w:t>
          </w:r>
          <w:proofErr w:type="spellEnd"/>
        </w:p>
      </w:tc>
    </w:tr>
    <w:tr w:rsidR="0047288D">
      <w:trPr>
        <w:trHeight w:val="102"/>
      </w:trPr>
      <w:tc>
        <w:tcPr>
          <w:tcW w:w="2917" w:type="dxa"/>
          <w:tcBorders>
            <w:top w:val="single" w:sz="4" w:space="0" w:color="FFFFFF"/>
            <w:right w:val="single" w:sz="4" w:space="0" w:color="FFFFFF"/>
          </w:tcBorders>
          <w:shd w:val="clear" w:color="auto" w:fill="auto"/>
          <w:vAlign w:val="center"/>
        </w:tcPr>
        <w:p w:rsidR="0047288D" w:rsidRDefault="000619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66" w:type="dxa"/>
          <w:tcBorders>
            <w:top w:val="single" w:sz="4" w:space="0" w:color="FFFFFF"/>
            <w:left w:val="single" w:sz="4" w:space="0" w:color="FFFFFF"/>
            <w:right w:val="single" w:sz="4" w:space="0" w:color="FFFFFF"/>
          </w:tcBorders>
          <w:shd w:val="clear" w:color="auto" w:fill="auto"/>
          <w:vAlign w:val="center"/>
        </w:tcPr>
        <w:p w:rsidR="0047288D" w:rsidRDefault="0006196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7288D" w:rsidRDefault="004728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84BD6"/>
    <w:multiLevelType w:val="multilevel"/>
    <w:tmpl w:val="05443C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1147EC9"/>
    <w:multiLevelType w:val="multilevel"/>
    <w:tmpl w:val="5F42D24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421B467B"/>
    <w:multiLevelType w:val="multilevel"/>
    <w:tmpl w:val="494EBA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F9A3501"/>
    <w:multiLevelType w:val="multilevel"/>
    <w:tmpl w:val="5ACCA1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8D"/>
    <w:rsid w:val="0000797C"/>
    <w:rsid w:val="0006196D"/>
    <w:rsid w:val="000712F7"/>
    <w:rsid w:val="002C191C"/>
    <w:rsid w:val="0047288D"/>
    <w:rsid w:val="007F4281"/>
    <w:rsid w:val="00817DD3"/>
    <w:rsid w:val="00FB7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1E270E-171D-4E44-96C9-3F538CFA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top w:w="0" w:type="dxa"/>
        <w:left w:w="115" w:type="dxa"/>
        <w:bottom w:w="0" w:type="dxa"/>
        <w:right w:w="115" w:type="dxa"/>
      </w:tblCellMar>
    </w:tblPr>
  </w:style>
  <w:style w:type="table" w:customStyle="1" w:styleId="9">
    <w:name w:val="9"/>
    <w:basedOn w:val="TableNormal1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top w:w="0" w:type="dxa"/>
        <w:left w:w="115" w:type="dxa"/>
        <w:bottom w:w="0" w:type="dxa"/>
        <w:right w:w="115" w:type="dxa"/>
      </w:tblCellMar>
    </w:tblPr>
  </w:style>
  <w:style w:type="table" w:customStyle="1" w:styleId="7">
    <w:name w:val="7"/>
    <w:basedOn w:val="TableNormal11"/>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23">
    <w:name w:val="23"/>
    <w:basedOn w:val="TableNormal50"/>
    <w:tblPr>
      <w:tblStyleRowBandSize w:val="1"/>
      <w:tblStyleColBandSize w:val="1"/>
      <w:tblCellMar>
        <w:top w:w="0" w:type="dxa"/>
        <w:left w:w="115" w:type="dxa"/>
        <w:bottom w:w="0" w:type="dxa"/>
        <w:right w:w="115" w:type="dxa"/>
      </w:tblCellMar>
    </w:tblPr>
  </w:style>
  <w:style w:type="table" w:customStyle="1" w:styleId="22">
    <w:name w:val="22"/>
    <w:basedOn w:val="TableNormal50"/>
    <w:tblPr>
      <w:tblStyleRowBandSize w:val="1"/>
      <w:tblStyleColBandSize w:val="1"/>
      <w:tblCellMar>
        <w:top w:w="0" w:type="dxa"/>
        <w:left w:w="115" w:type="dxa"/>
        <w:bottom w:w="0" w:type="dxa"/>
        <w:right w:w="115" w:type="dxa"/>
      </w:tblCellMar>
    </w:tblPr>
  </w:style>
  <w:style w:type="table" w:customStyle="1" w:styleId="21">
    <w:name w:val="21"/>
    <w:basedOn w:val="TableNormal60"/>
    <w:tblPr>
      <w:tblStyleRowBandSize w:val="1"/>
      <w:tblStyleColBandSize w:val="1"/>
      <w:tblCellMar>
        <w:top w:w="0" w:type="dxa"/>
        <w:left w:w="115" w:type="dxa"/>
        <w:bottom w:w="0" w:type="dxa"/>
        <w:right w:w="115" w:type="dxa"/>
      </w:tblCellMar>
    </w:tblPr>
  </w:style>
  <w:style w:type="table" w:customStyle="1" w:styleId="20">
    <w:name w:val="20"/>
    <w:basedOn w:val="TableNormal60"/>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6"/>
    <w:tblPr>
      <w:tblStyleRowBandSize w:val="1"/>
      <w:tblStyleColBandSize w:val="1"/>
      <w:tblCellMar>
        <w:top w:w="0" w:type="dxa"/>
        <w:left w:w="108" w:type="dxa"/>
        <w:bottom w:w="0" w:type="dxa"/>
        <w:right w:w="108" w:type="dxa"/>
      </w:tblCellMar>
    </w:tblPr>
  </w:style>
  <w:style w:type="table" w:customStyle="1" w:styleId="a0">
    <w:basedOn w:val="TableNormal6"/>
    <w:tblPr>
      <w:tblStyleRowBandSize w:val="1"/>
      <w:tblStyleColBandSize w:val="1"/>
      <w:tblCellMar>
        <w:top w:w="0" w:type="dxa"/>
        <w:left w:w="108" w:type="dxa"/>
        <w:bottom w:w="0" w:type="dxa"/>
        <w:right w:w="108" w:type="dxa"/>
      </w:tblCellMar>
    </w:tblPr>
  </w:style>
  <w:style w:type="table" w:customStyle="1" w:styleId="a2">
    <w:basedOn w:val="TableNormal6"/>
    <w:tblPr>
      <w:tblStyleRowBandSize w:val="1"/>
      <w:tblStyleColBandSize w:val="1"/>
      <w:tblCellMar>
        <w:top w:w="0" w:type="dxa"/>
        <w:left w:w="108" w:type="dxa"/>
        <w:bottom w:w="0" w:type="dxa"/>
        <w:right w:w="108" w:type="dxa"/>
      </w:tblCellMar>
    </w:tblPr>
  </w:style>
  <w:style w:type="table" w:customStyle="1" w:styleId="a3">
    <w:basedOn w:val="TableNormal6"/>
    <w:tblPr>
      <w:tblStyleRowBandSize w:val="1"/>
      <w:tblStyleColBandSize w:val="1"/>
      <w:tblCellMar>
        <w:top w:w="0" w:type="dxa"/>
        <w:left w:w="108" w:type="dxa"/>
        <w:bottom w:w="0" w:type="dxa"/>
        <w:right w:w="108" w:type="dxa"/>
      </w:tblCellMar>
    </w:tblPr>
  </w:style>
  <w:style w:type="table" w:customStyle="1" w:styleId="a4">
    <w:basedOn w:val="TableNormal6"/>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6"/>
    <w:tblPr>
      <w:tblStyleRowBandSize w:val="1"/>
      <w:tblStyleColBandSize w:val="1"/>
      <w:tblCellMar>
        <w:top w:w="0" w:type="dxa"/>
        <w:left w:w="115" w:type="dxa"/>
        <w:bottom w:w="0" w:type="dxa"/>
        <w:right w:w="115" w:type="dxa"/>
      </w:tblCellMar>
    </w:tblPr>
  </w:style>
  <w:style w:type="table" w:customStyle="1" w:styleId="a6">
    <w:basedOn w:val="TableNormal6"/>
    <w:tblPr>
      <w:tblStyleRowBandSize w:val="1"/>
      <w:tblStyleColBandSize w:val="1"/>
      <w:tblCellMar>
        <w:top w:w="0" w:type="dxa"/>
        <w:left w:w="115" w:type="dxa"/>
        <w:bottom w:w="0" w:type="dxa"/>
        <w:right w:w="115" w:type="dxa"/>
      </w:tblCellMar>
    </w:tblPr>
  </w:style>
  <w:style w:type="table" w:customStyle="1" w:styleId="a7">
    <w:basedOn w:val="TableNormal5"/>
    <w:tblPr>
      <w:tblStyleRowBandSize w:val="1"/>
      <w:tblStyleColBandSize w:val="1"/>
      <w:tblCellMar>
        <w:top w:w="0" w:type="dxa"/>
        <w:left w:w="115" w:type="dxa"/>
        <w:bottom w:w="0" w:type="dxa"/>
        <w:right w:w="115" w:type="dxa"/>
      </w:tblCellMar>
    </w:tblPr>
  </w:style>
  <w:style w:type="table" w:customStyle="1" w:styleId="a8">
    <w:basedOn w:val="TableNormal5"/>
    <w:tblPr>
      <w:tblStyleRowBandSize w:val="1"/>
      <w:tblStyleColBandSize w:val="1"/>
      <w:tblCellMar>
        <w:top w:w="0" w:type="dxa"/>
        <w:left w:w="115" w:type="dxa"/>
        <w:bottom w:w="0" w:type="dxa"/>
        <w:right w:w="115" w:type="dxa"/>
      </w:tblCellMar>
    </w:tblPr>
  </w:style>
  <w:style w:type="table" w:customStyle="1" w:styleId="a9">
    <w:basedOn w:val="TableNormal4"/>
    <w:tblPr>
      <w:tblStyleRowBandSize w:val="1"/>
      <w:tblStyleColBandSize w:val="1"/>
      <w:tblCellMar>
        <w:top w:w="0" w:type="dxa"/>
        <w:left w:w="115" w:type="dxa"/>
        <w:bottom w:w="0" w:type="dxa"/>
        <w:right w:w="115" w:type="dxa"/>
      </w:tblCellMar>
    </w:tblPr>
  </w:style>
  <w:style w:type="table" w:customStyle="1" w:styleId="aa">
    <w:basedOn w:val="TableNormal4"/>
    <w:tblPr>
      <w:tblStyleRowBandSize w:val="1"/>
      <w:tblStyleColBandSize w:val="1"/>
      <w:tblCellMar>
        <w:top w:w="0" w:type="dxa"/>
        <w:left w:w="115" w:type="dxa"/>
        <w:bottom w:w="0" w:type="dxa"/>
        <w:right w:w="115" w:type="dxa"/>
      </w:tblCellMar>
    </w:tblPr>
  </w:style>
  <w:style w:type="paragraph" w:customStyle="1" w:styleId="Citas">
    <w:name w:val="Citas"/>
    <w:basedOn w:val="Normal"/>
    <w:qFormat/>
    <w:rsid w:val="00853F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b">
    <w:basedOn w:val="TableNormal3"/>
    <w:tblPr>
      <w:tblStyleRowBandSize w:val="1"/>
      <w:tblStyleColBandSize w:val="1"/>
      <w:tblCellMar>
        <w:top w:w="0" w:type="dxa"/>
        <w:left w:w="108" w:type="dxa"/>
        <w:bottom w:w="0" w:type="dxa"/>
        <w:right w:w="108" w:type="dxa"/>
      </w:tblCellMar>
    </w:tblPr>
  </w:style>
  <w:style w:type="table" w:customStyle="1" w:styleId="ac">
    <w:basedOn w:val="TableNormal3"/>
    <w:tblPr>
      <w:tblStyleRowBandSize w:val="1"/>
      <w:tblStyleColBandSize w:val="1"/>
      <w:tblCellMar>
        <w:top w:w="0" w:type="dxa"/>
        <w:left w:w="108" w:type="dxa"/>
        <w:bottom w:w="0" w:type="dxa"/>
        <w:right w:w="108" w:type="dxa"/>
      </w:tblCellMar>
    </w:tblPr>
  </w:style>
  <w:style w:type="table" w:customStyle="1" w:styleId="ad">
    <w:basedOn w:val="TableNormal3"/>
    <w:tblPr>
      <w:tblStyleRowBandSize w:val="1"/>
      <w:tblStyleColBandSize w:val="1"/>
      <w:tblCellMar>
        <w:top w:w="15" w:type="dxa"/>
        <w:left w:w="15" w:type="dxa"/>
        <w:bottom w:w="15" w:type="dxa"/>
        <w:right w:w="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table" w:customStyle="1" w:styleId="af3">
    <w:basedOn w:val="TableNormal1"/>
    <w:tblPr>
      <w:tblStyleRowBandSize w:val="1"/>
      <w:tblStyleColBandSize w:val="1"/>
      <w:tblCellMar>
        <w:top w:w="15" w:type="dxa"/>
        <w:left w:w="115" w:type="dxa"/>
        <w:bottom w:w="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table" w:customStyle="1" w:styleId="af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bes9JuT8YiSlfEa/MUi02e1NA==">CgMxLjAyCGgudHlqY3d0MghoLmdqZGd4czIJaC4zMGowemxsMgloLjJzOGV5bzEyCWguMWZvYjl0ZTIJaC4zZHk2dmttMgloLjJldDkycDA4AHIhMVh6NlFNTnllLW14ZFRIMnpUWFhYcVRBdTVlOUZLcF9W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7152</Words>
  <Characters>39338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2023-10-04T18:37:00Z</cp:lastPrinted>
  <dcterms:created xsi:type="dcterms:W3CDTF">2023-10-19T18:15:00Z</dcterms:created>
  <dcterms:modified xsi:type="dcterms:W3CDTF">2023-10-19T18:15:00Z</dcterms:modified>
</cp:coreProperties>
</file>