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32FB7"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diecinueve de abril de dos mil veintitrés. </w:t>
      </w:r>
    </w:p>
    <w:p w14:paraId="473A6CA7" w14:textId="06037A56"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b/>
        </w:rPr>
        <w:t>VISTO</w:t>
      </w:r>
      <w:r w:rsidRPr="009830DF">
        <w:rPr>
          <w:rFonts w:ascii="Palatino Linotype" w:eastAsia="Palatino Linotype" w:hAnsi="Palatino Linotype" w:cs="Palatino Linotype"/>
        </w:rPr>
        <w:t xml:space="preserve"> el expediente formado con motivo del recurso de revisión </w:t>
      </w:r>
      <w:r w:rsidRPr="009830DF">
        <w:rPr>
          <w:rFonts w:ascii="Palatino Linotype" w:eastAsia="Palatino Linotype" w:hAnsi="Palatino Linotype" w:cs="Palatino Linotype"/>
          <w:b/>
        </w:rPr>
        <w:t>12984/INFOEM/IP/RR/2022</w:t>
      </w:r>
      <w:r w:rsidRPr="009830DF">
        <w:rPr>
          <w:rFonts w:ascii="Palatino Linotype" w:eastAsia="Palatino Linotype" w:hAnsi="Palatino Linotype" w:cs="Palatino Linotype"/>
        </w:rPr>
        <w:t xml:space="preserve">, interpuesto por </w:t>
      </w:r>
      <w:r w:rsidR="00373A8E">
        <w:rPr>
          <w:rFonts w:ascii="Palatino Linotype" w:eastAsia="Palatino Linotype" w:hAnsi="Palatino Linotype" w:cs="Palatino Linotype"/>
          <w:b/>
        </w:rPr>
        <w:t>XXXXXXX</w:t>
      </w:r>
      <w:r w:rsidRPr="009830DF">
        <w:rPr>
          <w:rFonts w:ascii="Palatino Linotype" w:eastAsia="Palatino Linotype" w:hAnsi="Palatino Linotype" w:cs="Palatino Linotype"/>
        </w:rPr>
        <w:t>, en lo sucesivo</w:t>
      </w:r>
      <w:r w:rsidRPr="009830DF">
        <w:rPr>
          <w:rFonts w:ascii="Palatino Linotype" w:eastAsia="Palatino Linotype" w:hAnsi="Palatino Linotype" w:cs="Palatino Linotype"/>
          <w:b/>
        </w:rPr>
        <w:t xml:space="preserve"> </w:t>
      </w:r>
      <w:r w:rsidRPr="009830DF">
        <w:rPr>
          <w:rFonts w:ascii="Palatino Linotype" w:eastAsia="Palatino Linotype" w:hAnsi="Palatino Linotype" w:cs="Palatino Linotype"/>
        </w:rPr>
        <w:t xml:space="preserve">la parte </w:t>
      </w:r>
      <w:r w:rsidRPr="009830DF">
        <w:rPr>
          <w:rFonts w:ascii="Palatino Linotype" w:eastAsia="Palatino Linotype" w:hAnsi="Palatino Linotype" w:cs="Palatino Linotype"/>
          <w:b/>
        </w:rPr>
        <w:t>Recurrente,</w:t>
      </w:r>
      <w:r w:rsidRPr="009830DF">
        <w:rPr>
          <w:rFonts w:ascii="Palatino Linotype" w:eastAsia="Palatino Linotype" w:hAnsi="Palatino Linotype" w:cs="Palatino Linotype"/>
        </w:rPr>
        <w:t xml:space="preserve"> en contra de la respuesta a su solicitud por parte de la </w:t>
      </w:r>
      <w:r w:rsidRPr="009830DF">
        <w:rPr>
          <w:rFonts w:ascii="Palatino Linotype" w:eastAsia="Palatino Linotype" w:hAnsi="Palatino Linotype" w:cs="Palatino Linotype"/>
          <w:b/>
        </w:rPr>
        <w:t xml:space="preserve">Secretaría de Movilidad, </w:t>
      </w:r>
      <w:r w:rsidRPr="009830DF">
        <w:rPr>
          <w:rFonts w:ascii="Palatino Linotype" w:eastAsia="Palatino Linotype" w:hAnsi="Palatino Linotype" w:cs="Palatino Linotype"/>
        </w:rPr>
        <w:t xml:space="preserve">en lo sucesivo el </w:t>
      </w:r>
      <w:r w:rsidRPr="009830DF">
        <w:rPr>
          <w:rFonts w:ascii="Palatino Linotype" w:eastAsia="Palatino Linotype" w:hAnsi="Palatino Linotype" w:cs="Palatino Linotype"/>
          <w:b/>
        </w:rPr>
        <w:t xml:space="preserve">Sujeto Obligado, </w:t>
      </w:r>
      <w:r w:rsidRPr="009830DF">
        <w:rPr>
          <w:rFonts w:ascii="Palatino Linotype" w:eastAsia="Palatino Linotype" w:hAnsi="Palatino Linotype" w:cs="Palatino Linotype"/>
        </w:rPr>
        <w:t xml:space="preserve">se procede a dictar la presente resolución con base en los siguientes: </w:t>
      </w:r>
    </w:p>
    <w:p w14:paraId="27670F2C" w14:textId="77777777" w:rsidR="0018526E" w:rsidRPr="009830DF" w:rsidRDefault="00876F9E">
      <w:pPr>
        <w:spacing w:before="240" w:after="240" w:line="360" w:lineRule="auto"/>
        <w:jc w:val="center"/>
        <w:rPr>
          <w:rFonts w:ascii="Palatino Linotype" w:eastAsia="Palatino Linotype" w:hAnsi="Palatino Linotype" w:cs="Palatino Linotype"/>
          <w:b/>
        </w:rPr>
      </w:pPr>
      <w:r w:rsidRPr="009830DF">
        <w:rPr>
          <w:rFonts w:ascii="Palatino Linotype" w:eastAsia="Palatino Linotype" w:hAnsi="Palatino Linotype" w:cs="Palatino Linotype"/>
          <w:b/>
        </w:rPr>
        <w:t>I. A N T E C E D E N T E S</w:t>
      </w:r>
    </w:p>
    <w:p w14:paraId="37BDCFEB"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b/>
        </w:rPr>
        <w:t>1. Solicitud de acceso a la información.</w:t>
      </w:r>
      <w:r w:rsidRPr="009830DF">
        <w:rPr>
          <w:rFonts w:ascii="Palatino Linotype" w:eastAsia="Palatino Linotype" w:hAnsi="Palatino Linotype" w:cs="Palatino Linotype"/>
        </w:rPr>
        <w:t xml:space="preserve"> Con fecha </w:t>
      </w:r>
      <w:r w:rsidRPr="009830DF">
        <w:rPr>
          <w:rFonts w:ascii="Palatino Linotype" w:eastAsia="Palatino Linotype" w:hAnsi="Palatino Linotype" w:cs="Palatino Linotype"/>
          <w:b/>
        </w:rPr>
        <w:t>veinte de junio de</w:t>
      </w: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b/>
        </w:rPr>
        <w:t>dos mil veintidós,</w:t>
      </w:r>
      <w:r w:rsidRPr="009830DF">
        <w:rPr>
          <w:rFonts w:ascii="Palatino Linotype" w:eastAsia="Palatino Linotype" w:hAnsi="Palatino Linotype" w:cs="Palatino Linotype"/>
        </w:rPr>
        <w:t xml:space="preserve"> la parte </w:t>
      </w:r>
      <w:r w:rsidRPr="009830DF">
        <w:rPr>
          <w:rFonts w:ascii="Palatino Linotype" w:eastAsia="Palatino Linotype" w:hAnsi="Palatino Linotype" w:cs="Palatino Linotype"/>
          <w:b/>
        </w:rPr>
        <w:t xml:space="preserve">Recurrente </w:t>
      </w:r>
      <w:r w:rsidRPr="009830DF">
        <w:rPr>
          <w:rFonts w:ascii="Palatino Linotype" w:eastAsia="Palatino Linotype" w:hAnsi="Palatino Linotype" w:cs="Palatino Linotype"/>
        </w:rPr>
        <w:t xml:space="preserve">presentó, a través del Sistema de Acceso a la Información Mexiquense, en lo subsecuente el </w:t>
      </w:r>
      <w:r w:rsidRPr="009830DF">
        <w:rPr>
          <w:rFonts w:ascii="Palatino Linotype" w:eastAsia="Palatino Linotype" w:hAnsi="Palatino Linotype" w:cs="Palatino Linotype"/>
          <w:b/>
        </w:rPr>
        <w:t>SAIMEX,</w:t>
      </w:r>
      <w:r w:rsidRPr="009830DF">
        <w:rPr>
          <w:rFonts w:ascii="Palatino Linotype" w:eastAsia="Palatino Linotype" w:hAnsi="Palatino Linotype" w:cs="Palatino Linotype"/>
        </w:rPr>
        <w:t xml:space="preserve"> ante el </w:t>
      </w:r>
      <w:r w:rsidRPr="009830DF">
        <w:rPr>
          <w:rFonts w:ascii="Palatino Linotype" w:eastAsia="Palatino Linotype" w:hAnsi="Palatino Linotype" w:cs="Palatino Linotype"/>
          <w:b/>
        </w:rPr>
        <w:t>Sujeto Obligado</w:t>
      </w:r>
      <w:r w:rsidRPr="009830DF">
        <w:rPr>
          <w:rFonts w:ascii="Palatino Linotype" w:eastAsia="Palatino Linotype" w:hAnsi="Palatino Linotype" w:cs="Palatino Linotype"/>
        </w:rPr>
        <w:t>, la solicitud de acceso a la información pública, a la que se le asignó el número</w:t>
      </w:r>
      <w:r w:rsidRPr="009830DF">
        <w:rPr>
          <w:rFonts w:ascii="Palatino Linotype" w:eastAsia="Palatino Linotype" w:hAnsi="Palatino Linotype" w:cs="Palatino Linotype"/>
          <w:b/>
        </w:rPr>
        <w:t xml:space="preserve"> 00326/SMOV/IP/2022, </w:t>
      </w:r>
      <w:r w:rsidRPr="009830DF">
        <w:rPr>
          <w:rFonts w:ascii="Palatino Linotype" w:eastAsia="Palatino Linotype" w:hAnsi="Palatino Linotype" w:cs="Palatino Linotype"/>
        </w:rPr>
        <w:t xml:space="preserve">mediante la cual requirió la información siguiente: </w:t>
      </w:r>
    </w:p>
    <w:p w14:paraId="07DE4869" w14:textId="77777777" w:rsidR="0018526E" w:rsidRPr="009830DF" w:rsidRDefault="00876F9E">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9830DF">
        <w:rPr>
          <w:rFonts w:ascii="Palatino Linotype" w:eastAsia="Palatino Linotype" w:hAnsi="Palatino Linotype" w:cs="Palatino Linotype"/>
          <w:i/>
          <w:sz w:val="22"/>
          <w:szCs w:val="22"/>
        </w:rPr>
        <w:t xml:space="preserve">“El artículo 134 de la Constitución Política de los Estados Unidos Mexicanos, previene una directriz de política general de contratación pública que resulta de observación obligatoria para toda las administraciones, como una práctica de rendición de cuentas, </w:t>
      </w:r>
      <w:r w:rsidRPr="009830DF">
        <w:rPr>
          <w:rFonts w:ascii="Palatino Linotype" w:eastAsia="Palatino Linotype" w:hAnsi="Palatino Linotype" w:cs="Palatino Linotype"/>
          <w:b/>
          <w:i/>
          <w:sz w:val="22"/>
          <w:szCs w:val="22"/>
        </w:rPr>
        <w:t>se solicita los procesos de licitación, los videos, imágenes, actas de sesión de comité de adquisiciones, todos los documentos que integren los procesos de licitación pública, invitación restringida o cualquier otra como lo señala el Código de Procedimientos Administrativos, quienes participan, su curricular, la licitación, el proceso de selección, los resultados, las publicaciones y el contrato firmados, las facturas pagadas de los procesos efectuados por esta obligación en los últimos tres año de la administración estatal</w:t>
      </w:r>
      <w:r w:rsidRPr="009830DF">
        <w:rPr>
          <w:rFonts w:ascii="Palatino Linotype" w:eastAsia="Palatino Linotype" w:hAnsi="Palatino Linotype" w:cs="Palatino Linotype"/>
          <w:i/>
          <w:sz w:val="22"/>
          <w:szCs w:val="22"/>
        </w:rPr>
        <w:t>.</w:t>
      </w:r>
      <w:r w:rsidRPr="009830DF">
        <w:rPr>
          <w:rFonts w:ascii="Palatino Linotype" w:eastAsia="Palatino Linotype" w:hAnsi="Palatino Linotype" w:cs="Palatino Linotype"/>
          <w:b/>
          <w:i/>
          <w:sz w:val="22"/>
          <w:szCs w:val="22"/>
        </w:rPr>
        <w:t>”</w:t>
      </w:r>
      <w:r w:rsidRPr="009830DF">
        <w:rPr>
          <w:rFonts w:ascii="Palatino Linotype" w:eastAsia="Palatino Linotype" w:hAnsi="Palatino Linotype" w:cs="Palatino Linotype"/>
          <w:i/>
          <w:sz w:val="22"/>
          <w:szCs w:val="22"/>
        </w:rPr>
        <w:t xml:space="preserve"> (sic) </w:t>
      </w:r>
    </w:p>
    <w:p w14:paraId="758C960B" w14:textId="77777777" w:rsidR="0018526E" w:rsidRPr="009830DF" w:rsidRDefault="00876F9E">
      <w:pPr>
        <w:spacing w:before="240" w:after="240" w:line="360" w:lineRule="auto"/>
        <w:ind w:right="49"/>
        <w:jc w:val="both"/>
        <w:rPr>
          <w:rFonts w:ascii="Palatino Linotype" w:eastAsia="Palatino Linotype" w:hAnsi="Palatino Linotype" w:cs="Palatino Linotype"/>
        </w:rPr>
      </w:pPr>
      <w:r w:rsidRPr="009830DF">
        <w:rPr>
          <w:rFonts w:ascii="Palatino Linotype" w:eastAsia="Palatino Linotype" w:hAnsi="Palatino Linotype" w:cs="Palatino Linotype"/>
        </w:rPr>
        <w:lastRenderedPageBreak/>
        <w:t xml:space="preserve">La parte </w:t>
      </w:r>
      <w:r w:rsidRPr="009830DF">
        <w:rPr>
          <w:rFonts w:ascii="Palatino Linotype" w:eastAsia="Palatino Linotype" w:hAnsi="Palatino Linotype" w:cs="Palatino Linotype"/>
          <w:b/>
        </w:rPr>
        <w:t>Recurrente</w:t>
      </w:r>
      <w:r w:rsidRPr="009830DF">
        <w:rPr>
          <w:rFonts w:ascii="Palatino Linotype" w:eastAsia="Palatino Linotype" w:hAnsi="Palatino Linotype" w:cs="Palatino Linotype"/>
        </w:rPr>
        <w:t xml:space="preserve"> no adjuntó archivos.</w:t>
      </w:r>
    </w:p>
    <w:p w14:paraId="2D652327"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b/>
        </w:rPr>
        <w:t>Modalidad de Entrega:</w:t>
      </w:r>
      <w:r w:rsidRPr="009830DF">
        <w:rPr>
          <w:rFonts w:ascii="Palatino Linotype" w:eastAsia="Palatino Linotype" w:hAnsi="Palatino Linotype" w:cs="Palatino Linotype"/>
        </w:rPr>
        <w:t xml:space="preserve"> a través </w:t>
      </w:r>
      <w:r w:rsidRPr="009830DF">
        <w:rPr>
          <w:rFonts w:ascii="Palatino Linotype" w:eastAsia="Palatino Linotype" w:hAnsi="Palatino Linotype" w:cs="Palatino Linotype"/>
          <w:b/>
        </w:rPr>
        <w:t>de SAIMEX</w:t>
      </w:r>
    </w:p>
    <w:p w14:paraId="1C024C16" w14:textId="77777777" w:rsidR="0018526E" w:rsidRPr="009830DF" w:rsidRDefault="00876F9E">
      <w:pPr>
        <w:spacing w:before="240" w:after="240" w:line="360" w:lineRule="auto"/>
        <w:jc w:val="both"/>
        <w:rPr>
          <w:rFonts w:ascii="Palatino Linotype" w:eastAsia="Palatino Linotype" w:hAnsi="Palatino Linotype" w:cs="Palatino Linotype"/>
          <w:b/>
        </w:rPr>
      </w:pPr>
      <w:bookmarkStart w:id="1" w:name="_heading=h.3dy6vkm" w:colFirst="0" w:colLast="0"/>
      <w:bookmarkEnd w:id="1"/>
      <w:r w:rsidRPr="009830DF">
        <w:rPr>
          <w:rFonts w:ascii="Palatino Linotype" w:eastAsia="Palatino Linotype" w:hAnsi="Palatino Linotype" w:cs="Palatino Linotype"/>
          <w:b/>
        </w:rPr>
        <w:t xml:space="preserve">2. Respuesta. </w:t>
      </w:r>
      <w:r w:rsidRPr="009830DF">
        <w:rPr>
          <w:rFonts w:ascii="Palatino Linotype" w:eastAsia="Palatino Linotype" w:hAnsi="Palatino Linotype" w:cs="Palatino Linotype"/>
        </w:rPr>
        <w:t>Con fecha</w:t>
      </w:r>
      <w:r w:rsidRPr="009830DF">
        <w:rPr>
          <w:rFonts w:ascii="Palatino Linotype" w:eastAsia="Palatino Linotype" w:hAnsi="Palatino Linotype" w:cs="Palatino Linotype"/>
          <w:b/>
        </w:rPr>
        <w:t xml:space="preserve"> once de julio de dos mil veintidós</w:t>
      </w:r>
      <w:r w:rsidRPr="009830DF">
        <w:rPr>
          <w:rFonts w:ascii="Palatino Linotype" w:eastAsia="Palatino Linotype" w:hAnsi="Palatino Linotype" w:cs="Palatino Linotype"/>
        </w:rPr>
        <w:t xml:space="preserve">, el </w:t>
      </w:r>
      <w:r w:rsidRPr="009830DF">
        <w:rPr>
          <w:rFonts w:ascii="Palatino Linotype" w:eastAsia="Palatino Linotype" w:hAnsi="Palatino Linotype" w:cs="Palatino Linotype"/>
          <w:b/>
        </w:rPr>
        <w:t xml:space="preserve">Sujeto Obligado </w:t>
      </w:r>
      <w:r w:rsidRPr="009830DF">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1F2DB552" w14:textId="77777777" w:rsidR="0018526E" w:rsidRPr="009830DF" w:rsidRDefault="00876F9E">
      <w:pPr>
        <w:spacing w:before="240" w:after="240"/>
        <w:ind w:left="851" w:right="902"/>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i/>
          <w:sz w:val="22"/>
          <w:szCs w:val="22"/>
        </w:rPr>
        <w:t>“…Al respecto se informa que la Dirección General de Recursos Materiales de la Secretaría de Finanzas es la responsable de realizar el desahogo de los procedimientos tales como Licitaciones Públicas o Invitaciones Restringidas, así como la instauración de sus procesos. Por lo que la Subdirección de Recursos Materiales, no genera información de estas modalidades de contratación.” (sic)</w:t>
      </w:r>
    </w:p>
    <w:p w14:paraId="3791CFA6" w14:textId="77777777" w:rsidR="0018526E" w:rsidRPr="009830DF" w:rsidRDefault="00876F9E">
      <w:pPr>
        <w:spacing w:before="240" w:after="240" w:line="360" w:lineRule="auto"/>
        <w:ind w:right="49"/>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El </w:t>
      </w:r>
      <w:r w:rsidRPr="009830DF">
        <w:rPr>
          <w:rFonts w:ascii="Palatino Linotype" w:eastAsia="Palatino Linotype" w:hAnsi="Palatino Linotype" w:cs="Palatino Linotype"/>
          <w:b/>
        </w:rPr>
        <w:t xml:space="preserve">Sujeto Obligado </w:t>
      </w:r>
      <w:r w:rsidRPr="009830DF">
        <w:rPr>
          <w:rFonts w:ascii="Palatino Linotype" w:eastAsia="Palatino Linotype" w:hAnsi="Palatino Linotype" w:cs="Palatino Linotype"/>
        </w:rPr>
        <w:t>no adjuntó archivos.</w:t>
      </w:r>
    </w:p>
    <w:p w14:paraId="6FD7EA5E" w14:textId="77777777" w:rsidR="0018526E" w:rsidRPr="009830DF" w:rsidRDefault="00876F9E">
      <w:pPr>
        <w:spacing w:before="240" w:after="240" w:line="360" w:lineRule="auto"/>
        <w:ind w:right="49"/>
        <w:jc w:val="both"/>
        <w:rPr>
          <w:rFonts w:ascii="Palatino Linotype" w:eastAsia="Palatino Linotype" w:hAnsi="Palatino Linotype" w:cs="Palatino Linotype"/>
        </w:rPr>
      </w:pPr>
      <w:r w:rsidRPr="009830DF">
        <w:rPr>
          <w:rFonts w:ascii="Palatino Linotype" w:eastAsia="Palatino Linotype" w:hAnsi="Palatino Linotype" w:cs="Palatino Linotype"/>
          <w:b/>
        </w:rPr>
        <w:t xml:space="preserve">3. Interposición del recurso de revisión. </w:t>
      </w:r>
      <w:r w:rsidRPr="009830DF">
        <w:rPr>
          <w:rFonts w:ascii="Palatino Linotype" w:eastAsia="Palatino Linotype" w:hAnsi="Palatino Linotype" w:cs="Palatino Linotype"/>
        </w:rPr>
        <w:t xml:space="preserve">Inconforme con los términos de la respuesta emitida por parte del </w:t>
      </w:r>
      <w:r w:rsidRPr="009830DF">
        <w:rPr>
          <w:rFonts w:ascii="Palatino Linotype" w:eastAsia="Palatino Linotype" w:hAnsi="Palatino Linotype" w:cs="Palatino Linotype"/>
          <w:b/>
        </w:rPr>
        <w:t>Sujeto Obligado</w:t>
      </w: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b/>
        </w:rPr>
        <w:t>uno de agosto de dos mil veintidós,</w:t>
      </w:r>
      <w:r w:rsidRPr="009830DF">
        <w:rPr>
          <w:rFonts w:ascii="Palatino Linotype" w:eastAsia="Palatino Linotype" w:hAnsi="Palatino Linotype" w:cs="Palatino Linotype"/>
        </w:rPr>
        <w:t xml:space="preserve"> la parte </w:t>
      </w:r>
      <w:r w:rsidRPr="009830DF">
        <w:rPr>
          <w:rFonts w:ascii="Palatino Linotype" w:eastAsia="Palatino Linotype" w:hAnsi="Palatino Linotype" w:cs="Palatino Linotype"/>
          <w:b/>
        </w:rPr>
        <w:t>Recurrente</w:t>
      </w:r>
      <w:r w:rsidRPr="009830DF">
        <w:rPr>
          <w:rFonts w:ascii="Palatino Linotype" w:eastAsia="Palatino Linotype" w:hAnsi="Palatino Linotype" w:cs="Palatino Linotype"/>
        </w:rPr>
        <w:t xml:space="preserve"> interpuso el recurso de revisión a través de </w:t>
      </w:r>
      <w:r w:rsidRPr="009830DF">
        <w:rPr>
          <w:rFonts w:ascii="Palatino Linotype" w:eastAsia="Palatino Linotype" w:hAnsi="Palatino Linotype" w:cs="Palatino Linotype"/>
          <w:b/>
        </w:rPr>
        <w:t xml:space="preserve">SAIMEX, </w:t>
      </w:r>
      <w:r w:rsidRPr="009830DF">
        <w:rPr>
          <w:rFonts w:ascii="Palatino Linotype" w:eastAsia="Palatino Linotype" w:hAnsi="Palatino Linotype" w:cs="Palatino Linotype"/>
        </w:rPr>
        <w:t>en donde se manifestó de la siguiente manera:</w:t>
      </w:r>
    </w:p>
    <w:p w14:paraId="49471AE6" w14:textId="77777777" w:rsidR="0018526E" w:rsidRPr="009830DF" w:rsidRDefault="00876F9E">
      <w:pPr>
        <w:tabs>
          <w:tab w:val="left" w:pos="2745"/>
        </w:tabs>
        <w:spacing w:before="240" w:after="240" w:line="360" w:lineRule="auto"/>
        <w:jc w:val="both"/>
        <w:rPr>
          <w:rFonts w:ascii="Palatino Linotype" w:eastAsia="Palatino Linotype" w:hAnsi="Palatino Linotype" w:cs="Palatino Linotype"/>
          <w:b/>
        </w:rPr>
      </w:pPr>
      <w:r w:rsidRPr="009830DF">
        <w:rPr>
          <w:rFonts w:ascii="Palatino Linotype" w:eastAsia="Palatino Linotype" w:hAnsi="Palatino Linotype" w:cs="Palatino Linotype"/>
          <w:b/>
        </w:rPr>
        <w:t xml:space="preserve">Acto impugnado: </w:t>
      </w:r>
    </w:p>
    <w:p w14:paraId="47DFC20B" w14:textId="77777777" w:rsidR="0018526E" w:rsidRPr="009830DF" w:rsidRDefault="00876F9E">
      <w:pPr>
        <w:tabs>
          <w:tab w:val="left" w:pos="2745"/>
        </w:tabs>
        <w:spacing w:before="240" w:after="24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“El artículo 134 de la Constitución Política de los Estados Unidos Mexicanos, previene una directriz de política general de contratación pública que resulta de observación obligatoria para </w:t>
      </w:r>
      <w:proofErr w:type="gramStart"/>
      <w:r w:rsidRPr="009830DF">
        <w:rPr>
          <w:rFonts w:ascii="Palatino Linotype" w:eastAsia="Palatino Linotype" w:hAnsi="Palatino Linotype" w:cs="Palatino Linotype"/>
          <w:i/>
          <w:sz w:val="22"/>
          <w:szCs w:val="22"/>
        </w:rPr>
        <w:t>toda las administraciones</w:t>
      </w:r>
      <w:proofErr w:type="gramEnd"/>
      <w:r w:rsidRPr="009830DF">
        <w:rPr>
          <w:rFonts w:ascii="Palatino Linotype" w:eastAsia="Palatino Linotype" w:hAnsi="Palatino Linotype" w:cs="Palatino Linotype"/>
          <w:i/>
          <w:sz w:val="22"/>
          <w:szCs w:val="22"/>
        </w:rPr>
        <w:t>, como una práctica de rendición de cuentas, por lo que todos los procesos deben ser bajo esas directrices.” (sic)</w:t>
      </w:r>
    </w:p>
    <w:p w14:paraId="6E240DB0" w14:textId="77777777" w:rsidR="0018526E" w:rsidRPr="009830DF" w:rsidRDefault="00876F9E">
      <w:pPr>
        <w:spacing w:line="360" w:lineRule="auto"/>
        <w:jc w:val="both"/>
        <w:rPr>
          <w:rFonts w:ascii="Palatino Linotype" w:eastAsia="Palatino Linotype" w:hAnsi="Palatino Linotype" w:cs="Palatino Linotype"/>
        </w:rPr>
      </w:pPr>
      <w:bookmarkStart w:id="2" w:name="_heading=h.30j0zll" w:colFirst="0" w:colLast="0"/>
      <w:bookmarkEnd w:id="2"/>
      <w:r w:rsidRPr="009830DF">
        <w:rPr>
          <w:rFonts w:ascii="Palatino Linotype" w:eastAsia="Palatino Linotype" w:hAnsi="Palatino Linotype" w:cs="Palatino Linotype"/>
          <w:b/>
        </w:rPr>
        <w:t>Y Razones o motivos de inconformidad</w:t>
      </w:r>
      <w:r w:rsidRPr="009830DF">
        <w:rPr>
          <w:rFonts w:ascii="Palatino Linotype" w:eastAsia="Palatino Linotype" w:hAnsi="Palatino Linotype" w:cs="Palatino Linotype"/>
        </w:rPr>
        <w:t xml:space="preserve">: </w:t>
      </w:r>
    </w:p>
    <w:p w14:paraId="782E1624" w14:textId="77777777" w:rsidR="0018526E" w:rsidRPr="009830DF" w:rsidRDefault="00876F9E">
      <w:pPr>
        <w:tabs>
          <w:tab w:val="left" w:pos="2745"/>
        </w:tabs>
        <w:spacing w:before="240" w:after="24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“se niega la información de las licitaciones realizadas por esa administración.” (sic)</w:t>
      </w:r>
    </w:p>
    <w:p w14:paraId="1B145100" w14:textId="77777777" w:rsidR="0018526E" w:rsidRPr="009830DF" w:rsidRDefault="00876F9E">
      <w:pPr>
        <w:spacing w:before="240" w:after="240" w:line="360" w:lineRule="auto"/>
        <w:ind w:right="51"/>
        <w:jc w:val="both"/>
        <w:rPr>
          <w:rFonts w:ascii="Palatino Linotype" w:eastAsia="Palatino Linotype" w:hAnsi="Palatino Linotype" w:cs="Palatino Linotype"/>
        </w:rPr>
      </w:pPr>
      <w:r w:rsidRPr="009830DF">
        <w:rPr>
          <w:rFonts w:ascii="Palatino Linotype" w:eastAsia="Palatino Linotype" w:hAnsi="Palatino Linotype" w:cs="Palatino Linotype"/>
          <w:b/>
        </w:rPr>
        <w:lastRenderedPageBreak/>
        <w:t xml:space="preserve">4. Turno. </w:t>
      </w:r>
      <w:r w:rsidRPr="009830D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830DF">
        <w:rPr>
          <w:rFonts w:ascii="Palatino Linotype" w:eastAsia="Palatino Linotype" w:hAnsi="Palatino Linotype" w:cs="Palatino Linotype"/>
          <w:b/>
        </w:rPr>
        <w:t xml:space="preserve">Guadalupe Ramírez Peña, </w:t>
      </w:r>
      <w:r w:rsidRPr="009830DF">
        <w:rPr>
          <w:rFonts w:ascii="Palatino Linotype" w:eastAsia="Palatino Linotype" w:hAnsi="Palatino Linotype" w:cs="Palatino Linotype"/>
        </w:rPr>
        <w:t xml:space="preserve">a efecto de que analizara sobre su admisión o su </w:t>
      </w:r>
      <w:proofErr w:type="spellStart"/>
      <w:r w:rsidRPr="009830DF">
        <w:rPr>
          <w:rFonts w:ascii="Palatino Linotype" w:eastAsia="Palatino Linotype" w:hAnsi="Palatino Linotype" w:cs="Palatino Linotype"/>
        </w:rPr>
        <w:t>desechamiento</w:t>
      </w:r>
      <w:proofErr w:type="spellEnd"/>
      <w:r w:rsidRPr="009830DF">
        <w:rPr>
          <w:rFonts w:ascii="Palatino Linotype" w:eastAsia="Palatino Linotype" w:hAnsi="Palatino Linotype" w:cs="Palatino Linotype"/>
        </w:rPr>
        <w:t>.</w:t>
      </w:r>
    </w:p>
    <w:p w14:paraId="75743275"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b/>
        </w:rPr>
        <w:t>5. Admisión del Recurso de revisión.</w:t>
      </w:r>
      <w:r w:rsidRPr="009830DF">
        <w:rPr>
          <w:rFonts w:ascii="Palatino Linotype" w:eastAsia="Palatino Linotype" w:hAnsi="Palatino Linotype" w:cs="Palatino Linotype"/>
        </w:rPr>
        <w:t xml:space="preserve"> Con fecha</w:t>
      </w:r>
      <w:r w:rsidRPr="009830DF">
        <w:rPr>
          <w:rFonts w:ascii="Palatino Linotype" w:eastAsia="Palatino Linotype" w:hAnsi="Palatino Linotype" w:cs="Palatino Linotype"/>
          <w:b/>
        </w:rPr>
        <w:t xml:space="preserve"> cuatro de agosto de dos mil veintidós, </w:t>
      </w:r>
      <w:r w:rsidRPr="009830D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830DF">
        <w:rPr>
          <w:rFonts w:ascii="Palatino Linotype" w:eastAsia="Palatino Linotype" w:hAnsi="Palatino Linotype" w:cs="Palatino Linotype"/>
          <w:b/>
        </w:rPr>
        <w:t xml:space="preserve">Sujeto Obligado </w:t>
      </w:r>
      <w:r w:rsidRPr="009830DF">
        <w:rPr>
          <w:rFonts w:ascii="Palatino Linotype" w:eastAsia="Palatino Linotype" w:hAnsi="Palatino Linotype" w:cs="Palatino Linotype"/>
        </w:rPr>
        <w:t>presentara su informe justificado.</w:t>
      </w:r>
    </w:p>
    <w:p w14:paraId="05C09AF5" w14:textId="77777777" w:rsidR="0018526E" w:rsidRPr="009830DF" w:rsidRDefault="00876F9E">
      <w:pPr>
        <w:spacing w:before="240" w:after="240" w:line="360" w:lineRule="auto"/>
        <w:jc w:val="both"/>
        <w:rPr>
          <w:rFonts w:ascii="Palatino Linotype" w:eastAsia="Palatino Linotype" w:hAnsi="Palatino Linotype" w:cs="Palatino Linotype"/>
        </w:rPr>
      </w:pPr>
      <w:bookmarkStart w:id="3" w:name="_heading=h.2s8eyo1" w:colFirst="0" w:colLast="0"/>
      <w:bookmarkEnd w:id="3"/>
      <w:r w:rsidRPr="009830DF">
        <w:rPr>
          <w:rFonts w:ascii="Palatino Linotype" w:eastAsia="Palatino Linotype" w:hAnsi="Palatino Linotype" w:cs="Palatino Linotype"/>
          <w:b/>
        </w:rPr>
        <w:t>6. Manifestaciones</w:t>
      </w:r>
      <w:r w:rsidRPr="009830DF">
        <w:rPr>
          <w:rFonts w:ascii="Palatino Linotype" w:eastAsia="Palatino Linotype" w:hAnsi="Palatino Linotype" w:cs="Palatino Linotype"/>
        </w:rPr>
        <w:t xml:space="preserve">. En fecha </w:t>
      </w:r>
      <w:r w:rsidRPr="009830DF">
        <w:rPr>
          <w:rFonts w:ascii="Palatino Linotype" w:eastAsia="Palatino Linotype" w:hAnsi="Palatino Linotype" w:cs="Palatino Linotype"/>
          <w:b/>
        </w:rPr>
        <w:t xml:space="preserve">ocho de agosto de dos mil veintidós, </w:t>
      </w:r>
      <w:r w:rsidRPr="009830DF">
        <w:rPr>
          <w:rFonts w:ascii="Palatino Linotype" w:eastAsia="Palatino Linotype" w:hAnsi="Palatino Linotype" w:cs="Palatino Linotype"/>
        </w:rPr>
        <w:t xml:space="preserve">el </w:t>
      </w:r>
      <w:r w:rsidRPr="009830DF">
        <w:rPr>
          <w:rFonts w:ascii="Palatino Linotype" w:eastAsia="Palatino Linotype" w:hAnsi="Palatino Linotype" w:cs="Palatino Linotype"/>
          <w:b/>
        </w:rPr>
        <w:t xml:space="preserve">Sujeto Obligado </w:t>
      </w:r>
      <w:r w:rsidRPr="009830DF">
        <w:rPr>
          <w:rFonts w:ascii="Palatino Linotype" w:eastAsia="Palatino Linotype" w:hAnsi="Palatino Linotype" w:cs="Palatino Linotype"/>
        </w:rPr>
        <w:t xml:space="preserve">remitió, a través de SAIMEX, el oficio número CCT/UT/0319/2022, signado por el Titular de la Unidad de Transparencia, señala que en ningún momento se negó el derecho de acceso a la información de la parte </w:t>
      </w:r>
      <w:r w:rsidRPr="009830DF">
        <w:rPr>
          <w:rFonts w:ascii="Palatino Linotype" w:eastAsia="Palatino Linotype" w:hAnsi="Palatino Linotype" w:cs="Palatino Linotype"/>
          <w:b/>
        </w:rPr>
        <w:t>Recurrente</w:t>
      </w:r>
      <w:r w:rsidRPr="009830DF">
        <w:rPr>
          <w:rFonts w:ascii="Palatino Linotype" w:eastAsia="Palatino Linotype" w:hAnsi="Palatino Linotype" w:cs="Palatino Linotype"/>
        </w:rPr>
        <w:t xml:space="preserve">, tomando en consideración que el </w:t>
      </w:r>
      <w:r w:rsidRPr="009830DF">
        <w:rPr>
          <w:rFonts w:ascii="Palatino Linotype" w:eastAsia="Palatino Linotype" w:hAnsi="Palatino Linotype" w:cs="Palatino Linotype"/>
          <w:b/>
        </w:rPr>
        <w:t>Sujeto Obligado</w:t>
      </w:r>
      <w:r w:rsidRPr="009830DF">
        <w:rPr>
          <w:rFonts w:ascii="Palatino Linotype" w:eastAsia="Palatino Linotype" w:hAnsi="Palatino Linotype" w:cs="Palatino Linotype"/>
        </w:rPr>
        <w:t xml:space="preserve"> otorgó en la respuesta a la solicitud primigenia, la información correspondiente al objeto del requerimiento de información inicial.</w:t>
      </w:r>
    </w:p>
    <w:p w14:paraId="49056492" w14:textId="77777777" w:rsidR="0018526E" w:rsidRPr="009830DF" w:rsidRDefault="00876F9E">
      <w:pPr>
        <w:tabs>
          <w:tab w:val="left" w:pos="1701"/>
        </w:tabs>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Asimismo, a través de la Coordinación Administrativa y de Gestión Documental,   señaló que la Subdirección de Recursos Materiales ratificó que la información proporcionada es correcta, pues dicha Dependencia no está facultada para llevar a </w:t>
      </w:r>
      <w:r w:rsidRPr="009830DF">
        <w:rPr>
          <w:rFonts w:ascii="Palatino Linotype" w:eastAsia="Palatino Linotype" w:hAnsi="Palatino Linotype" w:cs="Palatino Linotype"/>
        </w:rPr>
        <w:lastRenderedPageBreak/>
        <w:t xml:space="preserve">cabo la instauración de procedimientos en las modalidades solicitadas, sin embargo, en aras de coadyuvar hace del conocimiento que la información requerida se encuentra pública en el portal público de compras del Gobierno del Estado de México, COMPRAMEX, mismo que es administrado por la Secretaría de Finanzas, en el siguiente enlace: </w:t>
      </w:r>
      <w:hyperlink r:id="rId8">
        <w:r w:rsidRPr="009830DF">
          <w:rPr>
            <w:rFonts w:ascii="Palatino Linotype" w:eastAsia="Palatino Linotype" w:hAnsi="Palatino Linotype" w:cs="Palatino Linotype"/>
            <w:i/>
            <w:u w:val="single"/>
          </w:rPr>
          <w:t>https://compramex.edomex.gob.mx/compramex/public/catalogosExternos/procedimientsoAdquisitivos.xhtml</w:t>
        </w:r>
      </w:hyperlink>
      <w:r w:rsidRPr="009830DF">
        <w:rPr>
          <w:rFonts w:ascii="Palatino Linotype" w:eastAsia="Palatino Linotype" w:hAnsi="Palatino Linotype" w:cs="Palatino Linotype"/>
          <w:i/>
        </w:rPr>
        <w:t xml:space="preserve">; </w:t>
      </w:r>
      <w:r w:rsidRPr="009830DF">
        <w:rPr>
          <w:rFonts w:ascii="Palatino Linotype" w:eastAsia="Palatino Linotype" w:hAnsi="Palatino Linotype" w:cs="Palatino Linotype"/>
        </w:rPr>
        <w:t>refirió las atribuciones de la Secretaría de Finanzas, así como de la Dirección General de Recursos Materiales conforme a los artículos 7, fracción XI, inciso h, y 32, fracción XXXII del Reglamento Interior de la Secretaría de Finanzas, y, finalmente, señaló que en el portal COMPRAMEX, se pueden consultar todos los procedimientos adquisitivos del Gobierno del Estado de México, los cuales se encuentran desagregados por tipo de organismo, unidad administrativa, año y estatus que guardan, solicitando en el acto a este Organismo Garante confirme la respuesta proporcionada.</w:t>
      </w:r>
    </w:p>
    <w:p w14:paraId="6EF01E63"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Una vez analizado el documento, se hizo del conocimiento de la parte </w:t>
      </w:r>
      <w:r w:rsidRPr="009830DF">
        <w:rPr>
          <w:rFonts w:ascii="Palatino Linotype" w:eastAsia="Palatino Linotype" w:hAnsi="Palatino Linotype" w:cs="Palatino Linotype"/>
          <w:b/>
        </w:rPr>
        <w:t>Recurrente</w:t>
      </w:r>
      <w:r w:rsidRPr="009830DF">
        <w:rPr>
          <w:rFonts w:ascii="Palatino Linotype" w:eastAsia="Palatino Linotype" w:hAnsi="Palatino Linotype" w:cs="Palatino Linotype"/>
        </w:rPr>
        <w:t>, con la finalidad de que manifestara lo que a su derecho estimara conveniente, no obstante, fue omisa en ejercer dicha prerrogativa.</w:t>
      </w:r>
    </w:p>
    <w:p w14:paraId="0CCAA4A5"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b/>
        </w:rPr>
        <w:t>7. Ampliación del término para resolver</w:t>
      </w:r>
      <w:r w:rsidRPr="009830DF">
        <w:rPr>
          <w:rFonts w:ascii="Palatino Linotype" w:eastAsia="Palatino Linotype" w:hAnsi="Palatino Linotype" w:cs="Palatino Linotype"/>
        </w:rPr>
        <w:t xml:space="preserve">. En fecha </w:t>
      </w:r>
      <w:r w:rsidRPr="009830DF">
        <w:rPr>
          <w:rFonts w:ascii="Palatino Linotype" w:eastAsia="Palatino Linotype" w:hAnsi="Palatino Linotype" w:cs="Palatino Linotype"/>
          <w:b/>
        </w:rPr>
        <w:t>ocho de noviembre de dos mil veintidós</w:t>
      </w:r>
      <w:r w:rsidRPr="009830DF">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551AF7FA"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9830DF">
        <w:rPr>
          <w:rFonts w:ascii="Palatino Linotype" w:eastAsia="Palatino Linotype" w:hAnsi="Palatino Linotype" w:cs="Palatino Linotype"/>
        </w:rPr>
        <w:lastRenderedPageBreak/>
        <w:t>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06A807D8"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7418AA9"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8716125"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0A883B6" w14:textId="77777777" w:rsidR="0018526E" w:rsidRPr="009830DF" w:rsidRDefault="00876F9E">
      <w:pPr>
        <w:spacing w:before="240" w:after="240" w:line="360" w:lineRule="auto"/>
        <w:jc w:val="both"/>
        <w:rPr>
          <w:rFonts w:ascii="Palatino Linotype" w:eastAsia="Palatino Linotype" w:hAnsi="Palatino Linotype" w:cs="Palatino Linotype"/>
          <w:strike/>
        </w:rPr>
      </w:pPr>
      <w:r w:rsidRPr="009830D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BD1AA97" w14:textId="77777777" w:rsidR="0018526E" w:rsidRPr="009830DF" w:rsidRDefault="00876F9E">
      <w:pPr>
        <w:numPr>
          <w:ilvl w:val="0"/>
          <w:numId w:val="2"/>
        </w:num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358A5C04" w14:textId="77777777" w:rsidR="0018526E" w:rsidRPr="009830DF" w:rsidRDefault="00876F9E">
      <w:pPr>
        <w:numPr>
          <w:ilvl w:val="0"/>
          <w:numId w:val="2"/>
        </w:num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Actividad Procesal del interesado. Acciones u omisiones del interesado.</w:t>
      </w:r>
    </w:p>
    <w:p w14:paraId="17F8D45B" w14:textId="77777777" w:rsidR="0018526E" w:rsidRPr="009830DF" w:rsidRDefault="00876F9E">
      <w:pPr>
        <w:numPr>
          <w:ilvl w:val="0"/>
          <w:numId w:val="2"/>
        </w:num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Conducta de la Autoridad: Las Acciones u omisiones realizadas en el procedimiento. Así como si la autoridad actuó con la debida diligencia.</w:t>
      </w:r>
    </w:p>
    <w:p w14:paraId="3FF764CD" w14:textId="77777777" w:rsidR="0018526E" w:rsidRPr="009830DF" w:rsidRDefault="00876F9E">
      <w:pPr>
        <w:spacing w:before="240" w:after="240" w:line="360" w:lineRule="auto"/>
        <w:ind w:left="567"/>
        <w:jc w:val="both"/>
        <w:rPr>
          <w:rFonts w:ascii="Palatino Linotype" w:eastAsia="Palatino Linotype" w:hAnsi="Palatino Linotype" w:cs="Palatino Linotype"/>
        </w:rPr>
      </w:pPr>
      <w:r w:rsidRPr="009830DF">
        <w:rPr>
          <w:rFonts w:ascii="Palatino Linotype" w:eastAsia="Palatino Linotype" w:hAnsi="Palatino Linotype" w:cs="Palatino Linotype"/>
        </w:rPr>
        <w:t>d) La afectación generada en la situación jurídica de la persona involucrada en el proceso: Violación a sus derechos humanos.</w:t>
      </w:r>
    </w:p>
    <w:p w14:paraId="10E2D9BA"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9C77275" w14:textId="77777777" w:rsidR="0018526E" w:rsidRPr="009830DF" w:rsidRDefault="00876F9E">
      <w:pPr>
        <w:spacing w:before="240" w:after="240" w:line="360" w:lineRule="auto"/>
        <w:jc w:val="both"/>
        <w:rPr>
          <w:rFonts w:ascii="Palatino Linotype" w:eastAsia="Palatino Linotype" w:hAnsi="Palatino Linotype" w:cs="Palatino Linotype"/>
          <w:b/>
        </w:rPr>
      </w:pPr>
      <w:r w:rsidRPr="009830D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9830D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9830DF">
        <w:rPr>
          <w:rFonts w:ascii="Palatino Linotype" w:eastAsia="Palatino Linotype" w:hAnsi="Palatino Linotype" w:cs="Palatino Linotype"/>
        </w:rPr>
        <w:t>, visible en la Gaceta del Seminario Judicial de la Federación con el registro digital 205635.</w:t>
      </w:r>
    </w:p>
    <w:p w14:paraId="237EF40F"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8659919"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CAF3005" w14:textId="77777777" w:rsidR="0018526E" w:rsidRPr="009830DF" w:rsidRDefault="00876F9E">
      <w:pPr>
        <w:spacing w:before="240" w:after="240"/>
        <w:ind w:left="851" w:right="902"/>
        <w:jc w:val="both"/>
        <w:rPr>
          <w:rFonts w:ascii="Palatino Linotype" w:eastAsia="Palatino Linotype" w:hAnsi="Palatino Linotype" w:cs="Palatino Linotype"/>
          <w:sz w:val="22"/>
          <w:szCs w:val="22"/>
        </w:rPr>
      </w:pP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i/>
          <w:sz w:val="22"/>
          <w:szCs w:val="22"/>
        </w:rPr>
        <w:t>“</w:t>
      </w:r>
      <w:r w:rsidRPr="009830DF">
        <w:rPr>
          <w:rFonts w:ascii="Palatino Linotype" w:eastAsia="Palatino Linotype" w:hAnsi="Palatino Linotype" w:cs="Palatino Linotype"/>
          <w:b/>
          <w:i/>
          <w:sz w:val="22"/>
          <w:szCs w:val="22"/>
        </w:rPr>
        <w:t>PLAZO RAZONABLE PARA RESOLVER. DIMENSIÓN Y EFECTOS DE ESTE CONCEPTO CUANDO SE ADUCE EXCESIVA CARGA DE TRABAJO</w:t>
      </w:r>
      <w:r w:rsidRPr="009830DF">
        <w:rPr>
          <w:rFonts w:ascii="Palatino Linotype" w:eastAsia="Palatino Linotype" w:hAnsi="Palatino Linotype" w:cs="Palatino Linotype"/>
          <w:i/>
          <w:sz w:val="22"/>
          <w:szCs w:val="22"/>
        </w:rPr>
        <w:t>.”</w:t>
      </w:r>
      <w:r w:rsidRPr="009830DF">
        <w:rPr>
          <w:rFonts w:ascii="Palatino Linotype" w:eastAsia="Palatino Linotype" w:hAnsi="Palatino Linotype" w:cs="Palatino Linotype"/>
          <w:sz w:val="22"/>
          <w:szCs w:val="22"/>
        </w:rPr>
        <w:t xml:space="preserve"> consultable en el Seminario Judicial de la Federación y su gaceta, con el registro digital 2002351.</w:t>
      </w:r>
    </w:p>
    <w:p w14:paraId="77D204C8" w14:textId="77777777" w:rsidR="0018526E" w:rsidRPr="009830DF" w:rsidRDefault="00876F9E">
      <w:pPr>
        <w:spacing w:before="240" w:after="240"/>
        <w:ind w:left="851" w:right="902"/>
        <w:jc w:val="both"/>
        <w:rPr>
          <w:rFonts w:ascii="Palatino Linotype" w:eastAsia="Palatino Linotype" w:hAnsi="Palatino Linotype" w:cs="Palatino Linotype"/>
          <w:sz w:val="22"/>
          <w:szCs w:val="22"/>
        </w:rPr>
      </w:pPr>
      <w:r w:rsidRPr="009830DF">
        <w:rPr>
          <w:rFonts w:ascii="Palatino Linotype" w:eastAsia="Palatino Linotype" w:hAnsi="Palatino Linotype" w:cs="Palatino Linotype"/>
          <w:i/>
          <w:sz w:val="22"/>
          <w:szCs w:val="22"/>
        </w:rPr>
        <w:t>“</w:t>
      </w:r>
      <w:r w:rsidRPr="009830DF">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9830DF">
        <w:rPr>
          <w:rFonts w:ascii="Palatino Linotype" w:eastAsia="Palatino Linotype" w:hAnsi="Palatino Linotype" w:cs="Palatino Linotype"/>
          <w:i/>
          <w:sz w:val="22"/>
          <w:szCs w:val="22"/>
        </w:rPr>
        <w:t>.”</w:t>
      </w:r>
      <w:r w:rsidRPr="009830DF">
        <w:rPr>
          <w:rFonts w:ascii="Palatino Linotype" w:eastAsia="Palatino Linotype" w:hAnsi="Palatino Linotype" w:cs="Palatino Linotype"/>
          <w:sz w:val="22"/>
          <w:szCs w:val="22"/>
        </w:rPr>
        <w:t>, visible en el Seminario Judicial de la Federación y su gaceta, con el registro digital 2002350.</w:t>
      </w:r>
    </w:p>
    <w:p w14:paraId="4F0E6C1C"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75646F5"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b/>
        </w:rPr>
        <w:lastRenderedPageBreak/>
        <w:t xml:space="preserve">7. Cierre de instrucción. </w:t>
      </w:r>
      <w:r w:rsidRPr="009830DF">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9830DF">
        <w:rPr>
          <w:rFonts w:ascii="Palatino Linotype" w:eastAsia="Palatino Linotype" w:hAnsi="Palatino Linotype" w:cs="Palatino Linotype"/>
          <w:b/>
        </w:rPr>
        <w:t xml:space="preserve">treinta de enero de dos mil veintitrés, </w:t>
      </w:r>
      <w:r w:rsidRPr="009830DF">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43ED2E93"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D2083C2" w14:textId="77777777" w:rsidR="0018526E" w:rsidRPr="009830DF" w:rsidRDefault="00876F9E">
      <w:pPr>
        <w:widowControl w:val="0"/>
        <w:spacing w:before="240" w:after="240" w:line="360" w:lineRule="auto"/>
        <w:jc w:val="center"/>
        <w:rPr>
          <w:rFonts w:ascii="Palatino Linotype" w:eastAsia="Palatino Linotype" w:hAnsi="Palatino Linotype" w:cs="Palatino Linotype"/>
          <w:b/>
        </w:rPr>
      </w:pPr>
      <w:r w:rsidRPr="009830DF">
        <w:rPr>
          <w:rFonts w:ascii="Palatino Linotype" w:eastAsia="Palatino Linotype" w:hAnsi="Palatino Linotype" w:cs="Palatino Linotype"/>
          <w:b/>
        </w:rPr>
        <w:t>II. C O N S I D E R A N D O S</w:t>
      </w:r>
    </w:p>
    <w:p w14:paraId="636B98D1"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b/>
        </w:rPr>
        <w:t>Primero. Competencia.</w:t>
      </w:r>
      <w:r w:rsidRPr="009830D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1D28722" w14:textId="77777777" w:rsidR="0018526E" w:rsidRPr="009830DF" w:rsidRDefault="00876F9E">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9830DF">
        <w:rPr>
          <w:rFonts w:ascii="Palatino Linotype" w:eastAsia="Palatino Linotype" w:hAnsi="Palatino Linotype" w:cs="Palatino Linotype"/>
          <w:b/>
        </w:rPr>
        <w:t>Segundo. Oportunidad y Procedibilidad del Recurso de Revisión</w:t>
      </w:r>
      <w:r w:rsidRPr="009830DF">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previstos en los </w:t>
      </w:r>
      <w:r w:rsidRPr="009830DF">
        <w:rPr>
          <w:rFonts w:ascii="Palatino Linotype" w:eastAsia="Palatino Linotype" w:hAnsi="Palatino Linotype" w:cs="Palatino Linotype"/>
        </w:rPr>
        <w:lastRenderedPageBreak/>
        <w:t>artículos 178 y 180 de la Ley de Transparencia y Acceso a la Información Pública del Estado de México y Municipios.</w:t>
      </w:r>
    </w:p>
    <w:p w14:paraId="7496EAD5"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9830DF">
        <w:rPr>
          <w:rFonts w:ascii="Palatino Linotype" w:eastAsia="Palatino Linotype" w:hAnsi="Palatino Linotype" w:cs="Palatino Linotype"/>
          <w:b/>
        </w:rPr>
        <w:t xml:space="preserve">Sujeto Obligado </w:t>
      </w:r>
      <w:r w:rsidRPr="009830DF">
        <w:rPr>
          <w:rFonts w:ascii="Palatino Linotype" w:eastAsia="Palatino Linotype" w:hAnsi="Palatino Linotype" w:cs="Palatino Linotype"/>
        </w:rPr>
        <w:t xml:space="preserve">remitió la respuesta a la solicitud de información el día </w:t>
      </w:r>
      <w:r w:rsidRPr="009830DF">
        <w:rPr>
          <w:rFonts w:ascii="Palatino Linotype" w:eastAsia="Palatino Linotype" w:hAnsi="Palatino Linotype" w:cs="Palatino Linotype"/>
          <w:b/>
        </w:rPr>
        <w:t xml:space="preserve">once de julio de dos mil veintidós, </w:t>
      </w:r>
      <w:r w:rsidRPr="009830DF">
        <w:rPr>
          <w:rFonts w:ascii="Palatino Linotype" w:eastAsia="Palatino Linotype" w:hAnsi="Palatino Linotype" w:cs="Palatino Linotype"/>
        </w:rPr>
        <w:t xml:space="preserve">mientras que el recurso de revisión interpuesto por la parte </w:t>
      </w:r>
      <w:r w:rsidRPr="009830DF">
        <w:rPr>
          <w:rFonts w:ascii="Palatino Linotype" w:eastAsia="Palatino Linotype" w:hAnsi="Palatino Linotype" w:cs="Palatino Linotype"/>
          <w:b/>
        </w:rPr>
        <w:t>Recurrente</w:t>
      </w:r>
      <w:r w:rsidRPr="009830DF">
        <w:rPr>
          <w:rFonts w:ascii="Palatino Linotype" w:eastAsia="Palatino Linotype" w:hAnsi="Palatino Linotype" w:cs="Palatino Linotype"/>
        </w:rPr>
        <w:t xml:space="preserve">, se tuvo por presentado el día </w:t>
      </w:r>
      <w:r w:rsidRPr="009830DF">
        <w:rPr>
          <w:rFonts w:ascii="Palatino Linotype" w:eastAsia="Palatino Linotype" w:hAnsi="Palatino Linotype" w:cs="Palatino Linotype"/>
          <w:b/>
        </w:rPr>
        <w:t>uno de agosto de dos mil veintidós</w:t>
      </w:r>
      <w:r w:rsidRPr="009830DF">
        <w:rPr>
          <w:rFonts w:ascii="Palatino Linotype" w:eastAsia="Palatino Linotype" w:hAnsi="Palatino Linotype" w:cs="Palatino Linotype"/>
        </w:rPr>
        <w:t>, esto es, al quinto día hábil siguiente en que tuvo conocimiento de la respuesta impugnada.</w:t>
      </w:r>
    </w:p>
    <w:p w14:paraId="5CBBD228" w14:textId="77777777" w:rsidR="0018526E" w:rsidRPr="009830DF" w:rsidRDefault="00876F9E">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9830DF">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C7A2E36"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A efecto de sustentar lo anterior, es de suma importancia mencionar que si bien la persona solicitante </w:t>
      </w:r>
      <w:r w:rsidRPr="009830DF">
        <w:rPr>
          <w:rFonts w:ascii="Palatino Linotype" w:eastAsia="Palatino Linotype" w:hAnsi="Palatino Linotype" w:cs="Palatino Linotype"/>
          <w:b/>
        </w:rPr>
        <w:t xml:space="preserve">no proporcionó nombre o seudónimo </w:t>
      </w:r>
      <w:r w:rsidRPr="009830DF">
        <w:rPr>
          <w:rFonts w:ascii="Palatino Linotype" w:eastAsia="Palatino Linotype" w:hAnsi="Palatino Linotype" w:cs="Palatino Linotype"/>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64B93C0" w14:textId="77777777" w:rsidR="0018526E" w:rsidRPr="009830DF" w:rsidRDefault="00876F9E">
      <w:pPr>
        <w:spacing w:before="120" w:after="120"/>
        <w:ind w:left="851" w:right="902"/>
        <w:jc w:val="both"/>
        <w:rPr>
          <w:rFonts w:ascii="Palatino Linotype" w:eastAsia="Palatino Linotype" w:hAnsi="Palatino Linotype" w:cs="Palatino Linotype"/>
        </w:rPr>
      </w:pPr>
      <w:r w:rsidRPr="009830DF">
        <w:rPr>
          <w:rFonts w:ascii="Palatino Linotype" w:eastAsia="Palatino Linotype" w:hAnsi="Palatino Linotype" w:cs="Palatino Linotype"/>
          <w:i/>
        </w:rPr>
        <w:lastRenderedPageBreak/>
        <w:t>"</w:t>
      </w:r>
      <w:r w:rsidRPr="009830DF">
        <w:rPr>
          <w:rFonts w:ascii="Palatino Linotype" w:eastAsia="Palatino Linotype" w:hAnsi="Palatino Linotype" w:cs="Palatino Linotype"/>
          <w:b/>
          <w:i/>
        </w:rPr>
        <w:t>Las solicitudes anónimas</w:t>
      </w:r>
      <w:r w:rsidRPr="009830DF">
        <w:rPr>
          <w:rFonts w:ascii="Palatino Linotype" w:eastAsia="Palatino Linotype" w:hAnsi="Palatino Linotype" w:cs="Palatino Linotype"/>
          <w:i/>
        </w:rPr>
        <w:t xml:space="preserve">, con nombre incompleto o seudónimo </w:t>
      </w:r>
      <w:r w:rsidRPr="009830DF">
        <w:rPr>
          <w:rFonts w:ascii="Palatino Linotype" w:eastAsia="Palatino Linotype" w:hAnsi="Palatino Linotype" w:cs="Palatino Linotype"/>
          <w:b/>
          <w:i/>
        </w:rPr>
        <w:t>serán procedentes para su trámite por parte del sujeto obligado ante quien se presente</w:t>
      </w:r>
      <w:r w:rsidRPr="009830DF">
        <w:rPr>
          <w:rFonts w:ascii="Palatino Linotype" w:eastAsia="Palatino Linotype" w:hAnsi="Palatino Linotype" w:cs="Palatino Linotype"/>
          <w:i/>
        </w:rPr>
        <w:t>. No podrá requerirse información adicional con motivo del nombre proporcionado por el solicitante."</w:t>
      </w:r>
    </w:p>
    <w:p w14:paraId="7C70072F"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9830DF">
        <w:rPr>
          <w:rFonts w:ascii="Palatino Linotype" w:eastAsia="Palatino Linotype" w:hAnsi="Palatino Linotype" w:cs="Palatino Linotype"/>
          <w:b/>
        </w:rPr>
        <w:t>Recurrente</w:t>
      </w:r>
      <w:r w:rsidRPr="009830DF">
        <w:rPr>
          <w:rFonts w:ascii="Palatino Linotype" w:eastAsia="Palatino Linotype" w:hAnsi="Palatino Linotype" w:cs="Palatino Linotype"/>
        </w:rPr>
        <w:t>, por lo que, en el presente caso, al haber sido presentado el recurso de revisión vía SAIMEX, dicho requisito resulta innecesario.</w:t>
      </w:r>
    </w:p>
    <w:p w14:paraId="70D09F7D"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Finalmente, se advierte que resulta procedente la interposición del recurso, según lo manifestado por la parte </w:t>
      </w:r>
      <w:r w:rsidRPr="009830DF">
        <w:rPr>
          <w:rFonts w:ascii="Palatino Linotype" w:eastAsia="Palatino Linotype" w:hAnsi="Palatino Linotype" w:cs="Palatino Linotype"/>
          <w:b/>
        </w:rPr>
        <w:t>Recurrente</w:t>
      </w:r>
      <w:r w:rsidRPr="009830DF">
        <w:rPr>
          <w:rFonts w:ascii="Palatino Linotype" w:eastAsia="Palatino Linotype" w:hAnsi="Palatino Linotype" w:cs="Palatino Linotype"/>
        </w:rPr>
        <w:t xml:space="preserve"> en sus motivos de inconformidad, de acuerdo al artículo 179, fracciones I y IV del ordenamiento legal citado, que a la letra dice: </w:t>
      </w:r>
    </w:p>
    <w:p w14:paraId="0E8383B6" w14:textId="77777777" w:rsidR="0018526E" w:rsidRPr="009830DF" w:rsidRDefault="00876F9E">
      <w:pPr>
        <w:spacing w:before="120" w:after="120"/>
        <w:ind w:left="993"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r w:rsidRPr="009830DF">
        <w:rPr>
          <w:rFonts w:ascii="Palatino Linotype" w:eastAsia="Palatino Linotype" w:hAnsi="Palatino Linotype" w:cs="Palatino Linotype"/>
          <w:b/>
          <w:i/>
          <w:sz w:val="22"/>
          <w:szCs w:val="22"/>
        </w:rPr>
        <w:t>Artículo 179.</w:t>
      </w:r>
      <w:r w:rsidRPr="009830D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66095FC" w14:textId="77777777" w:rsidR="0018526E" w:rsidRPr="009830DF" w:rsidRDefault="00876F9E">
      <w:pPr>
        <w:spacing w:before="120" w:after="120"/>
        <w:ind w:left="1134"/>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 xml:space="preserve">I. </w:t>
      </w:r>
      <w:r w:rsidRPr="009830DF">
        <w:rPr>
          <w:rFonts w:ascii="Palatino Linotype" w:eastAsia="Palatino Linotype" w:hAnsi="Palatino Linotype" w:cs="Palatino Linotype"/>
          <w:i/>
          <w:sz w:val="22"/>
          <w:szCs w:val="22"/>
        </w:rPr>
        <w:t>La negativa a la información solicitada</w:t>
      </w:r>
      <w:r w:rsidRPr="009830DF">
        <w:rPr>
          <w:rFonts w:ascii="Palatino Linotype" w:eastAsia="Palatino Linotype" w:hAnsi="Palatino Linotype" w:cs="Palatino Linotype"/>
          <w:b/>
          <w:i/>
          <w:sz w:val="22"/>
          <w:szCs w:val="22"/>
        </w:rPr>
        <w:t>;</w:t>
      </w:r>
    </w:p>
    <w:p w14:paraId="2266DF95" w14:textId="77777777" w:rsidR="0018526E" w:rsidRPr="009830DF" w:rsidRDefault="00876F9E">
      <w:pPr>
        <w:spacing w:before="120" w:after="120"/>
        <w:ind w:left="1134"/>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p>
    <w:p w14:paraId="5F9C1458" w14:textId="77777777" w:rsidR="0018526E" w:rsidRPr="009830DF" w:rsidRDefault="00876F9E">
      <w:pPr>
        <w:spacing w:before="120" w:after="120"/>
        <w:ind w:left="1134"/>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IV.</w:t>
      </w:r>
      <w:r w:rsidRPr="009830DF">
        <w:rPr>
          <w:rFonts w:ascii="Palatino Linotype" w:eastAsia="Palatino Linotype" w:hAnsi="Palatino Linotype" w:cs="Palatino Linotype"/>
          <w:i/>
          <w:sz w:val="22"/>
          <w:szCs w:val="22"/>
        </w:rPr>
        <w:t xml:space="preserve"> La declaración de incompetencia por el sujeto obligado;”</w:t>
      </w:r>
    </w:p>
    <w:p w14:paraId="01C55D2C"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b/>
        </w:rPr>
        <w:t xml:space="preserve">Tercero. Materia de la revisión. </w:t>
      </w:r>
      <w:r w:rsidRPr="009830DF">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9830DF">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9830DF">
        <w:rPr>
          <w:rFonts w:ascii="Palatino Linotype" w:eastAsia="Palatino Linotype" w:hAnsi="Palatino Linotype" w:cs="Palatino Linotype"/>
        </w:rPr>
        <w:t xml:space="preserve">de la parte </w:t>
      </w:r>
      <w:r w:rsidRPr="009830DF">
        <w:rPr>
          <w:rFonts w:ascii="Palatino Linotype" w:eastAsia="Palatino Linotype" w:hAnsi="Palatino Linotype" w:cs="Palatino Linotype"/>
          <w:b/>
        </w:rPr>
        <w:t>Recurrente</w:t>
      </w:r>
      <w:r w:rsidRPr="009830DF">
        <w:rPr>
          <w:rFonts w:ascii="Palatino Linotype" w:eastAsia="Palatino Linotype" w:hAnsi="Palatino Linotype" w:cs="Palatino Linotype"/>
        </w:rPr>
        <w:t>, o en su defecto, en caso de ser procedente, ordenar la entrega de información oportuna.</w:t>
      </w:r>
    </w:p>
    <w:p w14:paraId="0B94155D" w14:textId="77777777" w:rsidR="0018526E" w:rsidRPr="009830DF" w:rsidRDefault="00876F9E">
      <w:pPr>
        <w:spacing w:before="240" w:after="240" w:line="360" w:lineRule="auto"/>
        <w:ind w:right="51"/>
        <w:jc w:val="both"/>
        <w:rPr>
          <w:rFonts w:ascii="Palatino Linotype" w:eastAsia="Palatino Linotype" w:hAnsi="Palatino Linotype" w:cs="Palatino Linotype"/>
        </w:rPr>
      </w:pPr>
      <w:bookmarkStart w:id="6" w:name="_heading=h.2et92p0" w:colFirst="0" w:colLast="0"/>
      <w:bookmarkEnd w:id="6"/>
      <w:r w:rsidRPr="009830DF">
        <w:rPr>
          <w:rFonts w:ascii="Palatino Linotype" w:eastAsia="Palatino Linotype" w:hAnsi="Palatino Linotype" w:cs="Palatino Linotype"/>
          <w:b/>
        </w:rPr>
        <w:lastRenderedPageBreak/>
        <w:t xml:space="preserve">Cuarto. Estudio del asunto. </w:t>
      </w:r>
      <w:r w:rsidRPr="009830DF">
        <w:rPr>
          <w:rFonts w:ascii="Palatino Linotype" w:eastAsia="Palatino Linotype" w:hAnsi="Palatino Linotype" w:cs="Palatino Linotype"/>
        </w:rPr>
        <w:t xml:space="preserve">Del análisis de la solicitud de información, motivo del recurso de revisión que ahora se resuelve se advierte que la parte </w:t>
      </w:r>
      <w:r w:rsidRPr="009830DF">
        <w:rPr>
          <w:rFonts w:ascii="Palatino Linotype" w:eastAsia="Palatino Linotype" w:hAnsi="Palatino Linotype" w:cs="Palatino Linotype"/>
          <w:b/>
        </w:rPr>
        <w:t>Recurrente</w:t>
      </w:r>
      <w:r w:rsidRPr="009830DF">
        <w:rPr>
          <w:rFonts w:ascii="Palatino Linotype" w:eastAsia="Palatino Linotype" w:hAnsi="Palatino Linotype" w:cs="Palatino Linotype"/>
        </w:rPr>
        <w:t xml:space="preserve"> requirió al </w:t>
      </w:r>
      <w:r w:rsidRPr="009830DF">
        <w:rPr>
          <w:rFonts w:ascii="Palatino Linotype" w:eastAsia="Palatino Linotype" w:hAnsi="Palatino Linotype" w:cs="Palatino Linotype"/>
          <w:b/>
        </w:rPr>
        <w:t xml:space="preserve">Sujeto Obligado </w:t>
      </w:r>
      <w:r w:rsidRPr="009830DF">
        <w:rPr>
          <w:rFonts w:ascii="Palatino Linotype" w:eastAsia="Palatino Linotype" w:hAnsi="Palatino Linotype" w:cs="Palatino Linotype"/>
        </w:rPr>
        <w:t>le proporcione, información consistente en lo siguiente:</w:t>
      </w:r>
    </w:p>
    <w:p w14:paraId="4B0442FD"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De los últimos tres años de la administración estatal:</w:t>
      </w:r>
    </w:p>
    <w:p w14:paraId="7D8AC933"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1. Procesos de licitación, los videos, imágenes, actas de sesión de Comité de Adquisiciones, todos los documentos que integren los procesos de licitación pública, invitación restringida o cualquier otra como lo señala el Código de Procedimientos Administrativos, quienes participan, su curricular, la licitación, el proceso de selección, los resultados, las publicaciones y el contrato firmados, las facturas pagadas de los procesos efectuados por esta obligación.</w:t>
      </w:r>
    </w:p>
    <w:p w14:paraId="5055B09F" w14:textId="77777777" w:rsidR="0018526E" w:rsidRPr="009830DF" w:rsidRDefault="00876F9E">
      <w:pPr>
        <w:spacing w:before="240" w:after="240" w:line="360" w:lineRule="auto"/>
        <w:ind w:right="49"/>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En respuesta, el </w:t>
      </w:r>
      <w:r w:rsidRPr="009830DF">
        <w:rPr>
          <w:rFonts w:ascii="Palatino Linotype" w:eastAsia="Palatino Linotype" w:hAnsi="Palatino Linotype" w:cs="Palatino Linotype"/>
          <w:b/>
        </w:rPr>
        <w:t>Sujeto Obligado</w:t>
      </w:r>
      <w:r w:rsidRPr="009830DF">
        <w:rPr>
          <w:rFonts w:ascii="Palatino Linotype" w:eastAsia="Palatino Linotype" w:hAnsi="Palatino Linotype" w:cs="Palatino Linotype"/>
        </w:rPr>
        <w:t>, a través de la Unidad de Transparencia, hizo del conocimiento de la persona solicitante que la Dirección General de Recursos Materiales de la Secretaría de Finanzas era la responsable de realizar el desahogo de los procedimientos tales como Licitaciones Públicas o Invitaciones Restringidas, así como la instauración de sus procesos, por lo tanto la Subdirección de Recursos Materiales de la Secretaría de Movilidad no genera información de dichas modalidades de contratación.</w:t>
      </w:r>
    </w:p>
    <w:p w14:paraId="0265B0C9" w14:textId="77777777" w:rsidR="0018526E" w:rsidRPr="009830DF" w:rsidRDefault="00876F9E">
      <w:pPr>
        <w:spacing w:before="240" w:after="240" w:line="360" w:lineRule="auto"/>
        <w:ind w:right="49"/>
        <w:jc w:val="both"/>
        <w:rPr>
          <w:rFonts w:ascii="Palatino Linotype" w:eastAsia="Palatino Linotype" w:hAnsi="Palatino Linotype" w:cs="Palatino Linotype"/>
        </w:rPr>
      </w:pPr>
      <w:r w:rsidRPr="009830DF">
        <w:rPr>
          <w:rFonts w:ascii="Palatino Linotype" w:eastAsia="Palatino Linotype" w:hAnsi="Palatino Linotype" w:cs="Palatino Linotype"/>
        </w:rPr>
        <w:t>Conocida la respuesta por la persona solicitante, al no estar conforme con los términos de la misma, interpuso el recurso de revisión que nos ocupa, mediante el cual manifestó, como motivo de inconformidad, que le fue negada la información de las licitaciones realizadas por esta administración.</w:t>
      </w:r>
    </w:p>
    <w:p w14:paraId="123BCD83"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lastRenderedPageBreak/>
        <w:t>Por otro lado, una vez admitido el presente recurso de revisión, en términos del artículo 185 fracción II</w:t>
      </w:r>
      <w:r w:rsidRPr="009830DF">
        <w:rPr>
          <w:rFonts w:ascii="Palatino Linotype" w:eastAsia="Palatino Linotype" w:hAnsi="Palatino Linotype" w:cs="Palatino Linotype"/>
          <w:vertAlign w:val="superscript"/>
        </w:rPr>
        <w:footnoteReference w:id="1"/>
      </w:r>
      <w:r w:rsidRPr="009830DF">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1B47E0CD"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En tal sentido, el </w:t>
      </w:r>
      <w:r w:rsidRPr="009830DF">
        <w:rPr>
          <w:rFonts w:ascii="Palatino Linotype" w:eastAsia="Palatino Linotype" w:hAnsi="Palatino Linotype" w:cs="Palatino Linotype"/>
          <w:b/>
        </w:rPr>
        <w:t xml:space="preserve">Sujeto Obligado, </w:t>
      </w:r>
      <w:r w:rsidRPr="009830DF">
        <w:rPr>
          <w:rFonts w:ascii="Palatino Linotype" w:eastAsia="Palatino Linotype" w:hAnsi="Palatino Linotype" w:cs="Palatino Linotype"/>
        </w:rPr>
        <w:t xml:space="preserve">señaló que en ningún momento se negó el derecho de acceso a la información de la parte </w:t>
      </w:r>
      <w:r w:rsidRPr="009830DF">
        <w:rPr>
          <w:rFonts w:ascii="Palatino Linotype" w:eastAsia="Palatino Linotype" w:hAnsi="Palatino Linotype" w:cs="Palatino Linotype"/>
          <w:b/>
        </w:rPr>
        <w:t>Recurrente</w:t>
      </w:r>
      <w:r w:rsidRPr="009830DF">
        <w:rPr>
          <w:rFonts w:ascii="Palatino Linotype" w:eastAsia="Palatino Linotype" w:hAnsi="Palatino Linotype" w:cs="Palatino Linotype"/>
        </w:rPr>
        <w:t>, tomando en consideración que el otorgó en la respuesta a la solicitud primigenia, la información correspondiente al objeto del requerimiento de información inicial.</w:t>
      </w:r>
    </w:p>
    <w:p w14:paraId="2F87EA85"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Asimismo, a través de la Coordinación Administrativa y de Gestión Documental, refirió que la Subdirección de Recursos Materiales ratificó que la información proporcionada era correcta, pues dicha Dependencia no está facultada para llevar a cabo la instauración de procedimientos en las modalidades solicitadas, sin embargo, con la finalidad de coadyuvar indicó que la información requerida se encuentra pública en el portal público de compras del Gobierno del Estado de México, COMPRAMEX, mismo que es administrado por la Secretaría de Finanzas, para lo cual citó las atribuciones que se le confieren a dicha Secretaría y la  Dirección General de Recursos Materiales en los artículos 7, fracción XI, inciso h, y 32, fracción XXXII del Reglamento Interior de la Secretaría de Finanzas.</w:t>
      </w:r>
    </w:p>
    <w:p w14:paraId="0C3CC630"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Finalmente, señaló que en el portal COMPRAMEX, se pueden consultar todos los procedimientos adquisitivos del Gobierno del Estado de México, los cuales se </w:t>
      </w:r>
      <w:r w:rsidRPr="009830DF">
        <w:rPr>
          <w:rFonts w:ascii="Palatino Linotype" w:eastAsia="Palatino Linotype" w:hAnsi="Palatino Linotype" w:cs="Palatino Linotype"/>
        </w:rPr>
        <w:lastRenderedPageBreak/>
        <w:t>encuentran desagregados por tipo de organismo, unidad administrativa, año y estatus que guardan, solicitando en el acto a este Organismo Garante confirmar la respuesta proporcionada.</w:t>
      </w:r>
    </w:p>
    <w:p w14:paraId="128BD90F"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Información que se hizo del conocimiento de la parte </w:t>
      </w:r>
      <w:r w:rsidRPr="009830DF">
        <w:rPr>
          <w:rFonts w:ascii="Palatino Linotype" w:eastAsia="Palatino Linotype" w:hAnsi="Palatino Linotype" w:cs="Palatino Linotype"/>
          <w:b/>
        </w:rPr>
        <w:t>Recurrente,</w:t>
      </w:r>
      <w:r w:rsidRPr="009830DF">
        <w:rPr>
          <w:rFonts w:ascii="Palatino Linotype" w:eastAsia="Palatino Linotype" w:hAnsi="Palatino Linotype" w:cs="Palatino Linotype"/>
        </w:rPr>
        <w:t xml:space="preserve"> a efecto de que manifestara lo que a su derecho estimara conveniente, siendo omisa en ejercer dicha prerrogativa, como se señaló anteriormente.</w:t>
      </w:r>
    </w:p>
    <w:p w14:paraId="1A12E214" w14:textId="77777777" w:rsidR="0018526E" w:rsidRPr="009830DF" w:rsidRDefault="00876F9E">
      <w:pPr>
        <w:spacing w:before="240" w:after="240" w:line="360" w:lineRule="auto"/>
        <w:ind w:right="51"/>
        <w:jc w:val="both"/>
        <w:rPr>
          <w:rFonts w:ascii="Palatino Linotype" w:eastAsia="Palatino Linotype" w:hAnsi="Palatino Linotype" w:cs="Palatino Linotype"/>
        </w:rPr>
      </w:pPr>
      <w:r w:rsidRPr="009830DF">
        <w:rPr>
          <w:rFonts w:ascii="Palatino Linotype" w:eastAsia="Palatino Linotype" w:hAnsi="Palatino Linotype" w:cs="Palatino Linotype"/>
        </w:rPr>
        <w:t>Acotado lo anterior, en primer lugar  es conveniente mencionar que de conformidad con el artículo 4, párrafo segundo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de la información, y esta sólo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14:paraId="6177D3A2"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Por su parte, el artículo 24 en su último párrafo de la Ley de la Materia, dispone que los Sujetos Obligados sólo proporcionarán la información pública que generen, administren o posean en el ejercicio de sus atribuciones; por consiguiente, la información generada por los entes públicos, se encuentra a disposición de cualquier persona, lo que implica que es deber de los Sujetos Obligados, garantizar el Derecho de Acceso a la Información Pública.</w:t>
      </w:r>
    </w:p>
    <w:p w14:paraId="4CFEDACC" w14:textId="77777777" w:rsidR="0018526E" w:rsidRPr="009830DF" w:rsidRDefault="00876F9E">
      <w:pPr>
        <w:spacing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lastRenderedPageBreak/>
        <w:t xml:space="preserve">En otras palabras,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81CA1FE" w14:textId="77777777" w:rsidR="0018526E" w:rsidRPr="009830DF" w:rsidRDefault="0018526E">
      <w:pPr>
        <w:ind w:left="851" w:right="899"/>
        <w:jc w:val="both"/>
        <w:rPr>
          <w:rFonts w:ascii="Palatino Linotype" w:eastAsia="Palatino Linotype" w:hAnsi="Palatino Linotype" w:cs="Palatino Linotype"/>
          <w:i/>
        </w:rPr>
      </w:pPr>
    </w:p>
    <w:p w14:paraId="2D7F7DF8" w14:textId="77777777" w:rsidR="0018526E" w:rsidRPr="009830DF" w:rsidRDefault="00876F9E">
      <w:pPr>
        <w:ind w:left="851" w:right="899"/>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r w:rsidRPr="009830DF">
        <w:rPr>
          <w:rFonts w:ascii="Palatino Linotype" w:eastAsia="Palatino Linotype" w:hAnsi="Palatino Linotype" w:cs="Palatino Linotype"/>
          <w:b/>
          <w:i/>
          <w:sz w:val="22"/>
          <w:szCs w:val="22"/>
        </w:rPr>
        <w:t xml:space="preserve">Artículo 3. </w:t>
      </w:r>
      <w:r w:rsidRPr="009830DF">
        <w:rPr>
          <w:rFonts w:ascii="Palatino Linotype" w:eastAsia="Palatino Linotype" w:hAnsi="Palatino Linotype" w:cs="Palatino Linotype"/>
          <w:i/>
          <w:sz w:val="22"/>
          <w:szCs w:val="22"/>
        </w:rPr>
        <w:t>Para los efectos de la presente Ley se entenderá por:</w:t>
      </w:r>
    </w:p>
    <w:p w14:paraId="0F104DC4" w14:textId="77777777" w:rsidR="0018526E" w:rsidRPr="009830DF" w:rsidRDefault="00876F9E">
      <w:pPr>
        <w:ind w:left="1134" w:right="899"/>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p>
    <w:p w14:paraId="7F84144B" w14:textId="77777777" w:rsidR="0018526E" w:rsidRPr="009830DF" w:rsidRDefault="00876F9E">
      <w:pPr>
        <w:ind w:left="1134" w:right="899"/>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XI. Documento:</w:t>
      </w:r>
      <w:r w:rsidRPr="009830DF">
        <w:rPr>
          <w:rFonts w:ascii="Palatino Linotype" w:eastAsia="Palatino Linotype" w:hAnsi="Palatino Linotype" w:cs="Palatino Linotype"/>
          <w:i/>
          <w:sz w:val="22"/>
          <w:szCs w:val="22"/>
        </w:rPr>
        <w:t xml:space="preserve"> Los expedientes, reportes, estudios, actas</w:t>
      </w:r>
      <w:r w:rsidRPr="009830DF">
        <w:rPr>
          <w:rFonts w:ascii="Palatino Linotype" w:eastAsia="Palatino Linotype" w:hAnsi="Palatino Linotype" w:cs="Palatino Linotype"/>
          <w:b/>
          <w:i/>
          <w:sz w:val="22"/>
          <w:szCs w:val="22"/>
        </w:rPr>
        <w:t>,</w:t>
      </w:r>
      <w:r w:rsidRPr="009830D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90B7504" w14:textId="77777777" w:rsidR="0018526E" w:rsidRPr="009830DF" w:rsidRDefault="0018526E">
      <w:pPr>
        <w:ind w:left="851" w:right="899"/>
        <w:jc w:val="both"/>
        <w:rPr>
          <w:rFonts w:ascii="Palatino Linotype" w:eastAsia="Palatino Linotype" w:hAnsi="Palatino Linotype" w:cs="Palatino Linotype"/>
          <w:sz w:val="22"/>
          <w:szCs w:val="22"/>
        </w:rPr>
      </w:pPr>
    </w:p>
    <w:p w14:paraId="1794BFFF" w14:textId="77777777" w:rsidR="0018526E" w:rsidRPr="009830DF" w:rsidRDefault="00876F9E">
      <w:pPr>
        <w:spacing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0964D30" w14:textId="77777777" w:rsidR="0018526E" w:rsidRPr="009830DF" w:rsidRDefault="0018526E">
      <w:pPr>
        <w:ind w:left="851" w:right="899"/>
        <w:jc w:val="both"/>
        <w:rPr>
          <w:rFonts w:ascii="Palatino Linotype" w:eastAsia="Palatino Linotype" w:hAnsi="Palatino Linotype" w:cs="Palatino Linotype"/>
        </w:rPr>
      </w:pPr>
    </w:p>
    <w:p w14:paraId="611C0313" w14:textId="77777777" w:rsidR="0018526E" w:rsidRPr="009830DF" w:rsidRDefault="00876F9E">
      <w:pPr>
        <w:ind w:left="851" w:right="899"/>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sz w:val="22"/>
          <w:szCs w:val="22"/>
        </w:rPr>
        <w:t>“</w:t>
      </w:r>
      <w:r w:rsidRPr="009830D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830DF">
        <w:rPr>
          <w:rFonts w:ascii="Palatino Linotype" w:eastAsia="Palatino Linotype" w:hAnsi="Palatino Linotype" w:cs="Palatino Linotype"/>
          <w:i/>
          <w:sz w:val="22"/>
          <w:szCs w:val="22"/>
        </w:rPr>
        <w:t xml:space="preserve"> De conformidad con los artículos antes referidos, el derecho de acceso a la información pública, se </w:t>
      </w:r>
      <w:r w:rsidRPr="009830DF">
        <w:rPr>
          <w:rFonts w:ascii="Palatino Linotype" w:eastAsia="Palatino Linotype" w:hAnsi="Palatino Linotype" w:cs="Palatino Linotype"/>
          <w:i/>
          <w:sz w:val="22"/>
          <w:szCs w:val="22"/>
        </w:rPr>
        <w:lastRenderedPageBreak/>
        <w:t>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AAEEB8A" w14:textId="77777777" w:rsidR="0018526E" w:rsidRPr="009830DF" w:rsidRDefault="00876F9E">
      <w:pPr>
        <w:ind w:left="851" w:right="899"/>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En </w:t>
      </w:r>
      <w:proofErr w:type="gramStart"/>
      <w:r w:rsidRPr="009830DF">
        <w:rPr>
          <w:rFonts w:ascii="Palatino Linotype" w:eastAsia="Palatino Linotype" w:hAnsi="Palatino Linotype" w:cs="Palatino Linotype"/>
          <w:i/>
          <w:sz w:val="22"/>
          <w:szCs w:val="22"/>
        </w:rPr>
        <w:t>consecuencia</w:t>
      </w:r>
      <w:proofErr w:type="gramEnd"/>
      <w:r w:rsidRPr="009830DF">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38EB55E" w14:textId="77777777" w:rsidR="0018526E" w:rsidRPr="009830DF" w:rsidRDefault="00876F9E">
      <w:pPr>
        <w:ind w:left="1134" w:right="899"/>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1) Que se trate de información registrada en cualquier soporte documental, </w:t>
      </w:r>
      <w:proofErr w:type="gramStart"/>
      <w:r w:rsidRPr="009830DF">
        <w:rPr>
          <w:rFonts w:ascii="Palatino Linotype" w:eastAsia="Palatino Linotype" w:hAnsi="Palatino Linotype" w:cs="Palatino Linotype"/>
          <w:i/>
          <w:sz w:val="22"/>
          <w:szCs w:val="22"/>
        </w:rPr>
        <w:t>que</w:t>
      </w:r>
      <w:proofErr w:type="gramEnd"/>
      <w:r w:rsidRPr="009830DF">
        <w:rPr>
          <w:rFonts w:ascii="Palatino Linotype" w:eastAsia="Palatino Linotype" w:hAnsi="Palatino Linotype" w:cs="Palatino Linotype"/>
          <w:i/>
          <w:sz w:val="22"/>
          <w:szCs w:val="22"/>
        </w:rPr>
        <w:t xml:space="preserve"> en ejercicio de las atribuciones conferidas, sea generada por los Sujetos Obligados;</w:t>
      </w:r>
    </w:p>
    <w:p w14:paraId="44D0C5BE" w14:textId="77777777" w:rsidR="0018526E" w:rsidRPr="009830DF" w:rsidRDefault="00876F9E">
      <w:pPr>
        <w:ind w:left="1134" w:right="899"/>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9830DF">
        <w:rPr>
          <w:rFonts w:ascii="Palatino Linotype" w:eastAsia="Palatino Linotype" w:hAnsi="Palatino Linotype" w:cs="Palatino Linotype"/>
          <w:b/>
          <w:i/>
          <w:sz w:val="22"/>
          <w:szCs w:val="22"/>
        </w:rPr>
        <w:t>que</w:t>
      </w:r>
      <w:proofErr w:type="gramEnd"/>
      <w:r w:rsidRPr="009830DF">
        <w:rPr>
          <w:rFonts w:ascii="Palatino Linotype" w:eastAsia="Palatino Linotype" w:hAnsi="Palatino Linotype" w:cs="Palatino Linotype"/>
          <w:b/>
          <w:i/>
          <w:sz w:val="22"/>
          <w:szCs w:val="22"/>
        </w:rPr>
        <w:t xml:space="preserve"> en ejercicio de las atribuciones conferidas, sea administrada por los Sujetos Obligados, y</w:t>
      </w:r>
    </w:p>
    <w:p w14:paraId="183EE7C3" w14:textId="77777777" w:rsidR="0018526E" w:rsidRPr="009830DF" w:rsidRDefault="00876F9E">
      <w:pPr>
        <w:ind w:left="1134" w:right="899"/>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9830DF">
        <w:rPr>
          <w:rFonts w:ascii="Palatino Linotype" w:eastAsia="Palatino Linotype" w:hAnsi="Palatino Linotype" w:cs="Palatino Linotype"/>
          <w:b/>
          <w:i/>
          <w:sz w:val="22"/>
          <w:szCs w:val="22"/>
        </w:rPr>
        <w:t>que</w:t>
      </w:r>
      <w:proofErr w:type="gramEnd"/>
      <w:r w:rsidRPr="009830DF">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404DE03B" w14:textId="77777777" w:rsidR="0018526E" w:rsidRPr="009830DF" w:rsidRDefault="00876F9E">
      <w:pPr>
        <w:spacing w:before="240" w:after="240" w:line="360" w:lineRule="auto"/>
        <w:ind w:right="51"/>
        <w:jc w:val="both"/>
        <w:rPr>
          <w:rFonts w:ascii="Palatino Linotype" w:eastAsia="Palatino Linotype" w:hAnsi="Palatino Linotype" w:cs="Palatino Linotype"/>
        </w:rPr>
      </w:pPr>
      <w:r w:rsidRPr="009830DF">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6A020B6"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w:t>
      </w:r>
      <w:r w:rsidRPr="009830DF">
        <w:rPr>
          <w:rFonts w:ascii="Palatino Linotype" w:eastAsia="Palatino Linotype" w:hAnsi="Palatino Linotype" w:cs="Palatino Linotype"/>
        </w:rPr>
        <w:lastRenderedPageBreak/>
        <w:t>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4813A176"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Ahora bien, en primer lugar, tomando en consideración la respuesta emitida por el </w:t>
      </w:r>
      <w:r w:rsidRPr="009830DF">
        <w:rPr>
          <w:rFonts w:ascii="Palatino Linotype" w:eastAsia="Palatino Linotype" w:hAnsi="Palatino Linotype" w:cs="Palatino Linotype"/>
          <w:b/>
        </w:rPr>
        <w:t>Sujeto Obligado,</w:t>
      </w:r>
      <w:r w:rsidRPr="009830DF">
        <w:rPr>
          <w:rFonts w:ascii="Palatino Linotype" w:eastAsia="Palatino Linotype" w:hAnsi="Palatino Linotype" w:cs="Palatino Linotype"/>
        </w:rPr>
        <w:t xml:space="preserve"> se debe señalar que, en términos del artículo 167 de la Ley de Transparencia y Acceso a la Información Pública del Estado de México y Municipios, la declaratoria de incompetencia, cuando sea notoria, se deberá hacer valer en un plazo no mayor a los tres días hábiles posteriores a la recepción de la solicitud y, se deberá, en su caso orientar al solicitante hacia el o los sujetos obligados competentes.</w:t>
      </w:r>
    </w:p>
    <w:p w14:paraId="34260050"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En el caso concreto, si bien el </w:t>
      </w:r>
      <w:r w:rsidRPr="009830DF">
        <w:rPr>
          <w:rFonts w:ascii="Palatino Linotype" w:eastAsia="Palatino Linotype" w:hAnsi="Palatino Linotype" w:cs="Palatino Linotype"/>
          <w:b/>
        </w:rPr>
        <w:t xml:space="preserve">Sujeto Obligado </w:t>
      </w:r>
      <w:r w:rsidRPr="009830DF">
        <w:rPr>
          <w:rFonts w:ascii="Palatino Linotype" w:eastAsia="Palatino Linotype" w:hAnsi="Palatino Linotype" w:cs="Palatino Linotype"/>
        </w:rPr>
        <w:t>orientó a la persona solicitan ante la Secretaría de Finanzas, por cuanto refiere a la temporalidad de la declaratoria de incompetencia, tenemos que la solicitud fue ingresada por la persona solicitante el veinte de junio y la declaratoria de incompetencia, fue declarada y notificada el once de julio, ambas temporalidades del dos mil veintidós, así tenemos que el plazo empezó a correr el veintiuno y feneció el veintitrés de junio de dos mil veintidós, por lo que la declaratoria de incompetencia, se notificó fuera del plazo legal establecido en el precepto legal citado en el párrafo anterior.</w:t>
      </w:r>
    </w:p>
    <w:p w14:paraId="30E6CBBD"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En segundo lugar, es procedente establecer si la referida declaratoria encuentra sustento legal en competencias y facultades, para lo cual, sirve de apoyo la Ley Orgánica de la Administración Pública del Estado de México y Municipios, que en su artículo 19, contempla lo siguiente:</w:t>
      </w:r>
    </w:p>
    <w:p w14:paraId="2122E0DD" w14:textId="77777777" w:rsidR="0018526E" w:rsidRPr="009830DF" w:rsidRDefault="00876F9E">
      <w:pPr>
        <w:spacing w:before="120" w:after="120"/>
        <w:ind w:left="851" w:right="902"/>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0"/>
          <w:szCs w:val="20"/>
        </w:rPr>
        <w:lastRenderedPageBreak/>
        <w:t>“</w:t>
      </w:r>
      <w:r w:rsidRPr="009830DF">
        <w:rPr>
          <w:rFonts w:ascii="Palatino Linotype" w:eastAsia="Palatino Linotype" w:hAnsi="Palatino Linotype" w:cs="Palatino Linotype"/>
          <w:b/>
          <w:i/>
          <w:sz w:val="22"/>
          <w:szCs w:val="22"/>
        </w:rPr>
        <w:t>Artículo 19</w:t>
      </w:r>
      <w:r w:rsidRPr="009830DF">
        <w:rPr>
          <w:rFonts w:ascii="Palatino Linotype" w:eastAsia="Palatino Linotype" w:hAnsi="Palatino Linotype" w:cs="Palatino Linotype"/>
          <w:i/>
          <w:sz w:val="22"/>
          <w:szCs w:val="22"/>
        </w:rPr>
        <w:t>.- Para el estudio, planeación y despacho de los asuntos, en los diversos ramos de la Administración Pública del Estado, auxiliarán al Titular del Ejecutivo, las siguientes dependencias:</w:t>
      </w:r>
    </w:p>
    <w:p w14:paraId="52193189" w14:textId="77777777" w:rsidR="0018526E" w:rsidRPr="009830DF" w:rsidRDefault="00876F9E">
      <w:pPr>
        <w:spacing w:before="120" w:after="120"/>
        <w:ind w:left="851" w:right="902"/>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 xml:space="preserve">I </w:t>
      </w:r>
      <w:r w:rsidRPr="009830DF">
        <w:rPr>
          <w:rFonts w:ascii="Palatino Linotype" w:eastAsia="Palatino Linotype" w:hAnsi="Palatino Linotype" w:cs="Palatino Linotype"/>
          <w:i/>
          <w:sz w:val="22"/>
          <w:szCs w:val="22"/>
        </w:rPr>
        <w:t>a la</w:t>
      </w:r>
      <w:r w:rsidRPr="009830DF">
        <w:rPr>
          <w:rFonts w:ascii="Palatino Linotype" w:eastAsia="Palatino Linotype" w:hAnsi="Palatino Linotype" w:cs="Palatino Linotype"/>
          <w:b/>
          <w:i/>
          <w:sz w:val="22"/>
          <w:szCs w:val="22"/>
        </w:rPr>
        <w:t xml:space="preserve"> II.</w:t>
      </w:r>
    </w:p>
    <w:p w14:paraId="2B8E37E7" w14:textId="77777777" w:rsidR="0018526E" w:rsidRPr="009830DF" w:rsidRDefault="00876F9E">
      <w:pPr>
        <w:spacing w:before="120" w:after="120"/>
        <w:ind w:left="851" w:right="902"/>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III.</w:t>
      </w:r>
      <w:r w:rsidRPr="009830DF">
        <w:rPr>
          <w:rFonts w:ascii="Palatino Linotype" w:eastAsia="Palatino Linotype" w:hAnsi="Palatino Linotype" w:cs="Palatino Linotype"/>
          <w:i/>
          <w:sz w:val="22"/>
          <w:szCs w:val="22"/>
        </w:rPr>
        <w:t xml:space="preserve"> Secretaría de Finanzas;</w:t>
      </w:r>
    </w:p>
    <w:p w14:paraId="0A035850" w14:textId="77777777" w:rsidR="0018526E" w:rsidRPr="009830DF" w:rsidRDefault="00876F9E">
      <w:pPr>
        <w:spacing w:before="120" w:after="120"/>
        <w:ind w:left="851" w:right="902"/>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 xml:space="preserve">IV </w:t>
      </w:r>
      <w:r w:rsidRPr="009830DF">
        <w:rPr>
          <w:rFonts w:ascii="Palatino Linotype" w:eastAsia="Palatino Linotype" w:hAnsi="Palatino Linotype" w:cs="Palatino Linotype"/>
          <w:i/>
          <w:sz w:val="22"/>
          <w:szCs w:val="22"/>
        </w:rPr>
        <w:t xml:space="preserve">a la </w:t>
      </w:r>
      <w:r w:rsidRPr="009830DF">
        <w:rPr>
          <w:rFonts w:ascii="Palatino Linotype" w:eastAsia="Palatino Linotype" w:hAnsi="Palatino Linotype" w:cs="Palatino Linotype"/>
          <w:b/>
          <w:i/>
          <w:sz w:val="22"/>
          <w:szCs w:val="22"/>
        </w:rPr>
        <w:t>XV</w:t>
      </w:r>
      <w:r w:rsidRPr="009830DF">
        <w:rPr>
          <w:rFonts w:ascii="Palatino Linotype" w:eastAsia="Palatino Linotype" w:hAnsi="Palatino Linotype" w:cs="Palatino Linotype"/>
          <w:i/>
          <w:sz w:val="22"/>
          <w:szCs w:val="22"/>
        </w:rPr>
        <w:t xml:space="preserve">. </w:t>
      </w:r>
    </w:p>
    <w:p w14:paraId="3D5F9BCD" w14:textId="77777777" w:rsidR="0018526E" w:rsidRPr="009830DF" w:rsidRDefault="00876F9E">
      <w:pPr>
        <w:spacing w:before="120" w:after="120"/>
        <w:ind w:left="851" w:right="902"/>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XVI.</w:t>
      </w:r>
      <w:r w:rsidRPr="009830DF">
        <w:rPr>
          <w:rFonts w:ascii="Palatino Linotype" w:eastAsia="Palatino Linotype" w:hAnsi="Palatino Linotype" w:cs="Palatino Linotype"/>
          <w:i/>
          <w:sz w:val="22"/>
          <w:szCs w:val="22"/>
        </w:rPr>
        <w:t xml:space="preserve"> Secretaría de </w:t>
      </w:r>
      <w:proofErr w:type="gramStart"/>
      <w:r w:rsidRPr="009830DF">
        <w:rPr>
          <w:rFonts w:ascii="Palatino Linotype" w:eastAsia="Palatino Linotype" w:hAnsi="Palatino Linotype" w:cs="Palatino Linotype"/>
          <w:i/>
          <w:sz w:val="22"/>
          <w:szCs w:val="22"/>
        </w:rPr>
        <w:t>Movilidad</w:t>
      </w:r>
      <w:r w:rsidRPr="009830DF">
        <w:t>;</w:t>
      </w:r>
      <w:r w:rsidRPr="009830DF">
        <w:rPr>
          <w:rFonts w:ascii="Palatino Linotype" w:eastAsia="Palatino Linotype" w:hAnsi="Palatino Linotype" w:cs="Palatino Linotype"/>
          <w:i/>
          <w:sz w:val="22"/>
          <w:szCs w:val="22"/>
        </w:rPr>
        <w:t>…</w:t>
      </w:r>
      <w:proofErr w:type="gramEnd"/>
      <w:r w:rsidRPr="009830DF">
        <w:rPr>
          <w:rFonts w:ascii="Palatino Linotype" w:eastAsia="Palatino Linotype" w:hAnsi="Palatino Linotype" w:cs="Palatino Linotype"/>
          <w:i/>
          <w:sz w:val="22"/>
          <w:szCs w:val="22"/>
        </w:rPr>
        <w:t>”</w:t>
      </w:r>
    </w:p>
    <w:p w14:paraId="17E8DDCB"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Por cuanto refiere a la Secretaría de Finanzas, cuenta con atribuciones para poseer información relacionada a la adquisición de bienes y contratación de servicios, de conformidad con lo siguiente:</w:t>
      </w:r>
    </w:p>
    <w:p w14:paraId="5B9171D0" w14:textId="77777777" w:rsidR="0018526E" w:rsidRPr="009830DF" w:rsidRDefault="00876F9E">
      <w:pPr>
        <w:spacing w:before="120" w:after="120"/>
        <w:ind w:left="851" w:right="902"/>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24.-</w:t>
      </w:r>
      <w:r w:rsidRPr="009830DF">
        <w:rPr>
          <w:rFonts w:ascii="Palatino Linotype" w:eastAsia="Palatino Linotype" w:hAnsi="Palatino Linotype" w:cs="Palatino Linotype"/>
          <w:i/>
          <w:sz w:val="22"/>
          <w:szCs w:val="22"/>
        </w:rPr>
        <w:t xml:space="preserve"> A la Secretaría de Finanzas, corresponde el despacho de los siguientes asuntos:</w:t>
      </w:r>
    </w:p>
    <w:p w14:paraId="75C813D2" w14:textId="77777777" w:rsidR="0018526E" w:rsidRPr="009830DF" w:rsidRDefault="00876F9E">
      <w:pPr>
        <w:spacing w:before="120" w:after="120"/>
        <w:ind w:left="851" w:right="902"/>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 xml:space="preserve">I </w:t>
      </w:r>
      <w:r w:rsidRPr="009830DF">
        <w:rPr>
          <w:rFonts w:ascii="Palatino Linotype" w:eastAsia="Palatino Linotype" w:hAnsi="Palatino Linotype" w:cs="Palatino Linotype"/>
          <w:i/>
          <w:sz w:val="22"/>
          <w:szCs w:val="22"/>
        </w:rPr>
        <w:t>a la</w:t>
      </w:r>
      <w:r w:rsidRPr="009830DF">
        <w:rPr>
          <w:rFonts w:ascii="Palatino Linotype" w:eastAsia="Palatino Linotype" w:hAnsi="Palatino Linotype" w:cs="Palatino Linotype"/>
          <w:b/>
          <w:i/>
          <w:sz w:val="22"/>
          <w:szCs w:val="22"/>
        </w:rPr>
        <w:t xml:space="preserve"> XXXVI</w:t>
      </w:r>
      <w:r w:rsidRPr="009830DF">
        <w:rPr>
          <w:rFonts w:ascii="Palatino Linotype" w:eastAsia="Palatino Linotype" w:hAnsi="Palatino Linotype" w:cs="Palatino Linotype"/>
          <w:i/>
          <w:sz w:val="22"/>
          <w:szCs w:val="22"/>
        </w:rPr>
        <w:t xml:space="preserve"> …</w:t>
      </w:r>
    </w:p>
    <w:p w14:paraId="17AD68A3" w14:textId="77777777" w:rsidR="0018526E" w:rsidRPr="009830DF" w:rsidRDefault="00876F9E">
      <w:pPr>
        <w:spacing w:before="120" w:after="120"/>
        <w:ind w:left="851" w:right="902"/>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XXXVII</w:t>
      </w:r>
      <w:r w:rsidRPr="009830DF">
        <w:rPr>
          <w:rFonts w:ascii="Palatino Linotype" w:eastAsia="Palatino Linotype" w:hAnsi="Palatino Linotype" w:cs="Palatino Linotype"/>
          <w:i/>
          <w:sz w:val="22"/>
          <w:szCs w:val="22"/>
        </w:rPr>
        <w:t>. Adquirir los bienes y servicios que requiera el funcionamiento del Poder Ejecutivo del Estado, con recursos federales o estatales;</w:t>
      </w:r>
    </w:p>
    <w:p w14:paraId="7293E6BD" w14:textId="77777777" w:rsidR="0018526E" w:rsidRPr="009830DF" w:rsidRDefault="00876F9E">
      <w:pPr>
        <w:spacing w:before="120" w:after="120"/>
        <w:ind w:left="851" w:right="902"/>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XXXVIII</w:t>
      </w:r>
      <w:r w:rsidRPr="009830DF">
        <w:rPr>
          <w:rFonts w:ascii="Palatino Linotype" w:eastAsia="Palatino Linotype" w:hAnsi="Palatino Linotype" w:cs="Palatino Linotype"/>
          <w:i/>
          <w:sz w:val="22"/>
          <w:szCs w:val="22"/>
        </w:rPr>
        <w:t>. Proveer oportunamente a las dependencias del ejecutivo de los elementos y materiales de trabajo necesarios para el desarrollo de sus funciones;</w:t>
      </w:r>
    </w:p>
    <w:p w14:paraId="2F07E356" w14:textId="77777777" w:rsidR="0018526E" w:rsidRPr="009830DF" w:rsidRDefault="00876F9E">
      <w:pPr>
        <w:spacing w:before="120" w:after="120"/>
        <w:ind w:left="851" w:right="902"/>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XXXIX</w:t>
      </w:r>
      <w:r w:rsidRPr="009830DF">
        <w:rPr>
          <w:rFonts w:ascii="Palatino Linotype" w:eastAsia="Palatino Linotype" w:hAnsi="Palatino Linotype" w:cs="Palatino Linotype"/>
          <w:i/>
          <w:sz w:val="22"/>
          <w:szCs w:val="22"/>
        </w:rPr>
        <w:t>. Levantar y tener al corriente el inventario general de los bienes muebles e inmuebles propiedad del Gobierno del Estado;</w:t>
      </w:r>
    </w:p>
    <w:p w14:paraId="5CA92BB0" w14:textId="77777777" w:rsidR="0018526E" w:rsidRPr="009830DF" w:rsidRDefault="00876F9E">
      <w:pPr>
        <w:spacing w:before="120" w:after="120"/>
        <w:ind w:left="851" w:right="902"/>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XL.</w:t>
      </w:r>
      <w:r w:rsidRPr="009830DF">
        <w:rPr>
          <w:rFonts w:ascii="Palatino Linotype" w:eastAsia="Palatino Linotype" w:hAnsi="Palatino Linotype" w:cs="Palatino Linotype"/>
          <w:i/>
          <w:sz w:val="22"/>
          <w:szCs w:val="22"/>
        </w:rPr>
        <w:t xml:space="preserve"> Administrar y asegurar la conservación y mantenimiento del patrimonio del Gobierno del Estado;</w:t>
      </w:r>
    </w:p>
    <w:p w14:paraId="60FDE9C9" w14:textId="77777777" w:rsidR="0018526E" w:rsidRPr="009830DF" w:rsidRDefault="00876F9E">
      <w:pPr>
        <w:spacing w:before="120" w:after="120"/>
        <w:ind w:left="851" w:right="902"/>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 xml:space="preserve">XLI </w:t>
      </w:r>
      <w:r w:rsidRPr="009830DF">
        <w:rPr>
          <w:rFonts w:ascii="Palatino Linotype" w:eastAsia="Palatino Linotype" w:hAnsi="Palatino Linotype" w:cs="Palatino Linotype"/>
          <w:i/>
          <w:sz w:val="22"/>
          <w:szCs w:val="22"/>
        </w:rPr>
        <w:t xml:space="preserve">a la </w:t>
      </w:r>
      <w:r w:rsidRPr="009830DF">
        <w:rPr>
          <w:rFonts w:ascii="Palatino Linotype" w:eastAsia="Palatino Linotype" w:hAnsi="Palatino Linotype" w:cs="Palatino Linotype"/>
          <w:b/>
          <w:i/>
          <w:sz w:val="22"/>
          <w:szCs w:val="22"/>
        </w:rPr>
        <w:t>LXIV</w:t>
      </w:r>
      <w:r w:rsidRPr="009830DF">
        <w:rPr>
          <w:rFonts w:ascii="Palatino Linotype" w:eastAsia="Palatino Linotype" w:hAnsi="Palatino Linotype" w:cs="Palatino Linotype"/>
          <w:i/>
          <w:sz w:val="22"/>
          <w:szCs w:val="22"/>
        </w:rPr>
        <w:t>…”</w:t>
      </w:r>
    </w:p>
    <w:p w14:paraId="07FE9E9D"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En este tenor, como pretendió hacer valer el </w:t>
      </w:r>
      <w:r w:rsidRPr="009830DF">
        <w:rPr>
          <w:rFonts w:ascii="Palatino Linotype" w:eastAsia="Palatino Linotype" w:hAnsi="Palatino Linotype" w:cs="Palatino Linotype"/>
          <w:b/>
        </w:rPr>
        <w:t xml:space="preserve">Sujeto Obligado </w:t>
      </w:r>
      <w:r w:rsidRPr="009830DF">
        <w:rPr>
          <w:rFonts w:ascii="Palatino Linotype" w:eastAsia="Palatino Linotype" w:hAnsi="Palatino Linotype" w:cs="Palatino Linotype"/>
        </w:rPr>
        <w:t xml:space="preserve">en respuesta a la solicitud, las adquisiciones, ya sea de bienes o contratación de servicios, ya sea por licitación pública, encuadran en las atribuciones de la Secretaría de Finanzas, respecto a la adquisición de los bienes y servicios que requiera el funcionamiento del Poder Ejecutivo del Estado, con recursos federales o estatales, como lo es la Secretaría de Movilidad, y proveer oportunamente a las dependencias del ejecutivo </w:t>
      </w:r>
      <w:r w:rsidRPr="009830DF">
        <w:rPr>
          <w:rFonts w:ascii="Palatino Linotype" w:eastAsia="Palatino Linotype" w:hAnsi="Palatino Linotype" w:cs="Palatino Linotype"/>
        </w:rPr>
        <w:lastRenderedPageBreak/>
        <w:t>de los elementos y materiales de trabajo necesarios para el desarrollo de sus funciones, pues la Secretaría de Movilidad, es una dependencia del Poder Ejecutivo.</w:t>
      </w:r>
    </w:p>
    <w:p w14:paraId="4E17914D"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Ahora bien, por cuanto hace a las facultades del </w:t>
      </w:r>
      <w:r w:rsidRPr="009830DF">
        <w:rPr>
          <w:rFonts w:ascii="Palatino Linotype" w:eastAsia="Palatino Linotype" w:hAnsi="Palatino Linotype" w:cs="Palatino Linotype"/>
          <w:b/>
        </w:rPr>
        <w:t xml:space="preserve">Sujeto Obligado, </w:t>
      </w:r>
      <w:r w:rsidRPr="009830DF">
        <w:rPr>
          <w:rFonts w:ascii="Palatino Linotype" w:eastAsia="Palatino Linotype" w:hAnsi="Palatino Linotype" w:cs="Palatino Linotype"/>
        </w:rPr>
        <w:t>es oportuno mencionar que de conformidad con el artículo 32 de la Ley Orgánica de la Administración Pública del Estado de México, es la dependencia encargada de planear, formular, dirigir, coordinar, gestionar, evaluar, ejecutar y supervisar las acciones, políticas, programas, protocolos, proyectos y estudios para el desarrollo del sistema integral de movilidad, incluyendo el servicio público de transporte de jurisdicción estatal, sus servicios conexos y los sistemas de transporte masivo o de alta capacidad, así como el desarrollo y administración de la infraestructura vial primaria y de la regulación de las comunicaciones de jurisdicción local, para lo cual se le confiere el despacho de los siguientes asuntos:</w:t>
      </w:r>
    </w:p>
    <w:p w14:paraId="792E0D83" w14:textId="77777777" w:rsidR="0018526E" w:rsidRPr="009830DF" w:rsidRDefault="00876F9E">
      <w:pPr>
        <w:spacing w:before="240" w:after="240" w:line="276" w:lineRule="auto"/>
        <w:ind w:left="284"/>
        <w:jc w:val="both"/>
        <w:rPr>
          <w:rFonts w:ascii="Palatino Linotype" w:eastAsia="Palatino Linotype" w:hAnsi="Palatino Linotype" w:cs="Palatino Linotype"/>
          <w:b/>
        </w:rPr>
      </w:pPr>
      <w:r w:rsidRPr="009830DF">
        <w:rPr>
          <w:rFonts w:ascii="Palatino Linotype" w:eastAsia="Palatino Linotype" w:hAnsi="Palatino Linotype" w:cs="Palatino Linotype"/>
          <w:b/>
        </w:rPr>
        <w:t xml:space="preserve">I. Formular y ejecutar planes, programas y acciones para el desarrollo del transporte y sus servicios conexos, infraestructura vial primaria y comunicaciones de jurisdicción local, incluyendo los relativos a sistemas de transporte masivo o de alta capacidad; </w:t>
      </w:r>
    </w:p>
    <w:p w14:paraId="76C952EC"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II</w:t>
      </w:r>
      <w:r w:rsidRPr="009830DF">
        <w:rPr>
          <w:rFonts w:ascii="Palatino Linotype" w:eastAsia="Palatino Linotype" w:hAnsi="Palatino Linotype" w:cs="Palatino Linotype"/>
        </w:rPr>
        <w:t xml:space="preserve">. Fomentar mecanismos para garantizar el derecho humano a la movilidad eficiente y segura, así como para garantizar que todas las personas en ejercicio de dicho derecho se obliguen a respetar y preservar las condiciones de la infraestructura para la movilidad; </w:t>
      </w:r>
    </w:p>
    <w:p w14:paraId="247F1D26"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III.</w:t>
      </w:r>
      <w:r w:rsidRPr="009830DF">
        <w:rPr>
          <w:rFonts w:ascii="Palatino Linotype" w:eastAsia="Palatino Linotype" w:hAnsi="Palatino Linotype" w:cs="Palatino Linotype"/>
        </w:rPr>
        <w:t xml:space="preserve"> Emitir la evaluación técnica de impacto en materia vial, tratándose de los casos previstos en el artículo 5.35 del Código Administrativo del Estado de México y demás disposiciones jurídicas aplicables; </w:t>
      </w:r>
    </w:p>
    <w:p w14:paraId="3B8E068F" w14:textId="77777777" w:rsidR="0018526E" w:rsidRPr="009830DF" w:rsidRDefault="00876F9E">
      <w:pPr>
        <w:spacing w:before="240" w:after="240" w:line="276" w:lineRule="auto"/>
        <w:ind w:left="284"/>
        <w:jc w:val="both"/>
        <w:rPr>
          <w:rFonts w:ascii="Palatino Linotype" w:eastAsia="Palatino Linotype" w:hAnsi="Palatino Linotype" w:cs="Palatino Linotype"/>
          <w:b/>
        </w:rPr>
      </w:pPr>
      <w:r w:rsidRPr="009830DF">
        <w:rPr>
          <w:rFonts w:ascii="Palatino Linotype" w:eastAsia="Palatino Linotype" w:hAnsi="Palatino Linotype" w:cs="Palatino Linotype"/>
          <w:b/>
        </w:rPr>
        <w:t xml:space="preserve">IV. Expedir normas técnicas a que debe sujetarse el establecimiento y operación de la infraestructura vial primaria y las comunicaciones de jurisdicción local; </w:t>
      </w:r>
    </w:p>
    <w:p w14:paraId="529E67ED" w14:textId="77777777" w:rsidR="0018526E" w:rsidRPr="009830DF" w:rsidRDefault="00876F9E">
      <w:pPr>
        <w:spacing w:before="240" w:after="240" w:line="276" w:lineRule="auto"/>
        <w:ind w:left="284"/>
        <w:jc w:val="both"/>
        <w:rPr>
          <w:rFonts w:ascii="Palatino Linotype" w:eastAsia="Palatino Linotype" w:hAnsi="Palatino Linotype" w:cs="Palatino Linotype"/>
          <w:b/>
        </w:rPr>
      </w:pPr>
      <w:r w:rsidRPr="009830DF">
        <w:rPr>
          <w:rFonts w:ascii="Palatino Linotype" w:eastAsia="Palatino Linotype" w:hAnsi="Palatino Linotype" w:cs="Palatino Linotype"/>
          <w:b/>
        </w:rPr>
        <w:lastRenderedPageBreak/>
        <w:t xml:space="preserve">V. Vigilar el cumplimiento de las disposiciones legales en materia de infraestructura vial primaria, de comunicaciones de jurisdicción local y de transporte público con la intervención que corresponda a otras autoridades; </w:t>
      </w:r>
    </w:p>
    <w:p w14:paraId="2205CFFB"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VI.</w:t>
      </w: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b/>
        </w:rPr>
        <w:t>Operar, construir, explotar, conservar, rehabilitar y dar mantenimiento a la infraestructura vial primaria y a las comunicaciones de jurisdicción local, que comprende los sistemas de transporte masivo o de alta capacidad de su competencia, directamente o a través de particulares, mediante el otorgamiento de concesiones y contratos;</w:t>
      </w:r>
      <w:r w:rsidRPr="009830DF">
        <w:rPr>
          <w:rFonts w:ascii="Palatino Linotype" w:eastAsia="Palatino Linotype" w:hAnsi="Palatino Linotype" w:cs="Palatino Linotype"/>
        </w:rPr>
        <w:t xml:space="preserve"> </w:t>
      </w:r>
    </w:p>
    <w:p w14:paraId="5408A4B4" w14:textId="77777777" w:rsidR="0018526E" w:rsidRPr="009830DF" w:rsidRDefault="00876F9E">
      <w:pPr>
        <w:spacing w:before="240" w:after="240" w:line="276" w:lineRule="auto"/>
        <w:ind w:left="284"/>
        <w:jc w:val="both"/>
        <w:rPr>
          <w:rFonts w:ascii="Palatino Linotype" w:eastAsia="Palatino Linotype" w:hAnsi="Palatino Linotype" w:cs="Palatino Linotype"/>
          <w:b/>
        </w:rPr>
      </w:pPr>
      <w:r w:rsidRPr="009830DF">
        <w:rPr>
          <w:rFonts w:ascii="Palatino Linotype" w:eastAsia="Palatino Linotype" w:hAnsi="Palatino Linotype" w:cs="Palatino Linotype"/>
          <w:b/>
        </w:rPr>
        <w:t>VII.</w:t>
      </w: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b/>
        </w:rPr>
        <w:t xml:space="preserve">Ejecutar acciones técnicas de seguimiento, evaluación y control de avance, calidad y demás características de las obras a que se refiere la fracción anterior, o de la prestación de los servicios en materia de transporte, sin perjuicio de la intervención que en tales materias corresponda a otras autoridades; </w:t>
      </w:r>
    </w:p>
    <w:p w14:paraId="6AA36308"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VIII</w:t>
      </w:r>
      <w:r w:rsidRPr="009830DF">
        <w:rPr>
          <w:rFonts w:ascii="Palatino Linotype" w:eastAsia="Palatino Linotype" w:hAnsi="Palatino Linotype" w:cs="Palatino Linotype"/>
        </w:rPr>
        <w:t>. Otorgar, modificar, revocar, rescatar, sustituir, cancelar o dar por terminadas las concesiones, permisos o autorizaciones, según corresponda, para la prestación del servicio público de pasajeros colectivo, individual, mixto, y el servicio de arrastre, salvamento, guarda, custodia y depósito de vehículos, fijando los requisitos mediante disposiciones de carácter general para su otorgamiento, y para la construcción, ampliación, rehabilitación, mantenimiento, administración y operación de la infraestructura vial primaria de cuota y de los sistemas de transporte masivo o de alta capacidad, ejerciendo los derechos de rescate y reversión;</w:t>
      </w:r>
    </w:p>
    <w:p w14:paraId="191B1B5A"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IX</w:t>
      </w:r>
      <w:r w:rsidRPr="009830DF">
        <w:rPr>
          <w:rFonts w:ascii="Palatino Linotype" w:eastAsia="Palatino Linotype" w:hAnsi="Palatino Linotype" w:cs="Palatino Linotype"/>
        </w:rPr>
        <w:t xml:space="preserve">. Determinar el área geográfica de operación de los Servicios Auxiliares de Arrastre, Salvamento, Guarda, Custodia y Depósito de Vehículos. En las zonas de operación en que presten sus servicios más de un Permisionario o Concesionario de los Servicios Auxiliares de Arrastre, Salvamento, Guarda, Custodia y Depósito de Vehículos, respectivamente, la Secretaría, a través de la Subsecretaría y sus Direcciones Generales de Movilidad de Zona, deberá establecer los roles de servicio, su vigilancia y operatividad, a fin de coordinar de manera armónica la </w:t>
      </w:r>
      <w:r w:rsidRPr="009830DF">
        <w:rPr>
          <w:rFonts w:ascii="Palatino Linotype" w:eastAsia="Palatino Linotype" w:hAnsi="Palatino Linotype" w:cs="Palatino Linotype"/>
        </w:rPr>
        <w:lastRenderedPageBreak/>
        <w:t xml:space="preserve">prestación de dichos servicios. Dichos roles de servicio se harán de conocimiento de la Secretaría de Seguridad. </w:t>
      </w:r>
    </w:p>
    <w:p w14:paraId="3FF4FF52"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w:t>
      </w:r>
      <w:r w:rsidRPr="009830DF">
        <w:rPr>
          <w:rFonts w:ascii="Palatino Linotype" w:eastAsia="Palatino Linotype" w:hAnsi="Palatino Linotype" w:cs="Palatino Linotype"/>
        </w:rPr>
        <w:t xml:space="preserve"> Administrar las vías de cuota a cargo del Estado de México;</w:t>
      </w:r>
    </w:p>
    <w:p w14:paraId="34F3CC66"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XI.</w:t>
      </w:r>
      <w:r w:rsidRPr="009830DF">
        <w:rPr>
          <w:rFonts w:ascii="Palatino Linotype" w:eastAsia="Palatino Linotype" w:hAnsi="Palatino Linotype" w:cs="Palatino Linotype"/>
        </w:rPr>
        <w:t xml:space="preserve"> Establecer disposiciones de carácter general para el uso de la infraestructura vial primaria y de las comunicaciones de jurisdicción local; </w:t>
      </w:r>
    </w:p>
    <w:p w14:paraId="07F53635" w14:textId="77777777" w:rsidR="0018526E" w:rsidRPr="009830DF" w:rsidRDefault="00876F9E">
      <w:pPr>
        <w:spacing w:before="240" w:after="240" w:line="276" w:lineRule="auto"/>
        <w:ind w:left="284"/>
        <w:jc w:val="both"/>
        <w:rPr>
          <w:rFonts w:ascii="Palatino Linotype" w:eastAsia="Palatino Linotype" w:hAnsi="Palatino Linotype" w:cs="Palatino Linotype"/>
          <w:b/>
        </w:rPr>
      </w:pPr>
      <w:r w:rsidRPr="009830DF">
        <w:rPr>
          <w:rFonts w:ascii="Palatino Linotype" w:eastAsia="Palatino Linotype" w:hAnsi="Palatino Linotype" w:cs="Palatino Linotype"/>
          <w:b/>
        </w:rPr>
        <w:t>XII</w:t>
      </w: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b/>
        </w:rPr>
        <w:t xml:space="preserve">Realizar por sí o a través de particulares la construcción, ampliación, mantenimiento, administración y operación de paradores para facilitar el uso de la infraestructura vial primaria por los servicios de carga; </w:t>
      </w:r>
    </w:p>
    <w:p w14:paraId="652D37DD"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XIII</w:t>
      </w:r>
      <w:r w:rsidRPr="009830DF">
        <w:rPr>
          <w:rFonts w:ascii="Palatino Linotype" w:eastAsia="Palatino Linotype" w:hAnsi="Palatino Linotype" w:cs="Palatino Linotype"/>
        </w:rPr>
        <w:t xml:space="preserve">. Sancionar el incumplimiento de obligaciones por parte de los titulares de concesiones, permisos o autorizaciones en materia de transporte público, infraestructura vial primaria, paradores y de comunicaciones de jurisdicción local; </w:t>
      </w:r>
    </w:p>
    <w:p w14:paraId="12C5045C"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XIV.</w:t>
      </w:r>
      <w:r w:rsidRPr="009830DF">
        <w:rPr>
          <w:rFonts w:ascii="Palatino Linotype" w:eastAsia="Palatino Linotype" w:hAnsi="Palatino Linotype" w:cs="Palatino Linotype"/>
        </w:rPr>
        <w:t xml:space="preserve"> Realizar las tareas relativas a la ingeniería del transporte y a la ingeniería vial y señalamiento de la infraestructura vial primaria, coordinándose con las autoridades municipales respecto de la integración de la infraestructura vial local con la infraestructura vial primaria; </w:t>
      </w:r>
    </w:p>
    <w:p w14:paraId="2B45068E"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XV.</w:t>
      </w:r>
      <w:r w:rsidRPr="009830DF">
        <w:rPr>
          <w:rFonts w:ascii="Palatino Linotype" w:eastAsia="Palatino Linotype" w:hAnsi="Palatino Linotype" w:cs="Palatino Linotype"/>
        </w:rPr>
        <w:t xml:space="preserve"> Planear, supervisar, controlar y evaluar las funciones de la Junta de Caminos del Estado de México, del Sistema de Transporte Masivo del Estado de México y del Sistema de Autopistas, Aeropuertos, Servicios Conexos y Auxiliares del Estado de México; </w:t>
      </w:r>
    </w:p>
    <w:p w14:paraId="121933DB" w14:textId="77777777" w:rsidR="0018526E" w:rsidRPr="009830DF" w:rsidRDefault="00876F9E">
      <w:pPr>
        <w:spacing w:before="240" w:after="240" w:line="276" w:lineRule="auto"/>
        <w:ind w:left="284"/>
        <w:jc w:val="both"/>
        <w:rPr>
          <w:rFonts w:ascii="Palatino Linotype" w:eastAsia="Palatino Linotype" w:hAnsi="Palatino Linotype" w:cs="Palatino Linotype"/>
          <w:b/>
        </w:rPr>
      </w:pPr>
      <w:r w:rsidRPr="009830DF">
        <w:rPr>
          <w:rFonts w:ascii="Palatino Linotype" w:eastAsia="Palatino Linotype" w:hAnsi="Palatino Linotype" w:cs="Palatino Linotype"/>
          <w:b/>
        </w:rPr>
        <w:t>XVI.</w:t>
      </w:r>
      <w:r w:rsidRPr="009830DF">
        <w:rPr>
          <w:rFonts w:ascii="Palatino Linotype" w:eastAsia="Palatino Linotype" w:hAnsi="Palatino Linotype" w:cs="Palatino Linotype"/>
        </w:rPr>
        <w:t xml:space="preserve"> Expedir las bases a que deben sujetarse los concursos públicos para el otorgamiento de concesiones en materia de infraestructura vial primaria y de comunicaciones de jurisdicción local, adjudicarlas, vigilar su ejecución y cumplimiento;</w:t>
      </w:r>
      <w:r w:rsidRPr="009830DF">
        <w:rPr>
          <w:rFonts w:ascii="Palatino Linotype" w:eastAsia="Palatino Linotype" w:hAnsi="Palatino Linotype" w:cs="Palatino Linotype"/>
          <w:b/>
        </w:rPr>
        <w:t xml:space="preserve"> </w:t>
      </w:r>
    </w:p>
    <w:p w14:paraId="6BE709DC"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XVII</w:t>
      </w: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b/>
        </w:rPr>
        <w:t>Participar con el gobierno federal en la construcción, conservación y administración de aeródromos civiles en territorio estatal</w:t>
      </w:r>
      <w:r w:rsidRPr="009830DF">
        <w:rPr>
          <w:rFonts w:ascii="Palatino Linotype" w:eastAsia="Palatino Linotype" w:hAnsi="Palatino Linotype" w:cs="Palatino Linotype"/>
        </w:rPr>
        <w:t xml:space="preserve">; </w:t>
      </w:r>
    </w:p>
    <w:p w14:paraId="19722AB2"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lastRenderedPageBreak/>
        <w:t>XVIII.</w:t>
      </w:r>
      <w:r w:rsidRPr="009830DF">
        <w:rPr>
          <w:rFonts w:ascii="Palatino Linotype" w:eastAsia="Palatino Linotype" w:hAnsi="Palatino Linotype" w:cs="Palatino Linotype"/>
        </w:rPr>
        <w:t xml:space="preserve"> Promover y organizar la capacitación, investigación y el desarrollo tecnológico en materia de transporte, infraestructura vial y de comunicaciones de jurisdicción local, así como fomentar programas y campañas para promover la educación vial y la cultura de movilidad con el objeto de reducir índices de accidentes, fomentar el trato respetuoso, la sensibilización de la inclusión e igualdad para toda la población, así como combatir el acoso y erradicar la violencia de género en todas sus modalidades, con atención especial a niñas, niños, adultos mayores, personas con discapacidad, mujeres y demás grupos vulnerables; </w:t>
      </w:r>
    </w:p>
    <w:p w14:paraId="4BDCA62F"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XIX</w:t>
      </w:r>
      <w:r w:rsidRPr="009830DF">
        <w:rPr>
          <w:rFonts w:ascii="Palatino Linotype" w:eastAsia="Palatino Linotype" w:hAnsi="Palatino Linotype" w:cs="Palatino Linotype"/>
        </w:rPr>
        <w:t>. Normar, organizar, integrar, operar y actualizar el Registro Público Estatal de Movilidad y el Registro Estatal de Comunicaciones;</w:t>
      </w:r>
    </w:p>
    <w:p w14:paraId="6AE049C4"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XX.</w:t>
      </w:r>
      <w:r w:rsidRPr="009830DF">
        <w:rPr>
          <w:rFonts w:ascii="Palatino Linotype" w:eastAsia="Palatino Linotype" w:hAnsi="Palatino Linotype" w:cs="Palatino Linotype"/>
        </w:rPr>
        <w:t xml:space="preserve"> Participar con los gobiernos federal, y de otras entidades federativas, en su caso en la construcción, operación, explotación y mantenimiento de los sistemas de transporte masivo o de alta capacidad, así como gestionar las concesiones, autorizaciones o permisos que sean necesarios para la utilización de los derechos de vía federales, conforme a la normatividad aplicable; </w:t>
      </w:r>
    </w:p>
    <w:p w14:paraId="397AC53C"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XXI.</w:t>
      </w:r>
      <w:r w:rsidRPr="009830DF">
        <w:rPr>
          <w:rFonts w:ascii="Palatino Linotype" w:eastAsia="Palatino Linotype" w:hAnsi="Palatino Linotype" w:cs="Palatino Linotype"/>
        </w:rPr>
        <w:t xml:space="preserve"> Elaborar estudios, diseñar, proyectar, construir, operar, administrar, explotar, conservar, rehabilitar y dar mantenimiento a estaciones de transferencia modal para los sistemas de transporte masivo o de alta capacidad, directamente o a través de particulares, mediante el otorgamiento de concesiones o contratos; </w:t>
      </w:r>
    </w:p>
    <w:p w14:paraId="35ED7154"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XXII</w:t>
      </w:r>
      <w:r w:rsidRPr="009830DF">
        <w:rPr>
          <w:rFonts w:ascii="Palatino Linotype" w:eastAsia="Palatino Linotype" w:hAnsi="Palatino Linotype" w:cs="Palatino Linotype"/>
        </w:rPr>
        <w:t>. Resolver respecto del uso de la infraestructura vial primaria por los servicios de transporte público y de la construcción de bahías de ascenso y descenso de pasaje, así como determinar el uso restringido de la infraestructura vial;</w:t>
      </w:r>
    </w:p>
    <w:p w14:paraId="712177E2"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XXIII.</w:t>
      </w:r>
      <w:r w:rsidRPr="009830DF">
        <w:rPr>
          <w:rFonts w:ascii="Palatino Linotype" w:eastAsia="Palatino Linotype" w:hAnsi="Palatino Linotype" w:cs="Palatino Linotype"/>
        </w:rPr>
        <w:t xml:space="preserve"> Promover la reestructura o revocación de concesiones cuando los estudios costo beneficio, financieros o sociales representen que puede haber un ahorro financiero para el Estado, una mejora sustancial en el otorgamiento del servicio o un riesgo para el otorgamiento del servicio o cumplimiento del objetivo de la </w:t>
      </w:r>
      <w:r w:rsidRPr="009830DF">
        <w:rPr>
          <w:rFonts w:ascii="Palatino Linotype" w:eastAsia="Palatino Linotype" w:hAnsi="Palatino Linotype" w:cs="Palatino Linotype"/>
        </w:rPr>
        <w:lastRenderedPageBreak/>
        <w:t xml:space="preserve">concesión. Los estudios referidos, podrán ser realizados por instituciones públicas o privadas en término de las disposiciones jurídicas aplicables. </w:t>
      </w:r>
    </w:p>
    <w:p w14:paraId="2C01072C"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XXIV.</w:t>
      </w:r>
      <w:r w:rsidRPr="009830DF">
        <w:rPr>
          <w:rFonts w:ascii="Palatino Linotype" w:eastAsia="Palatino Linotype" w:hAnsi="Palatino Linotype" w:cs="Palatino Linotype"/>
        </w:rPr>
        <w:t xml:space="preserve"> Emitir los lineamientos generales para la emisión de la Evaluación Técnica de Impacto en materia Vial; </w:t>
      </w:r>
    </w:p>
    <w:p w14:paraId="3E7CF661"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XXV</w:t>
      </w:r>
      <w:r w:rsidRPr="009830DF">
        <w:rPr>
          <w:rFonts w:ascii="Palatino Linotype" w:eastAsia="Palatino Linotype" w:hAnsi="Palatino Linotype" w:cs="Palatino Linotype"/>
        </w:rPr>
        <w:t>. Otorgar a particulares, permisos para el uso y el aprovechamiento de espacios públicos ubicados en el derecho de vía de la infraestructura vial primaria, para su rehabilitación, mantenimiento y operación, con la finalidad de fomentar el desarrollo de áreas de convivencia o interés social;</w:t>
      </w:r>
    </w:p>
    <w:p w14:paraId="5B04C772"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XXVI.</w:t>
      </w:r>
      <w:r w:rsidRPr="009830DF">
        <w:rPr>
          <w:rFonts w:ascii="Palatino Linotype" w:eastAsia="Palatino Linotype" w:hAnsi="Palatino Linotype" w:cs="Palatino Linotype"/>
        </w:rPr>
        <w:t xml:space="preserve"> Emitir los lineamientos generales para el otorgamiento de los permisos para espacios públicos en las vías primarias de comunicación; </w:t>
      </w:r>
    </w:p>
    <w:p w14:paraId="616442F1"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XXVII</w:t>
      </w:r>
      <w:r w:rsidRPr="009830DF">
        <w:rPr>
          <w:rFonts w:ascii="Palatino Linotype" w:eastAsia="Palatino Linotype" w:hAnsi="Palatino Linotype" w:cs="Palatino Linotype"/>
        </w:rPr>
        <w:t xml:space="preserve">. Otorgar, modificar, cancelar, revocar, rescatar, sustituir o dar por terminados los permisos para la prestación de servicios de transporte de pasajeros, de carga y de arrastre y traslado; de servicios conexos; y para la instalación y explotación de anuncios publicitarios en los diversos tipos de vehículos y servicios auxiliares y conexos; </w:t>
      </w:r>
    </w:p>
    <w:p w14:paraId="5E691248"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XXVIII</w:t>
      </w:r>
      <w:r w:rsidRPr="009830DF">
        <w:rPr>
          <w:rFonts w:ascii="Palatino Linotype" w:eastAsia="Palatino Linotype" w:hAnsi="Palatino Linotype" w:cs="Palatino Linotype"/>
        </w:rPr>
        <w:t xml:space="preserve">. Implementar medidas y acciones para el debido cumplimiento de las obligaciones por parte de los titulares de concesiones, permisos o autorizaciones en materia de transporte público; </w:t>
      </w:r>
    </w:p>
    <w:p w14:paraId="7FEF4239"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 xml:space="preserve">XXIX. </w:t>
      </w:r>
      <w:r w:rsidRPr="009830DF">
        <w:rPr>
          <w:rFonts w:ascii="Palatino Linotype" w:eastAsia="Palatino Linotype" w:hAnsi="Palatino Linotype" w:cs="Palatino Linotype"/>
        </w:rPr>
        <w:t xml:space="preserve">Autorizar y modificar en todo tiempo rutas, itinerarios, horarios, frecuencias, así como bases, paraderos y terminales del servicio público de transporte y señalar la forma de identificación de los vehículos afectos al servicio público de transporte; </w:t>
      </w:r>
    </w:p>
    <w:p w14:paraId="18CC7E65"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XXX</w:t>
      </w:r>
      <w:r w:rsidRPr="009830DF">
        <w:rPr>
          <w:rFonts w:ascii="Palatino Linotype" w:eastAsia="Palatino Linotype" w:hAnsi="Palatino Linotype" w:cs="Palatino Linotype"/>
        </w:rPr>
        <w:t xml:space="preserve">. Autorizar y modificar las tarifas a que se sujete el servicio público de transporte de pasajeros en las modalidades de colectivo, individual y mixto, así como determinar el medio a través del cual los usuarios realizarán el pago de las mismas y los dispositivos con que deberán contar los concesionarios para recabarlas; </w:t>
      </w:r>
    </w:p>
    <w:p w14:paraId="78199B91"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lastRenderedPageBreak/>
        <w:t>XXXI.</w:t>
      </w:r>
      <w:r w:rsidRPr="009830DF">
        <w:rPr>
          <w:rFonts w:ascii="Palatino Linotype" w:eastAsia="Palatino Linotype" w:hAnsi="Palatino Linotype" w:cs="Palatino Linotype"/>
        </w:rPr>
        <w:t xml:space="preserve"> Aplicar las medidas de seguridad en términos de la legislación vigente; </w:t>
      </w:r>
    </w:p>
    <w:p w14:paraId="0971F055"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XXXII</w:t>
      </w:r>
      <w:r w:rsidRPr="009830DF">
        <w:rPr>
          <w:rFonts w:ascii="Palatino Linotype" w:eastAsia="Palatino Linotype" w:hAnsi="Palatino Linotype" w:cs="Palatino Linotype"/>
        </w:rPr>
        <w:t xml:space="preserve">. Expedir las placas de matriculación, calcomanías, tarjetas de circulación y demás elementos de identificación de los vehículos automotores destinados al transporte público y para prestar un servicio a la población por parte de organismos y dependencias federales, estatales o municipales, que no sean competencia de otras autoridades; </w:t>
      </w:r>
    </w:p>
    <w:p w14:paraId="731D9AA8"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XXXIII.</w:t>
      </w:r>
      <w:r w:rsidRPr="009830DF">
        <w:rPr>
          <w:rFonts w:ascii="Palatino Linotype" w:eastAsia="Palatino Linotype" w:hAnsi="Palatino Linotype" w:cs="Palatino Linotype"/>
        </w:rPr>
        <w:t xml:space="preserve"> Otorgar las licencias, permisos y autorizaciones que le correspondan para conducir vehículos automotores destinados al transporte en sus diversas clases y modalidades; </w:t>
      </w:r>
    </w:p>
    <w:p w14:paraId="51C31E8F"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 xml:space="preserve">XXXIV. </w:t>
      </w:r>
      <w:r w:rsidRPr="009830DF">
        <w:rPr>
          <w:rFonts w:ascii="Palatino Linotype" w:eastAsia="Palatino Linotype" w:hAnsi="Palatino Linotype" w:cs="Palatino Linotype"/>
        </w:rPr>
        <w:t>Aprobar la implementación y operación del servicio de pago tarifario anticipado para el acceso de la población al servicio público de transporte de pasajeros en las modalidades de colectivo, individual y mixto, y fijar los requisitos mediante disposiciones de carácter general para su aprobación; así como modificar, revocar, rescatar, sustituir o dar por terminadas las mismas;</w:t>
      </w:r>
    </w:p>
    <w:p w14:paraId="457833C8"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XXXV.</w:t>
      </w:r>
      <w:r w:rsidRPr="009830DF">
        <w:rPr>
          <w:rFonts w:ascii="Palatino Linotype" w:eastAsia="Palatino Linotype" w:hAnsi="Palatino Linotype" w:cs="Palatino Linotype"/>
        </w:rPr>
        <w:t xml:space="preserve"> Aprobar la implementación y operación de los Centros de Gestión y Control Común a través de los cuales se operen redes integradas de transporte, con las que se eficiente el servicio público de pasajeros en las modalidades de colectivo, individual y mixto, y fijar los requisitos mediante disposiciones de carácter general para su aprobación; así como modificar, revocar, rescatar, sustituir o dar por terminadas las mismas; </w:t>
      </w:r>
    </w:p>
    <w:p w14:paraId="2F6765B6"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XXXVI</w:t>
      </w:r>
      <w:r w:rsidRPr="009830DF">
        <w:rPr>
          <w:rFonts w:ascii="Palatino Linotype" w:eastAsia="Palatino Linotype" w:hAnsi="Palatino Linotype" w:cs="Palatino Linotype"/>
        </w:rPr>
        <w:t xml:space="preserve">. Definir la operación de las rutas alimentadoras para el transporte de alta capacidad; y </w:t>
      </w:r>
    </w:p>
    <w:p w14:paraId="2CB5B9BB"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XXXVII</w:t>
      </w:r>
      <w:r w:rsidRPr="009830DF">
        <w:rPr>
          <w:rFonts w:ascii="Palatino Linotype" w:eastAsia="Palatino Linotype" w:hAnsi="Palatino Linotype" w:cs="Palatino Linotype"/>
        </w:rPr>
        <w:t>. Emitir, en coordinación con las autoridades competentes, protocolos de actuación para prevenir los distintos tipos de violencia contra las mujeres, niñas y adolescentes en el servicio público de transporte.</w:t>
      </w:r>
    </w:p>
    <w:p w14:paraId="52A300C4"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XXXVIII.</w:t>
      </w:r>
      <w:r w:rsidRPr="009830DF">
        <w:rPr>
          <w:rFonts w:ascii="Palatino Linotype" w:eastAsia="Palatino Linotype" w:hAnsi="Palatino Linotype" w:cs="Palatino Linotype"/>
        </w:rPr>
        <w:t xml:space="preserve"> Implementar acciones, políticas, programas de capacitación, protocolos y proyectos para fomentar una movilidad segura y con perspectiva género. </w:t>
      </w:r>
    </w:p>
    <w:p w14:paraId="52614421"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lastRenderedPageBreak/>
        <w:t>XXXIX</w:t>
      </w:r>
      <w:r w:rsidRPr="009830DF">
        <w:rPr>
          <w:rFonts w:ascii="Palatino Linotype" w:eastAsia="Palatino Linotype" w:hAnsi="Palatino Linotype" w:cs="Palatino Linotype"/>
        </w:rPr>
        <w:t xml:space="preserve">. Derogada </w:t>
      </w:r>
    </w:p>
    <w:p w14:paraId="787F9986" w14:textId="77777777" w:rsidR="0018526E" w:rsidRPr="009830DF" w:rsidRDefault="00876F9E">
      <w:pPr>
        <w:spacing w:before="240" w:after="240" w:line="276" w:lineRule="auto"/>
        <w:ind w:left="284"/>
        <w:jc w:val="both"/>
        <w:rPr>
          <w:rFonts w:ascii="Palatino Linotype" w:eastAsia="Palatino Linotype" w:hAnsi="Palatino Linotype" w:cs="Palatino Linotype"/>
          <w:b/>
        </w:rPr>
      </w:pPr>
      <w:r w:rsidRPr="009830DF">
        <w:rPr>
          <w:rFonts w:ascii="Palatino Linotype" w:eastAsia="Palatino Linotype" w:hAnsi="Palatino Linotype" w:cs="Palatino Linotype"/>
          <w:b/>
        </w:rPr>
        <w:t xml:space="preserve">XL. </w:t>
      </w:r>
      <w:r w:rsidRPr="009830DF">
        <w:rPr>
          <w:rFonts w:ascii="Palatino Linotype" w:eastAsia="Palatino Linotype" w:hAnsi="Palatino Linotype" w:cs="Palatino Linotype"/>
        </w:rPr>
        <w:t>Derogada</w:t>
      </w:r>
      <w:r w:rsidRPr="009830DF">
        <w:rPr>
          <w:rFonts w:ascii="Palatino Linotype" w:eastAsia="Palatino Linotype" w:hAnsi="Palatino Linotype" w:cs="Palatino Linotype"/>
          <w:b/>
        </w:rPr>
        <w:t xml:space="preserve"> </w:t>
      </w:r>
    </w:p>
    <w:p w14:paraId="5231AD54" w14:textId="77777777" w:rsidR="0018526E" w:rsidRPr="009830DF" w:rsidRDefault="00876F9E">
      <w:pPr>
        <w:spacing w:before="240" w:after="24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XLI.</w:t>
      </w:r>
      <w:r w:rsidRPr="009830DF">
        <w:rPr>
          <w:rFonts w:ascii="Palatino Linotype" w:eastAsia="Palatino Linotype" w:hAnsi="Palatino Linotype" w:cs="Palatino Linotype"/>
        </w:rPr>
        <w:t xml:space="preserve"> Derogada </w:t>
      </w:r>
    </w:p>
    <w:p w14:paraId="56D34EE6" w14:textId="77777777" w:rsidR="0018526E" w:rsidRPr="009830DF" w:rsidRDefault="00876F9E">
      <w:pPr>
        <w:spacing w:before="240" w:after="240" w:line="276" w:lineRule="auto"/>
        <w:ind w:left="284"/>
        <w:jc w:val="both"/>
        <w:rPr>
          <w:rFonts w:ascii="Palatino Linotype" w:eastAsia="Palatino Linotype" w:hAnsi="Palatino Linotype" w:cs="Palatino Linotype"/>
          <w:b/>
        </w:rPr>
      </w:pPr>
      <w:r w:rsidRPr="009830DF">
        <w:rPr>
          <w:rFonts w:ascii="Palatino Linotype" w:eastAsia="Palatino Linotype" w:hAnsi="Palatino Linotype" w:cs="Palatino Linotype"/>
          <w:b/>
        </w:rPr>
        <w:t>XLII. Las demás que le señalen otras leyes, reglamentos y disposiciones jurídicas aplicables.</w:t>
      </w:r>
    </w:p>
    <w:p w14:paraId="0386B02A"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Para el cumplimiento de dichas atribuciones, conforme a lo establecido en el artículo 3 del Reglamento Interior de la Secretaría de Movilidad, el Titular de la Secretaría de auxilia de las siguientes unidades administrativas.</w:t>
      </w:r>
    </w:p>
    <w:p w14:paraId="6120F03B" w14:textId="77777777" w:rsidR="0018526E" w:rsidRPr="009830DF" w:rsidRDefault="00876F9E">
      <w:pPr>
        <w:spacing w:before="120" w:after="12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I.</w:t>
      </w:r>
      <w:r w:rsidRPr="009830DF">
        <w:rPr>
          <w:rFonts w:ascii="Palatino Linotype" w:eastAsia="Palatino Linotype" w:hAnsi="Palatino Linotype" w:cs="Palatino Linotype"/>
        </w:rPr>
        <w:t xml:space="preserve"> Subsecretaría de Movilidad: </w:t>
      </w:r>
    </w:p>
    <w:p w14:paraId="47ACF162" w14:textId="77777777" w:rsidR="0018526E" w:rsidRPr="009830DF" w:rsidRDefault="00876F9E">
      <w:pPr>
        <w:spacing w:before="120" w:after="120" w:line="276" w:lineRule="auto"/>
        <w:ind w:left="567"/>
        <w:jc w:val="both"/>
        <w:rPr>
          <w:rFonts w:ascii="Palatino Linotype" w:eastAsia="Palatino Linotype" w:hAnsi="Palatino Linotype" w:cs="Palatino Linotype"/>
          <w:b/>
        </w:rPr>
      </w:pPr>
      <w:r w:rsidRPr="009830DF">
        <w:rPr>
          <w:rFonts w:ascii="Palatino Linotype" w:eastAsia="Palatino Linotype" w:hAnsi="Palatino Linotype" w:cs="Palatino Linotype"/>
          <w:b/>
        </w:rPr>
        <w:t>...</w:t>
      </w:r>
    </w:p>
    <w:p w14:paraId="50B5104C" w14:textId="77777777" w:rsidR="0018526E" w:rsidRPr="009830DF" w:rsidRDefault="00876F9E">
      <w:pPr>
        <w:spacing w:before="120" w:after="12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II.</w:t>
      </w:r>
      <w:r w:rsidRPr="009830DF">
        <w:rPr>
          <w:rFonts w:ascii="Palatino Linotype" w:eastAsia="Palatino Linotype" w:hAnsi="Palatino Linotype" w:cs="Palatino Linotype"/>
        </w:rPr>
        <w:t xml:space="preserve"> Dirección General de Vialidad; </w:t>
      </w:r>
    </w:p>
    <w:p w14:paraId="4D3F0954" w14:textId="77777777" w:rsidR="0018526E" w:rsidRPr="009830DF" w:rsidRDefault="00876F9E">
      <w:pPr>
        <w:spacing w:before="120" w:after="12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III</w:t>
      </w:r>
      <w:r w:rsidRPr="009830DF">
        <w:rPr>
          <w:rFonts w:ascii="Palatino Linotype" w:eastAsia="Palatino Linotype" w:hAnsi="Palatino Linotype" w:cs="Palatino Linotype"/>
        </w:rPr>
        <w:t>. Dirección General de Asuntos Jurídicos e Igualdad de Género:</w:t>
      </w:r>
    </w:p>
    <w:p w14:paraId="0655AD91" w14:textId="77777777" w:rsidR="0018526E" w:rsidRPr="009830DF" w:rsidRDefault="00876F9E">
      <w:pPr>
        <w:spacing w:before="120" w:after="120" w:line="276" w:lineRule="auto"/>
        <w:ind w:left="567"/>
        <w:jc w:val="both"/>
        <w:rPr>
          <w:rFonts w:ascii="Palatino Linotype" w:eastAsia="Palatino Linotype" w:hAnsi="Palatino Linotype" w:cs="Palatino Linotype"/>
          <w:b/>
        </w:rPr>
      </w:pPr>
      <w:r w:rsidRPr="009830DF">
        <w:rPr>
          <w:rFonts w:ascii="Palatino Linotype" w:eastAsia="Palatino Linotype" w:hAnsi="Palatino Linotype" w:cs="Palatino Linotype"/>
          <w:b/>
        </w:rPr>
        <w:t>...</w:t>
      </w:r>
    </w:p>
    <w:p w14:paraId="1FF0432F" w14:textId="77777777" w:rsidR="0018526E" w:rsidRPr="009830DF" w:rsidRDefault="00876F9E">
      <w:pPr>
        <w:spacing w:before="120" w:after="12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IV.</w:t>
      </w:r>
      <w:r w:rsidRPr="009830DF">
        <w:rPr>
          <w:rFonts w:ascii="Palatino Linotype" w:eastAsia="Palatino Linotype" w:hAnsi="Palatino Linotype" w:cs="Palatino Linotype"/>
        </w:rPr>
        <w:t xml:space="preserve"> Dirección General del Registro Estatal de Transporte Público: </w:t>
      </w:r>
    </w:p>
    <w:p w14:paraId="5F4E1BB1" w14:textId="77777777" w:rsidR="0018526E" w:rsidRPr="009830DF" w:rsidRDefault="00876F9E">
      <w:pPr>
        <w:spacing w:before="120" w:after="120" w:line="276" w:lineRule="auto"/>
        <w:ind w:left="567"/>
        <w:jc w:val="both"/>
        <w:rPr>
          <w:rFonts w:ascii="Palatino Linotype" w:eastAsia="Palatino Linotype" w:hAnsi="Palatino Linotype" w:cs="Palatino Linotype"/>
          <w:b/>
        </w:rPr>
      </w:pPr>
      <w:r w:rsidRPr="009830DF">
        <w:rPr>
          <w:rFonts w:ascii="Palatino Linotype" w:eastAsia="Palatino Linotype" w:hAnsi="Palatino Linotype" w:cs="Palatino Linotype"/>
          <w:b/>
        </w:rPr>
        <w:t>...</w:t>
      </w:r>
    </w:p>
    <w:p w14:paraId="5289494A" w14:textId="77777777" w:rsidR="0018526E" w:rsidRPr="009830DF" w:rsidRDefault="00876F9E">
      <w:pPr>
        <w:spacing w:before="120" w:after="120" w:line="276" w:lineRule="auto"/>
        <w:ind w:left="284"/>
        <w:jc w:val="both"/>
        <w:rPr>
          <w:rFonts w:ascii="Palatino Linotype" w:eastAsia="Palatino Linotype" w:hAnsi="Palatino Linotype" w:cs="Palatino Linotype"/>
          <w:b/>
        </w:rPr>
      </w:pPr>
      <w:r w:rsidRPr="009830DF">
        <w:rPr>
          <w:rFonts w:ascii="Palatino Linotype" w:eastAsia="Palatino Linotype" w:hAnsi="Palatino Linotype" w:cs="Palatino Linotype"/>
          <w:b/>
        </w:rPr>
        <w:t>V.</w:t>
      </w: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b/>
        </w:rPr>
        <w:t xml:space="preserve">Coordinación Administrativa y de Gestión Documental; </w:t>
      </w:r>
    </w:p>
    <w:p w14:paraId="77CD7C9D" w14:textId="77777777" w:rsidR="0018526E" w:rsidRPr="009830DF" w:rsidRDefault="00876F9E">
      <w:pPr>
        <w:spacing w:before="120" w:after="120" w:line="276" w:lineRule="auto"/>
        <w:ind w:left="284"/>
        <w:jc w:val="both"/>
        <w:rPr>
          <w:rFonts w:ascii="Palatino Linotype" w:eastAsia="Palatino Linotype" w:hAnsi="Palatino Linotype" w:cs="Palatino Linotype"/>
        </w:rPr>
      </w:pPr>
      <w:r w:rsidRPr="009830DF">
        <w:rPr>
          <w:rFonts w:ascii="Palatino Linotype" w:eastAsia="Palatino Linotype" w:hAnsi="Palatino Linotype" w:cs="Palatino Linotype"/>
          <w:b/>
        </w:rPr>
        <w:t>VI.</w:t>
      </w:r>
      <w:r w:rsidRPr="009830DF">
        <w:rPr>
          <w:rFonts w:ascii="Palatino Linotype" w:eastAsia="Palatino Linotype" w:hAnsi="Palatino Linotype" w:cs="Palatino Linotype"/>
        </w:rPr>
        <w:t xml:space="preserve"> Coordinación de Estudios y Proyectos Estratégicos: </w:t>
      </w:r>
    </w:p>
    <w:p w14:paraId="21327FFC" w14:textId="77777777" w:rsidR="0018526E" w:rsidRPr="009830DF" w:rsidRDefault="00876F9E">
      <w:pPr>
        <w:spacing w:before="120" w:after="120" w:line="276" w:lineRule="auto"/>
        <w:ind w:left="567"/>
        <w:jc w:val="both"/>
        <w:rPr>
          <w:rFonts w:ascii="Palatino Linotype" w:eastAsia="Palatino Linotype" w:hAnsi="Palatino Linotype" w:cs="Palatino Linotype"/>
          <w:b/>
        </w:rPr>
      </w:pPr>
      <w:r w:rsidRPr="009830DF">
        <w:rPr>
          <w:rFonts w:ascii="Palatino Linotype" w:eastAsia="Palatino Linotype" w:hAnsi="Palatino Linotype" w:cs="Palatino Linotype"/>
          <w:b/>
        </w:rPr>
        <w:t>...</w:t>
      </w:r>
    </w:p>
    <w:p w14:paraId="29649E38" w14:textId="77777777" w:rsidR="0018526E" w:rsidRPr="009830DF" w:rsidRDefault="00876F9E">
      <w:pPr>
        <w:spacing w:before="120" w:after="120" w:line="276" w:lineRule="auto"/>
        <w:ind w:left="284"/>
        <w:jc w:val="both"/>
        <w:rPr>
          <w:rFonts w:ascii="Palatino Linotype" w:eastAsia="Palatino Linotype" w:hAnsi="Palatino Linotype" w:cs="Palatino Linotype"/>
          <w:b/>
        </w:rPr>
      </w:pPr>
      <w:r w:rsidRPr="009830DF">
        <w:rPr>
          <w:rFonts w:ascii="Palatino Linotype" w:eastAsia="Palatino Linotype" w:hAnsi="Palatino Linotype" w:cs="Palatino Linotype"/>
          <w:b/>
        </w:rPr>
        <w:t>VII</w:t>
      </w:r>
      <w:r w:rsidRPr="009830DF">
        <w:rPr>
          <w:rFonts w:ascii="Palatino Linotype" w:eastAsia="Palatino Linotype" w:hAnsi="Palatino Linotype" w:cs="Palatino Linotype"/>
        </w:rPr>
        <w:t>. Coordinación de Informática.</w:t>
      </w:r>
    </w:p>
    <w:p w14:paraId="1416A29D"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Siendo importante para el tema que nos ocupa, hacer alusión a las facultades que en su parte conducente se le confieren a la </w:t>
      </w:r>
      <w:r w:rsidRPr="009830DF">
        <w:rPr>
          <w:rFonts w:ascii="Palatino Linotype" w:eastAsia="Palatino Linotype" w:hAnsi="Palatino Linotype" w:cs="Palatino Linotype"/>
          <w:b/>
        </w:rPr>
        <w:t xml:space="preserve">Coordinación Administrativa y de Gestión Documental, </w:t>
      </w:r>
      <w:r w:rsidRPr="009830DF">
        <w:rPr>
          <w:rFonts w:ascii="Palatino Linotype" w:eastAsia="Palatino Linotype" w:hAnsi="Palatino Linotype" w:cs="Palatino Linotype"/>
        </w:rPr>
        <w:t>de conformidad con el artículo 30 del Reglamento Interior, así como en el Manual General de Organización de la Secretaría de Movilidad, a saber:</w:t>
      </w:r>
    </w:p>
    <w:p w14:paraId="43691376"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lastRenderedPageBreak/>
        <w:t>“</w:t>
      </w:r>
      <w:r w:rsidRPr="009830DF">
        <w:rPr>
          <w:rFonts w:ascii="Palatino Linotype" w:eastAsia="Palatino Linotype" w:hAnsi="Palatino Linotype" w:cs="Palatino Linotype"/>
          <w:b/>
          <w:i/>
          <w:sz w:val="22"/>
          <w:szCs w:val="22"/>
        </w:rPr>
        <w:t>Artículo 30.</w:t>
      </w:r>
      <w:r w:rsidRPr="009830DF">
        <w:rPr>
          <w:rFonts w:ascii="Palatino Linotype" w:eastAsia="Palatino Linotype" w:hAnsi="Palatino Linotype" w:cs="Palatino Linotype"/>
          <w:i/>
          <w:sz w:val="22"/>
          <w:szCs w:val="22"/>
        </w:rPr>
        <w:t xml:space="preserve"> Corresponden a la </w:t>
      </w:r>
      <w:r w:rsidRPr="009830DF">
        <w:rPr>
          <w:rFonts w:ascii="Palatino Linotype" w:eastAsia="Palatino Linotype" w:hAnsi="Palatino Linotype" w:cs="Palatino Linotype"/>
          <w:b/>
          <w:i/>
          <w:sz w:val="22"/>
          <w:szCs w:val="22"/>
        </w:rPr>
        <w:t>Coordinación Administrativa y de Gestión Documental</w:t>
      </w:r>
      <w:r w:rsidRPr="009830DF">
        <w:rPr>
          <w:rFonts w:ascii="Palatino Linotype" w:eastAsia="Palatino Linotype" w:hAnsi="Palatino Linotype" w:cs="Palatino Linotype"/>
          <w:i/>
          <w:sz w:val="22"/>
          <w:szCs w:val="22"/>
        </w:rPr>
        <w:t xml:space="preserve"> las atribuciones siguientes:</w:t>
      </w:r>
    </w:p>
    <w:p w14:paraId="311C7913"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w:t>
      </w:r>
      <w:r w:rsidRPr="009830DF">
        <w:rPr>
          <w:rFonts w:ascii="Palatino Linotype" w:eastAsia="Palatino Linotype" w:hAnsi="Palatino Linotype" w:cs="Palatino Linotype"/>
          <w:i/>
          <w:sz w:val="22"/>
          <w:szCs w:val="22"/>
        </w:rPr>
        <w:t xml:space="preserve"> Cumplir y hacer cumplir las políticas, normas, lineamientos, procedimientos y demás disposiciones en materia de administración de recursos humanos, materiales y financieros que emita la Secretaría de Finanzas;</w:t>
      </w:r>
    </w:p>
    <w:p w14:paraId="2C5D9443"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p>
    <w:p w14:paraId="1D0D9753"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III.</w:t>
      </w:r>
      <w:r w:rsidRPr="009830DF">
        <w:rPr>
          <w:rFonts w:ascii="Palatino Linotype" w:eastAsia="Palatino Linotype" w:hAnsi="Palatino Linotype" w:cs="Palatino Linotype"/>
          <w:i/>
          <w:sz w:val="22"/>
          <w:szCs w:val="22"/>
        </w:rPr>
        <w:t xml:space="preserve"> Coordinar con las unidades administrativas de la Secretaría, la formulación e integración de: </w:t>
      </w:r>
    </w:p>
    <w:p w14:paraId="2D72FB7C" w14:textId="77777777" w:rsidR="0018526E" w:rsidRPr="009830DF" w:rsidRDefault="00876F9E">
      <w:pPr>
        <w:spacing w:before="120" w:after="120"/>
        <w:ind w:left="1418" w:right="902" w:firstLine="141"/>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w:t>
      </w:r>
      <w:r w:rsidRPr="009830DF">
        <w:rPr>
          <w:rFonts w:ascii="Palatino Linotype" w:eastAsia="Palatino Linotype" w:hAnsi="Palatino Linotype" w:cs="Palatino Linotype"/>
          <w:i/>
          <w:sz w:val="22"/>
          <w:szCs w:val="22"/>
        </w:rPr>
        <w:t xml:space="preserve"> Los programas anuales de adquisiciones; </w:t>
      </w:r>
    </w:p>
    <w:p w14:paraId="2F267D98" w14:textId="77777777" w:rsidR="0018526E" w:rsidRPr="009830DF" w:rsidRDefault="00876F9E">
      <w:pPr>
        <w:spacing w:before="120" w:after="120"/>
        <w:ind w:left="1418" w:right="902" w:firstLine="141"/>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b.</w:t>
      </w:r>
      <w:r w:rsidRPr="009830DF">
        <w:rPr>
          <w:rFonts w:ascii="Palatino Linotype" w:eastAsia="Palatino Linotype" w:hAnsi="Palatino Linotype" w:cs="Palatino Linotype"/>
          <w:i/>
          <w:sz w:val="22"/>
          <w:szCs w:val="22"/>
        </w:rPr>
        <w:t xml:space="preserve"> El anteproyecto de presupuesto de ingresos, egresos y su calendarización; </w:t>
      </w:r>
    </w:p>
    <w:p w14:paraId="72ACF6E0"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IV</w:t>
      </w:r>
      <w:r w:rsidRPr="009830DF">
        <w:rPr>
          <w:rFonts w:ascii="Palatino Linotype" w:eastAsia="Palatino Linotype" w:hAnsi="Palatino Linotype" w:cs="Palatino Linotype"/>
          <w:i/>
          <w:sz w:val="22"/>
          <w:szCs w:val="22"/>
        </w:rPr>
        <w:t xml:space="preserve">. Supervisar y vigilar la calendarización de los recursos del presupuesto autorizado a la Secretaría; </w:t>
      </w:r>
    </w:p>
    <w:p w14:paraId="7087D43A"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V.</w:t>
      </w:r>
      <w:r w:rsidRPr="009830DF">
        <w:rPr>
          <w:rFonts w:ascii="Palatino Linotype" w:eastAsia="Palatino Linotype" w:hAnsi="Palatino Linotype" w:cs="Palatino Linotype"/>
          <w:i/>
          <w:sz w:val="22"/>
          <w:szCs w:val="22"/>
        </w:rPr>
        <w:t xml:space="preserve"> Coordinar y controlar la integración de la información financiera sobre el ejercicio del gasto, en coordinación con las unidades ejecutoras de la Secretaría e informar periódicamente a la persona titular de la Secretaría sobre el comportamiento del mismo;</w:t>
      </w:r>
    </w:p>
    <w:p w14:paraId="25E5A1CB"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p>
    <w:p w14:paraId="757CB1CC"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XII.</w:t>
      </w:r>
      <w:r w:rsidRPr="009830DF">
        <w:rPr>
          <w:rFonts w:ascii="Palatino Linotype" w:eastAsia="Palatino Linotype" w:hAnsi="Palatino Linotype" w:cs="Palatino Linotype"/>
          <w:i/>
          <w:sz w:val="22"/>
          <w:szCs w:val="22"/>
        </w:rPr>
        <w:t xml:space="preserve"> </w:t>
      </w:r>
      <w:r w:rsidRPr="009830DF">
        <w:rPr>
          <w:rFonts w:ascii="Palatino Linotype" w:eastAsia="Palatino Linotype" w:hAnsi="Palatino Linotype" w:cs="Palatino Linotype"/>
          <w:b/>
          <w:i/>
          <w:sz w:val="22"/>
          <w:szCs w:val="22"/>
          <w:u w:val="single"/>
        </w:rPr>
        <w:t>Representar a la Secretaría, en su carácter de Vocal</w:t>
      </w:r>
      <w:r w:rsidRPr="009830DF">
        <w:rPr>
          <w:rFonts w:ascii="Palatino Linotype" w:eastAsia="Palatino Linotype" w:hAnsi="Palatino Linotype" w:cs="Palatino Linotype"/>
          <w:b/>
          <w:i/>
          <w:sz w:val="22"/>
          <w:szCs w:val="22"/>
        </w:rPr>
        <w:t xml:space="preserve">, </w:t>
      </w:r>
      <w:r w:rsidRPr="009830DF">
        <w:rPr>
          <w:rFonts w:ascii="Palatino Linotype" w:eastAsia="Palatino Linotype" w:hAnsi="Palatino Linotype" w:cs="Palatino Linotype"/>
          <w:b/>
          <w:i/>
          <w:sz w:val="22"/>
          <w:szCs w:val="22"/>
          <w:u w:val="single"/>
        </w:rPr>
        <w:t>ante el Comité de Adquisiciones y Servicios, y el Comité de Arrendamientos, Adquisiciones de Inmuebles y Enajenaciones, ambos de la Secretaría de Finanzas</w:t>
      </w:r>
      <w:r w:rsidRPr="009830DF">
        <w:rPr>
          <w:rFonts w:ascii="Palatino Linotype" w:eastAsia="Palatino Linotype" w:hAnsi="Palatino Linotype" w:cs="Palatino Linotype"/>
          <w:i/>
          <w:sz w:val="22"/>
          <w:szCs w:val="22"/>
        </w:rPr>
        <w:t>, de acuerdo con la normatividad aplicable;</w:t>
      </w:r>
    </w:p>
    <w:p w14:paraId="4BBDE322"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XIII.</w:t>
      </w:r>
      <w:r w:rsidRPr="009830DF">
        <w:rPr>
          <w:rFonts w:ascii="Palatino Linotype" w:eastAsia="Palatino Linotype" w:hAnsi="Palatino Linotype" w:cs="Palatino Linotype"/>
          <w:i/>
          <w:sz w:val="22"/>
          <w:szCs w:val="22"/>
        </w:rPr>
        <w:t xml:space="preserve"> </w:t>
      </w:r>
      <w:r w:rsidRPr="009830DF">
        <w:rPr>
          <w:rFonts w:ascii="Palatino Linotype" w:eastAsia="Palatino Linotype" w:hAnsi="Palatino Linotype" w:cs="Palatino Linotype"/>
          <w:b/>
          <w:i/>
          <w:sz w:val="22"/>
          <w:szCs w:val="22"/>
          <w:u w:val="single"/>
        </w:rPr>
        <w:t>Suscribir</w:t>
      </w:r>
      <w:r w:rsidRPr="009830DF">
        <w:rPr>
          <w:rFonts w:ascii="Palatino Linotype" w:eastAsia="Palatino Linotype" w:hAnsi="Palatino Linotype" w:cs="Palatino Linotype"/>
          <w:b/>
          <w:i/>
          <w:sz w:val="22"/>
          <w:szCs w:val="22"/>
        </w:rPr>
        <w:t xml:space="preserve"> conjuntamente con la persona titular de la unidad administrativa requirente, </w:t>
      </w:r>
      <w:r w:rsidRPr="009830DF">
        <w:rPr>
          <w:rFonts w:ascii="Palatino Linotype" w:eastAsia="Palatino Linotype" w:hAnsi="Palatino Linotype" w:cs="Palatino Linotype"/>
          <w:b/>
          <w:i/>
          <w:sz w:val="22"/>
          <w:szCs w:val="22"/>
          <w:u w:val="single"/>
        </w:rPr>
        <w:t>los contratos pedidos</w:t>
      </w:r>
      <w:r w:rsidRPr="009830DF">
        <w:rPr>
          <w:rFonts w:ascii="Palatino Linotype" w:eastAsia="Palatino Linotype" w:hAnsi="Palatino Linotype" w:cs="Palatino Linotype"/>
          <w:b/>
          <w:i/>
          <w:sz w:val="22"/>
          <w:szCs w:val="22"/>
        </w:rPr>
        <w:t xml:space="preserve"> derivados de procedimientos de adquisición de bienes y/o contratación de servicios</w:t>
      </w:r>
      <w:r w:rsidRPr="009830DF">
        <w:rPr>
          <w:rFonts w:ascii="Palatino Linotype" w:eastAsia="Palatino Linotype" w:hAnsi="Palatino Linotype" w:cs="Palatino Linotype"/>
          <w:i/>
          <w:sz w:val="22"/>
          <w:szCs w:val="22"/>
        </w:rPr>
        <w:t>, con base en la normatividad aplicable;</w:t>
      </w:r>
    </w:p>
    <w:p w14:paraId="4EBF6B4A"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p>
    <w:p w14:paraId="2083CADB"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XVI</w:t>
      </w:r>
      <w:r w:rsidRPr="009830DF">
        <w:rPr>
          <w:rFonts w:ascii="Palatino Linotype" w:eastAsia="Palatino Linotype" w:hAnsi="Palatino Linotype" w:cs="Palatino Linotype"/>
          <w:i/>
          <w:sz w:val="22"/>
          <w:szCs w:val="22"/>
        </w:rPr>
        <w:t xml:space="preserve">. </w:t>
      </w:r>
      <w:r w:rsidRPr="009830DF">
        <w:rPr>
          <w:rFonts w:ascii="Palatino Linotype" w:eastAsia="Palatino Linotype" w:hAnsi="Palatino Linotype" w:cs="Palatino Linotype"/>
          <w:b/>
          <w:i/>
          <w:sz w:val="22"/>
          <w:szCs w:val="22"/>
        </w:rPr>
        <w:t xml:space="preserve">Gestionar la </w:t>
      </w:r>
      <w:r w:rsidRPr="009830DF">
        <w:rPr>
          <w:rFonts w:ascii="Palatino Linotype" w:eastAsia="Palatino Linotype" w:hAnsi="Palatino Linotype" w:cs="Palatino Linotype"/>
          <w:b/>
          <w:i/>
          <w:sz w:val="22"/>
          <w:szCs w:val="22"/>
          <w:u w:val="single"/>
        </w:rPr>
        <w:t>substanciación de los procedimientos</w:t>
      </w:r>
      <w:r w:rsidRPr="009830DF">
        <w:rPr>
          <w:rFonts w:ascii="Palatino Linotype" w:eastAsia="Palatino Linotype" w:hAnsi="Palatino Linotype" w:cs="Palatino Linotype"/>
          <w:b/>
          <w:i/>
          <w:sz w:val="22"/>
          <w:szCs w:val="22"/>
        </w:rPr>
        <w:t xml:space="preserve"> de </w:t>
      </w:r>
      <w:r w:rsidRPr="009830DF">
        <w:rPr>
          <w:rFonts w:ascii="Palatino Linotype" w:eastAsia="Palatino Linotype" w:hAnsi="Palatino Linotype" w:cs="Palatino Linotype"/>
          <w:b/>
          <w:i/>
          <w:sz w:val="22"/>
          <w:szCs w:val="22"/>
          <w:u w:val="single"/>
        </w:rPr>
        <w:t>adquisición de bienes y servicios</w:t>
      </w:r>
      <w:r w:rsidRPr="009830DF">
        <w:rPr>
          <w:rFonts w:ascii="Palatino Linotype" w:eastAsia="Palatino Linotype" w:hAnsi="Palatino Linotype" w:cs="Palatino Linotype"/>
          <w:i/>
          <w:sz w:val="22"/>
          <w:szCs w:val="22"/>
        </w:rPr>
        <w:t xml:space="preserve">, a petición de las unidades administrativas de la Secretaría encargada de realizarlos; </w:t>
      </w:r>
      <w:r w:rsidRPr="009830DF">
        <w:rPr>
          <w:rFonts w:ascii="Palatino Linotype" w:eastAsia="Palatino Linotype" w:hAnsi="Palatino Linotype" w:cs="Palatino Linotype"/>
          <w:b/>
          <w:i/>
          <w:sz w:val="22"/>
          <w:szCs w:val="22"/>
          <w:u w:val="single"/>
        </w:rPr>
        <w:t>Así como ejecutar los actos de adquisición de bienes y servicios que le correspondan</w:t>
      </w:r>
      <w:r w:rsidRPr="009830DF">
        <w:rPr>
          <w:rFonts w:ascii="Palatino Linotype" w:eastAsia="Palatino Linotype" w:hAnsi="Palatino Linotype" w:cs="Palatino Linotype"/>
          <w:i/>
          <w:sz w:val="22"/>
          <w:szCs w:val="22"/>
        </w:rPr>
        <w:t xml:space="preserve"> en términos de la normativa correspondiente;”</w:t>
      </w:r>
    </w:p>
    <w:p w14:paraId="7B09E648" w14:textId="77777777" w:rsidR="0018526E" w:rsidRPr="009830DF" w:rsidRDefault="0018526E">
      <w:pPr>
        <w:spacing w:before="120" w:after="120"/>
        <w:ind w:left="851" w:right="902"/>
        <w:jc w:val="both"/>
        <w:rPr>
          <w:rFonts w:ascii="Palatino Linotype" w:eastAsia="Palatino Linotype" w:hAnsi="Palatino Linotype" w:cs="Palatino Linotype"/>
          <w:i/>
          <w:sz w:val="22"/>
          <w:szCs w:val="22"/>
        </w:rPr>
      </w:pPr>
    </w:p>
    <w:p w14:paraId="45D4573C"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lastRenderedPageBreak/>
        <w:t>“</w:t>
      </w:r>
      <w:r w:rsidRPr="009830DF">
        <w:rPr>
          <w:rFonts w:ascii="Palatino Linotype" w:eastAsia="Palatino Linotype" w:hAnsi="Palatino Linotype" w:cs="Palatino Linotype"/>
          <w:b/>
          <w:i/>
          <w:sz w:val="22"/>
          <w:szCs w:val="22"/>
        </w:rPr>
        <w:t>22000002000000S COORDINACIÓN ADMINISTRATIVA</w:t>
      </w:r>
      <w:r w:rsidRPr="009830DF">
        <w:rPr>
          <w:rFonts w:ascii="Palatino Linotype" w:eastAsia="Palatino Linotype" w:hAnsi="Palatino Linotype" w:cs="Palatino Linotype"/>
          <w:i/>
          <w:sz w:val="22"/>
          <w:szCs w:val="22"/>
        </w:rPr>
        <w:t xml:space="preserve"> </w:t>
      </w:r>
    </w:p>
    <w:p w14:paraId="7E237508" w14:textId="77777777" w:rsidR="0018526E" w:rsidRPr="009830DF" w:rsidRDefault="00876F9E">
      <w:pPr>
        <w:spacing w:before="120" w:after="120"/>
        <w:ind w:left="851" w:right="902"/>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 xml:space="preserve">OBJETIVO: </w:t>
      </w:r>
    </w:p>
    <w:p w14:paraId="314DA4C0" w14:textId="77777777" w:rsidR="0018526E" w:rsidRPr="009830DF" w:rsidRDefault="00876F9E">
      <w:pPr>
        <w:spacing w:before="120" w:after="120"/>
        <w:ind w:left="851" w:right="902"/>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i/>
          <w:sz w:val="22"/>
          <w:szCs w:val="22"/>
        </w:rPr>
        <w:t>Planear, coordinar y supervisar las actividades relacionadas con el manejo y aprovechamiento de los recursos humanos, materiales y financieros, así como con la prestación de los servicios generales requeridos por las unidades administrativas de la Secretaría de Movilidad para el desarrollo de sus funciones, conforme a las normas y disposiciones legales vigentes en la materia.</w:t>
      </w:r>
      <w:r w:rsidRPr="009830DF">
        <w:rPr>
          <w:rFonts w:ascii="Palatino Linotype" w:eastAsia="Palatino Linotype" w:hAnsi="Palatino Linotype" w:cs="Palatino Linotype"/>
          <w:i/>
          <w:sz w:val="22"/>
          <w:szCs w:val="22"/>
        </w:rPr>
        <w:br/>
      </w:r>
      <w:r w:rsidRPr="009830DF">
        <w:rPr>
          <w:rFonts w:ascii="Palatino Linotype" w:eastAsia="Palatino Linotype" w:hAnsi="Palatino Linotype" w:cs="Palatino Linotype"/>
          <w:b/>
          <w:i/>
          <w:sz w:val="22"/>
          <w:szCs w:val="22"/>
        </w:rPr>
        <w:t>FUNCIONES:</w:t>
      </w:r>
    </w:p>
    <w:p w14:paraId="0AB62282" w14:textId="77777777" w:rsidR="0018526E" w:rsidRPr="009830DF" w:rsidRDefault="00876F9E">
      <w:pPr>
        <w:numPr>
          <w:ilvl w:val="0"/>
          <w:numId w:val="1"/>
        </w:numPr>
        <w:pBdr>
          <w:top w:val="nil"/>
          <w:left w:val="nil"/>
          <w:bottom w:val="nil"/>
          <w:right w:val="nil"/>
          <w:between w:val="nil"/>
        </w:pBdr>
        <w:tabs>
          <w:tab w:val="left" w:pos="1134"/>
        </w:tabs>
        <w:spacing w:before="120" w:after="120"/>
        <w:ind w:left="851" w:right="902" w:firstLine="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Coordinar la integración del Programa Anual de Adquisiciones de la Secretaría. </w:t>
      </w:r>
    </w:p>
    <w:p w14:paraId="08569704" w14:textId="77777777" w:rsidR="0018526E" w:rsidRPr="009830DF" w:rsidRDefault="00876F9E">
      <w:pPr>
        <w:numPr>
          <w:ilvl w:val="0"/>
          <w:numId w:val="1"/>
        </w:numPr>
        <w:pBdr>
          <w:top w:val="nil"/>
          <w:left w:val="nil"/>
          <w:bottom w:val="nil"/>
          <w:right w:val="nil"/>
          <w:between w:val="nil"/>
        </w:pBdr>
        <w:tabs>
          <w:tab w:val="left" w:pos="1134"/>
        </w:tabs>
        <w:spacing w:before="120"/>
        <w:ind w:left="851" w:right="902" w:firstLine="0"/>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Participar en los Comités de Adquisiciones y Servicios y de Arrendamientos, Adquisiciones de Inmuebles y Enajenaciones que integre la Secretaría de Finanzas</w:t>
      </w:r>
      <w:r w:rsidRPr="009830DF">
        <w:rPr>
          <w:b/>
          <w:sz w:val="22"/>
          <w:szCs w:val="22"/>
        </w:rPr>
        <w:t>.</w:t>
      </w:r>
    </w:p>
    <w:p w14:paraId="7CEC3A5C" w14:textId="77777777" w:rsidR="0018526E" w:rsidRPr="009830DF" w:rsidRDefault="00876F9E">
      <w:pPr>
        <w:numPr>
          <w:ilvl w:val="0"/>
          <w:numId w:val="1"/>
        </w:numPr>
        <w:pBdr>
          <w:top w:val="nil"/>
          <w:left w:val="nil"/>
          <w:bottom w:val="nil"/>
          <w:right w:val="nil"/>
          <w:between w:val="nil"/>
        </w:pBdr>
        <w:tabs>
          <w:tab w:val="left" w:pos="1134"/>
        </w:tabs>
        <w:ind w:left="851" w:right="902" w:firstLine="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u w:val="single"/>
        </w:rPr>
        <w:t>Participar en los procedimientos de adquisición y/o contratación de bienes y servicios</w:t>
      </w:r>
      <w:r w:rsidRPr="009830DF">
        <w:rPr>
          <w:rFonts w:ascii="Palatino Linotype" w:eastAsia="Palatino Linotype" w:hAnsi="Palatino Linotype" w:cs="Palatino Linotype"/>
          <w:i/>
          <w:sz w:val="22"/>
          <w:szCs w:val="22"/>
        </w:rPr>
        <w:t xml:space="preserve"> para dar cumplimiento a la </w:t>
      </w:r>
      <w:proofErr w:type="spellStart"/>
      <w:r w:rsidRPr="009830DF">
        <w:rPr>
          <w:rFonts w:ascii="Palatino Linotype" w:eastAsia="Palatino Linotype" w:hAnsi="Palatino Linotype" w:cs="Palatino Linotype"/>
          <w:i/>
          <w:sz w:val="22"/>
          <w:szCs w:val="22"/>
        </w:rPr>
        <w:t>normativida</w:t>
      </w:r>
      <w:proofErr w:type="spellEnd"/>
      <w:r w:rsidRPr="009830DF">
        <w:rPr>
          <w:rFonts w:ascii="Palatino Linotype" w:eastAsia="Palatino Linotype" w:hAnsi="Palatino Linotype" w:cs="Palatino Linotype"/>
          <w:i/>
          <w:sz w:val="22"/>
          <w:szCs w:val="22"/>
        </w:rPr>
        <w:t xml:space="preserve"> </w:t>
      </w:r>
      <w:proofErr w:type="spellStart"/>
      <w:r w:rsidRPr="009830DF">
        <w:rPr>
          <w:rFonts w:ascii="Palatino Linotype" w:eastAsia="Palatino Linotype" w:hAnsi="Palatino Linotype" w:cs="Palatino Linotype"/>
          <w:i/>
          <w:sz w:val="22"/>
          <w:szCs w:val="22"/>
        </w:rPr>
        <w:t>destablecida</w:t>
      </w:r>
      <w:proofErr w:type="spellEnd"/>
      <w:r w:rsidRPr="009830DF">
        <w:rPr>
          <w:rFonts w:ascii="Palatino Linotype" w:eastAsia="Palatino Linotype" w:hAnsi="Palatino Linotype" w:cs="Palatino Linotype"/>
          <w:i/>
          <w:sz w:val="22"/>
          <w:szCs w:val="22"/>
        </w:rPr>
        <w:t>.</w:t>
      </w:r>
    </w:p>
    <w:p w14:paraId="0D87C752" w14:textId="77777777" w:rsidR="0018526E" w:rsidRPr="009830DF" w:rsidRDefault="00876F9E">
      <w:pPr>
        <w:numPr>
          <w:ilvl w:val="0"/>
          <w:numId w:val="1"/>
        </w:numPr>
        <w:pBdr>
          <w:top w:val="nil"/>
          <w:left w:val="nil"/>
          <w:bottom w:val="nil"/>
          <w:right w:val="nil"/>
          <w:between w:val="nil"/>
        </w:pBdr>
        <w:tabs>
          <w:tab w:val="left" w:pos="1134"/>
        </w:tabs>
        <w:spacing w:after="120"/>
        <w:ind w:left="851" w:right="902" w:firstLine="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u w:val="single"/>
        </w:rPr>
        <w:t>Suscribir los convenios y contratos relativos a la adquisición y/o contratación de bienes y servicios</w:t>
      </w:r>
      <w:r w:rsidRPr="009830DF">
        <w:rPr>
          <w:rFonts w:ascii="Palatino Linotype" w:eastAsia="Palatino Linotype" w:hAnsi="Palatino Linotype" w:cs="Palatino Linotype"/>
          <w:i/>
          <w:sz w:val="22"/>
          <w:szCs w:val="22"/>
        </w:rPr>
        <w:t xml:space="preserve"> observando la normatividad establecida.</w:t>
      </w:r>
    </w:p>
    <w:p w14:paraId="2CF65DD8" w14:textId="77777777" w:rsidR="0018526E" w:rsidRPr="009830DF" w:rsidRDefault="00876F9E">
      <w:pPr>
        <w:spacing w:before="240" w:after="240" w:line="360" w:lineRule="auto"/>
        <w:ind w:right="49"/>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En este tenor, la Coordinación Administrativa y de Gestión Documental, como unidad administrativa encargada de coordinar, controlar y dirigir la administración y suministro oportuno y racional de los recursos materiales y financieros, así como los servicios generales que requieran las unidades administrativas de la Secretaría de Movilidad, tiene encomendadas diversas funciones, entre las que destacan representar a la Secretaría de Movilidad en su carácter de Vocal ante los Comités de Adquisiciones y Servicios, y Arrendamientos, Adquisiciones de Inmuebles y Enajenaciones de la Secretaría de Finanzas; suscribir los contratos pedidos derivados de procedimientos de adquisición de bienes y/o contratación de servicios; gestionar la substanciación de los procedimientos de adquisición de bienes y servicios a petición de las unidades administrativas encargadas de realizarlos; la ejecución de los actos de adquisición de bienes y servicios que le correspondan; entre otras, siendo el área competente para conocer la información materia de la </w:t>
      </w:r>
      <w:r w:rsidRPr="009830DF">
        <w:rPr>
          <w:rFonts w:ascii="Palatino Linotype" w:eastAsia="Palatino Linotype" w:hAnsi="Palatino Linotype" w:cs="Palatino Linotype"/>
        </w:rPr>
        <w:lastRenderedPageBreak/>
        <w:t>solicitud, al tener el deber de participar en los Comités de Adquisiciones y Servicios y de Arrendamientos, Adquisiciones de Inmuebles y Enajenaciones que integre la Secretaría de Finanzas, así como en los procedimientos de adquisición y/o contratación de bienes y/o servicios y suscribir con convenios y contratos relativos a la adquisición y/o contratación de bienes y servicios.</w:t>
      </w:r>
    </w:p>
    <w:p w14:paraId="027B0522" w14:textId="77777777" w:rsidR="0018526E" w:rsidRPr="009830DF" w:rsidRDefault="00876F9E">
      <w:pPr>
        <w:spacing w:before="240" w:after="240" w:line="360" w:lineRule="auto"/>
        <w:ind w:right="49"/>
        <w:jc w:val="both"/>
        <w:rPr>
          <w:rFonts w:ascii="Palatino Linotype" w:eastAsia="Palatino Linotype" w:hAnsi="Palatino Linotype" w:cs="Palatino Linotype"/>
        </w:rPr>
      </w:pPr>
      <w:r w:rsidRPr="009830DF">
        <w:rPr>
          <w:rFonts w:ascii="Palatino Linotype" w:eastAsia="Palatino Linotype" w:hAnsi="Palatino Linotype" w:cs="Palatino Linotype"/>
        </w:rPr>
        <w:t>Asimismo, no obsta mencionar que para el desarrollo de sus funciones, se auxilia de la Subdirección de Recursos Materiales, cuyo objetivo, de conformidad con el Manual de Organización de la Secretaría de Movilidad, consiste en coordinar, supervisar y realizar las gestiones para administrar, adquirir, almacenar y suministrar los enseres, bienes, servicios y artículos requeridos por las unidades administrativas adscritas a la Secretaría; así como administrar los sistemas de control de inventario de bienes muebles y equipo, y sus funciones, en su parte conducente, son las siguientes:</w:t>
      </w:r>
    </w:p>
    <w:p w14:paraId="44809EC7"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 Supervisar y aprobar la integración y, en su caso, la modificación del Programa Anual de Adquisiciones en conjunto con las unidades administrativas; así como integrar el Programa Anual de Verificaciones de Bienes Muebles de la Secretaría, para presentarlo a consideración de la persona titular de la Coordinación Administrativa.</w:t>
      </w:r>
    </w:p>
    <w:p w14:paraId="1557FF55"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b/>
        </w:rPr>
        <w:t xml:space="preserve">Gestionar y tramitar </w:t>
      </w:r>
      <w:r w:rsidRPr="009830DF">
        <w:rPr>
          <w:rFonts w:ascii="Palatino Linotype" w:eastAsia="Palatino Linotype" w:hAnsi="Palatino Linotype" w:cs="Palatino Linotype"/>
          <w:b/>
          <w:u w:val="single"/>
        </w:rPr>
        <w:t>ante la Dirección General de Recursos Materiales de la Secretaría de Finanzas</w:t>
      </w:r>
      <w:r w:rsidRPr="009830DF">
        <w:rPr>
          <w:rFonts w:ascii="Palatino Linotype" w:eastAsia="Palatino Linotype" w:hAnsi="Palatino Linotype" w:cs="Palatino Linotype"/>
          <w:b/>
        </w:rPr>
        <w:t>, la adquisición de bienes y/o servicios</w:t>
      </w:r>
      <w:r w:rsidRPr="009830DF">
        <w:rPr>
          <w:rFonts w:ascii="Palatino Linotype" w:eastAsia="Palatino Linotype" w:hAnsi="Palatino Linotype" w:cs="Palatino Linotype"/>
        </w:rPr>
        <w:t xml:space="preserve"> que requieran las unidades administrativas de la Secretaría.</w:t>
      </w:r>
    </w:p>
    <w:p w14:paraId="6BEB0B7C"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 Coordinar las acciones para identificar los requerimientos de recursos financieros de las partidas consolidadas, directas y globales; así como, proponer </w:t>
      </w:r>
      <w:r w:rsidRPr="009830DF">
        <w:rPr>
          <w:rFonts w:ascii="Palatino Linotype" w:eastAsia="Palatino Linotype" w:hAnsi="Palatino Linotype" w:cs="Palatino Linotype"/>
        </w:rPr>
        <w:lastRenderedPageBreak/>
        <w:t>su incorporación y calendarización al anteproyecto de presupuesto de la Secretaría y</w:t>
      </w:r>
      <w:r w:rsidRPr="009830DF">
        <w:rPr>
          <w:rFonts w:ascii="Palatino Linotype" w:eastAsia="Palatino Linotype" w:hAnsi="Palatino Linotype" w:cs="Palatino Linotype"/>
          <w:b/>
        </w:rPr>
        <w:t xml:space="preserve"> </w:t>
      </w:r>
      <w:r w:rsidRPr="009830DF">
        <w:rPr>
          <w:rFonts w:ascii="Palatino Linotype" w:eastAsia="Palatino Linotype" w:hAnsi="Palatino Linotype" w:cs="Palatino Linotype"/>
          <w:b/>
          <w:u w:val="single"/>
        </w:rPr>
        <w:t>realizar el seguimiento a las contrataciones y adquisiciones, verificando el cumplimiento de las condiciones específicas</w:t>
      </w:r>
      <w:r w:rsidRPr="009830DF">
        <w:rPr>
          <w:rFonts w:ascii="Palatino Linotype" w:eastAsia="Palatino Linotype" w:hAnsi="Palatino Linotype" w:cs="Palatino Linotype"/>
          <w:b/>
        </w:rPr>
        <w:t xml:space="preserve">, </w:t>
      </w:r>
      <w:r w:rsidRPr="009830DF">
        <w:rPr>
          <w:rFonts w:ascii="Palatino Linotype" w:eastAsia="Palatino Linotype" w:hAnsi="Palatino Linotype" w:cs="Palatino Linotype"/>
        </w:rPr>
        <w:t>para ser remitido a la Subdirección de Finanzas.</w:t>
      </w:r>
    </w:p>
    <w:p w14:paraId="33248950" w14:textId="77777777" w:rsidR="0018526E" w:rsidRPr="009830DF" w:rsidRDefault="00876F9E">
      <w:pPr>
        <w:spacing w:before="240" w:after="240" w:line="360" w:lineRule="auto"/>
        <w:ind w:left="284" w:right="49"/>
        <w:jc w:val="both"/>
        <w:rPr>
          <w:rFonts w:ascii="Palatino Linotype" w:eastAsia="Palatino Linotype" w:hAnsi="Palatino Linotype" w:cs="Palatino Linotype"/>
          <w:b/>
        </w:rPr>
      </w:pP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b/>
          <w:u w:val="single"/>
        </w:rPr>
        <w:t>Supervisar</w:t>
      </w:r>
      <w:r w:rsidRPr="009830DF">
        <w:rPr>
          <w:rFonts w:ascii="Palatino Linotype" w:eastAsia="Palatino Linotype" w:hAnsi="Palatino Linotype" w:cs="Palatino Linotype"/>
          <w:b/>
        </w:rPr>
        <w:t xml:space="preserve"> conforme a la calendarización del gasto, la presentación en tiempo y forma de las solicitudes y </w:t>
      </w:r>
      <w:r w:rsidRPr="009830DF">
        <w:rPr>
          <w:rFonts w:ascii="Palatino Linotype" w:eastAsia="Palatino Linotype" w:hAnsi="Palatino Linotype" w:cs="Palatino Linotype"/>
          <w:b/>
          <w:u w:val="single"/>
        </w:rPr>
        <w:t>documentación necesaria para la adquisición de bienes o contratación de servicios</w:t>
      </w:r>
      <w:r w:rsidRPr="009830DF">
        <w:rPr>
          <w:rFonts w:ascii="Palatino Linotype" w:eastAsia="Palatino Linotype" w:hAnsi="Palatino Linotype" w:cs="Palatino Linotype"/>
          <w:b/>
        </w:rPr>
        <w:t>.</w:t>
      </w:r>
    </w:p>
    <w:p w14:paraId="1BB47FE2"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 Solicitar a la Subdirección de Finanzas, la suficiencia presupuestal para la adquisición de bienes y servicios.</w:t>
      </w:r>
    </w:p>
    <w:p w14:paraId="769AAEF4"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 Revisar y validar, en el ámbito de su competencia, la distribución del ejercicio presupuestal, conforme a la recepción y entrega de los bienes y servicios, así como </w:t>
      </w:r>
      <w:r w:rsidRPr="009830DF">
        <w:rPr>
          <w:rFonts w:ascii="Palatino Linotype" w:eastAsia="Palatino Linotype" w:hAnsi="Palatino Linotype" w:cs="Palatino Linotype"/>
          <w:b/>
        </w:rPr>
        <w:t>someter a su pago los documentos comprobatorios de las erogaciones realizadas</w:t>
      </w:r>
      <w:r w:rsidRPr="009830DF">
        <w:rPr>
          <w:rFonts w:ascii="Palatino Linotype" w:eastAsia="Palatino Linotype" w:hAnsi="Palatino Linotype" w:cs="Palatino Linotype"/>
        </w:rPr>
        <w:t xml:space="preserve">, previa revisión del cumplimiento de los requisitos fiscales y administrativos, y de las normas aplicables. </w:t>
      </w:r>
    </w:p>
    <w:p w14:paraId="2736CD24"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b/>
          <w:u w:val="single"/>
        </w:rPr>
        <w:t>Supervisar, revisar y ejecutar las etapas de los procedimientos adquisitivos que se realicen para la Secretaría,</w:t>
      </w:r>
      <w:r w:rsidRPr="009830DF">
        <w:rPr>
          <w:rFonts w:ascii="Palatino Linotype" w:eastAsia="Palatino Linotype" w:hAnsi="Palatino Linotype" w:cs="Palatino Linotype"/>
        </w:rPr>
        <w:t xml:space="preserve"> de conformidad con la normativa.</w:t>
      </w:r>
    </w:p>
    <w:p w14:paraId="7C689359"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b/>
          <w:u w:val="single"/>
        </w:rPr>
        <w:t>Supervisar la integración del expediente del procedimiento adquisitivo y presentar las solicitudes con apego a la normativa de adquisiciones de bienes y/o contrataciones de servicios ante la Secretaría de Finanzas</w:t>
      </w:r>
      <w:r w:rsidRPr="009830DF">
        <w:rPr>
          <w:rFonts w:ascii="Palatino Linotype" w:eastAsia="Palatino Linotype" w:hAnsi="Palatino Linotype" w:cs="Palatino Linotype"/>
        </w:rPr>
        <w:t xml:space="preserve">, con cargo a recursos federales o estatales, que requieran las diversas unidades administrativas que integran a la Secretaría, </w:t>
      </w:r>
      <w:r w:rsidRPr="009830DF">
        <w:rPr>
          <w:rFonts w:ascii="Palatino Linotype" w:eastAsia="Palatino Linotype" w:hAnsi="Palatino Linotype" w:cs="Palatino Linotype"/>
          <w:b/>
        </w:rPr>
        <w:t xml:space="preserve">para su instauración, sustanciación y resolución, </w:t>
      </w:r>
      <w:r w:rsidRPr="009830DF">
        <w:rPr>
          <w:rFonts w:ascii="Palatino Linotype" w:eastAsia="Palatino Linotype" w:hAnsi="Palatino Linotype" w:cs="Palatino Linotype"/>
        </w:rPr>
        <w:t xml:space="preserve">según la disponibilidad de su recurso aprobado. </w:t>
      </w:r>
    </w:p>
    <w:p w14:paraId="52E9C327"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lastRenderedPageBreak/>
        <w:t xml:space="preserve">- </w:t>
      </w:r>
      <w:r w:rsidRPr="009830DF">
        <w:rPr>
          <w:rFonts w:ascii="Palatino Linotype" w:eastAsia="Palatino Linotype" w:hAnsi="Palatino Linotype" w:cs="Palatino Linotype"/>
          <w:b/>
        </w:rPr>
        <w:t xml:space="preserve">Sustanciar, aprobar y ejecutar los procedimientos de adquisición de bienes y/o contratación de servicios </w:t>
      </w:r>
      <w:r w:rsidRPr="009830DF">
        <w:rPr>
          <w:rFonts w:ascii="Palatino Linotype" w:eastAsia="Palatino Linotype" w:hAnsi="Palatino Linotype" w:cs="Palatino Linotype"/>
          <w:b/>
          <w:u w:val="single"/>
        </w:rPr>
        <w:t>bajo la modalidad de contrato pedido</w:t>
      </w:r>
      <w:r w:rsidRPr="009830DF">
        <w:rPr>
          <w:rFonts w:ascii="Palatino Linotype" w:eastAsia="Palatino Linotype" w:hAnsi="Palatino Linotype" w:cs="Palatino Linotype"/>
        </w:rPr>
        <w:t xml:space="preserve">, que deriven de los diversos requerimientos formulados por las unidades administrativas, de acuerdo a los montos señalados en la normativa aplicable y que no exceda el monto máximo para el caso de adjudicación directa establecido en el Presupuesto de Egresos del Gobierno del Estado. </w:t>
      </w:r>
    </w:p>
    <w:p w14:paraId="6CF098E4"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 Cotizar y adquirir, en su caso, bienes y servicios a través de contrato pedido cuando su monto así lo permita, de acuerdo con las disposiciones señaladas por la normatividad en la materia. </w:t>
      </w:r>
    </w:p>
    <w:p w14:paraId="652647FB"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b/>
        </w:rPr>
        <w:t xml:space="preserve">Sustanciar y ejecutar las </w:t>
      </w:r>
      <w:r w:rsidRPr="009830DF">
        <w:rPr>
          <w:rFonts w:ascii="Palatino Linotype" w:eastAsia="Palatino Linotype" w:hAnsi="Palatino Linotype" w:cs="Palatino Linotype"/>
          <w:b/>
          <w:u w:val="single"/>
        </w:rPr>
        <w:t>compras directas</w:t>
      </w:r>
      <w:r w:rsidRPr="009830DF">
        <w:rPr>
          <w:rFonts w:ascii="Palatino Linotype" w:eastAsia="Palatino Linotype" w:hAnsi="Palatino Linotype" w:cs="Palatino Linotype"/>
          <w:b/>
        </w:rPr>
        <w:t xml:space="preserve"> que deriven de los diversos requerimientos formulados por las unidades administrativas</w:t>
      </w: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b/>
          <w:u w:val="single"/>
        </w:rPr>
        <w:t>cuando el importe sea inferior al monto máximo determinado para el fondo fijo de caja</w:t>
      </w:r>
      <w:r w:rsidRPr="009830DF">
        <w:rPr>
          <w:rFonts w:ascii="Palatino Linotype" w:eastAsia="Palatino Linotype" w:hAnsi="Palatino Linotype" w:cs="Palatino Linotype"/>
        </w:rPr>
        <w:t xml:space="preserve">. </w:t>
      </w:r>
    </w:p>
    <w:p w14:paraId="08A44A6B"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 Supervisar la recepción, validación y suministro de los bienes y servicios que requieran las unidades administrativas de la Secretaría, para el desarrollo de sus actividades, atendiendo al presupuesto disponible. </w:t>
      </w:r>
    </w:p>
    <w:p w14:paraId="21C7A35F"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-Verificar que las y los proveedores reciban oportunamente la solicitud de cotización para participar en los procedimientos de contrato pedido y compras directas. </w:t>
      </w:r>
    </w:p>
    <w:p w14:paraId="02D32558"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 Supervisar y validar la evaluación de los costos, condiciones, especificaciones, características, calidad, entre otros requisitos, a fin de seleccionar a la o al proveedor o prestador que ofrezca las mejores condiciones disponibles para el Gobierno del Estado. </w:t>
      </w:r>
    </w:p>
    <w:p w14:paraId="794C4C6D"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lastRenderedPageBreak/>
        <w:t>- Recibir los bienes adquiridos por la Dirección General de Recursos Materiales de la Secretaría de Finanzas, de acuerdo a la solicitud anual, verificando que éstos cumplan con las características y condiciones establecidas.</w:t>
      </w:r>
    </w:p>
    <w:p w14:paraId="7F1CD8EC" w14:textId="77777777" w:rsidR="0018526E" w:rsidRPr="009830DF" w:rsidRDefault="00876F9E">
      <w:pPr>
        <w:spacing w:before="240" w:after="240" w:line="360" w:lineRule="auto"/>
        <w:ind w:left="284" w:right="49"/>
        <w:jc w:val="both"/>
        <w:rPr>
          <w:rFonts w:ascii="Palatino Linotype" w:eastAsia="Palatino Linotype" w:hAnsi="Palatino Linotype" w:cs="Palatino Linotype"/>
          <w:b/>
        </w:rPr>
      </w:pP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b/>
          <w:u w:val="single"/>
        </w:rPr>
        <w:t>Verificar la adecuada integración y conservación de los expedientes y constancias de los procedimientos adquisitivos de la Secretaría</w:t>
      </w:r>
      <w:r w:rsidRPr="009830DF">
        <w:rPr>
          <w:rFonts w:ascii="Palatino Linotype" w:eastAsia="Palatino Linotype" w:hAnsi="Palatino Linotype" w:cs="Palatino Linotype"/>
          <w:b/>
        </w:rPr>
        <w:t>.</w:t>
      </w:r>
    </w:p>
    <w:p w14:paraId="10BAD916" w14:textId="77777777" w:rsidR="0018526E" w:rsidRPr="009830DF" w:rsidRDefault="00876F9E">
      <w:pPr>
        <w:spacing w:before="240" w:after="240" w:line="360" w:lineRule="auto"/>
        <w:ind w:right="49"/>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Asimismo, es preciso señalar que la Subdirección de Recursos Materiales, según lo dispuesto en el Manual General de Organización se auxilia del Departamento de Adquisiciones, Control y Suministro de Bienes, cuyo objetivo consiste en proporcionar a las unidades administrativas de la Secretaría, los insumos, equipo y materiales que requieran para el desempeño de sus funciones, </w:t>
      </w:r>
      <w:r w:rsidRPr="009830DF">
        <w:rPr>
          <w:rFonts w:ascii="Palatino Linotype" w:eastAsia="Palatino Linotype" w:hAnsi="Palatino Linotype" w:cs="Palatino Linotype"/>
          <w:b/>
        </w:rPr>
        <w:t>con apego a la normatividad y a los procedimientos establecidos</w:t>
      </w:r>
      <w:r w:rsidRPr="009830DF">
        <w:rPr>
          <w:rFonts w:ascii="Palatino Linotype" w:eastAsia="Palatino Linotype" w:hAnsi="Palatino Linotype" w:cs="Palatino Linotype"/>
        </w:rPr>
        <w:t>; así como la operación y actualización del sistema de control de inventario de bienes muebles para el funcionamiento y logro de los objetivos de la dependencia, teniendo como funciones, en su parte conducente, las siguientes:</w:t>
      </w:r>
    </w:p>
    <w:p w14:paraId="6B26E480"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 Integrar y elaborar el Programa Anual de Adquisiciones, con base en el presupuesto autorizado, para someterlo a consideración de la Subdirección de Recursos Materiales; así como establecer los mecanismos para su seguimiento y control por parte de las unidades administrativas que integran a la Secretaría, de acuerdo con la normatividad en la materia.</w:t>
      </w:r>
    </w:p>
    <w:p w14:paraId="4E18F597"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 Recopilar, integrar y revisar la información que remitan las unidades administrativas de la Secretaría para elaborar el Programa Anual de Adquisiciones.</w:t>
      </w:r>
    </w:p>
    <w:p w14:paraId="2E927BB2"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lastRenderedPageBreak/>
        <w:t>- Elaborar los informes de las adquisiciones realizadas para someterlos a la revisión de la Subdirección de Recursos Materiales.</w:t>
      </w:r>
    </w:p>
    <w:p w14:paraId="44A02D56"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 Elaborar, integrar y presentar solicitudes de adquisiciones de bienes y/o contrataciones de servicios, con cargo a recursos federales o estatales, para satisfacer las necesidades de la Secretaría, según la disponibilidad del recurso aprobado.</w:t>
      </w:r>
    </w:p>
    <w:p w14:paraId="4FF815A2"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 Tramitar ante la Secretaría de Finanzas, a través de la unidad administrativa competente, las solicitudes de adquisiciones de bienes y/o contrataciones de servicios, con cargo a recursos federales o estatales, que requieran las diversas unidades administrativas que integran a la Secretaría, para su instauración, sustanciación y resolución, según la disponibilidad del recurso aprobado.</w:t>
      </w:r>
    </w:p>
    <w:p w14:paraId="7B62B613"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 Solicitar a las personas proveedoras y prestadoras de servicios, cotizaciones, evaluar los costos, condiciones, características técnicas y especificaciones, entre otros requisitos, a fin de seleccionar al que ofrezca las mejores condiciones disponibles para el Gobierno del Estado, sometiéndolo a la aprobación de la Subdirección de Recursos Materiales.</w:t>
      </w:r>
    </w:p>
    <w:p w14:paraId="14EFE905"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b/>
        </w:rPr>
        <w:t>Elaborar, sustanciar y verificar las etapas de los procedimientos de adquisición de bienes y/o contratación de servicios bajo la modalidad de contrato pedido</w:t>
      </w:r>
      <w:r w:rsidRPr="009830DF">
        <w:rPr>
          <w:rFonts w:ascii="Palatino Linotype" w:eastAsia="Palatino Linotype" w:hAnsi="Palatino Linotype" w:cs="Palatino Linotype"/>
        </w:rPr>
        <w:t>, cuyo importe sea superior al monto máximo determinado para el fondo fijo de caja y no exceda del importe que establece el Presupuesto de Egresos del Gobierno del Estado de México para el caso de adjudicación directa.</w:t>
      </w:r>
    </w:p>
    <w:p w14:paraId="52CB30DE"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lastRenderedPageBreak/>
        <w:t>- Suscribir en carácter de unidad requirente y/o usuaria contratos pedidos derivados de procedimientos de adquisición de bienes y/o contratación de servicios, así como dar seguimiento a los mismos.</w:t>
      </w:r>
    </w:p>
    <w:p w14:paraId="581E9C7F"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 Sustanciar y verificar que las compras directas que deriven de los diversos requerimientos formulados por las unidades administrativas cumplan con los requisitos y los montos establecidos en la normativa.</w:t>
      </w:r>
    </w:p>
    <w:p w14:paraId="2966AAE6" w14:textId="77777777" w:rsidR="0018526E" w:rsidRPr="009830DF" w:rsidRDefault="00876F9E">
      <w:pPr>
        <w:spacing w:before="240" w:after="240" w:line="360" w:lineRule="auto"/>
        <w:ind w:left="284" w:right="49"/>
        <w:jc w:val="both"/>
        <w:rPr>
          <w:rFonts w:ascii="Palatino Linotype" w:eastAsia="Palatino Linotype" w:hAnsi="Palatino Linotype" w:cs="Palatino Linotype"/>
          <w:b/>
          <w:u w:val="single"/>
        </w:rPr>
      </w:pP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b/>
          <w:u w:val="single"/>
        </w:rPr>
        <w:t>Integrar, revisar y resguardar los expedientes de los procesos adquisitivos celebrados y en proceso.</w:t>
      </w:r>
    </w:p>
    <w:p w14:paraId="62B70F92"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 Recibir los bienes y/o servicios requeridos por el área respectiva, así como verificar que éstos cumplan con las condiciones, características, especificaciones técnicas, normas oficiales mexicanas, normas mexicanas y normas internacionales.</w:t>
      </w:r>
    </w:p>
    <w:p w14:paraId="23DD41F6"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 Llevar el seguimiento y control del almacén, mediante la recepción, registro, resguardo y suministro de los bienes adquiridos por la Secretaría.</w:t>
      </w:r>
    </w:p>
    <w:p w14:paraId="7A383FBF" w14:textId="77777777" w:rsidR="0018526E" w:rsidRPr="009830DF" w:rsidRDefault="00876F9E">
      <w:pPr>
        <w:spacing w:before="240" w:after="240" w:line="360" w:lineRule="auto"/>
        <w:ind w:right="49"/>
        <w:jc w:val="both"/>
        <w:rPr>
          <w:rFonts w:ascii="Palatino Linotype" w:eastAsia="Palatino Linotype" w:hAnsi="Palatino Linotype" w:cs="Palatino Linotype"/>
          <w:b/>
        </w:rPr>
      </w:pPr>
      <w:r w:rsidRPr="009830DF">
        <w:rPr>
          <w:rFonts w:ascii="Palatino Linotype" w:eastAsia="Palatino Linotype" w:hAnsi="Palatino Linotype" w:cs="Palatino Linotype"/>
        </w:rPr>
        <w:t xml:space="preserve">Como se advierte la </w:t>
      </w:r>
      <w:r w:rsidRPr="009830DF">
        <w:rPr>
          <w:rFonts w:ascii="Palatino Linotype" w:eastAsia="Palatino Linotype" w:hAnsi="Palatino Linotype" w:cs="Palatino Linotype"/>
          <w:b/>
          <w:u w:val="single"/>
        </w:rPr>
        <w:t>Coordinación Administrativa y de Gestión Documental, de la Secretaría de Movilidad</w:t>
      </w:r>
      <w:r w:rsidRPr="009830DF">
        <w:rPr>
          <w:rFonts w:ascii="Palatino Linotype" w:eastAsia="Palatino Linotype" w:hAnsi="Palatino Linotype" w:cs="Palatino Linotype"/>
        </w:rPr>
        <w:t>, a través de la Subdirección de Recursos Materiales -</w:t>
      </w:r>
      <w:r w:rsidRPr="009830DF">
        <w:rPr>
          <w:rFonts w:ascii="Palatino Linotype" w:eastAsia="Palatino Linotype" w:hAnsi="Palatino Linotype" w:cs="Palatino Linotype"/>
          <w:sz w:val="22"/>
          <w:szCs w:val="22"/>
        </w:rPr>
        <w:t>unidad administrativa que atendió la solicitud</w:t>
      </w:r>
      <w:r w:rsidRPr="009830DF">
        <w:rPr>
          <w:rFonts w:ascii="Palatino Linotype" w:eastAsia="Palatino Linotype" w:hAnsi="Palatino Linotype" w:cs="Palatino Linotype"/>
        </w:rPr>
        <w:t xml:space="preserve">-, misma que se auxilia del Departamento de Adquisiciones, Control y Suministro de Bienes, además de supervisar y aprobar la integración y, en su caso, la modificación del Programa Anual de Adquisiciones, es competente para gestionar y tramitar, es competente para gestionar y tramitar ante la </w:t>
      </w:r>
      <w:r w:rsidRPr="009830DF">
        <w:rPr>
          <w:rFonts w:ascii="Palatino Linotype" w:eastAsia="Palatino Linotype" w:hAnsi="Palatino Linotype" w:cs="Palatino Linotype"/>
          <w:b/>
        </w:rPr>
        <w:t>Dirección General de Recursos Materiales de la Secretaría de Finanzas</w:t>
      </w:r>
      <w:r w:rsidRPr="009830DF">
        <w:rPr>
          <w:rFonts w:ascii="Palatino Linotype" w:eastAsia="Palatino Linotype" w:hAnsi="Palatino Linotype" w:cs="Palatino Linotype"/>
        </w:rPr>
        <w:t xml:space="preserve">, la adquisición de bienes y/o servicios que requieran las unidades administrativas de </w:t>
      </w:r>
      <w:r w:rsidRPr="009830DF">
        <w:rPr>
          <w:rFonts w:ascii="Palatino Linotype" w:eastAsia="Palatino Linotype" w:hAnsi="Palatino Linotype" w:cs="Palatino Linotype"/>
        </w:rPr>
        <w:lastRenderedPageBreak/>
        <w:t xml:space="preserve">la Secretaría; realizar el seguimiento a las contrataciones y adquisiciones verificando el cumplimiento de las condiciones específicas; supervisar la presentación en tiempo y forma de las solicitudes y documentación necesaria para la adquisición de bienes o contratación de servicios; revisar y validar la distribución del ejercicio presupuestal, conforme a la recepción y entrega de los bienes y servicios, así como someter a su pago los documentos comprobatorios de las erogaciones realizadas; </w:t>
      </w:r>
      <w:r w:rsidRPr="009830DF">
        <w:rPr>
          <w:rFonts w:ascii="Palatino Linotype" w:eastAsia="Palatino Linotype" w:hAnsi="Palatino Linotype" w:cs="Palatino Linotype"/>
          <w:b/>
        </w:rPr>
        <w:t xml:space="preserve">supervisar, revisar y ejecutar las etapas de los procedimientos adquisitivos que se realicen para la Secretaría; supervisar la integración del expediente del procedimiento adquisitivo y presentar las solicitudes con apego a la normativa de adquisiciones de bienes y/o contrataciones de servicios ante la Secretaría de Finanzas, para su instauración, sustanciación y resolución; sustanciar, aprobar y ejecutar los procedimientos de adquisición de bienes y/o contratación de servicios bajo la modalidad de contrato pedido; sustanciar y ejecutar las compras directas que deriven de los diversos requerimientos formulados por las unidades administrativas; </w:t>
      </w:r>
      <w:r w:rsidRPr="009830DF">
        <w:rPr>
          <w:rFonts w:ascii="Palatino Linotype" w:eastAsia="Palatino Linotype" w:hAnsi="Palatino Linotype" w:cs="Palatino Linotype"/>
        </w:rPr>
        <w:t xml:space="preserve">y finalmente, </w:t>
      </w:r>
      <w:r w:rsidRPr="009830DF">
        <w:rPr>
          <w:rFonts w:ascii="Palatino Linotype" w:eastAsia="Palatino Linotype" w:hAnsi="Palatino Linotype" w:cs="Palatino Linotype"/>
          <w:b/>
          <w:u w:val="single"/>
        </w:rPr>
        <w:t>verificar la adecuada integración y conservación de los expedientes y constancias de los procedimientos adquisitivos de la Secretaría.</w:t>
      </w:r>
    </w:p>
    <w:p w14:paraId="5AF28A3B" w14:textId="77777777" w:rsidR="0018526E" w:rsidRPr="009830DF" w:rsidRDefault="00876F9E">
      <w:pPr>
        <w:spacing w:before="240" w:after="240" w:line="360" w:lineRule="auto"/>
        <w:ind w:right="49"/>
        <w:jc w:val="both"/>
        <w:rPr>
          <w:rFonts w:ascii="Palatino Linotype" w:eastAsia="Palatino Linotype" w:hAnsi="Palatino Linotype" w:cs="Palatino Linotype"/>
        </w:rPr>
      </w:pPr>
      <w:r w:rsidRPr="009830DF">
        <w:rPr>
          <w:rFonts w:ascii="Palatino Linotype" w:eastAsia="Palatino Linotype" w:hAnsi="Palatino Linotype" w:cs="Palatino Linotype"/>
        </w:rPr>
        <w:t>De manera que, si bien de conformidad con  lo dispuesto en el artículo 5, párrafo primero</w:t>
      </w:r>
      <w:r w:rsidRPr="009830DF">
        <w:rPr>
          <w:rFonts w:ascii="Palatino Linotype" w:eastAsia="Palatino Linotype" w:hAnsi="Palatino Linotype" w:cs="Palatino Linotype"/>
          <w:vertAlign w:val="superscript"/>
        </w:rPr>
        <w:footnoteReference w:id="2"/>
      </w:r>
      <w:r w:rsidRPr="009830DF">
        <w:rPr>
          <w:rFonts w:ascii="Palatino Linotype" w:eastAsia="Palatino Linotype" w:hAnsi="Palatino Linotype" w:cs="Palatino Linotype"/>
        </w:rPr>
        <w:t xml:space="preserve"> de la Ley de Contratación del Estado de México y Municipios, </w:t>
      </w:r>
      <w:r w:rsidRPr="009830DF">
        <w:rPr>
          <w:rFonts w:ascii="Palatino Linotype" w:eastAsia="Palatino Linotype" w:hAnsi="Palatino Linotype" w:cs="Palatino Linotype"/>
          <w:b/>
        </w:rPr>
        <w:t xml:space="preserve">es la Secretaría de Finanzas la dependencia encargada de llevar a cabo los procedimientos de adquisición de bienes o servicios que requieran las dependencias </w:t>
      </w:r>
      <w:r w:rsidRPr="009830DF">
        <w:rPr>
          <w:rFonts w:ascii="Palatino Linotype" w:eastAsia="Palatino Linotype" w:hAnsi="Palatino Linotype" w:cs="Palatino Linotype"/>
        </w:rPr>
        <w:t>–</w:t>
      </w:r>
      <w:r w:rsidRPr="009830DF">
        <w:rPr>
          <w:rFonts w:ascii="Palatino Linotype" w:eastAsia="Palatino Linotype" w:hAnsi="Palatino Linotype" w:cs="Palatino Linotype"/>
          <w:sz w:val="22"/>
          <w:szCs w:val="22"/>
        </w:rPr>
        <w:t>entre ellas la Secretaría de Movilidad</w:t>
      </w:r>
      <w:r w:rsidRPr="009830DF">
        <w:rPr>
          <w:rFonts w:ascii="Palatino Linotype" w:eastAsia="Palatino Linotype" w:hAnsi="Palatino Linotype" w:cs="Palatino Linotype"/>
        </w:rPr>
        <w:t>-</w:t>
      </w:r>
      <w:r w:rsidRPr="009830DF">
        <w:rPr>
          <w:rFonts w:ascii="Palatino Linotype" w:eastAsia="Palatino Linotype" w:hAnsi="Palatino Linotype" w:cs="Palatino Linotype"/>
          <w:b/>
        </w:rPr>
        <w:t>,</w:t>
      </w:r>
      <w:r w:rsidRPr="009830DF">
        <w:rPr>
          <w:rFonts w:ascii="Palatino Linotype" w:eastAsia="Palatino Linotype" w:hAnsi="Palatino Linotype" w:cs="Palatino Linotype"/>
        </w:rPr>
        <w:t xml:space="preserve"> conforme a sus respectivos programas de adquisiciones, lo cierto es que diversas áreas que integran la </w:t>
      </w:r>
      <w:r w:rsidRPr="009830DF">
        <w:rPr>
          <w:rFonts w:ascii="Palatino Linotype" w:eastAsia="Palatino Linotype" w:hAnsi="Palatino Linotype" w:cs="Palatino Linotype"/>
        </w:rPr>
        <w:lastRenderedPageBreak/>
        <w:t xml:space="preserve">estructura orgánica de la Secretaría de Movilidad se encuentran facultadas para  gestionar al interior de esta los procedimientos de adquisición, por lo tanto se colige que </w:t>
      </w:r>
      <w:r w:rsidRPr="009830DF">
        <w:rPr>
          <w:rFonts w:ascii="Palatino Linotype" w:eastAsia="Palatino Linotype" w:hAnsi="Palatino Linotype" w:cs="Palatino Linotype"/>
          <w:b/>
        </w:rPr>
        <w:t>si es competente para administrar o poseer información relacionada con los mismos</w:t>
      </w:r>
      <w:r w:rsidRPr="009830DF">
        <w:rPr>
          <w:rFonts w:ascii="Palatino Linotype" w:eastAsia="Palatino Linotype" w:hAnsi="Palatino Linotype" w:cs="Palatino Linotype"/>
        </w:rPr>
        <w:t xml:space="preserve">, en virtud de que la Subdirección de Recursos Materiales, cuenta con el deber de </w:t>
      </w:r>
      <w:r w:rsidRPr="009830DF">
        <w:rPr>
          <w:rFonts w:ascii="Palatino Linotype" w:eastAsia="Palatino Linotype" w:hAnsi="Palatino Linotype" w:cs="Palatino Linotype"/>
          <w:b/>
        </w:rPr>
        <w:t xml:space="preserve">verificar integración y conservación de los expedientes y constancias de los procedimientos adquisitivos de la Secretaría de Movilidad </w:t>
      </w:r>
      <w:r w:rsidRPr="009830DF">
        <w:rPr>
          <w:rFonts w:ascii="Palatino Linotype" w:eastAsia="Palatino Linotype" w:hAnsi="Palatino Linotype" w:cs="Palatino Linotype"/>
        </w:rPr>
        <w:t>como ha sido expuesto.</w:t>
      </w:r>
    </w:p>
    <w:p w14:paraId="25ADDF6A" w14:textId="77777777" w:rsidR="0018526E" w:rsidRPr="009830DF" w:rsidRDefault="00876F9E">
      <w:pPr>
        <w:spacing w:before="240" w:after="240" w:line="360" w:lineRule="auto"/>
        <w:ind w:right="49"/>
        <w:jc w:val="both"/>
        <w:rPr>
          <w:rFonts w:ascii="Palatino Linotype" w:eastAsia="Palatino Linotype" w:hAnsi="Palatino Linotype" w:cs="Palatino Linotype"/>
        </w:rPr>
      </w:pPr>
      <w:r w:rsidRPr="009830DF">
        <w:rPr>
          <w:rFonts w:ascii="Palatino Linotype" w:eastAsia="Palatino Linotype" w:hAnsi="Palatino Linotype" w:cs="Palatino Linotype"/>
        </w:rPr>
        <w:t>Asimismo, no debe perderse de vista que la normativa aplicable faculta a la Secretaría de Movilidad</w:t>
      </w:r>
      <w:r w:rsidRPr="009830DF">
        <w:rPr>
          <w:rFonts w:ascii="Palatino Linotype" w:eastAsia="Palatino Linotype" w:hAnsi="Palatino Linotype" w:cs="Palatino Linotype"/>
          <w:b/>
        </w:rPr>
        <w:t xml:space="preserve">, </w:t>
      </w:r>
      <w:r w:rsidRPr="009830DF">
        <w:rPr>
          <w:rFonts w:ascii="Palatino Linotype" w:eastAsia="Palatino Linotype" w:hAnsi="Palatino Linotype" w:cs="Palatino Linotype"/>
        </w:rPr>
        <w:t xml:space="preserve">de manera expresa, para </w:t>
      </w:r>
      <w:r w:rsidRPr="009830DF">
        <w:rPr>
          <w:rFonts w:ascii="Palatino Linotype" w:eastAsia="Palatino Linotype" w:hAnsi="Palatino Linotype" w:cs="Palatino Linotype"/>
          <w:b/>
        </w:rPr>
        <w:t>sustanciar de los procedimientos de adquisición de bienes y/o contratación de servicios bajo la modalidad de contrato pedido</w:t>
      </w:r>
      <w:r w:rsidRPr="009830DF">
        <w:rPr>
          <w:rFonts w:ascii="Palatino Linotype" w:eastAsia="Palatino Linotype" w:hAnsi="Palatino Linotype" w:cs="Palatino Linotype"/>
        </w:rPr>
        <w:t xml:space="preserve">, así como </w:t>
      </w:r>
      <w:r w:rsidRPr="009830DF">
        <w:rPr>
          <w:rFonts w:ascii="Palatino Linotype" w:eastAsia="Palatino Linotype" w:hAnsi="Palatino Linotype" w:cs="Palatino Linotype"/>
          <w:b/>
        </w:rPr>
        <w:t>sustanciar y ejecutar las compras directas</w:t>
      </w:r>
      <w:r w:rsidRPr="009830DF">
        <w:rPr>
          <w:rFonts w:ascii="Palatino Linotype" w:eastAsia="Palatino Linotype" w:hAnsi="Palatino Linotype" w:cs="Palatino Linotype"/>
        </w:rPr>
        <w:t xml:space="preserve"> que deriven de los diversos requerimientos formulados por las unidades administrativas. </w:t>
      </w:r>
    </w:p>
    <w:p w14:paraId="1A60A127" w14:textId="77777777" w:rsidR="0018526E" w:rsidRPr="009830DF" w:rsidRDefault="00876F9E">
      <w:pPr>
        <w:spacing w:before="240" w:after="240" w:line="360" w:lineRule="auto"/>
        <w:ind w:right="49"/>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En tal virtud, contrario a lo manifestado por el </w:t>
      </w:r>
      <w:r w:rsidRPr="009830DF">
        <w:rPr>
          <w:rFonts w:ascii="Palatino Linotype" w:eastAsia="Palatino Linotype" w:hAnsi="Palatino Linotype" w:cs="Palatino Linotype"/>
          <w:b/>
        </w:rPr>
        <w:t xml:space="preserve">Sujeto Obligado </w:t>
      </w:r>
      <w:r w:rsidRPr="009830DF">
        <w:rPr>
          <w:rFonts w:ascii="Palatino Linotype" w:eastAsia="Palatino Linotype" w:hAnsi="Palatino Linotype" w:cs="Palatino Linotype"/>
        </w:rPr>
        <w:t xml:space="preserve">en atención a la solicitud de información, se estima que si </w:t>
      </w:r>
      <w:r w:rsidRPr="009830DF">
        <w:rPr>
          <w:rFonts w:ascii="Palatino Linotype" w:eastAsia="Palatino Linotype" w:hAnsi="Palatino Linotype" w:cs="Palatino Linotype"/>
          <w:b/>
          <w:u w:val="single"/>
        </w:rPr>
        <w:t>se encuentra en posibilidad de atender la solicitud en el ámbito de sus competencias</w:t>
      </w:r>
      <w:r w:rsidRPr="009830DF">
        <w:rPr>
          <w:rFonts w:ascii="Palatino Linotype" w:eastAsia="Palatino Linotype" w:hAnsi="Palatino Linotype" w:cs="Palatino Linotype"/>
        </w:rPr>
        <w:t>, proporcionando los documentos que integren los procedimientos de adquisición que se hubieran celebrado por cualquier modalidad, del veinte de junio dos mil diecinueve al veinte de junio de dos mil veintidós, mediante licitación pública, adjudicación directa, invitación restringida o cualquier otra modalidad que la normatividad contemple, siendo procedente, en consecuencia, ordenar que, previa búsqueda exhaustiva y razonable, haga entrega del soporte documental en el estado en el que se encuentre en el que conste lo solicitado y que obre en sus archivos, en versión pública conforme al considerando siguiente.</w:t>
      </w:r>
    </w:p>
    <w:p w14:paraId="08131F20"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lastRenderedPageBreak/>
        <w:t xml:space="preserve">Para efectos de lo anterior, conviene hacer alusión a lo dispuesto en la Ley de Contratación Pública del Estado de México y Municipios, la cual tiene por objeto regular los actos relativos a la </w:t>
      </w:r>
      <w:r w:rsidRPr="009830DF">
        <w:rPr>
          <w:rFonts w:ascii="Palatino Linotype" w:eastAsia="Palatino Linotype" w:hAnsi="Palatino Linotype" w:cs="Palatino Linotype"/>
          <w:b/>
          <w:u w:val="single"/>
        </w:rPr>
        <w:t>planeación, programación, presupuestación</w:t>
      </w:r>
      <w:r w:rsidRPr="009830DF">
        <w:rPr>
          <w:rFonts w:ascii="Palatino Linotype" w:eastAsia="Palatino Linotype" w:hAnsi="Palatino Linotype" w:cs="Palatino Linotype"/>
        </w:rPr>
        <w:t xml:space="preserve">, ejecución y control de la </w:t>
      </w:r>
      <w:r w:rsidRPr="009830DF">
        <w:rPr>
          <w:rFonts w:ascii="Palatino Linotype" w:eastAsia="Palatino Linotype" w:hAnsi="Palatino Linotype" w:cs="Palatino Linotype"/>
          <w:b/>
          <w:u w:val="single"/>
        </w:rPr>
        <w:t>adquisición</w:t>
      </w:r>
      <w:r w:rsidRPr="009830DF">
        <w:rPr>
          <w:rFonts w:ascii="Palatino Linotype" w:eastAsia="Palatino Linotype" w:hAnsi="Palatino Linotype" w:cs="Palatino Linotype"/>
        </w:rPr>
        <w:t xml:space="preserve">, enajenación y arrendamiento de bienes, y la </w:t>
      </w:r>
      <w:r w:rsidRPr="009830DF">
        <w:rPr>
          <w:rFonts w:ascii="Palatino Linotype" w:eastAsia="Palatino Linotype" w:hAnsi="Palatino Linotype" w:cs="Palatino Linotype"/>
          <w:b/>
          <w:u w:val="single"/>
        </w:rPr>
        <w:t>contratación de servicios de cualquier naturaleza, que realicen las secretarías y las unidades administrativas del Poder Ejecutivo del Estado</w:t>
      </w:r>
      <w:r w:rsidRPr="009830DF">
        <w:rPr>
          <w:rFonts w:ascii="Palatino Linotype" w:eastAsia="Palatino Linotype" w:hAnsi="Palatino Linotype" w:cs="Palatino Linotype"/>
        </w:rPr>
        <w:t xml:space="preserve">; entre ellos el </w:t>
      </w:r>
      <w:r w:rsidRPr="009830DF">
        <w:rPr>
          <w:rFonts w:ascii="Palatino Linotype" w:eastAsia="Palatino Linotype" w:hAnsi="Palatino Linotype" w:cs="Palatino Linotype"/>
          <w:b/>
        </w:rPr>
        <w:t>Sujeto Obligado</w:t>
      </w:r>
      <w:r w:rsidRPr="009830DF">
        <w:rPr>
          <w:rFonts w:ascii="Palatino Linotype" w:eastAsia="Palatino Linotype" w:hAnsi="Palatino Linotype" w:cs="Palatino Linotype"/>
        </w:rPr>
        <w:t>, los cuales se adjudicarán a través de licitación pública, invitación restringida o adjudicación directa, mediante convocatoria pública, tal y como lo establecen los artículos 4, 26 y 27 de dicha Ley, los cuales son del tenor siguiente:</w:t>
      </w:r>
    </w:p>
    <w:p w14:paraId="609DCCD0"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4.-</w:t>
      </w:r>
      <w:r w:rsidRPr="009830DF">
        <w:rPr>
          <w:rFonts w:ascii="Palatino Linotype" w:eastAsia="Palatino Linotype" w:hAnsi="Palatino Linotype" w:cs="Palatino Linotype"/>
          <w:i/>
          <w:sz w:val="22"/>
          <w:szCs w:val="22"/>
        </w:rPr>
        <w:t xml:space="preserve"> Para los efectos de esta Ley, </w:t>
      </w:r>
      <w:r w:rsidRPr="009830DF">
        <w:rPr>
          <w:rFonts w:ascii="Palatino Linotype" w:eastAsia="Palatino Linotype" w:hAnsi="Palatino Linotype" w:cs="Palatino Linotype"/>
          <w:b/>
          <w:i/>
          <w:sz w:val="22"/>
          <w:szCs w:val="22"/>
        </w:rPr>
        <w:t>en las adquisiciones, enajenaciones, arrendamientos y servicios, quedan comprendidos</w:t>
      </w:r>
      <w:r w:rsidRPr="009830DF">
        <w:rPr>
          <w:rFonts w:ascii="Palatino Linotype" w:eastAsia="Palatino Linotype" w:hAnsi="Palatino Linotype" w:cs="Palatino Linotype"/>
          <w:i/>
          <w:sz w:val="22"/>
          <w:szCs w:val="22"/>
        </w:rPr>
        <w:t>:</w:t>
      </w:r>
    </w:p>
    <w:p w14:paraId="20C73EA0"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w:t>
      </w:r>
      <w:r w:rsidRPr="009830DF">
        <w:rPr>
          <w:rFonts w:ascii="Palatino Linotype" w:eastAsia="Palatino Linotype" w:hAnsi="Palatino Linotype" w:cs="Palatino Linotype"/>
          <w:i/>
          <w:sz w:val="22"/>
          <w:szCs w:val="22"/>
        </w:rPr>
        <w:t xml:space="preserve"> La adquisición de bienes muebles.</w:t>
      </w:r>
    </w:p>
    <w:p w14:paraId="16BA4BA8"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w:t>
      </w:r>
      <w:r w:rsidRPr="009830DF">
        <w:rPr>
          <w:rFonts w:ascii="Palatino Linotype" w:eastAsia="Palatino Linotype" w:hAnsi="Palatino Linotype" w:cs="Palatino Linotype"/>
          <w:i/>
          <w:sz w:val="22"/>
          <w:szCs w:val="22"/>
        </w:rPr>
        <w:t>. La adquisición de bienes inmuebles, a través de compraventa.</w:t>
      </w:r>
    </w:p>
    <w:p w14:paraId="03F5231C"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III.</w:t>
      </w:r>
      <w:r w:rsidRPr="009830DF">
        <w:rPr>
          <w:rFonts w:ascii="Palatino Linotype" w:eastAsia="Palatino Linotype" w:hAnsi="Palatino Linotype" w:cs="Palatino Linotype"/>
          <w:i/>
          <w:sz w:val="22"/>
          <w:szCs w:val="22"/>
        </w:rPr>
        <w:t xml:space="preserve"> La enajenación de bienes muebles e inmuebles.</w:t>
      </w:r>
    </w:p>
    <w:p w14:paraId="6E5089B0"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IV.</w:t>
      </w:r>
      <w:r w:rsidRPr="009830DF">
        <w:rPr>
          <w:rFonts w:ascii="Palatino Linotype" w:eastAsia="Palatino Linotype" w:hAnsi="Palatino Linotype" w:cs="Palatino Linotype"/>
          <w:i/>
          <w:sz w:val="22"/>
          <w:szCs w:val="22"/>
        </w:rPr>
        <w:t xml:space="preserve"> El arrendamiento de bienes muebles e inmuebles. </w:t>
      </w:r>
    </w:p>
    <w:p w14:paraId="22BF1EB3"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V</w:t>
      </w:r>
      <w:r w:rsidRPr="009830DF">
        <w:rPr>
          <w:rFonts w:ascii="Palatino Linotype" w:eastAsia="Palatino Linotype" w:hAnsi="Palatino Linotype" w:cs="Palatino Linotype"/>
          <w:i/>
          <w:sz w:val="22"/>
          <w:szCs w:val="22"/>
        </w:rPr>
        <w:t>. La contratación de los servicios, relacionados con bienes muebles que se encuentran incorporados o adheridos a bienes inmuebles, cuya instalación o mantenimiento no implique modificación al bien inmueble.</w:t>
      </w:r>
    </w:p>
    <w:p w14:paraId="190972F3"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VI.</w:t>
      </w:r>
      <w:r w:rsidRPr="009830DF">
        <w:rPr>
          <w:rFonts w:ascii="Palatino Linotype" w:eastAsia="Palatino Linotype" w:hAnsi="Palatino Linotype" w:cs="Palatino Linotype"/>
          <w:i/>
          <w:sz w:val="22"/>
          <w:szCs w:val="22"/>
        </w:rPr>
        <w:t xml:space="preserve"> La contratación de los servicios de reconstrucción y mantenimiento de bienes muebles. </w:t>
      </w:r>
    </w:p>
    <w:p w14:paraId="1A8B976A"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VII.</w:t>
      </w:r>
      <w:r w:rsidRPr="009830DF">
        <w:rPr>
          <w:rFonts w:ascii="Palatino Linotype" w:eastAsia="Palatino Linotype" w:hAnsi="Palatino Linotype" w:cs="Palatino Linotype"/>
          <w:i/>
          <w:sz w:val="22"/>
          <w:szCs w:val="22"/>
        </w:rPr>
        <w:t xml:space="preserve"> La contratación de los servicios de maquila, seguros y transportación, así como de los de limpieza y vigilancia de bienes inmuebles. </w:t>
      </w:r>
    </w:p>
    <w:p w14:paraId="783C8DC1"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VIII.</w:t>
      </w:r>
      <w:r w:rsidRPr="009830DF">
        <w:rPr>
          <w:rFonts w:ascii="Palatino Linotype" w:eastAsia="Palatino Linotype" w:hAnsi="Palatino Linotype" w:cs="Palatino Linotype"/>
          <w:i/>
          <w:sz w:val="22"/>
          <w:szCs w:val="22"/>
        </w:rPr>
        <w:t xml:space="preserve"> La prestación de servicios profesionales, la contratación de consultorías, asesorías y estudios e investigaciones, excepto la contratación de servicios personales de personas físicas bajo el régimen de honorarios. </w:t>
      </w:r>
    </w:p>
    <w:p w14:paraId="4617138F"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En general, otros actos que impliquen la contratación de servicios de cualquier naturaleza</w:t>
      </w:r>
    </w:p>
    <w:p w14:paraId="7E5624E5"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lastRenderedPageBreak/>
        <w:t>Artículo 26.-</w:t>
      </w:r>
      <w:r w:rsidRPr="009830DF">
        <w:rPr>
          <w:rFonts w:ascii="Palatino Linotype" w:eastAsia="Palatino Linotype" w:hAnsi="Palatino Linotype" w:cs="Palatino Linotype"/>
          <w:i/>
          <w:sz w:val="22"/>
          <w:szCs w:val="22"/>
        </w:rPr>
        <w:t xml:space="preserve"> </w:t>
      </w:r>
      <w:r w:rsidRPr="009830DF">
        <w:rPr>
          <w:rFonts w:ascii="Palatino Linotype" w:eastAsia="Palatino Linotype" w:hAnsi="Palatino Linotype" w:cs="Palatino Linotype"/>
          <w:b/>
          <w:i/>
          <w:sz w:val="22"/>
          <w:szCs w:val="22"/>
        </w:rPr>
        <w:t>Las adquisiciones, arrendamientos y servicios se adjudicarán a través de licitaciones públicas</w:t>
      </w:r>
      <w:r w:rsidRPr="009830DF">
        <w:rPr>
          <w:rFonts w:ascii="Palatino Linotype" w:eastAsia="Palatino Linotype" w:hAnsi="Palatino Linotype" w:cs="Palatino Linotype"/>
          <w:i/>
          <w:sz w:val="22"/>
          <w:szCs w:val="22"/>
        </w:rPr>
        <w:t xml:space="preserve">, mediante convocatoria pública. </w:t>
      </w:r>
    </w:p>
    <w:p w14:paraId="49D25E20"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27.</w:t>
      </w:r>
      <w:r w:rsidRPr="009830DF">
        <w:rPr>
          <w:rFonts w:ascii="Palatino Linotype" w:eastAsia="Palatino Linotype" w:hAnsi="Palatino Linotype" w:cs="Palatino Linotype"/>
          <w:i/>
          <w:sz w:val="22"/>
          <w:szCs w:val="22"/>
        </w:rPr>
        <w:t xml:space="preserve">- La </w:t>
      </w:r>
      <w:r w:rsidRPr="009830DF">
        <w:rPr>
          <w:rFonts w:ascii="Palatino Linotype" w:eastAsia="Palatino Linotype" w:hAnsi="Palatino Linotype" w:cs="Palatino Linotype"/>
          <w:b/>
          <w:i/>
          <w:sz w:val="22"/>
          <w:szCs w:val="22"/>
        </w:rPr>
        <w:t>Secretaría, las entidades</w:t>
      </w:r>
      <w:r w:rsidRPr="009830DF">
        <w:rPr>
          <w:rFonts w:ascii="Palatino Linotype" w:eastAsia="Palatino Linotype" w:hAnsi="Palatino Linotype" w:cs="Palatino Linotype"/>
          <w:i/>
          <w:sz w:val="22"/>
          <w:szCs w:val="22"/>
        </w:rPr>
        <w:t xml:space="preserve">, los tribunales administrativos y los ayuntamientos podrán </w:t>
      </w:r>
      <w:r w:rsidRPr="009830DF">
        <w:rPr>
          <w:rFonts w:ascii="Palatino Linotype" w:eastAsia="Palatino Linotype" w:hAnsi="Palatino Linotype" w:cs="Palatino Linotype"/>
          <w:b/>
          <w:i/>
          <w:sz w:val="22"/>
          <w:szCs w:val="22"/>
        </w:rPr>
        <w:t>adjudicar adquisiciones, arrendamientos y servicios, mediante las excepciones al procedimiento de licitación</w:t>
      </w:r>
      <w:r w:rsidRPr="009830DF">
        <w:rPr>
          <w:rFonts w:ascii="Palatino Linotype" w:eastAsia="Palatino Linotype" w:hAnsi="Palatino Linotype" w:cs="Palatino Linotype"/>
          <w:i/>
          <w:sz w:val="22"/>
          <w:szCs w:val="22"/>
        </w:rPr>
        <w:t xml:space="preserve"> que a continuación se señalan:</w:t>
      </w:r>
    </w:p>
    <w:p w14:paraId="2671D20F"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w:t>
      </w:r>
      <w:r w:rsidRPr="009830DF">
        <w:rPr>
          <w:rFonts w:ascii="Palatino Linotype" w:eastAsia="Palatino Linotype" w:hAnsi="Palatino Linotype" w:cs="Palatino Linotype"/>
          <w:i/>
          <w:sz w:val="22"/>
          <w:szCs w:val="22"/>
        </w:rPr>
        <w:t>. Invitación restringida.</w:t>
      </w:r>
    </w:p>
    <w:p w14:paraId="77945A85"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w:t>
      </w:r>
      <w:r w:rsidRPr="009830DF">
        <w:rPr>
          <w:rFonts w:ascii="Palatino Linotype" w:eastAsia="Palatino Linotype" w:hAnsi="Palatino Linotype" w:cs="Palatino Linotype"/>
          <w:i/>
          <w:sz w:val="22"/>
          <w:szCs w:val="22"/>
        </w:rPr>
        <w:t xml:space="preserve"> Adjudicación directa.”</w:t>
      </w:r>
    </w:p>
    <w:p w14:paraId="11618EB0" w14:textId="77777777" w:rsidR="0018526E" w:rsidRPr="009830DF" w:rsidRDefault="00876F9E">
      <w:pPr>
        <w:spacing w:before="240" w:after="240" w:line="360" w:lineRule="auto"/>
        <w:ind w:right="49"/>
        <w:jc w:val="both"/>
        <w:rPr>
          <w:rFonts w:ascii="Palatino Linotype" w:eastAsia="Palatino Linotype" w:hAnsi="Palatino Linotype" w:cs="Palatino Linotype"/>
        </w:rPr>
      </w:pPr>
      <w:r w:rsidRPr="009830DF">
        <w:rPr>
          <w:rFonts w:ascii="Palatino Linotype" w:eastAsia="Palatino Linotype" w:hAnsi="Palatino Linotype" w:cs="Palatino Linotype"/>
        </w:rPr>
        <w:t>En efecto, con base en los preceptos citados se advierte que, por regla general, las adquisiciones, enajenaciones, arrendamientos y servicios, que celebren los entes públicos, deben adjudicarse mediante licitación pública, sin embargo, también se contemplan como excepciones a dicho proceso, la invitación restringida y la adjudicación directa.</w:t>
      </w:r>
    </w:p>
    <w:p w14:paraId="66ABBED7" w14:textId="77777777" w:rsidR="0018526E" w:rsidRPr="009830DF" w:rsidRDefault="00876F9E">
      <w:pPr>
        <w:spacing w:before="240" w:after="240" w:line="360" w:lineRule="auto"/>
        <w:ind w:right="51"/>
        <w:jc w:val="both"/>
        <w:rPr>
          <w:rFonts w:ascii="Palatino Linotype" w:eastAsia="Palatino Linotype" w:hAnsi="Palatino Linotype" w:cs="Palatino Linotype"/>
        </w:rPr>
      </w:pPr>
      <w:r w:rsidRPr="009830DF">
        <w:rPr>
          <w:rFonts w:ascii="Palatino Linotype" w:eastAsia="Palatino Linotype" w:hAnsi="Palatino Linotype" w:cs="Palatino Linotype"/>
        </w:rPr>
        <w:t>Asimismo, es importante precisar que de conformidad con el artículo 3, fracciones II, III y IX de la Ley de Contratación Pública, por Secretaría, dependencia y entidades, se entiende lo siguiente:</w:t>
      </w:r>
    </w:p>
    <w:p w14:paraId="65C53431"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 “</w:t>
      </w:r>
      <w:r w:rsidRPr="009830DF">
        <w:rPr>
          <w:rFonts w:ascii="Palatino Linotype" w:eastAsia="Palatino Linotype" w:hAnsi="Palatino Linotype" w:cs="Palatino Linotype"/>
          <w:b/>
          <w:i/>
          <w:sz w:val="22"/>
          <w:szCs w:val="22"/>
        </w:rPr>
        <w:t>Artículo 3</w:t>
      </w:r>
      <w:r w:rsidRPr="009830DF">
        <w:rPr>
          <w:rFonts w:ascii="Palatino Linotype" w:eastAsia="Palatino Linotype" w:hAnsi="Palatino Linotype" w:cs="Palatino Linotype"/>
          <w:i/>
          <w:sz w:val="22"/>
          <w:szCs w:val="22"/>
        </w:rPr>
        <w:t>.- Para los efectos de la presente Ley se entenderá por:</w:t>
      </w:r>
    </w:p>
    <w:p w14:paraId="59701FD4"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p>
    <w:p w14:paraId="3D81F4AA"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 Dependencia</w:t>
      </w:r>
      <w:r w:rsidRPr="009830DF">
        <w:rPr>
          <w:rFonts w:ascii="Palatino Linotype" w:eastAsia="Palatino Linotype" w:hAnsi="Palatino Linotype" w:cs="Palatino Linotype"/>
          <w:i/>
          <w:sz w:val="22"/>
          <w:szCs w:val="22"/>
        </w:rPr>
        <w:t xml:space="preserve">: </w:t>
      </w:r>
      <w:r w:rsidRPr="009830DF">
        <w:rPr>
          <w:rFonts w:ascii="Palatino Linotype" w:eastAsia="Palatino Linotype" w:hAnsi="Palatino Linotype" w:cs="Palatino Linotype"/>
          <w:b/>
          <w:i/>
          <w:sz w:val="22"/>
          <w:szCs w:val="22"/>
          <w:u w:val="single"/>
        </w:rPr>
        <w:t>A las secretarías</w:t>
      </w:r>
      <w:r w:rsidRPr="009830DF">
        <w:rPr>
          <w:rFonts w:ascii="Palatino Linotype" w:eastAsia="Palatino Linotype" w:hAnsi="Palatino Linotype" w:cs="Palatino Linotype"/>
          <w:b/>
          <w:i/>
          <w:sz w:val="22"/>
          <w:szCs w:val="22"/>
        </w:rPr>
        <w:t xml:space="preserve"> y a las unidades administrativas del Poder Ejecutivo del Estado, </w:t>
      </w:r>
      <w:r w:rsidRPr="009830DF">
        <w:rPr>
          <w:rFonts w:ascii="Palatino Linotype" w:eastAsia="Palatino Linotype" w:hAnsi="Palatino Linotype" w:cs="Palatino Linotype"/>
          <w:i/>
          <w:sz w:val="22"/>
          <w:szCs w:val="22"/>
        </w:rPr>
        <w:t>y a la Procuraduría General de Justicia.</w:t>
      </w:r>
    </w:p>
    <w:p w14:paraId="3D93DFC5" w14:textId="77777777" w:rsidR="0018526E" w:rsidRPr="009830DF" w:rsidRDefault="00876F9E">
      <w:pPr>
        <w:spacing w:before="120" w:after="120"/>
        <w:ind w:left="1134" w:right="902"/>
        <w:jc w:val="both"/>
        <w:rPr>
          <w:rFonts w:ascii="Palatino Linotype" w:eastAsia="Palatino Linotype" w:hAnsi="Palatino Linotype" w:cs="Palatino Linotype"/>
          <w:i/>
          <w:sz w:val="20"/>
          <w:szCs w:val="20"/>
        </w:rPr>
      </w:pPr>
      <w:r w:rsidRPr="009830DF">
        <w:rPr>
          <w:rFonts w:ascii="Palatino Linotype" w:eastAsia="Palatino Linotype" w:hAnsi="Palatino Linotype" w:cs="Palatino Linotype"/>
          <w:b/>
          <w:i/>
          <w:sz w:val="22"/>
          <w:szCs w:val="22"/>
        </w:rPr>
        <w:t>III. Entidades</w:t>
      </w:r>
      <w:r w:rsidRPr="009830DF">
        <w:rPr>
          <w:rFonts w:ascii="Palatino Linotype" w:eastAsia="Palatino Linotype" w:hAnsi="Palatino Linotype" w:cs="Palatino Linotype"/>
          <w:i/>
          <w:sz w:val="22"/>
          <w:szCs w:val="22"/>
        </w:rPr>
        <w:t>: A los organismos auxiliares y a los fideicomisos públicos, de carácter estatal o municipal.</w:t>
      </w:r>
    </w:p>
    <w:p w14:paraId="6CFC6361"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p>
    <w:p w14:paraId="297D5FC6"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IX. Secretaría</w:t>
      </w:r>
      <w:r w:rsidRPr="009830DF">
        <w:rPr>
          <w:rFonts w:ascii="Palatino Linotype" w:eastAsia="Palatino Linotype" w:hAnsi="Palatino Linotype" w:cs="Palatino Linotype"/>
          <w:i/>
          <w:sz w:val="22"/>
          <w:szCs w:val="22"/>
        </w:rPr>
        <w:t>: A la Secretaría de Finanzas.”</w:t>
      </w:r>
    </w:p>
    <w:p w14:paraId="49CFF92F"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Por ello, de acuerdo con el artículo 44 de la Ley de Contratación Pública del Estado de México y Municipios, la Secretaría, las entidades, los tribunales administrativos </w:t>
      </w:r>
      <w:r w:rsidRPr="009830DF">
        <w:rPr>
          <w:rFonts w:ascii="Palatino Linotype" w:eastAsia="Palatino Linotype" w:hAnsi="Palatino Linotype" w:cs="Palatino Linotype"/>
        </w:rPr>
        <w:lastRenderedPageBreak/>
        <w:t xml:space="preserve">y los ayuntamientos, podrán adquirir y contratar servicios mediante invitación restringida en los siguientes casos: </w:t>
      </w:r>
    </w:p>
    <w:p w14:paraId="4A975A23"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44.-</w:t>
      </w:r>
      <w:r w:rsidRPr="009830DF">
        <w:rPr>
          <w:rFonts w:ascii="Palatino Linotype" w:eastAsia="Palatino Linotype" w:hAnsi="Palatino Linotype" w:cs="Palatino Linotype"/>
          <w:i/>
          <w:sz w:val="22"/>
          <w:szCs w:val="22"/>
        </w:rPr>
        <w:t xml:space="preserve"> La Secretaría, las entidades, los tribunales administrativos y los ayuntamientos podrán adquirir y contratar servicios mediante invitación restringida, cuando:</w:t>
      </w:r>
    </w:p>
    <w:p w14:paraId="2B69D74B"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w:t>
      </w:r>
      <w:r w:rsidRPr="009830DF">
        <w:rPr>
          <w:rFonts w:ascii="Palatino Linotype" w:eastAsia="Palatino Linotype" w:hAnsi="Palatino Linotype" w:cs="Palatino Linotype"/>
          <w:i/>
          <w:sz w:val="22"/>
          <w:szCs w:val="22"/>
        </w:rPr>
        <w:t xml:space="preserve"> Se hubiere declarado desierto un procedimiento de licitación, o</w:t>
      </w:r>
    </w:p>
    <w:p w14:paraId="16752546"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w:t>
      </w:r>
      <w:r w:rsidRPr="009830DF">
        <w:rPr>
          <w:rFonts w:ascii="Palatino Linotype" w:eastAsia="Palatino Linotype" w:hAnsi="Palatino Linotype" w:cs="Palatino Linotype"/>
          <w:i/>
          <w:sz w:val="22"/>
          <w:szCs w:val="22"/>
        </w:rPr>
        <w:t>. El importe de la operación no exceda de los montos establecidos por el Presupuesto de Egresos del Gobierno del Estado de México del ejercicio correspondiente.</w:t>
      </w:r>
    </w:p>
    <w:p w14:paraId="2723BDC8"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 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213462D9"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En la invitación deberá especificarse si en el proceso de asignación aplicará la modalidad de subasta inversa.”</w:t>
      </w:r>
    </w:p>
    <w:p w14:paraId="71C0D35B" w14:textId="77777777" w:rsidR="0018526E" w:rsidRPr="009830DF" w:rsidRDefault="00876F9E">
      <w:pPr>
        <w:spacing w:before="240" w:after="240"/>
        <w:ind w:right="49"/>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rPr>
        <w:t>Asimismo, el artículo 46 de la Ley referida, menciona que:</w:t>
      </w:r>
    </w:p>
    <w:p w14:paraId="0D793090"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sz w:val="22"/>
          <w:szCs w:val="22"/>
        </w:rPr>
        <w:t xml:space="preserve"> “</w:t>
      </w:r>
      <w:r w:rsidRPr="009830DF">
        <w:rPr>
          <w:rFonts w:ascii="Palatino Linotype" w:eastAsia="Palatino Linotype" w:hAnsi="Palatino Linotype" w:cs="Palatino Linotype"/>
          <w:b/>
          <w:i/>
          <w:sz w:val="22"/>
          <w:szCs w:val="22"/>
        </w:rPr>
        <w:t>Artículo 46.-</w:t>
      </w:r>
      <w:r w:rsidRPr="009830DF">
        <w:rPr>
          <w:rFonts w:ascii="Palatino Linotype" w:eastAsia="Palatino Linotype" w:hAnsi="Palatino Linotype" w:cs="Palatino Linotype"/>
          <w:i/>
          <w:sz w:val="22"/>
          <w:szCs w:val="22"/>
        </w:rPr>
        <w:t xml:space="preserve"> El procedimiento de invitación restringida se desarrollará en los términos de la licitación pública, a excepción de la publicación de la convocatoria.”</w:t>
      </w:r>
    </w:p>
    <w:p w14:paraId="7D48CA5E" w14:textId="77777777" w:rsidR="0018526E" w:rsidRPr="009830DF" w:rsidRDefault="00876F9E">
      <w:pPr>
        <w:spacing w:line="360" w:lineRule="auto"/>
        <w:ind w:right="49"/>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Por otra parte, el artículo 48 de la Ley en cita precisa que, respecto a los procedimientos de Adjudicación Directa, los entes públicos podrán adquirir bienes, arrendar bienes muebles e inmuebles y contratar servicios mediante adjudicación directa cuando: </w:t>
      </w:r>
    </w:p>
    <w:p w14:paraId="6C8871FB" w14:textId="77777777" w:rsidR="0018526E" w:rsidRPr="009830DF" w:rsidRDefault="00876F9E">
      <w:pPr>
        <w:tabs>
          <w:tab w:val="left" w:pos="7938"/>
        </w:tabs>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48.-</w:t>
      </w:r>
      <w:r w:rsidRPr="009830DF">
        <w:rPr>
          <w:rFonts w:ascii="Palatino Linotype" w:eastAsia="Palatino Linotype" w:hAnsi="Palatino Linotype" w:cs="Palatino Linotype"/>
          <w:i/>
          <w:sz w:val="22"/>
          <w:szCs w:val="22"/>
        </w:rPr>
        <w:t xml:space="preserve"> La Secretaría, las entidades, los tribunales administrativos y los ayuntamientos podrán adquirir bienes, arrendar bienes muebles e inmuebles y contratar servicios, mediante adjudicación directa, cuando:</w:t>
      </w:r>
    </w:p>
    <w:p w14:paraId="49899182" w14:textId="77777777" w:rsidR="0018526E" w:rsidRPr="009830DF" w:rsidRDefault="00876F9E">
      <w:pPr>
        <w:tabs>
          <w:tab w:val="left" w:pos="7938"/>
        </w:tabs>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w:t>
      </w:r>
      <w:r w:rsidRPr="009830DF">
        <w:rPr>
          <w:rFonts w:ascii="Palatino Linotype" w:eastAsia="Palatino Linotype" w:hAnsi="Palatino Linotype" w:cs="Palatino Linotype"/>
          <w:i/>
          <w:sz w:val="22"/>
          <w:szCs w:val="22"/>
        </w:rPr>
        <w:t>. La adquisición o el servicio sólo puedan realizarse con una determinada persona, por tratarse de obras de arte, titularidad de patentes, registros, marcas específicas, derechos de autor u otros derechos exclusivos.</w:t>
      </w:r>
    </w:p>
    <w:p w14:paraId="3DA014A6" w14:textId="77777777" w:rsidR="0018526E" w:rsidRPr="009830DF" w:rsidRDefault="00876F9E">
      <w:pPr>
        <w:tabs>
          <w:tab w:val="left" w:pos="7938"/>
        </w:tabs>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lastRenderedPageBreak/>
        <w:t>II</w:t>
      </w:r>
      <w:r w:rsidRPr="009830DF">
        <w:rPr>
          <w:rFonts w:ascii="Palatino Linotype" w:eastAsia="Palatino Linotype" w:hAnsi="Palatino Linotype" w:cs="Palatino Linotype"/>
          <w:i/>
          <w:sz w:val="22"/>
          <w:szCs w:val="22"/>
        </w:rPr>
        <w:t>.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w:t>
      </w:r>
    </w:p>
    <w:p w14:paraId="4144F7C6" w14:textId="77777777" w:rsidR="0018526E" w:rsidRPr="009830DF" w:rsidRDefault="00876F9E">
      <w:pPr>
        <w:tabs>
          <w:tab w:val="left" w:pos="7938"/>
        </w:tabs>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III.</w:t>
      </w:r>
      <w:r w:rsidRPr="009830DF">
        <w:rPr>
          <w:rFonts w:ascii="Palatino Linotype" w:eastAsia="Palatino Linotype" w:hAnsi="Palatino Linotype" w:cs="Palatino Linotype"/>
          <w:i/>
          <w:sz w:val="22"/>
          <w:szCs w:val="22"/>
        </w:rPr>
        <w:t xml:space="preserve"> Se trate de servicios que requieran de experiencia, técnicas o equipos especiales, o se trate de la adquisición de bienes usados o de características especiales que solamente puedan ser prestados o suministrados por una sola persona.</w:t>
      </w:r>
    </w:p>
    <w:p w14:paraId="0DE24E1C" w14:textId="77777777" w:rsidR="0018526E" w:rsidRPr="009830DF" w:rsidRDefault="00876F9E">
      <w:pPr>
        <w:tabs>
          <w:tab w:val="left" w:pos="7938"/>
        </w:tabs>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IV.</w:t>
      </w:r>
      <w:r w:rsidRPr="009830DF">
        <w:rPr>
          <w:rFonts w:ascii="Palatino Linotype" w:eastAsia="Palatino Linotype" w:hAnsi="Palatino Linotype" w:cs="Palatino Linotype"/>
          <w:i/>
          <w:sz w:val="22"/>
          <w:szCs w:val="22"/>
        </w:rPr>
        <w:t xml:space="preserve">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w:t>
      </w:r>
    </w:p>
    <w:p w14:paraId="3DDB4038" w14:textId="77777777" w:rsidR="0018526E" w:rsidRPr="009830DF" w:rsidRDefault="00876F9E">
      <w:pPr>
        <w:tabs>
          <w:tab w:val="left" w:pos="7938"/>
        </w:tabs>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V</w:t>
      </w:r>
      <w:r w:rsidRPr="009830DF">
        <w:rPr>
          <w:rFonts w:ascii="Palatino Linotype" w:eastAsia="Palatino Linotype" w:hAnsi="Palatino Linotype" w:cs="Palatino Linotype"/>
          <w:i/>
          <w:sz w:val="22"/>
          <w:szCs w:val="22"/>
        </w:rPr>
        <w:t>. Existan circunstancias que puedan provocar pérdidas o costos adicionales importantes al erario.</w:t>
      </w:r>
    </w:p>
    <w:p w14:paraId="1F3B7917" w14:textId="77777777" w:rsidR="0018526E" w:rsidRPr="009830DF" w:rsidRDefault="00876F9E">
      <w:pPr>
        <w:tabs>
          <w:tab w:val="left" w:pos="7938"/>
        </w:tabs>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VI</w:t>
      </w:r>
      <w:r w:rsidRPr="009830DF">
        <w:rPr>
          <w:rFonts w:ascii="Palatino Linotype" w:eastAsia="Palatino Linotype" w:hAnsi="Palatino Linotype" w:cs="Palatino Linotype"/>
          <w:i/>
          <w:sz w:val="22"/>
          <w:szCs w:val="22"/>
        </w:rPr>
        <w:t>. Pueda comprometerse información de naturaleza confidencial para el Estado o municipios, por razones de seguridad pública.</w:t>
      </w:r>
    </w:p>
    <w:p w14:paraId="47A12B8A" w14:textId="77777777" w:rsidR="0018526E" w:rsidRPr="009830DF" w:rsidRDefault="00876F9E">
      <w:pPr>
        <w:tabs>
          <w:tab w:val="left" w:pos="7938"/>
        </w:tabs>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VII</w:t>
      </w:r>
      <w:r w:rsidRPr="009830DF">
        <w:rPr>
          <w:rFonts w:ascii="Palatino Linotype" w:eastAsia="Palatino Linotype" w:hAnsi="Palatino Linotype" w:cs="Palatino Linotype"/>
          <w:i/>
          <w:sz w:val="22"/>
          <w:szCs w:val="22"/>
        </w:rPr>
        <w:t>. Existan circunstancias extraordinarias o imprevisibles derivadas de riesgo o desastre. En este supuesto, la adquisición, arrendamiento y servicio deberá limitarse a lo estrictamente necesario para enfrentar tal eventualidad.</w:t>
      </w:r>
    </w:p>
    <w:p w14:paraId="0D103237" w14:textId="77777777" w:rsidR="0018526E" w:rsidRPr="009830DF" w:rsidRDefault="00876F9E">
      <w:pPr>
        <w:tabs>
          <w:tab w:val="left" w:pos="7938"/>
        </w:tabs>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VIII</w:t>
      </w:r>
      <w:r w:rsidRPr="009830DF">
        <w:rPr>
          <w:rFonts w:ascii="Palatino Linotype" w:eastAsia="Palatino Linotype" w:hAnsi="Palatino Linotype" w:cs="Palatino Linotype"/>
          <w:i/>
          <w:sz w:val="22"/>
          <w:szCs w:val="22"/>
        </w:rPr>
        <w:t>. Se hubiere rescindido un contrato, por causas imputables al proveedor o que la persona que habiendo resultado ganadora en una licitación, no concurra a la suscripción del contrato dentro del plazo establecido en esta Ley. 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w:t>
      </w:r>
    </w:p>
    <w:p w14:paraId="41631CBB" w14:textId="77777777" w:rsidR="0018526E" w:rsidRPr="009830DF" w:rsidRDefault="00876F9E">
      <w:pPr>
        <w:tabs>
          <w:tab w:val="left" w:pos="7938"/>
        </w:tabs>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IX</w:t>
      </w:r>
      <w:r w:rsidRPr="009830DF">
        <w:rPr>
          <w:rFonts w:ascii="Palatino Linotype" w:eastAsia="Palatino Linotype" w:hAnsi="Palatino Linotype" w:cs="Palatino Linotype"/>
          <w:i/>
          <w:sz w:val="22"/>
          <w:szCs w:val="22"/>
        </w:rPr>
        <w:t>. Se hubiere declarado desierto un procedimiento de invitación restringida.</w:t>
      </w:r>
    </w:p>
    <w:p w14:paraId="125206FB" w14:textId="77777777" w:rsidR="0018526E" w:rsidRPr="009830DF" w:rsidRDefault="00876F9E">
      <w:pPr>
        <w:tabs>
          <w:tab w:val="left" w:pos="7938"/>
        </w:tabs>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X</w:t>
      </w:r>
      <w:r w:rsidRPr="009830DF">
        <w:rPr>
          <w:rFonts w:ascii="Palatino Linotype" w:eastAsia="Palatino Linotype" w:hAnsi="Palatino Linotype" w:cs="Palatino Linotype"/>
          <w:i/>
          <w:sz w:val="22"/>
          <w:szCs w:val="22"/>
        </w:rPr>
        <w:t xml:space="preserve">. Cuando se aseguren condiciones financieras que permitan al Estado o a los municipios cumplir con la obligación de pago de manera diferida, sin que ello implique un costo financiero adicional o </w:t>
      </w:r>
      <w:proofErr w:type="gramStart"/>
      <w:r w:rsidRPr="009830DF">
        <w:rPr>
          <w:rFonts w:ascii="Palatino Linotype" w:eastAsia="Palatino Linotype" w:hAnsi="Palatino Linotype" w:cs="Palatino Linotype"/>
          <w:i/>
          <w:sz w:val="22"/>
          <w:szCs w:val="22"/>
        </w:rPr>
        <w:t>que</w:t>
      </w:r>
      <w:proofErr w:type="gramEnd"/>
      <w:r w:rsidRPr="009830DF">
        <w:rPr>
          <w:rFonts w:ascii="Palatino Linotype" w:eastAsia="Palatino Linotype" w:hAnsi="Palatino Linotype" w:cs="Palatino Linotype"/>
          <w:i/>
          <w:sz w:val="22"/>
          <w:szCs w:val="22"/>
        </w:rPr>
        <w:t xml:space="preserve"> habiéndolo, sea inferior al del mercado, o</w:t>
      </w:r>
    </w:p>
    <w:p w14:paraId="6FE284E0" w14:textId="77777777" w:rsidR="0018526E" w:rsidRPr="009830DF" w:rsidRDefault="00876F9E">
      <w:pPr>
        <w:tabs>
          <w:tab w:val="left" w:pos="7938"/>
        </w:tabs>
        <w:spacing w:before="120" w:after="120"/>
        <w:ind w:left="1134" w:right="900"/>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lastRenderedPageBreak/>
        <w:t xml:space="preserve">XI. </w:t>
      </w:r>
      <w:r w:rsidRPr="009830DF">
        <w:rPr>
          <w:rFonts w:ascii="Palatino Linotype" w:eastAsia="Palatino Linotype" w:hAnsi="Palatino Linotype" w:cs="Palatino Linotype"/>
          <w:b/>
          <w:i/>
          <w:sz w:val="22"/>
          <w:szCs w:val="22"/>
          <w:u w:val="single"/>
        </w:rPr>
        <w:t>El importe de la operación no rebase los montos establecidos en el Presupuesto de Egresos</w:t>
      </w:r>
      <w:r w:rsidRPr="009830DF">
        <w:rPr>
          <w:rFonts w:ascii="Palatino Linotype" w:eastAsia="Palatino Linotype" w:hAnsi="Palatino Linotype" w:cs="Palatino Linotype"/>
          <w:b/>
          <w:i/>
          <w:sz w:val="22"/>
          <w:szCs w:val="22"/>
        </w:rPr>
        <w:t xml:space="preserve"> del Gobierno del Estado del ejercicio correspondiente. Tratándose de arrendamientos de inmuebles se entenderá por importe de la operación el monto mensual de la renta.</w:t>
      </w:r>
    </w:p>
    <w:p w14:paraId="60108055" w14:textId="77777777" w:rsidR="0018526E" w:rsidRPr="009830DF" w:rsidRDefault="00876F9E">
      <w:pPr>
        <w:tabs>
          <w:tab w:val="left" w:pos="7938"/>
        </w:tabs>
        <w:spacing w:before="120" w:after="120"/>
        <w:ind w:left="1134" w:right="900"/>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74181990" w14:textId="77777777" w:rsidR="0018526E" w:rsidRPr="009830DF" w:rsidRDefault="00876F9E">
      <w:pPr>
        <w:tabs>
          <w:tab w:val="left" w:pos="7938"/>
        </w:tabs>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XII</w:t>
      </w:r>
      <w:r w:rsidRPr="009830DF">
        <w:rPr>
          <w:rFonts w:ascii="Palatino Linotype" w:eastAsia="Palatino Linotype" w:hAnsi="Palatino Linotype" w:cs="Palatino Linotype"/>
          <w:i/>
          <w:sz w:val="22"/>
          <w:szCs w:val="22"/>
        </w:rPr>
        <w:t>.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14:paraId="5B999D9A" w14:textId="77777777" w:rsidR="0018526E" w:rsidRPr="009830DF" w:rsidRDefault="00876F9E">
      <w:pPr>
        <w:tabs>
          <w:tab w:val="left" w:pos="7938"/>
        </w:tabs>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49.-</w:t>
      </w:r>
      <w:r w:rsidRPr="009830DF">
        <w:rPr>
          <w:rFonts w:ascii="Palatino Linotype" w:eastAsia="Palatino Linotype" w:hAnsi="Palatino Linotype" w:cs="Palatino Linotype"/>
          <w:i/>
          <w:sz w:val="22"/>
          <w:szCs w:val="22"/>
        </w:rPr>
        <w:t xml:space="preserve"> El procedimiento de adjudicación directa se substanciará con arreglo a el reglamento de esta Ley.”</w:t>
      </w:r>
    </w:p>
    <w:p w14:paraId="2F3FF330"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Asimismo, es imprescindible mencionar que los </w:t>
      </w:r>
      <w:r w:rsidRPr="009830DF">
        <w:rPr>
          <w:rFonts w:ascii="Palatino Linotype" w:eastAsia="Palatino Linotype" w:hAnsi="Palatino Linotype" w:cs="Palatino Linotype"/>
          <w:b/>
        </w:rPr>
        <w:t>contratos pedido</w:t>
      </w:r>
      <w:r w:rsidRPr="009830DF">
        <w:rPr>
          <w:rFonts w:ascii="Palatino Linotype" w:eastAsia="Palatino Linotype" w:hAnsi="Palatino Linotype" w:cs="Palatino Linotype"/>
        </w:rPr>
        <w:t xml:space="preserve">, de conformidad con el artículo 80 dela Ley de Contratación Pública del Estado, son aquellos </w:t>
      </w:r>
      <w:r w:rsidRPr="009830DF">
        <w:rPr>
          <w:rFonts w:ascii="Palatino Linotype" w:eastAsia="Palatino Linotype" w:hAnsi="Palatino Linotype" w:cs="Palatino Linotype"/>
          <w:b/>
        </w:rPr>
        <w:t>instrumentos que permiten a las dependencias</w:t>
      </w:r>
      <w:r w:rsidRPr="009830DF">
        <w:rPr>
          <w:rFonts w:ascii="Palatino Linotype" w:eastAsia="Palatino Linotype" w:hAnsi="Palatino Linotype" w:cs="Palatino Linotype"/>
        </w:rPr>
        <w:t xml:space="preserve">, a las entidades, a los tribunales administrativos y a los ayuntamientos </w:t>
      </w:r>
      <w:r w:rsidRPr="009830DF">
        <w:rPr>
          <w:rFonts w:ascii="Palatino Linotype" w:eastAsia="Palatino Linotype" w:hAnsi="Palatino Linotype" w:cs="Palatino Linotype"/>
          <w:b/>
        </w:rPr>
        <w:t>adquirir bienes o contratar servicios</w:t>
      </w: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b/>
        </w:rPr>
        <w:t>por una cantidad que no exceda los montos establecidos para la adjudicación directa</w:t>
      </w:r>
      <w:r w:rsidRPr="009830DF">
        <w:rPr>
          <w:rFonts w:ascii="Palatino Linotype" w:eastAsia="Palatino Linotype" w:hAnsi="Palatino Linotype" w:cs="Palatino Linotype"/>
        </w:rPr>
        <w:t>, de conformidad con lo previsto en la fracción XI del artículo 48 de la presente Ley, debiendo, las dependencias contratos pedido para la contratación de bienes o de servicios, que realicen al amparo de dicha fracción.</w:t>
      </w:r>
    </w:p>
    <w:p w14:paraId="436154E6"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Mientras que los artículos 92 y 141 del Reglamento de la Ley, establecen las formalidades que deben observarse para la celebración de los contratos pedido, a saber: </w:t>
      </w:r>
    </w:p>
    <w:p w14:paraId="0802DAF1"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r w:rsidRPr="009830DF">
        <w:rPr>
          <w:rFonts w:ascii="Palatino Linotype" w:eastAsia="Palatino Linotype" w:hAnsi="Palatino Linotype" w:cs="Palatino Linotype"/>
          <w:b/>
          <w:i/>
          <w:sz w:val="22"/>
          <w:szCs w:val="22"/>
        </w:rPr>
        <w:t>Artículo 92</w:t>
      </w:r>
      <w:r w:rsidRPr="009830DF">
        <w:rPr>
          <w:rFonts w:ascii="Palatino Linotype" w:eastAsia="Palatino Linotype" w:hAnsi="Palatino Linotype" w:cs="Palatino Linotype"/>
          <w:i/>
          <w:sz w:val="22"/>
          <w:szCs w:val="22"/>
        </w:rPr>
        <w:t xml:space="preserve">.- Para los </w:t>
      </w:r>
      <w:r w:rsidRPr="009830DF">
        <w:rPr>
          <w:rFonts w:ascii="Palatino Linotype" w:eastAsia="Palatino Linotype" w:hAnsi="Palatino Linotype" w:cs="Palatino Linotype"/>
          <w:b/>
          <w:i/>
          <w:sz w:val="22"/>
          <w:szCs w:val="22"/>
        </w:rPr>
        <w:t xml:space="preserve">procedimientos de adjudicación directa cuyo importe de la operación no rebase los montos establecidos en el </w:t>
      </w:r>
      <w:r w:rsidRPr="009830DF">
        <w:rPr>
          <w:rFonts w:ascii="Palatino Linotype" w:eastAsia="Palatino Linotype" w:hAnsi="Palatino Linotype" w:cs="Palatino Linotype"/>
          <w:b/>
          <w:i/>
          <w:sz w:val="22"/>
          <w:szCs w:val="22"/>
        </w:rPr>
        <w:lastRenderedPageBreak/>
        <w:t>Presupuesto de Egresos</w:t>
      </w:r>
      <w:r w:rsidRPr="009830DF">
        <w:rPr>
          <w:rFonts w:ascii="Palatino Linotype" w:eastAsia="Palatino Linotype" w:hAnsi="Palatino Linotype" w:cs="Palatino Linotype"/>
          <w:i/>
          <w:sz w:val="22"/>
          <w:szCs w:val="22"/>
        </w:rPr>
        <w:t xml:space="preserve"> del Gobierno del Estado en el ejercicio correspondiente </w:t>
      </w:r>
      <w:r w:rsidRPr="009830DF">
        <w:rPr>
          <w:rFonts w:ascii="Palatino Linotype" w:eastAsia="Palatino Linotype" w:hAnsi="Palatino Linotype" w:cs="Palatino Linotype"/>
          <w:b/>
          <w:i/>
          <w:sz w:val="22"/>
          <w:szCs w:val="22"/>
        </w:rPr>
        <w:t>y, cuyo importe sea superior al monto determinado para el fondo fijo de caja</w:t>
      </w:r>
      <w:r w:rsidRPr="009830DF">
        <w:rPr>
          <w:rFonts w:ascii="Palatino Linotype" w:eastAsia="Palatino Linotype" w:hAnsi="Palatino Linotype" w:cs="Palatino Linotype"/>
          <w:i/>
          <w:sz w:val="22"/>
          <w:szCs w:val="22"/>
        </w:rPr>
        <w:t xml:space="preserve">; </w:t>
      </w:r>
      <w:r w:rsidRPr="009830DF">
        <w:rPr>
          <w:rFonts w:ascii="Palatino Linotype" w:eastAsia="Palatino Linotype" w:hAnsi="Palatino Linotype" w:cs="Palatino Linotype"/>
          <w:b/>
          <w:i/>
          <w:sz w:val="22"/>
          <w:szCs w:val="22"/>
          <w:u w:val="single"/>
        </w:rPr>
        <w:t>se deberá celebrar contrato pedido</w:t>
      </w:r>
      <w:r w:rsidRPr="009830DF">
        <w:rPr>
          <w:rFonts w:ascii="Palatino Linotype" w:eastAsia="Palatino Linotype" w:hAnsi="Palatino Linotype" w:cs="Palatino Linotype"/>
          <w:i/>
          <w:sz w:val="22"/>
          <w:szCs w:val="22"/>
        </w:rPr>
        <w:t>, sin que sea necesario observar las disposiciones de los demás artículos de esta Sección.</w:t>
      </w:r>
    </w:p>
    <w:p w14:paraId="70960BCA"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w:t>
      </w:r>
    </w:p>
    <w:p w14:paraId="474F4615"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 </w:t>
      </w:r>
    </w:p>
    <w:p w14:paraId="47407DA7" w14:textId="77777777" w:rsidR="0018526E" w:rsidRPr="009830DF" w:rsidRDefault="00876F9E">
      <w:pPr>
        <w:spacing w:before="120" w:after="120"/>
        <w:ind w:left="851" w:right="902"/>
        <w:jc w:val="both"/>
        <w:rPr>
          <w:rFonts w:ascii="Palatino Linotype" w:eastAsia="Palatino Linotype" w:hAnsi="Palatino Linotype" w:cs="Palatino Linotype"/>
          <w:i/>
          <w:sz w:val="20"/>
          <w:szCs w:val="20"/>
        </w:rPr>
      </w:pPr>
      <w:r w:rsidRPr="009830DF">
        <w:rPr>
          <w:rFonts w:ascii="Palatino Linotype" w:eastAsia="Palatino Linotype" w:hAnsi="Palatino Linotype" w:cs="Palatino Linotype"/>
          <w:i/>
          <w:sz w:val="22"/>
          <w:szCs w:val="22"/>
        </w:rPr>
        <w:t>En el caso de los municipios, las cotizaciones deberán obtenerse a través de sus áreas de administración.</w:t>
      </w:r>
    </w:p>
    <w:p w14:paraId="10214A56"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p>
    <w:p w14:paraId="682D7079"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141</w:t>
      </w:r>
      <w:r w:rsidRPr="009830DF">
        <w:rPr>
          <w:rFonts w:ascii="Palatino Linotype" w:eastAsia="Palatino Linotype" w:hAnsi="Palatino Linotype" w:cs="Palatino Linotype"/>
          <w:i/>
          <w:sz w:val="22"/>
          <w:szCs w:val="22"/>
        </w:rPr>
        <w:t xml:space="preserve">.-Los contratos pedido que </w:t>
      </w:r>
      <w:r w:rsidRPr="009830DF">
        <w:rPr>
          <w:rFonts w:ascii="Palatino Linotype" w:eastAsia="Palatino Linotype" w:hAnsi="Palatino Linotype" w:cs="Palatino Linotype"/>
          <w:b/>
          <w:i/>
          <w:sz w:val="22"/>
          <w:szCs w:val="22"/>
        </w:rPr>
        <w:t>se celebren al amparo del artículo 80 de la Ley</w:t>
      </w:r>
      <w:r w:rsidRPr="009830DF">
        <w:rPr>
          <w:rFonts w:ascii="Palatino Linotype" w:eastAsia="Palatino Linotype" w:hAnsi="Palatino Linotype" w:cs="Palatino Linotype"/>
          <w:i/>
          <w:sz w:val="22"/>
          <w:szCs w:val="22"/>
        </w:rPr>
        <w:t xml:space="preserve">, </w:t>
      </w:r>
      <w:r w:rsidRPr="009830DF">
        <w:rPr>
          <w:rFonts w:ascii="Palatino Linotype" w:eastAsia="Palatino Linotype" w:hAnsi="Palatino Linotype" w:cs="Palatino Linotype"/>
          <w:b/>
          <w:i/>
          <w:sz w:val="22"/>
          <w:szCs w:val="22"/>
          <w:u w:val="single"/>
        </w:rPr>
        <w:t>se realizarán directamente por las unidades administrativas de las dependencias</w:t>
      </w:r>
      <w:r w:rsidRPr="009830DF">
        <w:rPr>
          <w:rFonts w:ascii="Palatino Linotype" w:eastAsia="Palatino Linotype" w:hAnsi="Palatino Linotype" w:cs="Palatino Linotype"/>
          <w:i/>
          <w:sz w:val="22"/>
          <w:szCs w:val="22"/>
        </w:rPr>
        <w:t xml:space="preserve">, organismos auxiliares, tribunales administrativos y municipios, y serán formalizados con el proveedor que resultó seleccionado del análisis de al menos dos cotizaciones obtenidas, en términos del artículo 92 del presente Reglamento y que garantice las mejores condiciones en cuanto a precio, calidad, financiamiento, oportunidad y demás circunstancias pertinentes. </w:t>
      </w:r>
    </w:p>
    <w:p w14:paraId="3240CABE"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Los contratos pedidos de los organismos auxiliares que otorguen servicios de salud, serán formalizados por los titulares de las unidades médicas, a fin de asegurar el suministro inmediato en casos de urgencias médicas. En el caso de los municipios las cotizaciones deberán obtenerse a través de sus áreas de administración. </w:t>
      </w:r>
    </w:p>
    <w:p w14:paraId="7AAEAD5E"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Los </w:t>
      </w:r>
      <w:proofErr w:type="gramStart"/>
      <w:r w:rsidRPr="009830DF">
        <w:rPr>
          <w:rFonts w:ascii="Palatino Linotype" w:eastAsia="Palatino Linotype" w:hAnsi="Palatino Linotype" w:cs="Palatino Linotype"/>
          <w:i/>
          <w:sz w:val="22"/>
          <w:szCs w:val="22"/>
        </w:rPr>
        <w:t>contratos pedido</w:t>
      </w:r>
      <w:proofErr w:type="gramEnd"/>
      <w:r w:rsidRPr="009830DF">
        <w:rPr>
          <w:rFonts w:ascii="Palatino Linotype" w:eastAsia="Palatino Linotype" w:hAnsi="Palatino Linotype" w:cs="Palatino Linotype"/>
          <w:i/>
          <w:sz w:val="22"/>
          <w:szCs w:val="22"/>
        </w:rPr>
        <w:t xml:space="preserve"> deberán contener como mínimo lo siguiente: </w:t>
      </w:r>
    </w:p>
    <w:p w14:paraId="1A3DE0E4"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w:t>
      </w:r>
      <w:r w:rsidRPr="009830DF">
        <w:rPr>
          <w:rFonts w:ascii="Palatino Linotype" w:eastAsia="Palatino Linotype" w:hAnsi="Palatino Linotype" w:cs="Palatino Linotype"/>
          <w:i/>
          <w:sz w:val="22"/>
          <w:szCs w:val="22"/>
        </w:rPr>
        <w:t xml:space="preserve">. Descripción, unidad de medida y cantidad de los bienes y/o servicios; </w:t>
      </w:r>
    </w:p>
    <w:p w14:paraId="52E95A7A"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 xml:space="preserve">II. </w:t>
      </w:r>
      <w:r w:rsidRPr="009830DF">
        <w:rPr>
          <w:rFonts w:ascii="Palatino Linotype" w:eastAsia="Palatino Linotype" w:hAnsi="Palatino Linotype" w:cs="Palatino Linotype"/>
          <w:i/>
          <w:sz w:val="22"/>
          <w:szCs w:val="22"/>
        </w:rPr>
        <w:t xml:space="preserve">Lugar y plazo de entrega de los bienes o de la prestación de los servicios; </w:t>
      </w:r>
    </w:p>
    <w:p w14:paraId="5D40D761"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lastRenderedPageBreak/>
        <w:t>III.</w:t>
      </w:r>
      <w:r w:rsidRPr="009830DF">
        <w:rPr>
          <w:rFonts w:ascii="Palatino Linotype" w:eastAsia="Palatino Linotype" w:hAnsi="Palatino Linotype" w:cs="Palatino Linotype"/>
          <w:i/>
          <w:sz w:val="22"/>
          <w:szCs w:val="22"/>
        </w:rPr>
        <w:t xml:space="preserve"> Precio unitario de los bienes y/o servicios e importe total; y </w:t>
      </w:r>
    </w:p>
    <w:p w14:paraId="1B939502"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IV</w:t>
      </w:r>
      <w:r w:rsidRPr="009830DF">
        <w:rPr>
          <w:rFonts w:ascii="Palatino Linotype" w:eastAsia="Palatino Linotype" w:hAnsi="Palatino Linotype" w:cs="Palatino Linotype"/>
          <w:i/>
          <w:sz w:val="22"/>
          <w:szCs w:val="22"/>
        </w:rPr>
        <w:t xml:space="preserve">. Garantía de defectos o vicios ocultos, la cual deberá ser hasta por un diez por ciento del importe total del contrato pedido y deberá estar vigente al menos por un año, contado a partir de la fecha de recepción de los bienes. No aplicará lo dispuesto en esta fracción a los proveedores sociales. </w:t>
      </w:r>
    </w:p>
    <w:p w14:paraId="07C82F5E"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Los contratantes bajo su responsabilidad y previa justificación documental que deberá obrar en el expediente adquisitivo, podrán exceptuar a los proveedores de otorgar la garantía de defectos o vicios ocultos. </w:t>
      </w:r>
    </w:p>
    <w:p w14:paraId="25CDE11F"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En ningún caso se podrá fraccionar el importe de las operaciones con el propósito de quedar comprendidas en este supuesto. </w:t>
      </w:r>
    </w:p>
    <w:p w14:paraId="66423009"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La Secretaría de la Contraloría y los órganos de control interno, en el ámbito de su competencia, vigilarán el cumplimiento de esta disposición. Para tal efecto, las dependencias, organismos auxiliares, tribunales administrativos y municipios, emitirán un reporte mensual de los contratos pedido que celebren en términos del presente artículo, y lo remitirán dentro de los cinco primeros días hábiles del mes siguiente al de su celebración, a sus órganos de control interno.</w:t>
      </w:r>
    </w:p>
    <w:p w14:paraId="1439B7F1"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Cuando no se puedan obtener las cotizaciones referidas en el primer párrafo, por razones de titularidad de patentes, registros, derechos de autor o derechos exclusivos; mantenimientos correctivos; o bien, porque el área usuaria no lo considere conveniente por motivos de confidencialidad de la información o porque ponga en riesgo la seguridad del Estado, bastará con obtener sólo una cotización.”</w:t>
      </w:r>
    </w:p>
    <w:p w14:paraId="055256E5"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Aunado a lo anterior, respecto de la obra pública, resulta aplicable el Libro Décimo Segundo del Código Administrativo del Estado de México, mismo que tiene por objeto, de conformidad con el artículo 12.1, regular los actos relativos a la planeación, programación, presupuestación, adjudicación, contratación, ejecución y control de la obra pública, así como los servicios relacionados con la misma que, por sí o por conducto de terceros, realicen las secretarías y unidades administrativas del Poder Ejecutivo; la Fiscalía General de Justicia; los ayuntamientos de los municipios del Estado; los organismos auxiliares y fideicomisos públicos del Estado y municipios y los tribunales administrativos, y que en su parte conducente establece lo siguiente:</w:t>
      </w:r>
    </w:p>
    <w:p w14:paraId="42DC4776"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lastRenderedPageBreak/>
        <w:t>“</w:t>
      </w:r>
      <w:r w:rsidRPr="009830DF">
        <w:rPr>
          <w:rFonts w:ascii="Palatino Linotype" w:eastAsia="Palatino Linotype" w:hAnsi="Palatino Linotype" w:cs="Palatino Linotype"/>
          <w:b/>
          <w:i/>
          <w:sz w:val="22"/>
          <w:szCs w:val="22"/>
        </w:rPr>
        <w:t>Artículo 12.20</w:t>
      </w:r>
      <w:r w:rsidRPr="009830DF">
        <w:rPr>
          <w:rFonts w:ascii="Palatino Linotype" w:eastAsia="Palatino Linotype" w:hAnsi="Palatino Linotype" w:cs="Palatino Linotype"/>
          <w:i/>
          <w:sz w:val="22"/>
          <w:szCs w:val="22"/>
        </w:rPr>
        <w:t xml:space="preserve">.- Los contratos a que se refiere este Libro, se adjudicarán a través de licitaciones públicas, mediante convocatoria pública. </w:t>
      </w:r>
    </w:p>
    <w:p w14:paraId="17AE6385"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12.21</w:t>
      </w:r>
      <w:r w:rsidRPr="009830DF">
        <w:rPr>
          <w:rFonts w:ascii="Palatino Linotype" w:eastAsia="Palatino Linotype" w:hAnsi="Palatino Linotype" w:cs="Palatino Linotype"/>
          <w:i/>
          <w:sz w:val="22"/>
          <w:szCs w:val="22"/>
        </w:rPr>
        <w:t>.- Las dependencias, entidades y ayuntamientos podrán adjudicar contratos para la ejecución de obra pública o servicios relacionados con la misma. mediante las excepciones al procedimiento de licitación siguientes:</w:t>
      </w:r>
    </w:p>
    <w:p w14:paraId="182C9D24"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w:t>
      </w:r>
      <w:r w:rsidRPr="009830DF">
        <w:rPr>
          <w:rFonts w:ascii="Palatino Linotype" w:eastAsia="Palatino Linotype" w:hAnsi="Palatino Linotype" w:cs="Palatino Linotype"/>
          <w:i/>
          <w:sz w:val="22"/>
          <w:szCs w:val="22"/>
        </w:rPr>
        <w:t xml:space="preserve">. Invitación restringida; </w:t>
      </w:r>
    </w:p>
    <w:p w14:paraId="02952DEC"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w:t>
      </w:r>
      <w:r w:rsidRPr="009830DF">
        <w:rPr>
          <w:rFonts w:ascii="Palatino Linotype" w:eastAsia="Palatino Linotype" w:hAnsi="Palatino Linotype" w:cs="Palatino Linotype"/>
          <w:i/>
          <w:sz w:val="22"/>
          <w:szCs w:val="22"/>
        </w:rPr>
        <w:t>. Adjudicación directa.</w:t>
      </w:r>
    </w:p>
    <w:p w14:paraId="300F60EC"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12.22</w:t>
      </w:r>
      <w:r w:rsidRPr="009830DF">
        <w:rPr>
          <w:rFonts w:ascii="Palatino Linotype" w:eastAsia="Palatino Linotype" w:hAnsi="Palatino Linotype" w:cs="Palatino Linotype"/>
          <w:i/>
          <w:sz w:val="22"/>
          <w:szCs w:val="22"/>
        </w:rPr>
        <w:t xml:space="preserve">.- En el procedimiento de licitación pública deberán establecerse los mismos requisitos y condiciones para todos los participantes, debiendo las dependencias, entidades y ayuntamientos, </w:t>
      </w:r>
      <w:proofErr w:type="gramStart"/>
      <w:r w:rsidRPr="009830DF">
        <w:rPr>
          <w:rFonts w:ascii="Palatino Linotype" w:eastAsia="Palatino Linotype" w:hAnsi="Palatino Linotype" w:cs="Palatino Linotype"/>
          <w:i/>
          <w:sz w:val="22"/>
          <w:szCs w:val="22"/>
        </w:rPr>
        <w:t>proporcionarles</w:t>
      </w:r>
      <w:proofErr w:type="gramEnd"/>
      <w:r w:rsidRPr="009830DF">
        <w:rPr>
          <w:rFonts w:ascii="Palatino Linotype" w:eastAsia="Palatino Linotype" w:hAnsi="Palatino Linotype" w:cs="Palatino Linotype"/>
          <w:i/>
          <w:sz w:val="22"/>
          <w:szCs w:val="22"/>
        </w:rPr>
        <w:t xml:space="preserve"> igual acceso a la información relacionada con dicho procedimiento, a fin de evitar favorecer a algún participante.</w:t>
      </w:r>
    </w:p>
    <w:p w14:paraId="5905FB54"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p>
    <w:p w14:paraId="55879BD5"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12.25</w:t>
      </w:r>
      <w:r w:rsidRPr="009830DF">
        <w:rPr>
          <w:rFonts w:ascii="Palatino Linotype" w:eastAsia="Palatino Linotype" w:hAnsi="Palatino Linotype" w:cs="Palatino Linotype"/>
          <w:i/>
          <w:sz w:val="22"/>
          <w:szCs w:val="22"/>
        </w:rPr>
        <w:t xml:space="preserve">.- Las convocatorias públicas que podrán referirse a una o más obras públicas o servicios relacionados con las mismas, se publicarán cuando menos en uno de los diarios de mayor circulación en la capital del Estado y en uno de los diarios de mayor circulación nacional; así como a través de los medios electrónicos que para tal efecto disponga la Contraloría y contendrán: </w:t>
      </w:r>
    </w:p>
    <w:p w14:paraId="4E721DCF"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w:t>
      </w:r>
      <w:r w:rsidRPr="009830DF">
        <w:rPr>
          <w:rFonts w:ascii="Palatino Linotype" w:eastAsia="Palatino Linotype" w:hAnsi="Palatino Linotype" w:cs="Palatino Linotype"/>
          <w:i/>
          <w:sz w:val="22"/>
          <w:szCs w:val="22"/>
        </w:rPr>
        <w:t xml:space="preserve"> El nombre, denominación o razón social de la dependencia, entidad o ayuntamiento convocante; </w:t>
      </w:r>
    </w:p>
    <w:p w14:paraId="0AEE6977"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w:t>
      </w:r>
      <w:r w:rsidRPr="009830DF">
        <w:rPr>
          <w:rFonts w:ascii="Palatino Linotype" w:eastAsia="Palatino Linotype" w:hAnsi="Palatino Linotype" w:cs="Palatino Linotype"/>
          <w:i/>
          <w:sz w:val="22"/>
          <w:szCs w:val="22"/>
        </w:rPr>
        <w:t xml:space="preserve"> El nombre y la descripción general de la obra o del servicio y el lugar en donde se llevarán a cabo los trabajos; </w:t>
      </w:r>
    </w:p>
    <w:p w14:paraId="7750B6D8"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III.</w:t>
      </w:r>
      <w:r w:rsidRPr="009830DF">
        <w:rPr>
          <w:rFonts w:ascii="Palatino Linotype" w:eastAsia="Palatino Linotype" w:hAnsi="Palatino Linotype" w:cs="Palatino Linotype"/>
          <w:i/>
          <w:sz w:val="22"/>
          <w:szCs w:val="22"/>
        </w:rPr>
        <w:t xml:space="preserve"> La indicación de si la licitación es nacional o internacional; y en caso de ser internacional, si se realizará o no bajo la cobertura del capítulo de compras del sector público de alguno de los Tratados de Libre Comercio celebrados por México con otras naciones y el idioma o idiomas, además del español, en que podrán presentarse las proposiciones; </w:t>
      </w:r>
    </w:p>
    <w:p w14:paraId="6E837AA5"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IV</w:t>
      </w:r>
      <w:r w:rsidRPr="009830DF">
        <w:rPr>
          <w:rFonts w:ascii="Palatino Linotype" w:eastAsia="Palatino Linotype" w:hAnsi="Palatino Linotype" w:cs="Palatino Linotype"/>
          <w:i/>
          <w:sz w:val="22"/>
          <w:szCs w:val="22"/>
        </w:rPr>
        <w:t>. El origen de los recursos para su ejecución;</w:t>
      </w:r>
    </w:p>
    <w:p w14:paraId="450507A6"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V.</w:t>
      </w:r>
      <w:r w:rsidRPr="009830DF">
        <w:rPr>
          <w:rFonts w:ascii="Palatino Linotype" w:eastAsia="Palatino Linotype" w:hAnsi="Palatino Linotype" w:cs="Palatino Linotype"/>
          <w:i/>
          <w:sz w:val="22"/>
          <w:szCs w:val="22"/>
        </w:rPr>
        <w:t xml:space="preserve"> La forma en que los interesados deberán acreditar su existencia legal, experiencia, capacidad técnica y financiera que se requiera para participar en la licitación, de acuerdo con las características, complejidad y magnitud de los trabajos;</w:t>
      </w:r>
    </w:p>
    <w:p w14:paraId="6D0340F2"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VI</w:t>
      </w:r>
      <w:r w:rsidRPr="009830DF">
        <w:rPr>
          <w:rFonts w:ascii="Palatino Linotype" w:eastAsia="Palatino Linotype" w:hAnsi="Palatino Linotype" w:cs="Palatino Linotype"/>
          <w:i/>
          <w:sz w:val="22"/>
          <w:szCs w:val="22"/>
        </w:rPr>
        <w:t xml:space="preserve">. La indicación de los lugares, fechas, horarios y medios electrónicos en que los interesados podrán obtener las bases de la licitación y en su caso, el costo y forma de pago de las mismas; </w:t>
      </w:r>
    </w:p>
    <w:p w14:paraId="30DF755B"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lastRenderedPageBreak/>
        <w:t>VII.</w:t>
      </w:r>
      <w:r w:rsidRPr="009830DF">
        <w:rPr>
          <w:rFonts w:ascii="Palatino Linotype" w:eastAsia="Palatino Linotype" w:hAnsi="Palatino Linotype" w:cs="Palatino Linotype"/>
          <w:i/>
          <w:sz w:val="22"/>
          <w:szCs w:val="22"/>
        </w:rPr>
        <w:t xml:space="preserve"> El lugar, fecha y hora de celebración de los actos relativos a la presentación y apertura de proposiciones y a la vista al sitio de realización de los trabajos; </w:t>
      </w:r>
    </w:p>
    <w:p w14:paraId="07A5FE33"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VIII.</w:t>
      </w:r>
      <w:r w:rsidRPr="009830DF">
        <w:rPr>
          <w:rFonts w:ascii="Palatino Linotype" w:eastAsia="Palatino Linotype" w:hAnsi="Palatino Linotype" w:cs="Palatino Linotype"/>
          <w:i/>
          <w:sz w:val="22"/>
          <w:szCs w:val="22"/>
        </w:rPr>
        <w:t xml:space="preserve"> Plazo de ejecución de los trabajos, indicando la fecha estimada de inicio de los mismos, así como el importe de la primera asignación, en el caso de que dicho plazo comprenda más de un ejercicio; </w:t>
      </w:r>
    </w:p>
    <w:p w14:paraId="0615B1B7"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IX</w:t>
      </w:r>
      <w:r w:rsidRPr="009830DF">
        <w:rPr>
          <w:rFonts w:ascii="Palatino Linotype" w:eastAsia="Palatino Linotype" w:hAnsi="Palatino Linotype" w:cs="Palatino Linotype"/>
          <w:i/>
          <w:sz w:val="22"/>
          <w:szCs w:val="22"/>
        </w:rPr>
        <w:t xml:space="preserve">. Los porcentajes de los anticipos que, en su caso, se otorgarán; </w:t>
      </w:r>
    </w:p>
    <w:p w14:paraId="094F5C07"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X</w:t>
      </w:r>
      <w:r w:rsidRPr="009830DF">
        <w:rPr>
          <w:rFonts w:ascii="Palatino Linotype" w:eastAsia="Palatino Linotype" w:hAnsi="Palatino Linotype" w:cs="Palatino Linotype"/>
          <w:i/>
          <w:sz w:val="22"/>
          <w:szCs w:val="22"/>
        </w:rPr>
        <w:t xml:space="preserve">. La indicación de las personas que estén impedidas a participar, conforme con las disposiciones de este Libro; </w:t>
      </w:r>
    </w:p>
    <w:p w14:paraId="448A21E7"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XI.</w:t>
      </w:r>
      <w:r w:rsidRPr="009830DF">
        <w:rPr>
          <w:rFonts w:ascii="Palatino Linotype" w:eastAsia="Palatino Linotype" w:hAnsi="Palatino Linotype" w:cs="Palatino Linotype"/>
          <w:i/>
          <w:sz w:val="22"/>
          <w:szCs w:val="22"/>
        </w:rPr>
        <w:t xml:space="preserve"> La garantía que deberá otorgarse para asegurar la seriedad de la propuesta; </w:t>
      </w:r>
    </w:p>
    <w:p w14:paraId="02437EF4"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XII</w:t>
      </w:r>
      <w:r w:rsidRPr="009830DF">
        <w:rPr>
          <w:rFonts w:ascii="Palatino Linotype" w:eastAsia="Palatino Linotype" w:hAnsi="Palatino Linotype" w:cs="Palatino Linotype"/>
          <w:i/>
          <w:sz w:val="22"/>
          <w:szCs w:val="22"/>
        </w:rPr>
        <w:t xml:space="preserve">. Los ejercicios en que deberá pagarse la obra o servicio relacionados con la misma, cuando se trate de pago diferido; </w:t>
      </w:r>
    </w:p>
    <w:p w14:paraId="7269F68F"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XIII.</w:t>
      </w:r>
      <w:r w:rsidRPr="009830DF">
        <w:rPr>
          <w:rFonts w:ascii="Palatino Linotype" w:eastAsia="Palatino Linotype" w:hAnsi="Palatino Linotype" w:cs="Palatino Linotype"/>
          <w:i/>
          <w:sz w:val="22"/>
          <w:szCs w:val="22"/>
        </w:rPr>
        <w:t xml:space="preserve"> Los demás requisitos generales que deberán cumplir los interesados, según las características, complejidad y magnitud de los trabajos. La Contraloría hará pública la información referente a los procedimientos de adjudicación que determine, a través de los medios de difusión electrónica que establezca. </w:t>
      </w:r>
    </w:p>
    <w:p w14:paraId="6624B453"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12.26</w:t>
      </w:r>
      <w:r w:rsidRPr="009830DF">
        <w:rPr>
          <w:rFonts w:ascii="Palatino Linotype" w:eastAsia="Palatino Linotype" w:hAnsi="Palatino Linotype" w:cs="Palatino Linotype"/>
          <w:i/>
          <w:sz w:val="22"/>
          <w:szCs w:val="22"/>
        </w:rPr>
        <w:t xml:space="preserve">.- La evaluación de las proposiciones sólo podrá realizarse cuando éstas cumplan con los requisitos establecidos en las bases de licitación. </w:t>
      </w:r>
    </w:p>
    <w:p w14:paraId="2926C5F8"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El Reglamento de este Libro establecerá los procedimientos y criterios para la evaluación de las propuestas y los requisitos de las bases de licitación, las que en todo caso deberán garantizar el cumplimiento del contrato y considerar costas de mercado.</w:t>
      </w:r>
    </w:p>
    <w:p w14:paraId="4F85918F"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Lo dispuesto en este artículo será aplicable para los procedimientos de invitación restringida. </w:t>
      </w:r>
    </w:p>
    <w:p w14:paraId="522E0C51"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12.27.-</w:t>
      </w:r>
      <w:r w:rsidRPr="009830DF">
        <w:rPr>
          <w:rFonts w:ascii="Palatino Linotype" w:eastAsia="Palatino Linotype" w:hAnsi="Palatino Linotype" w:cs="Palatino Linotype"/>
          <w:i/>
          <w:sz w:val="22"/>
          <w:szCs w:val="22"/>
        </w:rPr>
        <w:t xml:space="preserve"> Una vez hecha la evaluación de las proposiciones, la convocante emitirá un dictamen que servirá como base para el fallo, en el que se hará constar la reseña cronológica de los actos del procedimiento, el análisis de las proposiciones y las razones para admitirlas o desecharlas. </w:t>
      </w:r>
    </w:p>
    <w:p w14:paraId="4B9B5272"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12.28</w:t>
      </w:r>
      <w:r w:rsidRPr="009830DF">
        <w:rPr>
          <w:rFonts w:ascii="Palatino Linotype" w:eastAsia="Palatino Linotype" w:hAnsi="Palatino Linotype" w:cs="Palatino Linotype"/>
          <w:i/>
          <w:sz w:val="22"/>
          <w:szCs w:val="22"/>
        </w:rPr>
        <w:t>.- El contrato se adjudicará de entre los licitantes, a aquel cuya propuesta cumpla con las bases de licitación y resulte idónea por asegurar las mejores condiciones disponibles en cuanto a precio, calidad, financiamiento, oportunidad y demás circunstancias pertinentes.</w:t>
      </w:r>
    </w:p>
    <w:p w14:paraId="20B6C325"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p>
    <w:p w14:paraId="1E693337"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lastRenderedPageBreak/>
        <w:t>Artículo 12.30.-</w:t>
      </w:r>
      <w:r w:rsidRPr="009830DF">
        <w:rPr>
          <w:rFonts w:ascii="Palatino Linotype" w:eastAsia="Palatino Linotype" w:hAnsi="Palatino Linotype" w:cs="Palatino Linotype"/>
          <w:i/>
          <w:sz w:val="22"/>
          <w:szCs w:val="22"/>
        </w:rPr>
        <w:t xml:space="preserve"> En junta pública la convocante dará a conocer el fallo de la licitación, a la que libremente podrán asistir los licitantes que hubieren participado en el acto de presentación y apertura de proposiciones, levantándose el acta respectiva, que firmarán los asistentes, a quienes se entregará copia de la misma. La falta de firma de algún licitante no invalidará su contenido y efectos, poniéndose a partir de esa fecha a disposición de los que no hayan asistido, para su conocimiento.</w:t>
      </w:r>
    </w:p>
    <w:p w14:paraId="44DE977A" w14:textId="77777777" w:rsidR="0018526E" w:rsidRPr="009830DF" w:rsidRDefault="00876F9E">
      <w:pPr>
        <w:spacing w:before="120" w:after="120"/>
        <w:ind w:left="851" w:right="900"/>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w:t>
      </w:r>
    </w:p>
    <w:p w14:paraId="2A65FCA3"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12.33</w:t>
      </w:r>
      <w:r w:rsidRPr="009830DF">
        <w:rPr>
          <w:rFonts w:ascii="Palatino Linotype" w:eastAsia="Palatino Linotype" w:hAnsi="Palatino Linotype" w:cs="Palatino Linotype"/>
          <w:i/>
          <w:sz w:val="22"/>
          <w:szCs w:val="22"/>
        </w:rPr>
        <w:t>.- Las dependencias, entidades y ayuntamientos, bajo su responsabilidad, podrán celebrar contratos a través de las modalidades de invitación restringida y adjudicación directa.</w:t>
      </w:r>
    </w:p>
    <w:p w14:paraId="2599C079"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El acreditamiento de los criterios mencionados y la justificación para el ejercicio de la opción, deberán hacerse constar mediante acuerdo del titular de la dependencia o entidad convocante o del cabildo. </w:t>
      </w:r>
    </w:p>
    <w:p w14:paraId="1679B1D5"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En todo caso se invitará o adjudicará de manera directa a personas que cuenten con capacidad de respuesta inmediata, así como con los recursos técnicos, financieros y demás que sean necesarios, de acuerdo con las características, complejidad y magnitud de los trabajos a ejecutar. </w:t>
      </w:r>
    </w:p>
    <w:p w14:paraId="55A803FB"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El titular de la dependencia o entidad autorizada por la Secretaría del Ramo de la contratación de los trabajos, dentro de los cinco primeros días hábiles de cada mes, enviará a la Contraloría un informe relativo a los contratos formalizados durante el mes calendario inmediato anterior. </w:t>
      </w:r>
    </w:p>
    <w:p w14:paraId="29AD9897"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Tendrán la misma obligación los ayuntamientos que contraten obra pública o servicios relacionados con la misma, con cargo total o parcial a recursos estatales.</w:t>
      </w:r>
    </w:p>
    <w:p w14:paraId="03C39B9F"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 El procedimiento de invitación restringida se desarrollará en los términos de la licitación pública, a excepción de la publicación de la convocatoria pública.</w:t>
      </w:r>
    </w:p>
    <w:p w14:paraId="0235D02C"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12.34.</w:t>
      </w:r>
      <w:r w:rsidRPr="009830DF">
        <w:rPr>
          <w:rFonts w:ascii="Palatino Linotype" w:eastAsia="Palatino Linotype" w:hAnsi="Palatino Linotype" w:cs="Palatino Linotype"/>
          <w:i/>
          <w:sz w:val="22"/>
          <w:szCs w:val="22"/>
        </w:rPr>
        <w:t xml:space="preserve">- Las dependencias, entidades y ayuntamientos podrán contratar obra pública o servicios relacionados con la misma, mediante el procedimiento de invitación restringida, cuando: </w:t>
      </w:r>
    </w:p>
    <w:p w14:paraId="657FDE4E"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w:t>
      </w:r>
      <w:r w:rsidRPr="009830DF">
        <w:rPr>
          <w:rFonts w:ascii="Palatino Linotype" w:eastAsia="Palatino Linotype" w:hAnsi="Palatino Linotype" w:cs="Palatino Linotype"/>
          <w:i/>
          <w:sz w:val="22"/>
          <w:szCs w:val="22"/>
        </w:rPr>
        <w:t xml:space="preserve"> Se hubiere declarado desierto un procedimiento de licitación; o </w:t>
      </w:r>
    </w:p>
    <w:p w14:paraId="75804AA0"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w:t>
      </w:r>
      <w:r w:rsidRPr="009830DF">
        <w:rPr>
          <w:rFonts w:ascii="Palatino Linotype" w:eastAsia="Palatino Linotype" w:hAnsi="Palatino Linotype" w:cs="Palatino Linotype"/>
          <w:i/>
          <w:sz w:val="22"/>
          <w:szCs w:val="22"/>
        </w:rPr>
        <w:t xml:space="preserve"> Las obras o servicios a contratar, no rebasen los montos establecidos por el Presupuesto de Egresos del Gobierno del Estado del ejercicio correspondiente. </w:t>
      </w:r>
    </w:p>
    <w:p w14:paraId="55BBC95F"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12.35</w:t>
      </w:r>
      <w:r w:rsidRPr="009830DF">
        <w:rPr>
          <w:rFonts w:ascii="Palatino Linotype" w:eastAsia="Palatino Linotype" w:hAnsi="Palatino Linotype" w:cs="Palatino Linotype"/>
          <w:i/>
          <w:sz w:val="22"/>
          <w:szCs w:val="22"/>
        </w:rPr>
        <w:t xml:space="preserve">.- El procedimiento a que se refiere el artículo anterior, comprende la invitación de tres personas, cuando menos, que serán seleccionadas de entre las que se inscriban en el catálogo de contratistas que para estos efectos opere la </w:t>
      </w:r>
      <w:r w:rsidRPr="009830DF">
        <w:rPr>
          <w:rFonts w:ascii="Palatino Linotype" w:eastAsia="Palatino Linotype" w:hAnsi="Palatino Linotype" w:cs="Palatino Linotype"/>
          <w:i/>
          <w:sz w:val="22"/>
          <w:szCs w:val="22"/>
        </w:rPr>
        <w:lastRenderedPageBreak/>
        <w:t>Secretaría del Ramo, en los términos que disponga la reglamentación de este Libro.</w:t>
      </w:r>
    </w:p>
    <w:p w14:paraId="2029150F"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p>
    <w:p w14:paraId="6319A83B"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12.37</w:t>
      </w:r>
      <w:r w:rsidRPr="009830DF">
        <w:rPr>
          <w:rFonts w:ascii="Palatino Linotype" w:eastAsia="Palatino Linotype" w:hAnsi="Palatino Linotype" w:cs="Palatino Linotype"/>
          <w:i/>
          <w:sz w:val="22"/>
          <w:szCs w:val="22"/>
        </w:rPr>
        <w:t xml:space="preserve">.- Las dependencias, entidades y ayuntamientos podrán adjudicar obra pública o servicios relacionados con la misma, mediante el procedimiento de adjudicación directa, cuando: </w:t>
      </w:r>
    </w:p>
    <w:p w14:paraId="6A57B9B8"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 xml:space="preserve">I. </w:t>
      </w:r>
      <w:r w:rsidRPr="009830DF">
        <w:rPr>
          <w:rFonts w:ascii="Palatino Linotype" w:eastAsia="Palatino Linotype" w:hAnsi="Palatino Linotype" w:cs="Palatino Linotype"/>
          <w:i/>
          <w:sz w:val="22"/>
          <w:szCs w:val="22"/>
        </w:rPr>
        <w:t xml:space="preserve">Se trate de restauración de monumentos arqueológicos, artísticos e históricos; </w:t>
      </w:r>
    </w:p>
    <w:p w14:paraId="427CC353"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II. Para la ejecución de la obra o servicios se requiera contratar al titular de una patente, derechos de autor u otros derechos exclusivos;</w:t>
      </w:r>
    </w:p>
    <w:p w14:paraId="475E2E2E"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III.</w:t>
      </w:r>
      <w:r w:rsidRPr="009830DF">
        <w:rPr>
          <w:rFonts w:ascii="Palatino Linotype" w:eastAsia="Palatino Linotype" w:hAnsi="Palatino Linotype" w:cs="Palatino Linotype"/>
          <w:i/>
          <w:sz w:val="22"/>
          <w:szCs w:val="22"/>
        </w:rPr>
        <w:t xml:space="preserve"> Se requiera de experiencia, materiales, equipos o técnicas especiales; </w:t>
      </w:r>
    </w:p>
    <w:p w14:paraId="031E6B30"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IV</w:t>
      </w:r>
      <w:r w:rsidRPr="009830DF">
        <w:rPr>
          <w:rFonts w:ascii="Palatino Linotype" w:eastAsia="Palatino Linotype" w:hAnsi="Palatino Linotype" w:cs="Palatino Linotype"/>
          <w:i/>
          <w:sz w:val="22"/>
          <w:szCs w:val="22"/>
        </w:rPr>
        <w:t xml:space="preserve">. Sea urgente la ejecución de la obra por estar en riesgo el orden social, la salubridad, la seguridad pública o el ambiente, de alguna zona o región del Estado; se paralicen los servicios públicos; se trate de programas de apoyo a la comunidad para atender necesidades apremiantes; o concurra alguna otra causa similar de interés público; </w:t>
      </w:r>
    </w:p>
    <w:p w14:paraId="4102C70F"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V</w:t>
      </w:r>
      <w:r w:rsidRPr="009830DF">
        <w:rPr>
          <w:rFonts w:ascii="Palatino Linotype" w:eastAsia="Palatino Linotype" w:hAnsi="Palatino Linotype" w:cs="Palatino Linotype"/>
          <w:i/>
          <w:sz w:val="22"/>
          <w:szCs w:val="22"/>
        </w:rPr>
        <w:t xml:space="preserve">. Existan circunstancias que puedan provocar pérdidas o costos adicionales importantes al erario; </w:t>
      </w:r>
    </w:p>
    <w:p w14:paraId="229B7441"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VI</w:t>
      </w:r>
      <w:r w:rsidRPr="009830DF">
        <w:rPr>
          <w:rFonts w:ascii="Palatino Linotype" w:eastAsia="Palatino Linotype" w:hAnsi="Palatino Linotype" w:cs="Palatino Linotype"/>
          <w:i/>
          <w:sz w:val="22"/>
          <w:szCs w:val="22"/>
        </w:rPr>
        <w:t xml:space="preserve">. Pueda comprometerse información de naturaleza confidencial para el Estado o municipios, por razones de seguridad pública; </w:t>
      </w:r>
    </w:p>
    <w:p w14:paraId="40C79803"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VII</w:t>
      </w:r>
      <w:r w:rsidRPr="009830DF">
        <w:rPr>
          <w:rFonts w:ascii="Palatino Linotype" w:eastAsia="Palatino Linotype" w:hAnsi="Palatino Linotype" w:cs="Palatino Linotype"/>
          <w:i/>
          <w:sz w:val="22"/>
          <w:szCs w:val="22"/>
        </w:rPr>
        <w:t xml:space="preserve">. Existan circunstancias extraordinarias o imprevisibles que generen riesgo o desastre. En este supuesto, la contratación deberá limitarse a lo estrictamente necesario para enfrentar tal eventualidad; </w:t>
      </w:r>
    </w:p>
    <w:p w14:paraId="441F7FFC"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VIII</w:t>
      </w:r>
      <w:r w:rsidRPr="009830DF">
        <w:rPr>
          <w:rFonts w:ascii="Palatino Linotype" w:eastAsia="Palatino Linotype" w:hAnsi="Palatino Linotype" w:cs="Palatino Linotype"/>
          <w:i/>
          <w:sz w:val="22"/>
          <w:szCs w:val="22"/>
        </w:rPr>
        <w:t xml:space="preserve">. Se hubiere rescindido un contrato por causas imputables al contratista ganador en una licitación; o la persona que habiendo resultado ganadora no concurra a la celebración del contrato en el plazo que dispone este Libro. </w:t>
      </w:r>
    </w:p>
    <w:p w14:paraId="077DB8AC"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En estos casos la dependencia, entidad o ayuntamiento podrá adjudicar el contrato al licitante que haya presentado la propuesta solvente más cercana a la ganadora y así sucesivamente; en todo caso, la diferencia de precio no deberá ser superior al diez por ciento respecto de la propuesta ganadora; </w:t>
      </w:r>
    </w:p>
    <w:p w14:paraId="7D2254F4"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IX.</w:t>
      </w:r>
      <w:r w:rsidRPr="009830DF">
        <w:rPr>
          <w:rFonts w:ascii="Palatino Linotype" w:eastAsia="Palatino Linotype" w:hAnsi="Palatino Linotype" w:cs="Palatino Linotype"/>
          <w:i/>
          <w:sz w:val="22"/>
          <w:szCs w:val="22"/>
        </w:rPr>
        <w:t xml:space="preserve"> Se hubiere declarado desierto un procedimiento de invitación restringida; </w:t>
      </w:r>
    </w:p>
    <w:p w14:paraId="292216DE"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X.</w:t>
      </w:r>
      <w:r w:rsidRPr="009830DF">
        <w:rPr>
          <w:rFonts w:ascii="Palatino Linotype" w:eastAsia="Palatino Linotype" w:hAnsi="Palatino Linotype" w:cs="Palatino Linotype"/>
          <w:i/>
          <w:sz w:val="22"/>
          <w:szCs w:val="22"/>
        </w:rPr>
        <w:t xml:space="preserve"> Cuando se aseguren condiciones financieras que permitan al Estado o municipios cumplir con la obligación de pago de manera diferida, sin que ello implique un costo financiero adicional; o bien que habiendo un costo financiero adicional éste sea inferior al del mercado; o </w:t>
      </w:r>
    </w:p>
    <w:p w14:paraId="1BD410CD"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lastRenderedPageBreak/>
        <w:t>XI.</w:t>
      </w:r>
      <w:r w:rsidRPr="009830DF">
        <w:rPr>
          <w:rFonts w:ascii="Palatino Linotype" w:eastAsia="Palatino Linotype" w:hAnsi="Palatino Linotype" w:cs="Palatino Linotype"/>
          <w:i/>
          <w:sz w:val="22"/>
          <w:szCs w:val="22"/>
        </w:rPr>
        <w:t xml:space="preserve"> Las obras o servicios a contratar, no rebasen los montos establecidos por el Presupuesto de Egresos del Gobierno del Estado del ejercicio correspondiente.</w:t>
      </w:r>
    </w:p>
    <w:p w14:paraId="31954D42"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12.38.</w:t>
      </w:r>
      <w:r w:rsidRPr="009830DF">
        <w:rPr>
          <w:rFonts w:ascii="Palatino Linotype" w:eastAsia="Palatino Linotype" w:hAnsi="Palatino Linotype" w:cs="Palatino Linotype"/>
          <w:i/>
          <w:sz w:val="22"/>
          <w:szCs w:val="22"/>
        </w:rPr>
        <w:t xml:space="preserve">- La adjudicación de la obra o servicios relacionados con la misma obligará a la dependencia, entidad o ayuntamiento y a la persona en que hubiere recaído, a suscribir el contrato respectivo dentro de los diez días hábiles siguientes al de la notificación del fallo. </w:t>
      </w:r>
    </w:p>
    <w:p w14:paraId="47C1AD13"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Si la dependencia, entidad o ayuntamiento no firmare el contrato dentro del plazo a que se refiere el párrafo anterior, el licitante ganador podrá exigir que se le cubran los gastos que realizo en preparar y elaborar su propuesta.”</w:t>
      </w:r>
    </w:p>
    <w:p w14:paraId="6C199268"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Cabe señalar que los procedimientos y criterios que las dependencias, órganos de gobierno de las entidades o ayuntamientos deben observar en los procedimientos de adjudicación de la obra pública, se encuentran contenidas en el TÍTULO TERCERO De los Procedimientos de Adjudicación de la Obra Pública, del Reglamento del Libro Décimo Segundo del Código Administrativo del Estado de México.</w:t>
      </w:r>
    </w:p>
    <w:p w14:paraId="2C129E30"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Por otro lado, de conformidad con el artículo 75 de la Ley de Transparencia y Acceso a la Información Pública del Estado de México y Municipios, los Sujetos Obligados se encuentran constreñidos a poner a disposición de los particulares, de manera permanente y actualizada de forma sencilla, precisa y entendible, en los respectivos medios electrónicos, de acuerdo con sus facultades, atribuciones u objeto social, la información por lo menos, de los temas, documentos y políticas que dicho ordenamiento señala.</w:t>
      </w:r>
    </w:p>
    <w:p w14:paraId="614B5B65" w14:textId="77777777" w:rsidR="0018526E" w:rsidRPr="009830DF" w:rsidRDefault="00876F9E">
      <w:pPr>
        <w:spacing w:before="240" w:after="240" w:line="360" w:lineRule="auto"/>
        <w:jc w:val="both"/>
        <w:rPr>
          <w:rFonts w:ascii="Arial" w:eastAsia="Arial" w:hAnsi="Arial" w:cs="Arial"/>
          <w:sz w:val="18"/>
          <w:szCs w:val="18"/>
        </w:rPr>
      </w:pPr>
      <w:r w:rsidRPr="009830DF">
        <w:rPr>
          <w:rFonts w:ascii="Palatino Linotype" w:eastAsia="Palatino Linotype" w:hAnsi="Palatino Linotype" w:cs="Palatino Linotype"/>
        </w:rPr>
        <w:t>Asimismo, que de acuerdo al artículo 76</w:t>
      </w:r>
      <w:r w:rsidRPr="009830DF">
        <w:rPr>
          <w:rFonts w:ascii="Palatino Linotype" w:eastAsia="Palatino Linotype" w:hAnsi="Palatino Linotype" w:cs="Palatino Linotype"/>
          <w:vertAlign w:val="superscript"/>
        </w:rPr>
        <w:footnoteReference w:id="3"/>
      </w:r>
      <w:r w:rsidRPr="009830DF">
        <w:rPr>
          <w:rFonts w:ascii="Palatino Linotype" w:eastAsia="Palatino Linotype" w:hAnsi="Palatino Linotype" w:cs="Palatino Linotype"/>
        </w:rPr>
        <w:t xml:space="preserve"> de la Ley de Transparencia y Acceso a la Información Pública del Estado de México y Municipios, la publicación de la </w:t>
      </w:r>
      <w:r w:rsidRPr="009830DF">
        <w:rPr>
          <w:rFonts w:ascii="Palatino Linotype" w:eastAsia="Palatino Linotype" w:hAnsi="Palatino Linotype" w:cs="Palatino Linotype"/>
        </w:rPr>
        <w:lastRenderedPageBreak/>
        <w:t>información derivada de las obligaciones de transparencia, se debe realizar conforme a los criterios establecidos por la misma Ley, además de observar los lineamientos técnicos que emita el Sistema Nacional respecto a los formatos de publicación de la información para asegurar que la información sea veraz, confiable, oportuna, congruente, integral, actualizada, accesible, comprensible y verificable; aunado a que se le impone a los Sujetos Obligados un plazo mínimo de tres meses para llevar a cabo la actualización de información disponible en los medios electrónicos, como se advierte en el artículo 77 de la citada Ley, que es del tenor literal siguiente:</w:t>
      </w:r>
    </w:p>
    <w:p w14:paraId="22FE283B" w14:textId="77777777" w:rsidR="0018526E" w:rsidRPr="009830DF" w:rsidRDefault="00876F9E">
      <w:pPr>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77. La información correspondiente a las obligaciones de transparencia deberá actualizarse por lo menos cada tres meses</w:t>
      </w:r>
      <w:r w:rsidRPr="009830DF">
        <w:rPr>
          <w:rFonts w:ascii="Palatino Linotype" w:eastAsia="Palatino Linotype" w:hAnsi="Palatino Linotype" w:cs="Palatino Linotype"/>
          <w:i/>
          <w:sz w:val="22"/>
          <w:szCs w:val="22"/>
        </w:rPr>
        <w:t>, salvo que en la presente Ley o en otra disposición normativa se establezca un plazo diverso. El Sistema Nacional y el Instituto emitirán los criterios para determinar el plazo mínimo que deberá permanecer disponible y accesible la información, atendiendo a las cualidades de la misma.</w:t>
      </w:r>
    </w:p>
    <w:p w14:paraId="0B5A208D" w14:textId="77777777" w:rsidR="0018526E" w:rsidRPr="009830DF" w:rsidRDefault="0018526E">
      <w:pPr>
        <w:ind w:left="851" w:right="900"/>
        <w:jc w:val="both"/>
        <w:rPr>
          <w:rFonts w:ascii="Palatino Linotype" w:eastAsia="Palatino Linotype" w:hAnsi="Palatino Linotype" w:cs="Palatino Linotype"/>
          <w:i/>
          <w:sz w:val="22"/>
          <w:szCs w:val="22"/>
        </w:rPr>
      </w:pPr>
    </w:p>
    <w:p w14:paraId="1B9F6EC8" w14:textId="77777777" w:rsidR="0018526E" w:rsidRPr="009830DF" w:rsidRDefault="00876F9E">
      <w:pPr>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La publicación de la información deberá indicar el sujeto obligado encargado de generarla, así como la fecha de su última actualización.”</w:t>
      </w:r>
    </w:p>
    <w:p w14:paraId="4E69B2EA" w14:textId="77777777" w:rsidR="0018526E" w:rsidRPr="009830DF" w:rsidRDefault="00876F9E">
      <w:pPr>
        <w:spacing w:before="240" w:after="240" w:line="360" w:lineRule="auto"/>
        <w:ind w:right="51"/>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En este tenor, a través del cumplimiento a la obligación de transparencia señalada en la fracción XIX del artículo 92 de la Ley de la Materia, los Sujetos Obligados deben poner a disposición del público de manera constante y actualizada, de forma sencilla, precisa y entendible, en los respectivos medios electrónicos, información relativa a los procesos y resultados sobre procedimientos de adjudicación directa, </w:t>
      </w:r>
      <w:r w:rsidRPr="009830DF">
        <w:rPr>
          <w:rFonts w:ascii="Palatino Linotype" w:eastAsia="Palatino Linotype" w:hAnsi="Palatino Linotype" w:cs="Palatino Linotype"/>
        </w:rPr>
        <w:lastRenderedPageBreak/>
        <w:t>invitación restringida, y licitación de cualquier naturaleza, incluyendo la versión pública del expediente respectivo y de los contratos celebrados, a saber:</w:t>
      </w:r>
    </w:p>
    <w:p w14:paraId="4801A70E" w14:textId="77777777" w:rsidR="0018526E" w:rsidRPr="009830DF" w:rsidRDefault="00876F9E">
      <w:pPr>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r w:rsidRPr="009830DF">
        <w:rPr>
          <w:rFonts w:ascii="Palatino Linotype" w:eastAsia="Palatino Linotype" w:hAnsi="Palatino Linotype" w:cs="Palatino Linotype"/>
          <w:b/>
          <w:i/>
          <w:sz w:val="22"/>
          <w:szCs w:val="22"/>
        </w:rPr>
        <w:t>Artículo 92</w:t>
      </w:r>
      <w:r w:rsidRPr="009830DF">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2729B15" w14:textId="77777777" w:rsidR="0018526E" w:rsidRPr="009830DF" w:rsidRDefault="00876F9E">
      <w:pPr>
        <w:tabs>
          <w:tab w:val="left" w:pos="426"/>
        </w:tabs>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p>
    <w:p w14:paraId="01B423B0" w14:textId="77777777" w:rsidR="0018526E" w:rsidRPr="009830DF" w:rsidRDefault="00876F9E">
      <w:pPr>
        <w:tabs>
          <w:tab w:val="left" w:pos="426"/>
        </w:tabs>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XXIX.</w:t>
      </w:r>
      <w:r w:rsidRPr="009830DF">
        <w:rPr>
          <w:rFonts w:ascii="Palatino Linotype" w:eastAsia="Palatino Linotype" w:hAnsi="Palatino Linotype" w:cs="Palatino Linotype"/>
          <w:i/>
          <w:sz w:val="22"/>
          <w:szCs w:val="22"/>
        </w:rPr>
        <w:t xml:space="preserve"> La </w:t>
      </w:r>
      <w:r w:rsidRPr="009830DF">
        <w:rPr>
          <w:rFonts w:ascii="Palatino Linotype" w:eastAsia="Palatino Linotype" w:hAnsi="Palatino Linotype" w:cs="Palatino Linotype"/>
          <w:b/>
          <w:i/>
          <w:sz w:val="22"/>
          <w:szCs w:val="22"/>
        </w:rPr>
        <w:t xml:space="preserve">información sobre los procesos y resultados </w:t>
      </w:r>
      <w:r w:rsidRPr="009830DF">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9830DF">
        <w:rPr>
          <w:rFonts w:ascii="Palatino Linotype" w:eastAsia="Palatino Linotype" w:hAnsi="Palatino Linotype" w:cs="Palatino Linotype"/>
          <w:i/>
          <w:sz w:val="22"/>
          <w:szCs w:val="22"/>
          <w:u w:val="single"/>
        </w:rPr>
        <w:t xml:space="preserve">, </w:t>
      </w:r>
      <w:r w:rsidRPr="009830DF">
        <w:rPr>
          <w:rFonts w:ascii="Palatino Linotype" w:eastAsia="Palatino Linotype" w:hAnsi="Palatino Linotype" w:cs="Palatino Linotype"/>
          <w:b/>
          <w:i/>
          <w:sz w:val="22"/>
          <w:szCs w:val="22"/>
        </w:rPr>
        <w:t>incluyendo la versión pública</w:t>
      </w:r>
      <w:r w:rsidRPr="009830DF">
        <w:rPr>
          <w:rFonts w:ascii="Palatino Linotype" w:eastAsia="Palatino Linotype" w:hAnsi="Palatino Linotype" w:cs="Palatino Linotype"/>
          <w:i/>
          <w:sz w:val="22"/>
          <w:szCs w:val="22"/>
        </w:rPr>
        <w:t xml:space="preserve"> del expediente respectivo y </w:t>
      </w:r>
      <w:r w:rsidRPr="009830DF">
        <w:rPr>
          <w:rFonts w:ascii="Palatino Linotype" w:eastAsia="Palatino Linotype" w:hAnsi="Palatino Linotype" w:cs="Palatino Linotype"/>
          <w:b/>
          <w:i/>
          <w:sz w:val="22"/>
          <w:szCs w:val="22"/>
        </w:rPr>
        <w:t>de los contratos celebrados</w:t>
      </w:r>
      <w:r w:rsidRPr="009830DF">
        <w:rPr>
          <w:rFonts w:ascii="Palatino Linotype" w:eastAsia="Palatino Linotype" w:hAnsi="Palatino Linotype" w:cs="Palatino Linotype"/>
          <w:i/>
          <w:sz w:val="22"/>
          <w:szCs w:val="22"/>
        </w:rPr>
        <w:t>, que deberán contener, por los menos, lo siguiente:</w:t>
      </w:r>
    </w:p>
    <w:p w14:paraId="76C9CD1C" w14:textId="77777777" w:rsidR="0018526E" w:rsidRPr="009830DF" w:rsidRDefault="00876F9E">
      <w:pPr>
        <w:tabs>
          <w:tab w:val="left" w:pos="426"/>
        </w:tabs>
        <w:spacing w:before="120" w:after="120"/>
        <w:ind w:left="1418" w:right="902"/>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a) De licitaciones públicas o procedimientos de invitación restringida:</w:t>
      </w:r>
    </w:p>
    <w:p w14:paraId="36CEA886"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1)</w:t>
      </w:r>
      <w:r w:rsidRPr="009830DF">
        <w:rPr>
          <w:rFonts w:ascii="Palatino Linotype" w:eastAsia="Palatino Linotype" w:hAnsi="Palatino Linotype" w:cs="Palatino Linotype"/>
          <w:i/>
          <w:sz w:val="22"/>
          <w:szCs w:val="22"/>
        </w:rPr>
        <w:t xml:space="preserve"> La convocatoria o invitación emitida, así como los fundamentos legales aplicados para llevarla a cabo;</w:t>
      </w:r>
    </w:p>
    <w:p w14:paraId="3123EA88"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2)</w:t>
      </w:r>
      <w:r w:rsidRPr="009830DF">
        <w:rPr>
          <w:rFonts w:ascii="Palatino Linotype" w:eastAsia="Palatino Linotype" w:hAnsi="Palatino Linotype" w:cs="Palatino Linotype"/>
          <w:i/>
          <w:sz w:val="22"/>
          <w:szCs w:val="22"/>
        </w:rPr>
        <w:t xml:space="preserve"> Los nombres de los participantes o invitados;</w:t>
      </w:r>
    </w:p>
    <w:p w14:paraId="49E932AE"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3)</w:t>
      </w:r>
      <w:r w:rsidRPr="009830DF">
        <w:rPr>
          <w:rFonts w:ascii="Palatino Linotype" w:eastAsia="Palatino Linotype" w:hAnsi="Palatino Linotype" w:cs="Palatino Linotype"/>
          <w:i/>
          <w:sz w:val="22"/>
          <w:szCs w:val="22"/>
        </w:rPr>
        <w:t xml:space="preserve"> El nombre del ganador y las razones que lo justifican;</w:t>
      </w:r>
    </w:p>
    <w:p w14:paraId="124A1DCC"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4)</w:t>
      </w:r>
      <w:r w:rsidRPr="009830DF">
        <w:rPr>
          <w:rFonts w:ascii="Palatino Linotype" w:eastAsia="Palatino Linotype" w:hAnsi="Palatino Linotype" w:cs="Palatino Linotype"/>
          <w:i/>
          <w:sz w:val="22"/>
          <w:szCs w:val="22"/>
        </w:rPr>
        <w:t xml:space="preserve"> El área solicitante y la responsable de su ejecución;</w:t>
      </w:r>
    </w:p>
    <w:p w14:paraId="4065D3C1"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5)</w:t>
      </w:r>
      <w:r w:rsidRPr="009830DF">
        <w:rPr>
          <w:rFonts w:ascii="Palatino Linotype" w:eastAsia="Palatino Linotype" w:hAnsi="Palatino Linotype" w:cs="Palatino Linotype"/>
          <w:i/>
          <w:sz w:val="22"/>
          <w:szCs w:val="22"/>
        </w:rPr>
        <w:t xml:space="preserve"> Las convocatorias e invitaciones emitidas; </w:t>
      </w:r>
    </w:p>
    <w:p w14:paraId="1D79793E"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6)</w:t>
      </w:r>
      <w:r w:rsidRPr="009830DF">
        <w:rPr>
          <w:rFonts w:ascii="Palatino Linotype" w:eastAsia="Palatino Linotype" w:hAnsi="Palatino Linotype" w:cs="Palatino Linotype"/>
          <w:i/>
          <w:sz w:val="22"/>
          <w:szCs w:val="22"/>
        </w:rPr>
        <w:t xml:space="preserve"> Los dictámenes y fallo de adjudicación;</w:t>
      </w:r>
    </w:p>
    <w:p w14:paraId="582D091A"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 xml:space="preserve">7) </w:t>
      </w:r>
      <w:r w:rsidRPr="009830DF">
        <w:rPr>
          <w:rFonts w:ascii="Palatino Linotype" w:eastAsia="Palatino Linotype" w:hAnsi="Palatino Linotype" w:cs="Palatino Linotype"/>
          <w:i/>
          <w:sz w:val="22"/>
          <w:szCs w:val="22"/>
        </w:rPr>
        <w:t xml:space="preserve">El contrato y, en su caso, sus anexos; </w:t>
      </w:r>
    </w:p>
    <w:p w14:paraId="52C31285"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8)</w:t>
      </w:r>
      <w:r w:rsidRPr="009830DF">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20AA5D9F"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9)</w:t>
      </w:r>
      <w:r w:rsidRPr="009830DF">
        <w:rPr>
          <w:rFonts w:ascii="Palatino Linotype" w:eastAsia="Palatino Linotype" w:hAnsi="Palatino Linotype" w:cs="Palatino Linotype"/>
          <w:i/>
          <w:sz w:val="22"/>
          <w:szCs w:val="22"/>
        </w:rPr>
        <w:t xml:space="preserve"> La partida presupuestal, de conformidad con el clasificador por objeto del gasto, en el caso de ser aplicable; </w:t>
      </w:r>
    </w:p>
    <w:p w14:paraId="42D6666B"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10)</w:t>
      </w:r>
      <w:r w:rsidRPr="009830DF">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14:paraId="3623DF8D"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11)</w:t>
      </w:r>
      <w:r w:rsidRPr="009830DF">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14:paraId="19440568"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lastRenderedPageBreak/>
        <w:t>12)</w:t>
      </w:r>
      <w:r w:rsidRPr="009830DF">
        <w:rPr>
          <w:rFonts w:ascii="Palatino Linotype" w:eastAsia="Palatino Linotype" w:hAnsi="Palatino Linotype" w:cs="Palatino Linotype"/>
          <w:i/>
          <w:sz w:val="22"/>
          <w:szCs w:val="22"/>
        </w:rPr>
        <w:t xml:space="preserve"> Los informes de avance físico y financiero sobre las obras o servicios contratados; </w:t>
      </w:r>
    </w:p>
    <w:p w14:paraId="619030CF"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13)</w:t>
      </w:r>
      <w:r w:rsidRPr="009830DF">
        <w:rPr>
          <w:rFonts w:ascii="Palatino Linotype" w:eastAsia="Palatino Linotype" w:hAnsi="Palatino Linotype" w:cs="Palatino Linotype"/>
          <w:i/>
          <w:sz w:val="22"/>
          <w:szCs w:val="22"/>
        </w:rPr>
        <w:t xml:space="preserve"> El convenio de terminación; </w:t>
      </w:r>
    </w:p>
    <w:p w14:paraId="73AD60B8"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14)</w:t>
      </w:r>
      <w:r w:rsidRPr="009830DF">
        <w:rPr>
          <w:rFonts w:ascii="Palatino Linotype" w:eastAsia="Palatino Linotype" w:hAnsi="Palatino Linotype" w:cs="Palatino Linotype"/>
          <w:i/>
          <w:sz w:val="22"/>
          <w:szCs w:val="22"/>
        </w:rPr>
        <w:t xml:space="preserve"> El finiquito.</w:t>
      </w:r>
    </w:p>
    <w:p w14:paraId="5D6465C8" w14:textId="77777777" w:rsidR="0018526E" w:rsidRPr="009830DF" w:rsidRDefault="00876F9E">
      <w:pPr>
        <w:tabs>
          <w:tab w:val="left" w:pos="426"/>
        </w:tabs>
        <w:spacing w:before="120" w:after="120"/>
        <w:ind w:left="1418" w:right="902"/>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 xml:space="preserve">b) De las adjudicaciones directas: </w:t>
      </w:r>
    </w:p>
    <w:p w14:paraId="6FA19C12"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1)</w:t>
      </w:r>
      <w:r w:rsidRPr="009830DF">
        <w:rPr>
          <w:rFonts w:ascii="Palatino Linotype" w:eastAsia="Palatino Linotype" w:hAnsi="Palatino Linotype" w:cs="Palatino Linotype"/>
          <w:i/>
          <w:sz w:val="22"/>
          <w:szCs w:val="22"/>
        </w:rPr>
        <w:t xml:space="preserve"> La propuesta enviada por el participante; </w:t>
      </w:r>
    </w:p>
    <w:p w14:paraId="25ED4664"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2)</w:t>
      </w:r>
      <w:r w:rsidRPr="009830DF">
        <w:rPr>
          <w:rFonts w:ascii="Palatino Linotype" w:eastAsia="Palatino Linotype" w:hAnsi="Palatino Linotype" w:cs="Palatino Linotype"/>
          <w:i/>
          <w:sz w:val="22"/>
          <w:szCs w:val="22"/>
        </w:rPr>
        <w:t xml:space="preserve"> Los motivos y fundamentos legales aplicados para llevarla a cabo;</w:t>
      </w:r>
    </w:p>
    <w:p w14:paraId="1AB23AE1"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3)</w:t>
      </w:r>
      <w:r w:rsidRPr="009830DF">
        <w:rPr>
          <w:rFonts w:ascii="Palatino Linotype" w:eastAsia="Palatino Linotype" w:hAnsi="Palatino Linotype" w:cs="Palatino Linotype"/>
          <w:i/>
          <w:sz w:val="22"/>
          <w:szCs w:val="22"/>
        </w:rPr>
        <w:t xml:space="preserve"> La autorización del ejercicio de la opción; </w:t>
      </w:r>
    </w:p>
    <w:p w14:paraId="42898754"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 xml:space="preserve">4) </w:t>
      </w:r>
      <w:r w:rsidRPr="009830DF">
        <w:rPr>
          <w:rFonts w:ascii="Palatino Linotype" w:eastAsia="Palatino Linotype" w:hAnsi="Palatino Linotype" w:cs="Palatino Linotype"/>
          <w:i/>
          <w:sz w:val="22"/>
          <w:szCs w:val="22"/>
        </w:rPr>
        <w:t>En su caso, las cotizaciones consideradas, especificando los nombres de los proveedores y sus montos;</w:t>
      </w:r>
      <w:r w:rsidRPr="009830DF">
        <w:rPr>
          <w:rFonts w:ascii="Palatino Linotype" w:eastAsia="Palatino Linotype" w:hAnsi="Palatino Linotype" w:cs="Palatino Linotype"/>
          <w:b/>
          <w:i/>
          <w:sz w:val="22"/>
          <w:szCs w:val="22"/>
        </w:rPr>
        <w:t xml:space="preserve"> </w:t>
      </w:r>
    </w:p>
    <w:p w14:paraId="31198732"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5)</w:t>
      </w:r>
      <w:r w:rsidRPr="009830DF">
        <w:rPr>
          <w:rFonts w:ascii="Palatino Linotype" w:eastAsia="Palatino Linotype" w:hAnsi="Palatino Linotype" w:cs="Palatino Linotype"/>
          <w:i/>
          <w:sz w:val="22"/>
          <w:szCs w:val="22"/>
        </w:rPr>
        <w:t xml:space="preserve"> El nombre de la persona física o jurídica colectiva adjudicada; </w:t>
      </w:r>
    </w:p>
    <w:p w14:paraId="3B644F4C"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6)</w:t>
      </w:r>
      <w:r w:rsidRPr="009830DF">
        <w:rPr>
          <w:rFonts w:ascii="Palatino Linotype" w:eastAsia="Palatino Linotype" w:hAnsi="Palatino Linotype" w:cs="Palatino Linotype"/>
          <w:i/>
          <w:sz w:val="22"/>
          <w:szCs w:val="22"/>
        </w:rPr>
        <w:t xml:space="preserve"> La unidad administrativa solicitante y la responsable de su ejecución; </w:t>
      </w:r>
    </w:p>
    <w:p w14:paraId="1242F10D"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 xml:space="preserve">7) </w:t>
      </w:r>
      <w:r w:rsidRPr="009830DF">
        <w:rPr>
          <w:rFonts w:ascii="Palatino Linotype" w:eastAsia="Palatino Linotype" w:hAnsi="Palatino Linotype" w:cs="Palatino Linotype"/>
          <w:i/>
          <w:sz w:val="22"/>
          <w:szCs w:val="22"/>
        </w:rPr>
        <w:t>El número, fecha, el monto del contrato y el plazo de entrega o de ejecución de los servicios u obra</w:t>
      </w:r>
      <w:r w:rsidRPr="009830DF">
        <w:rPr>
          <w:rFonts w:ascii="Palatino Linotype" w:eastAsia="Palatino Linotype" w:hAnsi="Palatino Linotype" w:cs="Palatino Linotype"/>
          <w:b/>
          <w:i/>
          <w:sz w:val="22"/>
          <w:szCs w:val="22"/>
        </w:rPr>
        <w:t xml:space="preserve">; </w:t>
      </w:r>
    </w:p>
    <w:p w14:paraId="2D263C6B"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8)</w:t>
      </w:r>
      <w:r w:rsidRPr="009830DF">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14:paraId="2EE88D4B"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9)</w:t>
      </w:r>
      <w:r w:rsidRPr="009830DF">
        <w:rPr>
          <w:rFonts w:ascii="Palatino Linotype" w:eastAsia="Palatino Linotype" w:hAnsi="Palatino Linotype" w:cs="Palatino Linotype"/>
          <w:i/>
          <w:sz w:val="22"/>
          <w:szCs w:val="22"/>
        </w:rPr>
        <w:t xml:space="preserve"> Los informes de avance sobre las obras o servicios contratados; </w:t>
      </w:r>
    </w:p>
    <w:p w14:paraId="2A814778"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10)</w:t>
      </w:r>
      <w:r w:rsidRPr="009830DF">
        <w:rPr>
          <w:rFonts w:ascii="Palatino Linotype" w:eastAsia="Palatino Linotype" w:hAnsi="Palatino Linotype" w:cs="Palatino Linotype"/>
          <w:i/>
          <w:sz w:val="22"/>
          <w:szCs w:val="22"/>
        </w:rPr>
        <w:t xml:space="preserve"> El convenio de terminación; y </w:t>
      </w:r>
    </w:p>
    <w:p w14:paraId="3C9F9C89" w14:textId="77777777" w:rsidR="0018526E" w:rsidRPr="009830DF" w:rsidRDefault="00876F9E">
      <w:pPr>
        <w:tabs>
          <w:tab w:val="left" w:pos="426"/>
        </w:tabs>
        <w:spacing w:before="120" w:after="120"/>
        <w:ind w:left="170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11)</w:t>
      </w:r>
      <w:r w:rsidRPr="009830DF">
        <w:rPr>
          <w:rFonts w:ascii="Palatino Linotype" w:eastAsia="Palatino Linotype" w:hAnsi="Palatino Linotype" w:cs="Palatino Linotype"/>
          <w:i/>
          <w:sz w:val="22"/>
          <w:szCs w:val="22"/>
        </w:rPr>
        <w:t xml:space="preserve"> El finiquito;”</w:t>
      </w:r>
    </w:p>
    <w:p w14:paraId="52451AB8"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14:paraId="401EF4B6" w14:textId="77777777" w:rsidR="0018526E" w:rsidRPr="009830DF" w:rsidRDefault="00876F9E">
      <w:pPr>
        <w:spacing w:before="240" w:after="240" w:line="360" w:lineRule="auto"/>
        <w:ind w:left="426"/>
        <w:jc w:val="both"/>
        <w:rPr>
          <w:rFonts w:ascii="Palatino Linotype" w:eastAsia="Palatino Linotype" w:hAnsi="Palatino Linotype" w:cs="Palatino Linotype"/>
        </w:rPr>
      </w:pPr>
      <w:r w:rsidRPr="009830DF">
        <w:rPr>
          <w:rFonts w:ascii="Palatino Linotype" w:eastAsia="Palatino Linotype" w:hAnsi="Palatino Linotype" w:cs="Palatino Linotype"/>
        </w:rPr>
        <w:t>●</w:t>
      </w:r>
      <w:r w:rsidRPr="009830DF">
        <w:rPr>
          <w:rFonts w:ascii="Palatino Linotype" w:eastAsia="Palatino Linotype" w:hAnsi="Palatino Linotype" w:cs="Palatino Linotype"/>
          <w:sz w:val="16"/>
          <w:szCs w:val="16"/>
        </w:rPr>
        <w:t xml:space="preserve">        </w:t>
      </w:r>
      <w:r w:rsidRPr="009830DF">
        <w:rPr>
          <w:rFonts w:ascii="Palatino Linotype" w:eastAsia="Palatino Linotype" w:hAnsi="Palatino Linotype" w:cs="Palatino Linotype"/>
          <w:b/>
        </w:rPr>
        <w:t xml:space="preserve">Invitación restringida: </w:t>
      </w:r>
      <w:r w:rsidRPr="009830DF">
        <w:rPr>
          <w:rFonts w:ascii="Palatino Linotype" w:eastAsia="Palatino Linotype" w:hAnsi="Palatino Linotype" w:cs="Palatino Linotype"/>
        </w:rPr>
        <w:t xml:space="preserve">invitación emitida y fundamentos legales aplicables para llevarla a cabo, nombre de los participantes o invitados, nombre del ganador y razones, área solicitante y responsable de su ejecución, invitaciones </w:t>
      </w:r>
      <w:r w:rsidRPr="009830DF">
        <w:rPr>
          <w:rFonts w:ascii="Palatino Linotype" w:eastAsia="Palatino Linotype" w:hAnsi="Palatino Linotype" w:cs="Palatino Linotype"/>
        </w:rPr>
        <w:lastRenderedPageBreak/>
        <w:t>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7E9ECB39" w14:textId="77777777" w:rsidR="0018526E" w:rsidRPr="009830DF" w:rsidRDefault="00876F9E">
      <w:pPr>
        <w:spacing w:before="240" w:after="240" w:line="360" w:lineRule="auto"/>
        <w:ind w:left="426"/>
        <w:jc w:val="both"/>
        <w:rPr>
          <w:rFonts w:ascii="Palatino Linotype" w:eastAsia="Palatino Linotype" w:hAnsi="Palatino Linotype" w:cs="Palatino Linotype"/>
        </w:rPr>
      </w:pPr>
      <w:r w:rsidRPr="009830DF">
        <w:rPr>
          <w:rFonts w:ascii="Palatino Linotype" w:eastAsia="Palatino Linotype" w:hAnsi="Palatino Linotype" w:cs="Palatino Linotype"/>
        </w:rPr>
        <w:t>●</w:t>
      </w:r>
      <w:r w:rsidRPr="009830DF">
        <w:rPr>
          <w:rFonts w:ascii="Palatino Linotype" w:eastAsia="Palatino Linotype" w:hAnsi="Palatino Linotype" w:cs="Palatino Linotype"/>
          <w:sz w:val="16"/>
          <w:szCs w:val="16"/>
        </w:rPr>
        <w:t xml:space="preserve">        </w:t>
      </w:r>
      <w:r w:rsidRPr="009830DF">
        <w:rPr>
          <w:rFonts w:ascii="Palatino Linotype" w:eastAsia="Palatino Linotype" w:hAnsi="Palatino Linotype" w:cs="Palatino Linotype"/>
          <w:b/>
        </w:rPr>
        <w:t xml:space="preserve">Adjudicaciones directas: </w:t>
      </w:r>
      <w:r w:rsidRPr="009830DF">
        <w:rPr>
          <w:rFonts w:ascii="Palatino Linotype" w:eastAsia="Palatino Linotype" w:hAnsi="Palatino Linotype" w:cs="Palatino Linotype"/>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14:paraId="2CE73322" w14:textId="77777777" w:rsidR="0018526E" w:rsidRPr="009830DF" w:rsidRDefault="00876F9E">
      <w:pPr>
        <w:spacing w:before="240" w:after="240" w:line="360" w:lineRule="auto"/>
        <w:ind w:right="51"/>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Por ende, de acuerdo a los </w:t>
      </w:r>
      <w:r w:rsidRPr="009830DF">
        <w:rPr>
          <w:rFonts w:ascii="Palatino Linotype" w:eastAsia="Palatino Linotype" w:hAnsi="Palatino Linotype" w:cs="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w:t>
      </w:r>
      <w:r w:rsidRPr="009830DF">
        <w:rPr>
          <w:rFonts w:ascii="Palatino Linotype" w:eastAsia="Palatino Linotype" w:hAnsi="Palatino Linotype" w:cs="Palatino Linotype"/>
        </w:rPr>
        <w:t xml:space="preserve">, que deben de difundir los sujetos obligados en los portales de Internet y en la Plataforma Nacional de Transparencia, para el cumplimiento de la obligación de transparencia señalada en el artículo 70  fracción XXVIII de la </w:t>
      </w:r>
      <w:r w:rsidRPr="009830DF">
        <w:rPr>
          <w:rFonts w:ascii="Palatino Linotype" w:eastAsia="Palatino Linotype" w:hAnsi="Palatino Linotype" w:cs="Palatino Linotype"/>
          <w:i/>
        </w:rPr>
        <w:t>Ley General de Transparencia y Acceso a la Información Pública</w:t>
      </w:r>
      <w:r w:rsidRPr="009830DF">
        <w:rPr>
          <w:rFonts w:ascii="Palatino Linotype" w:eastAsia="Palatino Linotype" w:hAnsi="Palatino Linotype" w:cs="Palatino Linotype"/>
        </w:rPr>
        <w:t xml:space="preserve">, los sujetos obligados deben publicar información sobre los actos, contratos y convenios celebrados, misma que </w:t>
      </w:r>
      <w:r w:rsidRPr="009830DF">
        <w:rPr>
          <w:rFonts w:ascii="Palatino Linotype" w:eastAsia="Palatino Linotype" w:hAnsi="Palatino Linotype" w:cs="Palatino Linotype"/>
          <w:b/>
        </w:rPr>
        <w:t>debe presentarse en una base de datos en la que cada registro se hará por tipo de procedimiento, ya sea licitación pública, invitación restringida o adjudicación directa,</w:t>
      </w:r>
      <w:r w:rsidRPr="009830DF">
        <w:rPr>
          <w:rFonts w:ascii="Palatino Linotype" w:eastAsia="Palatino Linotype" w:hAnsi="Palatino Linotype" w:cs="Palatino Linotype"/>
        </w:rPr>
        <w:t xml:space="preserve"> especificando para cada tipo de procedimiento la materia, pudiendo ser obra pública, servicios relacionados con obra pública, arrendamiento, </w:t>
      </w:r>
      <w:r w:rsidRPr="009830DF">
        <w:rPr>
          <w:rFonts w:ascii="Palatino Linotype" w:eastAsia="Palatino Linotype" w:hAnsi="Palatino Linotype" w:cs="Palatino Linotype"/>
        </w:rPr>
        <w:lastRenderedPageBreak/>
        <w:t>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3CA168B5"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Cabe señalar que, de conformidad con las tablas de aplicabilidad de las obligaciones de transparencia, la fracción XXIX del artículo 92 de la Ley de Transparencia, en sus dos incisos es aplicable a la Secretaría de Movilidad, como se advierte enseguida:</w:t>
      </w:r>
    </w:p>
    <w:p w14:paraId="173ABAED" w14:textId="77777777" w:rsidR="0018526E" w:rsidRPr="009830DF" w:rsidRDefault="00876F9E">
      <w:pPr>
        <w:spacing w:before="240" w:after="240" w:line="360" w:lineRule="auto"/>
        <w:jc w:val="center"/>
        <w:rPr>
          <w:rFonts w:ascii="Palatino Linotype" w:eastAsia="Palatino Linotype" w:hAnsi="Palatino Linotype" w:cs="Palatino Linotype"/>
        </w:rPr>
      </w:pPr>
      <w:r w:rsidRPr="009830DF">
        <w:rPr>
          <w:rFonts w:ascii="Palatino Linotype" w:eastAsia="Palatino Linotype" w:hAnsi="Palatino Linotype" w:cs="Palatino Linotype"/>
          <w:noProof/>
        </w:rPr>
        <w:drawing>
          <wp:inline distT="0" distB="0" distL="0" distR="0" wp14:anchorId="711123D1" wp14:editId="3997FA5E">
            <wp:extent cx="5305425" cy="1323975"/>
            <wp:effectExtent l="0" t="0" r="0" b="0"/>
            <wp:docPr id="1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305425" cy="1323975"/>
                    </a:xfrm>
                    <a:prstGeom prst="rect">
                      <a:avLst/>
                    </a:prstGeom>
                    <a:ln/>
                  </pic:spPr>
                </pic:pic>
              </a:graphicData>
            </a:graphic>
          </wp:inline>
        </w:drawing>
      </w:r>
      <w:r w:rsidRPr="009830DF">
        <w:rPr>
          <w:noProof/>
        </w:rPr>
        <mc:AlternateContent>
          <mc:Choice Requires="wpg">
            <w:drawing>
              <wp:anchor distT="0" distB="0" distL="114300" distR="114300" simplePos="0" relativeHeight="251658240" behindDoc="0" locked="0" layoutInCell="1" hidden="0" allowOverlap="1" wp14:anchorId="166CC24A" wp14:editId="65665810">
                <wp:simplePos x="0" y="0"/>
                <wp:positionH relativeFrom="column">
                  <wp:posOffset>4559300</wp:posOffset>
                </wp:positionH>
                <wp:positionV relativeFrom="paragraph">
                  <wp:posOffset>1130300</wp:posOffset>
                </wp:positionV>
                <wp:extent cx="244046" cy="285235"/>
                <wp:effectExtent l="0" t="0" r="0" b="0"/>
                <wp:wrapNone/>
                <wp:docPr id="125" name="Conector recto de flecha 125"/>
                <wp:cNvGraphicFramePr/>
                <a:graphic xmlns:a="http://schemas.openxmlformats.org/drawingml/2006/main">
                  <a:graphicData uri="http://schemas.microsoft.com/office/word/2010/wordprocessingShape">
                    <wps:wsp>
                      <wps:cNvCnPr/>
                      <wps:spPr>
                        <a:xfrm rot="10800000">
                          <a:off x="5243027" y="3656433"/>
                          <a:ext cx="205946" cy="247135"/>
                        </a:xfrm>
                        <a:prstGeom prst="straightConnector1">
                          <a:avLst/>
                        </a:prstGeom>
                        <a:noFill/>
                        <a:ln w="38100" cap="flat" cmpd="sng">
                          <a:solidFill>
                            <a:srgbClr val="C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4559300</wp:posOffset>
                </wp:positionH>
                <wp:positionV relativeFrom="paragraph">
                  <wp:posOffset>1130300</wp:posOffset>
                </wp:positionV>
                <wp:extent cx="244046" cy="285235"/>
                <wp:effectExtent b="0" l="0" r="0" t="0"/>
                <wp:wrapNone/>
                <wp:docPr id="125" name="image26.png"/>
                <a:graphic>
                  <a:graphicData uri="http://schemas.openxmlformats.org/drawingml/2006/picture">
                    <pic:pic>
                      <pic:nvPicPr>
                        <pic:cNvPr id="0" name="image26.png"/>
                        <pic:cNvPicPr preferRelativeResize="0"/>
                      </pic:nvPicPr>
                      <pic:blipFill>
                        <a:blip r:embed="rId12"/>
                        <a:srcRect/>
                        <a:stretch>
                          <a:fillRect/>
                        </a:stretch>
                      </pic:blipFill>
                      <pic:spPr>
                        <a:xfrm>
                          <a:off x="0" y="0"/>
                          <a:ext cx="244046" cy="285235"/>
                        </a:xfrm>
                        <a:prstGeom prst="rect"/>
                        <a:ln/>
                      </pic:spPr>
                    </pic:pic>
                  </a:graphicData>
                </a:graphic>
              </wp:anchor>
            </w:drawing>
          </mc:Fallback>
        </mc:AlternateContent>
      </w:r>
      <w:r w:rsidRPr="009830DF">
        <w:rPr>
          <w:noProof/>
        </w:rPr>
        <mc:AlternateContent>
          <mc:Choice Requires="wpg">
            <w:drawing>
              <wp:anchor distT="0" distB="0" distL="114300" distR="114300" simplePos="0" relativeHeight="251659264" behindDoc="0" locked="0" layoutInCell="1" hidden="0" allowOverlap="1" wp14:anchorId="224D4D15" wp14:editId="0A92EE5B">
                <wp:simplePos x="0" y="0"/>
                <wp:positionH relativeFrom="column">
                  <wp:posOffset>2197100</wp:posOffset>
                </wp:positionH>
                <wp:positionV relativeFrom="paragraph">
                  <wp:posOffset>609600</wp:posOffset>
                </wp:positionV>
                <wp:extent cx="886597" cy="727762"/>
                <wp:effectExtent l="0" t="0" r="0" b="0"/>
                <wp:wrapNone/>
                <wp:docPr id="127" name="Rectángulo 127"/>
                <wp:cNvGraphicFramePr/>
                <a:graphic xmlns:a="http://schemas.openxmlformats.org/drawingml/2006/main">
                  <a:graphicData uri="http://schemas.microsoft.com/office/word/2010/wordprocessingShape">
                    <wps:wsp>
                      <wps:cNvSpPr/>
                      <wps:spPr>
                        <a:xfrm>
                          <a:off x="4921752" y="3435169"/>
                          <a:ext cx="848497" cy="689662"/>
                        </a:xfrm>
                        <a:prstGeom prst="rect">
                          <a:avLst/>
                        </a:prstGeom>
                        <a:noFill/>
                        <a:ln w="38100" cap="flat" cmpd="sng">
                          <a:solidFill>
                            <a:srgbClr val="C00000"/>
                          </a:solidFill>
                          <a:prstDash val="solid"/>
                          <a:round/>
                          <a:headEnd type="none" w="sm" len="sm"/>
                          <a:tailEnd type="none" w="sm" len="sm"/>
                        </a:ln>
                      </wps:spPr>
                      <wps:txbx>
                        <w:txbxContent>
                          <w:p w14:paraId="4BB4896C" w14:textId="77777777" w:rsidR="0018526E" w:rsidRDefault="0018526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2197100</wp:posOffset>
                </wp:positionH>
                <wp:positionV relativeFrom="paragraph">
                  <wp:posOffset>609600</wp:posOffset>
                </wp:positionV>
                <wp:extent cx="886597" cy="727762"/>
                <wp:effectExtent b="0" l="0" r="0" t="0"/>
                <wp:wrapNone/>
                <wp:docPr id="127" name="image28.png"/>
                <a:graphic>
                  <a:graphicData uri="http://schemas.openxmlformats.org/drawingml/2006/picture">
                    <pic:pic>
                      <pic:nvPicPr>
                        <pic:cNvPr id="0" name="image28.png"/>
                        <pic:cNvPicPr preferRelativeResize="0"/>
                      </pic:nvPicPr>
                      <pic:blipFill>
                        <a:blip r:embed="rId13"/>
                        <a:srcRect/>
                        <a:stretch>
                          <a:fillRect/>
                        </a:stretch>
                      </pic:blipFill>
                      <pic:spPr>
                        <a:xfrm>
                          <a:off x="0" y="0"/>
                          <a:ext cx="886597" cy="727762"/>
                        </a:xfrm>
                        <a:prstGeom prst="rect"/>
                        <a:ln/>
                      </pic:spPr>
                    </pic:pic>
                  </a:graphicData>
                </a:graphic>
              </wp:anchor>
            </w:drawing>
          </mc:Fallback>
        </mc:AlternateContent>
      </w:r>
    </w:p>
    <w:p w14:paraId="4321E167"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Con la finalidad de robustecer lo anterior, es preciso mencionar que este Organismo Garante procedió a realizar la consulta en el portal de Información Pública de Oficio Mexiquense, IPOMEX, de la información publicada por el </w:t>
      </w:r>
      <w:r w:rsidRPr="009830DF">
        <w:rPr>
          <w:rFonts w:ascii="Palatino Linotype" w:eastAsia="Palatino Linotype" w:hAnsi="Palatino Linotype" w:cs="Palatino Linotype"/>
          <w:b/>
        </w:rPr>
        <w:t xml:space="preserve">Sujeto Obligado, </w:t>
      </w:r>
      <w:r w:rsidRPr="009830DF">
        <w:rPr>
          <w:rFonts w:ascii="Palatino Linotype" w:eastAsia="Palatino Linotype" w:hAnsi="Palatino Linotype" w:cs="Palatino Linotype"/>
        </w:rPr>
        <w:t xml:space="preserve">en cumplimiento a la obligación de transparencia previamente referida, donde se pudo advertir que efectivamente el portal de la </w:t>
      </w:r>
      <w:r w:rsidRPr="009830DF">
        <w:rPr>
          <w:rFonts w:ascii="Palatino Linotype" w:eastAsia="Palatino Linotype" w:hAnsi="Palatino Linotype" w:cs="Palatino Linotype"/>
          <w:b/>
        </w:rPr>
        <w:t xml:space="preserve">Secretaría de Movilidad </w:t>
      </w:r>
      <w:r w:rsidRPr="009830DF">
        <w:rPr>
          <w:rFonts w:ascii="Palatino Linotype" w:eastAsia="Palatino Linotype" w:hAnsi="Palatino Linotype" w:cs="Palatino Linotype"/>
        </w:rPr>
        <w:t>contiene información que se relaciona con lo solicitado, como se ilustra a continuación a manera de ejemplo:</w:t>
      </w:r>
    </w:p>
    <w:p w14:paraId="05D0F4F4" w14:textId="77777777" w:rsidR="0018526E" w:rsidRPr="009830DF" w:rsidRDefault="00876F9E">
      <w:pPr>
        <w:spacing w:before="240" w:after="240" w:line="360" w:lineRule="auto"/>
        <w:jc w:val="center"/>
        <w:rPr>
          <w:rFonts w:ascii="Palatino Linotype" w:eastAsia="Palatino Linotype" w:hAnsi="Palatino Linotype" w:cs="Palatino Linotype"/>
        </w:rPr>
      </w:pPr>
      <w:r w:rsidRPr="009830DF">
        <w:rPr>
          <w:rFonts w:ascii="Palatino Linotype" w:eastAsia="Palatino Linotype" w:hAnsi="Palatino Linotype" w:cs="Palatino Linotype"/>
          <w:noProof/>
        </w:rPr>
        <w:lastRenderedPageBreak/>
        <w:drawing>
          <wp:inline distT="0" distB="0" distL="0" distR="0" wp14:anchorId="41CED6BA" wp14:editId="371063DB">
            <wp:extent cx="5400000" cy="3190493"/>
            <wp:effectExtent l="0" t="0" r="0" b="0"/>
            <wp:docPr id="1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400000" cy="3190493"/>
                    </a:xfrm>
                    <a:prstGeom prst="rect">
                      <a:avLst/>
                    </a:prstGeom>
                    <a:ln/>
                  </pic:spPr>
                </pic:pic>
              </a:graphicData>
            </a:graphic>
          </wp:inline>
        </w:drawing>
      </w:r>
      <w:r w:rsidRPr="009830DF">
        <w:rPr>
          <w:noProof/>
        </w:rPr>
        <mc:AlternateContent>
          <mc:Choice Requires="wps">
            <w:drawing>
              <wp:anchor distT="0" distB="0" distL="114300" distR="114300" simplePos="0" relativeHeight="251660288" behindDoc="0" locked="0" layoutInCell="1" hidden="0" allowOverlap="1" wp14:anchorId="0AD38A93" wp14:editId="7077DDD9">
                <wp:simplePos x="0" y="0"/>
                <wp:positionH relativeFrom="column">
                  <wp:posOffset>1409700</wp:posOffset>
                </wp:positionH>
                <wp:positionV relativeFrom="paragraph">
                  <wp:posOffset>1460500</wp:posOffset>
                </wp:positionV>
                <wp:extent cx="3810" cy="25400"/>
                <wp:effectExtent l="0" t="0" r="0" b="0"/>
                <wp:wrapNone/>
                <wp:docPr id="124" name="Conector recto de flecha 124"/>
                <wp:cNvGraphicFramePr/>
                <a:graphic xmlns:a="http://schemas.openxmlformats.org/drawingml/2006/main">
                  <a:graphicData uri="http://schemas.microsoft.com/office/word/2010/wordprocessingShape">
                    <wps:wsp>
                      <wps:cNvCnPr/>
                      <wps:spPr>
                        <a:xfrm>
                          <a:off x="4271580" y="3778095"/>
                          <a:ext cx="2148840" cy="3810"/>
                        </a:xfrm>
                        <a:prstGeom prst="straightConnector1">
                          <a:avLst/>
                        </a:prstGeom>
                        <a:noFill/>
                        <a:ln w="25400" cap="flat" cmpd="sng">
                          <a:solidFill>
                            <a:srgbClr val="C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1409700</wp:posOffset>
                </wp:positionH>
                <wp:positionV relativeFrom="paragraph">
                  <wp:posOffset>1460500</wp:posOffset>
                </wp:positionV>
                <wp:extent cx="3810" cy="25400"/>
                <wp:effectExtent b="0" l="0" r="0" t="0"/>
                <wp:wrapNone/>
                <wp:docPr id="124" name="image25.png"/>
                <a:graphic>
                  <a:graphicData uri="http://schemas.openxmlformats.org/drawingml/2006/picture">
                    <pic:pic>
                      <pic:nvPicPr>
                        <pic:cNvPr id="0" name="image25.png"/>
                        <pic:cNvPicPr preferRelativeResize="0"/>
                      </pic:nvPicPr>
                      <pic:blipFill>
                        <a:blip r:embed="rId15"/>
                        <a:srcRect/>
                        <a:stretch>
                          <a:fillRect/>
                        </a:stretch>
                      </pic:blipFill>
                      <pic:spPr>
                        <a:xfrm>
                          <a:off x="0" y="0"/>
                          <a:ext cx="3810" cy="25400"/>
                        </a:xfrm>
                        <a:prstGeom prst="rect"/>
                        <a:ln/>
                      </pic:spPr>
                    </pic:pic>
                  </a:graphicData>
                </a:graphic>
              </wp:anchor>
            </w:drawing>
          </mc:Fallback>
        </mc:AlternateContent>
      </w:r>
      <w:r w:rsidRPr="009830DF">
        <w:rPr>
          <w:noProof/>
        </w:rPr>
        <mc:AlternateContent>
          <mc:Choice Requires="wps">
            <w:drawing>
              <wp:anchor distT="0" distB="0" distL="114300" distR="114300" simplePos="0" relativeHeight="251661312" behindDoc="0" locked="0" layoutInCell="1" hidden="0" allowOverlap="1" wp14:anchorId="4186D3BB" wp14:editId="6C75772F">
                <wp:simplePos x="0" y="0"/>
                <wp:positionH relativeFrom="column">
                  <wp:posOffset>228600</wp:posOffset>
                </wp:positionH>
                <wp:positionV relativeFrom="paragraph">
                  <wp:posOffset>1587500</wp:posOffset>
                </wp:positionV>
                <wp:extent cx="0" cy="25400"/>
                <wp:effectExtent l="0" t="0" r="0" b="0"/>
                <wp:wrapNone/>
                <wp:docPr id="126" name="Conector recto de flecha 126"/>
                <wp:cNvGraphicFramePr/>
                <a:graphic xmlns:a="http://schemas.openxmlformats.org/drawingml/2006/main">
                  <a:graphicData uri="http://schemas.microsoft.com/office/word/2010/wordprocessingShape">
                    <wps:wsp>
                      <wps:cNvCnPr/>
                      <wps:spPr>
                        <a:xfrm>
                          <a:off x="4168954" y="3780000"/>
                          <a:ext cx="2354093" cy="0"/>
                        </a:xfrm>
                        <a:prstGeom prst="straightConnector1">
                          <a:avLst/>
                        </a:prstGeom>
                        <a:noFill/>
                        <a:ln w="25400" cap="flat" cmpd="sng">
                          <a:solidFill>
                            <a:srgbClr val="C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228600</wp:posOffset>
                </wp:positionH>
                <wp:positionV relativeFrom="paragraph">
                  <wp:posOffset>1587500</wp:posOffset>
                </wp:positionV>
                <wp:extent cx="0" cy="25400"/>
                <wp:effectExtent b="0" l="0" r="0" t="0"/>
                <wp:wrapNone/>
                <wp:docPr id="126" name="image27.png"/>
                <a:graphic>
                  <a:graphicData uri="http://schemas.openxmlformats.org/drawingml/2006/picture">
                    <pic:pic>
                      <pic:nvPicPr>
                        <pic:cNvPr id="0" name="image27.png"/>
                        <pic:cNvPicPr preferRelativeResize="0"/>
                      </pic:nvPicPr>
                      <pic:blipFill>
                        <a:blip r:embed="rId16"/>
                        <a:srcRect/>
                        <a:stretch>
                          <a:fillRect/>
                        </a:stretch>
                      </pic:blipFill>
                      <pic:spPr>
                        <a:xfrm>
                          <a:off x="0" y="0"/>
                          <a:ext cx="0" cy="25400"/>
                        </a:xfrm>
                        <a:prstGeom prst="rect"/>
                        <a:ln/>
                      </pic:spPr>
                    </pic:pic>
                  </a:graphicData>
                </a:graphic>
              </wp:anchor>
            </w:drawing>
          </mc:Fallback>
        </mc:AlternateContent>
      </w:r>
    </w:p>
    <w:p w14:paraId="3C51E186" w14:textId="77777777" w:rsidR="0018526E" w:rsidRPr="009830DF" w:rsidRDefault="00876F9E">
      <w:pPr>
        <w:spacing w:before="240" w:after="240" w:line="360" w:lineRule="auto"/>
        <w:jc w:val="center"/>
        <w:rPr>
          <w:rFonts w:ascii="Palatino Linotype" w:eastAsia="Palatino Linotype" w:hAnsi="Palatino Linotype" w:cs="Palatino Linotype"/>
        </w:rPr>
      </w:pPr>
      <w:r w:rsidRPr="009830DF">
        <w:rPr>
          <w:rFonts w:ascii="Palatino Linotype" w:eastAsia="Palatino Linotype" w:hAnsi="Palatino Linotype" w:cs="Palatino Linotype"/>
          <w:noProof/>
        </w:rPr>
        <w:drawing>
          <wp:inline distT="0" distB="0" distL="0" distR="0" wp14:anchorId="716A4680" wp14:editId="151F833B">
            <wp:extent cx="5400000" cy="3162988"/>
            <wp:effectExtent l="0" t="0" r="0" b="0"/>
            <wp:docPr id="1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5400000" cy="3162988"/>
                    </a:xfrm>
                    <a:prstGeom prst="rect">
                      <a:avLst/>
                    </a:prstGeom>
                    <a:ln/>
                  </pic:spPr>
                </pic:pic>
              </a:graphicData>
            </a:graphic>
          </wp:inline>
        </w:drawing>
      </w:r>
      <w:r w:rsidRPr="009830DF">
        <w:rPr>
          <w:noProof/>
        </w:rPr>
        <mc:AlternateContent>
          <mc:Choice Requires="wps">
            <w:drawing>
              <wp:anchor distT="0" distB="0" distL="114300" distR="114300" simplePos="0" relativeHeight="251662336" behindDoc="0" locked="0" layoutInCell="1" hidden="0" allowOverlap="1" wp14:anchorId="74FA231B" wp14:editId="3B21B73F">
                <wp:simplePos x="0" y="0"/>
                <wp:positionH relativeFrom="column">
                  <wp:posOffset>1371600</wp:posOffset>
                </wp:positionH>
                <wp:positionV relativeFrom="paragraph">
                  <wp:posOffset>1460500</wp:posOffset>
                </wp:positionV>
                <wp:extent cx="3810" cy="25400"/>
                <wp:effectExtent l="0" t="0" r="0" b="0"/>
                <wp:wrapNone/>
                <wp:docPr id="123" name="Conector recto de flecha 123"/>
                <wp:cNvGraphicFramePr/>
                <a:graphic xmlns:a="http://schemas.openxmlformats.org/drawingml/2006/main">
                  <a:graphicData uri="http://schemas.microsoft.com/office/word/2010/wordprocessingShape">
                    <wps:wsp>
                      <wps:cNvCnPr/>
                      <wps:spPr>
                        <a:xfrm>
                          <a:off x="4173817" y="3778095"/>
                          <a:ext cx="2344366" cy="3810"/>
                        </a:xfrm>
                        <a:prstGeom prst="straightConnector1">
                          <a:avLst/>
                        </a:prstGeom>
                        <a:noFill/>
                        <a:ln w="25400" cap="flat" cmpd="sng">
                          <a:solidFill>
                            <a:srgbClr val="C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1371600</wp:posOffset>
                </wp:positionH>
                <wp:positionV relativeFrom="paragraph">
                  <wp:posOffset>1460500</wp:posOffset>
                </wp:positionV>
                <wp:extent cx="3810" cy="25400"/>
                <wp:effectExtent b="0" l="0" r="0" t="0"/>
                <wp:wrapNone/>
                <wp:docPr id="123" name="image24.png"/>
                <a:graphic>
                  <a:graphicData uri="http://schemas.openxmlformats.org/drawingml/2006/picture">
                    <pic:pic>
                      <pic:nvPicPr>
                        <pic:cNvPr id="0" name="image24.png"/>
                        <pic:cNvPicPr preferRelativeResize="0"/>
                      </pic:nvPicPr>
                      <pic:blipFill>
                        <a:blip r:embed="rId18"/>
                        <a:srcRect/>
                        <a:stretch>
                          <a:fillRect/>
                        </a:stretch>
                      </pic:blipFill>
                      <pic:spPr>
                        <a:xfrm>
                          <a:off x="0" y="0"/>
                          <a:ext cx="3810" cy="25400"/>
                        </a:xfrm>
                        <a:prstGeom prst="rect"/>
                        <a:ln/>
                      </pic:spPr>
                    </pic:pic>
                  </a:graphicData>
                </a:graphic>
              </wp:anchor>
            </w:drawing>
          </mc:Fallback>
        </mc:AlternateContent>
      </w:r>
    </w:p>
    <w:p w14:paraId="2C45A3F4"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Como se advierte, en cumplimiento al inciso a), fracción XXIX del artículo 92 de la Ley de la Materia, el </w:t>
      </w:r>
      <w:r w:rsidRPr="009830DF">
        <w:rPr>
          <w:rFonts w:ascii="Palatino Linotype" w:eastAsia="Palatino Linotype" w:hAnsi="Palatino Linotype" w:cs="Palatino Linotype"/>
          <w:b/>
        </w:rPr>
        <w:t xml:space="preserve">Sujeto Obligado </w:t>
      </w:r>
      <w:r w:rsidRPr="009830DF">
        <w:rPr>
          <w:rFonts w:ascii="Palatino Linotype" w:eastAsia="Palatino Linotype" w:hAnsi="Palatino Linotype" w:cs="Palatino Linotype"/>
        </w:rPr>
        <w:t xml:space="preserve">cuenta con 25 registros mientras que en </w:t>
      </w:r>
      <w:r w:rsidRPr="009830DF">
        <w:rPr>
          <w:rFonts w:ascii="Palatino Linotype" w:eastAsia="Palatino Linotype" w:hAnsi="Palatino Linotype" w:cs="Palatino Linotype"/>
        </w:rPr>
        <w:lastRenderedPageBreak/>
        <w:t>cumplimiento al inciso a), fracción XXIX del mismo precepto legal, cuenta con 24 registros, correspondiendo dichos registros con los ejercicios 2020, 2021 y 2022.</w:t>
      </w:r>
    </w:p>
    <w:p w14:paraId="06AF8C0E"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Asimismo, se tomó una muestra de la información publicada en dichos registros, observando lo siguiente:</w:t>
      </w:r>
    </w:p>
    <w:p w14:paraId="179CA258" w14:textId="77777777" w:rsidR="0018526E" w:rsidRPr="009830DF" w:rsidRDefault="00876F9E">
      <w:pPr>
        <w:spacing w:before="240" w:after="240" w:line="360" w:lineRule="auto"/>
        <w:jc w:val="both"/>
        <w:rPr>
          <w:rFonts w:ascii="Palatino Linotype" w:eastAsia="Palatino Linotype" w:hAnsi="Palatino Linotype" w:cs="Palatino Linotype"/>
          <w:u w:val="single"/>
        </w:rPr>
      </w:pP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b/>
        </w:rPr>
        <w:t>Fracción, XXIX, inciso a):</w:t>
      </w: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u w:val="single"/>
        </w:rPr>
        <w:t>Licitación Pública, ejercicio 2021.</w:t>
      </w:r>
    </w:p>
    <w:p w14:paraId="6F0CD8B7" w14:textId="77777777" w:rsidR="0018526E" w:rsidRPr="009830DF" w:rsidRDefault="00876F9E">
      <w:pPr>
        <w:spacing w:before="240" w:after="240" w:line="360" w:lineRule="auto"/>
        <w:jc w:val="center"/>
        <w:rPr>
          <w:rFonts w:ascii="Palatino Linotype" w:eastAsia="Palatino Linotype" w:hAnsi="Palatino Linotype" w:cs="Palatino Linotype"/>
        </w:rPr>
      </w:pPr>
      <w:r w:rsidRPr="009830DF">
        <w:rPr>
          <w:rFonts w:ascii="Palatino Linotype" w:eastAsia="Palatino Linotype" w:hAnsi="Palatino Linotype" w:cs="Palatino Linotype"/>
          <w:noProof/>
        </w:rPr>
        <w:drawing>
          <wp:inline distT="0" distB="0" distL="0" distR="0" wp14:anchorId="177FD038" wp14:editId="1D63B024">
            <wp:extent cx="3960000" cy="4542278"/>
            <wp:effectExtent l="0" t="0" r="0" b="0"/>
            <wp:docPr id="1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3960000" cy="4542278"/>
                    </a:xfrm>
                    <a:prstGeom prst="rect">
                      <a:avLst/>
                    </a:prstGeom>
                    <a:ln/>
                  </pic:spPr>
                </pic:pic>
              </a:graphicData>
            </a:graphic>
          </wp:inline>
        </w:drawing>
      </w:r>
    </w:p>
    <w:p w14:paraId="5AE2E103" w14:textId="77777777" w:rsidR="0018526E" w:rsidRPr="009830DF" w:rsidRDefault="00876F9E">
      <w:pPr>
        <w:tabs>
          <w:tab w:val="left" w:pos="1276"/>
          <w:tab w:val="left" w:pos="7513"/>
        </w:tabs>
        <w:spacing w:before="240" w:after="240" w:line="360" w:lineRule="auto"/>
        <w:jc w:val="center"/>
        <w:rPr>
          <w:rFonts w:ascii="Palatino Linotype" w:eastAsia="Palatino Linotype" w:hAnsi="Palatino Linotype" w:cs="Palatino Linotype"/>
        </w:rPr>
      </w:pPr>
      <w:r w:rsidRPr="009830DF">
        <w:rPr>
          <w:rFonts w:ascii="Palatino Linotype" w:eastAsia="Palatino Linotype" w:hAnsi="Palatino Linotype" w:cs="Palatino Linotype"/>
          <w:noProof/>
        </w:rPr>
        <w:lastRenderedPageBreak/>
        <w:drawing>
          <wp:inline distT="0" distB="0" distL="0" distR="0" wp14:anchorId="1469069C" wp14:editId="1C2F449F">
            <wp:extent cx="3888000" cy="5475130"/>
            <wp:effectExtent l="0" t="0" r="0" b="0"/>
            <wp:docPr id="1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3888000" cy="5475130"/>
                    </a:xfrm>
                    <a:prstGeom prst="rect">
                      <a:avLst/>
                    </a:prstGeom>
                    <a:ln/>
                  </pic:spPr>
                </pic:pic>
              </a:graphicData>
            </a:graphic>
          </wp:inline>
        </w:drawing>
      </w:r>
    </w:p>
    <w:tbl>
      <w:tblPr>
        <w:tblStyle w:val="ac"/>
        <w:tblW w:w="882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537451" w:rsidRPr="009830DF" w14:paraId="4A72E4DD" w14:textId="77777777">
        <w:tc>
          <w:tcPr>
            <w:tcW w:w="4414" w:type="dxa"/>
          </w:tcPr>
          <w:p w14:paraId="4CDF05BC" w14:textId="77777777" w:rsidR="0018526E" w:rsidRPr="009830DF" w:rsidRDefault="00876F9E">
            <w:pPr>
              <w:tabs>
                <w:tab w:val="left" w:pos="1276"/>
                <w:tab w:val="left" w:pos="7513"/>
              </w:tabs>
              <w:jc w:val="center"/>
              <w:rPr>
                <w:rFonts w:ascii="Palatino Linotype" w:eastAsia="Palatino Linotype" w:hAnsi="Palatino Linotype" w:cs="Palatino Linotype"/>
              </w:rPr>
            </w:pPr>
            <w:r w:rsidRPr="009830DF">
              <w:rPr>
                <w:rFonts w:ascii="Palatino Linotype" w:eastAsia="Palatino Linotype" w:hAnsi="Palatino Linotype" w:cs="Palatino Linotype"/>
              </w:rPr>
              <w:object w:dxaOrig="3960" w:dyaOrig="2160" w14:anchorId="5C685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08pt" o:ole="">
                  <v:imagedata r:id="rId21" o:title=""/>
                </v:shape>
                <o:OLEObject Type="Embed" ProgID="PBrush" ShapeID="_x0000_i1025" DrawAspect="Content" ObjectID="_1744198744" r:id="rId22"/>
              </w:object>
            </w:r>
          </w:p>
        </w:tc>
        <w:tc>
          <w:tcPr>
            <w:tcW w:w="4414" w:type="dxa"/>
          </w:tcPr>
          <w:p w14:paraId="22EBC861" w14:textId="77777777" w:rsidR="0018526E" w:rsidRPr="009830DF" w:rsidRDefault="00876F9E">
            <w:pPr>
              <w:tabs>
                <w:tab w:val="left" w:pos="1276"/>
                <w:tab w:val="left" w:pos="7513"/>
              </w:tabs>
              <w:jc w:val="center"/>
              <w:rPr>
                <w:rFonts w:ascii="Palatino Linotype" w:eastAsia="Palatino Linotype" w:hAnsi="Palatino Linotype" w:cs="Palatino Linotype"/>
              </w:rPr>
            </w:pPr>
            <w:r w:rsidRPr="009830DF">
              <w:rPr>
                <w:rFonts w:ascii="Palatino Linotype" w:eastAsia="Palatino Linotype" w:hAnsi="Palatino Linotype" w:cs="Palatino Linotype"/>
                <w:noProof/>
              </w:rPr>
              <w:drawing>
                <wp:inline distT="0" distB="0" distL="0" distR="0" wp14:anchorId="2A33311A" wp14:editId="08EF8D0A">
                  <wp:extent cx="2520000" cy="1399055"/>
                  <wp:effectExtent l="0" t="0" r="0" b="0"/>
                  <wp:docPr id="14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2520000" cy="1399055"/>
                          </a:xfrm>
                          <a:prstGeom prst="rect">
                            <a:avLst/>
                          </a:prstGeom>
                          <a:ln/>
                        </pic:spPr>
                      </pic:pic>
                    </a:graphicData>
                  </a:graphic>
                </wp:inline>
              </w:drawing>
            </w:r>
          </w:p>
        </w:tc>
      </w:tr>
    </w:tbl>
    <w:p w14:paraId="34C2D1E5" w14:textId="77777777" w:rsidR="0018526E" w:rsidRPr="009830DF" w:rsidRDefault="0018526E">
      <w:pPr>
        <w:jc w:val="both"/>
        <w:rPr>
          <w:rFonts w:ascii="Palatino Linotype" w:eastAsia="Palatino Linotype" w:hAnsi="Palatino Linotype" w:cs="Palatino Linotype"/>
        </w:rPr>
      </w:pPr>
    </w:p>
    <w:p w14:paraId="30FB0F57" w14:textId="77777777" w:rsidR="0018526E" w:rsidRPr="009830DF" w:rsidRDefault="0018526E">
      <w:pPr>
        <w:jc w:val="both"/>
        <w:rPr>
          <w:rFonts w:ascii="Palatino Linotype" w:eastAsia="Palatino Linotype" w:hAnsi="Palatino Linotype" w:cs="Palatino Linotype"/>
        </w:rPr>
      </w:pPr>
    </w:p>
    <w:p w14:paraId="2A884B95" w14:textId="77777777" w:rsidR="0018526E" w:rsidRPr="009830DF" w:rsidRDefault="00876F9E">
      <w:pPr>
        <w:jc w:val="both"/>
        <w:rPr>
          <w:rFonts w:ascii="Palatino Linotype" w:eastAsia="Palatino Linotype" w:hAnsi="Palatino Linotype" w:cs="Palatino Linotype"/>
          <w:u w:val="single"/>
        </w:rPr>
      </w:pPr>
      <w:r w:rsidRPr="009830DF">
        <w:rPr>
          <w:rFonts w:ascii="Palatino Linotype" w:eastAsia="Palatino Linotype" w:hAnsi="Palatino Linotype" w:cs="Palatino Linotype"/>
        </w:rPr>
        <w:lastRenderedPageBreak/>
        <w:t xml:space="preserve">- </w:t>
      </w:r>
      <w:r w:rsidRPr="009830DF">
        <w:rPr>
          <w:rFonts w:ascii="Palatino Linotype" w:eastAsia="Palatino Linotype" w:hAnsi="Palatino Linotype" w:cs="Palatino Linotype"/>
          <w:b/>
        </w:rPr>
        <w:t>Fracción, XXIX</w:t>
      </w: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b/>
        </w:rPr>
        <w:t xml:space="preserve">inciso a): </w:t>
      </w:r>
      <w:r w:rsidRPr="009830DF">
        <w:rPr>
          <w:rFonts w:ascii="Palatino Linotype" w:eastAsia="Palatino Linotype" w:hAnsi="Palatino Linotype" w:cs="Palatino Linotype"/>
          <w:u w:val="single"/>
        </w:rPr>
        <w:t>Invitación a cuando menos tres personas, ejercicio 2020.</w:t>
      </w:r>
    </w:p>
    <w:p w14:paraId="49C857D6" w14:textId="77777777" w:rsidR="0018526E" w:rsidRPr="009830DF" w:rsidRDefault="00876F9E">
      <w:pPr>
        <w:spacing w:before="240" w:after="240" w:line="360" w:lineRule="auto"/>
        <w:jc w:val="center"/>
        <w:rPr>
          <w:rFonts w:ascii="Palatino Linotype" w:eastAsia="Palatino Linotype" w:hAnsi="Palatino Linotype" w:cs="Palatino Linotype"/>
          <w:u w:val="single"/>
        </w:rPr>
      </w:pPr>
      <w:r w:rsidRPr="009830DF">
        <w:rPr>
          <w:rFonts w:ascii="Palatino Linotype" w:eastAsia="Palatino Linotype" w:hAnsi="Palatino Linotype" w:cs="Palatino Linotype"/>
          <w:noProof/>
        </w:rPr>
        <w:drawing>
          <wp:inline distT="0" distB="0" distL="0" distR="0" wp14:anchorId="69025CE5" wp14:editId="1AB2BA19">
            <wp:extent cx="3960000" cy="6372227"/>
            <wp:effectExtent l="0" t="0" r="0" b="0"/>
            <wp:docPr id="1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b="317"/>
                    <a:stretch>
                      <a:fillRect/>
                    </a:stretch>
                  </pic:blipFill>
                  <pic:spPr>
                    <a:xfrm>
                      <a:off x="0" y="0"/>
                      <a:ext cx="3960000" cy="6372227"/>
                    </a:xfrm>
                    <a:prstGeom prst="rect">
                      <a:avLst/>
                    </a:prstGeom>
                    <a:ln/>
                  </pic:spPr>
                </pic:pic>
              </a:graphicData>
            </a:graphic>
          </wp:inline>
        </w:drawing>
      </w:r>
    </w:p>
    <w:p w14:paraId="25DE9C3D" w14:textId="77777777" w:rsidR="0018526E" w:rsidRPr="009830DF" w:rsidRDefault="0018526E">
      <w:pPr>
        <w:spacing w:before="240" w:after="240" w:line="360" w:lineRule="auto"/>
        <w:jc w:val="center"/>
        <w:rPr>
          <w:rFonts w:ascii="Palatino Linotype" w:eastAsia="Palatino Linotype" w:hAnsi="Palatino Linotype" w:cs="Palatino Linotype"/>
          <w:u w:val="single"/>
        </w:rPr>
      </w:pPr>
    </w:p>
    <w:p w14:paraId="681C8E6C" w14:textId="77777777" w:rsidR="0018526E" w:rsidRPr="009830DF" w:rsidRDefault="00876F9E">
      <w:pPr>
        <w:tabs>
          <w:tab w:val="left" w:pos="1276"/>
          <w:tab w:val="left" w:pos="7513"/>
        </w:tabs>
        <w:spacing w:before="240" w:after="240" w:line="360" w:lineRule="auto"/>
        <w:jc w:val="center"/>
        <w:rPr>
          <w:rFonts w:ascii="Palatino Linotype" w:eastAsia="Palatino Linotype" w:hAnsi="Palatino Linotype" w:cs="Palatino Linotype"/>
        </w:rPr>
      </w:pPr>
      <w:r w:rsidRPr="009830DF">
        <w:rPr>
          <w:rFonts w:ascii="Palatino Linotype" w:eastAsia="Palatino Linotype" w:hAnsi="Palatino Linotype" w:cs="Palatino Linotype"/>
          <w:noProof/>
        </w:rPr>
        <w:lastRenderedPageBreak/>
        <w:drawing>
          <wp:inline distT="0" distB="0" distL="0" distR="0" wp14:anchorId="559A230D" wp14:editId="153F9EFD">
            <wp:extent cx="3931920" cy="3200400"/>
            <wp:effectExtent l="0" t="0" r="0" b="0"/>
            <wp:docPr id="1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3931920" cy="3200400"/>
                    </a:xfrm>
                    <a:prstGeom prst="rect">
                      <a:avLst/>
                    </a:prstGeom>
                    <a:ln/>
                  </pic:spPr>
                </pic:pic>
              </a:graphicData>
            </a:graphic>
          </wp:inline>
        </w:drawing>
      </w:r>
    </w:p>
    <w:tbl>
      <w:tblPr>
        <w:tblStyle w:val="ad"/>
        <w:tblW w:w="882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9830DF" w:rsidRPr="009830DF" w14:paraId="23D942FC" w14:textId="77777777">
        <w:tc>
          <w:tcPr>
            <w:tcW w:w="4414" w:type="dxa"/>
          </w:tcPr>
          <w:p w14:paraId="2A90C344" w14:textId="77777777" w:rsidR="0018526E" w:rsidRPr="009830DF" w:rsidRDefault="00876F9E">
            <w:pPr>
              <w:tabs>
                <w:tab w:val="left" w:pos="1276"/>
                <w:tab w:val="left" w:pos="7513"/>
              </w:tabs>
              <w:jc w:val="center"/>
              <w:rPr>
                <w:rFonts w:ascii="Palatino Linotype" w:eastAsia="Palatino Linotype" w:hAnsi="Palatino Linotype" w:cs="Palatino Linotype"/>
              </w:rPr>
            </w:pPr>
            <w:r w:rsidRPr="009830DF">
              <w:rPr>
                <w:rFonts w:ascii="Palatino Linotype" w:eastAsia="Palatino Linotype" w:hAnsi="Palatino Linotype" w:cs="Palatino Linotype"/>
                <w:noProof/>
              </w:rPr>
              <w:drawing>
                <wp:inline distT="0" distB="0" distL="0" distR="0" wp14:anchorId="44C30DA7" wp14:editId="09EF8CEC">
                  <wp:extent cx="2520000" cy="1595857"/>
                  <wp:effectExtent l="0" t="0" r="0" b="0"/>
                  <wp:docPr id="1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2520000" cy="1595857"/>
                          </a:xfrm>
                          <a:prstGeom prst="rect">
                            <a:avLst/>
                          </a:prstGeom>
                          <a:ln/>
                        </pic:spPr>
                      </pic:pic>
                    </a:graphicData>
                  </a:graphic>
                </wp:inline>
              </w:drawing>
            </w:r>
          </w:p>
        </w:tc>
        <w:tc>
          <w:tcPr>
            <w:tcW w:w="4414" w:type="dxa"/>
          </w:tcPr>
          <w:p w14:paraId="0E9FCF1D" w14:textId="77777777" w:rsidR="0018526E" w:rsidRPr="009830DF" w:rsidRDefault="00876F9E">
            <w:pPr>
              <w:tabs>
                <w:tab w:val="left" w:pos="1276"/>
                <w:tab w:val="left" w:pos="7513"/>
              </w:tabs>
              <w:jc w:val="center"/>
              <w:rPr>
                <w:rFonts w:ascii="Palatino Linotype" w:eastAsia="Palatino Linotype" w:hAnsi="Palatino Linotype" w:cs="Palatino Linotype"/>
              </w:rPr>
            </w:pPr>
            <w:r w:rsidRPr="009830DF">
              <w:rPr>
                <w:rFonts w:ascii="Palatino Linotype" w:eastAsia="Palatino Linotype" w:hAnsi="Palatino Linotype" w:cs="Palatino Linotype"/>
                <w:noProof/>
              </w:rPr>
              <w:drawing>
                <wp:inline distT="0" distB="0" distL="0" distR="0" wp14:anchorId="45FDF7A0" wp14:editId="3B119050">
                  <wp:extent cx="2520000" cy="1371331"/>
                  <wp:effectExtent l="0" t="0" r="0" b="0"/>
                  <wp:docPr id="14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2520000" cy="1371331"/>
                          </a:xfrm>
                          <a:prstGeom prst="rect">
                            <a:avLst/>
                          </a:prstGeom>
                          <a:ln/>
                        </pic:spPr>
                      </pic:pic>
                    </a:graphicData>
                  </a:graphic>
                </wp:inline>
              </w:drawing>
            </w:r>
          </w:p>
        </w:tc>
      </w:tr>
    </w:tbl>
    <w:p w14:paraId="60EB80E8" w14:textId="77777777" w:rsidR="0018526E" w:rsidRPr="009830DF" w:rsidRDefault="00876F9E">
      <w:pPr>
        <w:tabs>
          <w:tab w:val="left" w:pos="1276"/>
          <w:tab w:val="left" w:pos="7513"/>
        </w:tabs>
        <w:spacing w:before="240" w:after="240" w:line="360" w:lineRule="auto"/>
        <w:jc w:val="both"/>
        <w:rPr>
          <w:rFonts w:ascii="Palatino Linotype" w:eastAsia="Palatino Linotype" w:hAnsi="Palatino Linotype" w:cs="Palatino Linotype"/>
          <w:u w:val="single"/>
        </w:rPr>
      </w:pPr>
      <w:r w:rsidRPr="009830DF">
        <w:rPr>
          <w:rFonts w:ascii="Palatino Linotype" w:eastAsia="Palatino Linotype" w:hAnsi="Palatino Linotype" w:cs="Palatino Linotype"/>
          <w:b/>
        </w:rPr>
        <w:t>- Fracción, XXIX</w:t>
      </w: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b/>
        </w:rPr>
        <w:t xml:space="preserve">inciso b): </w:t>
      </w:r>
      <w:r w:rsidRPr="009830DF">
        <w:rPr>
          <w:rFonts w:ascii="Palatino Linotype" w:eastAsia="Palatino Linotype" w:hAnsi="Palatino Linotype" w:cs="Palatino Linotype"/>
          <w:u w:val="single"/>
        </w:rPr>
        <w:t>Contrato pedido / adjudicación directa, ejercicio 2022.</w:t>
      </w:r>
    </w:p>
    <w:p w14:paraId="45BD296F" w14:textId="77777777" w:rsidR="0018526E" w:rsidRPr="009830DF" w:rsidRDefault="00876F9E">
      <w:pPr>
        <w:tabs>
          <w:tab w:val="left" w:pos="1276"/>
          <w:tab w:val="left" w:pos="7513"/>
        </w:tabs>
        <w:spacing w:before="240" w:after="240" w:line="360" w:lineRule="auto"/>
        <w:jc w:val="center"/>
        <w:rPr>
          <w:rFonts w:ascii="Palatino Linotype" w:eastAsia="Palatino Linotype" w:hAnsi="Palatino Linotype" w:cs="Palatino Linotype"/>
        </w:rPr>
      </w:pPr>
      <w:r w:rsidRPr="009830DF">
        <w:rPr>
          <w:rFonts w:ascii="Palatino Linotype" w:eastAsia="Palatino Linotype" w:hAnsi="Palatino Linotype" w:cs="Palatino Linotype"/>
          <w:noProof/>
        </w:rPr>
        <w:drawing>
          <wp:inline distT="0" distB="0" distL="0" distR="0" wp14:anchorId="2BDA2913" wp14:editId="6B6699D6">
            <wp:extent cx="3952240" cy="1926077"/>
            <wp:effectExtent l="0" t="0" r="0" b="0"/>
            <wp:docPr id="1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b="67127"/>
                    <a:stretch>
                      <a:fillRect/>
                    </a:stretch>
                  </pic:blipFill>
                  <pic:spPr>
                    <a:xfrm>
                      <a:off x="0" y="0"/>
                      <a:ext cx="3952240" cy="1926077"/>
                    </a:xfrm>
                    <a:prstGeom prst="rect">
                      <a:avLst/>
                    </a:prstGeom>
                    <a:ln/>
                  </pic:spPr>
                </pic:pic>
              </a:graphicData>
            </a:graphic>
          </wp:inline>
        </w:drawing>
      </w:r>
    </w:p>
    <w:p w14:paraId="04EB6969" w14:textId="77777777" w:rsidR="0018526E" w:rsidRPr="009830DF" w:rsidRDefault="00876F9E">
      <w:pPr>
        <w:tabs>
          <w:tab w:val="left" w:pos="1276"/>
          <w:tab w:val="left" w:pos="7513"/>
        </w:tabs>
        <w:spacing w:before="240" w:after="240" w:line="360" w:lineRule="auto"/>
        <w:jc w:val="center"/>
        <w:rPr>
          <w:rFonts w:ascii="Palatino Linotype" w:eastAsia="Palatino Linotype" w:hAnsi="Palatino Linotype" w:cs="Palatino Linotype"/>
        </w:rPr>
      </w:pPr>
      <w:r w:rsidRPr="009830DF">
        <w:rPr>
          <w:rFonts w:ascii="Palatino Linotype" w:eastAsia="Palatino Linotype" w:hAnsi="Palatino Linotype" w:cs="Palatino Linotype"/>
          <w:noProof/>
        </w:rPr>
        <w:lastRenderedPageBreak/>
        <w:drawing>
          <wp:inline distT="0" distB="0" distL="0" distR="0" wp14:anchorId="5A28A213" wp14:editId="63DE8C24">
            <wp:extent cx="3952240" cy="3894156"/>
            <wp:effectExtent l="0" t="0" r="0" b="0"/>
            <wp:docPr id="1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t="33537"/>
                    <a:stretch>
                      <a:fillRect/>
                    </a:stretch>
                  </pic:blipFill>
                  <pic:spPr>
                    <a:xfrm>
                      <a:off x="0" y="0"/>
                      <a:ext cx="3952240" cy="3894156"/>
                    </a:xfrm>
                    <a:prstGeom prst="rect">
                      <a:avLst/>
                    </a:prstGeom>
                    <a:ln/>
                  </pic:spPr>
                </pic:pic>
              </a:graphicData>
            </a:graphic>
          </wp:inline>
        </w:drawing>
      </w:r>
      <w:r w:rsidRPr="009830DF">
        <w:rPr>
          <w:rFonts w:ascii="Palatino Linotype" w:eastAsia="Palatino Linotype" w:hAnsi="Palatino Linotype" w:cs="Palatino Linotype"/>
          <w:noProof/>
        </w:rPr>
        <w:drawing>
          <wp:inline distT="0" distB="0" distL="0" distR="0" wp14:anchorId="6BB327BA" wp14:editId="530804ED">
            <wp:extent cx="3978910" cy="1644015"/>
            <wp:effectExtent l="0" t="0" r="0" b="0"/>
            <wp:docPr id="1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3978910" cy="1644015"/>
                    </a:xfrm>
                    <a:prstGeom prst="rect">
                      <a:avLst/>
                    </a:prstGeom>
                    <a:ln/>
                  </pic:spPr>
                </pic:pic>
              </a:graphicData>
            </a:graphic>
          </wp:inline>
        </w:drawing>
      </w:r>
    </w:p>
    <w:tbl>
      <w:tblPr>
        <w:tblStyle w:val="ae"/>
        <w:tblW w:w="882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9830DF" w:rsidRPr="009830DF" w14:paraId="4B1767B9" w14:textId="77777777">
        <w:tc>
          <w:tcPr>
            <w:tcW w:w="4414" w:type="dxa"/>
          </w:tcPr>
          <w:p w14:paraId="56378BB4" w14:textId="77777777" w:rsidR="0018526E" w:rsidRPr="009830DF" w:rsidRDefault="00876F9E">
            <w:pPr>
              <w:tabs>
                <w:tab w:val="left" w:pos="1276"/>
                <w:tab w:val="left" w:pos="7513"/>
              </w:tabs>
              <w:jc w:val="center"/>
              <w:rPr>
                <w:rFonts w:ascii="Palatino Linotype" w:eastAsia="Palatino Linotype" w:hAnsi="Palatino Linotype" w:cs="Palatino Linotype"/>
              </w:rPr>
            </w:pPr>
            <w:r w:rsidRPr="009830DF">
              <w:rPr>
                <w:rFonts w:ascii="Palatino Linotype" w:eastAsia="Palatino Linotype" w:hAnsi="Palatino Linotype" w:cs="Palatino Linotype"/>
                <w:noProof/>
              </w:rPr>
              <w:drawing>
                <wp:inline distT="0" distB="0" distL="0" distR="0" wp14:anchorId="75B1E9C3" wp14:editId="4561CCBC">
                  <wp:extent cx="2520000" cy="638853"/>
                  <wp:effectExtent l="0" t="0" r="0" b="0"/>
                  <wp:docPr id="14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2520000" cy="638853"/>
                          </a:xfrm>
                          <a:prstGeom prst="rect">
                            <a:avLst/>
                          </a:prstGeom>
                          <a:ln/>
                        </pic:spPr>
                      </pic:pic>
                    </a:graphicData>
                  </a:graphic>
                </wp:inline>
              </w:drawing>
            </w:r>
          </w:p>
        </w:tc>
        <w:tc>
          <w:tcPr>
            <w:tcW w:w="4414" w:type="dxa"/>
          </w:tcPr>
          <w:p w14:paraId="2BF758D3" w14:textId="77777777" w:rsidR="0018526E" w:rsidRPr="009830DF" w:rsidRDefault="00876F9E">
            <w:pPr>
              <w:tabs>
                <w:tab w:val="left" w:pos="1276"/>
                <w:tab w:val="left" w:pos="7513"/>
              </w:tabs>
              <w:jc w:val="center"/>
              <w:rPr>
                <w:rFonts w:ascii="Palatino Linotype" w:eastAsia="Palatino Linotype" w:hAnsi="Palatino Linotype" w:cs="Palatino Linotype"/>
              </w:rPr>
            </w:pPr>
            <w:r w:rsidRPr="009830DF">
              <w:rPr>
                <w:rFonts w:ascii="Palatino Linotype" w:eastAsia="Palatino Linotype" w:hAnsi="Palatino Linotype" w:cs="Palatino Linotype"/>
                <w:noProof/>
              </w:rPr>
              <w:drawing>
                <wp:inline distT="0" distB="0" distL="0" distR="0" wp14:anchorId="53F81B8B" wp14:editId="704575C4">
                  <wp:extent cx="2520000" cy="1407438"/>
                  <wp:effectExtent l="0" t="0" r="0" b="0"/>
                  <wp:docPr id="14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2520000" cy="1407438"/>
                          </a:xfrm>
                          <a:prstGeom prst="rect">
                            <a:avLst/>
                          </a:prstGeom>
                          <a:ln/>
                        </pic:spPr>
                      </pic:pic>
                    </a:graphicData>
                  </a:graphic>
                </wp:inline>
              </w:drawing>
            </w:r>
          </w:p>
        </w:tc>
      </w:tr>
    </w:tbl>
    <w:p w14:paraId="5BF31293" w14:textId="77777777" w:rsidR="0018526E" w:rsidRPr="009830DF" w:rsidRDefault="00876F9E">
      <w:pPr>
        <w:spacing w:before="240" w:after="240" w:line="360" w:lineRule="auto"/>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rPr>
        <w:lastRenderedPageBreak/>
        <w:t xml:space="preserve">En tal sentido, se colige que la información requerida por la persona solicitante, respecto de los documentos que integran los procesos de licitación pública, adjudicación directa, invitación restringida o cualquier otra modalidad, versa sobre una obligación de transparencia de oficio, y que por tal motivo el </w:t>
      </w:r>
      <w:r w:rsidRPr="009830DF">
        <w:rPr>
          <w:rFonts w:ascii="Palatino Linotype" w:eastAsia="Palatino Linotype" w:hAnsi="Palatino Linotype" w:cs="Palatino Linotype"/>
          <w:b/>
        </w:rPr>
        <w:t>Sujeto Obligado</w:t>
      </w:r>
      <w:r w:rsidRPr="009830DF">
        <w:rPr>
          <w:rFonts w:ascii="Palatino Linotype" w:eastAsia="Palatino Linotype" w:hAnsi="Palatino Linotype" w:cs="Palatino Linotype"/>
        </w:rPr>
        <w:t xml:space="preserve"> se encuentra constreñido a poner a disposición del público dicha información, de manera permanente y actualizada a través de los portales de internet y en la Plataforma Nacional de Transparencia.</w:t>
      </w:r>
    </w:p>
    <w:p w14:paraId="171C8099"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No obstante de lo anterior, no debe de perderse de vista que en el caso concreto, la persona solicitante requirió  todos los documentos que integren los expedientes de los procedimientos de adquisición, celebrados en cualquier modalidad, por lo que es imprescindible mencionar que de conformidad con el ACUERDO DEL SECRETARIO DE INFRAESTRUCTURA POR EL QUE SE ESTABLECE EL ÍNDICE DE EXPEDIENTE ÚNICO DE OBRA PÚBLICA E INSTRUCTIVOS DE LLENADO EN LAS MODALIDADES DE ADJUDICACIÓN DIRECTA, INVITACIÓN RESTRINGIDA Y LICITACIÓN PÚBLICA, mediante el cual se establecen los índices de Expedientes Únicos de Obra e instructivos de llenado, en las modalidades de Adjudicación Directa, Invitación Restringida y Licitación Pública, para la integración del expediente único de obra pública que para tal efecto integran las dependencias, entidades, ayuntamientos y tribunales administrativos </w:t>
      </w:r>
      <w:r w:rsidRPr="009830DF">
        <w:rPr>
          <w:rFonts w:ascii="Palatino Linotype" w:eastAsia="Palatino Linotype" w:hAnsi="Palatino Linotype" w:cs="Palatino Linotype"/>
          <w:b/>
          <w:u w:val="single"/>
        </w:rPr>
        <w:t>que ejecuten obra pública</w:t>
      </w:r>
      <w:r w:rsidRPr="009830DF">
        <w:rPr>
          <w:rFonts w:ascii="Palatino Linotype" w:eastAsia="Palatino Linotype" w:hAnsi="Palatino Linotype" w:cs="Palatino Linotype"/>
        </w:rPr>
        <w:t>; los expedientes de Adjudicación Directa, Invitación Restringida y Licitación Pública, se integran de la siguiente manera:</w:t>
      </w:r>
    </w:p>
    <w:p w14:paraId="3B7E3657" w14:textId="77777777" w:rsidR="0018526E" w:rsidRPr="009830DF" w:rsidRDefault="0018526E">
      <w:pPr>
        <w:spacing w:before="240" w:after="240" w:line="360" w:lineRule="auto"/>
        <w:jc w:val="both"/>
        <w:rPr>
          <w:rFonts w:ascii="Palatino Linotype" w:eastAsia="Palatino Linotype" w:hAnsi="Palatino Linotype" w:cs="Palatino Linotype"/>
        </w:rPr>
      </w:pPr>
    </w:p>
    <w:p w14:paraId="73F76964" w14:textId="77777777" w:rsidR="0018526E" w:rsidRPr="009830DF" w:rsidRDefault="00876F9E">
      <w:pPr>
        <w:spacing w:before="240" w:after="240" w:line="360" w:lineRule="auto"/>
        <w:jc w:val="center"/>
        <w:rPr>
          <w:rFonts w:ascii="Palatino Linotype" w:eastAsia="Palatino Linotype" w:hAnsi="Palatino Linotype" w:cs="Palatino Linotype"/>
        </w:rPr>
      </w:pPr>
      <w:r w:rsidRPr="009830DF">
        <w:rPr>
          <w:rFonts w:ascii="Palatino Linotype" w:eastAsia="Palatino Linotype" w:hAnsi="Palatino Linotype" w:cs="Palatino Linotype"/>
          <w:noProof/>
        </w:rPr>
        <w:lastRenderedPageBreak/>
        <w:drawing>
          <wp:inline distT="0" distB="0" distL="0" distR="0" wp14:anchorId="33C3CAFA" wp14:editId="794EAC83">
            <wp:extent cx="3960000" cy="5008824"/>
            <wp:effectExtent l="0" t="0" r="0" b="0"/>
            <wp:docPr id="15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3960000" cy="5008824"/>
                    </a:xfrm>
                    <a:prstGeom prst="rect">
                      <a:avLst/>
                    </a:prstGeom>
                    <a:ln/>
                  </pic:spPr>
                </pic:pic>
              </a:graphicData>
            </a:graphic>
          </wp:inline>
        </w:drawing>
      </w:r>
    </w:p>
    <w:p w14:paraId="75930D99" w14:textId="77777777" w:rsidR="0018526E" w:rsidRPr="009830DF" w:rsidRDefault="00876F9E">
      <w:pPr>
        <w:spacing w:before="240" w:after="240" w:line="360" w:lineRule="auto"/>
        <w:jc w:val="center"/>
        <w:rPr>
          <w:rFonts w:ascii="Palatino Linotype" w:eastAsia="Palatino Linotype" w:hAnsi="Palatino Linotype" w:cs="Palatino Linotype"/>
        </w:rPr>
      </w:pPr>
      <w:r w:rsidRPr="009830DF">
        <w:rPr>
          <w:rFonts w:ascii="Palatino Linotype" w:eastAsia="Palatino Linotype" w:hAnsi="Palatino Linotype" w:cs="Palatino Linotype"/>
          <w:noProof/>
        </w:rPr>
        <w:drawing>
          <wp:inline distT="0" distB="0" distL="0" distR="0" wp14:anchorId="5A3D19AB" wp14:editId="750EAD87">
            <wp:extent cx="3960000" cy="2205229"/>
            <wp:effectExtent l="0" t="0" r="0" b="0"/>
            <wp:docPr id="15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a:stretch>
                      <a:fillRect/>
                    </a:stretch>
                  </pic:blipFill>
                  <pic:spPr>
                    <a:xfrm>
                      <a:off x="0" y="0"/>
                      <a:ext cx="3960000" cy="2205229"/>
                    </a:xfrm>
                    <a:prstGeom prst="rect">
                      <a:avLst/>
                    </a:prstGeom>
                    <a:ln/>
                  </pic:spPr>
                </pic:pic>
              </a:graphicData>
            </a:graphic>
          </wp:inline>
        </w:drawing>
      </w:r>
    </w:p>
    <w:p w14:paraId="257D928E" w14:textId="77777777" w:rsidR="0018526E" w:rsidRPr="009830DF" w:rsidRDefault="0018526E">
      <w:pPr>
        <w:spacing w:before="240" w:after="240" w:line="360" w:lineRule="auto"/>
        <w:jc w:val="center"/>
        <w:rPr>
          <w:rFonts w:ascii="Palatino Linotype" w:eastAsia="Palatino Linotype" w:hAnsi="Palatino Linotype" w:cs="Palatino Linotype"/>
        </w:rPr>
      </w:pPr>
    </w:p>
    <w:p w14:paraId="5D6C21AF" w14:textId="77777777" w:rsidR="0018526E" w:rsidRPr="009830DF" w:rsidRDefault="00876F9E">
      <w:pPr>
        <w:spacing w:before="240" w:after="240" w:line="360" w:lineRule="auto"/>
        <w:jc w:val="center"/>
        <w:rPr>
          <w:rFonts w:ascii="Palatino Linotype" w:eastAsia="Palatino Linotype" w:hAnsi="Palatino Linotype" w:cs="Palatino Linotype"/>
        </w:rPr>
      </w:pPr>
      <w:r w:rsidRPr="009830DF">
        <w:rPr>
          <w:rFonts w:ascii="Palatino Linotype" w:eastAsia="Palatino Linotype" w:hAnsi="Palatino Linotype" w:cs="Palatino Linotype"/>
          <w:noProof/>
        </w:rPr>
        <w:drawing>
          <wp:inline distT="0" distB="0" distL="0" distR="0" wp14:anchorId="4F241046" wp14:editId="35912D90">
            <wp:extent cx="4680000" cy="6006927"/>
            <wp:effectExtent l="0" t="0" r="0" b="0"/>
            <wp:docPr id="15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4680000" cy="6006927"/>
                    </a:xfrm>
                    <a:prstGeom prst="rect">
                      <a:avLst/>
                    </a:prstGeom>
                    <a:ln/>
                  </pic:spPr>
                </pic:pic>
              </a:graphicData>
            </a:graphic>
          </wp:inline>
        </w:drawing>
      </w:r>
    </w:p>
    <w:p w14:paraId="18551716" w14:textId="77777777" w:rsidR="0018526E" w:rsidRPr="009830DF" w:rsidRDefault="00876F9E">
      <w:pPr>
        <w:spacing w:before="240" w:after="240" w:line="360" w:lineRule="auto"/>
        <w:jc w:val="center"/>
        <w:rPr>
          <w:rFonts w:ascii="Palatino Linotype" w:eastAsia="Palatino Linotype" w:hAnsi="Palatino Linotype" w:cs="Palatino Linotype"/>
        </w:rPr>
      </w:pPr>
      <w:r w:rsidRPr="009830DF">
        <w:rPr>
          <w:rFonts w:ascii="Palatino Linotype" w:eastAsia="Palatino Linotype" w:hAnsi="Palatino Linotype" w:cs="Palatino Linotype"/>
          <w:noProof/>
        </w:rPr>
        <w:lastRenderedPageBreak/>
        <w:drawing>
          <wp:inline distT="0" distB="0" distL="0" distR="0" wp14:anchorId="1D8DC8E1" wp14:editId="636011DD">
            <wp:extent cx="4320000" cy="3014461"/>
            <wp:effectExtent l="0" t="0" r="0" b="0"/>
            <wp:docPr id="15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4320000" cy="3014461"/>
                    </a:xfrm>
                    <a:prstGeom prst="rect">
                      <a:avLst/>
                    </a:prstGeom>
                    <a:ln/>
                  </pic:spPr>
                </pic:pic>
              </a:graphicData>
            </a:graphic>
          </wp:inline>
        </w:drawing>
      </w:r>
      <w:r w:rsidRPr="009830DF">
        <w:rPr>
          <w:rFonts w:ascii="Palatino Linotype" w:eastAsia="Palatino Linotype" w:hAnsi="Palatino Linotype" w:cs="Palatino Linotype"/>
          <w:noProof/>
        </w:rPr>
        <w:drawing>
          <wp:inline distT="0" distB="0" distL="0" distR="0" wp14:anchorId="779A38FA" wp14:editId="7288CC06">
            <wp:extent cx="4104000" cy="2703480"/>
            <wp:effectExtent l="0" t="0" r="0" b="0"/>
            <wp:docPr id="1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4104000" cy="2703480"/>
                    </a:xfrm>
                    <a:prstGeom prst="rect">
                      <a:avLst/>
                    </a:prstGeom>
                    <a:ln/>
                  </pic:spPr>
                </pic:pic>
              </a:graphicData>
            </a:graphic>
          </wp:inline>
        </w:drawing>
      </w:r>
    </w:p>
    <w:p w14:paraId="136358AC" w14:textId="77777777" w:rsidR="0018526E" w:rsidRPr="009830DF" w:rsidRDefault="00876F9E">
      <w:pPr>
        <w:spacing w:before="240" w:after="240" w:line="360" w:lineRule="auto"/>
        <w:jc w:val="center"/>
        <w:rPr>
          <w:rFonts w:ascii="Palatino Linotype" w:eastAsia="Palatino Linotype" w:hAnsi="Palatino Linotype" w:cs="Palatino Linotype"/>
        </w:rPr>
      </w:pPr>
      <w:r w:rsidRPr="009830DF">
        <w:rPr>
          <w:rFonts w:ascii="Palatino Linotype" w:eastAsia="Palatino Linotype" w:hAnsi="Palatino Linotype" w:cs="Palatino Linotype"/>
          <w:noProof/>
        </w:rPr>
        <w:lastRenderedPageBreak/>
        <w:drawing>
          <wp:inline distT="0" distB="0" distL="0" distR="0" wp14:anchorId="0507F01A" wp14:editId="1C92DAE8">
            <wp:extent cx="4500000" cy="5889077"/>
            <wp:effectExtent l="0" t="0" r="0" b="0"/>
            <wp:docPr id="1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b="1431"/>
                    <a:stretch>
                      <a:fillRect/>
                    </a:stretch>
                  </pic:blipFill>
                  <pic:spPr>
                    <a:xfrm>
                      <a:off x="0" y="0"/>
                      <a:ext cx="4500000" cy="5889077"/>
                    </a:xfrm>
                    <a:prstGeom prst="rect">
                      <a:avLst/>
                    </a:prstGeom>
                    <a:ln/>
                  </pic:spPr>
                </pic:pic>
              </a:graphicData>
            </a:graphic>
          </wp:inline>
        </w:drawing>
      </w:r>
    </w:p>
    <w:p w14:paraId="654D825E"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De las imágenes insertas se advierte que </w:t>
      </w:r>
      <w:r w:rsidRPr="009830DF">
        <w:rPr>
          <w:rFonts w:ascii="Palatino Linotype" w:eastAsia="Palatino Linotype" w:hAnsi="Palatino Linotype" w:cs="Palatino Linotype"/>
          <w:b/>
        </w:rPr>
        <w:t xml:space="preserve">los expedientes únicos de obra pública, en las modalidades de adjudicación directa, invitación restringida y licitación pública, incluyen diversos documentos que no están contemplados dentro de la obligación de transparencia establecida en el artículo 92, fracción XXIX de la Ley de Transparencia y Acceso a la Información Pública del Estado de México y </w:t>
      </w:r>
      <w:r w:rsidRPr="009830DF">
        <w:rPr>
          <w:rFonts w:ascii="Palatino Linotype" w:eastAsia="Palatino Linotype" w:hAnsi="Palatino Linotype" w:cs="Palatino Linotype"/>
          <w:b/>
        </w:rPr>
        <w:lastRenderedPageBreak/>
        <w:t>Municipios</w:t>
      </w:r>
      <w:r w:rsidRPr="009830DF">
        <w:rPr>
          <w:rFonts w:ascii="Palatino Linotype" w:eastAsia="Palatino Linotype" w:hAnsi="Palatino Linotype" w:cs="Palatino Linotype"/>
        </w:rPr>
        <w:t xml:space="preserve">, así como </w:t>
      </w:r>
      <w:r w:rsidRPr="009830DF">
        <w:rPr>
          <w:rFonts w:ascii="Palatino Linotype" w:eastAsia="Palatino Linotype" w:hAnsi="Palatino Linotype" w:cs="Palatino Linotype"/>
          <w:b/>
        </w:rPr>
        <w:t>tampoco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contemplan la publicación de los mismos</w:t>
      </w:r>
      <w:r w:rsidRPr="009830DF">
        <w:rPr>
          <w:rFonts w:ascii="Palatino Linotype" w:eastAsia="Palatino Linotype" w:hAnsi="Palatino Linotype" w:cs="Palatino Linotype"/>
        </w:rPr>
        <w:t>, de manera enunciativa, más no limitativa, el expediente único de obra, el proyecto ejecutivo, el proyecto, base, el oficio de autorización de los recursos y el dictamen de procedencia, las bases del concurso  y en su caso los términos de referencia, la invitación a la persona física o moral para presentar su propuesta, el expediente técnico, el proyecto ejecutivo, el presupuesto base, el recibo de pago de las bases del concurso, entre otros.</w:t>
      </w:r>
    </w:p>
    <w:p w14:paraId="698F3FB7"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De igual forma, el argumento anterior se robustece con los artículos 67, 69, 71, 90, 93 y 94 del Reglamento de la Ley de Contratación Pública del Estado de México y Municipios, y 30, 41, 46, 47 y 49 del Reglamento del Libro Décimo Segundo del Código Administrativo del Estado De México, que señalan lo siguiente:</w:t>
      </w:r>
    </w:p>
    <w:p w14:paraId="378C3B14" w14:textId="77777777" w:rsidR="0018526E" w:rsidRPr="009830DF" w:rsidRDefault="00876F9E">
      <w:pPr>
        <w:tabs>
          <w:tab w:val="left" w:pos="5983"/>
        </w:tabs>
        <w:spacing w:before="120" w:after="120"/>
        <w:ind w:left="851" w:right="1043"/>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67</w:t>
      </w:r>
      <w:r w:rsidRPr="009830DF">
        <w:rPr>
          <w:rFonts w:ascii="Palatino Linotype" w:eastAsia="Palatino Linotype" w:hAnsi="Palatino Linotype" w:cs="Palatino Linotype"/>
          <w:i/>
          <w:sz w:val="22"/>
          <w:szCs w:val="22"/>
        </w:rPr>
        <w:t>.- El procedimiento de licitación pública comprende las siguientes fases:</w:t>
      </w:r>
    </w:p>
    <w:p w14:paraId="19C341D0" w14:textId="77777777" w:rsidR="0018526E" w:rsidRPr="009830DF" w:rsidRDefault="00876F9E">
      <w:pPr>
        <w:tabs>
          <w:tab w:val="left" w:pos="5983"/>
        </w:tabs>
        <w:spacing w:before="120" w:after="120"/>
        <w:ind w:left="1134" w:right="1043"/>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I. Publicación de la convocatoria;</w:t>
      </w:r>
    </w:p>
    <w:p w14:paraId="72C09057" w14:textId="77777777" w:rsidR="0018526E" w:rsidRPr="009830DF" w:rsidRDefault="00876F9E">
      <w:pPr>
        <w:tabs>
          <w:tab w:val="left" w:pos="5983"/>
        </w:tabs>
        <w:spacing w:before="120" w:after="120"/>
        <w:ind w:left="1134" w:right="1043"/>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 xml:space="preserve">II. </w:t>
      </w:r>
      <w:r w:rsidRPr="009830DF">
        <w:rPr>
          <w:rFonts w:ascii="Palatino Linotype" w:eastAsia="Palatino Linotype" w:hAnsi="Palatino Linotype" w:cs="Palatino Linotype"/>
          <w:i/>
          <w:sz w:val="22"/>
          <w:szCs w:val="22"/>
        </w:rPr>
        <w:t>Venta de las bases de licitación;</w:t>
      </w:r>
    </w:p>
    <w:p w14:paraId="606E5A41" w14:textId="77777777" w:rsidR="0018526E" w:rsidRPr="009830DF" w:rsidRDefault="00876F9E">
      <w:pPr>
        <w:tabs>
          <w:tab w:val="left" w:pos="5983"/>
        </w:tabs>
        <w:spacing w:before="120" w:after="120"/>
        <w:ind w:left="1134" w:right="1043"/>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 xml:space="preserve">III. </w:t>
      </w:r>
      <w:r w:rsidRPr="009830DF">
        <w:rPr>
          <w:rFonts w:ascii="Palatino Linotype" w:eastAsia="Palatino Linotype" w:hAnsi="Palatino Linotype" w:cs="Palatino Linotype"/>
          <w:i/>
          <w:sz w:val="22"/>
          <w:szCs w:val="22"/>
        </w:rPr>
        <w:t>Visita, en su caso, al sitio donde se vayan a suministrar los bienes o a prestar los servicios</w:t>
      </w:r>
      <w:r w:rsidRPr="009830DF">
        <w:rPr>
          <w:rFonts w:ascii="Palatino Linotype" w:eastAsia="Palatino Linotype" w:hAnsi="Palatino Linotype" w:cs="Palatino Linotype"/>
          <w:b/>
          <w:i/>
          <w:sz w:val="22"/>
          <w:szCs w:val="22"/>
        </w:rPr>
        <w:t>;</w:t>
      </w:r>
    </w:p>
    <w:p w14:paraId="04896B2D" w14:textId="77777777" w:rsidR="0018526E" w:rsidRPr="009830DF" w:rsidRDefault="00876F9E">
      <w:pPr>
        <w:tabs>
          <w:tab w:val="left" w:pos="5983"/>
        </w:tabs>
        <w:spacing w:before="120" w:after="120"/>
        <w:ind w:left="1134" w:right="1043"/>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IV. Junta de aclaraciones, en su caso;</w:t>
      </w:r>
    </w:p>
    <w:p w14:paraId="26E13E9E" w14:textId="77777777" w:rsidR="0018526E" w:rsidRPr="009830DF" w:rsidRDefault="00876F9E">
      <w:pPr>
        <w:tabs>
          <w:tab w:val="left" w:pos="5983"/>
        </w:tabs>
        <w:spacing w:before="120" w:after="120"/>
        <w:ind w:left="1134" w:right="1043"/>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V. Acto de presentación y apertura de propuestas;</w:t>
      </w:r>
    </w:p>
    <w:p w14:paraId="2A2BFFC1" w14:textId="77777777" w:rsidR="0018526E" w:rsidRPr="009830DF" w:rsidRDefault="00876F9E">
      <w:pPr>
        <w:tabs>
          <w:tab w:val="left" w:pos="5983"/>
        </w:tabs>
        <w:spacing w:before="120" w:after="120"/>
        <w:ind w:left="1134" w:right="1043"/>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VI. Análisis y evaluación de propuestas;</w:t>
      </w:r>
    </w:p>
    <w:p w14:paraId="74FF461C" w14:textId="77777777" w:rsidR="0018526E" w:rsidRPr="009830DF" w:rsidRDefault="00876F9E">
      <w:pPr>
        <w:tabs>
          <w:tab w:val="left" w:pos="5983"/>
        </w:tabs>
        <w:spacing w:before="120" w:after="120"/>
        <w:ind w:left="1134" w:right="1043"/>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lastRenderedPageBreak/>
        <w:t>VII. Dictamen de adjudicación;</w:t>
      </w:r>
    </w:p>
    <w:p w14:paraId="00318674" w14:textId="77777777" w:rsidR="0018526E" w:rsidRPr="009830DF" w:rsidRDefault="00876F9E">
      <w:pPr>
        <w:tabs>
          <w:tab w:val="left" w:pos="5983"/>
        </w:tabs>
        <w:spacing w:before="120" w:after="120"/>
        <w:ind w:left="1134" w:right="1043"/>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VIII. Fallo;</w:t>
      </w:r>
    </w:p>
    <w:p w14:paraId="06FFC15F" w14:textId="77777777" w:rsidR="0018526E" w:rsidRPr="009830DF" w:rsidRDefault="00876F9E">
      <w:pPr>
        <w:tabs>
          <w:tab w:val="left" w:pos="5983"/>
        </w:tabs>
        <w:spacing w:before="120" w:after="120"/>
        <w:ind w:left="1134" w:right="1043"/>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IX. Suscripción del contrato; y</w:t>
      </w:r>
    </w:p>
    <w:p w14:paraId="1CAA19F4" w14:textId="77777777" w:rsidR="0018526E" w:rsidRPr="009830DF" w:rsidRDefault="00876F9E">
      <w:pPr>
        <w:tabs>
          <w:tab w:val="left" w:pos="5983"/>
        </w:tabs>
        <w:spacing w:before="120" w:after="120"/>
        <w:ind w:left="1134" w:right="1043"/>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X. Suministro de los bienes o inicio de la prestación del servicio.</w:t>
      </w:r>
    </w:p>
    <w:p w14:paraId="44B26F96" w14:textId="77777777" w:rsidR="0018526E" w:rsidRPr="009830DF" w:rsidRDefault="00876F9E">
      <w:pPr>
        <w:tabs>
          <w:tab w:val="left" w:pos="5983"/>
        </w:tabs>
        <w:spacing w:before="120" w:after="120"/>
        <w:ind w:left="851" w:right="1043"/>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w:t>
      </w:r>
    </w:p>
    <w:p w14:paraId="0C6FA2CD" w14:textId="77777777" w:rsidR="0018526E" w:rsidRPr="009830DF" w:rsidRDefault="00876F9E">
      <w:pPr>
        <w:tabs>
          <w:tab w:val="left" w:pos="5983"/>
        </w:tabs>
        <w:spacing w:before="120" w:after="120"/>
        <w:ind w:left="851" w:right="1043"/>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69.-</w:t>
      </w:r>
      <w:r w:rsidRPr="009830DF">
        <w:rPr>
          <w:rFonts w:ascii="Palatino Linotype" w:eastAsia="Palatino Linotype" w:hAnsi="Palatino Linotype" w:cs="Palatino Linotype"/>
          <w:i/>
          <w:sz w:val="22"/>
          <w:szCs w:val="22"/>
        </w:rPr>
        <w:t xml:space="preserve"> En los </w:t>
      </w:r>
      <w:r w:rsidRPr="009830DF">
        <w:rPr>
          <w:rFonts w:ascii="Palatino Linotype" w:eastAsia="Palatino Linotype" w:hAnsi="Palatino Linotype" w:cs="Palatino Linotype"/>
          <w:b/>
          <w:i/>
          <w:sz w:val="22"/>
          <w:szCs w:val="22"/>
        </w:rPr>
        <w:t>procedimientos de licitación pública cuyo monto rebase el equivalente a dos millones</w:t>
      </w:r>
      <w:r w:rsidRPr="009830DF">
        <w:rPr>
          <w:rFonts w:ascii="Palatino Linotype" w:eastAsia="Palatino Linotype" w:hAnsi="Palatino Linotype" w:cs="Palatino Linotype"/>
          <w:i/>
          <w:sz w:val="22"/>
          <w:szCs w:val="22"/>
        </w:rPr>
        <w:t xml:space="preserve"> de salario mínimo general vigente en la Capital del Estado y en aquellos casos en los que el área solicitante así lo determine por su complejidad o impacto que tenga en sus programas sustantivos, </w:t>
      </w:r>
      <w:r w:rsidRPr="009830DF">
        <w:rPr>
          <w:rFonts w:ascii="Palatino Linotype" w:eastAsia="Palatino Linotype" w:hAnsi="Palatino Linotype" w:cs="Palatino Linotype"/>
          <w:b/>
          <w:i/>
          <w:sz w:val="22"/>
          <w:szCs w:val="22"/>
          <w:u w:val="single"/>
        </w:rPr>
        <w:t>será obligatoria la participación de testigos sociales</w:t>
      </w:r>
      <w:r w:rsidRPr="009830DF">
        <w:rPr>
          <w:rFonts w:ascii="Palatino Linotype" w:eastAsia="Palatino Linotype" w:hAnsi="Palatino Linotype" w:cs="Palatino Linotype"/>
          <w:i/>
          <w:sz w:val="22"/>
          <w:szCs w:val="22"/>
        </w:rPr>
        <w:t>, en términos del Título Décimo del Libro Primero del Código Administrativo del Estado de México.</w:t>
      </w:r>
    </w:p>
    <w:p w14:paraId="31C5516A" w14:textId="77777777" w:rsidR="0018526E" w:rsidRPr="009830DF" w:rsidRDefault="00876F9E">
      <w:pPr>
        <w:tabs>
          <w:tab w:val="left" w:pos="5983"/>
        </w:tabs>
        <w:spacing w:before="120" w:after="120"/>
        <w:ind w:left="851" w:right="1043"/>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w:t>
      </w:r>
    </w:p>
    <w:p w14:paraId="79D11929" w14:textId="77777777" w:rsidR="0018526E" w:rsidRPr="009830DF" w:rsidRDefault="00876F9E">
      <w:pPr>
        <w:tabs>
          <w:tab w:val="left" w:pos="5983"/>
        </w:tabs>
        <w:spacing w:before="120" w:after="120"/>
        <w:ind w:left="851" w:right="1043"/>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71.-</w:t>
      </w:r>
      <w:r w:rsidRPr="009830DF">
        <w:rPr>
          <w:rFonts w:ascii="Palatino Linotype" w:eastAsia="Palatino Linotype" w:hAnsi="Palatino Linotype" w:cs="Palatino Linotype"/>
          <w:i/>
          <w:sz w:val="22"/>
          <w:szCs w:val="22"/>
        </w:rPr>
        <w:t xml:space="preserve"> </w:t>
      </w:r>
      <w:r w:rsidRPr="009830DF">
        <w:rPr>
          <w:rFonts w:ascii="Palatino Linotype" w:eastAsia="Palatino Linotype" w:hAnsi="Palatino Linotype" w:cs="Palatino Linotype"/>
          <w:b/>
          <w:i/>
          <w:sz w:val="22"/>
          <w:szCs w:val="22"/>
        </w:rPr>
        <w:t>Las bases de la licitación pública y de la invitación restringida tendrán un costo de recuperación</w:t>
      </w:r>
      <w:r w:rsidRPr="009830DF">
        <w:rPr>
          <w:rFonts w:ascii="Palatino Linotype" w:eastAsia="Palatino Linotype" w:hAnsi="Palatino Linotype" w:cs="Palatino Linotype"/>
          <w:i/>
          <w:sz w:val="22"/>
          <w:szCs w:val="22"/>
        </w:rPr>
        <w:t>, el cual se autorizará por la Secretaría. El acuerdo que fije los precios correspondientes deberá publicarse en el periódico oficial “Gaceta del Gobierno”.</w:t>
      </w:r>
    </w:p>
    <w:p w14:paraId="65BF28F0" w14:textId="77777777" w:rsidR="0018526E" w:rsidRPr="009830DF" w:rsidRDefault="00876F9E">
      <w:pPr>
        <w:spacing w:before="120" w:after="120"/>
        <w:ind w:left="851" w:right="1043"/>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w:t>
      </w:r>
    </w:p>
    <w:p w14:paraId="71926084" w14:textId="77777777" w:rsidR="0018526E" w:rsidRPr="009830DF" w:rsidRDefault="00876F9E">
      <w:pPr>
        <w:spacing w:before="120" w:after="120"/>
        <w:ind w:left="851" w:right="1043"/>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 xml:space="preserve">Artículo 90.- En el procedimiento de invitación restringida se deberá observar lo siguiente: </w:t>
      </w:r>
    </w:p>
    <w:p w14:paraId="178DA649" w14:textId="77777777" w:rsidR="0018526E" w:rsidRPr="009830DF" w:rsidRDefault="00876F9E">
      <w:pPr>
        <w:spacing w:before="120" w:after="120"/>
        <w:ind w:left="1134" w:right="1043"/>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p>
    <w:p w14:paraId="3030FB96" w14:textId="77777777" w:rsidR="0018526E" w:rsidRPr="009830DF" w:rsidRDefault="00876F9E">
      <w:pPr>
        <w:spacing w:before="120" w:after="120"/>
        <w:ind w:left="1134" w:right="1043"/>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 Las bases de la invitación restringida indicarán los aspectos de la adquisición o contratación;</w:t>
      </w:r>
      <w:r w:rsidRPr="009830DF">
        <w:rPr>
          <w:rFonts w:ascii="Palatino Linotype" w:eastAsia="Palatino Linotype" w:hAnsi="Palatino Linotype" w:cs="Palatino Linotype"/>
          <w:i/>
          <w:sz w:val="22"/>
          <w:szCs w:val="22"/>
        </w:rPr>
        <w:t xml:space="preserve"> y </w:t>
      </w:r>
    </w:p>
    <w:p w14:paraId="623084C1" w14:textId="77777777" w:rsidR="0018526E" w:rsidRPr="009830DF" w:rsidRDefault="00876F9E">
      <w:pPr>
        <w:spacing w:before="120" w:after="120"/>
        <w:ind w:left="1134" w:right="1043"/>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III. Serán aplicables</w:t>
      </w:r>
      <w:r w:rsidRPr="009830DF">
        <w:rPr>
          <w:rFonts w:ascii="Palatino Linotype" w:eastAsia="Palatino Linotype" w:hAnsi="Palatino Linotype" w:cs="Palatino Linotype"/>
          <w:i/>
          <w:sz w:val="22"/>
          <w:szCs w:val="22"/>
        </w:rPr>
        <w:t xml:space="preserve">, en lo conducente, </w:t>
      </w:r>
      <w:r w:rsidRPr="009830DF">
        <w:rPr>
          <w:rFonts w:ascii="Palatino Linotype" w:eastAsia="Palatino Linotype" w:hAnsi="Palatino Linotype" w:cs="Palatino Linotype"/>
          <w:b/>
          <w:i/>
          <w:sz w:val="22"/>
          <w:szCs w:val="22"/>
        </w:rPr>
        <w:t>las disposiciones de la licitación pública.</w:t>
      </w:r>
    </w:p>
    <w:p w14:paraId="7A61C317" w14:textId="77777777" w:rsidR="0018526E" w:rsidRPr="009830DF" w:rsidRDefault="00876F9E">
      <w:pPr>
        <w:spacing w:before="120" w:after="120"/>
        <w:ind w:left="851" w:right="1043"/>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w:t>
      </w:r>
    </w:p>
    <w:p w14:paraId="1386478A" w14:textId="77777777" w:rsidR="0018526E" w:rsidRPr="009830DF" w:rsidRDefault="00876F9E">
      <w:pPr>
        <w:spacing w:before="120" w:after="120"/>
        <w:ind w:left="851" w:right="1043"/>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93</w:t>
      </w:r>
      <w:r w:rsidRPr="009830DF">
        <w:rPr>
          <w:rFonts w:ascii="Palatino Linotype" w:eastAsia="Palatino Linotype" w:hAnsi="Palatino Linotype" w:cs="Palatino Linotype"/>
          <w:i/>
          <w:sz w:val="22"/>
          <w:szCs w:val="22"/>
        </w:rPr>
        <w:t xml:space="preserve">.- La Secretaría, organismos auxiliares, tribunales administrativos y municipios, solicitarán al comité el </w:t>
      </w:r>
      <w:r w:rsidRPr="009830DF">
        <w:rPr>
          <w:rFonts w:ascii="Palatino Linotype" w:eastAsia="Palatino Linotype" w:hAnsi="Palatino Linotype" w:cs="Palatino Linotype"/>
          <w:b/>
          <w:i/>
          <w:sz w:val="22"/>
          <w:szCs w:val="22"/>
        </w:rPr>
        <w:t>dictamen de procedencia del procedimiento de adjudicación directa</w:t>
      </w:r>
      <w:r w:rsidRPr="009830DF">
        <w:rPr>
          <w:rFonts w:ascii="Palatino Linotype" w:eastAsia="Palatino Linotype" w:hAnsi="Palatino Linotype" w:cs="Palatino Linotype"/>
          <w:i/>
          <w:sz w:val="22"/>
          <w:szCs w:val="22"/>
        </w:rPr>
        <w:t xml:space="preserve">, acreditando previamente: </w:t>
      </w:r>
    </w:p>
    <w:p w14:paraId="2173281D" w14:textId="77777777" w:rsidR="0018526E" w:rsidRPr="009830DF" w:rsidRDefault="00876F9E">
      <w:pPr>
        <w:spacing w:before="120" w:after="120"/>
        <w:ind w:left="1134" w:right="1043"/>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w:t>
      </w:r>
      <w:r w:rsidRPr="009830DF">
        <w:rPr>
          <w:rFonts w:ascii="Palatino Linotype" w:eastAsia="Palatino Linotype" w:hAnsi="Palatino Linotype" w:cs="Palatino Linotype"/>
          <w:i/>
          <w:sz w:val="22"/>
          <w:szCs w:val="22"/>
        </w:rPr>
        <w:t xml:space="preserve"> La descripción general de los bienes a adquirir o el servicio a contratar; </w:t>
      </w:r>
    </w:p>
    <w:p w14:paraId="59D6B61A" w14:textId="77777777" w:rsidR="0018526E" w:rsidRPr="009830DF" w:rsidRDefault="00876F9E">
      <w:pPr>
        <w:spacing w:before="120" w:after="120"/>
        <w:ind w:left="1134" w:right="1043"/>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w:t>
      </w:r>
      <w:r w:rsidRPr="009830DF">
        <w:rPr>
          <w:rFonts w:ascii="Palatino Linotype" w:eastAsia="Palatino Linotype" w:hAnsi="Palatino Linotype" w:cs="Palatino Linotype"/>
          <w:i/>
          <w:sz w:val="22"/>
          <w:szCs w:val="22"/>
        </w:rPr>
        <w:t xml:space="preserve">. La justificación o conveniencia de llevar a cabo la adjudicación directa; y </w:t>
      </w:r>
    </w:p>
    <w:p w14:paraId="1D14EDEC" w14:textId="77777777" w:rsidR="0018526E" w:rsidRPr="009830DF" w:rsidRDefault="00876F9E">
      <w:pPr>
        <w:spacing w:before="120" w:after="120"/>
        <w:ind w:left="1134" w:right="1043"/>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III.</w:t>
      </w:r>
      <w:r w:rsidRPr="009830DF">
        <w:rPr>
          <w:rFonts w:ascii="Palatino Linotype" w:eastAsia="Palatino Linotype" w:hAnsi="Palatino Linotype" w:cs="Palatino Linotype"/>
          <w:i/>
          <w:sz w:val="22"/>
          <w:szCs w:val="22"/>
        </w:rPr>
        <w:t xml:space="preserve"> Certificación de suficiencia presupuestaria.</w:t>
      </w:r>
    </w:p>
    <w:p w14:paraId="46F82E7B" w14:textId="77777777" w:rsidR="0018526E" w:rsidRPr="009830DF" w:rsidRDefault="00876F9E">
      <w:pPr>
        <w:spacing w:before="120" w:after="120"/>
        <w:ind w:left="1134" w:right="1043"/>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i/>
          <w:sz w:val="22"/>
          <w:szCs w:val="22"/>
        </w:rPr>
        <w:lastRenderedPageBreak/>
        <w:t xml:space="preserve">El oficio </w:t>
      </w:r>
      <w:proofErr w:type="spellStart"/>
      <w:r w:rsidRPr="009830DF">
        <w:rPr>
          <w:rFonts w:ascii="Palatino Linotype" w:eastAsia="Palatino Linotype" w:hAnsi="Palatino Linotype" w:cs="Palatino Linotype"/>
          <w:i/>
          <w:sz w:val="22"/>
          <w:szCs w:val="22"/>
        </w:rPr>
        <w:t>justificatorio</w:t>
      </w:r>
      <w:proofErr w:type="spellEnd"/>
      <w:r w:rsidRPr="009830DF">
        <w:rPr>
          <w:rFonts w:ascii="Palatino Linotype" w:eastAsia="Palatino Linotype" w:hAnsi="Palatino Linotype" w:cs="Palatino Linotype"/>
          <w:i/>
          <w:sz w:val="22"/>
          <w:szCs w:val="22"/>
        </w:rPr>
        <w:t xml:space="preserve"> a que se refiere la fracción II, deberá formularse por el titular de la unidad administrativa interesada en la adquisición de los bienes, la contratación de servicios o el arrendamiento.</w:t>
      </w:r>
    </w:p>
    <w:p w14:paraId="3A1C03EB" w14:textId="77777777" w:rsidR="0018526E" w:rsidRPr="009830DF" w:rsidRDefault="00876F9E">
      <w:pPr>
        <w:spacing w:before="120" w:after="120"/>
        <w:ind w:left="851" w:right="1043"/>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w:t>
      </w:r>
    </w:p>
    <w:p w14:paraId="5FCF230A" w14:textId="77777777" w:rsidR="0018526E" w:rsidRPr="009830DF" w:rsidRDefault="00876F9E">
      <w:pPr>
        <w:spacing w:before="120" w:after="120"/>
        <w:ind w:left="851" w:right="1043"/>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94.-</w:t>
      </w:r>
      <w:r w:rsidRPr="009830DF">
        <w:rPr>
          <w:rFonts w:ascii="Palatino Linotype" w:eastAsia="Palatino Linotype" w:hAnsi="Palatino Linotype" w:cs="Palatino Linotype"/>
          <w:i/>
          <w:sz w:val="22"/>
          <w:szCs w:val="22"/>
        </w:rPr>
        <w:t xml:space="preserve"> En el procedimiento de adjudicación directa se observará lo siguiente: </w:t>
      </w:r>
    </w:p>
    <w:p w14:paraId="28801A37" w14:textId="77777777" w:rsidR="0018526E" w:rsidRPr="009830DF" w:rsidRDefault="00876F9E">
      <w:pPr>
        <w:spacing w:before="120" w:after="120"/>
        <w:ind w:left="1134" w:right="1043"/>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w:t>
      </w:r>
      <w:r w:rsidRPr="009830DF">
        <w:rPr>
          <w:rFonts w:ascii="Palatino Linotype" w:eastAsia="Palatino Linotype" w:hAnsi="Palatino Linotype" w:cs="Palatino Linotype"/>
          <w:i/>
          <w:sz w:val="22"/>
          <w:szCs w:val="22"/>
        </w:rPr>
        <w:t xml:space="preserve"> Las adquisiciones de bienes y la contratación de servicios, se </w:t>
      </w:r>
      <w:proofErr w:type="gramStart"/>
      <w:r w:rsidRPr="009830DF">
        <w:rPr>
          <w:rFonts w:ascii="Palatino Linotype" w:eastAsia="Palatino Linotype" w:hAnsi="Palatino Linotype" w:cs="Palatino Linotype"/>
          <w:i/>
          <w:sz w:val="22"/>
          <w:szCs w:val="22"/>
        </w:rPr>
        <w:t>efectuaran</w:t>
      </w:r>
      <w:proofErr w:type="gramEnd"/>
      <w:r w:rsidRPr="009830DF">
        <w:rPr>
          <w:rFonts w:ascii="Palatino Linotype" w:eastAsia="Palatino Linotype" w:hAnsi="Palatino Linotype" w:cs="Palatino Linotype"/>
          <w:i/>
          <w:sz w:val="22"/>
          <w:szCs w:val="22"/>
        </w:rPr>
        <w:t xml:space="preserve">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 </w:t>
      </w:r>
    </w:p>
    <w:p w14:paraId="557A72D1" w14:textId="77777777" w:rsidR="0018526E" w:rsidRPr="009830DF" w:rsidRDefault="00876F9E">
      <w:pPr>
        <w:spacing w:before="120" w:after="120"/>
        <w:ind w:left="1134" w:right="1043"/>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w:t>
      </w:r>
      <w:r w:rsidRPr="009830DF">
        <w:rPr>
          <w:rFonts w:ascii="Palatino Linotype" w:eastAsia="Palatino Linotype" w:hAnsi="Palatino Linotype" w:cs="Palatino Linotype"/>
          <w:i/>
          <w:sz w:val="22"/>
          <w:szCs w:val="22"/>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 </w:t>
      </w:r>
    </w:p>
    <w:p w14:paraId="559396AA" w14:textId="77777777" w:rsidR="0018526E" w:rsidRPr="009830DF" w:rsidRDefault="00876F9E">
      <w:pPr>
        <w:spacing w:before="120" w:after="120"/>
        <w:ind w:left="1134" w:right="1043"/>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III.</w:t>
      </w:r>
      <w:r w:rsidRPr="009830DF">
        <w:rPr>
          <w:rFonts w:ascii="Palatino Linotype" w:eastAsia="Palatino Linotype" w:hAnsi="Palatino Linotype" w:cs="Palatino Linotype"/>
          <w:i/>
          <w:sz w:val="22"/>
          <w:szCs w:val="22"/>
        </w:rPr>
        <w:t xml:space="preserve"> </w:t>
      </w:r>
      <w:r w:rsidRPr="009830DF">
        <w:rPr>
          <w:rFonts w:ascii="Palatino Linotype" w:eastAsia="Palatino Linotype" w:hAnsi="Palatino Linotype" w:cs="Palatino Linotype"/>
          <w:b/>
          <w:i/>
          <w:sz w:val="22"/>
          <w:szCs w:val="22"/>
        </w:rPr>
        <w:t>La solicitud de participación contendrá, como mínimo, la descripción y cantidad de los bienes o servicios requeridos, lugar, plazo de entrega o duración del servicio y forma de pago</w:t>
      </w:r>
      <w:r w:rsidRPr="009830DF">
        <w:rPr>
          <w:rFonts w:ascii="Palatino Linotype" w:eastAsia="Palatino Linotype" w:hAnsi="Palatino Linotype" w:cs="Palatino Linotype"/>
          <w:i/>
          <w:sz w:val="22"/>
          <w:szCs w:val="22"/>
        </w:rPr>
        <w:t xml:space="preserve">; </w:t>
      </w:r>
    </w:p>
    <w:p w14:paraId="1A07D053" w14:textId="77777777" w:rsidR="0018526E" w:rsidRPr="009830DF" w:rsidRDefault="00876F9E">
      <w:pPr>
        <w:spacing w:before="120" w:after="120"/>
        <w:ind w:left="1134" w:right="1043"/>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IV.</w:t>
      </w:r>
      <w:r w:rsidRPr="009830DF">
        <w:rPr>
          <w:rFonts w:ascii="Palatino Linotype" w:eastAsia="Palatino Linotype" w:hAnsi="Palatino Linotype" w:cs="Palatino Linotype"/>
          <w:i/>
          <w:sz w:val="22"/>
          <w:szCs w:val="22"/>
        </w:rPr>
        <w:t xml:space="preserve"> </w:t>
      </w:r>
      <w:r w:rsidRPr="009830DF">
        <w:rPr>
          <w:rFonts w:ascii="Palatino Linotype" w:eastAsia="Palatino Linotype" w:hAnsi="Palatino Linotype" w:cs="Palatino Linotype"/>
          <w:b/>
          <w:i/>
          <w:sz w:val="22"/>
          <w:szCs w:val="22"/>
        </w:rPr>
        <w:t>La solicitud de participación deberá señalar el día, hora y lugar en que tendrá verificativo el acto de presentación y apertura de ofertas</w:t>
      </w:r>
      <w:r w:rsidRPr="009830DF">
        <w:rPr>
          <w:rFonts w:ascii="Palatino Linotype" w:eastAsia="Palatino Linotype" w:hAnsi="Palatino Linotype" w:cs="Palatino Linotype"/>
          <w:i/>
          <w:sz w:val="22"/>
          <w:szCs w:val="22"/>
        </w:rPr>
        <w:t xml:space="preserve">; </w:t>
      </w:r>
    </w:p>
    <w:p w14:paraId="38CFCE74" w14:textId="77777777" w:rsidR="0018526E" w:rsidRPr="009830DF" w:rsidRDefault="00876F9E">
      <w:pPr>
        <w:spacing w:before="120" w:after="120"/>
        <w:ind w:left="1134" w:right="1043"/>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V.</w:t>
      </w:r>
      <w:r w:rsidRPr="009830DF">
        <w:rPr>
          <w:rFonts w:ascii="Palatino Linotype" w:eastAsia="Palatino Linotype" w:hAnsi="Palatino Linotype" w:cs="Palatino Linotype"/>
          <w:i/>
          <w:sz w:val="22"/>
          <w:szCs w:val="22"/>
        </w:rPr>
        <w:t xml:space="preserve"> Atendiendo a la naturaleza de los bienes o servicios, la convocante </w:t>
      </w:r>
      <w:r w:rsidRPr="009830DF">
        <w:rPr>
          <w:rFonts w:ascii="Palatino Linotype" w:eastAsia="Palatino Linotype" w:hAnsi="Palatino Linotype" w:cs="Palatino Linotype"/>
          <w:b/>
          <w:i/>
          <w:sz w:val="22"/>
          <w:szCs w:val="22"/>
        </w:rPr>
        <w:t>podrá optar entre celebrar o no junta de aclaraciones</w:t>
      </w:r>
      <w:r w:rsidRPr="009830DF">
        <w:rPr>
          <w:rFonts w:ascii="Palatino Linotype" w:eastAsia="Palatino Linotype" w:hAnsi="Palatino Linotype" w:cs="Palatino Linotype"/>
          <w:i/>
          <w:sz w:val="22"/>
          <w:szCs w:val="22"/>
        </w:rPr>
        <w:t xml:space="preserve">, en términos de lo dispuesto por este Reglamento; </w:t>
      </w:r>
    </w:p>
    <w:p w14:paraId="17300ADD" w14:textId="77777777" w:rsidR="0018526E" w:rsidRPr="009830DF" w:rsidRDefault="00876F9E">
      <w:pPr>
        <w:spacing w:before="120" w:after="120"/>
        <w:ind w:left="1134" w:right="1043"/>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VI</w:t>
      </w:r>
      <w:r w:rsidRPr="009830DF">
        <w:rPr>
          <w:rFonts w:ascii="Palatino Linotype" w:eastAsia="Palatino Linotype" w:hAnsi="Palatino Linotype" w:cs="Palatino Linotype"/>
          <w:i/>
          <w:sz w:val="22"/>
          <w:szCs w:val="22"/>
        </w:rPr>
        <w:t xml:space="preserve">. El servidor público designado por la convocante será el responsable de llevar a cabo el </w:t>
      </w:r>
      <w:r w:rsidRPr="009830DF">
        <w:rPr>
          <w:rFonts w:ascii="Palatino Linotype" w:eastAsia="Palatino Linotype" w:hAnsi="Palatino Linotype" w:cs="Palatino Linotype"/>
          <w:b/>
          <w:i/>
          <w:sz w:val="22"/>
          <w:szCs w:val="22"/>
        </w:rPr>
        <w:t xml:space="preserve">acto de presentación y apertura de propuestas; </w:t>
      </w:r>
    </w:p>
    <w:p w14:paraId="291D8825" w14:textId="77777777" w:rsidR="0018526E" w:rsidRPr="009830DF" w:rsidRDefault="00876F9E">
      <w:pPr>
        <w:spacing w:before="120" w:after="120"/>
        <w:ind w:left="1134" w:right="1043"/>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VII.</w:t>
      </w:r>
      <w:r w:rsidRPr="009830DF">
        <w:rPr>
          <w:rFonts w:ascii="Palatino Linotype" w:eastAsia="Palatino Linotype" w:hAnsi="Palatino Linotype" w:cs="Palatino Linotype"/>
          <w:i/>
          <w:sz w:val="22"/>
          <w:szCs w:val="22"/>
        </w:rPr>
        <w:t xml:space="preserve"> Se observarán, en lo conducente, las disposiciones relativas a la </w:t>
      </w:r>
      <w:r w:rsidRPr="009830DF">
        <w:rPr>
          <w:rFonts w:ascii="Palatino Linotype" w:eastAsia="Palatino Linotype" w:hAnsi="Palatino Linotype" w:cs="Palatino Linotype"/>
          <w:b/>
          <w:i/>
          <w:sz w:val="22"/>
          <w:szCs w:val="22"/>
        </w:rPr>
        <w:t>contraoferta;</w:t>
      </w:r>
      <w:r w:rsidRPr="009830DF">
        <w:rPr>
          <w:rFonts w:ascii="Palatino Linotype" w:eastAsia="Palatino Linotype" w:hAnsi="Palatino Linotype" w:cs="Palatino Linotype"/>
          <w:i/>
          <w:sz w:val="22"/>
          <w:szCs w:val="22"/>
        </w:rPr>
        <w:t xml:space="preserve"> y </w:t>
      </w:r>
    </w:p>
    <w:p w14:paraId="6CFCAE55" w14:textId="77777777" w:rsidR="0018526E" w:rsidRPr="009830DF" w:rsidRDefault="00876F9E">
      <w:pPr>
        <w:spacing w:before="120" w:after="120"/>
        <w:ind w:left="1134" w:right="1043"/>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VIII</w:t>
      </w:r>
      <w:r w:rsidRPr="009830DF">
        <w:rPr>
          <w:rFonts w:ascii="Palatino Linotype" w:eastAsia="Palatino Linotype" w:hAnsi="Palatino Linotype" w:cs="Palatino Linotype"/>
          <w:i/>
          <w:sz w:val="22"/>
          <w:szCs w:val="22"/>
        </w:rPr>
        <w:t>. El comité será responsable de emitir el dictamen de adjudicación que servirá de base para el fallo de adjudicación; correspondiendo a la convocante emitir dicho fallo, quien lo hará del conocimiento de los licitantes:”</w:t>
      </w:r>
    </w:p>
    <w:p w14:paraId="34B8EA3E" w14:textId="77777777" w:rsidR="0018526E" w:rsidRPr="009830DF" w:rsidRDefault="00876F9E">
      <w:pPr>
        <w:tabs>
          <w:tab w:val="left" w:pos="5983"/>
        </w:tabs>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lastRenderedPageBreak/>
        <w:t>“</w:t>
      </w:r>
      <w:r w:rsidRPr="009830DF">
        <w:rPr>
          <w:rFonts w:ascii="Palatino Linotype" w:eastAsia="Palatino Linotype" w:hAnsi="Palatino Linotype" w:cs="Palatino Linotype"/>
          <w:b/>
          <w:i/>
          <w:sz w:val="22"/>
          <w:szCs w:val="22"/>
        </w:rPr>
        <w:t>Artículo 30.-</w:t>
      </w:r>
      <w:r w:rsidRPr="009830DF">
        <w:rPr>
          <w:rFonts w:ascii="Palatino Linotype" w:eastAsia="Palatino Linotype" w:hAnsi="Palatino Linotype" w:cs="Palatino Linotype"/>
          <w:i/>
          <w:sz w:val="22"/>
          <w:szCs w:val="22"/>
        </w:rPr>
        <w:t xml:space="preserve"> El procedimiento </w:t>
      </w:r>
      <w:r w:rsidRPr="009830DF">
        <w:rPr>
          <w:rFonts w:ascii="Palatino Linotype" w:eastAsia="Palatino Linotype" w:hAnsi="Palatino Linotype" w:cs="Palatino Linotype"/>
          <w:b/>
          <w:i/>
          <w:sz w:val="22"/>
          <w:szCs w:val="22"/>
        </w:rPr>
        <w:t>de licitación pública</w:t>
      </w:r>
      <w:r w:rsidRPr="009830DF">
        <w:rPr>
          <w:rFonts w:ascii="Palatino Linotype" w:eastAsia="Palatino Linotype" w:hAnsi="Palatino Linotype" w:cs="Palatino Linotype"/>
          <w:i/>
          <w:sz w:val="22"/>
          <w:szCs w:val="22"/>
        </w:rPr>
        <w:t xml:space="preserve"> inicia con la publicación de la convocatoria y concluye con el fallo y adjudicación. Cubrirá las etapas siguientes:</w:t>
      </w:r>
    </w:p>
    <w:p w14:paraId="34FF0DA3" w14:textId="77777777" w:rsidR="0018526E" w:rsidRPr="009830DF" w:rsidRDefault="00876F9E">
      <w:pPr>
        <w:tabs>
          <w:tab w:val="left" w:pos="5983"/>
        </w:tabs>
        <w:spacing w:before="120" w:after="120"/>
        <w:ind w:left="1134" w:right="902"/>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 xml:space="preserve">I. La formulación de las bases de licitación; </w:t>
      </w:r>
    </w:p>
    <w:p w14:paraId="37BAFA23" w14:textId="77777777" w:rsidR="0018526E" w:rsidRPr="009830DF" w:rsidRDefault="00876F9E">
      <w:pPr>
        <w:tabs>
          <w:tab w:val="left" w:pos="5983"/>
        </w:tabs>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II. La publicación de la convocatoria;</w:t>
      </w:r>
    </w:p>
    <w:p w14:paraId="1B1AD4FA" w14:textId="77777777" w:rsidR="0018526E" w:rsidRPr="009830DF" w:rsidRDefault="00876F9E">
      <w:pPr>
        <w:tabs>
          <w:tab w:val="left" w:pos="5983"/>
        </w:tabs>
        <w:spacing w:before="120" w:after="120"/>
        <w:ind w:left="1134" w:right="902"/>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 xml:space="preserve">III. La venta de las bases de licitación; </w:t>
      </w:r>
    </w:p>
    <w:p w14:paraId="6F694080" w14:textId="77777777" w:rsidR="0018526E" w:rsidRPr="009830DF" w:rsidRDefault="00876F9E">
      <w:pPr>
        <w:tabs>
          <w:tab w:val="left" w:pos="5983"/>
        </w:tabs>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IV. La visita al sitio donde se realizarán los trabajos;</w:t>
      </w:r>
      <w:r w:rsidRPr="009830DF">
        <w:rPr>
          <w:rFonts w:ascii="Palatino Linotype" w:eastAsia="Palatino Linotype" w:hAnsi="Palatino Linotype" w:cs="Palatino Linotype"/>
          <w:i/>
          <w:sz w:val="22"/>
          <w:szCs w:val="22"/>
        </w:rPr>
        <w:t xml:space="preserve"> </w:t>
      </w:r>
    </w:p>
    <w:p w14:paraId="33DC6BDB" w14:textId="77777777" w:rsidR="0018526E" w:rsidRPr="009830DF" w:rsidRDefault="00876F9E">
      <w:pPr>
        <w:tabs>
          <w:tab w:val="left" w:pos="5983"/>
        </w:tabs>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V. Las juntas de aclaraciones; </w:t>
      </w:r>
    </w:p>
    <w:p w14:paraId="2A22860E" w14:textId="77777777" w:rsidR="0018526E" w:rsidRPr="009830DF" w:rsidRDefault="00876F9E">
      <w:pPr>
        <w:tabs>
          <w:tab w:val="left" w:pos="5983"/>
        </w:tabs>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VI. La presentación y apertura de propuestas; </w:t>
      </w:r>
    </w:p>
    <w:p w14:paraId="097D843B" w14:textId="77777777" w:rsidR="0018526E" w:rsidRPr="009830DF" w:rsidRDefault="00876F9E">
      <w:pPr>
        <w:tabs>
          <w:tab w:val="left" w:pos="5983"/>
        </w:tabs>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VII. La evaluación de propuestas; y </w:t>
      </w:r>
    </w:p>
    <w:p w14:paraId="2F46874D" w14:textId="77777777" w:rsidR="0018526E" w:rsidRPr="009830DF" w:rsidRDefault="00876F9E">
      <w:pPr>
        <w:tabs>
          <w:tab w:val="left" w:pos="5983"/>
        </w:tabs>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VIII. El fallo y adjudicación.</w:t>
      </w:r>
    </w:p>
    <w:p w14:paraId="3FC173D5" w14:textId="77777777" w:rsidR="0018526E" w:rsidRPr="009830DF" w:rsidRDefault="00876F9E">
      <w:pPr>
        <w:tabs>
          <w:tab w:val="left" w:pos="5983"/>
        </w:tabs>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p>
    <w:p w14:paraId="7B858A91" w14:textId="77777777" w:rsidR="0018526E" w:rsidRPr="009830DF" w:rsidRDefault="00876F9E">
      <w:pPr>
        <w:tabs>
          <w:tab w:val="left" w:pos="5983"/>
        </w:tabs>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41</w:t>
      </w:r>
      <w:r w:rsidRPr="009830DF">
        <w:rPr>
          <w:rFonts w:ascii="Palatino Linotype" w:eastAsia="Palatino Linotype" w:hAnsi="Palatino Linotype" w:cs="Palatino Linotype"/>
          <w:i/>
          <w:sz w:val="22"/>
          <w:szCs w:val="22"/>
        </w:rPr>
        <w:t>.- La visita al sitio de los trabajos es obligatoria para los interesados y se llevará a cabo el día hábil siguiente al término de la etapa de venta de bases. Tiene el propósito de que los interesados conozcan las condiciones en que se encuentra; el acceso; los servicios de que dispone; las características físicas y ambientales; y, en general, los aspectos relevantes para la formulación de su propuesta. El convocante organizará y guiará la visita al sitio de los trabajos y facilitará el acceso. Acudirán los interesados que cuenten con las bases de licitación, acompañados si lo desean de su personal. Del evento, se levantará acta circunstanciada que relacione a las personas que acudieron y, en su caso, los comentarios que pudieran ser materia de la junta de aclaraciones.</w:t>
      </w:r>
    </w:p>
    <w:p w14:paraId="4D21D4DC" w14:textId="77777777" w:rsidR="0018526E" w:rsidRPr="009830DF" w:rsidRDefault="00876F9E">
      <w:pPr>
        <w:tabs>
          <w:tab w:val="left" w:pos="5983"/>
        </w:tabs>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46</w:t>
      </w:r>
      <w:r w:rsidRPr="009830DF">
        <w:rPr>
          <w:rFonts w:ascii="Palatino Linotype" w:eastAsia="Palatino Linotype" w:hAnsi="Palatino Linotype" w:cs="Palatino Linotype"/>
          <w:i/>
          <w:sz w:val="22"/>
          <w:szCs w:val="22"/>
        </w:rPr>
        <w:t xml:space="preserve">.- Atendiendo a las características, complejidad y magnitud de los trabajos, el convocante podrá requerir al licitante que en su propuesta incluya la </w:t>
      </w:r>
      <w:r w:rsidRPr="009830DF">
        <w:rPr>
          <w:rFonts w:ascii="Palatino Linotype" w:eastAsia="Palatino Linotype" w:hAnsi="Palatino Linotype" w:cs="Palatino Linotype"/>
          <w:b/>
          <w:i/>
          <w:sz w:val="22"/>
          <w:szCs w:val="22"/>
        </w:rPr>
        <w:t>documentación relacionada con su experiencia profesional</w:t>
      </w:r>
      <w:r w:rsidRPr="009830DF">
        <w:rPr>
          <w:rFonts w:ascii="Palatino Linotype" w:eastAsia="Palatino Linotype" w:hAnsi="Palatino Linotype" w:cs="Palatino Linotype"/>
          <w:i/>
          <w:sz w:val="22"/>
          <w:szCs w:val="22"/>
        </w:rPr>
        <w:t xml:space="preserve">: </w:t>
      </w:r>
    </w:p>
    <w:p w14:paraId="25EFE340" w14:textId="77777777" w:rsidR="0018526E" w:rsidRPr="009830DF" w:rsidRDefault="00876F9E">
      <w:pPr>
        <w:tabs>
          <w:tab w:val="left" w:pos="5983"/>
        </w:tabs>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I.  a la XIII. </w:t>
      </w:r>
    </w:p>
    <w:p w14:paraId="7EEDD43B" w14:textId="77777777" w:rsidR="0018526E" w:rsidRPr="009830DF" w:rsidRDefault="00876F9E">
      <w:pPr>
        <w:tabs>
          <w:tab w:val="left" w:pos="5983"/>
        </w:tabs>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47.-</w:t>
      </w:r>
      <w:r w:rsidRPr="009830DF">
        <w:rPr>
          <w:rFonts w:ascii="Palatino Linotype" w:eastAsia="Palatino Linotype" w:hAnsi="Palatino Linotype" w:cs="Palatino Linotype"/>
          <w:i/>
          <w:sz w:val="22"/>
          <w:szCs w:val="22"/>
        </w:rPr>
        <w:t xml:space="preserve"> En el caso de obras contratadas sobre la base de precios unitarios, el convocante podrá requerir al licitante que en su propuesta incluya la </w:t>
      </w:r>
      <w:r w:rsidRPr="009830DF">
        <w:rPr>
          <w:rFonts w:ascii="Palatino Linotype" w:eastAsia="Palatino Linotype" w:hAnsi="Palatino Linotype" w:cs="Palatino Linotype"/>
          <w:b/>
          <w:i/>
          <w:sz w:val="22"/>
          <w:szCs w:val="22"/>
        </w:rPr>
        <w:t xml:space="preserve">documentación técnica y económica </w:t>
      </w:r>
      <w:r w:rsidRPr="009830DF">
        <w:rPr>
          <w:rFonts w:ascii="Palatino Linotype" w:eastAsia="Palatino Linotype" w:hAnsi="Palatino Linotype" w:cs="Palatino Linotype"/>
          <w:i/>
          <w:sz w:val="22"/>
          <w:szCs w:val="22"/>
        </w:rPr>
        <w:t xml:space="preserve">siguiente: </w:t>
      </w:r>
    </w:p>
    <w:p w14:paraId="04F3CE4D" w14:textId="77777777" w:rsidR="0018526E" w:rsidRPr="009830DF" w:rsidRDefault="00876F9E">
      <w:pPr>
        <w:tabs>
          <w:tab w:val="left" w:pos="5983"/>
        </w:tabs>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I. a la XIV </w:t>
      </w:r>
    </w:p>
    <w:p w14:paraId="183E24FC" w14:textId="77777777" w:rsidR="0018526E" w:rsidRPr="009830DF" w:rsidRDefault="00876F9E">
      <w:pPr>
        <w:tabs>
          <w:tab w:val="left" w:pos="5983"/>
        </w:tabs>
        <w:spacing w:before="120" w:after="120"/>
        <w:ind w:left="851" w:right="902"/>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w:t>
      </w:r>
    </w:p>
    <w:p w14:paraId="231D9630" w14:textId="77777777" w:rsidR="0018526E" w:rsidRPr="009830DF" w:rsidRDefault="00876F9E">
      <w:pPr>
        <w:tabs>
          <w:tab w:val="left" w:pos="5983"/>
        </w:tabs>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49.-</w:t>
      </w:r>
      <w:r w:rsidRPr="009830DF">
        <w:rPr>
          <w:rFonts w:ascii="Palatino Linotype" w:eastAsia="Palatino Linotype" w:hAnsi="Palatino Linotype" w:cs="Palatino Linotype"/>
          <w:i/>
          <w:sz w:val="22"/>
          <w:szCs w:val="22"/>
        </w:rPr>
        <w:t xml:space="preserve"> Los licitantes son los únicos responsables de que sus propuestas sean entregadas en tiempo y forma en el acto de presentación y apertura de </w:t>
      </w:r>
      <w:r w:rsidRPr="009830DF">
        <w:rPr>
          <w:rFonts w:ascii="Palatino Linotype" w:eastAsia="Palatino Linotype" w:hAnsi="Palatino Linotype" w:cs="Palatino Linotype"/>
          <w:i/>
          <w:sz w:val="22"/>
          <w:szCs w:val="22"/>
        </w:rPr>
        <w:lastRenderedPageBreak/>
        <w:t>propuestas. Todos los documentos de la propuesta deberán estar foliados y firmados por el licitante o su representante legal, se entregarán en un sobre cerrado que contendrá:</w:t>
      </w:r>
    </w:p>
    <w:p w14:paraId="41178395" w14:textId="77777777" w:rsidR="0018526E" w:rsidRPr="009830DF" w:rsidRDefault="00876F9E">
      <w:pPr>
        <w:tabs>
          <w:tab w:val="left" w:pos="5983"/>
        </w:tabs>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 </w:t>
      </w:r>
      <w:r w:rsidRPr="009830DF">
        <w:rPr>
          <w:rFonts w:ascii="Palatino Linotype" w:eastAsia="Palatino Linotype" w:hAnsi="Palatino Linotype" w:cs="Palatino Linotype"/>
          <w:b/>
          <w:i/>
          <w:sz w:val="22"/>
          <w:szCs w:val="22"/>
        </w:rPr>
        <w:t>I.</w:t>
      </w:r>
      <w:r w:rsidRPr="009830DF">
        <w:rPr>
          <w:rFonts w:ascii="Palatino Linotype" w:eastAsia="Palatino Linotype" w:hAnsi="Palatino Linotype" w:cs="Palatino Linotype"/>
          <w:i/>
          <w:sz w:val="22"/>
          <w:szCs w:val="22"/>
        </w:rPr>
        <w:t xml:space="preserve"> La documentación legal y administrativa; </w:t>
      </w:r>
    </w:p>
    <w:p w14:paraId="3E1FC44B" w14:textId="77777777" w:rsidR="0018526E" w:rsidRPr="009830DF" w:rsidRDefault="00876F9E">
      <w:pPr>
        <w:tabs>
          <w:tab w:val="left" w:pos="5983"/>
        </w:tabs>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w:t>
      </w:r>
      <w:r w:rsidRPr="009830DF">
        <w:rPr>
          <w:rFonts w:ascii="Palatino Linotype" w:eastAsia="Palatino Linotype" w:hAnsi="Palatino Linotype" w:cs="Palatino Linotype"/>
          <w:i/>
          <w:sz w:val="22"/>
          <w:szCs w:val="22"/>
        </w:rPr>
        <w:t xml:space="preserve">. La propuesta y económica. </w:t>
      </w:r>
    </w:p>
    <w:p w14:paraId="63BA50ED"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El licitante deberá identificar los sobres con el nombre de la dependencia, entidad o ayuntamiento; número y denominación de la licitación, la fecha, nombre o razón social del licitante y el contenido del sobre.”</w:t>
      </w:r>
    </w:p>
    <w:p w14:paraId="7DBF9293"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Por lo que, si bien ha quedado claro que la información que es hoy tema de estudio, por su naturaleza debe encontrarse pública a través del portal de internet establecido para tal efecto, no es óbice para que este sea el único medio por el cual la solicitud pueda ser atendida, máxime que en el caso concreto el soporte documental que pudiera satisfacer el derecho el acceso no necesariamente debe encontrarse en dicho portal, pues incluso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como ya se precisó, establecen los criterios sustantivos de contenido que deben observar los Sujetos Obligados para la publicación de la información en los portales de internet, en el caso de la obligación de transparencia relacionada con los procedimientos de adjudicación contemplan al excepción respecto de la publicación de los documentos fuente, cuando estos sean demasiado extensos, como se lee enseguida: </w:t>
      </w:r>
    </w:p>
    <w:p w14:paraId="3967029F" w14:textId="77777777" w:rsidR="0018526E" w:rsidRPr="009830DF" w:rsidRDefault="00876F9E">
      <w:pPr>
        <w:spacing w:before="120" w:after="120"/>
        <w:ind w:left="851" w:right="902"/>
        <w:jc w:val="both"/>
        <w:rPr>
          <w:rFonts w:ascii="Palatino Linotype" w:eastAsia="Palatino Linotype" w:hAnsi="Palatino Linotype" w:cs="Palatino Linotype"/>
        </w:rPr>
      </w:pPr>
      <w:r w:rsidRPr="009830DF">
        <w:rPr>
          <w:rFonts w:ascii="Palatino Linotype" w:eastAsia="Palatino Linotype" w:hAnsi="Palatino Linotype" w:cs="Palatino Linotype"/>
          <w:i/>
          <w:sz w:val="22"/>
          <w:szCs w:val="22"/>
        </w:rPr>
        <w:t xml:space="preserve">“Respecto de los documentos fuente solicitados en los criterios sustantivos que deban ser publicados, </w:t>
      </w:r>
      <w:r w:rsidRPr="009830DF">
        <w:rPr>
          <w:rFonts w:ascii="Palatino Linotype" w:eastAsia="Palatino Linotype" w:hAnsi="Palatino Linotype" w:cs="Palatino Linotype"/>
          <w:b/>
          <w:i/>
          <w:sz w:val="22"/>
          <w:szCs w:val="22"/>
        </w:rPr>
        <w:t xml:space="preserve">tales como contratos, convenios, actas, dictámenes, fallos, convenios modificatorios, informes, entre otros, incluyendo sus </w:t>
      </w:r>
      <w:r w:rsidRPr="009830DF">
        <w:rPr>
          <w:rFonts w:ascii="Palatino Linotype" w:eastAsia="Palatino Linotype" w:hAnsi="Palatino Linotype" w:cs="Palatino Linotype"/>
          <w:b/>
          <w:i/>
          <w:sz w:val="22"/>
          <w:szCs w:val="22"/>
        </w:rPr>
        <w:lastRenderedPageBreak/>
        <w:t xml:space="preserve">anexos correspondientes, </w:t>
      </w:r>
      <w:r w:rsidRPr="009830DF">
        <w:rPr>
          <w:rFonts w:ascii="Palatino Linotype" w:eastAsia="Palatino Linotype" w:hAnsi="Palatino Linotype" w:cs="Palatino Linotype"/>
          <w:b/>
          <w:i/>
          <w:sz w:val="22"/>
          <w:szCs w:val="22"/>
          <w:u w:val="single"/>
        </w:rPr>
        <w:t>exceptuando aquellos que sean demasiado extensos</w:t>
      </w:r>
      <w:r w:rsidRPr="009830DF">
        <w:rPr>
          <w:rFonts w:ascii="Palatino Linotype" w:eastAsia="Palatino Linotype" w:hAnsi="Palatino Linotype" w:cs="Palatino Linotype"/>
          <w:i/>
          <w:sz w:val="22"/>
          <w:szCs w:val="22"/>
        </w:rPr>
        <w:t>, se deberá elaborar versión pública de los mismos</w:t>
      </w:r>
      <w:proofErr w:type="gramStart"/>
      <w:r w:rsidRPr="009830DF">
        <w:rPr>
          <w:rFonts w:ascii="Palatino Linotype" w:eastAsia="Palatino Linotype" w:hAnsi="Palatino Linotype" w:cs="Palatino Linotype"/>
          <w:i/>
          <w:sz w:val="22"/>
          <w:szCs w:val="22"/>
        </w:rPr>
        <w:t>.</w:t>
      </w:r>
      <w:r w:rsidRPr="009830DF">
        <w:rPr>
          <w:rFonts w:ascii="Palatino Linotype" w:eastAsia="Palatino Linotype" w:hAnsi="Palatino Linotype" w:cs="Palatino Linotype"/>
          <w:sz w:val="18"/>
          <w:szCs w:val="18"/>
        </w:rPr>
        <w:t xml:space="preserve"> </w:t>
      </w:r>
      <w:r w:rsidRPr="009830DF">
        <w:rPr>
          <w:rFonts w:ascii="Palatino Linotype" w:eastAsia="Palatino Linotype" w:hAnsi="Palatino Linotype" w:cs="Palatino Linotype"/>
        </w:rPr>
        <w:t>”</w:t>
      </w:r>
      <w:proofErr w:type="gramEnd"/>
    </w:p>
    <w:p w14:paraId="3FDC52EC" w14:textId="77777777" w:rsidR="0018526E" w:rsidRPr="009830DF" w:rsidRDefault="00876F9E">
      <w:pPr>
        <w:spacing w:before="240" w:after="240" w:line="360" w:lineRule="auto"/>
        <w:ind w:right="49"/>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En tal sentido, para dar cumplimiento a la resolución, respecto de este punto, el </w:t>
      </w:r>
      <w:r w:rsidRPr="009830DF">
        <w:rPr>
          <w:rFonts w:ascii="Palatino Linotype" w:eastAsia="Palatino Linotype" w:hAnsi="Palatino Linotype" w:cs="Palatino Linotype"/>
          <w:b/>
        </w:rPr>
        <w:t xml:space="preserve">Sujeto Obligado </w:t>
      </w:r>
      <w:r w:rsidRPr="009830DF">
        <w:rPr>
          <w:rFonts w:ascii="Palatino Linotype" w:eastAsia="Palatino Linotype" w:hAnsi="Palatino Linotype" w:cs="Palatino Linotype"/>
        </w:rPr>
        <w:t>deberá, previa búsqueda exhaustiva y razonable, entregar toda aquella documentación relacionada con los procedimientos de adjudicación en cualquiera de sus modalidades, que corresponda con el periodo señalado por la persona solicitante, que obre en sus archivos, de conformidad con los artículos 12, párrafo segundo y 24 último párrafo de la Ley de Ley de Transparencia y Acceso a la Información Pública del Estado de México y Municipios, en versión pública, conforme al considerando siguiente.</w:t>
      </w:r>
    </w:p>
    <w:p w14:paraId="0265F451"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Siendo importante mencionar que los Sujetos Obligados se encuentran constreñidos a documentar todo acto que derive del ejercicio de sus facultades, competencias o funciones considerando su eventual publicación, en términos de los artículos 18 y 24 fracción XXII de la Ley de la Materia, que a la letra señalan lo siguiente:</w:t>
      </w:r>
    </w:p>
    <w:p w14:paraId="1C5A6CF8" w14:textId="77777777" w:rsidR="0018526E" w:rsidRPr="009830DF" w:rsidRDefault="00876F9E">
      <w:pPr>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r w:rsidRPr="009830DF">
        <w:rPr>
          <w:rFonts w:ascii="Palatino Linotype" w:eastAsia="Palatino Linotype" w:hAnsi="Palatino Linotype" w:cs="Palatino Linotype"/>
          <w:b/>
          <w:i/>
          <w:sz w:val="22"/>
          <w:szCs w:val="22"/>
        </w:rPr>
        <w:t>Artículo 18.</w:t>
      </w:r>
      <w:r w:rsidRPr="009830DF">
        <w:rPr>
          <w:rFonts w:ascii="Palatino Linotype" w:eastAsia="Palatino Linotype" w:hAnsi="Palatino Linotype" w:cs="Palatino Linotype"/>
          <w:i/>
          <w:sz w:val="22"/>
          <w:szCs w:val="22"/>
        </w:rPr>
        <w:t xml:space="preserve"> Los sujetos obligados </w:t>
      </w:r>
      <w:r w:rsidRPr="009830DF">
        <w:rPr>
          <w:rFonts w:ascii="Palatino Linotype" w:eastAsia="Palatino Linotype" w:hAnsi="Palatino Linotype" w:cs="Palatino Linotype"/>
          <w:b/>
          <w:i/>
          <w:sz w:val="22"/>
          <w:szCs w:val="22"/>
        </w:rPr>
        <w:t>deberán documentar todo acto</w:t>
      </w:r>
      <w:r w:rsidRPr="009830DF">
        <w:rPr>
          <w:rFonts w:ascii="Palatino Linotype" w:eastAsia="Palatino Linotype" w:hAnsi="Palatino Linotype" w:cs="Palatino Linotype"/>
          <w:i/>
          <w:sz w:val="22"/>
          <w:szCs w:val="22"/>
        </w:rPr>
        <w:t xml:space="preserve"> </w:t>
      </w:r>
      <w:r w:rsidRPr="009830DF">
        <w:rPr>
          <w:rFonts w:ascii="Palatino Linotype" w:eastAsia="Palatino Linotype" w:hAnsi="Palatino Linotype" w:cs="Palatino Linotype"/>
          <w:b/>
          <w:i/>
          <w:sz w:val="22"/>
          <w:szCs w:val="22"/>
        </w:rPr>
        <w:t>que derive del ejercicio de sus facultades, competencias o funciones</w:t>
      </w:r>
      <w:r w:rsidRPr="009830DF">
        <w:rPr>
          <w:rFonts w:ascii="Palatino Linotype" w:eastAsia="Palatino Linotype" w:hAnsi="Palatino Linotype" w:cs="Palatino Linotype"/>
          <w:i/>
          <w:sz w:val="22"/>
          <w:szCs w:val="22"/>
        </w:rPr>
        <w:t>, considerando desde su origen la eventual publicidad y reutilización de la información que generen.</w:t>
      </w:r>
    </w:p>
    <w:p w14:paraId="541319A5" w14:textId="77777777" w:rsidR="0018526E" w:rsidRPr="009830DF" w:rsidRDefault="00876F9E">
      <w:pPr>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p>
    <w:p w14:paraId="7BCBBE95" w14:textId="77777777" w:rsidR="0018526E" w:rsidRPr="009830DF" w:rsidRDefault="00876F9E">
      <w:pPr>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Artículo 24.</w:t>
      </w:r>
      <w:r w:rsidRPr="009830DF">
        <w:rPr>
          <w:rFonts w:ascii="Palatino Linotype" w:eastAsia="Palatino Linotype" w:hAnsi="Palatino Linotype" w:cs="Palatino Linotype"/>
          <w:i/>
          <w:sz w:val="22"/>
          <w:szCs w:val="22"/>
        </w:rPr>
        <w:t xml:space="preserve"> Para el cumplimiento de los objetivos de esta Ley</w:t>
      </w:r>
      <w:r w:rsidRPr="009830DF">
        <w:rPr>
          <w:rFonts w:ascii="Palatino Linotype" w:eastAsia="Palatino Linotype" w:hAnsi="Palatino Linotype" w:cs="Palatino Linotype"/>
          <w:b/>
          <w:i/>
          <w:sz w:val="22"/>
          <w:szCs w:val="22"/>
        </w:rPr>
        <w:t>, los sujetos obligados deberán cumplir con las siguientes obligaciones</w:t>
      </w:r>
      <w:r w:rsidRPr="009830DF">
        <w:rPr>
          <w:rFonts w:ascii="Palatino Linotype" w:eastAsia="Palatino Linotype" w:hAnsi="Palatino Linotype" w:cs="Palatino Linotype"/>
          <w:i/>
          <w:sz w:val="22"/>
          <w:szCs w:val="22"/>
        </w:rPr>
        <w:t>, según corresponda, de acuerdo a su naturaleza:</w:t>
      </w:r>
    </w:p>
    <w:p w14:paraId="525B4CB2" w14:textId="77777777" w:rsidR="0018526E" w:rsidRPr="009830DF" w:rsidRDefault="00876F9E">
      <w:pPr>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p>
    <w:p w14:paraId="139A182B" w14:textId="77777777" w:rsidR="0018526E" w:rsidRPr="009830DF" w:rsidRDefault="00876F9E">
      <w:pPr>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XXII.</w:t>
      </w:r>
      <w:r w:rsidRPr="009830DF">
        <w:rPr>
          <w:rFonts w:ascii="Palatino Linotype" w:eastAsia="Palatino Linotype" w:hAnsi="Palatino Linotype" w:cs="Palatino Linotype"/>
          <w:i/>
          <w:sz w:val="22"/>
          <w:szCs w:val="22"/>
        </w:rPr>
        <w:t xml:space="preserve"> </w:t>
      </w:r>
      <w:r w:rsidRPr="009830DF">
        <w:rPr>
          <w:rFonts w:ascii="Palatino Linotype" w:eastAsia="Palatino Linotype" w:hAnsi="Palatino Linotype" w:cs="Palatino Linotype"/>
          <w:b/>
          <w:i/>
          <w:sz w:val="22"/>
          <w:szCs w:val="22"/>
        </w:rPr>
        <w:t>Documentar todo acto que derive del ejercicio de sus facultades, competencias o funciones</w:t>
      </w:r>
      <w:r w:rsidRPr="009830DF">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14:paraId="199DD262" w14:textId="77777777" w:rsidR="0018526E" w:rsidRPr="009830DF" w:rsidRDefault="00876F9E">
      <w:pPr>
        <w:spacing w:before="240" w:after="240" w:line="360" w:lineRule="auto"/>
        <w:ind w:right="49"/>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Por otro lado, respecto de los </w:t>
      </w:r>
      <w:r w:rsidRPr="009830DF">
        <w:rPr>
          <w:rFonts w:ascii="Palatino Linotype" w:eastAsia="Palatino Linotype" w:hAnsi="Palatino Linotype" w:cs="Palatino Linotype"/>
          <w:b/>
        </w:rPr>
        <w:t>videos, imágenes, y Actas de Sesión de Comité de Adquisiciones y Servicios</w:t>
      </w:r>
      <w:r w:rsidRPr="009830DF">
        <w:rPr>
          <w:rFonts w:ascii="Palatino Linotype" w:eastAsia="Palatino Linotype" w:hAnsi="Palatino Linotype" w:cs="Palatino Linotype"/>
        </w:rPr>
        <w:t xml:space="preserve">, como se desprende del estudio realizado, tanto el </w:t>
      </w:r>
      <w:r w:rsidRPr="009830DF">
        <w:rPr>
          <w:rFonts w:ascii="Palatino Linotype" w:eastAsia="Palatino Linotype" w:hAnsi="Palatino Linotype" w:cs="Palatino Linotype"/>
        </w:rPr>
        <w:lastRenderedPageBreak/>
        <w:t xml:space="preserve">artículo 30, fracción XII del Reglamento Interior, como del Manual General de Organización de la Secretaría de Movilidad, </w:t>
      </w:r>
      <w:r w:rsidRPr="009830DF">
        <w:rPr>
          <w:rFonts w:ascii="Palatino Linotype" w:eastAsia="Palatino Linotype" w:hAnsi="Palatino Linotype" w:cs="Palatino Linotype"/>
          <w:b/>
        </w:rPr>
        <w:t>confieren a la Coordinación Administrativa y de Gestión Documental, la facultad de representar a la Secretaría de Movilidad ante el Comité de Adquisiciones y Servicios de la Secretaría de Finanzas, en su carácter de Vocal,</w:t>
      </w:r>
      <w:r w:rsidRPr="009830DF">
        <w:rPr>
          <w:rFonts w:ascii="Palatino Linotype" w:eastAsia="Palatino Linotype" w:hAnsi="Palatino Linotype" w:cs="Palatino Linotype"/>
        </w:rPr>
        <w:t xml:space="preserve"> en tal sentido, es importante mencionar que de conformidad con el artículo 23, fracción II de la Ley de Contratación Pública del Estado de México y Municipios, los comités de adquisiciones y de servicios tienen, entre otras facultades, las de participar en los procedimientos de licitación, invitación restringida y adjudicación directa, hasta dejarlos en estado de dictar el fallo correspondiente, incluidos los que tengan que desahogarse bajo la modalidad de subasta inversa; así como emitir los dictámenes de adjudicación.</w:t>
      </w:r>
    </w:p>
    <w:p w14:paraId="569CCC3F" w14:textId="77777777" w:rsidR="0018526E" w:rsidRPr="009830DF" w:rsidRDefault="00876F9E">
      <w:pPr>
        <w:spacing w:before="240" w:after="240" w:line="360" w:lineRule="auto"/>
        <w:ind w:right="49"/>
        <w:jc w:val="both"/>
        <w:rPr>
          <w:rFonts w:ascii="Palatino Linotype" w:eastAsia="Palatino Linotype" w:hAnsi="Palatino Linotype" w:cs="Palatino Linotype"/>
        </w:rPr>
      </w:pPr>
      <w:r w:rsidRPr="009830DF">
        <w:rPr>
          <w:rFonts w:ascii="Palatino Linotype" w:eastAsia="Palatino Linotype" w:hAnsi="Palatino Linotype" w:cs="Palatino Linotype"/>
        </w:rPr>
        <w:t>Por su parte, el 43 del Reglamento de Ley de Contratación Pública del Estado de México y Municipios, la Secretaría de Finanzas, organismos auxiliares, tribunales administrativos y municipios, se auxiliarán de un Comité de Adquisiciones y Servicios, para la substanciación de los procedimientos de adquisición regulados en la Ley.</w:t>
      </w:r>
    </w:p>
    <w:p w14:paraId="58547423" w14:textId="77777777" w:rsidR="0018526E" w:rsidRPr="009830DF" w:rsidRDefault="00876F9E">
      <w:pPr>
        <w:spacing w:before="240" w:after="240" w:line="360" w:lineRule="auto"/>
        <w:ind w:right="49"/>
        <w:jc w:val="both"/>
        <w:rPr>
          <w:rFonts w:ascii="Palatino Linotype" w:eastAsia="Palatino Linotype" w:hAnsi="Palatino Linotype" w:cs="Palatino Linotype"/>
        </w:rPr>
      </w:pPr>
      <w:r w:rsidRPr="009830DF">
        <w:rPr>
          <w:rFonts w:ascii="Palatino Linotype" w:eastAsia="Palatino Linotype" w:hAnsi="Palatino Linotype" w:cs="Palatino Linotype"/>
        </w:rPr>
        <w:t>Dicho Comité se integra de la siguiente manera:</w:t>
      </w:r>
    </w:p>
    <w:p w14:paraId="3AF84818" w14:textId="77777777" w:rsidR="0018526E" w:rsidRPr="009830DF" w:rsidRDefault="00876F9E">
      <w:pPr>
        <w:spacing w:before="120" w:after="120"/>
        <w:ind w:left="567"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r w:rsidRPr="009830DF">
        <w:rPr>
          <w:rFonts w:ascii="Palatino Linotype" w:eastAsia="Palatino Linotype" w:hAnsi="Palatino Linotype" w:cs="Palatino Linotype"/>
          <w:b/>
          <w:i/>
          <w:sz w:val="22"/>
          <w:szCs w:val="22"/>
        </w:rPr>
        <w:t>Artículo 44</w:t>
      </w:r>
      <w:r w:rsidRPr="009830DF">
        <w:rPr>
          <w:rFonts w:ascii="Palatino Linotype" w:eastAsia="Palatino Linotype" w:hAnsi="Palatino Linotype" w:cs="Palatino Linotype"/>
          <w:i/>
          <w:sz w:val="22"/>
          <w:szCs w:val="22"/>
        </w:rPr>
        <w:t xml:space="preserve">.- El </w:t>
      </w:r>
      <w:r w:rsidRPr="009830DF">
        <w:rPr>
          <w:rFonts w:ascii="Palatino Linotype" w:eastAsia="Palatino Linotype" w:hAnsi="Palatino Linotype" w:cs="Palatino Linotype"/>
          <w:b/>
          <w:i/>
          <w:sz w:val="22"/>
          <w:szCs w:val="22"/>
        </w:rPr>
        <w:t>Comité de Adquisiciones y Servicios</w:t>
      </w:r>
      <w:r w:rsidRPr="009830DF">
        <w:rPr>
          <w:rFonts w:ascii="Palatino Linotype" w:eastAsia="Palatino Linotype" w:hAnsi="Palatino Linotype" w:cs="Palatino Linotype"/>
          <w:i/>
          <w:sz w:val="22"/>
          <w:szCs w:val="22"/>
        </w:rPr>
        <w:t xml:space="preserve"> se integrará por:</w:t>
      </w:r>
    </w:p>
    <w:p w14:paraId="61F29157"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w:t>
      </w:r>
      <w:r w:rsidRPr="009830DF">
        <w:rPr>
          <w:rFonts w:ascii="Palatino Linotype" w:eastAsia="Palatino Linotype" w:hAnsi="Palatino Linotype" w:cs="Palatino Linotype"/>
          <w:i/>
          <w:sz w:val="22"/>
          <w:szCs w:val="22"/>
        </w:rPr>
        <w:t>. En la Secretaría, por el titular del área encargada de operar el sistema de adquisiciones de las dependencias del Poder Ejecutivo, y en los organismos auxiliares, tribunales administrativos y municipios, por el titular de la unidad administrativa, quien fungirá como presidente;</w:t>
      </w:r>
    </w:p>
    <w:p w14:paraId="31BEA188"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w:t>
      </w:r>
      <w:r w:rsidRPr="009830DF">
        <w:rPr>
          <w:rFonts w:ascii="Palatino Linotype" w:eastAsia="Palatino Linotype" w:hAnsi="Palatino Linotype" w:cs="Palatino Linotype"/>
          <w:i/>
          <w:sz w:val="22"/>
          <w:szCs w:val="22"/>
        </w:rPr>
        <w:t>. Un representante del área financiera de la Secretaría, entidad, tribunal administrativo o municipio, con función de vocal;</w:t>
      </w:r>
    </w:p>
    <w:p w14:paraId="79479999"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u w:val="single"/>
        </w:rPr>
      </w:pPr>
      <w:r w:rsidRPr="009830DF">
        <w:rPr>
          <w:rFonts w:ascii="Palatino Linotype" w:eastAsia="Palatino Linotype" w:hAnsi="Palatino Linotype" w:cs="Palatino Linotype"/>
          <w:b/>
          <w:i/>
          <w:sz w:val="22"/>
          <w:szCs w:val="22"/>
        </w:rPr>
        <w:lastRenderedPageBreak/>
        <w:t>III</w:t>
      </w:r>
      <w:r w:rsidRPr="009830DF">
        <w:rPr>
          <w:rFonts w:ascii="Palatino Linotype" w:eastAsia="Palatino Linotype" w:hAnsi="Palatino Linotype" w:cs="Palatino Linotype"/>
          <w:i/>
          <w:sz w:val="22"/>
          <w:szCs w:val="22"/>
        </w:rPr>
        <w:t xml:space="preserve">. </w:t>
      </w:r>
      <w:r w:rsidRPr="009830DF">
        <w:rPr>
          <w:rFonts w:ascii="Palatino Linotype" w:eastAsia="Palatino Linotype" w:hAnsi="Palatino Linotype" w:cs="Palatino Linotype"/>
          <w:b/>
          <w:i/>
          <w:sz w:val="22"/>
          <w:szCs w:val="22"/>
          <w:u w:val="single"/>
        </w:rPr>
        <w:t>Un representante de cada dependencia o unidad administrativa</w:t>
      </w:r>
      <w:r w:rsidRPr="009830DF">
        <w:rPr>
          <w:rFonts w:ascii="Palatino Linotype" w:eastAsia="Palatino Linotype" w:hAnsi="Palatino Linotype" w:cs="Palatino Linotype"/>
          <w:b/>
          <w:i/>
          <w:sz w:val="22"/>
          <w:szCs w:val="22"/>
        </w:rPr>
        <w:t xml:space="preserve"> interesada en la adquisición de los bienes o contratación del servicio, </w:t>
      </w:r>
      <w:r w:rsidRPr="009830DF">
        <w:rPr>
          <w:rFonts w:ascii="Palatino Linotype" w:eastAsia="Palatino Linotype" w:hAnsi="Palatino Linotype" w:cs="Palatino Linotype"/>
          <w:b/>
          <w:i/>
          <w:sz w:val="22"/>
          <w:szCs w:val="22"/>
          <w:u w:val="single"/>
        </w:rPr>
        <w:t>con función de vocal</w:t>
      </w:r>
      <w:r w:rsidRPr="009830DF">
        <w:rPr>
          <w:rFonts w:ascii="Palatino Linotype" w:eastAsia="Palatino Linotype" w:hAnsi="Palatino Linotype" w:cs="Palatino Linotype"/>
          <w:i/>
          <w:sz w:val="22"/>
          <w:szCs w:val="22"/>
          <w:u w:val="single"/>
        </w:rPr>
        <w:t>;</w:t>
      </w:r>
    </w:p>
    <w:p w14:paraId="4ADC6F74"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IV</w:t>
      </w:r>
      <w:r w:rsidRPr="009830DF">
        <w:rPr>
          <w:rFonts w:ascii="Palatino Linotype" w:eastAsia="Palatino Linotype" w:hAnsi="Palatino Linotype" w:cs="Palatino Linotype"/>
          <w:i/>
          <w:sz w:val="22"/>
          <w:szCs w:val="22"/>
        </w:rPr>
        <w:t>. Un representante de la Consejería Jurídica o del área jurídica respectiva o quien lleve a cabo las funciones de esta naturaleza, con función de vocal;</w:t>
      </w:r>
    </w:p>
    <w:p w14:paraId="05AC8C23"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V.</w:t>
      </w:r>
      <w:r w:rsidRPr="009830DF">
        <w:rPr>
          <w:rFonts w:ascii="Palatino Linotype" w:eastAsia="Palatino Linotype" w:hAnsi="Palatino Linotype" w:cs="Palatino Linotype"/>
          <w:i/>
          <w:sz w:val="22"/>
          <w:szCs w:val="22"/>
        </w:rPr>
        <w:t xml:space="preserve"> Un representante del Órgano de Control, con función de vocal; y</w:t>
      </w:r>
    </w:p>
    <w:p w14:paraId="4788C9C5"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VI</w:t>
      </w:r>
      <w:r w:rsidRPr="009830DF">
        <w:rPr>
          <w:rFonts w:ascii="Palatino Linotype" w:eastAsia="Palatino Linotype" w:hAnsi="Palatino Linotype" w:cs="Palatino Linotype"/>
          <w:i/>
          <w:sz w:val="22"/>
          <w:szCs w:val="22"/>
        </w:rPr>
        <w:t xml:space="preserve">. </w:t>
      </w:r>
      <w:r w:rsidRPr="009830DF">
        <w:rPr>
          <w:rFonts w:ascii="Palatino Linotype" w:eastAsia="Palatino Linotype" w:hAnsi="Palatino Linotype" w:cs="Palatino Linotype"/>
          <w:b/>
          <w:i/>
          <w:sz w:val="22"/>
          <w:szCs w:val="22"/>
        </w:rPr>
        <w:t xml:space="preserve">Un </w:t>
      </w:r>
      <w:r w:rsidRPr="009830DF">
        <w:rPr>
          <w:rFonts w:ascii="Palatino Linotype" w:eastAsia="Palatino Linotype" w:hAnsi="Palatino Linotype" w:cs="Palatino Linotype"/>
          <w:b/>
          <w:i/>
          <w:sz w:val="22"/>
          <w:szCs w:val="22"/>
          <w:u w:val="single"/>
        </w:rPr>
        <w:t>secretario ejecutivo</w:t>
      </w:r>
      <w:r w:rsidRPr="009830DF">
        <w:rPr>
          <w:rFonts w:ascii="Palatino Linotype" w:eastAsia="Palatino Linotype" w:hAnsi="Palatino Linotype" w:cs="Palatino Linotype"/>
          <w:b/>
          <w:i/>
          <w:sz w:val="22"/>
          <w:szCs w:val="22"/>
        </w:rPr>
        <w:t>, que será designado por el presidente.</w:t>
      </w:r>
      <w:r w:rsidRPr="009830DF">
        <w:rPr>
          <w:rFonts w:ascii="Palatino Linotype" w:eastAsia="Palatino Linotype" w:hAnsi="Palatino Linotype" w:cs="Palatino Linotype"/>
          <w:i/>
          <w:sz w:val="22"/>
          <w:szCs w:val="22"/>
        </w:rPr>
        <w:t>”</w:t>
      </w:r>
    </w:p>
    <w:p w14:paraId="65B1671A"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Siendo función del </w:t>
      </w:r>
      <w:r w:rsidRPr="009830DF">
        <w:rPr>
          <w:rFonts w:ascii="Palatino Linotype" w:eastAsia="Palatino Linotype" w:hAnsi="Palatino Linotype" w:cs="Palatino Linotype"/>
          <w:b/>
        </w:rPr>
        <w:t>secretario ejecutivo</w:t>
      </w:r>
      <w:r w:rsidRPr="009830DF">
        <w:rPr>
          <w:rFonts w:ascii="Palatino Linotype" w:eastAsia="Palatino Linotype" w:hAnsi="Palatino Linotype" w:cs="Palatino Linotype"/>
        </w:rPr>
        <w:t xml:space="preserve">, de conformidad con el artículo 46, fracción II del Reglamento de la Ley de Contratación, vigilar la elaboración y expedición de la convocatoria a sesión, orden del día y de los listados de los asuntos que se tratarán, integrando, de </w:t>
      </w:r>
      <w:r w:rsidRPr="009830DF">
        <w:rPr>
          <w:rFonts w:ascii="Palatino Linotype" w:eastAsia="Palatino Linotype" w:hAnsi="Palatino Linotype" w:cs="Palatino Linotype"/>
          <w:b/>
          <w:u w:val="single"/>
        </w:rPr>
        <w:t>ser el caso, los soportes documentales necesarios, así como remitirlos a cada integrante del comité</w:t>
      </w:r>
      <w:r w:rsidRPr="009830DF">
        <w:rPr>
          <w:rFonts w:ascii="Palatino Linotype" w:eastAsia="Palatino Linotype" w:hAnsi="Palatino Linotype" w:cs="Palatino Linotype"/>
        </w:rPr>
        <w:t xml:space="preserve">; estando facultado para tomar las medidas necesarias para el cumplimiento de los acuerdos del comité, informando el seguimiento de los asuntos en trámite; </w:t>
      </w:r>
      <w:r w:rsidRPr="009830DF">
        <w:rPr>
          <w:rFonts w:ascii="Palatino Linotype" w:eastAsia="Palatino Linotype" w:hAnsi="Palatino Linotype" w:cs="Palatino Linotype"/>
          <w:b/>
        </w:rPr>
        <w:t>levantar acta de cada una de las sesiones</w:t>
      </w:r>
      <w:r w:rsidRPr="009830DF">
        <w:rPr>
          <w:rFonts w:ascii="Palatino Linotype" w:eastAsia="Palatino Linotype" w:hAnsi="Palatino Linotype" w:cs="Palatino Linotype"/>
        </w:rPr>
        <w:t xml:space="preserve">, asentando los acuerdos del comité, </w:t>
      </w:r>
      <w:r w:rsidRPr="009830DF">
        <w:rPr>
          <w:rFonts w:ascii="Palatino Linotype" w:eastAsia="Palatino Linotype" w:hAnsi="Palatino Linotype" w:cs="Palatino Linotype"/>
          <w:b/>
        </w:rPr>
        <w:t xml:space="preserve">asegurándose que el archivo de documentos se integre y se mantenga actualizado, </w:t>
      </w:r>
      <w:r w:rsidRPr="009830DF">
        <w:rPr>
          <w:rFonts w:ascii="Palatino Linotype" w:eastAsia="Palatino Linotype" w:hAnsi="Palatino Linotype" w:cs="Palatino Linotype"/>
        </w:rPr>
        <w:t>así como firmar las actas de los actos en los que haya participado.</w:t>
      </w:r>
    </w:p>
    <w:p w14:paraId="61CD36CC" w14:textId="77777777" w:rsidR="0018526E" w:rsidRPr="009830DF" w:rsidRDefault="00876F9E">
      <w:pPr>
        <w:tabs>
          <w:tab w:val="left" w:pos="8364"/>
        </w:tabs>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Mientras que los </w:t>
      </w:r>
      <w:r w:rsidRPr="009830DF">
        <w:rPr>
          <w:rFonts w:ascii="Palatino Linotype" w:eastAsia="Palatino Linotype" w:hAnsi="Palatino Linotype" w:cs="Palatino Linotype"/>
          <w:b/>
        </w:rPr>
        <w:t>vocales,</w:t>
      </w:r>
      <w:r w:rsidRPr="009830DF">
        <w:rPr>
          <w:rFonts w:ascii="Palatino Linotype" w:eastAsia="Palatino Linotype" w:hAnsi="Palatino Linotype" w:cs="Palatino Linotype"/>
        </w:rPr>
        <w:t xml:space="preserve"> conforme al artículo 46, fracción III, del referido Reglamento, </w:t>
      </w:r>
      <w:r w:rsidRPr="009830DF">
        <w:rPr>
          <w:rFonts w:ascii="Palatino Linotype" w:eastAsia="Palatino Linotype" w:hAnsi="Palatino Linotype" w:cs="Palatino Linotype"/>
          <w:b/>
        </w:rPr>
        <w:t>se encargan de</w:t>
      </w:r>
      <w:r w:rsidRPr="009830DF">
        <w:rPr>
          <w:rFonts w:ascii="Palatino Linotype" w:eastAsia="Palatino Linotype" w:hAnsi="Palatino Linotype" w:cs="Palatino Linotype"/>
        </w:rPr>
        <w:t xml:space="preserve"> </w:t>
      </w:r>
      <w:r w:rsidRPr="009830DF">
        <w:rPr>
          <w:rFonts w:ascii="Palatino Linotype" w:eastAsia="Palatino Linotype" w:hAnsi="Palatino Linotype" w:cs="Palatino Linotype"/>
          <w:b/>
        </w:rPr>
        <w:t>remitir al secretario ejecutivo</w:t>
      </w:r>
      <w:r w:rsidRPr="009830DF">
        <w:rPr>
          <w:rFonts w:ascii="Palatino Linotype" w:eastAsia="Palatino Linotype" w:hAnsi="Palatino Linotype" w:cs="Palatino Linotype"/>
        </w:rPr>
        <w:t xml:space="preserve"> antes de la sesión, </w:t>
      </w:r>
      <w:r w:rsidRPr="009830DF">
        <w:rPr>
          <w:rFonts w:ascii="Palatino Linotype" w:eastAsia="Palatino Linotype" w:hAnsi="Palatino Linotype" w:cs="Palatino Linotype"/>
          <w:b/>
        </w:rPr>
        <w:t>los documentos relativos a los asuntos que se deban someter a la consideración del Comité</w:t>
      </w:r>
      <w:r w:rsidRPr="009830DF">
        <w:rPr>
          <w:rFonts w:ascii="Palatino Linotype" w:eastAsia="Palatino Linotype" w:hAnsi="Palatino Linotype" w:cs="Palatino Linotype"/>
        </w:rPr>
        <w:t xml:space="preserve">; analizar el orden del día y los asuntos a tratar, emitir los comentarios fundados y motivados que estimen pertinentes, y emitir su voto quienes tengan derecho a ello, </w:t>
      </w:r>
      <w:r w:rsidRPr="009830DF">
        <w:rPr>
          <w:rFonts w:ascii="Palatino Linotype" w:eastAsia="Palatino Linotype" w:hAnsi="Palatino Linotype" w:cs="Palatino Linotype"/>
          <w:b/>
        </w:rPr>
        <w:t>así como firmar las actas de los actos en los que haya participado</w:t>
      </w:r>
      <w:r w:rsidRPr="009830DF">
        <w:rPr>
          <w:rFonts w:ascii="Palatino Linotype" w:eastAsia="Palatino Linotype" w:hAnsi="Palatino Linotype" w:cs="Palatino Linotype"/>
        </w:rPr>
        <w:t xml:space="preserve">. </w:t>
      </w:r>
    </w:p>
    <w:p w14:paraId="18BC0E99" w14:textId="77777777" w:rsidR="0018526E" w:rsidRPr="009830DF" w:rsidRDefault="00876F9E">
      <w:pPr>
        <w:tabs>
          <w:tab w:val="left" w:pos="8364"/>
        </w:tabs>
        <w:spacing w:before="240" w:after="240" w:line="360" w:lineRule="auto"/>
        <w:jc w:val="both"/>
        <w:rPr>
          <w:rFonts w:ascii="Palatino Linotype" w:eastAsia="Palatino Linotype" w:hAnsi="Palatino Linotype" w:cs="Palatino Linotype"/>
          <w:b/>
        </w:rPr>
      </w:pPr>
      <w:r w:rsidRPr="009830DF">
        <w:rPr>
          <w:rFonts w:ascii="Palatino Linotype" w:eastAsia="Palatino Linotype" w:hAnsi="Palatino Linotype" w:cs="Palatino Linotype"/>
        </w:rPr>
        <w:t xml:space="preserve">De manera que, la </w:t>
      </w:r>
      <w:r w:rsidRPr="009830DF">
        <w:rPr>
          <w:rFonts w:ascii="Palatino Linotype" w:eastAsia="Palatino Linotype" w:hAnsi="Palatino Linotype" w:cs="Palatino Linotype"/>
          <w:b/>
        </w:rPr>
        <w:t xml:space="preserve">Coordinación Administrativa y de Gestión Documental, </w:t>
      </w:r>
      <w:r w:rsidRPr="009830DF">
        <w:rPr>
          <w:rFonts w:ascii="Palatino Linotype" w:eastAsia="Palatino Linotype" w:hAnsi="Palatino Linotype" w:cs="Palatino Linotype"/>
        </w:rPr>
        <w:t xml:space="preserve">al estar facultada para representar a la Secretaría de Movilidad ante el Comité de </w:t>
      </w:r>
      <w:r w:rsidRPr="009830DF">
        <w:rPr>
          <w:rFonts w:ascii="Palatino Linotype" w:eastAsia="Palatino Linotype" w:hAnsi="Palatino Linotype" w:cs="Palatino Linotype"/>
        </w:rPr>
        <w:lastRenderedPageBreak/>
        <w:t xml:space="preserve">Adquisiciones y Servicios de la Secretaría de Finanzas, en su carácter de Vocal, debe contar con el soporte documental generado con motivo de las Sesiones celebradas el Comité de los </w:t>
      </w:r>
      <w:r w:rsidRPr="009830DF">
        <w:rPr>
          <w:rFonts w:ascii="Palatino Linotype" w:eastAsia="Palatino Linotype" w:hAnsi="Palatino Linotype" w:cs="Palatino Linotype"/>
          <w:b/>
        </w:rPr>
        <w:t xml:space="preserve">asuntos que sean del interés de la Secretaria de Movilidad y que se deban someter a consideración de sus integrantes, </w:t>
      </w:r>
      <w:r w:rsidRPr="009830DF">
        <w:rPr>
          <w:rFonts w:ascii="Palatino Linotype" w:eastAsia="Palatino Linotype" w:hAnsi="Palatino Linotype" w:cs="Palatino Linotype"/>
        </w:rPr>
        <w:t xml:space="preserve">máxime si se toma en consideración que, a través de la Subdirección de Recursos Materiales adscrita a dicha Coordinación, es competente para </w:t>
      </w:r>
      <w:r w:rsidRPr="009830DF">
        <w:rPr>
          <w:rFonts w:ascii="Palatino Linotype" w:eastAsia="Palatino Linotype" w:hAnsi="Palatino Linotype" w:cs="Palatino Linotype"/>
          <w:b/>
        </w:rPr>
        <w:t xml:space="preserve">supervisar, revisar y ejecutar las etapas de los procedimientos adquisitivos que se realicen para la Secretaría de Movilidad; supervisar la integración del expediente del procedimiento adquisitivo y presentar las solicitudes con apego a la normativa de adquisiciones de bienes y/o contrataciones de servicios ante la Secretaría de Finanzas, para su instauración, sustanciación y resolución; sustanciar y ejecutar las compras directas que deriven de los diversos requerimientos formulados por las unidades administrativas; </w:t>
      </w:r>
      <w:r w:rsidRPr="009830DF">
        <w:rPr>
          <w:rFonts w:ascii="Palatino Linotype" w:eastAsia="Palatino Linotype" w:hAnsi="Palatino Linotype" w:cs="Palatino Linotype"/>
        </w:rPr>
        <w:t>y finalmente</w:t>
      </w:r>
      <w:r w:rsidRPr="009830DF">
        <w:rPr>
          <w:rFonts w:ascii="Palatino Linotype" w:eastAsia="Palatino Linotype" w:hAnsi="Palatino Linotype" w:cs="Palatino Linotype"/>
          <w:u w:val="single"/>
        </w:rPr>
        <w:t xml:space="preserve">, </w:t>
      </w:r>
      <w:r w:rsidRPr="009830DF">
        <w:rPr>
          <w:rFonts w:ascii="Palatino Linotype" w:eastAsia="Palatino Linotype" w:hAnsi="Palatino Linotype" w:cs="Palatino Linotype"/>
          <w:b/>
          <w:u w:val="single"/>
        </w:rPr>
        <w:t>verificar la adecuada integración y conservación de los expedientes y constancias de los procedimientos adquisitivos de la Secretaría</w:t>
      </w:r>
      <w:r w:rsidRPr="009830DF">
        <w:rPr>
          <w:rFonts w:ascii="Palatino Linotype" w:eastAsia="Palatino Linotype" w:hAnsi="Palatino Linotype" w:cs="Palatino Linotype"/>
          <w:b/>
        </w:rPr>
        <w:t xml:space="preserve">, </w:t>
      </w:r>
      <w:r w:rsidRPr="009830DF">
        <w:rPr>
          <w:rFonts w:ascii="Palatino Linotype" w:eastAsia="Palatino Linotype" w:hAnsi="Palatino Linotype" w:cs="Palatino Linotype"/>
        </w:rPr>
        <w:t xml:space="preserve">por lo tanto, se considera dable ordenar, previa búsqueda exhaustiva y razonable, la entrega del soporte documental que dé cuenta de lo solicitado, en el estado en el que se encuentre en los archivos del </w:t>
      </w:r>
      <w:r w:rsidRPr="009830DF">
        <w:rPr>
          <w:rFonts w:ascii="Palatino Linotype" w:eastAsia="Palatino Linotype" w:hAnsi="Palatino Linotype" w:cs="Palatino Linotype"/>
          <w:b/>
        </w:rPr>
        <w:t xml:space="preserve">Sujeto Obligado, </w:t>
      </w:r>
      <w:r w:rsidRPr="009830DF">
        <w:rPr>
          <w:rFonts w:ascii="Palatino Linotype" w:eastAsia="Palatino Linotype" w:hAnsi="Palatino Linotype" w:cs="Palatino Linotype"/>
        </w:rPr>
        <w:t>conforme al considerando siguiente.</w:t>
      </w:r>
    </w:p>
    <w:p w14:paraId="0188B8EF" w14:textId="77777777" w:rsidR="0018526E" w:rsidRPr="009830DF" w:rsidRDefault="00876F9E">
      <w:pPr>
        <w:tabs>
          <w:tab w:val="left" w:pos="8364"/>
        </w:tabs>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Sin contrariar lo anterior respecto a este punto, respecto de los contratos pedido, es importante reiterar que de conformidad con el artículo 141 del Reglamento de la Ley de Contratación Pública, citado con antelación, que aquellos contratos que se celebren al amparo del artículo 80, es decir, aquellos relacionados con la adquisición bienes o contratación de servicios cuyo importe de operación no rebase los montos establecidos en el Presupuesto de Egresos del Gobierno del Estado del ejercicio correspondiente para la adjudicación directa, </w:t>
      </w:r>
      <w:r w:rsidRPr="009830DF">
        <w:rPr>
          <w:rFonts w:ascii="Palatino Linotype" w:eastAsia="Palatino Linotype" w:hAnsi="Palatino Linotype" w:cs="Palatino Linotype"/>
          <w:b/>
          <w:u w:val="single"/>
        </w:rPr>
        <w:t xml:space="preserve">se realizan directamente por las </w:t>
      </w:r>
      <w:r w:rsidRPr="009830DF">
        <w:rPr>
          <w:rFonts w:ascii="Palatino Linotype" w:eastAsia="Palatino Linotype" w:hAnsi="Palatino Linotype" w:cs="Palatino Linotype"/>
          <w:b/>
          <w:u w:val="single"/>
        </w:rPr>
        <w:lastRenderedPageBreak/>
        <w:t>unidades administrativas de las dependencias</w:t>
      </w:r>
      <w:r w:rsidRPr="009830DF">
        <w:rPr>
          <w:rFonts w:ascii="Palatino Linotype" w:eastAsia="Palatino Linotype" w:hAnsi="Palatino Linotype" w:cs="Palatino Linotype"/>
        </w:rPr>
        <w:t>, organismos auxiliares, tribunales administrativos y municipios, y son formalizados con el proveedor que resultó seleccionado del análisis de al menos dos cotizaciones obtenidas, en términos del artículo 92 del Reglamento y que garantice las mejores condiciones en cuanto a precio, calidad, financiamiento, oportunidad y demás circunstancias pertinentes.</w:t>
      </w:r>
    </w:p>
    <w:p w14:paraId="752B68E3" w14:textId="77777777" w:rsidR="0018526E" w:rsidRPr="009830DF" w:rsidRDefault="00876F9E">
      <w:pPr>
        <w:tabs>
          <w:tab w:val="left" w:pos="8364"/>
        </w:tabs>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En tal contexto, el referido artículo 92, párrafo primero del Reglamento, por cuanto hace al tema que nos ocupa, dispone a la literalidad, lo siguiente:</w:t>
      </w:r>
    </w:p>
    <w:p w14:paraId="1D63B1EC" w14:textId="77777777" w:rsidR="0018526E" w:rsidRPr="009830DF" w:rsidRDefault="00876F9E">
      <w:pPr>
        <w:tabs>
          <w:tab w:val="left" w:pos="8364"/>
        </w:tabs>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r w:rsidRPr="009830DF">
        <w:rPr>
          <w:rFonts w:ascii="Palatino Linotype" w:eastAsia="Palatino Linotype" w:hAnsi="Palatino Linotype" w:cs="Palatino Linotype"/>
          <w:b/>
          <w:i/>
          <w:sz w:val="22"/>
          <w:szCs w:val="22"/>
        </w:rPr>
        <w:t>Artículo 92</w:t>
      </w:r>
      <w:r w:rsidRPr="009830DF">
        <w:rPr>
          <w:rFonts w:ascii="Palatino Linotype" w:eastAsia="Palatino Linotype" w:hAnsi="Palatino Linotype" w:cs="Palatino Linotype"/>
          <w:i/>
          <w:sz w:val="22"/>
          <w:szCs w:val="22"/>
        </w:rPr>
        <w:t xml:space="preserve">.- </w:t>
      </w:r>
      <w:r w:rsidRPr="009830DF">
        <w:rPr>
          <w:rFonts w:ascii="Palatino Linotype" w:eastAsia="Palatino Linotype" w:hAnsi="Palatino Linotype" w:cs="Palatino Linotype"/>
          <w:b/>
          <w:i/>
          <w:sz w:val="22"/>
          <w:szCs w:val="22"/>
        </w:rPr>
        <w:t>Para los procedimientos de adjudicación directa</w:t>
      </w:r>
      <w:r w:rsidRPr="009830DF">
        <w:rPr>
          <w:rFonts w:ascii="Palatino Linotype" w:eastAsia="Palatino Linotype" w:hAnsi="Palatino Linotype" w:cs="Palatino Linotype"/>
          <w:i/>
          <w:sz w:val="22"/>
          <w:szCs w:val="22"/>
        </w:rPr>
        <w:t xml:space="preserve"> cuyo importe de la operación no rebase los montos establecidos en el Presupuesto de Egresos del Gobierno del Estado en el ejercicio correspondiente y, cuyo importe sea superior al monto determinado para el fondo fijo de caja; </w:t>
      </w:r>
      <w:r w:rsidRPr="009830DF">
        <w:rPr>
          <w:rFonts w:ascii="Palatino Linotype" w:eastAsia="Palatino Linotype" w:hAnsi="Palatino Linotype" w:cs="Palatino Linotype"/>
          <w:b/>
          <w:i/>
          <w:sz w:val="22"/>
          <w:szCs w:val="22"/>
        </w:rPr>
        <w:t xml:space="preserve">se deberá celebrar contrato pedido, </w:t>
      </w:r>
      <w:r w:rsidRPr="009830DF">
        <w:rPr>
          <w:rFonts w:ascii="Palatino Linotype" w:eastAsia="Palatino Linotype" w:hAnsi="Palatino Linotype" w:cs="Palatino Linotype"/>
          <w:b/>
          <w:i/>
          <w:sz w:val="22"/>
          <w:szCs w:val="22"/>
          <w:u w:val="single"/>
        </w:rPr>
        <w:t>sin que sea necesario observar las disposiciones de los demás artículos de esta Sección</w:t>
      </w:r>
      <w:r w:rsidRPr="009830DF">
        <w:rPr>
          <w:rFonts w:ascii="Palatino Linotype" w:eastAsia="Palatino Linotype" w:hAnsi="Palatino Linotype" w:cs="Palatino Linotype"/>
          <w:i/>
          <w:sz w:val="22"/>
          <w:szCs w:val="22"/>
        </w:rPr>
        <w:t>.”</w:t>
      </w:r>
    </w:p>
    <w:p w14:paraId="14AD6781" w14:textId="77777777" w:rsidR="0018526E" w:rsidRPr="009830DF" w:rsidRDefault="00876F9E">
      <w:pPr>
        <w:spacing w:before="240" w:after="240" w:line="360" w:lineRule="auto"/>
        <w:ind w:right="51"/>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Es decir, que en aquellos procedimientos de adjudicación que actualicen el supuesto previsto en dicho precepto legal, debe celebrarse un contrato pedido, y sin ser necesario observar las formalidades que establece la Sección Segunda DE ADJUDICACIÓN DIRECTA, del Reglamento, concluyendo que dichos procedimientos no son sometidos a consideración del Comité de Adquisiciones y Servicios, al ser realizados directamente por las unidades administrativas de las dependencias, por lo tanto, en los casos en los que se actualice dicho supuesto, es evidente que el </w:t>
      </w:r>
      <w:r w:rsidRPr="009830DF">
        <w:rPr>
          <w:rFonts w:ascii="Palatino Linotype" w:eastAsia="Palatino Linotype" w:hAnsi="Palatino Linotype" w:cs="Palatino Linotype"/>
          <w:b/>
        </w:rPr>
        <w:t xml:space="preserve">Sujeto Obligado </w:t>
      </w:r>
      <w:r w:rsidRPr="009830DF">
        <w:rPr>
          <w:rFonts w:ascii="Palatino Linotype" w:eastAsia="Palatino Linotype" w:hAnsi="Palatino Linotype" w:cs="Palatino Linotype"/>
        </w:rPr>
        <w:t xml:space="preserve">no estaría en posibilidad de entregar información relacionada con el Comité de Adquisiciones y Servicios al no generarse. </w:t>
      </w:r>
    </w:p>
    <w:p w14:paraId="5B687F40" w14:textId="77777777" w:rsidR="0018526E" w:rsidRPr="009830DF" w:rsidRDefault="00876F9E">
      <w:pPr>
        <w:tabs>
          <w:tab w:val="left" w:pos="8364"/>
        </w:tabs>
        <w:spacing w:before="240" w:after="240" w:line="360" w:lineRule="auto"/>
        <w:jc w:val="both"/>
        <w:rPr>
          <w:rFonts w:ascii="Palatino Linotype" w:eastAsia="Palatino Linotype" w:hAnsi="Palatino Linotype" w:cs="Palatino Linotype"/>
          <w:b/>
        </w:rPr>
      </w:pPr>
      <w:r w:rsidRPr="009830DF">
        <w:rPr>
          <w:rFonts w:ascii="Palatino Linotype" w:eastAsia="Palatino Linotype" w:hAnsi="Palatino Linotype" w:cs="Palatino Linotype"/>
        </w:rPr>
        <w:t xml:space="preserve">Situación similar ocurre respecto de las </w:t>
      </w:r>
      <w:r w:rsidRPr="009830DF">
        <w:rPr>
          <w:rFonts w:ascii="Palatino Linotype" w:eastAsia="Palatino Linotype" w:hAnsi="Palatino Linotype" w:cs="Palatino Linotype"/>
          <w:b/>
        </w:rPr>
        <w:t>facturas pagadas de los procesos efectuados</w:t>
      </w:r>
      <w:r w:rsidRPr="009830DF">
        <w:rPr>
          <w:rFonts w:ascii="Palatino Linotype" w:eastAsia="Palatino Linotype" w:hAnsi="Palatino Linotype" w:cs="Palatino Linotype"/>
        </w:rPr>
        <w:t xml:space="preserve">, toda vez que, de conformidad con el Manual General de Organización de la Secretaría de Movilidad, la Subdirección de Recursos Materiales tiene la </w:t>
      </w:r>
      <w:r w:rsidRPr="009830DF">
        <w:rPr>
          <w:rFonts w:ascii="Palatino Linotype" w:eastAsia="Palatino Linotype" w:hAnsi="Palatino Linotype" w:cs="Palatino Linotype"/>
        </w:rPr>
        <w:lastRenderedPageBreak/>
        <w:t xml:space="preserve">facultad de </w:t>
      </w:r>
      <w:r w:rsidRPr="009830DF">
        <w:rPr>
          <w:rFonts w:ascii="Palatino Linotype" w:eastAsia="Palatino Linotype" w:hAnsi="Palatino Linotype" w:cs="Palatino Linotype"/>
          <w:b/>
        </w:rPr>
        <w:t xml:space="preserve">someter a su pago los documentos comprobatorios de las erogaciones realizadas, </w:t>
      </w:r>
      <w:r w:rsidRPr="009830DF">
        <w:rPr>
          <w:rFonts w:ascii="Palatino Linotype" w:eastAsia="Palatino Linotype" w:hAnsi="Palatino Linotype" w:cs="Palatino Linotype"/>
        </w:rPr>
        <w:t xml:space="preserve">mientras que el Departamento de Control Presupuestal, se encarga de elaborar el trámite de pago respectivo a las y los proveedores de bienes y servicios, por lo que se colige que el soporte documental que dé cuenta de las erogaciones generadas derivado de los procedimientos de adquisición de bienes y contratación de servicios, en cualquiera de sus modalidades, debe obrar en el expediente que la Subdirección de Recursos Materiales se encuentra obligada a resguardar, siendo procedente ordenar, previa búsqueda exhaustiva y razonable, la entrega del soporte documental que dé cuenta de lo solicitado, en el estado en el que se encuentre en los archivos del </w:t>
      </w:r>
      <w:r w:rsidRPr="009830DF">
        <w:rPr>
          <w:rFonts w:ascii="Palatino Linotype" w:eastAsia="Palatino Linotype" w:hAnsi="Palatino Linotype" w:cs="Palatino Linotype"/>
          <w:b/>
        </w:rPr>
        <w:t xml:space="preserve">Sujeto Obligado, </w:t>
      </w:r>
      <w:r w:rsidRPr="009830DF">
        <w:rPr>
          <w:rFonts w:ascii="Palatino Linotype" w:eastAsia="Palatino Linotype" w:hAnsi="Palatino Linotype" w:cs="Palatino Linotype"/>
        </w:rPr>
        <w:t>conforme al considerando siguiente.</w:t>
      </w:r>
    </w:p>
    <w:p w14:paraId="52E6ADB7" w14:textId="77777777" w:rsidR="0018526E" w:rsidRPr="009830DF" w:rsidRDefault="00876F9E">
      <w:pPr>
        <w:spacing w:before="240" w:after="240" w:line="360" w:lineRule="auto"/>
        <w:ind w:right="51"/>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De lo hasta aquí expuesto, se concluye que los motivos de inconformidad de la parte </w:t>
      </w:r>
      <w:r w:rsidRPr="009830DF">
        <w:rPr>
          <w:rFonts w:ascii="Palatino Linotype" w:eastAsia="Palatino Linotype" w:hAnsi="Palatino Linotype" w:cs="Palatino Linotype"/>
          <w:b/>
        </w:rPr>
        <w:t xml:space="preserve">Recurrente </w:t>
      </w:r>
      <w:r w:rsidRPr="009830DF">
        <w:rPr>
          <w:rFonts w:ascii="Palatino Linotype" w:eastAsia="Palatino Linotype" w:hAnsi="Palatino Linotype" w:cs="Palatino Linotype"/>
        </w:rPr>
        <w:t xml:space="preserve">devienen fundados, siendo procedente </w:t>
      </w:r>
      <w:r w:rsidRPr="009830DF">
        <w:rPr>
          <w:rFonts w:ascii="Palatino Linotype" w:eastAsia="Palatino Linotype" w:hAnsi="Palatino Linotype" w:cs="Palatino Linotype"/>
          <w:i/>
        </w:rPr>
        <w:t xml:space="preserve">Revocar </w:t>
      </w:r>
      <w:r w:rsidRPr="009830DF">
        <w:rPr>
          <w:rFonts w:ascii="Palatino Linotype" w:eastAsia="Palatino Linotype" w:hAnsi="Palatino Linotype" w:cs="Palatino Linotype"/>
        </w:rPr>
        <w:t xml:space="preserve">la respuesta proporcionada por el </w:t>
      </w:r>
      <w:r w:rsidRPr="009830DF">
        <w:rPr>
          <w:rFonts w:ascii="Palatino Linotype" w:eastAsia="Palatino Linotype" w:hAnsi="Palatino Linotype" w:cs="Palatino Linotype"/>
          <w:b/>
        </w:rPr>
        <w:t xml:space="preserve">Sujeto Obligado </w:t>
      </w:r>
      <w:r w:rsidRPr="009830DF">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76A31BCB"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b/>
        </w:rPr>
        <w:t>Quinto. Versión Pública.</w:t>
      </w:r>
      <w:r w:rsidRPr="009830DF">
        <w:rPr>
          <w:rFonts w:ascii="Palatino Linotype" w:eastAsia="Palatino Linotype" w:hAnsi="Palatino Linotype" w:cs="Palatino Linotype"/>
          <w:sz w:val="28"/>
          <w:szCs w:val="28"/>
        </w:rPr>
        <w:t xml:space="preserve"> </w:t>
      </w:r>
      <w:r w:rsidRPr="009830DF">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9830DF">
        <w:rPr>
          <w:rFonts w:ascii="Palatino Linotype" w:eastAsia="Palatino Linotype" w:hAnsi="Palatino Linotype" w:cs="Palatino Linotype"/>
          <w:b/>
        </w:rPr>
        <w:t>Sujeto Obligado</w:t>
      </w:r>
      <w:r w:rsidRPr="009830DF">
        <w:rPr>
          <w:rFonts w:ascii="Palatino Linotype" w:eastAsia="Palatino Linotype" w:hAnsi="Palatino Linotype" w:cs="Palatino Linotype"/>
        </w:rPr>
        <w:t xml:space="preserve"> deberá hacer la elaboración de la versión pública de los mismos a fin de satisfacer el derecho de acceso a la información pública de la parte </w:t>
      </w:r>
      <w:r w:rsidRPr="009830DF">
        <w:rPr>
          <w:rFonts w:ascii="Palatino Linotype" w:eastAsia="Palatino Linotype" w:hAnsi="Palatino Linotype" w:cs="Palatino Linotype"/>
          <w:b/>
        </w:rPr>
        <w:t>Recurrente</w:t>
      </w:r>
      <w:r w:rsidRPr="009830DF">
        <w:rPr>
          <w:rFonts w:ascii="Palatino Linotype" w:eastAsia="Palatino Linotype" w:hAnsi="Palatino Linotype" w:cs="Palatino Linotype"/>
        </w:rPr>
        <w:t xml:space="preserve"> sin menoscabo al derecho a la protección de los datos personales de terceros.</w:t>
      </w:r>
    </w:p>
    <w:p w14:paraId="6A6E4489"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Para efectos de la elaboración de la versión pública se deberá observar lo dispuesto por los artículos 3 fracciones IX, XX, XXI y XLV, 91, 132 fracciones II y III, y 143 </w:t>
      </w:r>
      <w:r w:rsidRPr="009830DF">
        <w:rPr>
          <w:rFonts w:ascii="Palatino Linotype" w:eastAsia="Palatino Linotype" w:hAnsi="Palatino Linotype" w:cs="Palatino Linotype"/>
        </w:rPr>
        <w:lastRenderedPageBreak/>
        <w:t>fracción I de la Ley de Transparencia y Acceso a la Información Pública del Estado de México y Municipios que establecen:</w:t>
      </w:r>
    </w:p>
    <w:p w14:paraId="23483D79" w14:textId="77777777" w:rsidR="0018526E" w:rsidRPr="009830DF" w:rsidRDefault="00876F9E">
      <w:pPr>
        <w:spacing w:before="120" w:after="120"/>
        <w:ind w:left="851" w:right="902"/>
        <w:jc w:val="both"/>
        <w:rPr>
          <w:rFonts w:ascii="Palatino Linotype" w:eastAsia="Palatino Linotype" w:hAnsi="Palatino Linotype" w:cs="Palatino Linotype"/>
          <w:i/>
          <w:sz w:val="21"/>
          <w:szCs w:val="21"/>
        </w:rPr>
      </w:pPr>
      <w:r w:rsidRPr="009830DF">
        <w:rPr>
          <w:rFonts w:ascii="Palatino Linotype" w:eastAsia="Palatino Linotype" w:hAnsi="Palatino Linotype" w:cs="Palatino Linotype"/>
          <w:i/>
          <w:sz w:val="21"/>
          <w:szCs w:val="21"/>
        </w:rPr>
        <w:t>“</w:t>
      </w:r>
      <w:r w:rsidRPr="009830DF">
        <w:rPr>
          <w:rFonts w:ascii="Palatino Linotype" w:eastAsia="Palatino Linotype" w:hAnsi="Palatino Linotype" w:cs="Palatino Linotype"/>
          <w:b/>
          <w:i/>
          <w:sz w:val="21"/>
          <w:szCs w:val="21"/>
        </w:rPr>
        <w:t>Artículo 3</w:t>
      </w:r>
      <w:r w:rsidRPr="009830DF">
        <w:rPr>
          <w:rFonts w:ascii="Palatino Linotype" w:eastAsia="Palatino Linotype" w:hAnsi="Palatino Linotype" w:cs="Palatino Linotype"/>
          <w:i/>
          <w:sz w:val="21"/>
          <w:szCs w:val="21"/>
        </w:rPr>
        <w:t>. Para los efectos de la presente Ley se entenderá por:</w:t>
      </w:r>
    </w:p>
    <w:p w14:paraId="256B0E8B" w14:textId="77777777" w:rsidR="0018526E" w:rsidRPr="009830DF" w:rsidRDefault="00876F9E">
      <w:pPr>
        <w:spacing w:before="120" w:after="120"/>
        <w:ind w:left="1134" w:right="902"/>
        <w:jc w:val="both"/>
        <w:rPr>
          <w:rFonts w:ascii="Palatino Linotype" w:eastAsia="Palatino Linotype" w:hAnsi="Palatino Linotype" w:cs="Palatino Linotype"/>
          <w:i/>
          <w:sz w:val="21"/>
          <w:szCs w:val="21"/>
        </w:rPr>
      </w:pPr>
      <w:r w:rsidRPr="009830DF">
        <w:rPr>
          <w:rFonts w:ascii="Palatino Linotype" w:eastAsia="Palatino Linotype" w:hAnsi="Palatino Linotype" w:cs="Palatino Linotype"/>
          <w:i/>
          <w:sz w:val="21"/>
          <w:szCs w:val="21"/>
        </w:rPr>
        <w:t>[…]</w:t>
      </w:r>
    </w:p>
    <w:p w14:paraId="1719BE32" w14:textId="77777777" w:rsidR="0018526E" w:rsidRPr="009830DF" w:rsidRDefault="00876F9E">
      <w:pPr>
        <w:spacing w:before="120" w:after="120"/>
        <w:ind w:left="1134" w:right="902"/>
        <w:jc w:val="both"/>
        <w:rPr>
          <w:rFonts w:ascii="Palatino Linotype" w:eastAsia="Palatino Linotype" w:hAnsi="Palatino Linotype" w:cs="Palatino Linotype"/>
          <w:i/>
          <w:sz w:val="21"/>
          <w:szCs w:val="21"/>
        </w:rPr>
      </w:pPr>
      <w:r w:rsidRPr="009830DF">
        <w:rPr>
          <w:rFonts w:ascii="Palatino Linotype" w:eastAsia="Palatino Linotype" w:hAnsi="Palatino Linotype" w:cs="Palatino Linotype"/>
          <w:b/>
          <w:i/>
          <w:sz w:val="21"/>
          <w:szCs w:val="21"/>
        </w:rPr>
        <w:t>IX. Datos personales</w:t>
      </w:r>
      <w:r w:rsidRPr="009830DF">
        <w:rPr>
          <w:rFonts w:ascii="Palatino Linotype" w:eastAsia="Palatino Linotype" w:hAnsi="Palatino Linotype" w:cs="Palatino Linotype"/>
          <w:i/>
          <w:sz w:val="21"/>
          <w:szCs w:val="21"/>
        </w:rPr>
        <w:t xml:space="preserve">: La información concerniente a una persona, identificada o identificable según lo dispuesto por la Ley de Protección de Datos Personales del Estado de México; </w:t>
      </w:r>
    </w:p>
    <w:p w14:paraId="51A23385" w14:textId="77777777" w:rsidR="0018526E" w:rsidRPr="009830DF" w:rsidRDefault="00876F9E">
      <w:pPr>
        <w:spacing w:before="120" w:after="120"/>
        <w:ind w:left="1134" w:right="902"/>
        <w:jc w:val="both"/>
        <w:rPr>
          <w:rFonts w:ascii="Palatino Linotype" w:eastAsia="Palatino Linotype" w:hAnsi="Palatino Linotype" w:cs="Palatino Linotype"/>
          <w:i/>
          <w:sz w:val="21"/>
          <w:szCs w:val="21"/>
        </w:rPr>
      </w:pPr>
      <w:r w:rsidRPr="009830DF">
        <w:rPr>
          <w:rFonts w:ascii="Palatino Linotype" w:eastAsia="Palatino Linotype" w:hAnsi="Palatino Linotype" w:cs="Palatino Linotype"/>
          <w:b/>
          <w:i/>
          <w:sz w:val="21"/>
          <w:szCs w:val="21"/>
        </w:rPr>
        <w:t>XX. Información clasificada</w:t>
      </w:r>
      <w:r w:rsidRPr="009830DF">
        <w:rPr>
          <w:rFonts w:ascii="Palatino Linotype" w:eastAsia="Palatino Linotype" w:hAnsi="Palatino Linotype" w:cs="Palatino Linotype"/>
          <w:i/>
          <w:sz w:val="21"/>
          <w:szCs w:val="21"/>
        </w:rPr>
        <w:t>: Aquella considerada por la presente Ley como reservada o confidencial;</w:t>
      </w:r>
    </w:p>
    <w:p w14:paraId="569F475D" w14:textId="77777777" w:rsidR="0018526E" w:rsidRPr="009830DF" w:rsidRDefault="00876F9E">
      <w:pPr>
        <w:spacing w:before="120" w:after="120"/>
        <w:ind w:left="1134" w:right="902"/>
        <w:jc w:val="both"/>
        <w:rPr>
          <w:rFonts w:ascii="Palatino Linotype" w:eastAsia="Palatino Linotype" w:hAnsi="Palatino Linotype" w:cs="Palatino Linotype"/>
          <w:i/>
          <w:sz w:val="21"/>
          <w:szCs w:val="21"/>
        </w:rPr>
      </w:pPr>
      <w:r w:rsidRPr="009830DF">
        <w:rPr>
          <w:rFonts w:ascii="Palatino Linotype" w:eastAsia="Palatino Linotype" w:hAnsi="Palatino Linotype" w:cs="Palatino Linotype"/>
          <w:b/>
          <w:i/>
          <w:sz w:val="21"/>
          <w:szCs w:val="21"/>
        </w:rPr>
        <w:t>XXI. Información confidencial</w:t>
      </w:r>
      <w:r w:rsidRPr="009830DF">
        <w:rPr>
          <w:rFonts w:ascii="Palatino Linotype" w:eastAsia="Palatino Linotype" w:hAnsi="Palatino Linotype" w:cs="Palatino Linotype"/>
          <w:i/>
          <w:sz w:val="21"/>
          <w:szCs w:val="21"/>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78190A7" w14:textId="77777777" w:rsidR="0018526E" w:rsidRPr="009830DF" w:rsidRDefault="00876F9E">
      <w:pPr>
        <w:spacing w:before="120" w:after="120"/>
        <w:ind w:left="1134" w:right="902"/>
        <w:jc w:val="both"/>
        <w:rPr>
          <w:rFonts w:ascii="Palatino Linotype" w:eastAsia="Palatino Linotype" w:hAnsi="Palatino Linotype" w:cs="Palatino Linotype"/>
          <w:i/>
          <w:sz w:val="21"/>
          <w:szCs w:val="21"/>
        </w:rPr>
      </w:pPr>
      <w:r w:rsidRPr="009830DF">
        <w:rPr>
          <w:rFonts w:ascii="Palatino Linotype" w:eastAsia="Palatino Linotype" w:hAnsi="Palatino Linotype" w:cs="Palatino Linotype"/>
          <w:b/>
          <w:i/>
          <w:sz w:val="21"/>
          <w:szCs w:val="21"/>
        </w:rPr>
        <w:t>XLV. Versión pública</w:t>
      </w:r>
      <w:r w:rsidRPr="009830DF">
        <w:rPr>
          <w:rFonts w:ascii="Palatino Linotype" w:eastAsia="Palatino Linotype" w:hAnsi="Palatino Linotype" w:cs="Palatino Linotype"/>
          <w:i/>
          <w:sz w:val="21"/>
          <w:szCs w:val="21"/>
        </w:rPr>
        <w:t>: Documento en el que se elimine, suprime o borra la información clasificada como reservada o confidencial para permitir su acceso.</w:t>
      </w:r>
    </w:p>
    <w:p w14:paraId="009736A8" w14:textId="77777777" w:rsidR="0018526E" w:rsidRPr="009830DF" w:rsidRDefault="00876F9E">
      <w:pPr>
        <w:spacing w:before="120" w:after="120"/>
        <w:ind w:left="851" w:right="902"/>
        <w:jc w:val="both"/>
        <w:rPr>
          <w:rFonts w:ascii="Palatino Linotype" w:eastAsia="Palatino Linotype" w:hAnsi="Palatino Linotype" w:cs="Palatino Linotype"/>
          <w:i/>
          <w:sz w:val="21"/>
          <w:szCs w:val="21"/>
        </w:rPr>
      </w:pPr>
      <w:r w:rsidRPr="009830DF">
        <w:rPr>
          <w:rFonts w:ascii="Palatino Linotype" w:eastAsia="Palatino Linotype" w:hAnsi="Palatino Linotype" w:cs="Palatino Linotype"/>
          <w:i/>
          <w:sz w:val="21"/>
          <w:szCs w:val="21"/>
        </w:rPr>
        <w:t>[…]</w:t>
      </w:r>
    </w:p>
    <w:p w14:paraId="4418724B" w14:textId="77777777" w:rsidR="0018526E" w:rsidRPr="009830DF" w:rsidRDefault="00876F9E">
      <w:pPr>
        <w:spacing w:before="120" w:after="120"/>
        <w:ind w:left="851" w:right="902"/>
        <w:jc w:val="both"/>
        <w:rPr>
          <w:rFonts w:ascii="Palatino Linotype" w:eastAsia="Palatino Linotype" w:hAnsi="Palatino Linotype" w:cs="Palatino Linotype"/>
          <w:i/>
          <w:sz w:val="21"/>
          <w:szCs w:val="21"/>
        </w:rPr>
      </w:pPr>
      <w:r w:rsidRPr="009830DF">
        <w:rPr>
          <w:rFonts w:ascii="Palatino Linotype" w:eastAsia="Palatino Linotype" w:hAnsi="Palatino Linotype" w:cs="Palatino Linotype"/>
          <w:b/>
          <w:i/>
          <w:sz w:val="21"/>
          <w:szCs w:val="21"/>
        </w:rPr>
        <w:t>Artículo 91.</w:t>
      </w:r>
      <w:r w:rsidRPr="009830DF">
        <w:rPr>
          <w:rFonts w:ascii="Palatino Linotype" w:eastAsia="Palatino Linotype" w:hAnsi="Palatino Linotype" w:cs="Palatino Linotype"/>
          <w:i/>
          <w:sz w:val="21"/>
          <w:szCs w:val="21"/>
        </w:rPr>
        <w:t xml:space="preserve"> El acceso a la información pública será restringido excepcionalmente, cuando ésta sea clasificada como reservada o confidencial.</w:t>
      </w:r>
    </w:p>
    <w:p w14:paraId="78E587FA" w14:textId="77777777" w:rsidR="0018526E" w:rsidRPr="009830DF" w:rsidRDefault="00876F9E">
      <w:pPr>
        <w:spacing w:before="120" w:after="120"/>
        <w:ind w:left="851" w:right="902"/>
        <w:jc w:val="both"/>
        <w:rPr>
          <w:rFonts w:ascii="Palatino Linotype" w:eastAsia="Palatino Linotype" w:hAnsi="Palatino Linotype" w:cs="Palatino Linotype"/>
          <w:i/>
          <w:sz w:val="21"/>
          <w:szCs w:val="21"/>
        </w:rPr>
      </w:pPr>
      <w:r w:rsidRPr="009830DF">
        <w:rPr>
          <w:rFonts w:ascii="Palatino Linotype" w:eastAsia="Palatino Linotype" w:hAnsi="Palatino Linotype" w:cs="Palatino Linotype"/>
          <w:b/>
          <w:i/>
          <w:sz w:val="21"/>
          <w:szCs w:val="21"/>
        </w:rPr>
        <w:t>Artículo 132</w:t>
      </w:r>
      <w:r w:rsidRPr="009830DF">
        <w:rPr>
          <w:rFonts w:ascii="Palatino Linotype" w:eastAsia="Palatino Linotype" w:hAnsi="Palatino Linotype" w:cs="Palatino Linotype"/>
          <w:i/>
          <w:sz w:val="21"/>
          <w:szCs w:val="21"/>
        </w:rPr>
        <w:t>. La clasificación de la información se llevará a cabo en el momento en que:</w:t>
      </w:r>
    </w:p>
    <w:p w14:paraId="189E7A3C" w14:textId="77777777" w:rsidR="0018526E" w:rsidRPr="009830DF" w:rsidRDefault="00876F9E">
      <w:pPr>
        <w:spacing w:before="120" w:after="120"/>
        <w:ind w:left="1134" w:right="902"/>
        <w:jc w:val="both"/>
        <w:rPr>
          <w:rFonts w:ascii="Palatino Linotype" w:eastAsia="Palatino Linotype" w:hAnsi="Palatino Linotype" w:cs="Palatino Linotype"/>
          <w:i/>
          <w:sz w:val="21"/>
          <w:szCs w:val="21"/>
        </w:rPr>
      </w:pPr>
      <w:r w:rsidRPr="009830DF">
        <w:rPr>
          <w:rFonts w:ascii="Palatino Linotype" w:eastAsia="Palatino Linotype" w:hAnsi="Palatino Linotype" w:cs="Palatino Linotype"/>
          <w:b/>
          <w:i/>
          <w:sz w:val="21"/>
          <w:szCs w:val="21"/>
        </w:rPr>
        <w:t>I.</w:t>
      </w:r>
      <w:r w:rsidRPr="009830DF">
        <w:rPr>
          <w:rFonts w:ascii="Palatino Linotype" w:eastAsia="Palatino Linotype" w:hAnsi="Palatino Linotype" w:cs="Palatino Linotype"/>
          <w:i/>
          <w:sz w:val="21"/>
          <w:szCs w:val="21"/>
        </w:rPr>
        <w:t xml:space="preserve"> Se reciba una solicitud de acceso a la información;</w:t>
      </w:r>
    </w:p>
    <w:p w14:paraId="12C3FF61" w14:textId="77777777" w:rsidR="0018526E" w:rsidRPr="009830DF" w:rsidRDefault="00876F9E">
      <w:pPr>
        <w:spacing w:before="120" w:after="120"/>
        <w:ind w:left="1134" w:right="902"/>
        <w:jc w:val="both"/>
        <w:rPr>
          <w:rFonts w:ascii="Palatino Linotype" w:eastAsia="Palatino Linotype" w:hAnsi="Palatino Linotype" w:cs="Palatino Linotype"/>
          <w:i/>
          <w:sz w:val="21"/>
          <w:szCs w:val="21"/>
        </w:rPr>
      </w:pPr>
      <w:r w:rsidRPr="009830DF">
        <w:rPr>
          <w:rFonts w:ascii="Palatino Linotype" w:eastAsia="Palatino Linotype" w:hAnsi="Palatino Linotype" w:cs="Palatino Linotype"/>
          <w:b/>
          <w:i/>
          <w:sz w:val="21"/>
          <w:szCs w:val="21"/>
        </w:rPr>
        <w:t>II.</w:t>
      </w:r>
      <w:r w:rsidRPr="009830DF">
        <w:rPr>
          <w:rFonts w:ascii="Palatino Linotype" w:eastAsia="Palatino Linotype" w:hAnsi="Palatino Linotype" w:cs="Palatino Linotype"/>
          <w:i/>
          <w:sz w:val="21"/>
          <w:szCs w:val="21"/>
        </w:rPr>
        <w:t xml:space="preserve"> Se determine mediante resolución de autoridad competente; o</w:t>
      </w:r>
    </w:p>
    <w:p w14:paraId="0428ECD5" w14:textId="77777777" w:rsidR="0018526E" w:rsidRPr="009830DF" w:rsidRDefault="00876F9E">
      <w:pPr>
        <w:spacing w:before="120" w:after="120"/>
        <w:ind w:left="1134" w:right="902"/>
        <w:jc w:val="both"/>
        <w:rPr>
          <w:rFonts w:ascii="Palatino Linotype" w:eastAsia="Palatino Linotype" w:hAnsi="Palatino Linotype" w:cs="Palatino Linotype"/>
          <w:i/>
          <w:sz w:val="21"/>
          <w:szCs w:val="21"/>
        </w:rPr>
      </w:pPr>
      <w:r w:rsidRPr="009830DF">
        <w:rPr>
          <w:rFonts w:ascii="Palatino Linotype" w:eastAsia="Palatino Linotype" w:hAnsi="Palatino Linotype" w:cs="Palatino Linotype"/>
          <w:b/>
          <w:i/>
          <w:sz w:val="21"/>
          <w:szCs w:val="21"/>
        </w:rPr>
        <w:t>III.</w:t>
      </w:r>
      <w:r w:rsidRPr="009830DF">
        <w:rPr>
          <w:rFonts w:ascii="Palatino Linotype" w:eastAsia="Palatino Linotype" w:hAnsi="Palatino Linotype" w:cs="Palatino Linotype"/>
          <w:i/>
          <w:sz w:val="21"/>
          <w:szCs w:val="21"/>
        </w:rPr>
        <w:t xml:space="preserve"> Se generen versiones públicas para dar cumplimiento a las obligaciones de transparencia previstas en esta Ley.</w:t>
      </w:r>
    </w:p>
    <w:p w14:paraId="31124A86" w14:textId="77777777" w:rsidR="0018526E" w:rsidRPr="009830DF" w:rsidRDefault="00876F9E">
      <w:pPr>
        <w:spacing w:before="120" w:after="120"/>
        <w:ind w:left="851" w:right="902"/>
        <w:jc w:val="both"/>
        <w:rPr>
          <w:rFonts w:ascii="Palatino Linotype" w:eastAsia="Palatino Linotype" w:hAnsi="Palatino Linotype" w:cs="Palatino Linotype"/>
          <w:i/>
          <w:sz w:val="21"/>
          <w:szCs w:val="21"/>
        </w:rPr>
      </w:pPr>
      <w:r w:rsidRPr="009830DF">
        <w:rPr>
          <w:rFonts w:ascii="Palatino Linotype" w:eastAsia="Palatino Linotype" w:hAnsi="Palatino Linotype" w:cs="Palatino Linotype"/>
          <w:i/>
          <w:sz w:val="21"/>
          <w:szCs w:val="21"/>
        </w:rPr>
        <w:t>[…]</w:t>
      </w:r>
    </w:p>
    <w:p w14:paraId="25C1B16D" w14:textId="77777777" w:rsidR="0018526E" w:rsidRPr="009830DF" w:rsidRDefault="00876F9E">
      <w:pPr>
        <w:spacing w:before="120" w:after="120"/>
        <w:ind w:left="851" w:right="902"/>
        <w:jc w:val="both"/>
        <w:rPr>
          <w:rFonts w:ascii="Palatino Linotype" w:eastAsia="Palatino Linotype" w:hAnsi="Palatino Linotype" w:cs="Palatino Linotype"/>
          <w:i/>
          <w:sz w:val="21"/>
          <w:szCs w:val="21"/>
        </w:rPr>
      </w:pPr>
      <w:r w:rsidRPr="009830DF">
        <w:rPr>
          <w:rFonts w:ascii="Palatino Linotype" w:eastAsia="Palatino Linotype" w:hAnsi="Palatino Linotype" w:cs="Palatino Linotype"/>
          <w:b/>
          <w:i/>
          <w:sz w:val="21"/>
          <w:szCs w:val="21"/>
        </w:rPr>
        <w:t>Artículo 143.</w:t>
      </w:r>
      <w:r w:rsidRPr="009830DF">
        <w:rPr>
          <w:rFonts w:ascii="Palatino Linotype" w:eastAsia="Palatino Linotype" w:hAnsi="Palatino Linotype" w:cs="Palatino Linotype"/>
          <w:i/>
          <w:sz w:val="21"/>
          <w:szCs w:val="21"/>
        </w:rPr>
        <w:t xml:space="preserve"> Para los efectos de esta Ley se considera información confidencial, la clasificada como tal, de manera permanente, por su naturaleza, cuando:</w:t>
      </w:r>
    </w:p>
    <w:p w14:paraId="12C065A9" w14:textId="77777777" w:rsidR="0018526E" w:rsidRPr="009830DF" w:rsidRDefault="00876F9E">
      <w:pPr>
        <w:spacing w:before="120" w:after="120"/>
        <w:ind w:left="1134" w:right="902"/>
        <w:jc w:val="both"/>
        <w:rPr>
          <w:rFonts w:ascii="Palatino Linotype" w:eastAsia="Palatino Linotype" w:hAnsi="Palatino Linotype" w:cs="Palatino Linotype"/>
          <w:i/>
          <w:sz w:val="21"/>
          <w:szCs w:val="21"/>
        </w:rPr>
      </w:pPr>
      <w:r w:rsidRPr="009830DF">
        <w:rPr>
          <w:rFonts w:ascii="Palatino Linotype" w:eastAsia="Palatino Linotype" w:hAnsi="Palatino Linotype" w:cs="Palatino Linotype"/>
          <w:b/>
          <w:i/>
          <w:sz w:val="21"/>
          <w:szCs w:val="21"/>
        </w:rPr>
        <w:t>I.</w:t>
      </w:r>
      <w:r w:rsidRPr="009830DF">
        <w:rPr>
          <w:rFonts w:ascii="Palatino Linotype" w:eastAsia="Palatino Linotype" w:hAnsi="Palatino Linotype" w:cs="Palatino Linotype"/>
          <w:i/>
          <w:sz w:val="21"/>
          <w:szCs w:val="21"/>
        </w:rPr>
        <w:t xml:space="preserve"> Se refiera a la información privada y los datos personales concernientes a una persona física o jurídico colectiva identificada o identificable;</w:t>
      </w:r>
    </w:p>
    <w:p w14:paraId="7A08CDAC" w14:textId="77777777" w:rsidR="0018526E" w:rsidRPr="009830DF" w:rsidRDefault="00876F9E">
      <w:pPr>
        <w:spacing w:before="120" w:after="120"/>
        <w:ind w:left="1134" w:right="902"/>
        <w:jc w:val="both"/>
        <w:rPr>
          <w:rFonts w:ascii="Palatino Linotype" w:eastAsia="Palatino Linotype" w:hAnsi="Palatino Linotype" w:cs="Palatino Linotype"/>
          <w:i/>
          <w:sz w:val="21"/>
          <w:szCs w:val="21"/>
        </w:rPr>
      </w:pPr>
      <w:r w:rsidRPr="009830DF">
        <w:rPr>
          <w:rFonts w:ascii="Palatino Linotype" w:eastAsia="Palatino Linotype" w:hAnsi="Palatino Linotype" w:cs="Palatino Linotype"/>
          <w:b/>
          <w:i/>
          <w:sz w:val="21"/>
          <w:szCs w:val="21"/>
        </w:rPr>
        <w:t>II.</w:t>
      </w:r>
      <w:r w:rsidRPr="009830DF">
        <w:rPr>
          <w:rFonts w:ascii="Palatino Linotype" w:eastAsia="Palatino Linotype" w:hAnsi="Palatino Linotype" w:cs="Palatino Linotype"/>
          <w:i/>
          <w:sz w:val="21"/>
          <w:szCs w:val="21"/>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EC7320D" w14:textId="77777777" w:rsidR="0018526E" w:rsidRPr="009830DF" w:rsidRDefault="00876F9E">
      <w:pPr>
        <w:spacing w:before="120" w:after="120"/>
        <w:ind w:left="1134" w:right="902"/>
        <w:jc w:val="both"/>
        <w:rPr>
          <w:rFonts w:ascii="Palatino Linotype" w:eastAsia="Palatino Linotype" w:hAnsi="Palatino Linotype" w:cs="Palatino Linotype"/>
          <w:i/>
          <w:sz w:val="21"/>
          <w:szCs w:val="21"/>
        </w:rPr>
      </w:pPr>
      <w:r w:rsidRPr="009830DF">
        <w:rPr>
          <w:rFonts w:ascii="Palatino Linotype" w:eastAsia="Palatino Linotype" w:hAnsi="Palatino Linotype" w:cs="Palatino Linotype"/>
          <w:b/>
          <w:i/>
          <w:sz w:val="21"/>
          <w:szCs w:val="21"/>
        </w:rPr>
        <w:lastRenderedPageBreak/>
        <w:t>III.</w:t>
      </w:r>
      <w:r w:rsidRPr="009830DF">
        <w:rPr>
          <w:rFonts w:ascii="Palatino Linotype" w:eastAsia="Palatino Linotype" w:hAnsi="Palatino Linotype" w:cs="Palatino Linotype"/>
          <w:i/>
          <w:sz w:val="21"/>
          <w:szCs w:val="21"/>
        </w:rPr>
        <w:t xml:space="preserve"> La que presenten los particulares a los sujetos obligados, de conformidad con lo dispuesto por las leyes o los tratados internacionales.</w:t>
      </w:r>
    </w:p>
    <w:p w14:paraId="7AD7EC38" w14:textId="77777777" w:rsidR="0018526E" w:rsidRPr="009830DF" w:rsidRDefault="00876F9E">
      <w:pPr>
        <w:spacing w:before="120" w:after="120"/>
        <w:ind w:left="851" w:right="902"/>
        <w:jc w:val="both"/>
        <w:rPr>
          <w:rFonts w:ascii="Palatino Linotype" w:eastAsia="Palatino Linotype" w:hAnsi="Palatino Linotype" w:cs="Palatino Linotype"/>
          <w:i/>
          <w:sz w:val="21"/>
          <w:szCs w:val="21"/>
        </w:rPr>
      </w:pPr>
      <w:r w:rsidRPr="009830DF">
        <w:rPr>
          <w:rFonts w:ascii="Palatino Linotype" w:eastAsia="Palatino Linotype" w:hAnsi="Palatino Linotype" w:cs="Palatino Linotype"/>
          <w:i/>
          <w:sz w:val="21"/>
          <w:szCs w:val="21"/>
        </w:rPr>
        <w:t>La información confidencial no estará sujeta a temporalidad alguna y sólo podrán tener acceso a ella los titulares de la misma, sus representantes y los servidores públicos facultados para ello.</w:t>
      </w:r>
    </w:p>
    <w:p w14:paraId="488E15D5" w14:textId="77777777" w:rsidR="0018526E" w:rsidRPr="009830DF" w:rsidRDefault="00876F9E">
      <w:pPr>
        <w:spacing w:before="120" w:after="120"/>
        <w:ind w:left="851" w:right="902"/>
        <w:jc w:val="both"/>
        <w:rPr>
          <w:rFonts w:ascii="Palatino Linotype" w:eastAsia="Palatino Linotype" w:hAnsi="Palatino Linotype" w:cs="Palatino Linotype"/>
          <w:i/>
          <w:sz w:val="21"/>
          <w:szCs w:val="21"/>
        </w:rPr>
      </w:pPr>
      <w:r w:rsidRPr="009830DF">
        <w:rPr>
          <w:rFonts w:ascii="Palatino Linotype" w:eastAsia="Palatino Linotype" w:hAnsi="Palatino Linotype" w:cs="Palatino Linotype"/>
          <w:i/>
          <w:sz w:val="21"/>
          <w:szCs w:val="21"/>
        </w:rPr>
        <w:t>No se considerará confidencial la información que se encuentre en los registros públicos o en fuentes de acceso público, ni tampoco la que sea considerada por la presente ley como información pública.”</w:t>
      </w:r>
    </w:p>
    <w:p w14:paraId="0DE85F07"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692506F"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56247156"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r w:rsidRPr="009830DF">
        <w:rPr>
          <w:rFonts w:ascii="Palatino Linotype" w:eastAsia="Palatino Linotype" w:hAnsi="Palatino Linotype" w:cs="Palatino Linotype"/>
          <w:b/>
          <w:i/>
          <w:sz w:val="22"/>
          <w:szCs w:val="22"/>
        </w:rPr>
        <w:t>Quincuagésimo sexto.</w:t>
      </w:r>
      <w:r w:rsidRPr="009830DF">
        <w:rPr>
          <w:rFonts w:ascii="Palatino Linotype" w:eastAsia="Palatino Linotype" w:hAnsi="Palatino Linotype" w:cs="Palatino Linotype"/>
          <w:i/>
          <w:sz w:val="22"/>
          <w:szCs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F1CE73A"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Quincuagésimo séptimo.</w:t>
      </w:r>
      <w:r w:rsidRPr="009830DF">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DF86FF"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w:t>
      </w:r>
      <w:r w:rsidRPr="009830DF">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44A9FD4"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lastRenderedPageBreak/>
        <w:t>II.</w:t>
      </w:r>
      <w:r w:rsidRPr="009830DF">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6DE274E2" w14:textId="77777777" w:rsidR="0018526E" w:rsidRPr="009830DF" w:rsidRDefault="00876F9E">
      <w:pPr>
        <w:spacing w:before="120" w:after="120"/>
        <w:ind w:left="1134"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III.</w:t>
      </w:r>
      <w:r w:rsidRPr="009830DF">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23AAFF75"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9830DF">
        <w:rPr>
          <w:rFonts w:ascii="Palatino Linotype" w:eastAsia="Palatino Linotype" w:hAnsi="Palatino Linotype" w:cs="Palatino Linotype"/>
          <w:i/>
          <w:sz w:val="22"/>
          <w:szCs w:val="22"/>
        </w:rPr>
        <w:t>internaciones suscritos</w:t>
      </w:r>
      <w:proofErr w:type="gramEnd"/>
      <w:r w:rsidRPr="009830DF">
        <w:rPr>
          <w:rFonts w:ascii="Palatino Linotype" w:eastAsia="Palatino Linotype" w:hAnsi="Palatino Linotype" w:cs="Palatino Linotype"/>
          <w:i/>
          <w:sz w:val="22"/>
          <w:szCs w:val="22"/>
        </w:rPr>
        <w:t xml:space="preserve"> por el Estado mexicano. </w:t>
      </w:r>
    </w:p>
    <w:p w14:paraId="721700FF"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Quincuagésimo octavo</w:t>
      </w:r>
      <w:r w:rsidRPr="009830DF">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778E1A23"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la fecha de nacimiento, lugar de nacimiento, edad, estado civil, domicilio, clave de elector, numero de OCR, CURP, fotografía, el número de cuenta bancaria, que sean exclusivamente de particulares, entre otros, entre otros.</w:t>
      </w:r>
    </w:p>
    <w:p w14:paraId="218DB950"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La </w:t>
      </w:r>
      <w:r w:rsidRPr="009830DF">
        <w:rPr>
          <w:rFonts w:ascii="Palatino Linotype" w:eastAsia="Palatino Linotype" w:hAnsi="Palatino Linotype" w:cs="Palatino Linotype"/>
          <w:i/>
        </w:rPr>
        <w:t xml:space="preserve">fecha de nacimiento, </w:t>
      </w:r>
      <w:r w:rsidRPr="009830DF">
        <w:rPr>
          <w:rFonts w:ascii="Palatino Linotype" w:eastAsia="Palatino Linotype" w:hAnsi="Palatino Linotype" w:cs="Palatino Linotype"/>
        </w:rPr>
        <w:t>dato o referencia del alumbramiento de una persona, su publicidad permitiría determinar el tiempo que ha vivido su titular; al ser por ello un dato personal que incide en la esfera privada de las personas, requiere de su protección.</w:t>
      </w:r>
    </w:p>
    <w:p w14:paraId="550AEAA2" w14:textId="77777777" w:rsidR="0018526E" w:rsidRPr="009830DF" w:rsidRDefault="00876F9E">
      <w:pPr>
        <w:spacing w:before="240" w:after="240" w:line="360" w:lineRule="auto"/>
        <w:jc w:val="both"/>
        <w:rPr>
          <w:rFonts w:ascii="Palatino Linotype" w:eastAsia="Palatino Linotype" w:hAnsi="Palatino Linotype" w:cs="Palatino Linotype"/>
          <w:i/>
        </w:rPr>
      </w:pPr>
      <w:r w:rsidRPr="009830DF">
        <w:rPr>
          <w:rFonts w:ascii="Palatino Linotype" w:eastAsia="Palatino Linotype" w:hAnsi="Palatino Linotype" w:cs="Palatino Linotype"/>
        </w:rPr>
        <w:lastRenderedPageBreak/>
        <w:t xml:space="preserve">El </w:t>
      </w:r>
      <w:r w:rsidRPr="009830DF">
        <w:rPr>
          <w:rFonts w:ascii="Palatino Linotype" w:eastAsia="Palatino Linotype" w:hAnsi="Palatino Linotype" w:cs="Palatino Linotype"/>
          <w:i/>
        </w:rPr>
        <w:t xml:space="preserve">lugar de nacimiento </w:t>
      </w:r>
      <w:r w:rsidRPr="009830DF">
        <w:rPr>
          <w:rFonts w:ascii="Palatino Linotype" w:eastAsia="Palatino Linotype" w:hAnsi="Palatino Linotype" w:cs="Palatino Linotype"/>
        </w:rPr>
        <w:t>revelaría el estado o país del cual es originario un individuo, lo que permitiría relacionar a una persona física identificada con su origen geográfico o territorial, por lo que se afectaría la intimidad de la persona titular de los mismos</w:t>
      </w:r>
      <w:r w:rsidRPr="009830DF">
        <w:rPr>
          <w:rFonts w:ascii="Palatino Linotype" w:eastAsia="Palatino Linotype" w:hAnsi="Palatino Linotype" w:cs="Palatino Linotype"/>
          <w:i/>
        </w:rPr>
        <w:t>.</w:t>
      </w:r>
    </w:p>
    <w:p w14:paraId="1ED82803"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La </w:t>
      </w:r>
      <w:r w:rsidRPr="009830DF">
        <w:rPr>
          <w:rFonts w:ascii="Palatino Linotype" w:eastAsia="Palatino Linotype" w:hAnsi="Palatino Linotype" w:cs="Palatino Linotype"/>
          <w:i/>
        </w:rPr>
        <w:t>edad</w:t>
      </w:r>
      <w:r w:rsidRPr="009830DF">
        <w:rPr>
          <w:rFonts w:ascii="Palatino Linotype" w:eastAsia="Palatino Linotype" w:hAnsi="Palatino Linotype" w:cs="Palatino Linotype"/>
        </w:rPr>
        <w:t>, se refiere a la información natural del tiempo que ha vivido una persona, que por su propia naturaleza incide en la esfera privada la misma; si el dato corresponde a los años cumplidos por una persona física identificable, o si en el caso, a través de su composición por la referencia o data en que ocurrió el nacimiento, o meramente el año de registro, se actualiza la necesidad de protección al ser un dato personal.</w:t>
      </w:r>
    </w:p>
    <w:p w14:paraId="6583C8CA"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El </w:t>
      </w:r>
      <w:r w:rsidRPr="009830DF">
        <w:rPr>
          <w:rFonts w:ascii="Palatino Linotype" w:eastAsia="Palatino Linotype" w:hAnsi="Palatino Linotype" w:cs="Palatino Linotype"/>
          <w:i/>
        </w:rPr>
        <w:t xml:space="preserve">domicilio </w:t>
      </w:r>
      <w:r w:rsidRPr="009830DF">
        <w:rPr>
          <w:rFonts w:ascii="Palatino Linotype" w:eastAsia="Palatino Linotype" w:hAnsi="Palatino Linotype" w:cs="Palatino Linotype"/>
        </w:rPr>
        <w:t>al ser el lugar en donde reside habitualmente una persona física, constituye un dato personal y, por ende, confidencial, ya que su difusión podría afectar la esfera privada de la misma. Dicha información se considera confidencial, en virtud de tratarse de datos personales que reflejan cuestiones de la vida privada de las personas.</w:t>
      </w:r>
    </w:p>
    <w:p w14:paraId="0BBAD516"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La </w:t>
      </w:r>
      <w:r w:rsidRPr="009830DF">
        <w:rPr>
          <w:rFonts w:ascii="Palatino Linotype" w:eastAsia="Palatino Linotype" w:hAnsi="Palatino Linotype" w:cs="Palatino Linotype"/>
          <w:i/>
        </w:rPr>
        <w:t>clave de elector</w:t>
      </w:r>
      <w:r w:rsidRPr="009830DF">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9830DF">
        <w:rPr>
          <w:rFonts w:ascii="Palatino Linotype" w:eastAsia="Palatino Linotype" w:hAnsi="Palatino Linotype" w:cs="Palatino Linotype"/>
        </w:rPr>
        <w:t>homoclave</w:t>
      </w:r>
      <w:proofErr w:type="spellEnd"/>
      <w:r w:rsidRPr="009830DF">
        <w:rPr>
          <w:rFonts w:ascii="Palatino Linotype" w:eastAsia="Palatino Linotype" w:hAnsi="Palatino Linotype" w:cs="Palatino Linotype"/>
        </w:rPr>
        <w:t xml:space="preserve"> que distingue a su titular de cualquier otro homónimo, por lo tanto, se trata de un dato personal que debe ser protegido.</w:t>
      </w:r>
    </w:p>
    <w:p w14:paraId="198D6F75"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El </w:t>
      </w:r>
      <w:r w:rsidRPr="009830DF">
        <w:rPr>
          <w:rFonts w:ascii="Palatino Linotype" w:eastAsia="Palatino Linotype" w:hAnsi="Palatino Linotype" w:cs="Palatino Linotype"/>
          <w:i/>
        </w:rPr>
        <w:t>número de OCR</w:t>
      </w:r>
      <w:r w:rsidRPr="009830DF">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w:t>
      </w:r>
      <w:r w:rsidRPr="009830DF">
        <w:rPr>
          <w:rFonts w:ascii="Palatino Linotype" w:eastAsia="Palatino Linotype" w:hAnsi="Palatino Linotype" w:cs="Palatino Linotype"/>
        </w:rPr>
        <w:lastRenderedPageBreak/>
        <w:t xml:space="preserve">información concerniente a una persona física identificada o identificable en función de la información </w:t>
      </w:r>
      <w:proofErr w:type="spellStart"/>
      <w:r w:rsidRPr="009830DF">
        <w:rPr>
          <w:rFonts w:ascii="Palatino Linotype" w:eastAsia="Palatino Linotype" w:hAnsi="Palatino Linotype" w:cs="Palatino Linotype"/>
        </w:rPr>
        <w:t>geoelectoral</w:t>
      </w:r>
      <w:proofErr w:type="spellEnd"/>
      <w:r w:rsidRPr="009830DF">
        <w:rPr>
          <w:rFonts w:ascii="Palatino Linotype" w:eastAsia="Palatino Linotype" w:hAnsi="Palatino Linotype" w:cs="Palatino Linotype"/>
        </w:rPr>
        <w:t xml:space="preserve"> ahí contenida, por lo que es susceptible de resguardarse.</w:t>
      </w:r>
    </w:p>
    <w:p w14:paraId="61F99366"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La </w:t>
      </w:r>
      <w:r w:rsidRPr="009830DF">
        <w:rPr>
          <w:rFonts w:ascii="Palatino Linotype" w:eastAsia="Palatino Linotype" w:hAnsi="Palatino Linotype" w:cs="Palatino Linotype"/>
          <w:i/>
        </w:rPr>
        <w:t xml:space="preserve">clave única del registro de población, </w:t>
      </w:r>
      <w:r w:rsidRPr="009830DF">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3E989D3A"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Respecto a la </w:t>
      </w:r>
      <w:r w:rsidRPr="009830DF">
        <w:rPr>
          <w:rFonts w:ascii="Palatino Linotype" w:eastAsia="Palatino Linotype" w:hAnsi="Palatino Linotype" w:cs="Palatino Linotype"/>
          <w:i/>
        </w:rPr>
        <w:t xml:space="preserve">fotografía, </w:t>
      </w:r>
      <w:r w:rsidRPr="009830DF">
        <w:rPr>
          <w:rFonts w:ascii="Palatino Linotype" w:eastAsia="Palatino Linotype" w:hAnsi="Palatino Linotype" w:cs="Palatino Linotype"/>
        </w:rPr>
        <w:t>constituye la reproducción fiel de la imagen de una persona, obtenida en papel a través de la impresión en un rollo o placa por medio de cámara fotográfica, o en formato digital. En este sentido, la fotografía constituye el primer elemento de la esfera personal de todo individuo, en cuanto instrumento básico de identificación y proyección exterior y factor imprescindible para su propio reconocimiento como sujeto individual; por lo tanto, es un dato personal.</w:t>
      </w:r>
    </w:p>
    <w:p w14:paraId="7FD4867E" w14:textId="77777777" w:rsidR="0018526E" w:rsidRPr="009830DF" w:rsidRDefault="00876F9E">
      <w:pPr>
        <w:spacing w:before="240" w:after="240" w:line="360" w:lineRule="auto"/>
        <w:ind w:right="50"/>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Igualmente, resulta importante destacar que el </w:t>
      </w:r>
      <w:r w:rsidRPr="009830DF">
        <w:rPr>
          <w:rFonts w:ascii="Palatino Linotype" w:eastAsia="Palatino Linotype" w:hAnsi="Palatino Linotype" w:cs="Palatino Linotype"/>
          <w:i/>
        </w:rPr>
        <w:t>número de cuenta bancaria</w:t>
      </w:r>
      <w:r w:rsidRPr="009830DF">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17389A78" w14:textId="77777777" w:rsidR="0018526E" w:rsidRPr="009830DF" w:rsidRDefault="00876F9E">
      <w:pPr>
        <w:spacing w:before="240" w:after="240" w:line="360" w:lineRule="auto"/>
        <w:ind w:right="50"/>
        <w:jc w:val="both"/>
        <w:rPr>
          <w:rFonts w:ascii="Palatino Linotype" w:eastAsia="Palatino Linotype" w:hAnsi="Palatino Linotype" w:cs="Palatino Linotype"/>
        </w:rPr>
      </w:pPr>
      <w:r w:rsidRPr="009830DF">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718AA975" w14:textId="77777777" w:rsidR="0018526E" w:rsidRPr="009830DF" w:rsidRDefault="00876F9E">
      <w:pPr>
        <w:spacing w:before="240" w:after="240" w:line="360" w:lineRule="auto"/>
        <w:ind w:right="50"/>
        <w:jc w:val="both"/>
        <w:rPr>
          <w:rFonts w:ascii="Palatino Linotype" w:eastAsia="Palatino Linotype" w:hAnsi="Palatino Linotype" w:cs="Palatino Linotype"/>
        </w:rPr>
      </w:pPr>
      <w:r w:rsidRPr="009830DF">
        <w:rPr>
          <w:rFonts w:ascii="Palatino Linotype" w:eastAsia="Palatino Linotype" w:hAnsi="Palatino Linotype" w:cs="Palatino Linotype"/>
        </w:rPr>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6F93F2B9" w14:textId="77777777" w:rsidR="0018526E" w:rsidRPr="009830DF" w:rsidRDefault="00876F9E">
      <w:pPr>
        <w:spacing w:before="240" w:after="240" w:line="360" w:lineRule="auto"/>
        <w:ind w:right="50"/>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19D3A1EA" w14:textId="77777777" w:rsidR="0018526E" w:rsidRPr="009830DF" w:rsidRDefault="00876F9E">
      <w:pPr>
        <w:spacing w:before="240" w:after="240" w:line="360" w:lineRule="auto"/>
        <w:ind w:right="50"/>
        <w:jc w:val="both"/>
        <w:rPr>
          <w:rFonts w:ascii="Palatino Linotype" w:eastAsia="Palatino Linotype" w:hAnsi="Palatino Linotype" w:cs="Palatino Linotype"/>
        </w:rPr>
      </w:pPr>
      <w:r w:rsidRPr="009830DF">
        <w:rPr>
          <w:rFonts w:ascii="Palatino Linotype" w:eastAsia="Palatino Linotype" w:hAnsi="Palatino Linotype" w:cs="Palatino Linotype"/>
        </w:rPr>
        <w:t>Es por esta razón que se debe omitir el o los números de cuentas bancarias de particulares en las versiones públicas que de las facturas se hagan, para ser entregadas.</w:t>
      </w:r>
    </w:p>
    <w:p w14:paraId="66F7477A" w14:textId="77777777" w:rsidR="0018526E" w:rsidRPr="009830DF" w:rsidRDefault="00876F9E">
      <w:pPr>
        <w:spacing w:before="240" w:after="240" w:line="360" w:lineRule="auto"/>
        <w:ind w:right="50"/>
        <w:jc w:val="both"/>
        <w:rPr>
          <w:rFonts w:ascii="Palatino Linotype" w:eastAsia="Palatino Linotype" w:hAnsi="Palatino Linotype" w:cs="Palatino Linotype"/>
        </w:rPr>
      </w:pPr>
      <w:r w:rsidRPr="009830DF">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377DF960" w14:textId="77777777" w:rsidR="0018526E" w:rsidRPr="009830DF" w:rsidRDefault="00876F9E">
      <w:pPr>
        <w:spacing w:before="240" w:after="240" w:line="360" w:lineRule="auto"/>
        <w:ind w:right="50"/>
        <w:jc w:val="both"/>
        <w:rPr>
          <w:rFonts w:ascii="Palatino Linotype" w:eastAsia="Palatino Linotype" w:hAnsi="Palatino Linotype" w:cs="Palatino Linotype"/>
        </w:rPr>
      </w:pPr>
      <w:r w:rsidRPr="009830DF">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76D49A7C" w14:textId="77777777" w:rsidR="0018526E" w:rsidRPr="009830DF" w:rsidRDefault="00876F9E">
      <w:pPr>
        <w:spacing w:before="240" w:after="24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“Cuentas bancarias y/o CLABE interbancaria de personas físicas y morales privadas.</w:t>
      </w:r>
      <w:r w:rsidRPr="009830DF">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w:t>
      </w:r>
      <w:r w:rsidRPr="009830DF">
        <w:rPr>
          <w:rFonts w:ascii="Palatino Linotype" w:eastAsia="Palatino Linotype" w:hAnsi="Palatino Linotype" w:cs="Palatino Linotype"/>
          <w:i/>
          <w:sz w:val="22"/>
          <w:szCs w:val="22"/>
        </w:rPr>
        <w:lastRenderedPageBreak/>
        <w:t>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537733E" w14:textId="77777777" w:rsidR="0018526E" w:rsidRPr="009830DF" w:rsidRDefault="00876F9E">
      <w:pPr>
        <w:spacing w:before="240" w:after="24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9830DF">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B4CF674" w14:textId="77777777" w:rsidR="0018526E" w:rsidRPr="009830DF" w:rsidRDefault="00876F9E">
      <w:pPr>
        <w:spacing w:before="240" w:after="240" w:line="360" w:lineRule="auto"/>
        <w:ind w:right="50"/>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Por cuanto hace al </w:t>
      </w:r>
      <w:r w:rsidRPr="009830DF">
        <w:rPr>
          <w:rFonts w:ascii="Palatino Linotype" w:eastAsia="Palatino Linotype" w:hAnsi="Palatino Linotype" w:cs="Palatino Linotype"/>
          <w:b/>
        </w:rPr>
        <w:t xml:space="preserve">Registro Federal de Contribuyentes (RFC), </w:t>
      </w:r>
      <w:r w:rsidRPr="009830DF">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62978D51" w14:textId="77777777" w:rsidR="0018526E" w:rsidRPr="009830DF" w:rsidRDefault="00876F9E">
      <w:pPr>
        <w:spacing w:before="240" w:after="240" w:line="360" w:lineRule="auto"/>
        <w:ind w:right="50"/>
        <w:jc w:val="both"/>
        <w:rPr>
          <w:rFonts w:ascii="Palatino Linotype" w:eastAsia="Palatino Linotype" w:hAnsi="Palatino Linotype" w:cs="Palatino Linotype"/>
        </w:rPr>
      </w:pPr>
      <w:r w:rsidRPr="009830DF">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6B1539B6" w14:textId="77777777" w:rsidR="0018526E" w:rsidRPr="009830DF" w:rsidRDefault="00876F9E">
      <w:pPr>
        <w:spacing w:before="240" w:after="240" w:line="360" w:lineRule="auto"/>
        <w:ind w:right="50"/>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w:t>
      </w:r>
      <w:r w:rsidRPr="009830DF">
        <w:rPr>
          <w:rFonts w:ascii="Palatino Linotype" w:eastAsia="Palatino Linotype" w:hAnsi="Palatino Linotype" w:cs="Palatino Linotype"/>
        </w:rPr>
        <w:lastRenderedPageBreak/>
        <w:t>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2853DA6E"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14:paraId="33EF633C"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 xml:space="preserve">“Registro Federal de Contribuyentes (RFC) de personas físicas proveedoras o contratistas. </w:t>
      </w:r>
      <w:r w:rsidRPr="009830DF">
        <w:rPr>
          <w:rFonts w:ascii="Palatino Linotype" w:eastAsia="Palatino Linotype" w:hAnsi="Palatino Linotype" w:cs="Palatino Linotype"/>
          <w:i/>
          <w:sz w:val="22"/>
          <w:szCs w:val="22"/>
        </w:rPr>
        <w:t xml:space="preserve">El RFC de contratistas o proveedores de los sujetos obligados debe ser público, </w:t>
      </w:r>
      <w:proofErr w:type="gramStart"/>
      <w:r w:rsidRPr="009830DF">
        <w:rPr>
          <w:rFonts w:ascii="Palatino Linotype" w:eastAsia="Palatino Linotype" w:hAnsi="Palatino Linotype" w:cs="Palatino Linotype"/>
          <w:i/>
          <w:sz w:val="22"/>
          <w:szCs w:val="22"/>
        </w:rPr>
        <w:t>ya que</w:t>
      </w:r>
      <w:proofErr w:type="gramEnd"/>
      <w:r w:rsidRPr="009830DF">
        <w:rPr>
          <w:rFonts w:ascii="Palatino Linotype" w:eastAsia="Palatino Linotype" w:hAnsi="Palatino Linotype" w:cs="Palatino Linotype"/>
          <w:i/>
          <w:sz w:val="22"/>
          <w:szCs w:val="22"/>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01BED442" w14:textId="77777777" w:rsidR="0018526E" w:rsidRPr="009830DF" w:rsidRDefault="00876F9E">
      <w:pPr>
        <w:spacing w:before="240" w:after="240" w:line="360" w:lineRule="auto"/>
        <w:ind w:right="50"/>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Relacionado con lo anterior, el nombre de las personas físicas o los representantes legales de las personas morales,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w:t>
      </w:r>
      <w:r w:rsidRPr="009830DF">
        <w:rPr>
          <w:rFonts w:ascii="Palatino Linotype" w:eastAsia="Palatino Linotype" w:hAnsi="Palatino Linotype" w:cs="Palatino Linotype"/>
        </w:rPr>
        <w:lastRenderedPageBreak/>
        <w:t>de licitación no conservan el carácter de confidencial y por tanto no deben ser testados.</w:t>
      </w:r>
    </w:p>
    <w:p w14:paraId="10E1AB31" w14:textId="77777777" w:rsidR="0018526E" w:rsidRPr="009830DF" w:rsidRDefault="00876F9E">
      <w:pPr>
        <w:spacing w:before="240" w:after="240" w:line="360" w:lineRule="auto"/>
        <w:ind w:right="50"/>
        <w:jc w:val="both"/>
        <w:rPr>
          <w:rFonts w:ascii="Palatino Linotype" w:eastAsia="Palatino Linotype" w:hAnsi="Palatino Linotype" w:cs="Palatino Linotype"/>
        </w:rPr>
      </w:pPr>
      <w:r w:rsidRPr="009830DF">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3C7127A8"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r w:rsidRPr="009830DF">
        <w:rPr>
          <w:rFonts w:ascii="Palatino Linotype" w:eastAsia="Palatino Linotype" w:hAnsi="Palatino Linotype" w:cs="Palatino Linotype"/>
          <w:b/>
          <w:i/>
          <w:sz w:val="22"/>
          <w:szCs w:val="22"/>
        </w:rPr>
        <w:t>Artículo 23.</w:t>
      </w:r>
      <w:r w:rsidRPr="009830DF">
        <w:rPr>
          <w:rFonts w:ascii="Palatino Linotype" w:eastAsia="Palatino Linotype" w:hAnsi="Palatino Linotype" w:cs="Palatino Linotype"/>
          <w:i/>
          <w:sz w:val="22"/>
          <w:szCs w:val="22"/>
        </w:rPr>
        <w:t xml:space="preserve"> (…)</w:t>
      </w:r>
    </w:p>
    <w:p w14:paraId="5C0B32FE"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4B027BF" w14:textId="77777777" w:rsidR="0018526E" w:rsidRPr="009830DF" w:rsidRDefault="00876F9E">
      <w:pPr>
        <w:spacing w:before="280" w:after="28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Asimismo, resulta aplicable el contenido del criterio de interpretación 01/19 emitido por el Instituto Nacional de Transparencia, Acceso a la Información, y Protección de Datos Personales, INAI, que lleva por rubro y texto los siguientes</w:t>
      </w:r>
    </w:p>
    <w:p w14:paraId="64F18C52" w14:textId="77777777" w:rsidR="0018526E" w:rsidRPr="009830DF" w:rsidRDefault="00876F9E">
      <w:pPr>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“Datos de identificación del representante o apoderado legal.</w:t>
      </w:r>
      <w:r w:rsidRPr="009830DF">
        <w:rPr>
          <w:rFonts w:ascii="Palatino Linotype" w:eastAsia="Palatino Linotype" w:hAnsi="Palatino Linotype" w:cs="Palatino Linotype"/>
          <w:i/>
          <w:sz w:val="22"/>
          <w:szCs w:val="22"/>
        </w:rPr>
        <w:t xml:space="preserve"> </w:t>
      </w:r>
      <w:r w:rsidRPr="009830DF">
        <w:rPr>
          <w:rFonts w:ascii="Palatino Linotype" w:eastAsia="Palatino Linotype" w:hAnsi="Palatino Linotype" w:cs="Palatino Linotype"/>
          <w:b/>
          <w:i/>
          <w:sz w:val="22"/>
          <w:szCs w:val="22"/>
        </w:rPr>
        <w:t xml:space="preserve">Naturaleza jurídica. </w:t>
      </w:r>
      <w:r w:rsidRPr="009830DF">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9830DF">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9830DF">
        <w:rPr>
          <w:rFonts w:ascii="Palatino Linotype" w:eastAsia="Palatino Linotype" w:hAnsi="Palatino Linotype" w:cs="Palatino Linotype"/>
          <w:i/>
          <w:sz w:val="22"/>
          <w:szCs w:val="22"/>
        </w:rPr>
        <w:t>.”</w:t>
      </w:r>
    </w:p>
    <w:p w14:paraId="21A12000"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3D555D4B"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Asimismo, se destaca que la versión pública que elabore el </w:t>
      </w:r>
      <w:r w:rsidRPr="009830DF">
        <w:rPr>
          <w:rFonts w:ascii="Palatino Linotype" w:eastAsia="Palatino Linotype" w:hAnsi="Palatino Linotype" w:cs="Palatino Linotype"/>
          <w:b/>
        </w:rPr>
        <w:t>Sujeto Obligado</w:t>
      </w:r>
      <w:r w:rsidRPr="009830DF">
        <w:rPr>
          <w:rFonts w:ascii="Palatino Linotype" w:eastAsia="Palatino Linotype" w:hAnsi="Palatino Linotype" w:cs="Palatino Linotype"/>
        </w:rPr>
        <w:t xml:space="preserve"> debe cumplir con las formalidades exigidas en la Ley, por lo que para tal efecto emitirá el </w:t>
      </w:r>
      <w:r w:rsidRPr="009830DF">
        <w:rPr>
          <w:rFonts w:ascii="Palatino Linotype" w:eastAsia="Palatino Linotype" w:hAnsi="Palatino Linotype" w:cs="Palatino Linotype"/>
        </w:rPr>
        <w:lastRenderedPageBreak/>
        <w:t>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9830DF">
        <w:rPr>
          <w:rFonts w:ascii="Palatino Linotype" w:eastAsia="Palatino Linotype" w:hAnsi="Palatino Linotype" w:cs="Palatino Linotype"/>
          <w:b/>
        </w:rPr>
        <w:t>Recurrente</w:t>
      </w:r>
      <w:r w:rsidRPr="009830DF">
        <w:rPr>
          <w:rFonts w:ascii="Palatino Linotype" w:eastAsia="Palatino Linotype" w:hAnsi="Palatino Linotype" w:cs="Palatino Linotype"/>
        </w:rPr>
        <w:t>.</w:t>
      </w:r>
    </w:p>
    <w:p w14:paraId="0EE8D00E"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De este modo, la versión pública que elabore el </w:t>
      </w:r>
      <w:r w:rsidRPr="009830DF">
        <w:rPr>
          <w:rFonts w:ascii="Palatino Linotype" w:eastAsia="Palatino Linotype" w:hAnsi="Palatino Linotype" w:cs="Palatino Linotype"/>
          <w:b/>
        </w:rPr>
        <w:t xml:space="preserve">Sujeto Obligado </w:t>
      </w:r>
      <w:r w:rsidRPr="009830DF">
        <w:rPr>
          <w:rFonts w:ascii="Palatino Linotype" w:eastAsia="Palatino Linotype" w:hAnsi="Palatino Linotype" w:cs="Palatino Linotype"/>
        </w:rPr>
        <w:t>debe acompañarse del</w:t>
      </w:r>
      <w:r w:rsidRPr="009830DF">
        <w:rPr>
          <w:rFonts w:ascii="Palatino Linotype" w:eastAsia="Palatino Linotype" w:hAnsi="Palatino Linotype" w:cs="Palatino Linotype"/>
          <w:b/>
        </w:rPr>
        <w:t xml:space="preserve"> </w:t>
      </w:r>
      <w:r w:rsidRPr="009830DF">
        <w:rPr>
          <w:rFonts w:ascii="Palatino Linotype" w:eastAsia="Palatino Linotype" w:hAnsi="Palatino Linotype" w:cs="Palatino Linotype"/>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Versiones Públicas, motivando la referida clasificación al señalar las </w:t>
      </w:r>
      <w:r w:rsidRPr="009830DF">
        <w:rPr>
          <w:rFonts w:ascii="Palatino Linotype" w:eastAsia="Palatino Linotype" w:hAnsi="Palatino Linotype" w:cs="Palatino Linotype"/>
          <w:b/>
          <w:u w:val="single"/>
        </w:rPr>
        <w:t>razones, motivos o circunstancias especiales</w:t>
      </w:r>
      <w:r w:rsidRPr="009830DF">
        <w:rPr>
          <w:rFonts w:ascii="Palatino Linotype" w:eastAsia="Palatino Linotype" w:hAnsi="Palatino Linotype" w:cs="Palatino Linotype"/>
        </w:rPr>
        <w:t xml:space="preserve"> que lo llevaron a concluir que el caso concreto, se ajustó a los supuestos previstos en la normatividad legal invocada como fundamento.</w:t>
      </w:r>
    </w:p>
    <w:p w14:paraId="14825958" w14:textId="77777777" w:rsidR="0018526E" w:rsidRPr="009830DF" w:rsidRDefault="00876F9E">
      <w:pPr>
        <w:spacing w:before="240" w:after="240" w:line="360" w:lineRule="auto"/>
        <w:ind w:right="50"/>
        <w:jc w:val="both"/>
        <w:rPr>
          <w:rFonts w:ascii="Palatino Linotype" w:eastAsia="Palatino Linotype" w:hAnsi="Palatino Linotype" w:cs="Palatino Linotype"/>
        </w:rPr>
      </w:pPr>
      <w:r w:rsidRPr="009830DF">
        <w:rPr>
          <w:rFonts w:ascii="Palatino Linotype" w:eastAsia="Palatino Linotype" w:hAnsi="Palatino Linotype" w:cs="Palatino Linotype"/>
        </w:rPr>
        <w:t>En relación directa con ello, deberá observar el Lineamiento Quincuagésimo segundo de los Lineamientos Generales en Materia de Clasificación y Desclasificación de la Información, así como para la Elaboración de Versiones Públicas, a saber:</w:t>
      </w:r>
    </w:p>
    <w:p w14:paraId="67AA378B"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lastRenderedPageBreak/>
        <w:t>“Quincuagésimo segundo</w:t>
      </w:r>
      <w:r w:rsidRPr="009830DF">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821C0A4"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 xml:space="preserve">En el caso </w:t>
      </w:r>
      <w:proofErr w:type="spellStart"/>
      <w:r w:rsidRPr="009830DF">
        <w:rPr>
          <w:rFonts w:ascii="Palatino Linotype" w:eastAsia="Palatino Linotype" w:hAnsi="Palatino Linotype" w:cs="Palatino Linotype"/>
          <w:i/>
          <w:sz w:val="22"/>
          <w:szCs w:val="22"/>
        </w:rPr>
        <w:t>especifico</w:t>
      </w:r>
      <w:proofErr w:type="spellEnd"/>
      <w:r w:rsidRPr="009830DF">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11E811B2"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w:t>
      </w:r>
      <w:r w:rsidRPr="009830DF">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0EFBA366"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w:t>
      </w:r>
      <w:r w:rsidRPr="009830DF">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66B82957" w14:textId="77777777" w:rsidR="0018526E" w:rsidRPr="009830DF" w:rsidRDefault="00876F9E">
      <w:pPr>
        <w:spacing w:before="120" w:after="120"/>
        <w:ind w:left="1134"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III.</w:t>
      </w:r>
      <w:r w:rsidRPr="009830DF">
        <w:rPr>
          <w:rFonts w:ascii="Palatino Linotype" w:eastAsia="Palatino Linotype" w:hAnsi="Palatino Linotype" w:cs="Palatino Linotype"/>
          <w:i/>
          <w:sz w:val="22"/>
          <w:szCs w:val="22"/>
        </w:rPr>
        <w:t xml:space="preserve"> Señalar las personas o instancias autorizadas a acceder a la información clasificada.</w:t>
      </w:r>
    </w:p>
    <w:p w14:paraId="4216CBAB" w14:textId="77777777" w:rsidR="0018526E" w:rsidRPr="009830DF" w:rsidRDefault="00876F9E">
      <w:pPr>
        <w:spacing w:before="120" w:after="120"/>
        <w:ind w:left="851" w:right="900"/>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7F902985" w14:textId="77777777" w:rsidR="0018526E" w:rsidRPr="009830DF" w:rsidRDefault="00876F9E">
      <w:pPr>
        <w:spacing w:before="240" w:after="240" w:line="360" w:lineRule="auto"/>
        <w:ind w:right="50"/>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Así como el Lineamiento Quincuagésimo tercero de los Lineamientos </w:t>
      </w:r>
      <w:proofErr w:type="spellStart"/>
      <w:r w:rsidRPr="009830DF">
        <w:rPr>
          <w:rFonts w:ascii="Palatino Linotype" w:eastAsia="Palatino Linotype" w:hAnsi="Palatino Linotype" w:cs="Palatino Linotype"/>
        </w:rPr>
        <w:t>supraindicados</w:t>
      </w:r>
      <w:proofErr w:type="spellEnd"/>
      <w:r w:rsidRPr="009830DF">
        <w:rPr>
          <w:rFonts w:ascii="Palatino Linotype" w:eastAsia="Palatino Linotype" w:hAnsi="Palatino Linotype" w:cs="Palatino Linotype"/>
        </w:rPr>
        <w:t xml:space="preserve">, que establece los formatos para la clasificación de los documentos, conforme a lo siguiente: </w:t>
      </w:r>
    </w:p>
    <w:p w14:paraId="5895E1AE" w14:textId="77777777" w:rsidR="0018526E" w:rsidRPr="009830DF" w:rsidRDefault="00876F9E">
      <w:pPr>
        <w:ind w:left="851" w:right="900"/>
        <w:jc w:val="center"/>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CAPÍTULO VIII</w:t>
      </w:r>
    </w:p>
    <w:p w14:paraId="08FFAE8D" w14:textId="77777777" w:rsidR="0018526E" w:rsidRPr="009830DF" w:rsidRDefault="00876F9E">
      <w:pPr>
        <w:ind w:left="851" w:right="900"/>
        <w:jc w:val="center"/>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sz w:val="22"/>
          <w:szCs w:val="22"/>
        </w:rPr>
        <w:t xml:space="preserve">DE LOS ELEMENTOS PARA LA CLASIFICACIÓN </w:t>
      </w:r>
    </w:p>
    <w:p w14:paraId="53D7FEA2" w14:textId="77777777" w:rsidR="0018526E" w:rsidRPr="009830DF" w:rsidRDefault="00876F9E">
      <w:pPr>
        <w:ind w:left="851" w:right="900"/>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w:t>
      </w:r>
    </w:p>
    <w:p w14:paraId="20507B86"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b/>
          <w:i/>
          <w:sz w:val="22"/>
          <w:szCs w:val="22"/>
        </w:rPr>
        <w:t xml:space="preserve">Quincuagésimo tercero. </w:t>
      </w:r>
      <w:r w:rsidRPr="009830DF">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9830DF">
        <w:rPr>
          <w:rFonts w:ascii="Palatino Linotype" w:eastAsia="Palatino Linotype" w:hAnsi="Palatino Linotype" w:cs="Palatino Linotype"/>
          <w:b/>
          <w:i/>
          <w:sz w:val="22"/>
          <w:szCs w:val="22"/>
        </w:rPr>
        <w:t xml:space="preserve">, </w:t>
      </w:r>
      <w:r w:rsidRPr="009830DF">
        <w:rPr>
          <w:rFonts w:ascii="Palatino Linotype" w:eastAsia="Palatino Linotype" w:hAnsi="Palatino Linotype" w:cs="Palatino Linotype"/>
          <w:i/>
          <w:sz w:val="22"/>
          <w:szCs w:val="22"/>
        </w:rPr>
        <w:t xml:space="preserve">es el siguiente: </w:t>
      </w:r>
      <w:r w:rsidRPr="009830DF">
        <w:rPr>
          <w:rFonts w:ascii="Palatino Linotype" w:eastAsia="Palatino Linotype" w:hAnsi="Palatino Linotype" w:cs="Palatino Linotype"/>
          <w:b/>
          <w:i/>
          <w:noProof/>
          <w:sz w:val="22"/>
          <w:szCs w:val="22"/>
        </w:rPr>
        <w:drawing>
          <wp:inline distT="0" distB="0" distL="0" distR="0" wp14:anchorId="48E4B85E" wp14:editId="0981CFEF">
            <wp:extent cx="4295775" cy="295275"/>
            <wp:effectExtent l="0" t="0" r="0" b="0"/>
            <wp:docPr id="1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
                    <a:srcRect b="95731"/>
                    <a:stretch>
                      <a:fillRect/>
                    </a:stretch>
                  </pic:blipFill>
                  <pic:spPr>
                    <a:xfrm>
                      <a:off x="0" y="0"/>
                      <a:ext cx="4295775" cy="295275"/>
                    </a:xfrm>
                    <a:prstGeom prst="rect">
                      <a:avLst/>
                    </a:prstGeom>
                    <a:ln/>
                  </pic:spPr>
                </pic:pic>
              </a:graphicData>
            </a:graphic>
          </wp:inline>
        </w:drawing>
      </w:r>
    </w:p>
    <w:p w14:paraId="4A9F8205" w14:textId="77777777" w:rsidR="0018526E" w:rsidRPr="009830DF" w:rsidRDefault="00876F9E">
      <w:pPr>
        <w:spacing w:before="120" w:after="120"/>
        <w:ind w:left="851" w:right="902"/>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noProof/>
          <w:sz w:val="22"/>
          <w:szCs w:val="22"/>
        </w:rPr>
        <w:drawing>
          <wp:inline distT="0" distB="0" distL="0" distR="0" wp14:anchorId="5412B8DF" wp14:editId="6D4B33ED">
            <wp:extent cx="4333875" cy="774842"/>
            <wp:effectExtent l="0" t="0" r="0" b="0"/>
            <wp:docPr id="13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
                    <a:srcRect t="30881" b="57910"/>
                    <a:stretch>
                      <a:fillRect/>
                    </a:stretch>
                  </pic:blipFill>
                  <pic:spPr>
                    <a:xfrm>
                      <a:off x="0" y="0"/>
                      <a:ext cx="4333875" cy="774842"/>
                    </a:xfrm>
                    <a:prstGeom prst="rect">
                      <a:avLst/>
                    </a:prstGeom>
                    <a:ln/>
                  </pic:spPr>
                </pic:pic>
              </a:graphicData>
            </a:graphic>
          </wp:inline>
        </w:drawing>
      </w:r>
    </w:p>
    <w:p w14:paraId="644BD873" w14:textId="77777777" w:rsidR="0018526E" w:rsidRPr="009830DF" w:rsidRDefault="00876F9E">
      <w:pPr>
        <w:spacing w:before="120" w:after="120"/>
        <w:ind w:left="851" w:right="902"/>
        <w:jc w:val="both"/>
        <w:rPr>
          <w:rFonts w:ascii="Palatino Linotype" w:eastAsia="Palatino Linotype" w:hAnsi="Palatino Linotype" w:cs="Palatino Linotype"/>
          <w:b/>
          <w:i/>
          <w:sz w:val="22"/>
          <w:szCs w:val="22"/>
        </w:rPr>
      </w:pPr>
      <w:r w:rsidRPr="009830DF">
        <w:rPr>
          <w:rFonts w:ascii="Palatino Linotype" w:eastAsia="Palatino Linotype" w:hAnsi="Palatino Linotype" w:cs="Palatino Linotype"/>
          <w:b/>
          <w:i/>
          <w:noProof/>
          <w:sz w:val="22"/>
          <w:szCs w:val="22"/>
        </w:rPr>
        <w:lastRenderedPageBreak/>
        <w:drawing>
          <wp:inline distT="0" distB="0" distL="0" distR="0" wp14:anchorId="79140108" wp14:editId="0F788C84">
            <wp:extent cx="4333875" cy="4014144"/>
            <wp:effectExtent l="0" t="0" r="0" b="0"/>
            <wp:docPr id="1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
                    <a:srcRect t="41881"/>
                    <a:stretch>
                      <a:fillRect/>
                    </a:stretch>
                  </pic:blipFill>
                  <pic:spPr>
                    <a:xfrm>
                      <a:off x="0" y="0"/>
                      <a:ext cx="4333875" cy="4014144"/>
                    </a:xfrm>
                    <a:prstGeom prst="rect">
                      <a:avLst/>
                    </a:prstGeom>
                    <a:ln/>
                  </pic:spPr>
                </pic:pic>
              </a:graphicData>
            </a:graphic>
          </wp:inline>
        </w:drawing>
      </w:r>
    </w:p>
    <w:p w14:paraId="4CBB9D6D"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Los documentos que integren un expediente reservado en su totalidad no deberán marcarse en lo individual.</w:t>
      </w:r>
    </w:p>
    <w:p w14:paraId="54933CC8" w14:textId="77777777" w:rsidR="0018526E" w:rsidRPr="009830DF" w:rsidRDefault="00876F9E">
      <w:pPr>
        <w:spacing w:before="120" w:after="120"/>
        <w:ind w:left="851" w:right="902"/>
        <w:jc w:val="both"/>
        <w:rPr>
          <w:rFonts w:ascii="Palatino Linotype" w:eastAsia="Palatino Linotype" w:hAnsi="Palatino Linotype" w:cs="Palatino Linotype"/>
          <w:i/>
          <w:sz w:val="22"/>
          <w:szCs w:val="22"/>
        </w:rPr>
      </w:pPr>
      <w:r w:rsidRPr="009830DF">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2F8FAADC"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359A8A79" w14:textId="77777777" w:rsidR="00537451" w:rsidRPr="009830DF" w:rsidRDefault="00537451">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p>
    <w:p w14:paraId="04BF018D" w14:textId="77777777" w:rsidR="00537451" w:rsidRPr="009830DF" w:rsidRDefault="00537451">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p>
    <w:p w14:paraId="2EAB3D8A" w14:textId="77777777" w:rsidR="0018526E" w:rsidRPr="009830DF" w:rsidRDefault="00876F9E">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9830DF">
        <w:rPr>
          <w:rFonts w:ascii="Palatino Linotype" w:eastAsia="Palatino Linotype" w:hAnsi="Palatino Linotype" w:cs="Palatino Linotype"/>
          <w:b/>
        </w:rPr>
        <w:lastRenderedPageBreak/>
        <w:t>III. R E S U E L V E</w:t>
      </w:r>
    </w:p>
    <w:p w14:paraId="7A649D43" w14:textId="77777777" w:rsidR="0018526E" w:rsidRPr="009830DF" w:rsidRDefault="00876F9E">
      <w:pPr>
        <w:spacing w:before="240" w:after="240" w:line="360" w:lineRule="auto"/>
        <w:jc w:val="both"/>
        <w:rPr>
          <w:rFonts w:ascii="Palatino Linotype" w:eastAsia="Palatino Linotype" w:hAnsi="Palatino Linotype" w:cs="Palatino Linotype"/>
          <w:b/>
        </w:rPr>
      </w:pPr>
      <w:bookmarkStart w:id="7" w:name="_heading=h.1fob9te" w:colFirst="0" w:colLast="0"/>
      <w:bookmarkEnd w:id="7"/>
      <w:r w:rsidRPr="009830DF">
        <w:rPr>
          <w:rFonts w:ascii="Palatino Linotype" w:eastAsia="Palatino Linotype" w:hAnsi="Palatino Linotype" w:cs="Palatino Linotype"/>
          <w:b/>
        </w:rPr>
        <w:t xml:space="preserve">Primero. </w:t>
      </w:r>
      <w:r w:rsidRPr="009830DF">
        <w:rPr>
          <w:rFonts w:ascii="Palatino Linotype" w:eastAsia="Palatino Linotype" w:hAnsi="Palatino Linotype" w:cs="Palatino Linotype"/>
        </w:rPr>
        <w:t>Resultan</w:t>
      </w:r>
      <w:r w:rsidRPr="009830DF">
        <w:rPr>
          <w:rFonts w:ascii="Palatino Linotype" w:eastAsia="Palatino Linotype" w:hAnsi="Palatino Linotype" w:cs="Palatino Linotype"/>
          <w:b/>
        </w:rPr>
        <w:t xml:space="preserve"> fundados</w:t>
      </w:r>
      <w:r w:rsidRPr="009830DF">
        <w:rPr>
          <w:rFonts w:ascii="Palatino Linotype" w:eastAsia="Palatino Linotype" w:hAnsi="Palatino Linotype" w:cs="Palatino Linotype"/>
        </w:rPr>
        <w:t xml:space="preserve"> los motivos de inconformidad hechos valer por la parte </w:t>
      </w:r>
      <w:r w:rsidRPr="009830DF">
        <w:rPr>
          <w:rFonts w:ascii="Palatino Linotype" w:eastAsia="Palatino Linotype" w:hAnsi="Palatino Linotype" w:cs="Palatino Linotype"/>
          <w:b/>
        </w:rPr>
        <w:t xml:space="preserve">Recurrente </w:t>
      </w:r>
      <w:r w:rsidRPr="009830DF">
        <w:rPr>
          <w:rFonts w:ascii="Palatino Linotype" w:eastAsia="Palatino Linotype" w:hAnsi="Palatino Linotype" w:cs="Palatino Linotype"/>
        </w:rPr>
        <w:t xml:space="preserve">en el recurso de revisión </w:t>
      </w:r>
      <w:r w:rsidRPr="009830DF">
        <w:rPr>
          <w:rFonts w:ascii="Palatino Linotype" w:eastAsia="Palatino Linotype" w:hAnsi="Palatino Linotype" w:cs="Palatino Linotype"/>
          <w:b/>
        </w:rPr>
        <w:t xml:space="preserve">12984/INFOEM/IP/RR/2022, </w:t>
      </w:r>
      <w:r w:rsidRPr="009830DF">
        <w:rPr>
          <w:rFonts w:ascii="Palatino Linotype" w:eastAsia="Palatino Linotype" w:hAnsi="Palatino Linotype" w:cs="Palatino Linotype"/>
        </w:rPr>
        <w:t xml:space="preserve">por lo que, en términos del Considerando </w:t>
      </w:r>
      <w:r w:rsidRPr="009830DF">
        <w:rPr>
          <w:rFonts w:ascii="Palatino Linotype" w:eastAsia="Palatino Linotype" w:hAnsi="Palatino Linotype" w:cs="Palatino Linotype"/>
          <w:b/>
        </w:rPr>
        <w:t>Cuarto</w:t>
      </w:r>
      <w:r w:rsidRPr="009830DF">
        <w:rPr>
          <w:rFonts w:ascii="Palatino Linotype" w:eastAsia="Palatino Linotype" w:hAnsi="Palatino Linotype" w:cs="Palatino Linotype"/>
        </w:rPr>
        <w:t xml:space="preserve"> de la presente resolución, se</w:t>
      </w:r>
      <w:r w:rsidRPr="009830DF">
        <w:rPr>
          <w:rFonts w:ascii="Palatino Linotype" w:eastAsia="Palatino Linotype" w:hAnsi="Palatino Linotype" w:cs="Palatino Linotype"/>
          <w:b/>
        </w:rPr>
        <w:t xml:space="preserve"> Revoca </w:t>
      </w:r>
      <w:r w:rsidRPr="009830DF">
        <w:rPr>
          <w:rFonts w:ascii="Palatino Linotype" w:eastAsia="Palatino Linotype" w:hAnsi="Palatino Linotype" w:cs="Palatino Linotype"/>
        </w:rPr>
        <w:t>la respuesta</w:t>
      </w:r>
      <w:r w:rsidRPr="009830DF">
        <w:rPr>
          <w:rFonts w:ascii="Palatino Linotype" w:eastAsia="Palatino Linotype" w:hAnsi="Palatino Linotype" w:cs="Palatino Linotype"/>
          <w:b/>
        </w:rPr>
        <w:t xml:space="preserve"> </w:t>
      </w:r>
      <w:r w:rsidRPr="009830DF">
        <w:rPr>
          <w:rFonts w:ascii="Palatino Linotype" w:eastAsia="Palatino Linotype" w:hAnsi="Palatino Linotype" w:cs="Palatino Linotype"/>
        </w:rPr>
        <w:t xml:space="preserve">del </w:t>
      </w:r>
      <w:r w:rsidRPr="009830DF">
        <w:rPr>
          <w:rFonts w:ascii="Palatino Linotype" w:eastAsia="Palatino Linotype" w:hAnsi="Palatino Linotype" w:cs="Palatino Linotype"/>
          <w:b/>
        </w:rPr>
        <w:t>Sujeto Obligado.</w:t>
      </w:r>
    </w:p>
    <w:p w14:paraId="00F21425" w14:textId="77777777" w:rsidR="0018526E" w:rsidRPr="009830DF" w:rsidRDefault="00876F9E">
      <w:pPr>
        <w:spacing w:before="240" w:after="240" w:line="360" w:lineRule="auto"/>
        <w:jc w:val="both"/>
        <w:rPr>
          <w:rFonts w:ascii="Palatino Linotype" w:eastAsia="Palatino Linotype" w:hAnsi="Palatino Linotype" w:cs="Palatino Linotype"/>
        </w:rPr>
      </w:pPr>
      <w:bookmarkStart w:id="8" w:name="_heading=h.4d34og8" w:colFirst="0" w:colLast="0"/>
      <w:bookmarkEnd w:id="8"/>
      <w:r w:rsidRPr="009830DF">
        <w:rPr>
          <w:rFonts w:ascii="Palatino Linotype" w:eastAsia="Palatino Linotype" w:hAnsi="Palatino Linotype" w:cs="Palatino Linotype"/>
          <w:b/>
        </w:rPr>
        <w:t xml:space="preserve">Segundo. </w:t>
      </w:r>
      <w:r w:rsidRPr="009830DF">
        <w:rPr>
          <w:rFonts w:ascii="Palatino Linotype" w:eastAsia="Palatino Linotype" w:hAnsi="Palatino Linotype" w:cs="Palatino Linotype"/>
        </w:rPr>
        <w:t xml:space="preserve">Se </w:t>
      </w:r>
      <w:r w:rsidRPr="009830DF">
        <w:rPr>
          <w:rFonts w:ascii="Palatino Linotype" w:eastAsia="Palatino Linotype" w:hAnsi="Palatino Linotype" w:cs="Palatino Linotype"/>
          <w:b/>
        </w:rPr>
        <w:t>Ordena</w:t>
      </w:r>
      <w:r w:rsidRPr="009830DF">
        <w:rPr>
          <w:rFonts w:ascii="Palatino Linotype" w:eastAsia="Palatino Linotype" w:hAnsi="Palatino Linotype" w:cs="Palatino Linotype"/>
        </w:rPr>
        <w:t xml:space="preserve"> al </w:t>
      </w:r>
      <w:r w:rsidRPr="009830DF">
        <w:rPr>
          <w:rFonts w:ascii="Palatino Linotype" w:eastAsia="Palatino Linotype" w:hAnsi="Palatino Linotype" w:cs="Palatino Linotype"/>
          <w:b/>
        </w:rPr>
        <w:t>Sujeto Obligado</w:t>
      </w:r>
      <w:r w:rsidRPr="009830DF">
        <w:rPr>
          <w:rFonts w:ascii="Palatino Linotype" w:eastAsia="Palatino Linotype" w:hAnsi="Palatino Linotype" w:cs="Palatino Linotype"/>
        </w:rPr>
        <w:t xml:space="preserve">, en términos de los Considerandos </w:t>
      </w:r>
      <w:r w:rsidRPr="009830DF">
        <w:rPr>
          <w:rFonts w:ascii="Palatino Linotype" w:eastAsia="Palatino Linotype" w:hAnsi="Palatino Linotype" w:cs="Palatino Linotype"/>
          <w:b/>
        </w:rPr>
        <w:t xml:space="preserve">Cuarto </w:t>
      </w:r>
      <w:r w:rsidRPr="009830DF">
        <w:rPr>
          <w:rFonts w:ascii="Palatino Linotype" w:eastAsia="Palatino Linotype" w:hAnsi="Palatino Linotype" w:cs="Palatino Linotype"/>
        </w:rPr>
        <w:t xml:space="preserve">y </w:t>
      </w:r>
      <w:r w:rsidRPr="009830DF">
        <w:rPr>
          <w:rFonts w:ascii="Palatino Linotype" w:eastAsia="Palatino Linotype" w:hAnsi="Palatino Linotype" w:cs="Palatino Linotype"/>
          <w:b/>
        </w:rPr>
        <w:t xml:space="preserve">Quinto </w:t>
      </w:r>
      <w:r w:rsidRPr="009830DF">
        <w:rPr>
          <w:rFonts w:ascii="Palatino Linotype" w:eastAsia="Palatino Linotype" w:hAnsi="Palatino Linotype" w:cs="Palatino Linotype"/>
        </w:rPr>
        <w:t>de esta resolución, previa búsqueda exhaustiva y razonable, haga entrega, vía SAIMEX, en versión pública, de lo siguiente:</w:t>
      </w:r>
    </w:p>
    <w:p w14:paraId="61FB8C35" w14:textId="77777777" w:rsidR="0018526E" w:rsidRPr="009830DF" w:rsidRDefault="00876F9E">
      <w:pPr>
        <w:spacing w:before="240" w:after="240" w:line="360" w:lineRule="auto"/>
        <w:ind w:left="284" w:right="49"/>
        <w:jc w:val="both"/>
        <w:rPr>
          <w:rFonts w:ascii="Palatino Linotype" w:eastAsia="Palatino Linotype" w:hAnsi="Palatino Linotype" w:cs="Palatino Linotype"/>
        </w:rPr>
      </w:pPr>
      <w:r w:rsidRPr="009830DF">
        <w:rPr>
          <w:rFonts w:ascii="Palatino Linotype" w:eastAsia="Palatino Linotype" w:hAnsi="Palatino Linotype" w:cs="Palatino Linotype"/>
        </w:rPr>
        <w:t>1. Documentos que integren los expedientes de los procedimientos de adquisición celebrados del veinte de junio dos mil diecinueve al veinte de junio de dos mil veintidós, mediante licitación pública, adjudicación directa, invitación restringida o cualquier otra modalidad, así como las facturas pagadas por dicho concepto.</w:t>
      </w:r>
    </w:p>
    <w:p w14:paraId="0A3EB303" w14:textId="77777777" w:rsidR="0018526E" w:rsidRPr="009830DF" w:rsidRDefault="00876F9E">
      <w:pPr>
        <w:spacing w:before="240" w:after="240"/>
        <w:ind w:left="284" w:right="51"/>
        <w:jc w:val="both"/>
        <w:rPr>
          <w:rFonts w:ascii="Palatino Linotype" w:eastAsia="Palatino Linotype" w:hAnsi="Palatino Linotype" w:cs="Palatino Linotype"/>
          <w:i/>
          <w:sz w:val="20"/>
          <w:szCs w:val="20"/>
        </w:rPr>
      </w:pPr>
      <w:r w:rsidRPr="009830DF">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9830DF">
        <w:rPr>
          <w:rFonts w:ascii="Palatino Linotype" w:eastAsia="Palatino Linotype" w:hAnsi="Palatino Linotype" w:cs="Palatino Linotype"/>
          <w:b/>
          <w:i/>
          <w:sz w:val="20"/>
          <w:szCs w:val="20"/>
        </w:rPr>
        <w:t>Recurrente</w:t>
      </w:r>
      <w:r w:rsidRPr="009830DF">
        <w:rPr>
          <w:rFonts w:ascii="Palatino Linotype" w:eastAsia="Palatino Linotype" w:hAnsi="Palatino Linotype" w:cs="Palatino Linotype"/>
          <w:i/>
          <w:sz w:val="20"/>
          <w:szCs w:val="20"/>
        </w:rPr>
        <w:t>.</w:t>
      </w:r>
    </w:p>
    <w:p w14:paraId="22662C4B" w14:textId="77777777" w:rsidR="0018526E" w:rsidRPr="009830DF" w:rsidRDefault="00876F9E">
      <w:pPr>
        <w:spacing w:before="240" w:after="240" w:line="360" w:lineRule="auto"/>
        <w:jc w:val="both"/>
        <w:rPr>
          <w:rFonts w:ascii="Palatino Linotype" w:eastAsia="Palatino Linotype" w:hAnsi="Palatino Linotype" w:cs="Palatino Linotype"/>
          <w:b/>
        </w:rPr>
      </w:pPr>
      <w:r w:rsidRPr="009830DF">
        <w:rPr>
          <w:rFonts w:ascii="Palatino Linotype" w:eastAsia="Palatino Linotype" w:hAnsi="Palatino Linotype" w:cs="Palatino Linotype"/>
          <w:b/>
        </w:rPr>
        <w:t xml:space="preserve">Tercero. Notifíquese, </w:t>
      </w:r>
      <w:r w:rsidRPr="009830DF">
        <w:rPr>
          <w:rFonts w:ascii="Palatino Linotype" w:eastAsia="Palatino Linotype" w:hAnsi="Palatino Linotype" w:cs="Palatino Linotype"/>
        </w:rPr>
        <w:t xml:space="preserve">vía </w:t>
      </w:r>
      <w:r w:rsidRPr="009830DF">
        <w:rPr>
          <w:rFonts w:ascii="Palatino Linotype" w:eastAsia="Palatino Linotype" w:hAnsi="Palatino Linotype" w:cs="Palatino Linotype"/>
          <w:b/>
        </w:rPr>
        <w:t>SAIMEX</w:t>
      </w:r>
      <w:r w:rsidRPr="009830DF">
        <w:rPr>
          <w:rFonts w:ascii="Palatino Linotype" w:eastAsia="Palatino Linotype" w:hAnsi="Palatino Linotype" w:cs="Palatino Linotype"/>
        </w:rPr>
        <w:t xml:space="preserve">, al Titular de la Unidad de Transparencia del </w:t>
      </w:r>
      <w:r w:rsidRPr="009830DF">
        <w:rPr>
          <w:rFonts w:ascii="Palatino Linotype" w:eastAsia="Palatino Linotype" w:hAnsi="Palatino Linotype" w:cs="Palatino Linotype"/>
          <w:b/>
        </w:rPr>
        <w:t>Sujeto Obligado,</w:t>
      </w:r>
      <w:r w:rsidRPr="009830DF">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w:t>
      </w:r>
      <w:r w:rsidRPr="009830DF">
        <w:rPr>
          <w:rFonts w:ascii="Palatino Linotype" w:eastAsia="Palatino Linotype" w:hAnsi="Palatino Linotype" w:cs="Palatino Linotype"/>
        </w:rPr>
        <w:lastRenderedPageBreak/>
        <w:t>manera parcial, se le impondrá una medida de apremio de conformidad con lo previsto en los artículos 198, 200, fracción III; 214, 215 y 216 de la Ley  de Transparencia y Acceso a la Información Pública del Estado de México y Municipios.</w:t>
      </w:r>
    </w:p>
    <w:p w14:paraId="44BE078C"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9830DF">
        <w:rPr>
          <w:rFonts w:ascii="Palatino Linotype" w:eastAsia="Palatino Linotype" w:hAnsi="Palatino Linotype" w:cs="Palatino Linotype"/>
          <w:b/>
        </w:rPr>
        <w:t>Sujeto Obligado</w:t>
      </w:r>
      <w:r w:rsidRPr="009830DF">
        <w:rPr>
          <w:rFonts w:ascii="Palatino Linotype" w:eastAsia="Palatino Linotype" w:hAnsi="Palatino Linotype" w:cs="Palatino Linotype"/>
        </w:rPr>
        <w:t xml:space="preserve"> de manera fundada y motivada, podrá solicitar una ampliación de plazo para el cumplimiento de la presente resolución.</w:t>
      </w:r>
    </w:p>
    <w:p w14:paraId="49345894" w14:textId="77777777" w:rsidR="0018526E" w:rsidRPr="009830DF" w:rsidRDefault="00876F9E">
      <w:pPr>
        <w:spacing w:before="240" w:after="240" w:line="360" w:lineRule="auto"/>
        <w:jc w:val="both"/>
        <w:rPr>
          <w:rFonts w:ascii="Palatino Linotype" w:eastAsia="Palatino Linotype" w:hAnsi="Palatino Linotype" w:cs="Palatino Linotype"/>
        </w:rPr>
      </w:pPr>
      <w:r w:rsidRPr="009830DF">
        <w:rPr>
          <w:rFonts w:ascii="Palatino Linotype" w:eastAsia="Palatino Linotype" w:hAnsi="Palatino Linotype" w:cs="Palatino Linotype"/>
          <w:b/>
        </w:rPr>
        <w:t xml:space="preserve">Cuarto.  Notifíquese, </w:t>
      </w:r>
      <w:r w:rsidRPr="009830DF">
        <w:rPr>
          <w:rFonts w:ascii="Palatino Linotype" w:eastAsia="Palatino Linotype" w:hAnsi="Palatino Linotype" w:cs="Palatino Linotype"/>
        </w:rPr>
        <w:t xml:space="preserve">vía </w:t>
      </w:r>
      <w:r w:rsidRPr="009830DF">
        <w:rPr>
          <w:rFonts w:ascii="Palatino Linotype" w:eastAsia="Palatino Linotype" w:hAnsi="Palatino Linotype" w:cs="Palatino Linotype"/>
          <w:b/>
        </w:rPr>
        <w:t>SAIMEX</w:t>
      </w:r>
      <w:r w:rsidRPr="009830DF">
        <w:rPr>
          <w:rFonts w:ascii="Palatino Linotype" w:eastAsia="Palatino Linotype" w:hAnsi="Palatino Linotype" w:cs="Palatino Linotype"/>
        </w:rPr>
        <w:t>,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83713FB" w14:textId="77777777" w:rsidR="0018526E" w:rsidRPr="009830DF" w:rsidRDefault="00876F9E">
      <w:pPr>
        <w:spacing w:line="360" w:lineRule="auto"/>
        <w:jc w:val="both"/>
        <w:rPr>
          <w:rFonts w:ascii="Palatino Linotype" w:eastAsia="Palatino Linotype" w:hAnsi="Palatino Linotype" w:cs="Palatino Linotype"/>
        </w:rPr>
      </w:pPr>
      <w:bookmarkStart w:id="9" w:name="_heading=h.lnxbz9" w:colFirst="0" w:colLast="0"/>
      <w:bookmarkEnd w:id="9"/>
      <w:r w:rsidRPr="009830D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DÉCIMO CUARTA SESIÓN ORDINARIA, CELEBRADA EL DIECINUEVE DE ABRIL DE DOS MIL VEINTITRÉS, ANTE EL SECRETARIO TÉCNICO DEL PLENO ALEXIS TAPIA RAMÍREZ.</w:t>
      </w:r>
    </w:p>
    <w:p w14:paraId="74068BCD" w14:textId="77777777" w:rsidR="0018526E" w:rsidRPr="009830DF" w:rsidRDefault="0018526E">
      <w:pPr>
        <w:rPr>
          <w:rFonts w:ascii="Palatino Linotype" w:eastAsia="Palatino Linotype" w:hAnsi="Palatino Linotype" w:cs="Palatino Linotype"/>
        </w:rPr>
      </w:pPr>
    </w:p>
    <w:p w14:paraId="3A2E2EFC" w14:textId="77777777" w:rsidR="0018526E" w:rsidRPr="009830DF" w:rsidRDefault="0018526E">
      <w:pPr>
        <w:rPr>
          <w:rFonts w:ascii="Palatino Linotype" w:eastAsia="Palatino Linotype" w:hAnsi="Palatino Linotype" w:cs="Palatino Linotype"/>
        </w:rPr>
      </w:pPr>
    </w:p>
    <w:p w14:paraId="18CD4899" w14:textId="77777777" w:rsidR="0018526E" w:rsidRPr="009830DF" w:rsidRDefault="0018526E">
      <w:pPr>
        <w:rPr>
          <w:rFonts w:ascii="Palatino Linotype" w:eastAsia="Palatino Linotype" w:hAnsi="Palatino Linotype" w:cs="Palatino Linotype"/>
        </w:rPr>
      </w:pPr>
    </w:p>
    <w:p w14:paraId="1666E143" w14:textId="77777777" w:rsidR="0018526E" w:rsidRPr="009830DF" w:rsidRDefault="0018526E">
      <w:pPr>
        <w:rPr>
          <w:rFonts w:ascii="Palatino Linotype" w:eastAsia="Palatino Linotype" w:hAnsi="Palatino Linotype" w:cs="Palatino Linotype"/>
        </w:rPr>
      </w:pPr>
    </w:p>
    <w:p w14:paraId="03DC8C5A" w14:textId="77777777" w:rsidR="0018526E" w:rsidRPr="009830DF" w:rsidRDefault="0018526E">
      <w:pPr>
        <w:rPr>
          <w:rFonts w:ascii="Palatino Linotype" w:eastAsia="Palatino Linotype" w:hAnsi="Palatino Linotype" w:cs="Palatino Linotype"/>
        </w:rPr>
      </w:pPr>
    </w:p>
    <w:p w14:paraId="3F011756" w14:textId="77777777" w:rsidR="0018526E" w:rsidRPr="009830DF" w:rsidRDefault="0018526E">
      <w:pPr>
        <w:rPr>
          <w:rFonts w:ascii="Palatino Linotype" w:eastAsia="Palatino Linotype" w:hAnsi="Palatino Linotype" w:cs="Palatino Linotype"/>
        </w:rPr>
      </w:pPr>
    </w:p>
    <w:p w14:paraId="27E91263" w14:textId="77777777" w:rsidR="0018526E" w:rsidRPr="009830DF" w:rsidRDefault="0018526E">
      <w:pPr>
        <w:rPr>
          <w:rFonts w:ascii="Palatino Linotype" w:eastAsia="Palatino Linotype" w:hAnsi="Palatino Linotype" w:cs="Palatino Linotype"/>
        </w:rPr>
      </w:pPr>
    </w:p>
    <w:p w14:paraId="33733921" w14:textId="77777777" w:rsidR="0018526E" w:rsidRPr="009830DF" w:rsidRDefault="0018526E">
      <w:pPr>
        <w:rPr>
          <w:rFonts w:ascii="Palatino Linotype" w:eastAsia="Palatino Linotype" w:hAnsi="Palatino Linotype" w:cs="Palatino Linotype"/>
        </w:rPr>
      </w:pPr>
    </w:p>
    <w:p w14:paraId="666386AB" w14:textId="77777777" w:rsidR="0018526E" w:rsidRPr="009830DF" w:rsidRDefault="0018526E">
      <w:pPr>
        <w:rPr>
          <w:rFonts w:ascii="Palatino Linotype" w:eastAsia="Palatino Linotype" w:hAnsi="Palatino Linotype" w:cs="Palatino Linotype"/>
        </w:rPr>
      </w:pPr>
    </w:p>
    <w:p w14:paraId="13324C9A" w14:textId="77777777" w:rsidR="0018526E" w:rsidRPr="009830DF" w:rsidRDefault="0018526E">
      <w:pPr>
        <w:rPr>
          <w:rFonts w:ascii="Palatino Linotype" w:eastAsia="Palatino Linotype" w:hAnsi="Palatino Linotype" w:cs="Palatino Linotype"/>
        </w:rPr>
      </w:pPr>
    </w:p>
    <w:p w14:paraId="0BB17ACD" w14:textId="77777777" w:rsidR="0018526E" w:rsidRPr="009830DF" w:rsidRDefault="0018526E">
      <w:pPr>
        <w:rPr>
          <w:rFonts w:ascii="Palatino Linotype" w:eastAsia="Palatino Linotype" w:hAnsi="Palatino Linotype" w:cs="Palatino Linotype"/>
        </w:rPr>
      </w:pPr>
    </w:p>
    <w:p w14:paraId="32C0CF8F" w14:textId="77777777" w:rsidR="0018526E" w:rsidRPr="009830DF" w:rsidRDefault="0018526E">
      <w:pPr>
        <w:spacing w:line="360" w:lineRule="auto"/>
        <w:jc w:val="both"/>
        <w:rPr>
          <w:rFonts w:ascii="Palatino Linotype" w:eastAsia="Palatino Linotype" w:hAnsi="Palatino Linotype" w:cs="Palatino Linotype"/>
        </w:rPr>
      </w:pPr>
      <w:bookmarkStart w:id="10" w:name="_heading=h.3rdcrjn" w:colFirst="0" w:colLast="0"/>
      <w:bookmarkEnd w:id="10"/>
    </w:p>
    <w:p w14:paraId="29E7668F" w14:textId="77777777" w:rsidR="0018526E" w:rsidRPr="009830DF" w:rsidRDefault="0018526E">
      <w:pPr>
        <w:spacing w:line="360" w:lineRule="auto"/>
        <w:jc w:val="both"/>
        <w:rPr>
          <w:rFonts w:ascii="Palatino Linotype" w:eastAsia="Palatino Linotype" w:hAnsi="Palatino Linotype" w:cs="Palatino Linotype"/>
        </w:rPr>
      </w:pPr>
    </w:p>
    <w:p w14:paraId="2D564BF9" w14:textId="77777777" w:rsidR="0018526E" w:rsidRPr="009830DF" w:rsidRDefault="0018526E">
      <w:pPr>
        <w:spacing w:line="360" w:lineRule="auto"/>
        <w:jc w:val="both"/>
        <w:rPr>
          <w:rFonts w:ascii="Palatino Linotype" w:eastAsia="Palatino Linotype" w:hAnsi="Palatino Linotype" w:cs="Palatino Linotype"/>
        </w:rPr>
      </w:pPr>
    </w:p>
    <w:p w14:paraId="62AD68FF" w14:textId="77777777" w:rsidR="0018526E" w:rsidRPr="009830DF" w:rsidRDefault="0018526E">
      <w:pPr>
        <w:spacing w:line="360" w:lineRule="auto"/>
        <w:jc w:val="both"/>
        <w:rPr>
          <w:rFonts w:ascii="Palatino Linotype" w:eastAsia="Palatino Linotype" w:hAnsi="Palatino Linotype" w:cs="Palatino Linotype"/>
        </w:rPr>
      </w:pPr>
      <w:bookmarkStart w:id="11" w:name="_heading=h.1t3h5sf" w:colFirst="0" w:colLast="0"/>
      <w:bookmarkEnd w:id="11"/>
    </w:p>
    <w:p w14:paraId="31A1DACD" w14:textId="77777777" w:rsidR="0018526E" w:rsidRPr="009830DF" w:rsidRDefault="0018526E">
      <w:pPr>
        <w:spacing w:line="360" w:lineRule="auto"/>
        <w:jc w:val="both"/>
        <w:rPr>
          <w:rFonts w:ascii="Palatino Linotype" w:eastAsia="Palatino Linotype" w:hAnsi="Palatino Linotype" w:cs="Palatino Linotype"/>
        </w:rPr>
      </w:pPr>
    </w:p>
    <w:p w14:paraId="2953ADFC" w14:textId="77777777" w:rsidR="0018526E" w:rsidRPr="009830DF" w:rsidRDefault="0018526E">
      <w:pPr>
        <w:spacing w:line="360" w:lineRule="auto"/>
        <w:jc w:val="both"/>
        <w:rPr>
          <w:rFonts w:ascii="Palatino Linotype" w:eastAsia="Palatino Linotype" w:hAnsi="Palatino Linotype" w:cs="Palatino Linotype"/>
        </w:rPr>
      </w:pPr>
    </w:p>
    <w:p w14:paraId="0A466947" w14:textId="77777777" w:rsidR="0018526E" w:rsidRPr="009830DF" w:rsidRDefault="0018526E">
      <w:pPr>
        <w:spacing w:line="360" w:lineRule="auto"/>
        <w:jc w:val="both"/>
        <w:rPr>
          <w:rFonts w:ascii="Palatino Linotype" w:eastAsia="Palatino Linotype" w:hAnsi="Palatino Linotype" w:cs="Palatino Linotype"/>
        </w:rPr>
      </w:pPr>
    </w:p>
    <w:p w14:paraId="4A417C45" w14:textId="77777777" w:rsidR="0018526E" w:rsidRPr="009830DF" w:rsidRDefault="0018526E">
      <w:pPr>
        <w:spacing w:line="360" w:lineRule="auto"/>
        <w:jc w:val="both"/>
        <w:rPr>
          <w:rFonts w:ascii="Palatino Linotype" w:eastAsia="Palatino Linotype" w:hAnsi="Palatino Linotype" w:cs="Palatino Linotype"/>
        </w:rPr>
      </w:pPr>
    </w:p>
    <w:p w14:paraId="4D4934BD" w14:textId="77777777" w:rsidR="0018526E" w:rsidRPr="009830DF" w:rsidRDefault="0018526E">
      <w:pPr>
        <w:spacing w:line="360" w:lineRule="auto"/>
        <w:jc w:val="both"/>
        <w:rPr>
          <w:rFonts w:ascii="Palatino Linotype" w:eastAsia="Palatino Linotype" w:hAnsi="Palatino Linotype" w:cs="Palatino Linotype"/>
        </w:rPr>
      </w:pPr>
    </w:p>
    <w:p w14:paraId="0C79100E" w14:textId="77777777" w:rsidR="0018526E" w:rsidRPr="009830DF" w:rsidRDefault="0018526E">
      <w:pPr>
        <w:spacing w:line="360" w:lineRule="auto"/>
        <w:jc w:val="both"/>
        <w:rPr>
          <w:rFonts w:ascii="Palatino Linotype" w:eastAsia="Palatino Linotype" w:hAnsi="Palatino Linotype" w:cs="Palatino Linotype"/>
        </w:rPr>
      </w:pPr>
    </w:p>
    <w:p w14:paraId="1B6990F3" w14:textId="77777777" w:rsidR="0018526E" w:rsidRPr="009830DF" w:rsidRDefault="0018526E">
      <w:pPr>
        <w:spacing w:line="360" w:lineRule="auto"/>
        <w:jc w:val="both"/>
        <w:rPr>
          <w:rFonts w:ascii="Palatino Linotype" w:eastAsia="Palatino Linotype" w:hAnsi="Palatino Linotype" w:cs="Palatino Linotype"/>
        </w:rPr>
      </w:pPr>
    </w:p>
    <w:p w14:paraId="3BEA8608" w14:textId="77777777" w:rsidR="0018526E" w:rsidRPr="009830DF" w:rsidRDefault="0018526E">
      <w:pPr>
        <w:spacing w:line="360" w:lineRule="auto"/>
        <w:jc w:val="both"/>
        <w:rPr>
          <w:rFonts w:ascii="Palatino Linotype" w:eastAsia="Palatino Linotype" w:hAnsi="Palatino Linotype" w:cs="Palatino Linotype"/>
        </w:rPr>
      </w:pPr>
    </w:p>
    <w:p w14:paraId="2F24ACE3" w14:textId="77777777" w:rsidR="0018526E" w:rsidRPr="009830DF" w:rsidRDefault="0018526E">
      <w:pPr>
        <w:spacing w:line="360" w:lineRule="auto"/>
        <w:jc w:val="both"/>
        <w:rPr>
          <w:rFonts w:ascii="Palatino Linotype" w:eastAsia="Palatino Linotype" w:hAnsi="Palatino Linotype" w:cs="Palatino Linotype"/>
        </w:rPr>
      </w:pPr>
    </w:p>
    <w:p w14:paraId="2D093AFC" w14:textId="77777777" w:rsidR="0018526E" w:rsidRPr="009830DF" w:rsidRDefault="0018526E">
      <w:pPr>
        <w:spacing w:line="360" w:lineRule="auto"/>
        <w:jc w:val="both"/>
        <w:rPr>
          <w:rFonts w:ascii="Palatino Linotype" w:eastAsia="Palatino Linotype" w:hAnsi="Palatino Linotype" w:cs="Palatino Linotype"/>
        </w:rPr>
      </w:pPr>
    </w:p>
    <w:p w14:paraId="5628AA11" w14:textId="77777777" w:rsidR="0018526E" w:rsidRPr="009830DF" w:rsidRDefault="0018526E">
      <w:pPr>
        <w:spacing w:line="360" w:lineRule="auto"/>
        <w:jc w:val="both"/>
        <w:rPr>
          <w:rFonts w:ascii="Palatino Linotype" w:eastAsia="Palatino Linotype" w:hAnsi="Palatino Linotype" w:cs="Palatino Linotype"/>
        </w:rPr>
      </w:pPr>
    </w:p>
    <w:sectPr w:rsidR="0018526E" w:rsidRPr="009830DF">
      <w:headerReference w:type="default" r:id="rId39"/>
      <w:footerReference w:type="default" r:id="rId40"/>
      <w:headerReference w:type="first" r:id="rId41"/>
      <w:footerReference w:type="first" r:id="rId4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596EB" w14:textId="77777777" w:rsidR="0056747F" w:rsidRDefault="0056747F">
      <w:r>
        <w:separator/>
      </w:r>
    </w:p>
  </w:endnote>
  <w:endnote w:type="continuationSeparator" w:id="0">
    <w:p w14:paraId="372BE07C" w14:textId="77777777" w:rsidR="0056747F" w:rsidRDefault="00567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360AF" w14:textId="77777777" w:rsidR="0018526E" w:rsidRDefault="00876F9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830DF">
      <w:rPr>
        <w:rFonts w:ascii="Palatino Linotype" w:eastAsia="Palatino Linotype" w:hAnsi="Palatino Linotype" w:cs="Palatino Linotype"/>
        <w:b/>
        <w:noProof/>
        <w:color w:val="000000"/>
        <w:sz w:val="20"/>
        <w:szCs w:val="20"/>
      </w:rPr>
      <w:t>88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830DF">
      <w:rPr>
        <w:rFonts w:ascii="Palatino Linotype" w:eastAsia="Palatino Linotype" w:hAnsi="Palatino Linotype" w:cs="Palatino Linotype"/>
        <w:b/>
        <w:noProof/>
        <w:color w:val="000000"/>
        <w:sz w:val="20"/>
        <w:szCs w:val="20"/>
      </w:rPr>
      <w:t>88</w:t>
    </w:r>
    <w:r>
      <w:rPr>
        <w:rFonts w:ascii="Palatino Linotype" w:eastAsia="Palatino Linotype" w:hAnsi="Palatino Linotype" w:cs="Palatino Linotype"/>
        <w:b/>
        <w:color w:val="000000"/>
        <w:sz w:val="20"/>
        <w:szCs w:val="20"/>
      </w:rPr>
      <w:fldChar w:fldCharType="end"/>
    </w:r>
  </w:p>
  <w:p w14:paraId="0130D2E6" w14:textId="77777777" w:rsidR="0018526E" w:rsidRDefault="0018526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5D87" w14:textId="77777777" w:rsidR="0018526E" w:rsidRDefault="00876F9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830D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830DF">
      <w:rPr>
        <w:rFonts w:ascii="Palatino Linotype" w:eastAsia="Palatino Linotype" w:hAnsi="Palatino Linotype" w:cs="Palatino Linotype"/>
        <w:b/>
        <w:noProof/>
        <w:color w:val="000000"/>
        <w:sz w:val="20"/>
        <w:szCs w:val="20"/>
      </w:rPr>
      <w:t>88</w:t>
    </w:r>
    <w:r>
      <w:rPr>
        <w:rFonts w:ascii="Palatino Linotype" w:eastAsia="Palatino Linotype" w:hAnsi="Palatino Linotype" w:cs="Palatino Linotype"/>
        <w:b/>
        <w:color w:val="000000"/>
        <w:sz w:val="20"/>
        <w:szCs w:val="20"/>
      </w:rPr>
      <w:fldChar w:fldCharType="end"/>
    </w:r>
  </w:p>
  <w:p w14:paraId="7527BC89" w14:textId="77777777" w:rsidR="0018526E" w:rsidRDefault="0018526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13136" w14:textId="77777777" w:rsidR="0056747F" w:rsidRDefault="0056747F">
      <w:r>
        <w:separator/>
      </w:r>
    </w:p>
  </w:footnote>
  <w:footnote w:type="continuationSeparator" w:id="0">
    <w:p w14:paraId="2C005817" w14:textId="77777777" w:rsidR="0056747F" w:rsidRDefault="0056747F">
      <w:r>
        <w:continuationSeparator/>
      </w:r>
    </w:p>
  </w:footnote>
  <w:footnote w:id="1">
    <w:p w14:paraId="3847435E" w14:textId="77777777" w:rsidR="0018526E" w:rsidRDefault="00876F9E">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20F04830" w14:textId="77777777" w:rsidR="0018526E" w:rsidRDefault="00876F9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3D0E2783" w14:textId="77777777" w:rsidR="0018526E" w:rsidRDefault="00876F9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5</w:t>
      </w:r>
      <w:r>
        <w:rPr>
          <w:rFonts w:ascii="Palatino Linotype" w:eastAsia="Palatino Linotype" w:hAnsi="Palatino Linotype" w:cs="Palatino Linotype"/>
          <w:color w:val="000000"/>
          <w:sz w:val="16"/>
          <w:szCs w:val="16"/>
        </w:rPr>
        <w:t xml:space="preserve">.- La </w:t>
      </w:r>
      <w:r>
        <w:rPr>
          <w:rFonts w:ascii="Palatino Linotype" w:eastAsia="Palatino Linotype" w:hAnsi="Palatino Linotype" w:cs="Palatino Linotype"/>
          <w:b/>
          <w:color w:val="000000"/>
          <w:sz w:val="16"/>
          <w:szCs w:val="16"/>
        </w:rPr>
        <w:t xml:space="preserve">Secretaría llevará a cabo los procedimientos de adquisición de bienes o servicios que requieran las dependencias, </w:t>
      </w:r>
      <w:r>
        <w:rPr>
          <w:rFonts w:ascii="Palatino Linotype" w:eastAsia="Palatino Linotype" w:hAnsi="Palatino Linotype" w:cs="Palatino Linotype"/>
          <w:color w:val="000000"/>
          <w:sz w:val="16"/>
          <w:szCs w:val="16"/>
        </w:rPr>
        <w:t>conforme a sus respectivos programas de adquisiciones.</w:t>
      </w:r>
    </w:p>
  </w:footnote>
  <w:footnote w:id="3">
    <w:p w14:paraId="630EB0C4" w14:textId="77777777" w:rsidR="0018526E" w:rsidRDefault="00876F9E">
      <w:pPr>
        <w:tabs>
          <w:tab w:val="left" w:pos="6521"/>
        </w:tabs>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b/>
          <w:sz w:val="16"/>
          <w:szCs w:val="16"/>
        </w:rPr>
        <w:t xml:space="preserve">Artículo 76. </w:t>
      </w:r>
      <w:r>
        <w:rPr>
          <w:rFonts w:ascii="Palatino Linotype" w:eastAsia="Palatino Linotype" w:hAnsi="Palatino Linotype" w:cs="Palatino Linotype"/>
          <w:sz w:val="16"/>
          <w:szCs w:val="16"/>
        </w:rPr>
        <w:t>La publicación de la información derivada de las obligaciones de transparencia a que se refiere esta Ley, deberá realizarse conforme a los criterios establecidos por la misma, además de observar los lineamientos técnicos que emita el Sistema Nacional respecto a los formatos de publicación de la información para asegurar que la información sea veraz, confiable, oportuna, congruente, integral, actualizada, accesible, comprensible y verificable.</w:t>
      </w:r>
    </w:p>
    <w:p w14:paraId="45A049C9" w14:textId="77777777" w:rsidR="0018526E" w:rsidRDefault="0018526E">
      <w:pPr>
        <w:tabs>
          <w:tab w:val="left" w:pos="6521"/>
        </w:tabs>
        <w:jc w:val="both"/>
        <w:rPr>
          <w:rFonts w:ascii="Palatino Linotype" w:eastAsia="Palatino Linotype" w:hAnsi="Palatino Linotype" w:cs="Palatino Linotype"/>
          <w:sz w:val="16"/>
          <w:szCs w:val="16"/>
        </w:rPr>
      </w:pPr>
    </w:p>
    <w:p w14:paraId="313B8427" w14:textId="77777777" w:rsidR="0018526E" w:rsidRDefault="00876F9E">
      <w:pPr>
        <w:tabs>
          <w:tab w:val="left" w:pos="6521"/>
        </w:tabs>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La publicación de la información derivada de las obligaciones de transparencia deberá sujetarse a los lineamientos para la homologación en la presentación de la información a la que hace referencia este Título por parte de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7E154" w14:textId="77777777" w:rsidR="0018526E" w:rsidRDefault="00876F9E">
    <w:pPr>
      <w:rPr>
        <w:rFonts w:ascii="Cambria" w:eastAsia="Cambria" w:hAnsi="Cambria" w:cs="Cambria"/>
        <w:color w:val="000000"/>
      </w:rPr>
    </w:pPr>
    <w:r>
      <w:rPr>
        <w:noProof/>
      </w:rPr>
      <w:drawing>
        <wp:anchor distT="0" distB="0" distL="0" distR="0" simplePos="0" relativeHeight="251658240" behindDoc="1" locked="0" layoutInCell="1" hidden="0" allowOverlap="1" wp14:anchorId="02EE96A8" wp14:editId="16166CE5">
          <wp:simplePos x="0" y="0"/>
          <wp:positionH relativeFrom="column">
            <wp:posOffset>-1080120</wp:posOffset>
          </wp:positionH>
          <wp:positionV relativeFrom="paragraph">
            <wp:posOffset>-488298</wp:posOffset>
          </wp:positionV>
          <wp:extent cx="7809865" cy="10165715"/>
          <wp:effectExtent l="0" t="0" r="0" b="0"/>
          <wp:wrapNone/>
          <wp:docPr id="1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0"/>
      <w:tblW w:w="5953" w:type="dxa"/>
      <w:tblInd w:w="3261" w:type="dxa"/>
      <w:tblLayout w:type="fixed"/>
      <w:tblLook w:val="0400" w:firstRow="0" w:lastRow="0" w:firstColumn="0" w:lastColumn="0" w:noHBand="0" w:noVBand="1"/>
    </w:tblPr>
    <w:tblGrid>
      <w:gridCol w:w="2489"/>
      <w:gridCol w:w="3464"/>
    </w:tblGrid>
    <w:tr w:rsidR="0018526E" w14:paraId="37112FAC" w14:textId="77777777">
      <w:tc>
        <w:tcPr>
          <w:tcW w:w="2489" w:type="dxa"/>
          <w:shd w:val="clear" w:color="auto" w:fill="auto"/>
        </w:tcPr>
        <w:p w14:paraId="04BC1681" w14:textId="77777777" w:rsidR="0018526E" w:rsidRDefault="00876F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EB8152D" w14:textId="77777777" w:rsidR="0018526E" w:rsidRDefault="00876F9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12984/INFOEM/IP/RR/2022</w:t>
          </w:r>
        </w:p>
      </w:tc>
    </w:tr>
    <w:tr w:rsidR="0018526E" w14:paraId="1DE50FCA" w14:textId="77777777">
      <w:trPr>
        <w:trHeight w:val="228"/>
      </w:trPr>
      <w:tc>
        <w:tcPr>
          <w:tcW w:w="2489" w:type="dxa"/>
          <w:shd w:val="clear" w:color="auto" w:fill="auto"/>
          <w:vAlign w:val="center"/>
        </w:tcPr>
        <w:p w14:paraId="295EA889" w14:textId="77777777" w:rsidR="0018526E" w:rsidRDefault="00876F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F745B73" w14:textId="77777777" w:rsidR="0018526E" w:rsidRDefault="00876F9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18526E" w14:paraId="719D4A64" w14:textId="77777777">
      <w:tc>
        <w:tcPr>
          <w:tcW w:w="2489" w:type="dxa"/>
          <w:shd w:val="clear" w:color="auto" w:fill="auto"/>
          <w:vAlign w:val="center"/>
        </w:tcPr>
        <w:p w14:paraId="779B7705" w14:textId="77777777" w:rsidR="0018526E" w:rsidRDefault="00876F9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231F554" w14:textId="77777777" w:rsidR="0018526E" w:rsidRDefault="00876F9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A3BC4FB" w14:textId="77777777" w:rsidR="0018526E" w:rsidRDefault="00876F9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F688E" w14:textId="77777777" w:rsidR="0018526E" w:rsidRDefault="00876F9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55C5A11" wp14:editId="72F83CF4">
          <wp:simplePos x="0" y="0"/>
          <wp:positionH relativeFrom="column">
            <wp:posOffset>-1080126</wp:posOffset>
          </wp:positionH>
          <wp:positionV relativeFrom="paragraph">
            <wp:posOffset>-262869</wp:posOffset>
          </wp:positionV>
          <wp:extent cx="7809865" cy="10165715"/>
          <wp:effectExtent l="0" t="0" r="0" b="0"/>
          <wp:wrapNone/>
          <wp:docPr id="1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
      <w:tblW w:w="5670" w:type="dxa"/>
      <w:tblInd w:w="3261" w:type="dxa"/>
      <w:tblLayout w:type="fixed"/>
      <w:tblLook w:val="0400" w:firstRow="0" w:lastRow="0" w:firstColumn="0" w:lastColumn="0" w:noHBand="0" w:noVBand="1"/>
    </w:tblPr>
    <w:tblGrid>
      <w:gridCol w:w="2551"/>
      <w:gridCol w:w="3119"/>
    </w:tblGrid>
    <w:tr w:rsidR="0018526E" w14:paraId="71330203" w14:textId="77777777">
      <w:tc>
        <w:tcPr>
          <w:tcW w:w="2551" w:type="dxa"/>
          <w:shd w:val="clear" w:color="auto" w:fill="auto"/>
          <w:vAlign w:val="center"/>
        </w:tcPr>
        <w:p w14:paraId="1B4AE023" w14:textId="77777777" w:rsidR="0018526E" w:rsidRDefault="00876F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2855C4F" w14:textId="77777777" w:rsidR="0018526E" w:rsidRDefault="00876F9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12984/INFOEM/IP/RR/2022</w:t>
          </w:r>
        </w:p>
      </w:tc>
    </w:tr>
    <w:tr w:rsidR="0018526E" w14:paraId="68AFB284" w14:textId="77777777">
      <w:trPr>
        <w:trHeight w:val="130"/>
      </w:trPr>
      <w:tc>
        <w:tcPr>
          <w:tcW w:w="2551" w:type="dxa"/>
          <w:shd w:val="clear" w:color="auto" w:fill="auto"/>
          <w:vAlign w:val="center"/>
        </w:tcPr>
        <w:p w14:paraId="4CE11996" w14:textId="77777777" w:rsidR="0018526E" w:rsidRDefault="00876F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29F69EE" w14:textId="3348D929" w:rsidR="0018526E" w:rsidRDefault="00373A8E">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w:t>
          </w:r>
        </w:p>
      </w:tc>
    </w:tr>
    <w:tr w:rsidR="0018526E" w14:paraId="368E0ED4" w14:textId="77777777">
      <w:trPr>
        <w:trHeight w:val="228"/>
      </w:trPr>
      <w:tc>
        <w:tcPr>
          <w:tcW w:w="2551" w:type="dxa"/>
          <w:shd w:val="clear" w:color="auto" w:fill="auto"/>
          <w:vAlign w:val="center"/>
        </w:tcPr>
        <w:p w14:paraId="376050E3" w14:textId="77777777" w:rsidR="0018526E" w:rsidRDefault="00876F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050BF3A1" w14:textId="77777777" w:rsidR="0018526E" w:rsidRDefault="00876F9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18526E" w14:paraId="234EF995" w14:textId="77777777">
      <w:tc>
        <w:tcPr>
          <w:tcW w:w="2551" w:type="dxa"/>
          <w:shd w:val="clear" w:color="auto" w:fill="auto"/>
          <w:vAlign w:val="center"/>
        </w:tcPr>
        <w:p w14:paraId="02DB9C5B" w14:textId="77777777" w:rsidR="0018526E" w:rsidRDefault="00876F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E0A1185" w14:textId="77777777" w:rsidR="0018526E" w:rsidRDefault="00876F9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7C98094" w14:textId="77777777" w:rsidR="0018526E" w:rsidRDefault="0018526E">
    <w:pPr>
      <w:pBdr>
        <w:top w:val="nil"/>
        <w:left w:val="nil"/>
        <w:bottom w:val="nil"/>
        <w:right w:val="nil"/>
        <w:between w:val="nil"/>
      </w:pBdr>
      <w:tabs>
        <w:tab w:val="center" w:pos="4252"/>
        <w:tab w:val="right" w:pos="8504"/>
      </w:tabs>
      <w:rPr>
        <w:rFonts w:ascii="Cambria" w:eastAsia="Cambria" w:hAnsi="Cambria" w:cs="Cambria"/>
        <w:color w:val="000000"/>
      </w:rPr>
    </w:pPr>
  </w:p>
  <w:p w14:paraId="78567120" w14:textId="77777777" w:rsidR="0018526E" w:rsidRDefault="001852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EF11B2"/>
    <w:multiLevelType w:val="multilevel"/>
    <w:tmpl w:val="02584A94"/>
    <w:lvl w:ilvl="0">
      <w:start w:val="1"/>
      <w:numFmt w:val="bullet"/>
      <w:lvlText w:val="-"/>
      <w:lvlJc w:val="left"/>
      <w:pPr>
        <w:ind w:left="1211" w:hanging="360"/>
      </w:pPr>
      <w:rPr>
        <w:rFonts w:ascii="Palatino Linotype" w:eastAsia="Palatino Linotype" w:hAnsi="Palatino Linotype" w:cs="Palatino Linotype"/>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1" w15:restartNumberingAfterBreak="0">
    <w:nsid w:val="42DE6E3D"/>
    <w:multiLevelType w:val="multilevel"/>
    <w:tmpl w:val="F81AB656"/>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46A74144"/>
    <w:multiLevelType w:val="multilevel"/>
    <w:tmpl w:val="31F4BD72"/>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26E"/>
    <w:rsid w:val="0018526E"/>
    <w:rsid w:val="00373A8E"/>
    <w:rsid w:val="00537451"/>
    <w:rsid w:val="0056747F"/>
    <w:rsid w:val="007861FA"/>
    <w:rsid w:val="00876F9E"/>
    <w:rsid w:val="009830DF"/>
    <w:rsid w:val="00AF59AB"/>
    <w:rsid w:val="00CA25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7001FB4"/>
  <w15:docId w15:val="{30B60C66-216A-4BB0-89F9-4E70B3E8F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0"/>
    <w:tblPr>
      <w:tblStyleRowBandSize w:val="1"/>
      <w:tblStyleColBandSize w:val="1"/>
      <w:tblCellMar>
        <w:left w:w="115" w:type="dxa"/>
        <w:right w:w="115" w:type="dxa"/>
      </w:tblCellMar>
    </w:tblPr>
  </w:style>
  <w:style w:type="table" w:customStyle="1" w:styleId="19">
    <w:name w:val="19"/>
    <w:basedOn w:val="TableNormal40"/>
    <w:tblPr>
      <w:tblStyleRowBandSize w:val="1"/>
      <w:tblStyleColBandSize w:val="1"/>
      <w:tblCellMar>
        <w:left w:w="115" w:type="dxa"/>
        <w:right w:w="115" w:type="dxa"/>
      </w:tblCellMar>
    </w:tblPr>
  </w:style>
  <w:style w:type="table" w:customStyle="1" w:styleId="18">
    <w:name w:val="18"/>
    <w:basedOn w:val="TableNormal5"/>
    <w:tblPr>
      <w:tblStyleRowBandSize w:val="1"/>
      <w:tblStyleColBandSize w:val="1"/>
      <w:tblCellMar>
        <w:left w:w="115" w:type="dxa"/>
        <w:right w:w="115" w:type="dxa"/>
      </w:tblCellMar>
    </w:tblPr>
  </w:style>
  <w:style w:type="table" w:customStyle="1" w:styleId="17">
    <w:name w:val="17"/>
    <w:basedOn w:val="TableNormal5"/>
    <w:tblPr>
      <w:tblStyleRowBandSize w:val="1"/>
      <w:tblStyleColBandSize w:val="1"/>
      <w:tblCellMar>
        <w:left w:w="115" w:type="dxa"/>
        <w:right w:w="115" w:type="dxa"/>
      </w:tblCellMar>
    </w:tblPr>
  </w:style>
  <w:style w:type="table" w:customStyle="1" w:styleId="16">
    <w:name w:val="16"/>
    <w:basedOn w:val="TableNormal6"/>
    <w:tblPr>
      <w:tblStyleRowBandSize w:val="1"/>
      <w:tblStyleColBandSize w:val="1"/>
      <w:tblCellMar>
        <w:left w:w="115" w:type="dxa"/>
        <w:right w:w="115" w:type="dxa"/>
      </w:tblCellMar>
    </w:tblPr>
  </w:style>
  <w:style w:type="table" w:customStyle="1" w:styleId="15">
    <w:name w:val="15"/>
    <w:basedOn w:val="TableNormal6"/>
    <w:tblPr>
      <w:tblStyleRowBandSize w:val="1"/>
      <w:tblStyleColBandSize w:val="1"/>
      <w:tblCellMar>
        <w:left w:w="115" w:type="dxa"/>
        <w:right w:w="115" w:type="dxa"/>
      </w:tblCellMar>
    </w:tblPr>
  </w:style>
  <w:style w:type="table" w:customStyle="1" w:styleId="14">
    <w:name w:val="14"/>
    <w:basedOn w:val="TableNormal7"/>
    <w:tblPr>
      <w:tblStyleRowBandSize w:val="1"/>
      <w:tblStyleColBandSize w:val="1"/>
      <w:tblCellMar>
        <w:left w:w="115" w:type="dxa"/>
        <w:right w:w="115" w:type="dxa"/>
      </w:tblCellMar>
    </w:tblPr>
  </w:style>
  <w:style w:type="table" w:customStyle="1" w:styleId="13">
    <w:name w:val="13"/>
    <w:basedOn w:val="TableNormal7"/>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left w:w="115" w:type="dxa"/>
        <w:right w:w="115" w:type="dxa"/>
      </w:tblCellMar>
    </w:tblPr>
  </w:style>
  <w:style w:type="table" w:customStyle="1" w:styleId="10">
    <w:name w:val="10"/>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a">
    <w:basedOn w:val="TableNormal4"/>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a9">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E47E56"/>
  </w:style>
  <w:style w:type="character" w:customStyle="1" w:styleId="SaludoCar">
    <w:name w:val="Saludo Car"/>
    <w:basedOn w:val="Fuentedeprrafopredeter"/>
    <w:link w:val="Saludo"/>
    <w:uiPriority w:val="99"/>
    <w:rsid w:val="00E47E56"/>
  </w:style>
  <w:style w:type="paragraph" w:styleId="Listaconvietas">
    <w:name w:val="List Bullet"/>
    <w:basedOn w:val="Normal"/>
    <w:uiPriority w:val="99"/>
    <w:unhideWhenUsed/>
    <w:rsid w:val="00E47E56"/>
    <w:pPr>
      <w:numPr>
        <w:numId w:val="3"/>
      </w:numPr>
      <w:contextualSpacing/>
    </w:pPr>
  </w:style>
  <w:style w:type="paragraph" w:styleId="Listaconvietas2">
    <w:name w:val="List Bullet 2"/>
    <w:basedOn w:val="Normal"/>
    <w:uiPriority w:val="99"/>
    <w:unhideWhenUsed/>
    <w:rsid w:val="00E47E56"/>
    <w:pPr>
      <w:tabs>
        <w:tab w:val="num" w:pos="720"/>
      </w:tabs>
      <w:ind w:left="720" w:hanging="720"/>
      <w:contextualSpacing/>
    </w:pPr>
  </w:style>
  <w:style w:type="paragraph" w:styleId="Descripcin">
    <w:name w:val="caption"/>
    <w:basedOn w:val="Normal"/>
    <w:next w:val="Normal"/>
    <w:uiPriority w:val="35"/>
    <w:unhideWhenUsed/>
    <w:qFormat/>
    <w:rsid w:val="00E47E56"/>
    <w:pPr>
      <w:spacing w:after="200"/>
    </w:pPr>
    <w:rPr>
      <w:i/>
      <w:iCs/>
      <w:color w:val="1F497D" w:themeColor="text2"/>
      <w:sz w:val="18"/>
      <w:szCs w:val="18"/>
    </w:r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8.png"/><Relationship Id="rId18" Type="http://schemas.openxmlformats.org/officeDocument/2006/relationships/image" Target="media/image24.png"/><Relationship Id="rId26" Type="http://schemas.openxmlformats.org/officeDocument/2006/relationships/image" Target="media/image10.png"/><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7.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5.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hyperlink" Target="https://compramex.edomex.gob.mx/compramex/public/catalogosExternos/procedimientsoAdquisitivos.xhtml" TargetMode="External"/><Relationship Id="rId3" Type="http://schemas.openxmlformats.org/officeDocument/2006/relationships/styles" Target="styles.xml"/><Relationship Id="rId12" Type="http://schemas.openxmlformats.org/officeDocument/2006/relationships/image" Target="media/image26.png"/><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prNjF9WW/zACkYblXfTQf3HvNJQ==">AMUW2mVqvegmFdCJyJKNDbzhtvYK/c5sqr/z4e2Vt2XTAVGVUU+irTGZ38c6CyLi4mP/RFgV+LEwMwfmGQBTZIJhFdB9GJPekpy2b/aiGDVaYoKZmiACcu5d+2kZaFv2MBpfpbdVjLR96K1JM8LDnlyrsVtYydhs1YCvKulqe6YTPYJDMXYuHwcUoXpf9TCy2Dpr3kh/shvK5Wst6ZNF9J+kgCNPQBUPMcVvtlBmRRR4r8OjrSUjcIXCkHiMbRID/LKDEZdDcc/eMRt0y1G6sSwFtNAWyGs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88</Pages>
  <Words>21107</Words>
  <Characters>116090</Characters>
  <Application>Microsoft Office Word</Application>
  <DocSecurity>0</DocSecurity>
  <Lines>967</Lines>
  <Paragraphs>273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2023-04-20T19:26:00Z</cp:lastPrinted>
  <dcterms:created xsi:type="dcterms:W3CDTF">2023-04-28T20:53:00Z</dcterms:created>
  <dcterms:modified xsi:type="dcterms:W3CDTF">2023-04-28T20:53:00Z</dcterms:modified>
</cp:coreProperties>
</file>