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7123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E8535B">
        <w:rPr>
          <w:rFonts w:ascii="Palatino Linotype" w:eastAsia="Palatino Linotype" w:hAnsi="Palatino Linotype" w:cs="Palatino Linotype"/>
          <w:vertAlign w:val="superscript"/>
        </w:rPr>
        <w:footnoteReference w:id="1"/>
      </w:r>
      <w:r w:rsidRPr="00E8535B">
        <w:rPr>
          <w:rFonts w:ascii="Palatino Linotype" w:eastAsia="Palatino Linotype" w:hAnsi="Palatino Linotype" w:cs="Palatino Linotype"/>
        </w:rPr>
        <w:t xml:space="preserve">, con domicilio en Metepec, Estado de México, a veintinueve de marzo de dos mil veintitrés. </w:t>
      </w:r>
    </w:p>
    <w:p w14:paraId="6511D5DD" w14:textId="77777777" w:rsidR="008D0CD7" w:rsidRPr="00E8535B" w:rsidRDefault="008D0CD7">
      <w:pPr>
        <w:spacing w:line="360" w:lineRule="auto"/>
        <w:jc w:val="both"/>
        <w:rPr>
          <w:rFonts w:ascii="Palatino Linotype" w:eastAsia="Palatino Linotype" w:hAnsi="Palatino Linotype" w:cs="Palatino Linotype"/>
        </w:rPr>
      </w:pPr>
    </w:p>
    <w:p w14:paraId="7846670F"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VISTO</w:t>
      </w:r>
      <w:r w:rsidRPr="00E8535B">
        <w:rPr>
          <w:rFonts w:ascii="Palatino Linotype" w:eastAsia="Palatino Linotype" w:hAnsi="Palatino Linotype" w:cs="Palatino Linotype"/>
        </w:rPr>
        <w:t xml:space="preserve"> el expediente formado con motivo del recurso de revisión </w:t>
      </w:r>
      <w:r w:rsidRPr="00E8535B">
        <w:rPr>
          <w:rFonts w:ascii="Palatino Linotype" w:eastAsia="Palatino Linotype" w:hAnsi="Palatino Linotype" w:cs="Palatino Linotype"/>
          <w:b/>
        </w:rPr>
        <w:t>14519/INFOEM/IP/RR/2022</w:t>
      </w:r>
      <w:r w:rsidRPr="00E8535B">
        <w:rPr>
          <w:rFonts w:ascii="Palatino Linotype" w:eastAsia="Palatino Linotype" w:hAnsi="Palatino Linotype" w:cs="Palatino Linotype"/>
        </w:rPr>
        <w:t>, interpuesto por una persona que no proporcionó nombre o seudónimo</w:t>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a quien en lo sucesivo se le denominará como</w:t>
      </w:r>
      <w:r w:rsidRPr="00E8535B">
        <w:rPr>
          <w:rFonts w:ascii="Palatino Linotype" w:eastAsia="Palatino Linotype" w:hAnsi="Palatino Linotype" w:cs="Palatino Linotype"/>
          <w:b/>
        </w:rPr>
        <w:t xml:space="preserve"> LA PARTE RECURRENTE,</w:t>
      </w:r>
      <w:r w:rsidRPr="00E8535B">
        <w:rPr>
          <w:rFonts w:ascii="Palatino Linotype" w:eastAsia="Palatino Linotype" w:hAnsi="Palatino Linotype" w:cs="Palatino Linotype"/>
        </w:rPr>
        <w:t xml:space="preserve"> en contra de la respuesta a la solicitud </w:t>
      </w:r>
      <w:r w:rsidRPr="00E8535B">
        <w:rPr>
          <w:rFonts w:ascii="Palatino Linotype" w:eastAsia="Palatino Linotype" w:hAnsi="Palatino Linotype" w:cs="Palatino Linotype"/>
          <w:b/>
        </w:rPr>
        <w:t>00129/OASNAUCAL/IP/2022</w:t>
      </w:r>
      <w:r w:rsidRPr="00E8535B">
        <w:rPr>
          <w:rFonts w:ascii="Palatino Linotype" w:eastAsia="Palatino Linotype" w:hAnsi="Palatino Linotype" w:cs="Palatino Linotype"/>
        </w:rPr>
        <w:t xml:space="preserve"> por parte del</w:t>
      </w:r>
      <w:r w:rsidRPr="00E8535B">
        <w:rPr>
          <w:rFonts w:ascii="Palatino Linotype" w:eastAsia="Palatino Linotype" w:hAnsi="Palatino Linotype" w:cs="Palatino Linotype"/>
          <w:b/>
          <w:sz w:val="22"/>
          <w:szCs w:val="22"/>
        </w:rPr>
        <w:t xml:space="preserve"> </w:t>
      </w:r>
      <w:r w:rsidRPr="00E8535B">
        <w:rPr>
          <w:rFonts w:ascii="Palatino Linotype" w:eastAsia="Palatino Linotype" w:hAnsi="Palatino Linotype" w:cs="Palatino Linotype"/>
          <w:b/>
        </w:rPr>
        <w:t>Organismo Público Descentralizado para la Prestación de los Servicios de Agua Potable Alcantarillado y Saneamiento del Municipio de Naucalpan de Juárez</w:t>
      </w:r>
      <w:r w:rsidRPr="00E8535B">
        <w:rPr>
          <w:rFonts w:ascii="Palatino Linotype" w:eastAsia="Palatino Linotype" w:hAnsi="Palatino Linotype" w:cs="Palatino Linotype"/>
          <w:b/>
          <w:vertAlign w:val="superscript"/>
        </w:rPr>
        <w:footnoteReference w:id="2"/>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 xml:space="preserve">en lo sucesivo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 xml:space="preserve">se procede a dictar la presente resolución con base en los siguientes: </w:t>
      </w:r>
    </w:p>
    <w:p w14:paraId="3FEC9A3E" w14:textId="77777777" w:rsidR="008D0CD7" w:rsidRPr="00E8535B" w:rsidRDefault="008D0CD7">
      <w:pPr>
        <w:spacing w:line="360" w:lineRule="auto"/>
        <w:jc w:val="both"/>
        <w:rPr>
          <w:rFonts w:ascii="Palatino Linotype" w:eastAsia="Palatino Linotype" w:hAnsi="Palatino Linotype" w:cs="Palatino Linotype"/>
        </w:rPr>
      </w:pPr>
    </w:p>
    <w:p w14:paraId="72E616A9" w14:textId="77777777" w:rsidR="008D0CD7" w:rsidRPr="00E8535B" w:rsidRDefault="00434F3F">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E8535B">
        <w:rPr>
          <w:rFonts w:ascii="Palatino Linotype" w:eastAsia="Palatino Linotype" w:hAnsi="Palatino Linotype" w:cs="Palatino Linotype"/>
          <w:b/>
        </w:rPr>
        <w:t>A N T E C E D E N T E S</w:t>
      </w:r>
    </w:p>
    <w:p w14:paraId="00003EF2" w14:textId="77777777" w:rsidR="008D0CD7" w:rsidRPr="00E8535B" w:rsidRDefault="008D0CD7">
      <w:pPr>
        <w:spacing w:line="360" w:lineRule="auto"/>
        <w:ind w:left="360"/>
        <w:rPr>
          <w:rFonts w:ascii="Palatino Linotype" w:eastAsia="Palatino Linotype" w:hAnsi="Palatino Linotype" w:cs="Palatino Linotype"/>
          <w:b/>
        </w:rPr>
      </w:pPr>
    </w:p>
    <w:p w14:paraId="247B6C9C" w14:textId="77777777" w:rsidR="008D0CD7" w:rsidRPr="00E8535B" w:rsidRDefault="00434F3F">
      <w:pPr>
        <w:spacing w:line="360" w:lineRule="auto"/>
        <w:jc w:val="both"/>
        <w:rPr>
          <w:rFonts w:ascii="Palatino Linotype" w:eastAsia="Palatino Linotype" w:hAnsi="Palatino Linotype" w:cs="Palatino Linotype"/>
        </w:rPr>
      </w:pPr>
      <w:bookmarkStart w:id="2" w:name="_heading=h.3dy6vkm" w:colFirst="0" w:colLast="0"/>
      <w:bookmarkEnd w:id="2"/>
      <w:r w:rsidRPr="00E8535B">
        <w:rPr>
          <w:rFonts w:ascii="Palatino Linotype" w:eastAsia="Palatino Linotype" w:hAnsi="Palatino Linotype" w:cs="Palatino Linotype"/>
          <w:b/>
        </w:rPr>
        <w:t>1. Solicitud de acceso a la información.</w:t>
      </w:r>
      <w:r w:rsidRPr="00E8535B">
        <w:rPr>
          <w:rFonts w:ascii="Palatino Linotype" w:eastAsia="Palatino Linotype" w:hAnsi="Palatino Linotype" w:cs="Palatino Linotype"/>
        </w:rPr>
        <w:t xml:space="preserve"> Con fecha </w:t>
      </w:r>
      <w:r w:rsidRPr="00E8535B">
        <w:rPr>
          <w:rFonts w:ascii="Palatino Linotype" w:eastAsia="Palatino Linotype" w:hAnsi="Palatino Linotype" w:cs="Palatino Linotype"/>
          <w:b/>
        </w:rPr>
        <w:t>doce de agosto de dos mil veintidós,</w:t>
      </w:r>
      <w:r w:rsidRPr="00E8535B">
        <w:rPr>
          <w:rFonts w:ascii="Palatino Linotype" w:eastAsia="Palatino Linotype" w:hAnsi="Palatino Linotype" w:cs="Palatino Linotype"/>
        </w:rPr>
        <w:t xml:space="preserve">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presentó, través del Sistema de Acceso a la </w:t>
      </w:r>
      <w:r w:rsidRPr="00E8535B">
        <w:rPr>
          <w:rFonts w:ascii="Palatino Linotype" w:eastAsia="Palatino Linotype" w:hAnsi="Palatino Linotype" w:cs="Palatino Linotype"/>
        </w:rPr>
        <w:lastRenderedPageBreak/>
        <w:t>Información Mexiquense</w:t>
      </w:r>
      <w:r w:rsidRPr="00E8535B">
        <w:rPr>
          <w:rFonts w:ascii="Palatino Linotype" w:eastAsia="Palatino Linotype" w:hAnsi="Palatino Linotype" w:cs="Palatino Linotype"/>
          <w:vertAlign w:val="superscript"/>
        </w:rPr>
        <w:footnoteReference w:id="3"/>
      </w:r>
      <w:r w:rsidRPr="00E8535B">
        <w:rPr>
          <w:rFonts w:ascii="Palatino Linotype" w:eastAsia="Palatino Linotype" w:hAnsi="Palatino Linotype" w:cs="Palatino Linotype"/>
          <w:b/>
        </w:rPr>
        <w:t>,</w:t>
      </w:r>
      <w:r w:rsidRPr="00E8535B">
        <w:rPr>
          <w:rFonts w:ascii="Palatino Linotype" w:eastAsia="Palatino Linotype" w:hAnsi="Palatino Linotype" w:cs="Palatino Linotype"/>
        </w:rPr>
        <w:t xml:space="preserve"> ante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la solicitud de acceso a la información pública, a la que se le asignó el número</w:t>
      </w:r>
      <w:r w:rsidRPr="00E8535B">
        <w:rPr>
          <w:rFonts w:ascii="Palatino Linotype" w:eastAsia="Palatino Linotype" w:hAnsi="Palatino Linotype" w:cs="Palatino Linotype"/>
          <w:b/>
        </w:rPr>
        <w:t xml:space="preserve"> 00129/OASNAUCAL/IP/2022, </w:t>
      </w:r>
      <w:r w:rsidRPr="00E8535B">
        <w:rPr>
          <w:rFonts w:ascii="Palatino Linotype" w:eastAsia="Palatino Linotype" w:hAnsi="Palatino Linotype" w:cs="Palatino Linotype"/>
        </w:rPr>
        <w:t xml:space="preserve">mediante la cual requirió la información siguiente: </w:t>
      </w:r>
    </w:p>
    <w:p w14:paraId="2E0253F9" w14:textId="77777777" w:rsidR="008D0CD7" w:rsidRPr="00E8535B" w:rsidRDefault="008D0CD7">
      <w:pPr>
        <w:jc w:val="both"/>
        <w:rPr>
          <w:rFonts w:ascii="Palatino Linotype" w:eastAsia="Palatino Linotype" w:hAnsi="Palatino Linotype" w:cs="Palatino Linotype"/>
        </w:rPr>
      </w:pPr>
    </w:p>
    <w:p w14:paraId="2A5C3AA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3" w:name="_heading=h.gjdgxs" w:colFirst="0" w:colLast="0"/>
      <w:bookmarkEnd w:id="3"/>
      <w:r w:rsidRPr="00E8535B">
        <w:rPr>
          <w:rFonts w:ascii="Palatino Linotype" w:eastAsia="Palatino Linotype" w:hAnsi="Palatino Linotype" w:cs="Palatino Linotype"/>
          <w:i/>
          <w:sz w:val="22"/>
          <w:szCs w:val="22"/>
        </w:rPr>
        <w:t xml:space="preserve">“Con Base en los Artículos 1, 4, 23 fracciones </w:t>
      </w:r>
      <w:proofErr w:type="gramStart"/>
      <w:r w:rsidRPr="00E8535B">
        <w:rPr>
          <w:rFonts w:ascii="Palatino Linotype" w:eastAsia="Palatino Linotype" w:hAnsi="Palatino Linotype" w:cs="Palatino Linotype"/>
          <w:i/>
          <w:sz w:val="22"/>
          <w:szCs w:val="22"/>
        </w:rPr>
        <w:t>IV,X</w:t>
      </w:r>
      <w:proofErr w:type="gramEnd"/>
      <w:r w:rsidRPr="00E8535B">
        <w:rPr>
          <w:rFonts w:ascii="Palatino Linotype" w:eastAsia="Palatino Linotype" w:hAnsi="Palatino Linotype" w:cs="Palatino Linotype"/>
          <w:i/>
          <w:sz w:val="22"/>
          <w:szCs w:val="22"/>
        </w:rPr>
        <w:t xml:space="preserve">,X1 Y XIII de la Ley de Transparencia y Acceso a la Información pública del Estado de México, les solicito me sea proporcionada la información </w:t>
      </w:r>
      <w:proofErr w:type="spellStart"/>
      <w:r w:rsidRPr="00E8535B">
        <w:rPr>
          <w:rFonts w:ascii="Palatino Linotype" w:eastAsia="Palatino Linotype" w:hAnsi="Palatino Linotype" w:cs="Palatino Linotype"/>
          <w:i/>
          <w:sz w:val="22"/>
          <w:szCs w:val="22"/>
        </w:rPr>
        <w:t>publica</w:t>
      </w:r>
      <w:proofErr w:type="spellEnd"/>
      <w:r w:rsidRPr="00E8535B">
        <w:rPr>
          <w:rFonts w:ascii="Palatino Linotype" w:eastAsia="Palatino Linotype" w:hAnsi="Palatino Linotype" w:cs="Palatino Linotype"/>
          <w:i/>
          <w:sz w:val="22"/>
          <w:szCs w:val="22"/>
        </w:rPr>
        <w:t xml:space="preserve"> de manera digital vía SAIMEX, y en formato de Exel editable. Listado de todo el personal que labora actualmente en esa institución; con la siguiente información: nombre, apellidos, número de empleado, salario mensual neto, fecha de ingreso (incluyendo las altas generadas hasta el 12 de agosto del dos mil veintidós), su estatus (de confianza, funcionario, servidor público) puesto que desempeña, área a la que pertenece y que presenten todos los nombramientos de los funcionarios a los que se les debe de entregar por parte del organismo.” (sic)</w:t>
      </w:r>
    </w:p>
    <w:p w14:paraId="2F438957" w14:textId="77777777" w:rsidR="008D0CD7" w:rsidRPr="00E8535B" w:rsidRDefault="008D0CD7"/>
    <w:p w14:paraId="4CF89291" w14:textId="77777777" w:rsidR="008D0CD7" w:rsidRPr="00E8535B" w:rsidRDefault="008D0CD7"/>
    <w:p w14:paraId="771B94D9"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Modalidad de Entrega:</w:t>
      </w:r>
      <w:r w:rsidRPr="00E8535B">
        <w:rPr>
          <w:rFonts w:ascii="Palatino Linotype" w:eastAsia="Palatino Linotype" w:hAnsi="Palatino Linotype" w:cs="Palatino Linotype"/>
        </w:rPr>
        <w:t xml:space="preserve"> A través de SAIMEX.</w:t>
      </w:r>
    </w:p>
    <w:p w14:paraId="782A304E" w14:textId="77777777" w:rsidR="008D0CD7" w:rsidRPr="00E8535B" w:rsidRDefault="008D0CD7">
      <w:pPr>
        <w:spacing w:line="360" w:lineRule="auto"/>
        <w:jc w:val="both"/>
        <w:rPr>
          <w:rFonts w:ascii="Palatino Linotype" w:eastAsia="Palatino Linotype" w:hAnsi="Palatino Linotype" w:cs="Palatino Linotype"/>
        </w:rPr>
      </w:pPr>
    </w:p>
    <w:p w14:paraId="058C1AB3"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2. Respuesta. </w:t>
      </w:r>
      <w:r w:rsidRPr="00E8535B">
        <w:rPr>
          <w:rFonts w:ascii="Palatino Linotype" w:eastAsia="Palatino Linotype" w:hAnsi="Palatino Linotype" w:cs="Palatino Linotype"/>
        </w:rPr>
        <w:t>Es el</w:t>
      </w:r>
      <w:r w:rsidRPr="00E8535B">
        <w:rPr>
          <w:rFonts w:ascii="Palatino Linotype" w:eastAsia="Palatino Linotype" w:hAnsi="Palatino Linotype" w:cs="Palatino Linotype"/>
          <w:b/>
        </w:rPr>
        <w:t xml:space="preserve"> primero de septiembre de dos mil veintidós</w:t>
      </w:r>
      <w:r w:rsidRPr="00E8535B">
        <w:rPr>
          <w:rFonts w:ascii="Palatino Linotype" w:eastAsia="Palatino Linotype" w:hAnsi="Palatino Linotype" w:cs="Palatino Linotype"/>
        </w:rPr>
        <w:t xml:space="preserve"> que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AE8E9F7"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046497A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w:t>
      </w:r>
    </w:p>
    <w:p w14:paraId="2219A85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SE ANEXA OFICIO DE RESPUESTA, DANDO CUMPLIMIENTO EN TIEMPO Y FORMA A LO SOLCIITADO, ADEMAS DE ANEXAR DOCUMENTACION QUE FORMA PARTE DE LA RESPUESTA EN ARCHIVO PDF. Hipervínculo:</w:t>
      </w:r>
    </w:p>
    <w:p w14:paraId="4D5D16C8" w14:textId="77777777" w:rsidR="008D0CD7" w:rsidRPr="00E8535B" w:rsidRDefault="003C6B0E">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hyperlink r:id="rId8">
        <w:r w:rsidR="00434F3F" w:rsidRPr="00E8535B">
          <w:rPr>
            <w:rFonts w:ascii="Palatino Linotype" w:eastAsia="Palatino Linotype" w:hAnsi="Palatino Linotype" w:cs="Palatino Linotype"/>
            <w:i/>
            <w:color w:val="000000"/>
            <w:sz w:val="22"/>
            <w:szCs w:val="22"/>
          </w:rPr>
          <w:t>https://ipomex.org.mx/ipo3/lgt/indice/OASNAUCALPAN/art_92_viii/4.web?token=03ANYolquqWwH41TaOU-WECNo7Ew6hiBVDxpUAFeINivy-AR-rf_orvKN04nypgLM7JaF1ahwq4mwi6EZ6kTQnB4CFqxbnegWqsKcF0kFWtljSY-3flox7BUyQFapQ6SQUzHBWbtQLvYyEmpCtMlHKJDOrmEzbAtn0Nlzkf7mQwPyPKTZgPIehGegq6eQcY1j4GliPD_DgXL0KdP6-x7YmdjEEkcVWpZ-NXOFgNeZMhM4DOqyzlojIuQbxiSU-_p8VPVq9vBgp6eBBc7R-6iNv9Rmya2QNAv21be-8eIHXsF-onKLrSthDFIW20zwtBknluc1PXq2NeuRZ8YZdLEC6VOLbLinWkxZkwuT2UHX2rGcztGEED2XrwEaB0FydycVVC4YSwwG0VOam8xFWTKUfxlLRxxBMWain63G4oRC-0oBMOTOcto6vcH37JiwwHDF-1DcDDn0qfCv88vmD7X-tLDJ0kFdEk8ZGB4dMOxKdrRsFftGfiaP4NwnT8eWd28up26q4_10uaO5c</w:t>
        </w:r>
      </w:hyperlink>
    </w:p>
    <w:p w14:paraId="073FE16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(sic)</w:t>
      </w:r>
    </w:p>
    <w:p w14:paraId="38B80C95" w14:textId="77777777" w:rsidR="008D0CD7" w:rsidRPr="00E8535B" w:rsidRDefault="008D0CD7">
      <w:pPr>
        <w:ind w:right="902"/>
        <w:jc w:val="both"/>
        <w:rPr>
          <w:rFonts w:ascii="Palatino Linotype" w:eastAsia="Palatino Linotype" w:hAnsi="Palatino Linotype" w:cs="Palatino Linotype"/>
          <w:i/>
          <w:sz w:val="22"/>
          <w:szCs w:val="22"/>
        </w:rPr>
      </w:pPr>
    </w:p>
    <w:p w14:paraId="07C77EE2"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en este acto, remitió los archivos denominados  </w:t>
      </w:r>
      <w:hyperlink r:id="rId9">
        <w:r w:rsidRPr="00E8535B">
          <w:rPr>
            <w:rFonts w:ascii="Palatino Linotype" w:eastAsia="Palatino Linotype" w:hAnsi="Palatino Linotype" w:cs="Palatino Linotype"/>
            <w:i/>
            <w:color w:val="000000"/>
          </w:rPr>
          <w:t>SGT O 079 2022.pdf</w:t>
        </w:r>
      </w:hyperlink>
      <w:r w:rsidRPr="00E8535B">
        <w:rPr>
          <w:rFonts w:ascii="Palatino Linotype" w:eastAsia="Palatino Linotype" w:hAnsi="Palatino Linotype" w:cs="Palatino Linotype"/>
          <w:i/>
        </w:rPr>
        <w:t xml:space="preserve"> </w:t>
      </w:r>
      <w:r w:rsidRPr="00E8535B">
        <w:rPr>
          <w:rFonts w:ascii="Palatino Linotype" w:eastAsia="Palatino Linotype" w:hAnsi="Palatino Linotype" w:cs="Palatino Linotype"/>
        </w:rPr>
        <w:t>y</w:t>
      </w:r>
      <w:r w:rsidRPr="00E8535B">
        <w:rPr>
          <w:rFonts w:ascii="Palatino Linotype" w:eastAsia="Palatino Linotype" w:hAnsi="Palatino Linotype" w:cs="Palatino Linotype"/>
          <w:i/>
        </w:rPr>
        <w:t xml:space="preserve"> </w:t>
      </w:r>
      <w:hyperlink r:id="rId10">
        <w:r w:rsidRPr="00E8535B">
          <w:rPr>
            <w:rFonts w:ascii="Palatino Linotype" w:eastAsia="Palatino Linotype" w:hAnsi="Palatino Linotype" w:cs="Palatino Linotype"/>
            <w:i/>
            <w:color w:val="000000"/>
          </w:rPr>
          <w:t>NOMBRAMIENTOS_1_redacted solicitud 129.pdf</w:t>
        </w:r>
      </w:hyperlink>
      <w:r w:rsidRPr="00E8535B">
        <w:rPr>
          <w:rFonts w:ascii="Palatino Linotype" w:eastAsia="Palatino Linotype" w:hAnsi="Palatino Linotype" w:cs="Palatino Linotype"/>
          <w:i/>
        </w:rPr>
        <w:t xml:space="preserve">, </w:t>
      </w:r>
      <w:r w:rsidRPr="00E8535B">
        <w:rPr>
          <w:rFonts w:ascii="Palatino Linotype" w:eastAsia="Palatino Linotype" w:hAnsi="Palatino Linotype" w:cs="Palatino Linotype"/>
        </w:rPr>
        <w:t>que en sus fojas contienen;</w:t>
      </w:r>
    </w:p>
    <w:p w14:paraId="0B5B53E9" w14:textId="77777777" w:rsidR="008D0CD7" w:rsidRPr="00E8535B" w:rsidRDefault="008D0CD7">
      <w:pPr>
        <w:spacing w:line="360" w:lineRule="auto"/>
        <w:ind w:right="49"/>
        <w:jc w:val="both"/>
        <w:rPr>
          <w:rFonts w:ascii="Palatino Linotype" w:eastAsia="Palatino Linotype" w:hAnsi="Palatino Linotype" w:cs="Palatino Linotype"/>
        </w:rPr>
      </w:pPr>
    </w:p>
    <w:p w14:paraId="49AEC0C6" w14:textId="77777777" w:rsidR="008D0CD7" w:rsidRPr="00E8535B" w:rsidRDefault="003C6B0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hyperlink r:id="rId11">
        <w:r w:rsidR="00434F3F" w:rsidRPr="00E8535B">
          <w:rPr>
            <w:rFonts w:ascii="Palatino Linotype" w:eastAsia="Palatino Linotype" w:hAnsi="Palatino Linotype" w:cs="Palatino Linotype"/>
            <w:i/>
            <w:color w:val="000000"/>
          </w:rPr>
          <w:t>SGT O 079 2022.pdf</w:t>
        </w:r>
      </w:hyperlink>
    </w:p>
    <w:p w14:paraId="50264F6F" w14:textId="77777777" w:rsidR="008D0CD7" w:rsidRPr="00E8535B" w:rsidRDefault="00434F3F">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Oficio SGT/O/079/2022 de fecha treinta y uno de agosto emitido por la Subgerencia de Transparencia del </w:t>
      </w:r>
      <w:r w:rsidRPr="00E8535B">
        <w:rPr>
          <w:rFonts w:ascii="Palatino Linotype" w:eastAsia="Palatino Linotype" w:hAnsi="Palatino Linotype" w:cs="Palatino Linotype"/>
          <w:b/>
          <w:color w:val="000000"/>
        </w:rPr>
        <w:t>SUJETO OBLIGADO,</w:t>
      </w:r>
      <w:r w:rsidRPr="00E8535B">
        <w:rPr>
          <w:rFonts w:ascii="Palatino Linotype" w:eastAsia="Palatino Linotype" w:hAnsi="Palatino Linotype" w:cs="Palatino Linotype"/>
          <w:color w:val="000000"/>
        </w:rPr>
        <w:t xml:space="preserve"> en la que se refiere al número de empleado en donde señala que el mismo se considera de carácter confidencial, y también, manifiesta que la información requerida no puede entregarse “a modo”, en consecuencia, pone a disposición de </w:t>
      </w:r>
      <w:r w:rsidRPr="00E8535B">
        <w:rPr>
          <w:rFonts w:ascii="Palatino Linotype" w:eastAsia="Palatino Linotype" w:hAnsi="Palatino Linotype" w:cs="Palatino Linotype"/>
          <w:b/>
          <w:color w:val="000000"/>
        </w:rPr>
        <w:t>LA PARTE RECURRENTE</w:t>
      </w:r>
      <w:r w:rsidRPr="00E8535B">
        <w:rPr>
          <w:rFonts w:ascii="Palatino Linotype" w:eastAsia="Palatino Linotype" w:hAnsi="Palatino Linotype" w:cs="Palatino Linotype"/>
          <w:color w:val="000000"/>
        </w:rPr>
        <w:t xml:space="preserve"> la información contenida en la fracción VIII A del </w:t>
      </w:r>
      <w:r w:rsidRPr="00E8535B">
        <w:rPr>
          <w:rFonts w:ascii="Palatino Linotype" w:eastAsia="Palatino Linotype" w:hAnsi="Palatino Linotype" w:cs="Palatino Linotype"/>
          <w:color w:val="000000"/>
        </w:rPr>
        <w:lastRenderedPageBreak/>
        <w:t>artículo 92 del Sistema de Información Pública de Oficio Mexiquense</w:t>
      </w:r>
      <w:r w:rsidRPr="00E8535B">
        <w:rPr>
          <w:rFonts w:ascii="Palatino Linotype" w:eastAsia="Palatino Linotype" w:hAnsi="Palatino Linotype" w:cs="Palatino Linotype"/>
          <w:color w:val="000000"/>
          <w:vertAlign w:val="superscript"/>
        </w:rPr>
        <w:footnoteReference w:id="4"/>
      </w:r>
      <w:r w:rsidRPr="00E8535B">
        <w:rPr>
          <w:rFonts w:ascii="Palatino Linotype" w:eastAsia="Palatino Linotype" w:hAnsi="Palatino Linotype" w:cs="Palatino Linotype"/>
          <w:color w:val="000000"/>
        </w:rPr>
        <w:t xml:space="preserve"> del OAPAS Naucalpan. </w:t>
      </w:r>
    </w:p>
    <w:p w14:paraId="68C2378E" w14:textId="77777777" w:rsidR="008D0CD7" w:rsidRPr="00E8535B" w:rsidRDefault="008D0CD7">
      <w:pPr>
        <w:spacing w:line="360" w:lineRule="auto"/>
        <w:ind w:right="49"/>
        <w:jc w:val="both"/>
        <w:rPr>
          <w:rFonts w:ascii="Palatino Linotype" w:eastAsia="Palatino Linotype" w:hAnsi="Palatino Linotype" w:cs="Palatino Linotype"/>
        </w:rPr>
      </w:pPr>
    </w:p>
    <w:p w14:paraId="7DDA2171" w14:textId="77777777" w:rsidR="008D0CD7" w:rsidRPr="00E8535B" w:rsidRDefault="003C6B0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hyperlink r:id="rId12">
        <w:r w:rsidR="00434F3F" w:rsidRPr="00E8535B">
          <w:rPr>
            <w:rFonts w:ascii="Palatino Linotype" w:eastAsia="Palatino Linotype" w:hAnsi="Palatino Linotype" w:cs="Palatino Linotype"/>
            <w:i/>
            <w:color w:val="000000"/>
          </w:rPr>
          <w:t>NOMBRAMIENTOS_1_redacted solicitud 129.pdf</w:t>
        </w:r>
      </w:hyperlink>
    </w:p>
    <w:p w14:paraId="3441EA9B" w14:textId="77777777" w:rsidR="008D0CD7" w:rsidRPr="00E8535B" w:rsidRDefault="00434F3F">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Archivo que contiene los siguientes documentos, todos tachados e ilegibles concernientes a:</w:t>
      </w:r>
    </w:p>
    <w:p w14:paraId="5FD20E34" w14:textId="77777777" w:rsidR="008D0CD7" w:rsidRPr="00E8535B" w:rsidRDefault="00434F3F">
      <w:pPr>
        <w:numPr>
          <w:ilvl w:val="1"/>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Oficio SA/2833/2022, en el que se aprecia parte del Acuerdo en el que se designa al </w:t>
      </w:r>
      <w:proofErr w:type="gramStart"/>
      <w:r w:rsidRPr="00E8535B">
        <w:rPr>
          <w:rFonts w:ascii="Palatino Linotype" w:eastAsia="Palatino Linotype" w:hAnsi="Palatino Linotype" w:cs="Palatino Linotype"/>
          <w:color w:val="000000"/>
        </w:rPr>
        <w:t>Director General</w:t>
      </w:r>
      <w:proofErr w:type="gramEnd"/>
      <w:r w:rsidRPr="00E8535B">
        <w:rPr>
          <w:rFonts w:ascii="Palatino Linotype" w:eastAsia="Palatino Linotype" w:hAnsi="Palatino Linotype" w:cs="Palatino Linotype"/>
          <w:color w:val="000000"/>
        </w:rPr>
        <w:t xml:space="preserve"> del OAPAS Naucalpan; </w:t>
      </w:r>
    </w:p>
    <w:p w14:paraId="1877CF30" w14:textId="77777777" w:rsidR="008D0CD7" w:rsidRPr="00E8535B" w:rsidRDefault="00434F3F">
      <w:pPr>
        <w:numPr>
          <w:ilvl w:val="1"/>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Nombramientos de: </w:t>
      </w:r>
    </w:p>
    <w:p w14:paraId="4754264D"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Factibilidades, </w:t>
      </w:r>
    </w:p>
    <w:p w14:paraId="024E24DA"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Relaciones Públicas, </w:t>
      </w:r>
    </w:p>
    <w:p w14:paraId="0AE8809C"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Planeación, Evaluación y Calidad; </w:t>
      </w:r>
    </w:p>
    <w:p w14:paraId="149AAA1B"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Transparencia; </w:t>
      </w:r>
    </w:p>
    <w:p w14:paraId="0C7C9895"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Gerente de Gobierno Digital; </w:t>
      </w:r>
    </w:p>
    <w:p w14:paraId="22F63B00"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Secretario Técnico; </w:t>
      </w:r>
    </w:p>
    <w:p w14:paraId="5B4226EF"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Contralora Interna; </w:t>
      </w:r>
    </w:p>
    <w:p w14:paraId="13DC7C4D"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Auditoría Financiera y Administrativa; </w:t>
      </w:r>
    </w:p>
    <w:p w14:paraId="0C994D20"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Responsabilidades; </w:t>
      </w:r>
    </w:p>
    <w:p w14:paraId="70306C1C"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Subgerente de Control de Obra;</w:t>
      </w:r>
    </w:p>
    <w:p w14:paraId="0CB063D0"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Titular de la Dirección de Administración y Finanzas;</w:t>
      </w:r>
    </w:p>
    <w:p w14:paraId="65F1DCEE"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lastRenderedPageBreak/>
        <w:t xml:space="preserve">Gerente de Administración; </w:t>
      </w:r>
    </w:p>
    <w:p w14:paraId="0AB58369"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Recursos Humanos; </w:t>
      </w:r>
    </w:p>
    <w:p w14:paraId="707F0AAA"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Patrimonio; </w:t>
      </w:r>
    </w:p>
    <w:p w14:paraId="54C90C73"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Subgerente de Patrimonio; (Dieciséis de julio de dos mil veintidós)</w:t>
      </w:r>
    </w:p>
    <w:p w14:paraId="3FEF78CF"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Gerente de Finanzas; </w:t>
      </w:r>
    </w:p>
    <w:p w14:paraId="60FA7FA7"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Subgerente de Tesorería;</w:t>
      </w:r>
    </w:p>
    <w:p w14:paraId="05001D70"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Director de Construcción y Operación Hidráulica;</w:t>
      </w:r>
    </w:p>
    <w:p w14:paraId="7075F726"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Bacheo; </w:t>
      </w:r>
    </w:p>
    <w:p w14:paraId="7897661C"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Gerente de Operación Hidráulica; </w:t>
      </w:r>
    </w:p>
    <w:p w14:paraId="6335435F"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Electromecánica; </w:t>
      </w:r>
    </w:p>
    <w:p w14:paraId="0D666F74"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Drenaje y Alcantarillado; </w:t>
      </w:r>
    </w:p>
    <w:p w14:paraId="2DCE63BF"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Efluentes y Calidad del Agua; </w:t>
      </w:r>
    </w:p>
    <w:p w14:paraId="61D56F7A"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i/>
          <w:color w:val="000000"/>
        </w:rPr>
        <w:t>Subgerente de Agua Pota… (sic)</w:t>
      </w:r>
      <w:r w:rsidRPr="00E8535B">
        <w:rPr>
          <w:rFonts w:ascii="Palatino Linotype" w:eastAsia="Palatino Linotype" w:hAnsi="Palatino Linotype" w:cs="Palatino Linotype"/>
          <w:color w:val="000000"/>
        </w:rPr>
        <w:t xml:space="preserve">; </w:t>
      </w:r>
    </w:p>
    <w:p w14:paraId="54227409"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Estudios, Proyectos y Sectorización; </w:t>
      </w:r>
    </w:p>
    <w:p w14:paraId="48CA5982"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Planeación e Integración de Obra; </w:t>
      </w:r>
    </w:p>
    <w:p w14:paraId="15D89AB5"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Dirección Comercial; </w:t>
      </w:r>
    </w:p>
    <w:p w14:paraId="31B3DA5C"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Gerente de Atención a Usuarios; </w:t>
      </w:r>
    </w:p>
    <w:p w14:paraId="5BCCD5A2"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Central; </w:t>
      </w:r>
    </w:p>
    <w:p w14:paraId="5C2C9C5D"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San Esteban; </w:t>
      </w:r>
    </w:p>
    <w:p w14:paraId="367786EF"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Tecamachalco; </w:t>
      </w:r>
    </w:p>
    <w:p w14:paraId="22804EED"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lastRenderedPageBreak/>
        <w:t xml:space="preserve">Subgerente de Satélite; </w:t>
      </w:r>
    </w:p>
    <w:p w14:paraId="2F60943E"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Echegaray; </w:t>
      </w:r>
    </w:p>
    <w:p w14:paraId="2723E691"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Lomas Verdes; </w:t>
      </w:r>
    </w:p>
    <w:p w14:paraId="27510C90"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San Mateo; </w:t>
      </w:r>
    </w:p>
    <w:p w14:paraId="6B5BB984"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Gerente de Rezagos, Restricciones y Ejecución Fiscal; </w:t>
      </w:r>
    </w:p>
    <w:p w14:paraId="38E8E88D"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i/>
          <w:color w:val="000000"/>
        </w:rPr>
        <w:t>Subgerente de Altas, Padrón y Censo</w:t>
      </w:r>
      <w:r w:rsidRPr="00E8535B">
        <w:rPr>
          <w:rFonts w:ascii="Palatino Linotype" w:eastAsia="Palatino Linotype" w:hAnsi="Palatino Linotype" w:cs="Palatino Linotype"/>
          <w:color w:val="000000"/>
        </w:rPr>
        <w:t xml:space="preserve">… (sic); </w:t>
      </w:r>
    </w:p>
    <w:p w14:paraId="5A2E3CC4"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Medidores; </w:t>
      </w:r>
    </w:p>
    <w:p w14:paraId="3ADE1959"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Directora Jurídica; </w:t>
      </w:r>
    </w:p>
    <w:p w14:paraId="757F459E"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Penal, Civil y Laboral, y del </w:t>
      </w:r>
    </w:p>
    <w:p w14:paraId="2E9EB9E2" w14:textId="77777777" w:rsidR="008D0CD7" w:rsidRPr="00E8535B" w:rsidRDefault="00434F3F">
      <w:pPr>
        <w:numPr>
          <w:ilvl w:val="2"/>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Subgerente de lo Contencioso y Procedimientos Administrativos; </w:t>
      </w:r>
    </w:p>
    <w:p w14:paraId="1A4DD3C4" w14:textId="77777777" w:rsidR="008D0CD7" w:rsidRPr="00E8535B" w:rsidRDefault="00434F3F">
      <w:pPr>
        <w:numPr>
          <w:ilvl w:val="1"/>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Hoja en la que se señala que se eliminan datos concernientes a: </w:t>
      </w:r>
    </w:p>
    <w:p w14:paraId="36C1D6AD" w14:textId="77777777" w:rsidR="008D0CD7" w:rsidRPr="00E8535B" w:rsidRDefault="00434F3F">
      <w:pPr>
        <w:pBdr>
          <w:top w:val="nil"/>
          <w:left w:val="nil"/>
          <w:bottom w:val="nil"/>
          <w:right w:val="nil"/>
          <w:between w:val="nil"/>
        </w:pBdr>
        <w:ind w:left="1440" w:right="864"/>
        <w:jc w:val="both"/>
        <w:rPr>
          <w:i/>
          <w:color w:val="000000"/>
          <w:sz w:val="22"/>
          <w:szCs w:val="22"/>
        </w:rPr>
      </w:pPr>
      <w:r w:rsidRPr="00E8535B">
        <w:rPr>
          <w:rFonts w:ascii="Palatino Linotype" w:eastAsia="Palatino Linotype" w:hAnsi="Palatino Linotype" w:cs="Palatino Linotype"/>
          <w:i/>
          <w:color w:val="000000"/>
          <w:sz w:val="22"/>
          <w:szCs w:val="22"/>
        </w:rPr>
        <w:t>“</w:t>
      </w:r>
      <w:r w:rsidRPr="00E8535B">
        <w:rPr>
          <w:i/>
          <w:color w:val="000000"/>
          <w:sz w:val="22"/>
          <w:szCs w:val="22"/>
        </w:rPr>
        <w:t xml:space="preserve">A) FIRMA DIRCTOR GENERAL. - POR TRATARSE DE UNA FIRMA, SIENDO ESTE, UN DATO PERSONAL Y CONFIDENCIAL. ARTÍCULO 143, FRACCIÓN I DE LA LEY DE TRANSPARENCIA Y ACCESO A LA INFORMACIÓN PÚBLICA DEL ESTADO DE MÉXICO Y MUNICIPIOS Y, ARTÍCULO 4 FRACCIÓN XI DE LA LEY DE PROTECCIÓN DE DATOS EN POSESIÓN DE SUJETO OBLIGADOS, POR TRATARSE DE UNA FIRMA, SIENDO ESTE UN DATO PERSONAL Y CONFIDENCIAL. </w:t>
      </w:r>
    </w:p>
    <w:p w14:paraId="455587D5" w14:textId="77777777" w:rsidR="008D0CD7" w:rsidRPr="00E8535B" w:rsidRDefault="00434F3F">
      <w:pPr>
        <w:pBdr>
          <w:top w:val="nil"/>
          <w:left w:val="nil"/>
          <w:bottom w:val="nil"/>
          <w:right w:val="nil"/>
          <w:between w:val="nil"/>
        </w:pBdr>
        <w:ind w:left="1440" w:right="864"/>
        <w:jc w:val="both"/>
        <w:rPr>
          <w:i/>
          <w:color w:val="000000"/>
          <w:sz w:val="22"/>
          <w:szCs w:val="22"/>
        </w:rPr>
      </w:pPr>
      <w:r w:rsidRPr="00E8535B">
        <w:rPr>
          <w:i/>
          <w:color w:val="000000"/>
          <w:sz w:val="22"/>
          <w:szCs w:val="22"/>
        </w:rPr>
        <w:t xml:space="preserve">B) SELLO INSTITUCIONAL- POR TRATARSE DE UN SELLO INSTITUCIONAL, SIENDO ESTE, UN DATO CONFIDENCIAL. ARTÍCULO 143, FRACCIÓN I DE LA LEY DE TRANSPARENCIA Y ACCESO A LA INFORMACIÓN PÚBLICA DEL ESTADO DE MÉXICO Y MUNICIPIOS Y, ARTÍCULO 4 FRACCIÓN XI DE LA LEY DE PROTECCIÓN DE DATOS EN POSESIÓN DE SUJETO OBLIGADOS, POR TRATARSE DE UN SELLO DE UNA INSTITUCIÓN, SIENDO ESTE UN DATO PERSONAL Y CONFIDENCIAL. </w:t>
      </w:r>
    </w:p>
    <w:p w14:paraId="7D48E02D" w14:textId="77777777" w:rsidR="008D0CD7" w:rsidRPr="00E8535B" w:rsidRDefault="00434F3F">
      <w:pPr>
        <w:pBdr>
          <w:top w:val="nil"/>
          <w:left w:val="nil"/>
          <w:bottom w:val="nil"/>
          <w:right w:val="nil"/>
          <w:between w:val="nil"/>
        </w:pBdr>
        <w:ind w:left="1440" w:right="864"/>
        <w:jc w:val="both"/>
        <w:rPr>
          <w:i/>
          <w:color w:val="000000"/>
          <w:sz w:val="22"/>
          <w:szCs w:val="22"/>
        </w:rPr>
      </w:pPr>
      <w:r w:rsidRPr="00E8535B">
        <w:rPr>
          <w:i/>
          <w:color w:val="000000"/>
          <w:sz w:val="22"/>
          <w:szCs w:val="22"/>
        </w:rPr>
        <w:t xml:space="preserve">C) FIRMA DEL SERVIDOR PÚBLICO. - POR TRATARSE DE UNA FIRMA, SIENDO ESTE, UN DATO PERSONAL Y CONFIDENCIAL. ARTÍCULO 143, FRACCIÓN I DE LA LEY DE TRANSPARENCIA Y </w:t>
      </w:r>
      <w:r w:rsidRPr="00E8535B">
        <w:rPr>
          <w:i/>
          <w:color w:val="000000"/>
          <w:sz w:val="22"/>
          <w:szCs w:val="22"/>
        </w:rPr>
        <w:lastRenderedPageBreak/>
        <w:t>ACCESO A LA INFORMACIÓN PÚBLICA DEL ESTADO DE MÉXICO Y MUNICIPIOS Y, ARTÍCULO 4 FRACCIÓN XI DE LA LEY DE PROTECCIÓN DE DATOS EN POSESIÓN DE SUJETO OBLIGADOS, POR TRATARSE DE UNA FIRMA, SIENDO ESTE UN DATO PERSONAL Y CONFIDENCIAL.” (sic)</w:t>
      </w:r>
    </w:p>
    <w:p w14:paraId="6FCD0A77" w14:textId="77777777" w:rsidR="008D0CD7" w:rsidRPr="00E8535B" w:rsidRDefault="008D0CD7"/>
    <w:p w14:paraId="28177BA1"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3. Interposición del recurso de revisión. </w:t>
      </w:r>
      <w:r w:rsidRPr="00E8535B">
        <w:rPr>
          <w:rFonts w:ascii="Palatino Linotype" w:eastAsia="Palatino Linotype" w:hAnsi="Palatino Linotype" w:cs="Palatino Linotype"/>
        </w:rPr>
        <w:t xml:space="preserve">Inconforme con los términos de la respuesta emitida por parte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el </w:t>
      </w:r>
      <w:r w:rsidRPr="00E8535B">
        <w:rPr>
          <w:rFonts w:ascii="Palatino Linotype" w:eastAsia="Palatino Linotype" w:hAnsi="Palatino Linotype" w:cs="Palatino Linotype"/>
          <w:b/>
        </w:rPr>
        <w:t>siete de septiembre</w:t>
      </w:r>
      <w:r w:rsidRPr="00E8535B">
        <w:rPr>
          <w:rFonts w:ascii="Palatino Linotype" w:eastAsia="Palatino Linotype" w:hAnsi="Palatino Linotype" w:cs="Palatino Linotype"/>
        </w:rPr>
        <w:t xml:space="preserve"> </w:t>
      </w:r>
      <w:r w:rsidRPr="00E8535B">
        <w:rPr>
          <w:rFonts w:ascii="Palatino Linotype" w:eastAsia="Palatino Linotype" w:hAnsi="Palatino Linotype" w:cs="Palatino Linotype"/>
          <w:b/>
        </w:rPr>
        <w:t>de dos mil veintidós,</w:t>
      </w:r>
      <w:r w:rsidRPr="00E8535B">
        <w:rPr>
          <w:rFonts w:ascii="Palatino Linotype" w:eastAsia="Palatino Linotype" w:hAnsi="Palatino Linotype" w:cs="Palatino Linotype"/>
        </w:rPr>
        <w:t xml:space="preserv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interpuso el recurso de revisión a través de SAIMEX</w:t>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en donde se manifestó de la siguiente manera:</w:t>
      </w:r>
    </w:p>
    <w:p w14:paraId="27EEA7D5" w14:textId="77777777" w:rsidR="008D0CD7" w:rsidRPr="00E8535B" w:rsidRDefault="008D0CD7">
      <w:pPr>
        <w:tabs>
          <w:tab w:val="left" w:pos="2745"/>
        </w:tabs>
        <w:spacing w:line="360" w:lineRule="auto"/>
        <w:jc w:val="both"/>
        <w:rPr>
          <w:rFonts w:ascii="Palatino Linotype" w:eastAsia="Palatino Linotype" w:hAnsi="Palatino Linotype" w:cs="Palatino Linotype"/>
          <w:b/>
          <w:sz w:val="22"/>
          <w:szCs w:val="22"/>
        </w:rPr>
      </w:pPr>
    </w:p>
    <w:p w14:paraId="09A94FC7" w14:textId="77777777" w:rsidR="008D0CD7" w:rsidRPr="00E8535B" w:rsidRDefault="00434F3F">
      <w:pPr>
        <w:tabs>
          <w:tab w:val="left" w:pos="2745"/>
        </w:tabs>
        <w:spacing w:line="360" w:lineRule="auto"/>
        <w:jc w:val="both"/>
        <w:rPr>
          <w:rFonts w:ascii="Palatino Linotype" w:eastAsia="Palatino Linotype" w:hAnsi="Palatino Linotype" w:cs="Palatino Linotype"/>
          <w:b/>
        </w:rPr>
      </w:pPr>
      <w:r w:rsidRPr="00E8535B">
        <w:rPr>
          <w:rFonts w:ascii="Palatino Linotype" w:eastAsia="Palatino Linotype" w:hAnsi="Palatino Linotype" w:cs="Palatino Linotype"/>
          <w:b/>
        </w:rPr>
        <w:t xml:space="preserve">Acto impugnado: </w:t>
      </w:r>
    </w:p>
    <w:p w14:paraId="3F663E0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“no se brinda una adecuada respuesta ni la documentación correspondiente para declarar la clasificación de la documentación así mismo no se brindan los documentos de los cuales se declara su existencia al realizar las manifestaciones en su respuesta.” (sic)</w:t>
      </w:r>
    </w:p>
    <w:p w14:paraId="5065E62F" w14:textId="77777777" w:rsidR="008D0CD7" w:rsidRPr="00E8535B" w:rsidRDefault="008D0CD7">
      <w:pPr>
        <w:spacing w:line="360" w:lineRule="auto"/>
        <w:jc w:val="both"/>
        <w:rPr>
          <w:rFonts w:ascii="Palatino Linotype" w:eastAsia="Palatino Linotype" w:hAnsi="Palatino Linotype" w:cs="Palatino Linotype"/>
          <w:b/>
        </w:rPr>
      </w:pPr>
    </w:p>
    <w:p w14:paraId="703C84E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Y razones o motivos de inconformidad</w:t>
      </w:r>
      <w:r w:rsidRPr="00E8535B">
        <w:rPr>
          <w:rFonts w:ascii="Palatino Linotype" w:eastAsia="Palatino Linotype" w:hAnsi="Palatino Linotype" w:cs="Palatino Linotype"/>
        </w:rPr>
        <w:t>:</w:t>
      </w:r>
    </w:p>
    <w:p w14:paraId="5CC32DA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4" w:name="_heading=h.30j0zll" w:colFirst="0" w:colLast="0"/>
      <w:bookmarkEnd w:id="4"/>
      <w:r w:rsidRPr="00E8535B">
        <w:rPr>
          <w:rFonts w:ascii="Palatino Linotype" w:eastAsia="Palatino Linotype" w:hAnsi="Palatino Linotype" w:cs="Palatino Linotype"/>
          <w:i/>
          <w:sz w:val="22"/>
          <w:szCs w:val="22"/>
        </w:rPr>
        <w:t xml:space="preserve"> “no se brinda una adecuada respuesta ni la documentación correspondiente para declarar la clasificación de la documentación así mismo no se brindan los documentos de los cuales se declara su existencia al realizar las manifestaciones en su respuesta.” (sic)</w:t>
      </w:r>
    </w:p>
    <w:p w14:paraId="46BACE82" w14:textId="77777777" w:rsidR="008D0CD7" w:rsidRPr="00E8535B" w:rsidRDefault="008D0CD7">
      <w:pPr>
        <w:spacing w:line="360" w:lineRule="auto"/>
        <w:ind w:right="51"/>
        <w:jc w:val="both"/>
        <w:rPr>
          <w:rFonts w:ascii="Palatino Linotype" w:eastAsia="Palatino Linotype" w:hAnsi="Palatino Linotype" w:cs="Palatino Linotype"/>
          <w:b/>
        </w:rPr>
      </w:pPr>
    </w:p>
    <w:p w14:paraId="07913A94" w14:textId="77777777" w:rsidR="008D0CD7" w:rsidRPr="00E8535B" w:rsidRDefault="00434F3F">
      <w:pPr>
        <w:spacing w:line="360" w:lineRule="auto"/>
        <w:ind w:right="51"/>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4. Turno. </w:t>
      </w:r>
      <w:r w:rsidRPr="00E8535B">
        <w:rPr>
          <w:rFonts w:ascii="Palatino Linotype" w:eastAsia="Palatino Linotype" w:hAnsi="Palatino Linotype" w:cs="Palatino Linotype"/>
        </w:rPr>
        <w:t>De conformidad con el artículo 185 fracción I de la Ley de Transparencia y Acceso a la Información Pública del Estado de México y Municipios</w:t>
      </w:r>
      <w:r w:rsidRPr="00E8535B">
        <w:rPr>
          <w:rFonts w:ascii="Palatino Linotype" w:eastAsia="Palatino Linotype" w:hAnsi="Palatino Linotype" w:cs="Palatino Linotype"/>
          <w:vertAlign w:val="superscript"/>
        </w:rPr>
        <w:footnoteReference w:id="5"/>
      </w:r>
      <w:r w:rsidRPr="00E8535B">
        <w:rPr>
          <w:rFonts w:ascii="Palatino Linotype" w:eastAsia="Palatino Linotype" w:hAnsi="Palatino Linotype" w:cs="Palatino Linotype"/>
        </w:rPr>
        <w:t xml:space="preserve">, el presente recurso de revisión se turnó por el sistema electrónico del </w:t>
      </w:r>
      <w:proofErr w:type="spellStart"/>
      <w:r w:rsidRPr="00E8535B">
        <w:rPr>
          <w:rFonts w:ascii="Palatino Linotype" w:eastAsia="Palatino Linotype" w:hAnsi="Palatino Linotype" w:cs="Palatino Linotype"/>
        </w:rPr>
        <w:t>Infoem</w:t>
      </w:r>
      <w:proofErr w:type="spellEnd"/>
      <w:r w:rsidRPr="00E8535B">
        <w:rPr>
          <w:rFonts w:ascii="Palatino Linotype" w:eastAsia="Palatino Linotype" w:hAnsi="Palatino Linotype" w:cs="Palatino Linotype"/>
        </w:rPr>
        <w:t xml:space="preserve">, a la </w:t>
      </w:r>
      <w:r w:rsidRPr="00E8535B">
        <w:rPr>
          <w:rFonts w:ascii="Palatino Linotype" w:eastAsia="Palatino Linotype" w:hAnsi="Palatino Linotype" w:cs="Palatino Linotype"/>
          <w:b/>
        </w:rPr>
        <w:t xml:space="preserve">Comisionada </w:t>
      </w:r>
      <w:r w:rsidRPr="00E8535B">
        <w:rPr>
          <w:rFonts w:ascii="Palatino Linotype" w:eastAsia="Palatino Linotype" w:hAnsi="Palatino Linotype" w:cs="Palatino Linotype"/>
          <w:b/>
        </w:rPr>
        <w:lastRenderedPageBreak/>
        <w:t xml:space="preserve">Guadalupe Ramírez Peña, </w:t>
      </w:r>
      <w:r w:rsidRPr="00E8535B">
        <w:rPr>
          <w:rFonts w:ascii="Palatino Linotype" w:eastAsia="Palatino Linotype" w:hAnsi="Palatino Linotype" w:cs="Palatino Linotype"/>
        </w:rPr>
        <w:t xml:space="preserve">a efecto de que analizara sobre su admisión o su </w:t>
      </w:r>
      <w:proofErr w:type="spellStart"/>
      <w:r w:rsidRPr="00E8535B">
        <w:rPr>
          <w:rFonts w:ascii="Palatino Linotype" w:eastAsia="Palatino Linotype" w:hAnsi="Palatino Linotype" w:cs="Palatino Linotype"/>
        </w:rPr>
        <w:t>desechamiento</w:t>
      </w:r>
      <w:proofErr w:type="spellEnd"/>
      <w:r w:rsidRPr="00E8535B">
        <w:rPr>
          <w:rFonts w:ascii="Palatino Linotype" w:eastAsia="Palatino Linotype" w:hAnsi="Palatino Linotype" w:cs="Palatino Linotype"/>
        </w:rPr>
        <w:t>.</w:t>
      </w:r>
    </w:p>
    <w:p w14:paraId="69810213" w14:textId="77777777" w:rsidR="008D0CD7" w:rsidRPr="00E8535B" w:rsidRDefault="008D0CD7">
      <w:pPr>
        <w:spacing w:line="360" w:lineRule="auto"/>
        <w:jc w:val="both"/>
        <w:rPr>
          <w:rFonts w:ascii="Palatino Linotype" w:eastAsia="Palatino Linotype" w:hAnsi="Palatino Linotype" w:cs="Palatino Linotype"/>
          <w:b/>
        </w:rPr>
      </w:pPr>
    </w:p>
    <w:p w14:paraId="1539899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5. Admisión del Recurso de revisión.</w:t>
      </w:r>
      <w:r w:rsidRPr="00E8535B">
        <w:rPr>
          <w:rFonts w:ascii="Palatino Linotype" w:eastAsia="Palatino Linotype" w:hAnsi="Palatino Linotype" w:cs="Palatino Linotype"/>
        </w:rPr>
        <w:t xml:space="preserve"> Con fecha</w:t>
      </w:r>
      <w:r w:rsidRPr="00E8535B">
        <w:rPr>
          <w:rFonts w:ascii="Palatino Linotype" w:eastAsia="Palatino Linotype" w:hAnsi="Palatino Linotype" w:cs="Palatino Linotype"/>
          <w:b/>
        </w:rPr>
        <w:t xml:space="preserve"> doce de septiembre de dos mil veintidós, </w:t>
      </w:r>
      <w:r w:rsidRPr="00E8535B">
        <w:rPr>
          <w:rFonts w:ascii="Palatino Linotype" w:eastAsia="Palatino Linotype" w:hAnsi="Palatino Linotype" w:cs="Palatino Linotype"/>
        </w:rPr>
        <w:t xml:space="preserve">el </w:t>
      </w:r>
      <w:proofErr w:type="spellStart"/>
      <w:r w:rsidRPr="00E8535B">
        <w:rPr>
          <w:rFonts w:ascii="Palatino Linotype" w:eastAsia="Palatino Linotype" w:hAnsi="Palatino Linotype" w:cs="Palatino Linotype"/>
        </w:rPr>
        <w:t>Infoem</w:t>
      </w:r>
      <w:proofErr w:type="spellEnd"/>
      <w:r w:rsidRPr="00E8535B">
        <w:rPr>
          <w:rFonts w:ascii="Palatino Linotype" w:eastAsia="Palatino Linotype" w:hAnsi="Palatino Linotype" w:cs="Palatino Linotype"/>
        </w:rPr>
        <w:t xml:space="preserve">, admitió a trámite el recurso de revisión que ahora se resuelve, dando un plazo máximo de siete días hábiles para que las partes manifestaran lo que a su derecho resultara conveniente, ofrecieran pruebas, formularan alegatos y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presentara su informe justificado.</w:t>
      </w:r>
    </w:p>
    <w:p w14:paraId="5B6034E7" w14:textId="77777777" w:rsidR="008D0CD7" w:rsidRPr="00E8535B" w:rsidRDefault="008D0CD7">
      <w:pPr>
        <w:spacing w:line="360" w:lineRule="auto"/>
        <w:jc w:val="both"/>
        <w:rPr>
          <w:rFonts w:ascii="Palatino Linotype" w:eastAsia="Palatino Linotype" w:hAnsi="Palatino Linotype" w:cs="Palatino Linotype"/>
          <w:b/>
        </w:rPr>
      </w:pPr>
      <w:bookmarkStart w:id="5" w:name="_heading=h.2s8eyo1" w:colFirst="0" w:colLast="0"/>
      <w:bookmarkEnd w:id="5"/>
    </w:p>
    <w:p w14:paraId="14DA73F6"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6. Manifestaciones</w:t>
      </w:r>
      <w:r w:rsidRPr="00E8535B">
        <w:rPr>
          <w:rFonts w:ascii="Palatino Linotype" w:eastAsia="Palatino Linotype" w:hAnsi="Palatino Linotype" w:cs="Palatino Linotype"/>
        </w:rPr>
        <w:t xml:space="preserve">. De las constancias que obran en el expediente electrónico del SAIMEX se tenemos que tanto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como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omitieron hacer uso de este derecho procesal, sin que al momento de dictar esta resolución se manifestaran, tal y como se hace constar: </w:t>
      </w:r>
    </w:p>
    <w:p w14:paraId="1B9F6961" w14:textId="77777777" w:rsidR="008D0CD7" w:rsidRPr="00E8535B" w:rsidRDefault="008D0CD7">
      <w:pPr>
        <w:spacing w:line="360" w:lineRule="auto"/>
        <w:jc w:val="both"/>
        <w:rPr>
          <w:rFonts w:ascii="Palatino Linotype" w:eastAsia="Palatino Linotype" w:hAnsi="Palatino Linotype" w:cs="Palatino Linotype"/>
        </w:rPr>
      </w:pPr>
    </w:p>
    <w:p w14:paraId="4D9A6CE1" w14:textId="77777777" w:rsidR="008D0CD7" w:rsidRPr="00E8535B" w:rsidRDefault="00434F3F">
      <w:pPr>
        <w:spacing w:line="360" w:lineRule="auto"/>
        <w:jc w:val="center"/>
        <w:rPr>
          <w:rFonts w:ascii="Palatino Linotype" w:eastAsia="Palatino Linotype" w:hAnsi="Palatino Linotype" w:cs="Palatino Linotype"/>
        </w:rPr>
      </w:pPr>
      <w:r w:rsidRPr="00E8535B">
        <w:rPr>
          <w:noProof/>
        </w:rPr>
        <w:drawing>
          <wp:inline distT="0" distB="0" distL="0" distR="0" wp14:anchorId="5706BD67" wp14:editId="389D013E">
            <wp:extent cx="5612130" cy="1692055"/>
            <wp:effectExtent l="0" t="0" r="0" b="0"/>
            <wp:docPr id="1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9165" t="29268" r="10896" b="27882"/>
                    <a:stretch>
                      <a:fillRect/>
                    </a:stretch>
                  </pic:blipFill>
                  <pic:spPr>
                    <a:xfrm>
                      <a:off x="0" y="0"/>
                      <a:ext cx="5612130" cy="1692055"/>
                    </a:xfrm>
                    <a:prstGeom prst="rect">
                      <a:avLst/>
                    </a:prstGeom>
                    <a:ln/>
                  </pic:spPr>
                </pic:pic>
              </a:graphicData>
            </a:graphic>
          </wp:inline>
        </w:drawing>
      </w:r>
    </w:p>
    <w:p w14:paraId="384FC7E2" w14:textId="77777777" w:rsidR="008D0CD7" w:rsidRPr="00E8535B" w:rsidRDefault="00434F3F">
      <w:pPr>
        <w:widowControl w:val="0"/>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7. Ampliación del plazo para emitir resolución. </w:t>
      </w:r>
      <w:r w:rsidRPr="00E8535B">
        <w:rPr>
          <w:rFonts w:ascii="Palatino Linotype" w:eastAsia="Palatino Linotype" w:hAnsi="Palatino Linotype" w:cs="Palatino Linotype"/>
        </w:rPr>
        <w:t xml:space="preserve">Para el </w:t>
      </w:r>
      <w:r w:rsidRPr="00E8535B">
        <w:rPr>
          <w:rFonts w:ascii="Palatino Linotype" w:eastAsia="Palatino Linotype" w:hAnsi="Palatino Linotype" w:cs="Palatino Linotype"/>
          <w:b/>
        </w:rPr>
        <w:t>veintisiete de febrero de dos mil veintitrés</w:t>
      </w:r>
      <w:r w:rsidRPr="00E8535B">
        <w:rPr>
          <w:rFonts w:ascii="Palatino Linotype" w:eastAsia="Palatino Linotype" w:hAnsi="Palatino Linotype" w:cs="Palatino Linotype"/>
        </w:rPr>
        <w:t xml:space="preserve">, este Instituto con fundamento en el artículo 181, párrafo tercero, </w:t>
      </w:r>
      <w:r w:rsidRPr="00E8535B">
        <w:rPr>
          <w:rFonts w:ascii="Palatino Linotype" w:eastAsia="Palatino Linotype" w:hAnsi="Palatino Linotype" w:cs="Palatino Linotype"/>
        </w:rPr>
        <w:lastRenderedPageBreak/>
        <w:t xml:space="preserve">de la Ley de Transparencia y Acceso a la Información Pública del Estado de México y Municipios, determinó ampliar el plazo para emitir la presente resolución. </w:t>
      </w:r>
    </w:p>
    <w:p w14:paraId="67B40244" w14:textId="77777777" w:rsidR="008D0CD7" w:rsidRPr="00E8535B" w:rsidRDefault="008D0CD7">
      <w:pPr>
        <w:widowControl w:val="0"/>
        <w:spacing w:line="360" w:lineRule="auto"/>
        <w:jc w:val="both"/>
        <w:rPr>
          <w:rFonts w:ascii="Palatino Linotype" w:eastAsia="Palatino Linotype" w:hAnsi="Palatino Linotype" w:cs="Palatino Linotype"/>
        </w:rPr>
      </w:pPr>
    </w:p>
    <w:p w14:paraId="7FC7CA62"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EAC1015" w14:textId="77777777" w:rsidR="008D0CD7" w:rsidRPr="00E8535B" w:rsidRDefault="008D0CD7">
      <w:pPr>
        <w:spacing w:line="360" w:lineRule="auto"/>
        <w:jc w:val="both"/>
        <w:rPr>
          <w:rFonts w:ascii="Palatino Linotype" w:eastAsia="Palatino Linotype" w:hAnsi="Palatino Linotype" w:cs="Palatino Linotype"/>
        </w:rPr>
      </w:pPr>
    </w:p>
    <w:p w14:paraId="19F1C07C"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A721A21" w14:textId="77777777" w:rsidR="008D0CD7" w:rsidRPr="00E8535B" w:rsidRDefault="008D0CD7">
      <w:pPr>
        <w:spacing w:line="360" w:lineRule="auto"/>
        <w:jc w:val="both"/>
        <w:rPr>
          <w:rFonts w:ascii="Palatino Linotype" w:eastAsia="Palatino Linotype" w:hAnsi="Palatino Linotype" w:cs="Palatino Linotype"/>
        </w:rPr>
      </w:pPr>
    </w:p>
    <w:p w14:paraId="36614FF6"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E8535B">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4E45606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68FB5DE" w14:textId="77777777" w:rsidR="008D0CD7" w:rsidRPr="00E8535B" w:rsidRDefault="008D0CD7">
      <w:pPr>
        <w:spacing w:line="360" w:lineRule="auto"/>
        <w:jc w:val="both"/>
        <w:rPr>
          <w:rFonts w:ascii="Palatino Linotype" w:eastAsia="Palatino Linotype" w:hAnsi="Palatino Linotype" w:cs="Palatino Linotype"/>
        </w:rPr>
      </w:pPr>
    </w:p>
    <w:p w14:paraId="6240E1CF"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23AC12" w14:textId="77777777" w:rsidR="008D0CD7" w:rsidRPr="00E8535B" w:rsidRDefault="008D0CD7">
      <w:pPr>
        <w:spacing w:line="360" w:lineRule="auto"/>
        <w:jc w:val="both"/>
        <w:rPr>
          <w:rFonts w:ascii="Palatino Linotype" w:eastAsia="Palatino Linotype" w:hAnsi="Palatino Linotype" w:cs="Palatino Linotype"/>
          <w:strike/>
        </w:rPr>
      </w:pPr>
    </w:p>
    <w:p w14:paraId="698D21A0" w14:textId="77777777" w:rsidR="008D0CD7" w:rsidRPr="00E8535B" w:rsidRDefault="00434F3F">
      <w:pPr>
        <w:numPr>
          <w:ilvl w:val="0"/>
          <w:numId w:val="3"/>
        </w:num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Complejidad del Asunto: </w:t>
      </w:r>
      <w:r w:rsidRPr="00E8535B">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664FF753" w14:textId="77777777" w:rsidR="008D0CD7" w:rsidRPr="00E8535B" w:rsidRDefault="00434F3F">
      <w:pPr>
        <w:numPr>
          <w:ilvl w:val="0"/>
          <w:numId w:val="3"/>
        </w:num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Actividad Procesal del interesado:</w:t>
      </w:r>
      <w:r w:rsidRPr="00E8535B">
        <w:rPr>
          <w:rFonts w:ascii="Palatino Linotype" w:eastAsia="Palatino Linotype" w:hAnsi="Palatino Linotype" w:cs="Palatino Linotype"/>
        </w:rPr>
        <w:t xml:space="preserve"> Acciones u omisiones del interesado.</w:t>
      </w:r>
    </w:p>
    <w:p w14:paraId="24D02330" w14:textId="77777777" w:rsidR="008D0CD7" w:rsidRPr="00E8535B" w:rsidRDefault="00434F3F">
      <w:pPr>
        <w:numPr>
          <w:ilvl w:val="0"/>
          <w:numId w:val="3"/>
        </w:num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Conducta de la Autoridad:</w:t>
      </w:r>
      <w:r w:rsidRPr="00E8535B">
        <w:rPr>
          <w:rFonts w:ascii="Palatino Linotype" w:eastAsia="Palatino Linotype" w:hAnsi="Palatino Linotype" w:cs="Palatino Linotype"/>
        </w:rPr>
        <w:t xml:space="preserve"> Las Acciones u omisiones realizadas en el procedimiento. Así como si la autoridad actuó con la debida diligencia.</w:t>
      </w:r>
    </w:p>
    <w:p w14:paraId="5FE2C1D3" w14:textId="77777777" w:rsidR="008D0CD7" w:rsidRPr="00E8535B" w:rsidRDefault="00434F3F">
      <w:pPr>
        <w:spacing w:line="360" w:lineRule="auto"/>
        <w:ind w:left="567"/>
        <w:jc w:val="both"/>
        <w:rPr>
          <w:rFonts w:ascii="Palatino Linotype" w:eastAsia="Palatino Linotype" w:hAnsi="Palatino Linotype" w:cs="Palatino Linotype"/>
        </w:rPr>
      </w:pPr>
      <w:r w:rsidRPr="00E8535B">
        <w:rPr>
          <w:rFonts w:ascii="Palatino Linotype" w:eastAsia="Palatino Linotype" w:hAnsi="Palatino Linotype" w:cs="Palatino Linotype"/>
          <w:b/>
        </w:rPr>
        <w:t>d) La afectación generada en la situación jurídica de la persona involucrada en el proceso:</w:t>
      </w:r>
      <w:r w:rsidRPr="00E8535B">
        <w:rPr>
          <w:rFonts w:ascii="Palatino Linotype" w:eastAsia="Palatino Linotype" w:hAnsi="Palatino Linotype" w:cs="Palatino Linotype"/>
        </w:rPr>
        <w:t xml:space="preserve"> Violación a sus derechos humanos.</w:t>
      </w:r>
    </w:p>
    <w:p w14:paraId="1932B03E" w14:textId="77777777" w:rsidR="008D0CD7" w:rsidRPr="00E8535B" w:rsidRDefault="008D0CD7">
      <w:pPr>
        <w:spacing w:line="360" w:lineRule="auto"/>
        <w:ind w:left="567"/>
        <w:jc w:val="both"/>
        <w:rPr>
          <w:rFonts w:ascii="Palatino Linotype" w:eastAsia="Palatino Linotype" w:hAnsi="Palatino Linotype" w:cs="Palatino Linotype"/>
        </w:rPr>
      </w:pPr>
    </w:p>
    <w:p w14:paraId="48A0064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1D9DC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8535B">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E8535B">
        <w:rPr>
          <w:rFonts w:ascii="Palatino Linotype" w:eastAsia="Palatino Linotype" w:hAnsi="Palatino Linotype" w:cs="Palatino Linotype"/>
          <w:b/>
        </w:rPr>
        <w:t>,</w:t>
      </w:r>
      <w:r w:rsidRPr="00E8535B">
        <w:rPr>
          <w:rFonts w:ascii="Palatino Linotype" w:eastAsia="Palatino Linotype" w:hAnsi="Palatino Linotype" w:cs="Palatino Linotype"/>
        </w:rPr>
        <w:t xml:space="preserve"> visible en la Gaceta del Seminario Judicial de la Federación con el registro digital 205635.</w:t>
      </w:r>
    </w:p>
    <w:p w14:paraId="113A6F74" w14:textId="77777777" w:rsidR="008D0CD7" w:rsidRPr="00E8535B" w:rsidRDefault="008D0CD7">
      <w:pPr>
        <w:spacing w:line="360" w:lineRule="auto"/>
        <w:jc w:val="both"/>
        <w:rPr>
          <w:rFonts w:ascii="Palatino Linotype" w:eastAsia="Palatino Linotype" w:hAnsi="Palatino Linotype" w:cs="Palatino Linotype"/>
          <w:b/>
        </w:rPr>
      </w:pPr>
    </w:p>
    <w:p w14:paraId="09D2634D"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E8535B">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67383040" w14:textId="77777777" w:rsidR="008D0CD7" w:rsidRPr="00E8535B" w:rsidRDefault="008D0CD7">
      <w:pPr>
        <w:spacing w:line="360" w:lineRule="auto"/>
        <w:jc w:val="both"/>
        <w:rPr>
          <w:rFonts w:ascii="Palatino Linotype" w:eastAsia="Palatino Linotype" w:hAnsi="Palatino Linotype" w:cs="Palatino Linotype"/>
        </w:rPr>
      </w:pPr>
    </w:p>
    <w:p w14:paraId="719FF8B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14784B" w14:textId="77777777" w:rsidR="008D0CD7" w:rsidRPr="00E8535B" w:rsidRDefault="008D0CD7">
      <w:pPr>
        <w:spacing w:line="360" w:lineRule="auto"/>
        <w:jc w:val="both"/>
        <w:rPr>
          <w:rFonts w:ascii="Palatino Linotype" w:eastAsia="Palatino Linotype" w:hAnsi="Palatino Linotype" w:cs="Palatino Linotype"/>
        </w:rPr>
      </w:pPr>
    </w:p>
    <w:p w14:paraId="29578E9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b/>
          <w:i/>
        </w:rPr>
        <w:t>“PLAZO RAZONABLE PARA RESOLVER. DIMENSIÓN Y EFECTOS DE ESTE CONCEPTO CUANDO SE ADUCE EXCESIVA CARGA DE TRABAJO.”</w:t>
      </w:r>
      <w:r w:rsidRPr="00E8535B">
        <w:rPr>
          <w:rFonts w:ascii="Palatino Linotype" w:eastAsia="Palatino Linotype" w:hAnsi="Palatino Linotype" w:cs="Palatino Linotype"/>
        </w:rPr>
        <w:t xml:space="preserve"> consultable en el Seminario Judicial de la Federación y su gaceta, con el registro digital 2002351.</w:t>
      </w:r>
    </w:p>
    <w:p w14:paraId="1F0528CB" w14:textId="77777777" w:rsidR="008D0CD7" w:rsidRPr="00E8535B" w:rsidRDefault="008D0CD7">
      <w:pPr>
        <w:spacing w:line="360" w:lineRule="auto"/>
        <w:jc w:val="both"/>
        <w:rPr>
          <w:rFonts w:ascii="Palatino Linotype" w:eastAsia="Palatino Linotype" w:hAnsi="Palatino Linotype" w:cs="Palatino Linotype"/>
        </w:rPr>
      </w:pPr>
    </w:p>
    <w:p w14:paraId="23FABE9A"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i/>
        </w:rPr>
        <w:t>“PLAZO RAZONABLE PARA RESOLVER. CONCEPTO Y ELEMENTOS QUE LO INTEGRAN A LA LUZ DEL DERECHO INTERNACIONAL DE LOS DERECHOS HUMANOS.”</w:t>
      </w:r>
      <w:r w:rsidRPr="00E8535B">
        <w:rPr>
          <w:rFonts w:ascii="Palatino Linotype" w:eastAsia="Palatino Linotype" w:hAnsi="Palatino Linotype" w:cs="Palatino Linotype"/>
          <w:b/>
        </w:rPr>
        <w:t>,</w:t>
      </w:r>
      <w:r w:rsidRPr="00E8535B">
        <w:rPr>
          <w:rFonts w:ascii="Palatino Linotype" w:eastAsia="Palatino Linotype" w:hAnsi="Palatino Linotype" w:cs="Palatino Linotype"/>
        </w:rPr>
        <w:t xml:space="preserve"> visible en el Seminario Judicial de la Federación y su gaceta, con el registro digital 2002350.</w:t>
      </w:r>
    </w:p>
    <w:p w14:paraId="656EDF07" w14:textId="77777777" w:rsidR="008D0CD7" w:rsidRPr="00E8535B" w:rsidRDefault="008D0CD7">
      <w:pPr>
        <w:spacing w:line="360" w:lineRule="auto"/>
        <w:jc w:val="both"/>
        <w:rPr>
          <w:rFonts w:ascii="Palatino Linotype" w:eastAsia="Palatino Linotype" w:hAnsi="Palatino Linotype" w:cs="Palatino Linotype"/>
        </w:rPr>
      </w:pPr>
    </w:p>
    <w:p w14:paraId="696EFB83"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1B3C6FA" w14:textId="77777777" w:rsidR="008D0CD7" w:rsidRPr="00E8535B" w:rsidRDefault="008D0CD7">
      <w:pPr>
        <w:spacing w:line="360" w:lineRule="auto"/>
        <w:jc w:val="both"/>
        <w:rPr>
          <w:rFonts w:ascii="Palatino Linotype" w:eastAsia="Palatino Linotype" w:hAnsi="Palatino Linotype" w:cs="Palatino Linotype"/>
        </w:rPr>
      </w:pPr>
    </w:p>
    <w:p w14:paraId="48E53E5C"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8. Cierre de instrucción. </w:t>
      </w:r>
      <w:r w:rsidRPr="00E8535B">
        <w:rPr>
          <w:rFonts w:ascii="Palatino Linotype" w:eastAsia="Palatino Linotype" w:hAnsi="Palatino Linotype" w:cs="Palatino Linotype"/>
        </w:rPr>
        <w:t xml:space="preserve">Una vez transcurrido el periodo otorgado a las partes para realizar sus manifestaciones y no habiendo documentos que integrar al expediente, con la misma fecha, </w:t>
      </w:r>
      <w:r w:rsidRPr="00E8535B">
        <w:rPr>
          <w:rFonts w:ascii="Palatino Linotype" w:eastAsia="Palatino Linotype" w:hAnsi="Palatino Linotype" w:cs="Palatino Linotype"/>
          <w:b/>
        </w:rPr>
        <w:t>veintisiete de febrero de dos mil veintitrés</w:t>
      </w:r>
      <w:r w:rsidRPr="00E8535B">
        <w:rPr>
          <w:rFonts w:ascii="Palatino Linotype" w:eastAsia="Palatino Linotype" w:hAnsi="Palatino Linotype" w:cs="Palatino Linotype"/>
        </w:rPr>
        <w:t xml:space="preserve">, la </w:t>
      </w:r>
      <w:r w:rsidRPr="00E8535B">
        <w:rPr>
          <w:rFonts w:ascii="Palatino Linotype" w:eastAsia="Palatino Linotype" w:hAnsi="Palatino Linotype" w:cs="Palatino Linotype"/>
          <w:b/>
        </w:rPr>
        <w:t>Comisionada Ponente</w:t>
      </w:r>
      <w:r w:rsidRPr="00E8535B">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1D962B96" w14:textId="77777777" w:rsidR="008D0CD7" w:rsidRPr="00E8535B" w:rsidRDefault="008D0CD7">
      <w:pPr>
        <w:spacing w:line="360" w:lineRule="auto"/>
        <w:jc w:val="both"/>
        <w:rPr>
          <w:rFonts w:ascii="Palatino Linotype" w:eastAsia="Palatino Linotype" w:hAnsi="Palatino Linotype" w:cs="Palatino Linotype"/>
        </w:rPr>
      </w:pPr>
    </w:p>
    <w:p w14:paraId="2512DD0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FB53C17" w14:textId="77777777" w:rsidR="008D0CD7" w:rsidRPr="00E8535B" w:rsidRDefault="008D0CD7">
      <w:pPr>
        <w:spacing w:line="360" w:lineRule="auto"/>
        <w:jc w:val="both"/>
        <w:rPr>
          <w:rFonts w:ascii="Palatino Linotype" w:eastAsia="Palatino Linotype" w:hAnsi="Palatino Linotype" w:cs="Palatino Linotype"/>
        </w:rPr>
      </w:pPr>
    </w:p>
    <w:p w14:paraId="46CF1832" w14:textId="77777777" w:rsidR="008D0CD7" w:rsidRPr="00E8535B" w:rsidRDefault="00434F3F">
      <w:pPr>
        <w:widowControl w:val="0"/>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E8535B">
        <w:rPr>
          <w:rFonts w:ascii="Palatino Linotype" w:eastAsia="Palatino Linotype" w:hAnsi="Palatino Linotype" w:cs="Palatino Linotype"/>
          <w:b/>
        </w:rPr>
        <w:t>C O N S I D E R A N D O S</w:t>
      </w:r>
    </w:p>
    <w:p w14:paraId="11E007D7" w14:textId="77777777" w:rsidR="008D0CD7" w:rsidRPr="00E8535B" w:rsidRDefault="008D0CD7">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5A99762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PRIMERO. Competencia.</w:t>
      </w:r>
      <w:r w:rsidRPr="00E8535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sidRPr="00E8535B">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C55C494" w14:textId="77777777" w:rsidR="008D0CD7" w:rsidRPr="00E8535B" w:rsidRDefault="008D0CD7">
      <w:pPr>
        <w:spacing w:line="360" w:lineRule="auto"/>
        <w:jc w:val="both"/>
        <w:rPr>
          <w:rFonts w:ascii="Palatino Linotype" w:eastAsia="Palatino Linotype" w:hAnsi="Palatino Linotype" w:cs="Palatino Linotype"/>
          <w:b/>
        </w:rPr>
      </w:pPr>
      <w:bookmarkStart w:id="6" w:name="_heading=h.tyjcwt" w:colFirst="0" w:colLast="0"/>
      <w:bookmarkEnd w:id="6"/>
    </w:p>
    <w:p w14:paraId="11632D8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SEGUNDO. Oportunidad y Procedibilidad del Recurso de Revisión</w:t>
      </w:r>
      <w:r w:rsidRPr="00E8535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D6134C" w14:textId="77777777" w:rsidR="008D0CD7" w:rsidRPr="00E8535B" w:rsidRDefault="008D0CD7">
      <w:pPr>
        <w:spacing w:line="360" w:lineRule="auto"/>
        <w:jc w:val="both"/>
        <w:rPr>
          <w:rFonts w:ascii="Palatino Linotype" w:eastAsia="Palatino Linotype" w:hAnsi="Palatino Linotype" w:cs="Palatino Linotype"/>
        </w:rPr>
      </w:pPr>
    </w:p>
    <w:p w14:paraId="43AF052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 xml:space="preserve">remitió la respuesta a la solicitud de información el día </w:t>
      </w:r>
      <w:r w:rsidRPr="00E8535B">
        <w:rPr>
          <w:rFonts w:ascii="Palatino Linotype" w:eastAsia="Palatino Linotype" w:hAnsi="Palatino Linotype" w:cs="Palatino Linotype"/>
          <w:b/>
        </w:rPr>
        <w:t xml:space="preserve">primero de septiembre de dos mil veintidós, </w:t>
      </w:r>
      <w:r w:rsidRPr="00E8535B">
        <w:rPr>
          <w:rFonts w:ascii="Palatino Linotype" w:eastAsia="Palatino Linotype" w:hAnsi="Palatino Linotype" w:cs="Palatino Linotype"/>
        </w:rPr>
        <w:t xml:space="preserve">mientras que el recurso de revisión interpuesto por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se tuvo por presentado el día </w:t>
      </w:r>
      <w:r w:rsidRPr="00E8535B">
        <w:rPr>
          <w:rFonts w:ascii="Palatino Linotype" w:eastAsia="Palatino Linotype" w:hAnsi="Palatino Linotype" w:cs="Palatino Linotype"/>
          <w:b/>
        </w:rPr>
        <w:t>siete de septiembre de dos mil veintidós</w:t>
      </w:r>
      <w:r w:rsidRPr="00E8535B">
        <w:rPr>
          <w:rFonts w:ascii="Palatino Linotype" w:eastAsia="Palatino Linotype" w:hAnsi="Palatino Linotype" w:cs="Palatino Linotype"/>
        </w:rPr>
        <w:t>, esto es, al cuarto día hábil después en que tuvo conocimiento de la respuesta.</w:t>
      </w:r>
    </w:p>
    <w:p w14:paraId="2C649782" w14:textId="77777777" w:rsidR="008D0CD7" w:rsidRPr="00E8535B" w:rsidRDefault="008D0CD7">
      <w:pPr>
        <w:spacing w:line="360" w:lineRule="auto"/>
        <w:jc w:val="both"/>
        <w:rPr>
          <w:rFonts w:ascii="Palatino Linotype" w:eastAsia="Palatino Linotype" w:hAnsi="Palatino Linotype" w:cs="Palatino Linotype"/>
        </w:rPr>
      </w:pPr>
    </w:p>
    <w:p w14:paraId="2A152BDF" w14:textId="77777777" w:rsidR="008D0CD7" w:rsidRPr="00E8535B" w:rsidRDefault="00434F3F">
      <w:pPr>
        <w:spacing w:line="360" w:lineRule="auto"/>
        <w:jc w:val="both"/>
        <w:rPr>
          <w:rFonts w:ascii="Palatino Linotype" w:eastAsia="Palatino Linotype" w:hAnsi="Palatino Linotype" w:cs="Palatino Linotype"/>
        </w:rPr>
      </w:pPr>
      <w:bookmarkStart w:id="7" w:name="_heading=h.3znysh7" w:colFirst="0" w:colLast="0"/>
      <w:bookmarkEnd w:id="7"/>
      <w:r w:rsidRPr="00E8535B">
        <w:rPr>
          <w:rFonts w:ascii="Palatino Linotype" w:eastAsia="Palatino Linotype" w:hAnsi="Palatino Linotype" w:cs="Palatino Linotype"/>
        </w:rPr>
        <w:lastRenderedPageBreak/>
        <w:t xml:space="preserve">En este sentido, al considerar la fecha en que se formuló la solicitud y la fecha en que respondió a esta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así como la fecha en que se interpuso el recurso de revisión, se concluye que el presente medio de impugnación se encuentra dentro de los márgenes temporales previstos las disposiciones legales referidas.</w:t>
      </w:r>
    </w:p>
    <w:p w14:paraId="0940D518" w14:textId="77777777" w:rsidR="008D0CD7" w:rsidRPr="00E8535B" w:rsidRDefault="008D0CD7">
      <w:pPr>
        <w:spacing w:line="360" w:lineRule="auto"/>
        <w:jc w:val="both"/>
        <w:rPr>
          <w:rFonts w:ascii="Palatino Linotype" w:eastAsia="Palatino Linotype" w:hAnsi="Palatino Linotype" w:cs="Palatino Linotype"/>
        </w:rPr>
      </w:pPr>
    </w:p>
    <w:p w14:paraId="173BAD59"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75E893" w14:textId="77777777" w:rsidR="008D0CD7" w:rsidRPr="00E8535B" w:rsidRDefault="008D0CD7">
      <w:pPr>
        <w:spacing w:line="360" w:lineRule="auto"/>
        <w:jc w:val="both"/>
        <w:rPr>
          <w:rFonts w:ascii="Palatino Linotype" w:eastAsia="Palatino Linotype" w:hAnsi="Palatino Linotype" w:cs="Palatino Linotype"/>
        </w:rPr>
      </w:pPr>
    </w:p>
    <w:p w14:paraId="316846EA"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 efecto de sustentar lo anterior, es de suma importancia mencionar que la persona solicitante</w:t>
      </w:r>
      <w:r w:rsidRPr="00E8535B">
        <w:rPr>
          <w:rFonts w:ascii="Palatino Linotype" w:eastAsia="Palatino Linotype" w:hAnsi="Palatino Linotype" w:cs="Palatino Linotype"/>
          <w:b/>
        </w:rPr>
        <w:t xml:space="preserve"> no proporcionó su nombre </w:t>
      </w:r>
      <w:r w:rsidRPr="00E8535B">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8754DFC" w14:textId="77777777" w:rsidR="009B49FF" w:rsidRPr="00E8535B" w:rsidRDefault="009B49FF">
      <w:pPr>
        <w:pBdr>
          <w:top w:val="nil"/>
          <w:left w:val="nil"/>
          <w:bottom w:val="nil"/>
          <w:right w:val="nil"/>
          <w:between w:val="nil"/>
        </w:pBdr>
        <w:ind w:left="864" w:right="864"/>
        <w:jc w:val="both"/>
        <w:rPr>
          <w:rFonts w:ascii="Palatino Linotype" w:eastAsia="Palatino Linotype" w:hAnsi="Palatino Linotype" w:cs="Palatino Linotype"/>
        </w:rPr>
      </w:pPr>
    </w:p>
    <w:p w14:paraId="173D814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E8535B">
        <w:rPr>
          <w:rFonts w:ascii="Palatino Linotype" w:eastAsia="Palatino Linotype" w:hAnsi="Palatino Linotype" w:cs="Palatino Linotype"/>
          <w:b/>
          <w:i/>
          <w:sz w:val="22"/>
          <w:szCs w:val="22"/>
        </w:rPr>
        <w:t>(…)</w:t>
      </w:r>
    </w:p>
    <w:p w14:paraId="2D948A1C"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Las solicitudes anónimas</w:t>
      </w:r>
      <w:r w:rsidRPr="00E8535B">
        <w:rPr>
          <w:rFonts w:ascii="Palatino Linotype" w:eastAsia="Palatino Linotype" w:hAnsi="Palatino Linotype" w:cs="Palatino Linotype"/>
          <w:i/>
          <w:sz w:val="22"/>
          <w:szCs w:val="22"/>
        </w:rPr>
        <w:t xml:space="preserve">, con nombre incompleto o seudónimo </w:t>
      </w:r>
      <w:r w:rsidRPr="00E8535B">
        <w:rPr>
          <w:rFonts w:ascii="Palatino Linotype" w:eastAsia="Palatino Linotype" w:hAnsi="Palatino Linotype" w:cs="Palatino Linotype"/>
          <w:b/>
          <w:i/>
          <w:sz w:val="22"/>
          <w:szCs w:val="22"/>
        </w:rPr>
        <w:t xml:space="preserve">serán procedentes para su trámite por parte del sujeto obligado ante quien se </w:t>
      </w:r>
      <w:r w:rsidRPr="00E8535B">
        <w:rPr>
          <w:rFonts w:ascii="Palatino Linotype" w:eastAsia="Palatino Linotype" w:hAnsi="Palatino Linotype" w:cs="Palatino Linotype"/>
          <w:b/>
          <w:i/>
          <w:sz w:val="22"/>
          <w:szCs w:val="22"/>
        </w:rPr>
        <w:lastRenderedPageBreak/>
        <w:t>presente</w:t>
      </w:r>
      <w:r w:rsidRPr="00E8535B">
        <w:rPr>
          <w:rFonts w:ascii="Palatino Linotype" w:eastAsia="Palatino Linotype" w:hAnsi="Palatino Linotype" w:cs="Palatino Linotype"/>
          <w:i/>
          <w:sz w:val="22"/>
          <w:szCs w:val="22"/>
        </w:rPr>
        <w:t>. No podrá requerirse información adicional con motivo del nombre proporcionado por el solicitante.</w:t>
      </w:r>
    </w:p>
    <w:p w14:paraId="3683127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w:t>
      </w:r>
    </w:p>
    <w:p w14:paraId="5D672A5A" w14:textId="77777777" w:rsidR="008D0CD7" w:rsidRPr="00E8535B" w:rsidRDefault="008D0CD7"/>
    <w:p w14:paraId="59D0AC7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35752F0B" w14:textId="77777777" w:rsidR="008D0CD7" w:rsidRPr="00E8535B" w:rsidRDefault="008D0CD7">
      <w:pPr>
        <w:spacing w:line="360" w:lineRule="auto"/>
        <w:jc w:val="both"/>
        <w:rPr>
          <w:rFonts w:ascii="Palatino Linotype" w:eastAsia="Palatino Linotype" w:hAnsi="Palatino Linotype" w:cs="Palatino Linotype"/>
        </w:rPr>
      </w:pPr>
    </w:p>
    <w:p w14:paraId="6B9A7C5B"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Finalmente, se advierte que resulta procedente la interposición del recurso, según lo manifestado por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en sus motivos de inconformidad, de acuerdo al artículo 179 fracciones I y V del ordenamiento legal citado, que a la letra dice: </w:t>
      </w:r>
    </w:p>
    <w:p w14:paraId="20A19437"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1BFBDD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Artículo 179. El recurso de revisión es un medio de protección que la Ley otorga a los particulares, para hacer valer su derecho de acceso a la información pública, y procederá en contra de las siguientes causas:</w:t>
      </w:r>
    </w:p>
    <w:p w14:paraId="63E30CB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 La clasificación de la información;</w:t>
      </w:r>
    </w:p>
    <w:p w14:paraId="186ABAA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5187055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 La entrega de información incompleta;</w:t>
      </w:r>
    </w:p>
    <w:p w14:paraId="43E4935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32F4C440"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31990B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TERCERO. Materia de la revisión. </w:t>
      </w:r>
      <w:r w:rsidRPr="00E8535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8535B">
        <w:rPr>
          <w:rFonts w:ascii="Palatino Linotype" w:eastAsia="Palatino Linotype" w:hAnsi="Palatino Linotype" w:cs="Palatino Linotype"/>
        </w:rPr>
        <w:lastRenderedPageBreak/>
        <w:t>verificar si la respuesta otorgada por</w:t>
      </w:r>
      <w:r w:rsidRPr="00E8535B">
        <w:rPr>
          <w:rFonts w:ascii="Palatino Linotype" w:eastAsia="Palatino Linotype" w:hAnsi="Palatino Linotype" w:cs="Palatino Linotype"/>
          <w:b/>
        </w:rPr>
        <w:t xml:space="preserve"> EL SUJETO OBLIGADO </w:t>
      </w:r>
      <w:r w:rsidRPr="00E8535B">
        <w:rPr>
          <w:rFonts w:ascii="Palatino Linotype" w:eastAsia="Palatino Linotype" w:hAnsi="Palatino Linotype" w:cs="Palatino Linotype"/>
        </w:rPr>
        <w:t xml:space="preserve">es adecuada y suficiente para satisfacer el Derecho de Acceso a la Información Pública de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o en su defecto, en caso de ser procedente, ordenar la entrega de información oportuna.</w:t>
      </w:r>
    </w:p>
    <w:p w14:paraId="36D15834" w14:textId="77777777" w:rsidR="008D0CD7" w:rsidRPr="00E8535B" w:rsidRDefault="008D0CD7">
      <w:pPr>
        <w:spacing w:line="360" w:lineRule="auto"/>
        <w:ind w:right="51"/>
        <w:jc w:val="both"/>
        <w:rPr>
          <w:rFonts w:ascii="Palatino Linotype" w:eastAsia="Palatino Linotype" w:hAnsi="Palatino Linotype" w:cs="Palatino Linotype"/>
          <w:b/>
        </w:rPr>
      </w:pPr>
      <w:bookmarkStart w:id="8" w:name="_heading=h.2et92p0" w:colFirst="0" w:colLast="0"/>
      <w:bookmarkEnd w:id="8"/>
    </w:p>
    <w:p w14:paraId="1831A4D3" w14:textId="77777777" w:rsidR="008D0CD7" w:rsidRPr="00E8535B" w:rsidRDefault="00434F3F">
      <w:pPr>
        <w:spacing w:line="360" w:lineRule="auto"/>
        <w:ind w:right="51"/>
        <w:jc w:val="both"/>
        <w:rPr>
          <w:rFonts w:ascii="Palatino Linotype" w:eastAsia="Palatino Linotype" w:hAnsi="Palatino Linotype" w:cs="Palatino Linotype"/>
          <w:b/>
        </w:rPr>
      </w:pPr>
      <w:r w:rsidRPr="00E8535B">
        <w:rPr>
          <w:rFonts w:ascii="Palatino Linotype" w:eastAsia="Palatino Linotype" w:hAnsi="Palatino Linotype" w:cs="Palatino Linotype"/>
          <w:b/>
        </w:rPr>
        <w:t xml:space="preserve">CUARTO. Estudio del asunto. </w:t>
      </w:r>
      <w:r w:rsidRPr="00E8535B">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8CF5A3" w14:textId="77777777" w:rsidR="008D0CD7" w:rsidRPr="00E8535B" w:rsidRDefault="008D0CD7">
      <w:pPr>
        <w:tabs>
          <w:tab w:val="left" w:pos="709"/>
        </w:tabs>
        <w:ind w:left="851" w:right="616"/>
        <w:jc w:val="both"/>
        <w:rPr>
          <w:rFonts w:ascii="Palatino Linotype" w:eastAsia="Palatino Linotype" w:hAnsi="Palatino Linotype" w:cs="Palatino Linotype"/>
          <w:b/>
          <w:i/>
          <w:sz w:val="22"/>
          <w:szCs w:val="22"/>
          <w:u w:val="single"/>
        </w:rPr>
      </w:pPr>
    </w:p>
    <w:p w14:paraId="11B856E5" w14:textId="77777777" w:rsidR="008D0CD7" w:rsidRPr="00E8535B" w:rsidRDefault="00434F3F">
      <w:pPr>
        <w:tabs>
          <w:tab w:val="left" w:pos="709"/>
        </w:tabs>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8535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7EA3926" w14:textId="77777777" w:rsidR="008D0CD7" w:rsidRPr="00E8535B" w:rsidRDefault="00434F3F">
      <w:pPr>
        <w:tabs>
          <w:tab w:val="left" w:pos="709"/>
        </w:tabs>
        <w:ind w:left="851" w:right="616"/>
        <w:jc w:val="both"/>
        <w:rPr>
          <w:rFonts w:ascii="Palatino Linotype" w:eastAsia="Palatino Linotype" w:hAnsi="Palatino Linotype" w:cs="Palatino Linotype"/>
          <w:b/>
          <w:i/>
          <w:sz w:val="22"/>
          <w:szCs w:val="22"/>
        </w:rPr>
      </w:pPr>
      <w:r w:rsidRPr="00E8535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F9F5C38" w14:textId="77777777" w:rsidR="008D0CD7" w:rsidRPr="00E8535B" w:rsidRDefault="00434F3F">
      <w:pPr>
        <w:tabs>
          <w:tab w:val="left" w:pos="709"/>
        </w:tabs>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8535B">
        <w:rPr>
          <w:rFonts w:ascii="Palatino Linotype" w:eastAsia="Palatino Linotype" w:hAnsi="Palatino Linotype" w:cs="Palatino Linotype"/>
          <w:i/>
          <w:sz w:val="22"/>
          <w:szCs w:val="22"/>
        </w:rPr>
        <w:t xml:space="preserve"> En consecuencia, el Estado </w:t>
      </w:r>
      <w:r w:rsidRPr="00E8535B">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14:paraId="3FA19C06" w14:textId="77777777" w:rsidR="008D0CD7" w:rsidRPr="00E8535B" w:rsidRDefault="00434F3F">
      <w:pPr>
        <w:tabs>
          <w:tab w:val="left" w:pos="709"/>
        </w:tabs>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w:t>
      </w:r>
    </w:p>
    <w:p w14:paraId="35EB5731" w14:textId="77777777" w:rsidR="008D0CD7" w:rsidRPr="00E8535B" w:rsidRDefault="008D0CD7">
      <w:pPr>
        <w:ind w:left="851" w:right="616"/>
        <w:jc w:val="both"/>
        <w:rPr>
          <w:rFonts w:ascii="Palatino Linotype" w:eastAsia="Palatino Linotype" w:hAnsi="Palatino Linotype" w:cs="Palatino Linotype"/>
          <w:b/>
          <w:i/>
          <w:sz w:val="22"/>
          <w:szCs w:val="22"/>
        </w:rPr>
      </w:pPr>
    </w:p>
    <w:p w14:paraId="207CB171"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Artículo 6o.</w:t>
      </w:r>
    </w:p>
    <w:p w14:paraId="6AB01031"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w:t>
      </w:r>
    </w:p>
    <w:p w14:paraId="7F6A2753"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A. Para el ejercicio del derecho de acceso a la información, la Federación y </w:t>
      </w:r>
      <w:r w:rsidRPr="00E8535B">
        <w:rPr>
          <w:rFonts w:ascii="Palatino Linotype" w:eastAsia="Palatino Linotype" w:hAnsi="Palatino Linotype" w:cs="Palatino Linotype"/>
          <w:b/>
          <w:i/>
          <w:sz w:val="22"/>
          <w:szCs w:val="22"/>
          <w:u w:val="single"/>
        </w:rPr>
        <w:t>las entidades federativas</w:t>
      </w:r>
      <w:r w:rsidRPr="00E8535B">
        <w:rPr>
          <w:rFonts w:ascii="Palatino Linotype" w:eastAsia="Palatino Linotype" w:hAnsi="Palatino Linotype" w:cs="Palatino Linotype"/>
          <w:b/>
          <w:i/>
          <w:sz w:val="22"/>
          <w:szCs w:val="22"/>
        </w:rPr>
        <w:t>,</w:t>
      </w:r>
      <w:r w:rsidRPr="00E8535B">
        <w:rPr>
          <w:rFonts w:ascii="Palatino Linotype" w:eastAsia="Palatino Linotype" w:hAnsi="Palatino Linotype" w:cs="Palatino Linotype"/>
          <w:i/>
          <w:sz w:val="22"/>
          <w:szCs w:val="22"/>
        </w:rPr>
        <w:t xml:space="preserve"> en el ámbito de sus respectivas competencias, se regirán por los siguientes principios y bases:</w:t>
      </w:r>
    </w:p>
    <w:p w14:paraId="2673A133"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I. </w:t>
      </w:r>
      <w:r w:rsidRPr="00E8535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8535B">
        <w:rPr>
          <w:rFonts w:ascii="Palatino Linotype" w:eastAsia="Palatino Linotype" w:hAnsi="Palatino Linotype" w:cs="Palatino Linotype"/>
          <w:i/>
          <w:sz w:val="22"/>
          <w:szCs w:val="22"/>
        </w:rPr>
        <w:t xml:space="preserve"> Ejecutivo, Legislativo </w:t>
      </w:r>
      <w:r w:rsidRPr="00E8535B">
        <w:rPr>
          <w:rFonts w:ascii="Palatino Linotype" w:eastAsia="Palatino Linotype" w:hAnsi="Palatino Linotype" w:cs="Palatino Linotype"/>
          <w:b/>
          <w:i/>
          <w:sz w:val="22"/>
          <w:szCs w:val="22"/>
          <w:u w:val="single"/>
        </w:rPr>
        <w:t>y Judicial</w:t>
      </w:r>
      <w:r w:rsidRPr="00E8535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8535B">
        <w:rPr>
          <w:rFonts w:ascii="Palatino Linotype" w:eastAsia="Palatino Linotype" w:hAnsi="Palatino Linotype" w:cs="Palatino Linotype"/>
          <w:b/>
          <w:i/>
          <w:sz w:val="22"/>
          <w:szCs w:val="22"/>
        </w:rPr>
        <w:t>es pública y sólo podrá ser reservada temporalmente por razones de interés público y seguridad nacional,</w:t>
      </w:r>
      <w:r w:rsidRPr="00E8535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FBF9B8"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w:t>
      </w:r>
    </w:p>
    <w:p w14:paraId="29A7D9AB" w14:textId="77777777" w:rsidR="008D0CD7" w:rsidRPr="00E8535B" w:rsidRDefault="00434F3F">
      <w:pPr>
        <w:ind w:left="851" w:right="616"/>
        <w:jc w:val="both"/>
        <w:rPr>
          <w:rFonts w:ascii="Palatino Linotype" w:eastAsia="Palatino Linotype" w:hAnsi="Palatino Linotype" w:cs="Palatino Linotype"/>
          <w:b/>
          <w:i/>
          <w:sz w:val="22"/>
          <w:szCs w:val="22"/>
        </w:rPr>
      </w:pPr>
      <w:r w:rsidRPr="00E8535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7563616"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w:t>
      </w:r>
    </w:p>
    <w:p w14:paraId="3165AFFA"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III. </w:t>
      </w:r>
      <w:r w:rsidRPr="00E8535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8535B">
        <w:rPr>
          <w:rFonts w:ascii="Palatino Linotype" w:eastAsia="Palatino Linotype" w:hAnsi="Palatino Linotype" w:cs="Palatino Linotype"/>
          <w:i/>
          <w:sz w:val="22"/>
          <w:szCs w:val="22"/>
        </w:rPr>
        <w:t xml:space="preserve"> a sus datos personales o a la rectificación de éstos.</w:t>
      </w:r>
    </w:p>
    <w:p w14:paraId="251CD653"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w:t>
      </w:r>
    </w:p>
    <w:p w14:paraId="5E56F316"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IV. </w:t>
      </w:r>
      <w:r w:rsidRPr="00E8535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8B87107" w14:textId="77777777" w:rsidR="008D0CD7" w:rsidRPr="00E8535B" w:rsidRDefault="008D0CD7">
      <w:pPr>
        <w:ind w:left="851" w:right="616"/>
        <w:jc w:val="both"/>
        <w:rPr>
          <w:rFonts w:ascii="Palatino Linotype" w:eastAsia="Palatino Linotype" w:hAnsi="Palatino Linotype" w:cs="Palatino Linotype"/>
          <w:i/>
          <w:sz w:val="22"/>
          <w:szCs w:val="22"/>
        </w:rPr>
      </w:pPr>
    </w:p>
    <w:p w14:paraId="66D4F1C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V. </w:t>
      </w:r>
      <w:r w:rsidRPr="00E8535B">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E8535B">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124D6AF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w:t>
      </w:r>
    </w:p>
    <w:p w14:paraId="3F0E4F1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VI. </w:t>
      </w:r>
      <w:r w:rsidRPr="00E8535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2FDF842"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w:t>
      </w:r>
    </w:p>
    <w:p w14:paraId="0429C4F6"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VII. </w:t>
      </w:r>
      <w:r w:rsidRPr="00E8535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5175C1B2"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w:t>
      </w:r>
    </w:p>
    <w:p w14:paraId="2D94A993" w14:textId="77777777" w:rsidR="008D0CD7" w:rsidRPr="00E8535B" w:rsidRDefault="008D0CD7">
      <w:pPr>
        <w:ind w:right="616"/>
        <w:jc w:val="both"/>
        <w:rPr>
          <w:rFonts w:ascii="Palatino Linotype" w:eastAsia="Palatino Linotype" w:hAnsi="Palatino Linotype" w:cs="Palatino Linotype"/>
          <w:i/>
          <w:sz w:val="22"/>
          <w:szCs w:val="22"/>
        </w:rPr>
      </w:pPr>
    </w:p>
    <w:p w14:paraId="3B3A330F" w14:textId="77777777" w:rsidR="008D0CD7" w:rsidRPr="00E8535B" w:rsidRDefault="00434F3F">
      <w:pPr>
        <w:tabs>
          <w:tab w:val="left" w:pos="709"/>
        </w:tabs>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2C5AB4E" w14:textId="77777777" w:rsidR="008D0CD7" w:rsidRPr="00E8535B" w:rsidRDefault="008D0CD7">
      <w:pPr>
        <w:tabs>
          <w:tab w:val="left" w:pos="709"/>
        </w:tabs>
        <w:spacing w:line="360" w:lineRule="auto"/>
        <w:jc w:val="both"/>
        <w:rPr>
          <w:rFonts w:ascii="Palatino Linotype" w:eastAsia="Palatino Linotype" w:hAnsi="Palatino Linotype" w:cs="Palatino Linotype"/>
        </w:rPr>
      </w:pPr>
    </w:p>
    <w:p w14:paraId="3449958B"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primer lugar, es conveniente analizar si la respuesta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E8535B">
        <w:rPr>
          <w:rFonts w:ascii="Palatino Linotype" w:eastAsia="Palatino Linotype" w:hAnsi="Palatino Linotype" w:cs="Palatino Linotype"/>
        </w:rPr>
        <w:lastRenderedPageBreak/>
        <w:t>establece dicha determinación, que a continuación se transcribe para un mejor entendimiento:</w:t>
      </w:r>
    </w:p>
    <w:p w14:paraId="05FAD6E8" w14:textId="77777777" w:rsidR="008D0CD7" w:rsidRPr="00E8535B" w:rsidRDefault="008D0CD7">
      <w:pPr>
        <w:spacing w:line="360" w:lineRule="auto"/>
        <w:jc w:val="both"/>
        <w:rPr>
          <w:rFonts w:ascii="Palatino Linotype" w:eastAsia="Palatino Linotype" w:hAnsi="Palatino Linotype" w:cs="Palatino Linotype"/>
        </w:rPr>
      </w:pPr>
    </w:p>
    <w:p w14:paraId="03133ADB"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Artículo 4.</w:t>
      </w:r>
      <w:r w:rsidRPr="00E8535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C59C5B"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8535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0C1CC4"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8535B">
        <w:rPr>
          <w:rFonts w:ascii="Palatino Linotype" w:eastAsia="Palatino Linotype" w:hAnsi="Palatino Linotype" w:cs="Palatino Linotype"/>
          <w:i/>
          <w:sz w:val="22"/>
          <w:szCs w:val="22"/>
        </w:rPr>
        <w:t>.</w:t>
      </w:r>
    </w:p>
    <w:p w14:paraId="2EB83D2F" w14:textId="77777777" w:rsidR="008D0CD7" w:rsidRPr="00E8535B" w:rsidRDefault="008D0CD7">
      <w:pPr>
        <w:ind w:left="851" w:right="760"/>
        <w:jc w:val="both"/>
        <w:rPr>
          <w:rFonts w:ascii="Palatino Linotype" w:eastAsia="Palatino Linotype" w:hAnsi="Palatino Linotype" w:cs="Palatino Linotype"/>
          <w:i/>
        </w:rPr>
      </w:pPr>
    </w:p>
    <w:p w14:paraId="6D0FED78"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715F3AE" w14:textId="77777777" w:rsidR="008D0CD7" w:rsidRPr="00E8535B" w:rsidRDefault="008D0CD7">
      <w:pPr>
        <w:spacing w:line="360" w:lineRule="auto"/>
        <w:jc w:val="both"/>
        <w:rPr>
          <w:rFonts w:ascii="Palatino Linotype" w:eastAsia="Palatino Linotype" w:hAnsi="Palatino Linotype" w:cs="Palatino Linotype"/>
        </w:rPr>
      </w:pPr>
    </w:p>
    <w:p w14:paraId="40322105"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lastRenderedPageBreak/>
        <w:t xml:space="preserve">Artículo 12. </w:t>
      </w:r>
      <w:r w:rsidRPr="00E8535B">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14:paraId="5E29893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8535B">
        <w:rPr>
          <w:rFonts w:ascii="Palatino Linotype" w:eastAsia="Palatino Linotype" w:hAnsi="Palatino Linotype" w:cs="Palatino Linotype"/>
          <w:i/>
          <w:sz w:val="22"/>
          <w:szCs w:val="22"/>
        </w:rPr>
        <w:t xml:space="preserve">. </w:t>
      </w:r>
      <w:r w:rsidRPr="00E8535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E8535B">
        <w:rPr>
          <w:rFonts w:ascii="Palatino Linotype" w:eastAsia="Palatino Linotype" w:hAnsi="Palatino Linotype" w:cs="Palatino Linotype"/>
          <w:i/>
          <w:sz w:val="22"/>
          <w:szCs w:val="22"/>
        </w:rPr>
        <w:t xml:space="preserve"> </w:t>
      </w:r>
    </w:p>
    <w:p w14:paraId="7A82F3D9" w14:textId="77777777" w:rsidR="008D0CD7" w:rsidRPr="00E8535B" w:rsidRDefault="008D0CD7">
      <w:pPr>
        <w:spacing w:line="360" w:lineRule="auto"/>
        <w:ind w:right="-93"/>
        <w:jc w:val="both"/>
        <w:rPr>
          <w:rFonts w:ascii="Palatino Linotype" w:eastAsia="Palatino Linotype" w:hAnsi="Palatino Linotype" w:cs="Palatino Linotype"/>
        </w:rPr>
      </w:pPr>
    </w:p>
    <w:p w14:paraId="0CD1D45B"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68CC58BC"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02750E8D" w14:textId="77777777" w:rsidR="008D0CD7" w:rsidRPr="00E8535B" w:rsidRDefault="008D0CD7">
      <w:pPr>
        <w:spacing w:line="360" w:lineRule="auto"/>
        <w:ind w:right="49"/>
        <w:jc w:val="both"/>
        <w:rPr>
          <w:rFonts w:ascii="Palatino Linotype" w:eastAsia="Palatino Linotype" w:hAnsi="Palatino Linotype" w:cs="Palatino Linotype"/>
        </w:rPr>
      </w:pPr>
    </w:p>
    <w:p w14:paraId="5FBBDA1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44A98369" w14:textId="77777777" w:rsidR="008D0CD7" w:rsidRPr="00E8535B" w:rsidRDefault="008D0CD7">
      <w:pPr>
        <w:spacing w:line="360" w:lineRule="auto"/>
        <w:jc w:val="both"/>
        <w:rPr>
          <w:rFonts w:ascii="Palatino Linotype" w:eastAsia="Palatino Linotype" w:hAnsi="Palatino Linotype" w:cs="Palatino Linotype"/>
        </w:rPr>
      </w:pPr>
    </w:p>
    <w:p w14:paraId="36233DB2"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Artículo 18.</w:t>
      </w:r>
      <w:r w:rsidRPr="00E8535B">
        <w:rPr>
          <w:rFonts w:ascii="Palatino Linotype" w:eastAsia="Palatino Linotype" w:hAnsi="Palatino Linotype" w:cs="Palatino Linotype"/>
          <w:i/>
          <w:sz w:val="22"/>
          <w:szCs w:val="22"/>
        </w:rPr>
        <w:t xml:space="preserve"> </w:t>
      </w:r>
      <w:r w:rsidRPr="00E8535B">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E8535B">
        <w:rPr>
          <w:rFonts w:ascii="Palatino Linotype" w:eastAsia="Palatino Linotype" w:hAnsi="Palatino Linotype" w:cs="Palatino Linotype"/>
          <w:i/>
          <w:sz w:val="22"/>
          <w:szCs w:val="22"/>
        </w:rPr>
        <w:t xml:space="preserve"> y reutilización de la información que generen.</w:t>
      </w:r>
    </w:p>
    <w:p w14:paraId="01029462" w14:textId="77777777" w:rsidR="008D0CD7" w:rsidRPr="00E8535B" w:rsidRDefault="008D0CD7">
      <w:pPr>
        <w:ind w:left="851" w:right="616"/>
        <w:jc w:val="both"/>
        <w:rPr>
          <w:rFonts w:ascii="Palatino Linotype" w:eastAsia="Palatino Linotype" w:hAnsi="Palatino Linotype" w:cs="Palatino Linotype"/>
          <w:b/>
          <w:i/>
          <w:sz w:val="22"/>
          <w:szCs w:val="22"/>
        </w:rPr>
      </w:pPr>
    </w:p>
    <w:p w14:paraId="5B03285A"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Artículo 19. </w:t>
      </w:r>
      <w:r w:rsidRPr="00E8535B">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E8535B">
        <w:rPr>
          <w:rFonts w:ascii="Palatino Linotype" w:eastAsia="Palatino Linotype" w:hAnsi="Palatino Linotype" w:cs="Palatino Linotype"/>
          <w:i/>
          <w:sz w:val="22"/>
          <w:szCs w:val="22"/>
        </w:rPr>
        <w:t>.</w:t>
      </w:r>
    </w:p>
    <w:p w14:paraId="232FD9BE" w14:textId="77777777" w:rsidR="008D0CD7" w:rsidRPr="00E8535B" w:rsidRDefault="008D0CD7">
      <w:pPr>
        <w:ind w:left="851" w:right="616"/>
        <w:jc w:val="both"/>
        <w:rPr>
          <w:rFonts w:ascii="Palatino Linotype" w:eastAsia="Palatino Linotype" w:hAnsi="Palatino Linotype" w:cs="Palatino Linotype"/>
          <w:i/>
          <w:sz w:val="22"/>
          <w:szCs w:val="22"/>
        </w:rPr>
      </w:pPr>
    </w:p>
    <w:p w14:paraId="7DC1132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309BEA6" w14:textId="77777777" w:rsidR="008D0CD7" w:rsidRPr="00E8535B" w:rsidRDefault="008D0CD7">
      <w:pPr>
        <w:ind w:left="851" w:right="616"/>
        <w:jc w:val="both"/>
        <w:rPr>
          <w:rFonts w:ascii="Palatino Linotype" w:eastAsia="Palatino Linotype" w:hAnsi="Palatino Linotype" w:cs="Palatino Linotype"/>
          <w:i/>
          <w:sz w:val="22"/>
          <w:szCs w:val="22"/>
        </w:rPr>
      </w:pPr>
    </w:p>
    <w:p w14:paraId="57E3D8B8"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AFDF2C5" w14:textId="77777777" w:rsidR="008D0CD7" w:rsidRPr="00E8535B" w:rsidRDefault="008D0CD7">
      <w:pPr>
        <w:spacing w:line="360" w:lineRule="auto"/>
        <w:jc w:val="both"/>
        <w:rPr>
          <w:rFonts w:ascii="Palatino Linotype" w:eastAsia="Palatino Linotype" w:hAnsi="Palatino Linotype" w:cs="Palatino Linotype"/>
        </w:rPr>
      </w:pPr>
    </w:p>
    <w:p w14:paraId="5B5746EE"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E8535B">
        <w:rPr>
          <w:rFonts w:ascii="Palatino Linotype" w:eastAsia="Palatino Linotype" w:hAnsi="Palatino Linotype" w:cs="Palatino Linotype"/>
        </w:rPr>
        <w:lastRenderedPageBreak/>
        <w:t>establece en la Ley de Transparencia y Acceso a la Información Pública del Estado de México y Municipios.</w:t>
      </w:r>
    </w:p>
    <w:p w14:paraId="3E4910B9" w14:textId="77777777" w:rsidR="008D0CD7" w:rsidRPr="00E8535B" w:rsidRDefault="008D0CD7">
      <w:pPr>
        <w:spacing w:line="360" w:lineRule="auto"/>
        <w:jc w:val="both"/>
        <w:rPr>
          <w:rFonts w:ascii="Palatino Linotype" w:eastAsia="Palatino Linotype" w:hAnsi="Palatino Linotype" w:cs="Palatino Linotype"/>
        </w:rPr>
      </w:pPr>
    </w:p>
    <w:p w14:paraId="1413512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1C93F1" w14:textId="77777777" w:rsidR="008D0CD7" w:rsidRPr="00E8535B" w:rsidRDefault="008D0CD7">
      <w:pPr>
        <w:ind w:left="851" w:right="899"/>
        <w:jc w:val="both"/>
        <w:rPr>
          <w:rFonts w:ascii="Palatino Linotype" w:eastAsia="Palatino Linotype" w:hAnsi="Palatino Linotype" w:cs="Palatino Linotype"/>
          <w:i/>
          <w:sz w:val="22"/>
          <w:szCs w:val="22"/>
        </w:rPr>
      </w:pPr>
    </w:p>
    <w:p w14:paraId="1764516E" w14:textId="77777777" w:rsidR="008D0CD7" w:rsidRPr="00E8535B" w:rsidRDefault="00434F3F">
      <w:pPr>
        <w:ind w:left="851" w:right="899"/>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Artículo 3. </w:t>
      </w:r>
      <w:r w:rsidRPr="00E8535B">
        <w:rPr>
          <w:rFonts w:ascii="Palatino Linotype" w:eastAsia="Palatino Linotype" w:hAnsi="Palatino Linotype" w:cs="Palatino Linotype"/>
          <w:i/>
          <w:sz w:val="22"/>
          <w:szCs w:val="22"/>
        </w:rPr>
        <w:t>Para los efectos de la presente Ley se entenderá por:</w:t>
      </w:r>
    </w:p>
    <w:p w14:paraId="7E94AA5F" w14:textId="77777777" w:rsidR="008D0CD7" w:rsidRPr="00E8535B" w:rsidRDefault="00434F3F">
      <w:pPr>
        <w:ind w:left="851" w:right="899"/>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w:t>
      </w:r>
    </w:p>
    <w:p w14:paraId="2858EE4E"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XI. Documento:</w:t>
      </w:r>
      <w:r w:rsidRPr="00E8535B">
        <w:rPr>
          <w:rFonts w:ascii="Palatino Linotype" w:eastAsia="Palatino Linotype" w:hAnsi="Palatino Linotype" w:cs="Palatino Linotype"/>
          <w:i/>
          <w:sz w:val="22"/>
          <w:szCs w:val="22"/>
        </w:rPr>
        <w:t xml:space="preserve"> Los expedientes, reportes, estudios, actas</w:t>
      </w:r>
      <w:r w:rsidRPr="00E8535B">
        <w:rPr>
          <w:rFonts w:ascii="Palatino Linotype" w:eastAsia="Palatino Linotype" w:hAnsi="Palatino Linotype" w:cs="Palatino Linotype"/>
          <w:b/>
          <w:i/>
          <w:sz w:val="22"/>
          <w:szCs w:val="22"/>
        </w:rPr>
        <w:t>,</w:t>
      </w:r>
      <w:r w:rsidRPr="00E8535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6BB0079"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w:t>
      </w:r>
      <w:r w:rsidRPr="00E8535B">
        <w:rPr>
          <w:rFonts w:ascii="Palatino Linotype" w:eastAsia="Palatino Linotype" w:hAnsi="Palatino Linotype" w:cs="Palatino Linotype"/>
          <w:i/>
          <w:sz w:val="22"/>
          <w:szCs w:val="22"/>
        </w:rPr>
        <w:t>)</w:t>
      </w:r>
    </w:p>
    <w:p w14:paraId="7F0E0F80" w14:textId="77777777" w:rsidR="008D0CD7" w:rsidRPr="00E8535B" w:rsidRDefault="008D0CD7">
      <w:pPr>
        <w:ind w:left="851" w:right="899"/>
        <w:jc w:val="both"/>
        <w:rPr>
          <w:rFonts w:ascii="Palatino Linotype" w:eastAsia="Palatino Linotype" w:hAnsi="Palatino Linotype" w:cs="Palatino Linotype"/>
          <w:sz w:val="22"/>
          <w:szCs w:val="22"/>
        </w:rPr>
      </w:pPr>
    </w:p>
    <w:p w14:paraId="597590EB"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E8535B">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0E45651C" w14:textId="77777777" w:rsidR="008D0CD7" w:rsidRPr="00E8535B" w:rsidRDefault="008D0CD7">
      <w:pPr>
        <w:ind w:left="851" w:right="899"/>
        <w:jc w:val="both"/>
        <w:rPr>
          <w:rFonts w:ascii="Palatino Linotype" w:eastAsia="Palatino Linotype" w:hAnsi="Palatino Linotype" w:cs="Palatino Linotype"/>
        </w:rPr>
      </w:pPr>
    </w:p>
    <w:p w14:paraId="17449F91" w14:textId="77777777" w:rsidR="008D0CD7" w:rsidRPr="00E8535B" w:rsidRDefault="00434F3F">
      <w:pPr>
        <w:ind w:left="851" w:right="616"/>
        <w:jc w:val="both"/>
        <w:rPr>
          <w:rFonts w:ascii="Palatino Linotype" w:eastAsia="Palatino Linotype" w:hAnsi="Palatino Linotype" w:cs="Palatino Linotype"/>
          <w:b/>
          <w:i/>
          <w:sz w:val="22"/>
          <w:szCs w:val="22"/>
        </w:rPr>
      </w:pPr>
      <w:r w:rsidRPr="00E8535B">
        <w:rPr>
          <w:rFonts w:ascii="Palatino Linotype" w:eastAsia="Palatino Linotype" w:hAnsi="Palatino Linotype" w:cs="Palatino Linotype"/>
          <w:b/>
          <w:i/>
          <w:sz w:val="22"/>
          <w:szCs w:val="22"/>
        </w:rPr>
        <w:t>CRITERIO 0002-11</w:t>
      </w:r>
    </w:p>
    <w:p w14:paraId="3EAA4096"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8535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7C9C33"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xml:space="preserve">En </w:t>
      </w:r>
      <w:proofErr w:type="gramStart"/>
      <w:r w:rsidRPr="00E8535B">
        <w:rPr>
          <w:rFonts w:ascii="Palatino Linotype" w:eastAsia="Palatino Linotype" w:hAnsi="Palatino Linotype" w:cs="Palatino Linotype"/>
          <w:i/>
          <w:sz w:val="22"/>
          <w:szCs w:val="22"/>
        </w:rPr>
        <w:t>consecuencia</w:t>
      </w:r>
      <w:proofErr w:type="gramEnd"/>
      <w:r w:rsidRPr="00E8535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B8124F8"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8535B">
        <w:rPr>
          <w:rFonts w:ascii="Palatino Linotype" w:eastAsia="Palatino Linotype" w:hAnsi="Palatino Linotype" w:cs="Palatino Linotype"/>
          <w:i/>
          <w:sz w:val="22"/>
          <w:szCs w:val="22"/>
        </w:rPr>
        <w:t>que</w:t>
      </w:r>
      <w:proofErr w:type="gramEnd"/>
      <w:r w:rsidRPr="00E8535B">
        <w:rPr>
          <w:rFonts w:ascii="Palatino Linotype" w:eastAsia="Palatino Linotype" w:hAnsi="Palatino Linotype" w:cs="Palatino Linotype"/>
          <w:i/>
          <w:sz w:val="22"/>
          <w:szCs w:val="22"/>
        </w:rPr>
        <w:t xml:space="preserve"> en ejercicio de las atribuciones conferidas, sea generada por los Sujetos Obligados;</w:t>
      </w:r>
    </w:p>
    <w:p w14:paraId="04743323"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E8535B">
        <w:rPr>
          <w:rFonts w:ascii="Palatino Linotype" w:eastAsia="Palatino Linotype" w:hAnsi="Palatino Linotype" w:cs="Palatino Linotype"/>
          <w:i/>
          <w:sz w:val="22"/>
          <w:szCs w:val="22"/>
        </w:rPr>
        <w:t>que</w:t>
      </w:r>
      <w:proofErr w:type="gramEnd"/>
      <w:r w:rsidRPr="00E8535B">
        <w:rPr>
          <w:rFonts w:ascii="Palatino Linotype" w:eastAsia="Palatino Linotype" w:hAnsi="Palatino Linotype" w:cs="Palatino Linotype"/>
          <w:i/>
          <w:sz w:val="22"/>
          <w:szCs w:val="22"/>
        </w:rPr>
        <w:t xml:space="preserve"> en ejercicio de las atribuciones conferidas, sea administrada por los Sujetos Obligados, y</w:t>
      </w:r>
    </w:p>
    <w:p w14:paraId="78DA6E8C" w14:textId="77777777" w:rsidR="008D0CD7" w:rsidRPr="00E8535B" w:rsidRDefault="00434F3F">
      <w:pPr>
        <w:ind w:left="851" w:right="616"/>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E8535B">
        <w:rPr>
          <w:rFonts w:ascii="Palatino Linotype" w:eastAsia="Palatino Linotype" w:hAnsi="Palatino Linotype" w:cs="Palatino Linotype"/>
          <w:i/>
          <w:sz w:val="22"/>
          <w:szCs w:val="22"/>
        </w:rPr>
        <w:t>que</w:t>
      </w:r>
      <w:proofErr w:type="gramEnd"/>
      <w:r w:rsidRPr="00E8535B">
        <w:rPr>
          <w:rFonts w:ascii="Palatino Linotype" w:eastAsia="Palatino Linotype" w:hAnsi="Palatino Linotype" w:cs="Palatino Linotype"/>
          <w:i/>
          <w:sz w:val="22"/>
          <w:szCs w:val="22"/>
        </w:rPr>
        <w:t xml:space="preserve"> en ejercicio de las atribuciones conferidas, se encuentre en posesión de los Sujetos Obligados.</w:t>
      </w:r>
    </w:p>
    <w:p w14:paraId="6ECFF0D6" w14:textId="77777777" w:rsidR="008D0CD7" w:rsidRPr="00E8535B" w:rsidRDefault="008D0CD7">
      <w:pPr>
        <w:spacing w:line="360" w:lineRule="auto"/>
        <w:jc w:val="both"/>
        <w:rPr>
          <w:rFonts w:ascii="Palatino Linotype" w:eastAsia="Palatino Linotype" w:hAnsi="Palatino Linotype" w:cs="Palatino Linotype"/>
        </w:rPr>
      </w:pPr>
    </w:p>
    <w:p w14:paraId="3A5724DF"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De ahí que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E8535B">
        <w:rPr>
          <w:rFonts w:ascii="Palatino Linotype" w:eastAsia="Palatino Linotype" w:hAnsi="Palatino Linotype" w:cs="Palatino Linotype"/>
        </w:rPr>
        <w:lastRenderedPageBreak/>
        <w:t>señaladas por la Ley en la materia</w:t>
      </w:r>
      <w:r w:rsidRPr="00E8535B">
        <w:rPr>
          <w:rFonts w:ascii="Palatino Linotype" w:eastAsia="Palatino Linotype" w:hAnsi="Palatino Linotype" w:cs="Palatino Linotype"/>
          <w:vertAlign w:val="superscript"/>
        </w:rPr>
        <w:footnoteReference w:id="6"/>
      </w:r>
      <w:r w:rsidRPr="00E8535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8535B">
        <w:rPr>
          <w:rFonts w:ascii="Palatino Linotype" w:eastAsia="Palatino Linotype" w:hAnsi="Palatino Linotype" w:cs="Palatino Linotype"/>
          <w:vertAlign w:val="superscript"/>
        </w:rPr>
        <w:footnoteReference w:id="7"/>
      </w:r>
      <w:r w:rsidRPr="00E8535B">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C2E64D7" w14:textId="77777777" w:rsidR="008D0CD7" w:rsidRPr="00E8535B" w:rsidRDefault="008D0CD7">
      <w:pPr>
        <w:spacing w:line="360" w:lineRule="auto"/>
        <w:ind w:right="51"/>
        <w:jc w:val="both"/>
        <w:rPr>
          <w:rFonts w:ascii="Palatino Linotype" w:eastAsia="Palatino Linotype" w:hAnsi="Palatino Linotype" w:cs="Palatino Linotype"/>
        </w:rPr>
      </w:pPr>
    </w:p>
    <w:p w14:paraId="5ADF602C" w14:textId="77777777" w:rsidR="008D0CD7" w:rsidRPr="00E8535B" w:rsidRDefault="00434F3F">
      <w:pPr>
        <w:spacing w:line="360" w:lineRule="auto"/>
        <w:ind w:right="51"/>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Una vez, destacado lo que antecede conviene realizar el análisis de la solicitud de información </w:t>
      </w:r>
      <w:r w:rsidRPr="00E8535B">
        <w:rPr>
          <w:rFonts w:ascii="Palatino Linotype" w:eastAsia="Palatino Linotype" w:hAnsi="Palatino Linotype" w:cs="Palatino Linotype"/>
          <w:b/>
        </w:rPr>
        <w:t>00129/OASNAUCAL/IP/2022</w:t>
      </w:r>
      <w:r w:rsidRPr="00E8535B">
        <w:rPr>
          <w:rFonts w:ascii="Palatino Linotype" w:eastAsia="Palatino Linotype" w:hAnsi="Palatino Linotype" w:cs="Palatino Linotype"/>
        </w:rPr>
        <w:t xml:space="preserve"> motivo del recurso de revisión que ahora se resuelve, se advierte que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requirió al </w:t>
      </w:r>
      <w:r w:rsidRPr="00E8535B">
        <w:rPr>
          <w:rFonts w:ascii="Palatino Linotype" w:eastAsia="Palatino Linotype" w:hAnsi="Palatino Linotype" w:cs="Palatino Linotype"/>
          <w:b/>
        </w:rPr>
        <w:t xml:space="preserve">SUJETO OBLIGADO </w:t>
      </w:r>
      <w:r w:rsidRPr="00E8535B">
        <w:rPr>
          <w:rFonts w:ascii="Palatino Linotype" w:eastAsia="Palatino Linotype" w:hAnsi="Palatino Linotype" w:cs="Palatino Linotype"/>
        </w:rPr>
        <w:t xml:space="preserve">le proporcione en lo siguiente; </w:t>
      </w:r>
    </w:p>
    <w:p w14:paraId="4679708B" w14:textId="77777777" w:rsidR="008D0CD7" w:rsidRPr="00E8535B" w:rsidRDefault="008D0CD7">
      <w:pPr>
        <w:spacing w:line="360" w:lineRule="auto"/>
        <w:ind w:right="51"/>
        <w:jc w:val="both"/>
        <w:rPr>
          <w:rFonts w:ascii="Palatino Linotype" w:eastAsia="Palatino Linotype" w:hAnsi="Palatino Linotype" w:cs="Palatino Linotype"/>
        </w:rPr>
      </w:pPr>
    </w:p>
    <w:p w14:paraId="3BDF684D" w14:textId="77777777" w:rsidR="008D0CD7" w:rsidRPr="00E8535B" w:rsidRDefault="00434F3F">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Listado de todo el personal que labora actualmente en </w:t>
      </w:r>
      <w:r w:rsidRPr="00E8535B">
        <w:rPr>
          <w:rFonts w:ascii="Palatino Linotype" w:eastAsia="Palatino Linotype" w:hAnsi="Palatino Linotype" w:cs="Palatino Linotype"/>
          <w:b/>
          <w:color w:val="000000"/>
        </w:rPr>
        <w:t>EL SUJETO OBLIGADO</w:t>
      </w:r>
      <w:r w:rsidRPr="00E8535B">
        <w:rPr>
          <w:rFonts w:ascii="Palatino Linotype" w:eastAsia="Palatino Linotype" w:hAnsi="Palatino Linotype" w:cs="Palatino Linotype"/>
          <w:color w:val="000000"/>
        </w:rPr>
        <w:t xml:space="preserve">; en el que conste el nombre, apellidos, número de empleado, salario mensual neto, fecha de ingreso, tipo de contratación, puesto y área de adscripción. </w:t>
      </w:r>
    </w:p>
    <w:p w14:paraId="04B129B8" w14:textId="77777777" w:rsidR="008D0CD7" w:rsidRPr="00E8535B" w:rsidRDefault="00434F3F">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lastRenderedPageBreak/>
        <w:t>Altas de personal generadas hasta el doce de agosto del dos mil veintidós;</w:t>
      </w:r>
    </w:p>
    <w:p w14:paraId="1B9A1FDC" w14:textId="77777777" w:rsidR="008D0CD7" w:rsidRPr="00E8535B" w:rsidRDefault="00434F3F" w:rsidP="009B49FF">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Todos los nombramientos de los funcionarios a los que se les debe de entregar por parte del OAPAS Naucalpan. </w:t>
      </w:r>
    </w:p>
    <w:p w14:paraId="02C4EE4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Para analizar de manera adecuada si se colmó o no el Derecho de Acceso a la Información de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esta Ponencia Resolutora propone realizar un cuadro en el que se ilustren los puntos controvertidos y los que no causan inconformidad a quien ahora se duele con esta respuesta, en los términos que se describen a continuación: </w:t>
      </w:r>
    </w:p>
    <w:p w14:paraId="57F4D0FC" w14:textId="77777777" w:rsidR="008D0CD7" w:rsidRPr="00E8535B" w:rsidRDefault="008D0CD7">
      <w:pPr>
        <w:spacing w:line="360" w:lineRule="auto"/>
        <w:jc w:val="both"/>
        <w:rPr>
          <w:rFonts w:ascii="Palatino Linotype" w:eastAsia="Palatino Linotype" w:hAnsi="Palatino Linotype" w:cs="Palatino Linotype"/>
        </w:rPr>
      </w:pPr>
    </w:p>
    <w:tbl>
      <w:tblPr>
        <w:tblStyle w:val="af3"/>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
        <w:gridCol w:w="3066"/>
        <w:gridCol w:w="3402"/>
        <w:gridCol w:w="2977"/>
      </w:tblGrid>
      <w:tr w:rsidR="008D0CD7" w:rsidRPr="00E8535B" w14:paraId="1419DE26" w14:textId="77777777">
        <w:trPr>
          <w:jc w:val="center"/>
        </w:trPr>
        <w:tc>
          <w:tcPr>
            <w:tcW w:w="336" w:type="dxa"/>
            <w:tcBorders>
              <w:top w:val="nil"/>
              <w:left w:val="nil"/>
            </w:tcBorders>
          </w:tcPr>
          <w:p w14:paraId="6602352E" w14:textId="77777777" w:rsidR="008D0CD7" w:rsidRPr="00E8535B" w:rsidRDefault="008D0CD7">
            <w:pPr>
              <w:spacing w:line="360" w:lineRule="auto"/>
              <w:jc w:val="both"/>
              <w:rPr>
                <w:rFonts w:ascii="Palatino Linotype" w:eastAsia="Palatino Linotype" w:hAnsi="Palatino Linotype" w:cs="Palatino Linotype"/>
              </w:rPr>
            </w:pPr>
          </w:p>
        </w:tc>
        <w:tc>
          <w:tcPr>
            <w:tcW w:w="3066" w:type="dxa"/>
          </w:tcPr>
          <w:p w14:paraId="7DBF0A30" w14:textId="77777777" w:rsidR="008D0CD7" w:rsidRPr="00E8535B" w:rsidRDefault="00434F3F">
            <w:pPr>
              <w:jc w:val="center"/>
              <w:rPr>
                <w:rFonts w:ascii="Palatino Linotype" w:eastAsia="Palatino Linotype" w:hAnsi="Palatino Linotype" w:cs="Palatino Linotype"/>
                <w:b/>
              </w:rPr>
            </w:pPr>
            <w:r w:rsidRPr="00E8535B">
              <w:rPr>
                <w:rFonts w:ascii="Palatino Linotype" w:eastAsia="Palatino Linotype" w:hAnsi="Palatino Linotype" w:cs="Palatino Linotype"/>
                <w:b/>
              </w:rPr>
              <w:t>SOLICITUD DE LA PERSONA RECURRENTE</w:t>
            </w:r>
          </w:p>
        </w:tc>
        <w:tc>
          <w:tcPr>
            <w:tcW w:w="3402" w:type="dxa"/>
          </w:tcPr>
          <w:p w14:paraId="24F6C388" w14:textId="77777777" w:rsidR="008D0CD7" w:rsidRPr="00E8535B" w:rsidRDefault="00434F3F">
            <w:pPr>
              <w:jc w:val="center"/>
              <w:rPr>
                <w:rFonts w:ascii="Palatino Linotype" w:eastAsia="Palatino Linotype" w:hAnsi="Palatino Linotype" w:cs="Palatino Linotype"/>
                <w:b/>
              </w:rPr>
            </w:pPr>
            <w:r w:rsidRPr="00E8535B">
              <w:rPr>
                <w:rFonts w:ascii="Palatino Linotype" w:eastAsia="Palatino Linotype" w:hAnsi="Palatino Linotype" w:cs="Palatino Linotype"/>
                <w:b/>
              </w:rPr>
              <w:t>RESPUESTA DEL SUJETO OBLIGADO</w:t>
            </w:r>
          </w:p>
        </w:tc>
        <w:tc>
          <w:tcPr>
            <w:tcW w:w="2977" w:type="dxa"/>
          </w:tcPr>
          <w:p w14:paraId="29B8080F" w14:textId="77777777" w:rsidR="008D0CD7" w:rsidRPr="00E8535B" w:rsidRDefault="00434F3F">
            <w:pPr>
              <w:jc w:val="center"/>
              <w:rPr>
                <w:rFonts w:ascii="Palatino Linotype" w:eastAsia="Palatino Linotype" w:hAnsi="Palatino Linotype" w:cs="Palatino Linotype"/>
                <w:b/>
              </w:rPr>
            </w:pPr>
            <w:r w:rsidRPr="00E8535B">
              <w:rPr>
                <w:rFonts w:ascii="Palatino Linotype" w:eastAsia="Palatino Linotype" w:hAnsi="Palatino Linotype" w:cs="Palatino Linotype"/>
                <w:b/>
              </w:rPr>
              <w:t>SATISFACCIÓN DEL DERECHO DE ACCESO A LA INFORMACIÓN</w:t>
            </w:r>
          </w:p>
        </w:tc>
      </w:tr>
      <w:tr w:rsidR="008D0CD7" w:rsidRPr="00E8535B" w14:paraId="3D954AD8" w14:textId="77777777">
        <w:trPr>
          <w:jc w:val="center"/>
        </w:trPr>
        <w:tc>
          <w:tcPr>
            <w:tcW w:w="336" w:type="dxa"/>
          </w:tcPr>
          <w:p w14:paraId="3F6C223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1</w:t>
            </w:r>
          </w:p>
        </w:tc>
        <w:tc>
          <w:tcPr>
            <w:tcW w:w="3066" w:type="dxa"/>
          </w:tcPr>
          <w:p w14:paraId="32693341" w14:textId="77777777" w:rsidR="008D0CD7" w:rsidRPr="00E8535B" w:rsidRDefault="00434F3F">
            <w:pPr>
              <w:jc w:val="both"/>
              <w:rPr>
                <w:rFonts w:ascii="Palatino Linotype" w:eastAsia="Palatino Linotype" w:hAnsi="Palatino Linotype" w:cs="Palatino Linotype"/>
                <w:color w:val="FF0000"/>
              </w:rPr>
            </w:pPr>
            <w:r w:rsidRPr="00E8535B">
              <w:rPr>
                <w:rFonts w:ascii="Palatino Linotype" w:eastAsia="Palatino Linotype" w:hAnsi="Palatino Linotype" w:cs="Palatino Linotype"/>
              </w:rPr>
              <w:t xml:space="preserve">Listado de todo el personal que labora actualmente en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en el que conste el nombre, apellidos, número de empleado, salario mensual neto, fecha de ingreso, tipo de contratación, puesto y área de adscripción.</w:t>
            </w:r>
          </w:p>
        </w:tc>
        <w:tc>
          <w:tcPr>
            <w:tcW w:w="3402" w:type="dxa"/>
            <w:vAlign w:val="center"/>
          </w:tcPr>
          <w:p w14:paraId="08E022F4" w14:textId="77777777" w:rsidR="008D0CD7" w:rsidRPr="00E8535B" w:rsidRDefault="00434F3F">
            <w:pPr>
              <w:jc w:val="center"/>
              <w:rPr>
                <w:rFonts w:ascii="Palatino Linotype" w:eastAsia="Palatino Linotype" w:hAnsi="Palatino Linotype" w:cs="Palatino Linotype"/>
              </w:rPr>
            </w:pP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 xml:space="preserve">remite a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una liga que dirige a la fracción de remuneraciones, es decir, a la VIII A del artículo 92 del portal del OAPAS Naucalpan en el IPOMEX.</w:t>
            </w:r>
          </w:p>
          <w:p w14:paraId="19A9920E" w14:textId="77777777" w:rsidR="008D0CD7" w:rsidRPr="00E8535B" w:rsidRDefault="008D0CD7">
            <w:pPr>
              <w:rPr>
                <w:rFonts w:ascii="Palatino Linotype" w:eastAsia="Palatino Linotype" w:hAnsi="Palatino Linotype" w:cs="Palatino Linotype"/>
              </w:rPr>
            </w:pPr>
          </w:p>
          <w:p w14:paraId="1954EB65" w14:textId="77777777" w:rsidR="008D0CD7" w:rsidRPr="00E8535B" w:rsidRDefault="003C6B0E">
            <w:pPr>
              <w:rPr>
                <w:rFonts w:ascii="Palatino Linotype" w:eastAsia="Palatino Linotype" w:hAnsi="Palatino Linotype" w:cs="Palatino Linotype"/>
              </w:rPr>
            </w:pPr>
            <w:hyperlink r:id="rId14">
              <w:r w:rsidR="00434F3F" w:rsidRPr="00E8535B">
                <w:rPr>
                  <w:rFonts w:ascii="Palatino Linotype" w:eastAsia="Palatino Linotype" w:hAnsi="Palatino Linotype" w:cs="Palatino Linotype"/>
                  <w:color w:val="0000FF"/>
                  <w:u w:val="single"/>
                </w:rPr>
                <w:t>https://ipomex.org.mx/ipo3/lgt/indice/OASNAUCALPAN/art_92_viii/4.web?token=03AFY_a8VF_lJWFqjjC7CaW0eWdoyvflPbFEgfvesHc1WzHfmV7mTUhCM7q6Lmh6YBalCt</w:t>
              </w:r>
              <w:r w:rsidR="00434F3F" w:rsidRPr="00E8535B">
                <w:rPr>
                  <w:rFonts w:ascii="Palatino Linotype" w:eastAsia="Palatino Linotype" w:hAnsi="Palatino Linotype" w:cs="Palatino Linotype"/>
                  <w:color w:val="0000FF"/>
                  <w:u w:val="single"/>
                </w:rPr>
                <w:lastRenderedPageBreak/>
                <w:t>dJr9RoMf2jCvaAkjEp7dXnLRCvafU_Al2craPUYnMWjz1nvQLJ-6DtyW0vVtsdbq57SbKyfj3zWewwVLxF8o92ougfCwCxypiMKWLBrg1UDPUve3eWoLOKrNkNXAWaehC4aNHZVu2FPyo1xYJ5VWVB1Dn_kPYjrlhhcismZ5XgNRYyYeoXc9AP4YsN02FqU6HXcwi9rkfwxeYs-1QzQ93lG14XEjKn1PakxjbVql4Cm9nJBQvMDnZdEwc9y_Ak9XbjAOXSXeyCQI-bklOC96yG0JqjJs9sW8-FQYSmEZ9u49YTSjoUZbgVTEYO-USajxlVunkZRf_Vg3f4yrMgeFyMvTLk7wOIEbiNxbAhJed6sjvHV6yY9wQ0uWVYNjiMi6c9BcSUpE4T5kYsLA1YmVMThv1sr2S-FZM_sq0Y5TzOY-U1GKWeoK6WVnUaBACBG9grxJFzNm</w:t>
              </w:r>
            </w:hyperlink>
          </w:p>
          <w:p w14:paraId="69D74008" w14:textId="77777777" w:rsidR="008D0CD7" w:rsidRPr="00E8535B" w:rsidRDefault="008D0CD7">
            <w:pPr>
              <w:rPr>
                <w:rFonts w:ascii="Palatino Linotype" w:eastAsia="Palatino Linotype" w:hAnsi="Palatino Linotype" w:cs="Palatino Linotype"/>
              </w:rPr>
            </w:pPr>
          </w:p>
        </w:tc>
        <w:tc>
          <w:tcPr>
            <w:tcW w:w="2977" w:type="dxa"/>
            <w:vAlign w:val="center"/>
          </w:tcPr>
          <w:p w14:paraId="01C0518B" w14:textId="77777777" w:rsidR="008D0CD7" w:rsidRPr="00E8535B" w:rsidRDefault="00434F3F">
            <w:pPr>
              <w:jc w:val="center"/>
              <w:rPr>
                <w:rFonts w:ascii="Palatino Linotype" w:eastAsia="Palatino Linotype" w:hAnsi="Palatino Linotype" w:cs="Palatino Linotype"/>
                <w:b/>
              </w:rPr>
            </w:pPr>
            <w:r w:rsidRPr="00E8535B">
              <w:rPr>
                <w:rFonts w:ascii="Palatino Linotype" w:eastAsia="Palatino Linotype" w:hAnsi="Palatino Linotype" w:cs="Palatino Linotype"/>
                <w:b/>
              </w:rPr>
              <w:lastRenderedPageBreak/>
              <w:t>No satisface el Derecho de Acceso a la Información de LA PARTE RECURRENTE</w:t>
            </w:r>
          </w:p>
          <w:p w14:paraId="4A0504C8" w14:textId="77777777" w:rsidR="008D0CD7" w:rsidRPr="00E8535B" w:rsidRDefault="008D0CD7">
            <w:pPr>
              <w:jc w:val="center"/>
              <w:rPr>
                <w:rFonts w:ascii="Palatino Linotype" w:eastAsia="Palatino Linotype" w:hAnsi="Palatino Linotype" w:cs="Palatino Linotype"/>
                <w:b/>
                <w:color w:val="FF0000"/>
              </w:rPr>
            </w:pPr>
          </w:p>
        </w:tc>
      </w:tr>
      <w:tr w:rsidR="008D0CD7" w:rsidRPr="00E8535B" w14:paraId="03B5CB4F" w14:textId="77777777">
        <w:trPr>
          <w:jc w:val="center"/>
        </w:trPr>
        <w:tc>
          <w:tcPr>
            <w:tcW w:w="336" w:type="dxa"/>
          </w:tcPr>
          <w:p w14:paraId="2365175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2</w:t>
            </w:r>
          </w:p>
        </w:tc>
        <w:tc>
          <w:tcPr>
            <w:tcW w:w="3066" w:type="dxa"/>
          </w:tcPr>
          <w:p w14:paraId="783C1F8A" w14:textId="77777777" w:rsidR="008D0CD7" w:rsidRPr="00E8535B" w:rsidRDefault="00434F3F">
            <w:pPr>
              <w:jc w:val="both"/>
              <w:rPr>
                <w:rFonts w:ascii="Palatino Linotype" w:eastAsia="Palatino Linotype" w:hAnsi="Palatino Linotype" w:cs="Palatino Linotype"/>
              </w:rPr>
            </w:pPr>
            <w:r w:rsidRPr="00E8535B">
              <w:rPr>
                <w:rFonts w:ascii="Palatino Linotype" w:eastAsia="Palatino Linotype" w:hAnsi="Palatino Linotype" w:cs="Palatino Linotype"/>
              </w:rPr>
              <w:t>Altas de personal generadas hasta el doce de agosto del dos mil veintidós</w:t>
            </w:r>
          </w:p>
        </w:tc>
        <w:tc>
          <w:tcPr>
            <w:tcW w:w="3402" w:type="dxa"/>
            <w:vAlign w:val="center"/>
          </w:tcPr>
          <w:p w14:paraId="3592FC47" w14:textId="77777777" w:rsidR="008D0CD7" w:rsidRPr="00E8535B" w:rsidRDefault="00434F3F">
            <w:pPr>
              <w:jc w:val="center"/>
              <w:rPr>
                <w:rFonts w:ascii="Palatino Linotype" w:eastAsia="Palatino Linotype" w:hAnsi="Palatino Linotype" w:cs="Palatino Linotype"/>
              </w:rPr>
            </w:pPr>
            <w:r w:rsidRPr="00E8535B">
              <w:rPr>
                <w:rFonts w:ascii="Palatino Linotype" w:eastAsia="Palatino Linotype" w:hAnsi="Palatino Linotype" w:cs="Palatino Linotype"/>
              </w:rPr>
              <w:t xml:space="preserve">Sin respuesta del </w:t>
            </w:r>
            <w:r w:rsidRPr="00E8535B">
              <w:rPr>
                <w:rFonts w:ascii="Palatino Linotype" w:eastAsia="Palatino Linotype" w:hAnsi="Palatino Linotype" w:cs="Palatino Linotype"/>
                <w:b/>
              </w:rPr>
              <w:t>SUJETO OBLIGADO</w:t>
            </w:r>
          </w:p>
        </w:tc>
        <w:tc>
          <w:tcPr>
            <w:tcW w:w="2977" w:type="dxa"/>
            <w:vAlign w:val="center"/>
          </w:tcPr>
          <w:p w14:paraId="62E4EF1B" w14:textId="77777777" w:rsidR="008D0CD7" w:rsidRPr="00E8535B" w:rsidRDefault="00434F3F">
            <w:pPr>
              <w:jc w:val="center"/>
              <w:rPr>
                <w:rFonts w:ascii="Palatino Linotype" w:eastAsia="Palatino Linotype" w:hAnsi="Palatino Linotype" w:cs="Palatino Linotype"/>
                <w:b/>
              </w:rPr>
            </w:pPr>
            <w:r w:rsidRPr="00E8535B">
              <w:rPr>
                <w:rFonts w:ascii="Palatino Linotype" w:eastAsia="Palatino Linotype" w:hAnsi="Palatino Linotype" w:cs="Palatino Linotype"/>
                <w:b/>
              </w:rPr>
              <w:t>No satisface el Derecho de Acceso a la Información de LA PARTE RECURRENTE</w:t>
            </w:r>
          </w:p>
        </w:tc>
      </w:tr>
      <w:tr w:rsidR="008D0CD7" w:rsidRPr="00E8535B" w14:paraId="2F09B62C" w14:textId="77777777">
        <w:trPr>
          <w:jc w:val="center"/>
        </w:trPr>
        <w:tc>
          <w:tcPr>
            <w:tcW w:w="336" w:type="dxa"/>
          </w:tcPr>
          <w:p w14:paraId="704549C6"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3</w:t>
            </w:r>
          </w:p>
        </w:tc>
        <w:tc>
          <w:tcPr>
            <w:tcW w:w="3066" w:type="dxa"/>
          </w:tcPr>
          <w:p w14:paraId="2D2C13FD" w14:textId="77777777" w:rsidR="008D0CD7" w:rsidRPr="00E8535B" w:rsidRDefault="00434F3F">
            <w:pPr>
              <w:jc w:val="both"/>
              <w:rPr>
                <w:rFonts w:ascii="Palatino Linotype" w:eastAsia="Palatino Linotype" w:hAnsi="Palatino Linotype" w:cs="Palatino Linotype"/>
              </w:rPr>
            </w:pPr>
            <w:r w:rsidRPr="00E8535B">
              <w:rPr>
                <w:rFonts w:ascii="Palatino Linotype" w:eastAsia="Palatino Linotype" w:hAnsi="Palatino Linotype" w:cs="Palatino Linotype"/>
              </w:rPr>
              <w:t>Todos los nombramientos de los funcionarios</w:t>
            </w:r>
          </w:p>
        </w:tc>
        <w:tc>
          <w:tcPr>
            <w:tcW w:w="3402" w:type="dxa"/>
            <w:vAlign w:val="center"/>
          </w:tcPr>
          <w:p w14:paraId="0F07897C" w14:textId="77777777" w:rsidR="008D0CD7" w:rsidRPr="00E8535B" w:rsidRDefault="00434F3F">
            <w:pPr>
              <w:jc w:val="center"/>
              <w:rPr>
                <w:rFonts w:ascii="Palatino Linotype" w:eastAsia="Palatino Linotype" w:hAnsi="Palatino Linotype" w:cs="Palatino Linotype"/>
              </w:rPr>
            </w:pP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remite a </w:t>
            </w:r>
            <w:r w:rsidRPr="00E8535B">
              <w:rPr>
                <w:rFonts w:ascii="Palatino Linotype" w:eastAsia="Palatino Linotype" w:hAnsi="Palatino Linotype" w:cs="Palatino Linotype"/>
                <w:b/>
              </w:rPr>
              <w:t xml:space="preserve">LA PARTE </w:t>
            </w:r>
            <w:r w:rsidRPr="00E8535B">
              <w:rPr>
                <w:rFonts w:ascii="Palatino Linotype" w:eastAsia="Palatino Linotype" w:hAnsi="Palatino Linotype" w:cs="Palatino Linotype"/>
                <w:b/>
              </w:rPr>
              <w:lastRenderedPageBreak/>
              <w:t>RECURRENTE,</w:t>
            </w:r>
            <w:r w:rsidRPr="00E8535B">
              <w:rPr>
                <w:rFonts w:ascii="Palatino Linotype" w:eastAsia="Palatino Linotype" w:hAnsi="Palatino Linotype" w:cs="Palatino Linotype"/>
              </w:rPr>
              <w:t xml:space="preserve"> un acuerdo de designación del </w:t>
            </w:r>
            <w:proofErr w:type="gramStart"/>
            <w:r w:rsidRPr="00E8535B">
              <w:rPr>
                <w:rFonts w:ascii="Palatino Linotype" w:eastAsia="Palatino Linotype" w:hAnsi="Palatino Linotype" w:cs="Palatino Linotype"/>
              </w:rPr>
              <w:t>Director General</w:t>
            </w:r>
            <w:proofErr w:type="gramEnd"/>
            <w:r w:rsidRPr="00E8535B">
              <w:rPr>
                <w:rFonts w:ascii="Palatino Linotype" w:eastAsia="Palatino Linotype" w:hAnsi="Palatino Linotype" w:cs="Palatino Linotype"/>
              </w:rPr>
              <w:t xml:space="preserve"> del OAPAS Naucalpan y cuarenta y un nombramientos en una incorrecta versión pública</w:t>
            </w:r>
          </w:p>
        </w:tc>
        <w:tc>
          <w:tcPr>
            <w:tcW w:w="2977" w:type="dxa"/>
            <w:vAlign w:val="center"/>
          </w:tcPr>
          <w:p w14:paraId="2F3212D8" w14:textId="77777777" w:rsidR="008D0CD7" w:rsidRPr="00E8535B" w:rsidRDefault="00434F3F">
            <w:pPr>
              <w:jc w:val="center"/>
              <w:rPr>
                <w:rFonts w:ascii="Palatino Linotype" w:eastAsia="Palatino Linotype" w:hAnsi="Palatino Linotype" w:cs="Palatino Linotype"/>
              </w:rPr>
            </w:pPr>
            <w:r w:rsidRPr="00E8535B">
              <w:rPr>
                <w:rFonts w:ascii="Palatino Linotype" w:eastAsia="Palatino Linotype" w:hAnsi="Palatino Linotype" w:cs="Palatino Linotype"/>
                <w:b/>
              </w:rPr>
              <w:lastRenderedPageBreak/>
              <w:t xml:space="preserve">No satisface el Derecho de Acceso a la </w:t>
            </w:r>
            <w:r w:rsidRPr="00E8535B">
              <w:rPr>
                <w:rFonts w:ascii="Palatino Linotype" w:eastAsia="Palatino Linotype" w:hAnsi="Palatino Linotype" w:cs="Palatino Linotype"/>
                <w:b/>
              </w:rPr>
              <w:lastRenderedPageBreak/>
              <w:t>Información de LA PARTE RECURRENTE</w:t>
            </w:r>
          </w:p>
        </w:tc>
      </w:tr>
    </w:tbl>
    <w:p w14:paraId="229E7753" w14:textId="77777777" w:rsidR="008D0CD7" w:rsidRPr="00E8535B" w:rsidRDefault="008D0CD7">
      <w:pPr>
        <w:spacing w:line="360" w:lineRule="auto"/>
        <w:jc w:val="both"/>
        <w:rPr>
          <w:rFonts w:ascii="Palatino Linotype" w:eastAsia="Palatino Linotype" w:hAnsi="Palatino Linotype" w:cs="Palatino Linotype"/>
        </w:rPr>
      </w:pPr>
    </w:p>
    <w:p w14:paraId="34546D9D"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Antes de continuar con el estudio del asunto, se debe resaltar </w:t>
      </w:r>
      <w:proofErr w:type="gramStart"/>
      <w:r w:rsidRPr="00E8535B">
        <w:rPr>
          <w:rFonts w:ascii="Palatino Linotype" w:eastAsia="Palatino Linotype" w:hAnsi="Palatino Linotype" w:cs="Palatino Linotype"/>
        </w:rPr>
        <w:t>que</w:t>
      </w:r>
      <w:proofErr w:type="gramEnd"/>
      <w:r w:rsidRPr="00E8535B">
        <w:rPr>
          <w:rFonts w:ascii="Palatino Linotype" w:eastAsia="Palatino Linotype" w:hAnsi="Palatino Linotype" w:cs="Palatino Linotype"/>
        </w:rPr>
        <w:t xml:space="preserve"> con la información remitida por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este no niega contar con la información solicitada por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sino por el contrario, entonces, la competencia para generar, poseer y administrar la información solicitada, en el caso concreto, es obvia.</w:t>
      </w:r>
    </w:p>
    <w:p w14:paraId="25FDFE4C" w14:textId="77777777" w:rsidR="008D0CD7" w:rsidRPr="00E8535B" w:rsidRDefault="008D0CD7">
      <w:pPr>
        <w:spacing w:line="360" w:lineRule="auto"/>
        <w:jc w:val="both"/>
        <w:rPr>
          <w:rFonts w:ascii="Palatino Linotype" w:eastAsia="Palatino Linotype" w:hAnsi="Palatino Linotype" w:cs="Palatino Linotype"/>
        </w:rPr>
      </w:pPr>
    </w:p>
    <w:p w14:paraId="1C11706B" w14:textId="77777777" w:rsidR="008D0CD7" w:rsidRPr="00E8535B" w:rsidRDefault="00434F3F">
      <w:pPr>
        <w:spacing w:line="360" w:lineRule="auto"/>
        <w:jc w:val="both"/>
        <w:rPr>
          <w:rFonts w:ascii="Palatino Linotype" w:eastAsia="Palatino Linotype" w:hAnsi="Palatino Linotype" w:cs="Palatino Linotype"/>
          <w:b/>
        </w:rPr>
      </w:pPr>
      <w:r w:rsidRPr="00E8535B">
        <w:rPr>
          <w:rFonts w:ascii="Palatino Linotype" w:eastAsia="Palatino Linotype" w:hAnsi="Palatino Linotype" w:cs="Palatino Linotype"/>
        </w:rPr>
        <w:t xml:space="preserve">Lo anterior es así, ya que el estudio enunciado tiene por objeto determinar si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genera, posee o administra la información solicitada; sin embargo, en aquellos casos en que este la asume, ello efectivamente está en su poder; por consiguiente, sería ocioso y nada práctico nos conduciría a su estudio, ya que se insiste, la información pública solicitada fue asumida por </w:t>
      </w:r>
      <w:r w:rsidRPr="00E8535B">
        <w:rPr>
          <w:rFonts w:ascii="Palatino Linotype" w:eastAsia="Palatino Linotype" w:hAnsi="Palatino Linotype" w:cs="Palatino Linotype"/>
          <w:b/>
        </w:rPr>
        <w:t>EL SUJETO OBLIGADO.</w:t>
      </w:r>
    </w:p>
    <w:p w14:paraId="6412854C" w14:textId="77777777" w:rsidR="008D0CD7" w:rsidRPr="00E8535B" w:rsidRDefault="008D0CD7">
      <w:pPr>
        <w:spacing w:line="360" w:lineRule="auto"/>
        <w:jc w:val="both"/>
        <w:rPr>
          <w:rFonts w:ascii="Palatino Linotype" w:eastAsia="Palatino Linotype" w:hAnsi="Palatino Linotype" w:cs="Palatino Linotype"/>
          <w:b/>
        </w:rPr>
      </w:pPr>
    </w:p>
    <w:p w14:paraId="359098F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Ahora bien, de los </w:t>
      </w:r>
      <w:r w:rsidRPr="00E8535B">
        <w:rPr>
          <w:rFonts w:ascii="Palatino Linotype" w:eastAsia="Palatino Linotype" w:hAnsi="Palatino Linotype" w:cs="Palatino Linotype"/>
          <w:b/>
        </w:rPr>
        <w:t>puntos uno</w:t>
      </w:r>
      <w:r w:rsidRPr="00E8535B">
        <w:rPr>
          <w:rFonts w:ascii="Palatino Linotype" w:eastAsia="Palatino Linotype" w:hAnsi="Palatino Linotype" w:cs="Palatino Linotype"/>
        </w:rPr>
        <w:t xml:space="preserve"> </w:t>
      </w:r>
      <w:proofErr w:type="spellStart"/>
      <w:r w:rsidRPr="00E8535B">
        <w:rPr>
          <w:rFonts w:ascii="Palatino Linotype" w:eastAsia="Palatino Linotype" w:hAnsi="Palatino Linotype" w:cs="Palatino Linotype"/>
        </w:rPr>
        <w:t>analizads</w:t>
      </w:r>
      <w:proofErr w:type="spellEnd"/>
      <w:r w:rsidRPr="00E8535B">
        <w:rPr>
          <w:rFonts w:ascii="Palatino Linotype" w:eastAsia="Palatino Linotype" w:hAnsi="Palatino Linotype" w:cs="Palatino Linotype"/>
        </w:rPr>
        <w:t xml:space="preserve"> en el cuadro propuesto por esta Ponencia Resolutora, tenemos que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pretende dar cumplimiento al Derecho de Acceso a la Información Pública de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remitiéndole a la liga electrónica que se ha transcrito de manera repetitiva en esta </w:t>
      </w:r>
      <w:r w:rsidRPr="00E8535B">
        <w:rPr>
          <w:rFonts w:ascii="Palatino Linotype" w:eastAsia="Palatino Linotype" w:hAnsi="Palatino Linotype" w:cs="Palatino Linotype"/>
        </w:rPr>
        <w:lastRenderedPageBreak/>
        <w:t xml:space="preserve">resolución, misma que ha sido cotejada y se advierte que en efecto, dirige a la fracción VIII A del artículo 92 del portal del IPOMEX del OAPAS Naucalpan, como se ilustra a continuación: </w:t>
      </w:r>
    </w:p>
    <w:p w14:paraId="07481159" w14:textId="77777777" w:rsidR="008D0CD7" w:rsidRPr="00E8535B" w:rsidRDefault="008D0CD7">
      <w:pPr>
        <w:spacing w:line="360" w:lineRule="auto"/>
        <w:jc w:val="both"/>
        <w:rPr>
          <w:rFonts w:ascii="Palatino Linotype" w:eastAsia="Palatino Linotype" w:hAnsi="Palatino Linotype" w:cs="Palatino Linotype"/>
        </w:rPr>
      </w:pPr>
    </w:p>
    <w:p w14:paraId="72CE34DB" w14:textId="77777777" w:rsidR="008D0CD7" w:rsidRPr="00E8535B" w:rsidRDefault="003C6B0E">
      <w:pPr>
        <w:spacing w:line="360" w:lineRule="auto"/>
        <w:jc w:val="both"/>
        <w:rPr>
          <w:rFonts w:ascii="Palatino Linotype" w:eastAsia="Palatino Linotype" w:hAnsi="Palatino Linotype" w:cs="Palatino Linotype"/>
        </w:rPr>
      </w:pPr>
      <w:hyperlink r:id="rId15">
        <w:r w:rsidR="00434F3F" w:rsidRPr="00E8535B">
          <w:rPr>
            <w:rFonts w:ascii="Palatino Linotype" w:eastAsia="Palatino Linotype" w:hAnsi="Palatino Linotype" w:cs="Palatino Linotype"/>
            <w:color w:val="0000FF"/>
            <w:u w:val="single"/>
          </w:rPr>
          <w:t>https://ipomex.org.mx/ipo3/lgt/indice/OASNAUCALPAN/art_92_viii/4.web?token=03AFY_a8VF_lJWFqjjC7CaW0eWdoyvflPbFEgfvesHc1WzHfmV7mTUhCM7q6Lmh6YBalCtdJr9RoMf2jCvaAkjEp7dXnLRCvafU_Al2craPUYnMWjz1nvQLJ-6DtyW0vVtsdbq57SbKyfj3zWewwVLxF8o92ougfCwCxypiMKWLBrg1UDPUve3eWoLOKrNkNXAWaehC4aNHZVu2FPyo1xYJ5VWVB1Dn_kPYjrlhhcismZ5XgNRYyYeoXc9AP4YsN02FqU6HXcwi9rkfwxeYs-1QzQ93lG14XEjKn1PakxjbVql4Cm9nJBQvMDnZdEwc9y_Ak9XbjAOXSXeyCQI-bklOC96yG0JqjJs9sW8-FQYSmEZ9u49YTSjoUZbgVTEYO-USajxlVunkZRf_Vg3f4yrMgeFyMvTLk7wOIEbiNxbAhJed6sjvHV6yY9wQ0uWVYNjiMi6c9BcSUpE4T5kYsLA1YmVMThv1sr2S-FZM_sq0Y5TzOY-U1GKWeoK6WVnUaBACBG9grxJFzNm</w:t>
        </w:r>
      </w:hyperlink>
    </w:p>
    <w:p w14:paraId="6BCEB83B" w14:textId="77777777" w:rsidR="008D0CD7" w:rsidRPr="00E8535B" w:rsidRDefault="008D0CD7">
      <w:pPr>
        <w:spacing w:line="360" w:lineRule="auto"/>
        <w:jc w:val="both"/>
        <w:rPr>
          <w:rFonts w:ascii="Palatino Linotype" w:eastAsia="Palatino Linotype" w:hAnsi="Palatino Linotype" w:cs="Palatino Linotype"/>
        </w:rPr>
      </w:pPr>
    </w:p>
    <w:p w14:paraId="747EA73E" w14:textId="77777777" w:rsidR="008D0CD7" w:rsidRPr="00E8535B" w:rsidRDefault="00434F3F">
      <w:pPr>
        <w:spacing w:line="360" w:lineRule="auto"/>
        <w:jc w:val="center"/>
        <w:rPr>
          <w:rFonts w:ascii="Palatino Linotype" w:eastAsia="Palatino Linotype" w:hAnsi="Palatino Linotype" w:cs="Palatino Linotype"/>
        </w:rPr>
      </w:pPr>
      <w:r w:rsidRPr="00E8535B">
        <w:rPr>
          <w:noProof/>
        </w:rPr>
        <w:lastRenderedPageBreak/>
        <w:drawing>
          <wp:inline distT="0" distB="0" distL="0" distR="0" wp14:anchorId="7A4585C8" wp14:editId="582A36D3">
            <wp:extent cx="4918793" cy="2892276"/>
            <wp:effectExtent l="0" t="0" r="0" b="0"/>
            <wp:docPr id="1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6019" t="3130" r="6335" b="5242"/>
                    <a:stretch>
                      <a:fillRect/>
                    </a:stretch>
                  </pic:blipFill>
                  <pic:spPr>
                    <a:xfrm>
                      <a:off x="0" y="0"/>
                      <a:ext cx="4918793" cy="2892276"/>
                    </a:xfrm>
                    <a:prstGeom prst="rect">
                      <a:avLst/>
                    </a:prstGeom>
                    <a:ln/>
                  </pic:spPr>
                </pic:pic>
              </a:graphicData>
            </a:graphic>
          </wp:inline>
        </w:drawing>
      </w:r>
    </w:p>
    <w:p w14:paraId="39E2E072"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4FC9570C"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Sin embargo, esta Autoridad estima que la petición ciudadana no fue colmada por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dicho que cobra sentido derivado de la misma petición, pues recordemos que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requirió que se le entregara el</w:t>
      </w:r>
      <w:r w:rsidRPr="00E8535B">
        <w:rPr>
          <w:rFonts w:ascii="Palatino Linotype" w:eastAsia="Palatino Linotype" w:hAnsi="Palatino Linotype" w:cs="Palatino Linotype"/>
          <w:i/>
          <w:sz w:val="22"/>
          <w:szCs w:val="22"/>
        </w:rPr>
        <w:t xml:space="preserve"> “… Listado de todo el personal que labora actualmente en esa institución; con la siguiente información: nombre, apellidos, número de empleado, salario mensual neto, fecha de ingreso</w:t>
      </w:r>
      <w:r w:rsidRPr="00E8535B">
        <w:rPr>
          <w:rFonts w:ascii="Palatino Linotype" w:eastAsia="Palatino Linotype" w:hAnsi="Palatino Linotype" w:cs="Palatino Linotype"/>
          <w:i/>
        </w:rPr>
        <w:t xml:space="preserve">...” (sic), </w:t>
      </w:r>
      <w:r w:rsidRPr="00E8535B">
        <w:rPr>
          <w:rFonts w:ascii="Palatino Linotype" w:eastAsia="Palatino Linotype" w:hAnsi="Palatino Linotype" w:cs="Palatino Linotype"/>
        </w:rPr>
        <w:t xml:space="preserve">si bien es cierto que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remitió en la respuesta primigenia a la fracción VIII A del artículo 92 del portal del IPOMEX del OAPAS Naucalpan, también lo es que esta información no colma los puntos solicitados por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tal como se muestra en la imagen siguiente:   </w:t>
      </w:r>
    </w:p>
    <w:p w14:paraId="7A1D34D5" w14:textId="77777777" w:rsidR="008D0CD7" w:rsidRPr="00E8535B" w:rsidRDefault="00434F3F">
      <w:pPr>
        <w:pBdr>
          <w:top w:val="nil"/>
          <w:left w:val="nil"/>
          <w:bottom w:val="nil"/>
          <w:right w:val="nil"/>
          <w:between w:val="nil"/>
        </w:pBdr>
        <w:spacing w:line="360" w:lineRule="auto"/>
        <w:jc w:val="center"/>
        <w:rPr>
          <w:rFonts w:ascii="Palatino Linotype" w:eastAsia="Palatino Linotype" w:hAnsi="Palatino Linotype" w:cs="Palatino Linotype"/>
        </w:rPr>
      </w:pPr>
      <w:r w:rsidRPr="00E8535B">
        <w:rPr>
          <w:noProof/>
        </w:rPr>
        <w:lastRenderedPageBreak/>
        <w:drawing>
          <wp:inline distT="0" distB="0" distL="0" distR="0" wp14:anchorId="66862F84" wp14:editId="44D9C640">
            <wp:extent cx="3410631" cy="2915232"/>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25100" t="15659" r="39225" b="5777"/>
                    <a:stretch>
                      <a:fillRect/>
                    </a:stretch>
                  </pic:blipFill>
                  <pic:spPr>
                    <a:xfrm>
                      <a:off x="0" y="0"/>
                      <a:ext cx="3410631" cy="2915232"/>
                    </a:xfrm>
                    <a:prstGeom prst="rect">
                      <a:avLst/>
                    </a:prstGeom>
                    <a:ln/>
                  </pic:spPr>
                </pic:pic>
              </a:graphicData>
            </a:graphic>
          </wp:inline>
        </w:drawing>
      </w:r>
    </w:p>
    <w:p w14:paraId="4D80C88A" w14:textId="77777777" w:rsidR="008D0CD7" w:rsidRPr="00E8535B" w:rsidRDefault="00434F3F">
      <w:pPr>
        <w:spacing w:line="360" w:lineRule="auto"/>
        <w:ind w:right="51"/>
        <w:jc w:val="both"/>
        <w:rPr>
          <w:rFonts w:ascii="Palatino Linotype" w:eastAsia="Palatino Linotype" w:hAnsi="Palatino Linotype" w:cs="Palatino Linotype"/>
        </w:rPr>
      </w:pPr>
      <w:r w:rsidRPr="00E8535B">
        <w:rPr>
          <w:rFonts w:ascii="Palatino Linotype" w:eastAsia="Palatino Linotype" w:hAnsi="Palatino Linotype" w:cs="Palatino Linotype"/>
        </w:rPr>
        <w:t>En este contexto, es importante traer a contexto lo estipulado en la fracción XXXII del artículo 3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09A2508" w14:textId="77777777" w:rsidR="008D0CD7" w:rsidRPr="00E8535B" w:rsidRDefault="008D0CD7">
      <w:pPr>
        <w:pBdr>
          <w:top w:val="nil"/>
          <w:left w:val="nil"/>
          <w:bottom w:val="nil"/>
          <w:right w:val="nil"/>
          <w:between w:val="nil"/>
        </w:pBdr>
        <w:ind w:left="864" w:right="864"/>
        <w:jc w:val="both"/>
        <w:rPr>
          <w:i/>
          <w:color w:val="404040"/>
          <w:sz w:val="22"/>
          <w:szCs w:val="22"/>
        </w:rPr>
      </w:pPr>
    </w:p>
    <w:p w14:paraId="148B8803" w14:textId="77777777" w:rsidR="008D0CD7" w:rsidRPr="00E8535B" w:rsidRDefault="00434F3F">
      <w:pPr>
        <w:pBdr>
          <w:top w:val="nil"/>
          <w:left w:val="nil"/>
          <w:bottom w:val="nil"/>
          <w:right w:val="nil"/>
          <w:between w:val="nil"/>
        </w:pBdr>
        <w:ind w:left="864" w:right="864"/>
        <w:jc w:val="both"/>
        <w:rPr>
          <w:i/>
          <w:color w:val="404040"/>
          <w:sz w:val="22"/>
          <w:szCs w:val="22"/>
        </w:rPr>
      </w:pPr>
      <w:r w:rsidRPr="00E8535B">
        <w:rPr>
          <w:i/>
          <w:color w:val="404040"/>
          <w:sz w:val="22"/>
          <w:szCs w:val="22"/>
        </w:rPr>
        <w:t>Artículo 3.- Para efectos de este Código, Ley de Ingresos del Estado y del Presupuesto de Egresos se entenderá por:</w:t>
      </w:r>
    </w:p>
    <w:p w14:paraId="47EDA857" w14:textId="77777777" w:rsidR="008D0CD7" w:rsidRPr="00E8535B" w:rsidRDefault="00434F3F">
      <w:pPr>
        <w:pBdr>
          <w:top w:val="nil"/>
          <w:left w:val="nil"/>
          <w:bottom w:val="nil"/>
          <w:right w:val="nil"/>
          <w:between w:val="nil"/>
        </w:pBdr>
        <w:ind w:left="864" w:right="864"/>
        <w:jc w:val="both"/>
        <w:rPr>
          <w:i/>
          <w:color w:val="404040"/>
          <w:sz w:val="22"/>
          <w:szCs w:val="22"/>
        </w:rPr>
      </w:pPr>
      <w:r w:rsidRPr="00E8535B">
        <w:rPr>
          <w:i/>
          <w:color w:val="404040"/>
          <w:sz w:val="22"/>
          <w:szCs w:val="22"/>
        </w:rPr>
        <w:t>(…)</w:t>
      </w:r>
    </w:p>
    <w:p w14:paraId="035FF5DD" w14:textId="77777777" w:rsidR="008D0CD7" w:rsidRPr="00E8535B" w:rsidRDefault="00434F3F">
      <w:pPr>
        <w:pBdr>
          <w:top w:val="nil"/>
          <w:left w:val="nil"/>
          <w:bottom w:val="nil"/>
          <w:right w:val="nil"/>
          <w:between w:val="nil"/>
        </w:pBdr>
        <w:ind w:left="864" w:right="864"/>
        <w:jc w:val="both"/>
        <w:rPr>
          <w:i/>
          <w:color w:val="404040"/>
          <w:sz w:val="22"/>
          <w:szCs w:val="22"/>
        </w:rPr>
      </w:pPr>
      <w:r w:rsidRPr="00E8535B">
        <w:rPr>
          <w:i/>
          <w:color w:val="404040"/>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367D41D" w14:textId="77777777" w:rsidR="008D0CD7" w:rsidRPr="00E8535B" w:rsidRDefault="00434F3F">
      <w:pPr>
        <w:pBdr>
          <w:top w:val="nil"/>
          <w:left w:val="nil"/>
          <w:bottom w:val="nil"/>
          <w:right w:val="nil"/>
          <w:between w:val="nil"/>
        </w:pBdr>
        <w:ind w:left="864" w:right="864"/>
        <w:jc w:val="both"/>
        <w:rPr>
          <w:i/>
          <w:color w:val="404040"/>
          <w:sz w:val="22"/>
          <w:szCs w:val="22"/>
        </w:rPr>
      </w:pPr>
      <w:r w:rsidRPr="00E8535B">
        <w:rPr>
          <w:i/>
          <w:color w:val="404040"/>
          <w:sz w:val="22"/>
          <w:szCs w:val="22"/>
        </w:rPr>
        <w:t>(…)</w:t>
      </w:r>
    </w:p>
    <w:p w14:paraId="11411230" w14:textId="77777777" w:rsidR="008D0CD7" w:rsidRPr="00E8535B" w:rsidRDefault="008D0CD7">
      <w:pPr>
        <w:pBdr>
          <w:top w:val="nil"/>
          <w:left w:val="nil"/>
          <w:bottom w:val="nil"/>
          <w:right w:val="nil"/>
          <w:between w:val="nil"/>
        </w:pBdr>
        <w:ind w:left="864" w:right="864"/>
        <w:jc w:val="both"/>
        <w:rPr>
          <w:i/>
          <w:color w:val="404040"/>
          <w:sz w:val="22"/>
          <w:szCs w:val="22"/>
        </w:rPr>
      </w:pPr>
    </w:p>
    <w:p w14:paraId="0863710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De igual forma, la Ley del Trabajo de los Servidores Públicos del Estado y Municipios, en su artículo 220 K, establece los documentos que tiene la obligación de conservar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entre los que se encuentran los recibos de pagos, por lo tanto, se inserta lo siguiente: </w:t>
      </w:r>
    </w:p>
    <w:p w14:paraId="69F3550E"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3712F98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ARTÍCULO 220 K.-</w:t>
      </w:r>
      <w:r w:rsidRPr="00E8535B">
        <w:rPr>
          <w:rFonts w:ascii="Palatino Linotype" w:eastAsia="Palatino Linotype" w:hAnsi="Palatino Linotype" w:cs="Palatino Linotype"/>
          <w:i/>
          <w:color w:val="404040"/>
          <w:sz w:val="22"/>
          <w:szCs w:val="22"/>
        </w:rPr>
        <w:t xml:space="preserve"> La institución o dependencia pública tiene la obligación de conservar y exhibir en el proceso los documentos que a continuación se precisan:</w:t>
      </w:r>
    </w:p>
    <w:p w14:paraId="6DFBFBD8"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6F9901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 Contratos, Nombramientos o Formato Único de Movimientos de Personal, cuando no exista Convenio de condiciones generales de trabajo aplicable</w:t>
      </w:r>
      <w:r w:rsidRPr="00E8535B">
        <w:rPr>
          <w:rFonts w:ascii="Palatino Linotype" w:eastAsia="Palatino Linotype" w:hAnsi="Palatino Linotype" w:cs="Palatino Linotype"/>
          <w:b/>
          <w:i/>
          <w:color w:val="404040"/>
          <w:sz w:val="22"/>
          <w:szCs w:val="22"/>
        </w:rPr>
        <w:t>;</w:t>
      </w:r>
    </w:p>
    <w:p w14:paraId="5F18CD1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u w:val="single"/>
        </w:rPr>
      </w:pPr>
      <w:r w:rsidRPr="00E8535B">
        <w:rPr>
          <w:rFonts w:ascii="Palatino Linotype" w:eastAsia="Palatino Linotype" w:hAnsi="Palatino Linotype" w:cs="Palatino Linotype"/>
          <w:b/>
          <w:i/>
          <w:color w:val="404040"/>
          <w:sz w:val="22"/>
          <w:szCs w:val="22"/>
          <w:u w:val="single"/>
        </w:rPr>
        <w:t xml:space="preserve">II. Recibos de pagos de salarios o las constancias documentales del pago de </w:t>
      </w:r>
      <w:proofErr w:type="gramStart"/>
      <w:r w:rsidRPr="00E8535B">
        <w:rPr>
          <w:rFonts w:ascii="Palatino Linotype" w:eastAsia="Palatino Linotype" w:hAnsi="Palatino Linotype" w:cs="Palatino Linotype"/>
          <w:b/>
          <w:i/>
          <w:color w:val="404040"/>
          <w:sz w:val="22"/>
          <w:szCs w:val="22"/>
          <w:u w:val="single"/>
        </w:rPr>
        <w:t>salario  cuando</w:t>
      </w:r>
      <w:proofErr w:type="gramEnd"/>
      <w:r w:rsidRPr="00E8535B">
        <w:rPr>
          <w:rFonts w:ascii="Palatino Linotype" w:eastAsia="Palatino Linotype" w:hAnsi="Palatino Linotype" w:cs="Palatino Linotype"/>
          <w:b/>
          <w:i/>
          <w:color w:val="404040"/>
          <w:sz w:val="22"/>
          <w:szCs w:val="22"/>
          <w:u w:val="single"/>
        </w:rPr>
        <w:t xml:space="preserve"> sea por depósito o mediante información electrónica;</w:t>
      </w:r>
    </w:p>
    <w:p w14:paraId="5580E15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III. Controles de asistencia o la información magnética o electrónica de asistencia de los servidores públicos;</w:t>
      </w:r>
    </w:p>
    <w:p w14:paraId="4C52B03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u w:val="single"/>
        </w:rPr>
      </w:pPr>
      <w:r w:rsidRPr="00E8535B">
        <w:rPr>
          <w:rFonts w:ascii="Palatino Linotype" w:eastAsia="Palatino Linotype" w:hAnsi="Palatino Linotype" w:cs="Palatino Linotype"/>
          <w:b/>
          <w:i/>
          <w:color w:val="404040"/>
          <w:sz w:val="22"/>
          <w:szCs w:val="22"/>
          <w:u w:val="single"/>
        </w:rPr>
        <w:t>IV. Recibos o las constancias de depósito o del medio de información magnética o electrónica que sean utilizadas para el pago de salarios, prima vacacional, aguinaldo y demás prestaciones establecidas en la presente ley; y</w:t>
      </w:r>
    </w:p>
    <w:p w14:paraId="1B3ED20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 Los demás que señalen las leyes.</w:t>
      </w:r>
    </w:p>
    <w:p w14:paraId="540BF1D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 xml:space="preserve">Los documentos señalados en la fracción I de este artículo, deberán conservarse mientras dure la relación laboral y hasta un año después; </w:t>
      </w:r>
      <w:r w:rsidRPr="00E8535B">
        <w:rPr>
          <w:rFonts w:ascii="Palatino Linotype" w:eastAsia="Palatino Linotype" w:hAnsi="Palatino Linotype" w:cs="Palatino Linotype"/>
          <w:b/>
          <w:i/>
          <w:color w:val="404040"/>
          <w:sz w:val="22"/>
          <w:szCs w:val="22"/>
        </w:rPr>
        <w:t>los señalados por las fracciones II, III, IV durante el último año y un año después de que se extinga la relación laboral</w:t>
      </w:r>
      <w:r w:rsidRPr="00E8535B">
        <w:rPr>
          <w:rFonts w:ascii="Palatino Linotype" w:eastAsia="Palatino Linotype" w:hAnsi="Palatino Linotype" w:cs="Palatino Linotype"/>
          <w:i/>
          <w:color w:val="404040"/>
          <w:sz w:val="22"/>
          <w:szCs w:val="22"/>
        </w:rPr>
        <w:t xml:space="preserve">, y los mencionados en la fracción V, conforme lo señalen las leyes que los rijan. </w:t>
      </w:r>
    </w:p>
    <w:p w14:paraId="6948BD4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E8535B">
        <w:rPr>
          <w:rFonts w:ascii="Palatino Linotype" w:eastAsia="Palatino Linotype" w:hAnsi="Palatino Linotype" w:cs="Palatino Linotype"/>
          <w:i/>
          <w:color w:val="404040"/>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691811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37132435" w14:textId="77777777" w:rsidR="008D0CD7" w:rsidRPr="00E8535B" w:rsidRDefault="008D0CD7">
      <w:pPr>
        <w:spacing w:after="160" w:line="259" w:lineRule="auto"/>
        <w:jc w:val="both"/>
        <w:rPr>
          <w:rFonts w:ascii="Palatino Linotype" w:eastAsia="Palatino Linotype" w:hAnsi="Palatino Linotype" w:cs="Palatino Linotype"/>
          <w:sz w:val="22"/>
          <w:szCs w:val="22"/>
        </w:rPr>
      </w:pPr>
    </w:p>
    <w:p w14:paraId="7460C39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3F3C7CDB" w14:textId="77777777" w:rsidR="008D0CD7" w:rsidRPr="00E8535B" w:rsidRDefault="008D0CD7">
      <w:pPr>
        <w:spacing w:line="360" w:lineRule="auto"/>
        <w:ind w:right="49"/>
        <w:jc w:val="both"/>
        <w:rPr>
          <w:rFonts w:ascii="Palatino Linotype" w:eastAsia="Palatino Linotype" w:hAnsi="Palatino Linotype" w:cs="Palatino Linotype"/>
        </w:rPr>
      </w:pPr>
    </w:p>
    <w:p w14:paraId="0E8EA0EC"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Asimismo, es importante mencionar que dicha información, se remite de manera digital al Órgano Superior de Fiscalización del Estado de México, ya que emite el Formato Informe Trimestral Municipal 2022, el cual tiene como objetivo establecer las especificaciones necesarias que las entidades fiscalizables deben cumplir para la elaboración y presentación de los informes trimestrales. </w:t>
      </w:r>
    </w:p>
    <w:p w14:paraId="10C03C87" w14:textId="77777777" w:rsidR="008D0CD7" w:rsidRPr="00E8535B" w:rsidRDefault="008D0CD7">
      <w:pPr>
        <w:spacing w:line="360" w:lineRule="auto"/>
        <w:ind w:right="49"/>
        <w:jc w:val="both"/>
        <w:rPr>
          <w:rFonts w:ascii="Palatino Linotype" w:eastAsia="Palatino Linotype" w:hAnsi="Palatino Linotype" w:cs="Palatino Linotype"/>
        </w:rPr>
      </w:pPr>
    </w:p>
    <w:p w14:paraId="39DEC2C3"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Este formato es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31E283C3" w14:textId="77777777" w:rsidR="008D0CD7" w:rsidRPr="00E8535B" w:rsidRDefault="008D0CD7">
      <w:pPr>
        <w:spacing w:line="360" w:lineRule="auto"/>
        <w:jc w:val="both"/>
        <w:rPr>
          <w:rFonts w:ascii="Palatino Linotype" w:eastAsia="Palatino Linotype" w:hAnsi="Palatino Linotype" w:cs="Palatino Linotype"/>
        </w:rPr>
      </w:pPr>
    </w:p>
    <w:p w14:paraId="59E5B045" w14:textId="77777777" w:rsidR="008D0CD7" w:rsidRPr="00E8535B" w:rsidRDefault="00434F3F">
      <w:pPr>
        <w:spacing w:line="360" w:lineRule="auto"/>
        <w:ind w:right="-28"/>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Se advierte el análisis que nos ocupa, específicamente el Submódulo-Nómina y Comprobantes localiz</w:t>
      </w:r>
      <w:r w:rsidRPr="00E8535B">
        <w:t>able en</w:t>
      </w:r>
      <w:r w:rsidRPr="00E8535B">
        <w:rPr>
          <w:rFonts w:ascii="Palatino Linotype" w:eastAsia="Palatino Linotype" w:hAnsi="Palatino Linotype" w:cs="Palatino Linotype"/>
        </w:rPr>
        <w:t xml:space="preserve"> el Módulo 4</w:t>
      </w:r>
      <w:r w:rsidRPr="00E8535B">
        <w:rPr>
          <w:rFonts w:ascii="Palatino Linotype" w:eastAsia="Palatino Linotype" w:hAnsi="Palatino Linotype" w:cs="Palatino Linotype"/>
          <w:vertAlign w:val="superscript"/>
        </w:rPr>
        <w:footnoteReference w:id="8"/>
      </w:r>
      <w:r w:rsidRPr="00E8535B">
        <w:rPr>
          <w:rFonts w:ascii="Palatino Linotype" w:eastAsia="Palatino Linotype" w:hAnsi="Palatino Linotype" w:cs="Palatino Linotype"/>
        </w:rPr>
        <w:t>, relativo a la información de nómina, el cual describe cómo debe llevarse a cabo la presentación de la información tal y como se muestra en las siguientes imágenes:</w:t>
      </w:r>
    </w:p>
    <w:p w14:paraId="5BA83E80" w14:textId="77777777" w:rsidR="008D0CD7" w:rsidRPr="00E8535B" w:rsidRDefault="008D0CD7">
      <w:pPr>
        <w:spacing w:line="360" w:lineRule="auto"/>
        <w:ind w:right="-28"/>
        <w:jc w:val="both"/>
        <w:rPr>
          <w:rFonts w:ascii="Palatino Linotype" w:eastAsia="Palatino Linotype" w:hAnsi="Palatino Linotype" w:cs="Palatino Linotype"/>
        </w:rPr>
      </w:pPr>
    </w:p>
    <w:p w14:paraId="6072A2DE" w14:textId="77777777" w:rsidR="008D0CD7" w:rsidRPr="00E8535B" w:rsidRDefault="00434F3F">
      <w:pPr>
        <w:spacing w:line="360" w:lineRule="auto"/>
        <w:jc w:val="center"/>
        <w:rPr>
          <w:rFonts w:ascii="Palatino Linotype" w:eastAsia="Palatino Linotype" w:hAnsi="Palatino Linotype" w:cs="Palatino Linotype"/>
        </w:rPr>
      </w:pPr>
      <w:r w:rsidRPr="00E8535B">
        <w:rPr>
          <w:noProof/>
        </w:rPr>
        <w:drawing>
          <wp:inline distT="0" distB="0" distL="0" distR="0" wp14:anchorId="71976348" wp14:editId="57C8BFC9">
            <wp:extent cx="2628900" cy="3495675"/>
            <wp:effectExtent l="0" t="0" r="0" b="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40733" t="12812" r="23233" b="6967"/>
                    <a:stretch>
                      <a:fillRect/>
                    </a:stretch>
                  </pic:blipFill>
                  <pic:spPr>
                    <a:xfrm>
                      <a:off x="0" y="0"/>
                      <a:ext cx="2628944" cy="3495733"/>
                    </a:xfrm>
                    <a:prstGeom prst="rect">
                      <a:avLst/>
                    </a:prstGeom>
                    <a:ln/>
                  </pic:spPr>
                </pic:pic>
              </a:graphicData>
            </a:graphic>
          </wp:inline>
        </w:drawing>
      </w:r>
    </w:p>
    <w:p w14:paraId="28DF0DD8" w14:textId="77777777" w:rsidR="008D0CD7" w:rsidRPr="00E8535B" w:rsidRDefault="00434F3F">
      <w:pPr>
        <w:spacing w:line="360" w:lineRule="auto"/>
        <w:jc w:val="center"/>
        <w:rPr>
          <w:rFonts w:ascii="Palatino Linotype" w:eastAsia="Palatino Linotype" w:hAnsi="Palatino Linotype" w:cs="Palatino Linotype"/>
        </w:rPr>
      </w:pPr>
      <w:r w:rsidRPr="00E8535B">
        <w:rPr>
          <w:noProof/>
        </w:rPr>
        <w:lastRenderedPageBreak/>
        <w:drawing>
          <wp:inline distT="0" distB="0" distL="0" distR="0" wp14:anchorId="4B725AF6" wp14:editId="7D185A24">
            <wp:extent cx="2790825" cy="3924300"/>
            <wp:effectExtent l="0" t="0" r="9525" b="0"/>
            <wp:docPr id="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41047" t="13370" r="25893" b="6682"/>
                    <a:stretch>
                      <a:fillRect/>
                    </a:stretch>
                  </pic:blipFill>
                  <pic:spPr>
                    <a:xfrm>
                      <a:off x="0" y="0"/>
                      <a:ext cx="2791169" cy="3924784"/>
                    </a:xfrm>
                    <a:prstGeom prst="rect">
                      <a:avLst/>
                    </a:prstGeom>
                    <a:ln/>
                  </pic:spPr>
                </pic:pic>
              </a:graphicData>
            </a:graphic>
          </wp:inline>
        </w:drawing>
      </w:r>
    </w:p>
    <w:p w14:paraId="1022E03A"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b/>
        </w:rPr>
      </w:pPr>
      <w:r w:rsidRPr="00E8535B">
        <w:rPr>
          <w:rFonts w:ascii="Palatino Linotype" w:eastAsia="Palatino Linotype" w:hAnsi="Palatino Linotype" w:cs="Palatino Linotype"/>
        </w:rPr>
        <w:t xml:space="preserve">Es dable para este Pleno, considerar que la información requerida por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en el </w:t>
      </w:r>
      <w:r w:rsidRPr="00E8535B">
        <w:rPr>
          <w:rFonts w:ascii="Palatino Linotype" w:eastAsia="Palatino Linotype" w:hAnsi="Palatino Linotype" w:cs="Palatino Linotype"/>
          <w:b/>
        </w:rPr>
        <w:t>punto uno</w:t>
      </w:r>
      <w:r w:rsidRPr="00E8535B">
        <w:rPr>
          <w:rFonts w:ascii="Palatino Linotype" w:eastAsia="Palatino Linotype" w:hAnsi="Palatino Linotype" w:cs="Palatino Linotype"/>
        </w:rPr>
        <w:t xml:space="preserve"> del cuadro creado por esta Ponencia Resolutora referente al listado de todo el personal que labora actualmente en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 xml:space="preserve">en el que conste el nombre, apellidos, número de empleado, salario mensual neto, fecha de ingreso, tipo de contratación, puesto y área de adscripción, puede colmarse, de manera enunciativa más no limitativa, en la Conciliación de la Nómina del OAPAS Naucalpan concerniente a las dos últimas quincenas inmediatas </w:t>
      </w:r>
      <w:r w:rsidRPr="00E8535B">
        <w:rPr>
          <w:rFonts w:ascii="Palatino Linotype" w:eastAsia="Palatino Linotype" w:hAnsi="Palatino Linotype" w:cs="Palatino Linotype"/>
        </w:rPr>
        <w:lastRenderedPageBreak/>
        <w:t xml:space="preserve">anteriores a la fecha en que fue presentada su solicitud; es decir, </w:t>
      </w:r>
      <w:r w:rsidRPr="00E8535B">
        <w:rPr>
          <w:rFonts w:ascii="Palatino Linotype" w:eastAsia="Palatino Linotype" w:hAnsi="Palatino Linotype" w:cs="Palatino Linotype"/>
          <w:b/>
        </w:rPr>
        <w:t xml:space="preserve">del primero al treinta y uno de julio del año dos mil veintidós. </w:t>
      </w:r>
    </w:p>
    <w:p w14:paraId="2500D2DC" w14:textId="77777777" w:rsidR="008D0CD7" w:rsidRPr="00E8535B" w:rsidRDefault="008D0CD7">
      <w:pPr>
        <w:spacing w:line="360" w:lineRule="auto"/>
        <w:jc w:val="both"/>
        <w:rPr>
          <w:rFonts w:ascii="Palatino Linotype" w:eastAsia="Palatino Linotype" w:hAnsi="Palatino Linotype" w:cs="Palatino Linotype"/>
          <w:color w:val="FF0000"/>
        </w:rPr>
      </w:pPr>
    </w:p>
    <w:p w14:paraId="2BA607D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Es menester de este Organismo Garante, trabajar por la Protección de los Datos Personales en posesión de los Sujetos Obligados del Estado de México, y se considera viable que si el número de empleado se integra de datos personales de las Personas Servidoras Públicas y que funja como clave de acceso que no requiera de contraseña para ingresar a sistemas de datos personales, </w:t>
      </w:r>
      <w:proofErr w:type="spellStart"/>
      <w:r w:rsidRPr="00E8535B">
        <w:rPr>
          <w:rFonts w:ascii="Palatino Linotype" w:eastAsia="Palatino Linotype" w:hAnsi="Palatino Linotype" w:cs="Palatino Linotype"/>
        </w:rPr>
        <w:t>procedece</w:t>
      </w:r>
      <w:proofErr w:type="spellEnd"/>
      <w:r w:rsidRPr="00E8535B">
        <w:rPr>
          <w:rFonts w:ascii="Palatino Linotype" w:eastAsia="Palatino Linotype" w:hAnsi="Palatino Linotype" w:cs="Palatino Linotype"/>
        </w:rPr>
        <w:t xml:space="preserve"> entonces a su clasificación como confidencial, determinación que se robustece con el siguiente Criterio de Interpretación emitido por el Pleno del Instituto Nacional de Transparencia y Protección de Datos Personales: </w:t>
      </w:r>
    </w:p>
    <w:p w14:paraId="1B873BEA" w14:textId="77777777" w:rsidR="008D0CD7" w:rsidRPr="00E8535B" w:rsidRDefault="008D0CD7">
      <w:pPr>
        <w:jc w:val="both"/>
        <w:rPr>
          <w:rFonts w:ascii="Palatino Linotype" w:eastAsia="Palatino Linotype" w:hAnsi="Palatino Linotype" w:cs="Palatino Linotype"/>
        </w:rPr>
      </w:pPr>
    </w:p>
    <w:p w14:paraId="2E12491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SEGUDA ÉPOCA</w:t>
      </w:r>
    </w:p>
    <w:p w14:paraId="0E89C87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Clave de control: SO/006/2019</w:t>
      </w:r>
    </w:p>
    <w:p w14:paraId="56DCA5B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Materia: Acceso a la Información Pública</w:t>
      </w:r>
    </w:p>
    <w:p w14:paraId="69CF576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ACUERDO ACT-PUB/11/09/2019.06</w:t>
      </w:r>
    </w:p>
    <w:p w14:paraId="5259853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Número de empleado.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F57F3DB"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7C32FBD6"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Tomando como referente y sustento al Criterio Histórico de clave de control SO/003/2014, en materia de Acceso a la Información Pública, emitido en la Primera Época por el Pleno del </w:t>
      </w:r>
      <w:proofErr w:type="spellStart"/>
      <w:r w:rsidRPr="00E8535B">
        <w:rPr>
          <w:rFonts w:ascii="Palatino Linotype" w:eastAsia="Palatino Linotype" w:hAnsi="Palatino Linotype" w:cs="Palatino Linotype"/>
        </w:rPr>
        <w:t>otroro</w:t>
      </w:r>
      <w:proofErr w:type="spellEnd"/>
      <w:r w:rsidRPr="00E8535B">
        <w:rPr>
          <w:rFonts w:ascii="Palatino Linotype" w:eastAsia="Palatino Linotype" w:hAnsi="Palatino Linotype" w:cs="Palatino Linotype"/>
        </w:rPr>
        <w:t xml:space="preserve"> Instituto Federal de Acceso a la Información y Protección de Datos; </w:t>
      </w:r>
    </w:p>
    <w:p w14:paraId="4AF4346E"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158C4B3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b/>
          <w:i/>
          <w:color w:val="000000"/>
          <w:sz w:val="22"/>
          <w:szCs w:val="22"/>
        </w:rPr>
        <w:t xml:space="preserve">Número de empleado, o su equivalente, si se integra con datos personales del trabajador o permite accede a éstos sin necesidad de una contraseña, constituye información confidencial. </w:t>
      </w:r>
      <w:r w:rsidRPr="00E8535B">
        <w:rPr>
          <w:rFonts w:ascii="Palatino Linotype" w:eastAsia="Palatino Linotype" w:hAnsi="Palatino Linotype" w:cs="Palatino Linotype"/>
          <w:i/>
          <w:color w:val="000000"/>
          <w:sz w:val="22"/>
          <w:szCs w:val="22"/>
        </w:rPr>
        <w:t>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22D2124"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585D3E77"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Este Instituto de Transparencia, ahora se concentra en lo relativo al </w:t>
      </w:r>
      <w:r w:rsidRPr="00E8535B">
        <w:rPr>
          <w:rFonts w:ascii="Palatino Linotype" w:eastAsia="Palatino Linotype" w:hAnsi="Palatino Linotype" w:cs="Palatino Linotype"/>
          <w:b/>
        </w:rPr>
        <w:t>punto dos</w:t>
      </w:r>
      <w:r w:rsidRPr="00E8535B">
        <w:rPr>
          <w:rFonts w:ascii="Palatino Linotype" w:eastAsia="Palatino Linotype" w:hAnsi="Palatino Linotype" w:cs="Palatino Linotype"/>
        </w:rPr>
        <w:t xml:space="preserve"> del cuadro realizado en la página veintitrés de esta resolución, pues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no se vio beneficiada con la información requerida relativa a las altas generadas hasta el doce de agosto del dos mil veintidós, fecha en que ingresó la solicitud de información </w:t>
      </w:r>
      <w:r w:rsidRPr="00E8535B">
        <w:rPr>
          <w:rFonts w:ascii="Palatino Linotype" w:eastAsia="Palatino Linotype" w:hAnsi="Palatino Linotype" w:cs="Palatino Linotype"/>
          <w:b/>
        </w:rPr>
        <w:t>00129/OASNAUCAL/IP/2022</w:t>
      </w:r>
      <w:r w:rsidRPr="00E8535B">
        <w:rPr>
          <w:rFonts w:ascii="Palatino Linotype" w:eastAsia="Palatino Linotype" w:hAnsi="Palatino Linotype" w:cs="Palatino Linotype"/>
        </w:rPr>
        <w:t xml:space="preserve"> al SAIMEX del </w:t>
      </w:r>
      <w:r w:rsidRPr="00E8535B">
        <w:rPr>
          <w:rFonts w:ascii="Palatino Linotype" w:eastAsia="Palatino Linotype" w:hAnsi="Palatino Linotype" w:cs="Palatino Linotype"/>
          <w:b/>
        </w:rPr>
        <w:t xml:space="preserve">SUJETO OBLIGADO, </w:t>
      </w:r>
      <w:r w:rsidRPr="00E8535B">
        <w:rPr>
          <w:rFonts w:ascii="Palatino Linotype" w:eastAsia="Palatino Linotype" w:hAnsi="Palatino Linotype" w:cs="Palatino Linotype"/>
        </w:rPr>
        <w:t xml:space="preserve">porque no hubo pronunciamiento alguno. </w:t>
      </w:r>
    </w:p>
    <w:p w14:paraId="0C3233A6"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7CF427AA"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Por lo que hace a la fecha de ingreso del personal adscrito al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tenemos que esa información debe yacer en los registros, pues la Ley del Trabajo de los Servidores Públicos del Estado de México y Municipios, ordena:</w:t>
      </w:r>
    </w:p>
    <w:p w14:paraId="3DA2A616"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23CA614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xml:space="preserve">TÍTULO TERCERO DE LOS DERECHOS Y OBLIGACIONES </w:t>
      </w:r>
      <w:proofErr w:type="gramStart"/>
      <w:r w:rsidRPr="00E8535B">
        <w:rPr>
          <w:rFonts w:ascii="Palatino Linotype" w:eastAsia="Palatino Linotype" w:hAnsi="Palatino Linotype" w:cs="Palatino Linotype"/>
          <w:i/>
          <w:color w:val="000000"/>
          <w:sz w:val="22"/>
          <w:szCs w:val="22"/>
        </w:rPr>
        <w:t>INDIVIDUALES  DE</w:t>
      </w:r>
      <w:proofErr w:type="gramEnd"/>
      <w:r w:rsidRPr="00E8535B">
        <w:rPr>
          <w:rFonts w:ascii="Palatino Linotype" w:eastAsia="Palatino Linotype" w:hAnsi="Palatino Linotype" w:cs="Palatino Linotype"/>
          <w:i/>
          <w:color w:val="000000"/>
          <w:sz w:val="22"/>
          <w:szCs w:val="22"/>
        </w:rPr>
        <w:t xml:space="preserve"> LOS SERVIDORES PÚBLICOS</w:t>
      </w:r>
    </w:p>
    <w:p w14:paraId="2601A42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CAPÍTULO I DEL INGRESO AL SERVICIO PÚBLICO</w:t>
      </w:r>
    </w:p>
    <w:p w14:paraId="28022B3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xml:space="preserve">Artículo 45.-Los servidores públicos </w:t>
      </w:r>
      <w:r w:rsidRPr="00E8535B">
        <w:rPr>
          <w:rFonts w:ascii="Palatino Linotype" w:eastAsia="Palatino Linotype" w:hAnsi="Palatino Linotype" w:cs="Palatino Linotype"/>
          <w:b/>
          <w:i/>
          <w:color w:val="000000"/>
          <w:sz w:val="22"/>
          <w:szCs w:val="22"/>
        </w:rPr>
        <w:t>prestarán sus servicios mediante nombramiento, contrato o formato único de Movimientos de Personal</w:t>
      </w:r>
      <w:r w:rsidRPr="00E8535B">
        <w:rPr>
          <w:rFonts w:ascii="Palatino Linotype" w:eastAsia="Palatino Linotype" w:hAnsi="Palatino Linotype" w:cs="Palatino Linotype"/>
          <w:i/>
          <w:color w:val="000000"/>
          <w:sz w:val="22"/>
          <w:szCs w:val="22"/>
        </w:rPr>
        <w:t xml:space="preserve"> expedidos por quien estuviere facultado legalmente para extenderlo.</w:t>
      </w:r>
    </w:p>
    <w:p w14:paraId="76413479"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3E86EF1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i/>
          <w:color w:val="000000"/>
          <w:sz w:val="22"/>
          <w:szCs w:val="22"/>
        </w:rPr>
        <w:t xml:space="preserve">Artículo 48.- </w:t>
      </w:r>
      <w:r w:rsidRPr="00E8535B">
        <w:rPr>
          <w:rFonts w:ascii="Palatino Linotype" w:eastAsia="Palatino Linotype" w:hAnsi="Palatino Linotype" w:cs="Palatino Linotype"/>
          <w:b/>
          <w:i/>
          <w:color w:val="000000"/>
          <w:sz w:val="22"/>
          <w:szCs w:val="22"/>
        </w:rPr>
        <w:t>Para iniciar la prestación de los servicios se requiere:</w:t>
      </w:r>
    </w:p>
    <w:p w14:paraId="598ECC7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I. Tener conferido el nombramiento, contrato respectivo o formato único de Movimientos de Personal;</w:t>
      </w:r>
    </w:p>
    <w:p w14:paraId="5647219C"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II. Rendir la protesta de ley en caso de nombramiento; y</w:t>
      </w:r>
    </w:p>
    <w:p w14:paraId="01E14DD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III. Tomar posesión del cargo.</w:t>
      </w:r>
    </w:p>
    <w:p w14:paraId="3B7407B9"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6D591D2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CAPÍTULO II</w:t>
      </w:r>
    </w:p>
    <w:p w14:paraId="0EC01C9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DE LOS NOMBRAMIENTOS</w:t>
      </w:r>
    </w:p>
    <w:p w14:paraId="7B1581F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i/>
          <w:color w:val="000000"/>
          <w:sz w:val="22"/>
          <w:szCs w:val="22"/>
        </w:rPr>
        <w:t xml:space="preserve">Artículo 49.- </w:t>
      </w:r>
      <w:r w:rsidRPr="00E8535B">
        <w:rPr>
          <w:rFonts w:ascii="Palatino Linotype" w:eastAsia="Palatino Linotype" w:hAnsi="Palatino Linotype" w:cs="Palatino Linotype"/>
          <w:b/>
          <w:i/>
          <w:color w:val="000000"/>
          <w:sz w:val="22"/>
          <w:szCs w:val="22"/>
        </w:rPr>
        <w:t>Los nombramientos, contratos o formato único de Movimientos de Personal de los servidores públicos deberán contener:</w:t>
      </w:r>
    </w:p>
    <w:p w14:paraId="03284BB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I. Nombre completo del servidor público;</w:t>
      </w:r>
    </w:p>
    <w:p w14:paraId="3BED2A3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II. Cargo para el que es designado, fecha de inicio de sus servicios y lugar de adscripción;</w:t>
      </w:r>
    </w:p>
    <w:p w14:paraId="147909B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III. Carácter del nombramiento, ya sea de servidores públicos generales o de confianza, así como la temporalidad del mismo;</w:t>
      </w:r>
    </w:p>
    <w:p w14:paraId="0276E03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IV. Remuneración correspondiente al puesto;</w:t>
      </w:r>
    </w:p>
    <w:p w14:paraId="258467F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V. Jornada de trabajo;</w:t>
      </w:r>
    </w:p>
    <w:p w14:paraId="6394206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VI. Derogada;</w:t>
      </w:r>
    </w:p>
    <w:p w14:paraId="44AB10F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VII. Firma del servidor público autorizado para emitir el nombramiento, contrato o formato único de Movimientos de Personal, así como el fundamento legal de esa atribución.</w:t>
      </w:r>
    </w:p>
    <w:p w14:paraId="71B5B002"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2E4159"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En consecuencia, es dable concluir por lo que hace a este punto del estudio, que existe una vulneración al Derecho Fundamental de Acceso a la Información de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por no haber sido satisfecho su requerimiento, pues tampoco existe pronunciamiento alguno por parte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en lo, es procedente ordenar su entrega.  </w:t>
      </w:r>
    </w:p>
    <w:p w14:paraId="238DE0A8"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b/>
        </w:rPr>
      </w:pPr>
    </w:p>
    <w:p w14:paraId="14F04109"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Derivado que del contenido de la solicitud de información, se advierte que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señaló el periodo temporal de la información requerida; “... </w:t>
      </w:r>
      <w:r w:rsidRPr="00E8535B">
        <w:rPr>
          <w:rFonts w:ascii="Palatino Linotype" w:eastAsia="Palatino Linotype" w:hAnsi="Palatino Linotype" w:cs="Palatino Linotype"/>
          <w:i/>
          <w:sz w:val="22"/>
          <w:szCs w:val="22"/>
        </w:rPr>
        <w:t xml:space="preserve">(incluyendo las altas generadas hasta el 12 de agosto del dos mil veintidós)...” (Sic) </w:t>
      </w:r>
      <w:r w:rsidRPr="00E8535B">
        <w:rPr>
          <w:rFonts w:ascii="Palatino Linotype" w:eastAsia="Palatino Linotype" w:hAnsi="Palatino Linotype" w:cs="Palatino Linotype"/>
        </w:rPr>
        <w:t>este Instituto con fundamento en lo dispuesto por el artículo 13</w:t>
      </w:r>
      <w:r w:rsidRPr="00E8535B">
        <w:rPr>
          <w:rFonts w:ascii="Palatino Linotype" w:eastAsia="Palatino Linotype" w:hAnsi="Palatino Linotype" w:cs="Palatino Linotype"/>
          <w:vertAlign w:val="superscript"/>
        </w:rPr>
        <w:footnoteReference w:id="9"/>
      </w:r>
      <w:r w:rsidRPr="00E8535B">
        <w:rPr>
          <w:rFonts w:ascii="Palatino Linotype" w:eastAsia="Palatino Linotype" w:hAnsi="Palatino Linotype" w:cs="Palatino Linotype"/>
        </w:rPr>
        <w:t xml:space="preserve"> y 181 párrafo cuarto</w:t>
      </w:r>
      <w:r w:rsidRPr="00E8535B">
        <w:rPr>
          <w:rFonts w:ascii="Palatino Linotype" w:eastAsia="Palatino Linotype" w:hAnsi="Palatino Linotype" w:cs="Palatino Linotype"/>
          <w:vertAlign w:val="superscript"/>
        </w:rPr>
        <w:footnoteReference w:id="10"/>
      </w:r>
      <w:r w:rsidRPr="00E8535B">
        <w:rPr>
          <w:rFonts w:ascii="Palatino Linotype" w:eastAsia="Palatino Linotype" w:hAnsi="Palatino Linotype" w:cs="Palatino Linotype"/>
        </w:rPr>
        <w:t xml:space="preserve"> de la Ley de Transparencia y Acceso a la Información Pública del Estado de México y Municipios, suple la deficiencia presentada respecto a la temporalidad de su solicitud, determinando que la información solicitada corresponderá a la que se generó desde el primero de enero de dos mil veintidós y hasta la fecha en que se presentó la solicitud</w:t>
      </w:r>
      <w:r w:rsidRPr="00E8535B">
        <w:rPr>
          <w:rFonts w:ascii="Palatino Linotype" w:eastAsia="Palatino Linotype" w:hAnsi="Palatino Linotype" w:cs="Palatino Linotype"/>
          <w:b/>
        </w:rPr>
        <w:t xml:space="preserve"> 00129/OASNAUCAL/IP/2022, </w:t>
      </w:r>
      <w:r w:rsidRPr="00E8535B">
        <w:rPr>
          <w:rFonts w:ascii="Palatino Linotype" w:eastAsia="Palatino Linotype" w:hAnsi="Palatino Linotype" w:cs="Palatino Linotype"/>
        </w:rPr>
        <w:t xml:space="preserve">es decir, al doce de agosto de dos mil veintidós. </w:t>
      </w:r>
    </w:p>
    <w:p w14:paraId="5FFBABFE"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b/>
        </w:rPr>
      </w:pPr>
    </w:p>
    <w:p w14:paraId="5502122E"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Así pues, resulta procedente ordenar al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que informe </w:t>
      </w:r>
      <w:r w:rsidRPr="00E8535B">
        <w:rPr>
          <w:rFonts w:ascii="Palatino Linotype" w:eastAsia="Palatino Linotype" w:hAnsi="Palatino Linotype" w:cs="Palatino Linotype"/>
          <w:b/>
        </w:rPr>
        <w:t>a LA PARTE RECURRENTE</w:t>
      </w:r>
      <w:r w:rsidRPr="00E8535B">
        <w:rPr>
          <w:rFonts w:ascii="Palatino Linotype" w:eastAsia="Palatino Linotype" w:hAnsi="Palatino Linotype" w:cs="Palatino Linotype"/>
        </w:rPr>
        <w:t xml:space="preserve"> el total de altas de personal generadas en la temporalidad antes señalada, y de ser el caso que no hubiera generado alguna, bastará que de manera fundada y motivada así se señale. </w:t>
      </w:r>
    </w:p>
    <w:p w14:paraId="4B803F8F"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12132A6B"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Para finalizar, entraremos al estudio del </w:t>
      </w:r>
      <w:r w:rsidRPr="00E8535B">
        <w:rPr>
          <w:rFonts w:ascii="Palatino Linotype" w:eastAsia="Palatino Linotype" w:hAnsi="Palatino Linotype" w:cs="Palatino Linotype"/>
          <w:b/>
        </w:rPr>
        <w:t>punto tres</w:t>
      </w:r>
      <w:r w:rsidRPr="00E8535B">
        <w:rPr>
          <w:rFonts w:ascii="Palatino Linotype" w:eastAsia="Palatino Linotype" w:hAnsi="Palatino Linotype" w:cs="Palatino Linotype"/>
        </w:rPr>
        <w:t xml:space="preserve"> del estudio propuesto en el cuadro de esta resolución, pues es conveniente enfatizar que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requirió todos los nombramientos del personal adscrito al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en esas consideraciones resalta que en la respuesta impugnada, particularmente en el archivo denominado </w:t>
      </w:r>
      <w:r w:rsidRPr="00E8535B">
        <w:rPr>
          <w:rFonts w:ascii="Palatino Linotype" w:eastAsia="Palatino Linotype" w:hAnsi="Palatino Linotype" w:cs="Palatino Linotype"/>
          <w:i/>
        </w:rPr>
        <w:t>NOMBRAMIENTOS_1_redacted solicitud 129.pdf</w:t>
      </w:r>
      <w:r w:rsidRPr="00E8535B">
        <w:rPr>
          <w:rFonts w:ascii="Palatino Linotype" w:eastAsia="Palatino Linotype" w:hAnsi="Palatino Linotype" w:cs="Palatino Linotype"/>
        </w:rPr>
        <w:t xml:space="preserve"> consta un acuerdo económico incompleto por el cual se designa al Director del OAPAS Naucalpan, así como cuarenta y un nombramientos que se remitieron a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de los cuales se eliminó la firma de las personas servidoras públicas y el sello de la Institución. </w:t>
      </w:r>
    </w:p>
    <w:p w14:paraId="044EF9B5" w14:textId="77777777" w:rsidR="00B25381" w:rsidRPr="00E8535B" w:rsidRDefault="00B25381">
      <w:pPr>
        <w:pBdr>
          <w:top w:val="nil"/>
          <w:left w:val="nil"/>
          <w:bottom w:val="nil"/>
          <w:right w:val="nil"/>
          <w:between w:val="nil"/>
        </w:pBdr>
        <w:spacing w:line="360" w:lineRule="auto"/>
        <w:jc w:val="both"/>
        <w:rPr>
          <w:rFonts w:ascii="Palatino Linotype" w:eastAsia="Palatino Linotype" w:hAnsi="Palatino Linotype" w:cs="Palatino Linotype"/>
        </w:rPr>
      </w:pPr>
    </w:p>
    <w:p w14:paraId="64CE3605"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No pasa por inadvertido para esta Autoridad del Derecho al Acceso a la Información que la clasificación de la información en el caso que nos compete, es excesiva e innecesaria, en virtud de que las firmas de las Personas Servidoras Públicas en ejercicio de sus funciones se consideran como ellas; públicas. </w:t>
      </w:r>
    </w:p>
    <w:p w14:paraId="55FB5088"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254D4EC5"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Para abordar el asunto en específico es ilustrativo invocar el Criterio emitido por el Pleno del Instituto Nacional de Transparencia y Protección de Datos Personales, de rubro y texto siguientes:</w:t>
      </w:r>
    </w:p>
    <w:p w14:paraId="21D39B7B"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4E00953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 xml:space="preserve">Clave de control: </w:t>
      </w:r>
      <w:r w:rsidRPr="00E8535B">
        <w:rPr>
          <w:rFonts w:ascii="Palatino Linotype" w:eastAsia="Palatino Linotype" w:hAnsi="Palatino Linotype" w:cs="Palatino Linotype"/>
          <w:i/>
          <w:color w:val="000000"/>
          <w:sz w:val="22"/>
          <w:szCs w:val="22"/>
        </w:rPr>
        <w:t>SO/002/2019</w:t>
      </w:r>
    </w:p>
    <w:p w14:paraId="0768A55D"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b/>
          <w:i/>
          <w:color w:val="000000"/>
          <w:sz w:val="22"/>
          <w:szCs w:val="22"/>
        </w:rPr>
        <w:t xml:space="preserve">Materia: </w:t>
      </w:r>
      <w:r w:rsidRPr="00E8535B">
        <w:rPr>
          <w:rFonts w:ascii="Palatino Linotype" w:eastAsia="Palatino Linotype" w:hAnsi="Palatino Linotype" w:cs="Palatino Linotype"/>
          <w:i/>
          <w:color w:val="000000"/>
          <w:sz w:val="22"/>
          <w:szCs w:val="22"/>
        </w:rPr>
        <w:t>Acceso a la Información Pública</w:t>
      </w:r>
    </w:p>
    <w:p w14:paraId="549CA07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b/>
          <w:i/>
          <w:color w:val="000000"/>
          <w:sz w:val="22"/>
          <w:szCs w:val="22"/>
        </w:rPr>
        <w:t>Acuerdo ACT-PUB/11/09/2019.06</w:t>
      </w:r>
    </w:p>
    <w:p w14:paraId="17C52AE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b/>
          <w:i/>
          <w:color w:val="000000"/>
          <w:sz w:val="22"/>
          <w:szCs w:val="22"/>
        </w:rPr>
        <w:t>Firma y rúbrica de servidores públicos.</w:t>
      </w:r>
      <w:r w:rsidRPr="00E8535B">
        <w:rPr>
          <w:rFonts w:ascii="Palatino Linotype" w:eastAsia="Palatino Linotype" w:hAnsi="Palatino Linotype" w:cs="Palatino Linotype"/>
          <w:i/>
          <w:color w:val="000000"/>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20CD8A9"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41E089F6"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Sirva de sustento a lo dicho, el artículo cuadragésimo séptimo de los Lineamientos Generales en Materia de Clasificación y Desclasificación de la Información, así como para la Elaboración de Versiones Públicas emitidos por el Sistema Nacional de Transparencia, Acceso a la Información Pública y Protección de Datos Personales:</w:t>
      </w:r>
    </w:p>
    <w:p w14:paraId="5E196F8B"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10D91BC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xml:space="preserve">Quincuagésimo séptimo. </w:t>
      </w:r>
      <w:r w:rsidRPr="00E8535B">
        <w:rPr>
          <w:rFonts w:ascii="Palatino Linotype" w:eastAsia="Palatino Linotype" w:hAnsi="Palatino Linotype" w:cs="Palatino Linotype"/>
          <w:b/>
          <w:i/>
          <w:color w:val="000000"/>
          <w:sz w:val="22"/>
          <w:szCs w:val="22"/>
        </w:rPr>
        <w:t>Se considera, en principio, como información pública</w:t>
      </w:r>
      <w:r w:rsidRPr="00E8535B">
        <w:rPr>
          <w:rFonts w:ascii="Palatino Linotype" w:eastAsia="Palatino Linotype" w:hAnsi="Palatino Linotype" w:cs="Palatino Linotype"/>
          <w:i/>
          <w:color w:val="000000"/>
          <w:sz w:val="22"/>
          <w:szCs w:val="22"/>
        </w:rPr>
        <w:t xml:space="preserve"> y no podrá omitirse de las versiones públicas la siguiente: </w:t>
      </w:r>
    </w:p>
    <w:p w14:paraId="740BC442" w14:textId="77777777" w:rsidR="008D0CD7" w:rsidRPr="00E8535B" w:rsidRDefault="00434F3F">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xml:space="preserve">La relativa a las Obligaciones de Transparencia que contempla el Título V de la Ley General y las demás disposiciones legales aplicables; </w:t>
      </w:r>
    </w:p>
    <w:p w14:paraId="02751ACE" w14:textId="77777777" w:rsidR="008D0CD7" w:rsidRPr="00E8535B" w:rsidRDefault="00434F3F">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b/>
          <w:i/>
          <w:color w:val="000000"/>
          <w:sz w:val="22"/>
          <w:szCs w:val="22"/>
        </w:rPr>
        <w:t>El nombre de los servidores públicos en los documentos, y sus firmas autógrafas, cuando sean utilizados en el ejercicio de las facultades conferidas para el desempeño del servicio público,</w:t>
      </w:r>
      <w:r w:rsidRPr="00E8535B">
        <w:rPr>
          <w:rFonts w:ascii="Palatino Linotype" w:eastAsia="Palatino Linotype" w:hAnsi="Palatino Linotype" w:cs="Palatino Linotype"/>
          <w:i/>
          <w:color w:val="000000"/>
          <w:sz w:val="22"/>
          <w:szCs w:val="22"/>
        </w:rPr>
        <w:t xml:space="preserve"> y </w:t>
      </w:r>
    </w:p>
    <w:p w14:paraId="61920A01" w14:textId="77777777" w:rsidR="008D0CD7" w:rsidRPr="00E8535B" w:rsidRDefault="00434F3F">
      <w:pPr>
        <w:numPr>
          <w:ilvl w:val="0"/>
          <w:numId w:val="4"/>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t xml:space="preserve">La información que documente decisiones y los actos de autoridad concluidos de los sujetos obligados, así como el ejercicio de las facultades o actividades de los servidores públicos, de manera que se pueda valorar el desempeño de los mismos. </w:t>
      </w:r>
    </w:p>
    <w:p w14:paraId="3A96B8E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E8535B">
        <w:rPr>
          <w:rFonts w:ascii="Palatino Linotype" w:eastAsia="Palatino Linotype" w:hAnsi="Palatino Linotype" w:cs="Palatino Linotype"/>
          <w:i/>
          <w:color w:val="000000"/>
          <w:sz w:val="22"/>
          <w:szCs w:val="22"/>
        </w:rPr>
        <w:lastRenderedPageBreak/>
        <w:t xml:space="preserve">Lo anterior, siempre y cuando no se acredite alguna causal de clasificación, prevista en las leyes o en los tratados </w:t>
      </w:r>
      <w:proofErr w:type="gramStart"/>
      <w:r w:rsidRPr="00E8535B">
        <w:rPr>
          <w:rFonts w:ascii="Palatino Linotype" w:eastAsia="Palatino Linotype" w:hAnsi="Palatino Linotype" w:cs="Palatino Linotype"/>
          <w:i/>
          <w:color w:val="000000"/>
          <w:sz w:val="22"/>
          <w:szCs w:val="22"/>
        </w:rPr>
        <w:t>internaciones suscritos</w:t>
      </w:r>
      <w:proofErr w:type="gramEnd"/>
      <w:r w:rsidRPr="00E8535B">
        <w:rPr>
          <w:rFonts w:ascii="Palatino Linotype" w:eastAsia="Palatino Linotype" w:hAnsi="Palatino Linotype" w:cs="Palatino Linotype"/>
          <w:i/>
          <w:color w:val="000000"/>
          <w:sz w:val="22"/>
          <w:szCs w:val="22"/>
        </w:rPr>
        <w:t xml:space="preserve"> por el Estado mexicano.</w:t>
      </w:r>
    </w:p>
    <w:p w14:paraId="43408661"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1D7018DF"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Del mismo modo, es inoperante la clasificación de los sellos institucionales, derivado de la naturaleza del mismo, a saber, según la Real Academia Española, considera que es instrumento con imágenes grabadas que, a través de la impresión de tinta sobre el papel, se utiliza para autorizar documentos.</w:t>
      </w:r>
    </w:p>
    <w:p w14:paraId="7076F07C"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1DF4BE35"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ese sentido, el sello forma parte integral del documento en el cual se encuentra plasmado, y como se advierte en el presente estudio, los nombramientos en los que se designa a determinada persona para ocupar un cargo público, son igual que su encargo; públicos, obvio, lo inserto en él tiene la misma naturaleza. </w:t>
      </w:r>
    </w:p>
    <w:p w14:paraId="5131C627"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7D8BAA45"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Así las cosas, este Instituto de Transparencia determina que la elaboración de versiones públicas de nombramientos es improcedente e ilegal, aunado a que se remitió a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sin el debido Acuerdo de Clasificación debidamente expedido por el Comité de Transparencia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en esos términos, lo apegado a la Ley de Transparencia es entregar la información sin que obre clasificación de por medio, pues es como se aduce, es contraria a ella. </w:t>
      </w:r>
    </w:p>
    <w:p w14:paraId="72100CAE"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6CC3538A" w14:textId="77777777" w:rsidR="008D0CD7" w:rsidRPr="00E8535B" w:rsidRDefault="00434F3F">
      <w:pPr>
        <w:pBdr>
          <w:top w:val="nil"/>
          <w:left w:val="nil"/>
          <w:bottom w:val="nil"/>
          <w:right w:val="nil"/>
          <w:between w:val="nil"/>
        </w:pBdr>
        <w:spacing w:line="360" w:lineRule="auto"/>
        <w:jc w:val="both"/>
        <w:rPr>
          <w:rFonts w:ascii="Arial" w:eastAsia="Arial" w:hAnsi="Arial" w:cs="Arial"/>
          <w:b/>
          <w:sz w:val="16"/>
          <w:szCs w:val="16"/>
        </w:rPr>
      </w:pPr>
      <w:r w:rsidRPr="00E8535B">
        <w:rPr>
          <w:rFonts w:ascii="Palatino Linotype" w:eastAsia="Palatino Linotype" w:hAnsi="Palatino Linotype" w:cs="Palatino Linotype"/>
        </w:rPr>
        <w:t xml:space="preserve">Por tal motivo, una vez que se ha determinado la naturaleza pública de los datos que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pretendió clasificar como información confidencial, </w:t>
      </w:r>
      <w:r w:rsidRPr="00E8535B">
        <w:rPr>
          <w:rFonts w:ascii="Palatino Linotype" w:eastAsia="Palatino Linotype" w:hAnsi="Palatino Linotype" w:cs="Palatino Linotype"/>
        </w:rPr>
        <w:lastRenderedPageBreak/>
        <w:t xml:space="preserve">el Pleno del </w:t>
      </w:r>
      <w:proofErr w:type="spellStart"/>
      <w:r w:rsidRPr="00E8535B">
        <w:rPr>
          <w:rFonts w:ascii="Palatino Linotype" w:eastAsia="Palatino Linotype" w:hAnsi="Palatino Linotype" w:cs="Palatino Linotype"/>
        </w:rPr>
        <w:t>Infoem</w:t>
      </w:r>
      <w:proofErr w:type="spellEnd"/>
      <w:r w:rsidRPr="00E8535B">
        <w:rPr>
          <w:rFonts w:ascii="Palatino Linotype" w:eastAsia="Palatino Linotype" w:hAnsi="Palatino Linotype" w:cs="Palatino Linotype"/>
        </w:rPr>
        <w:t xml:space="preserve"> determina dable ordenar la entrega de los nombramientos que obran en la respuesta primigenia a la solicitud </w:t>
      </w:r>
      <w:r w:rsidRPr="00E8535B">
        <w:rPr>
          <w:rFonts w:ascii="Palatino Linotype" w:eastAsia="Palatino Linotype" w:hAnsi="Palatino Linotype" w:cs="Palatino Linotype"/>
          <w:b/>
        </w:rPr>
        <w:t>00129/OASNAUCAL/IP/2022,</w:t>
      </w:r>
      <w:r w:rsidRPr="00E8535B">
        <w:rPr>
          <w:rFonts w:ascii="Palatino Linotype" w:eastAsia="Palatino Linotype" w:hAnsi="Palatino Linotype" w:cs="Palatino Linotype"/>
        </w:rPr>
        <w:t xml:space="preserve"> sin que medie en ellos Clasificación de la Información en cualquiera de sus modalidades.</w:t>
      </w:r>
      <w:r w:rsidRPr="00E8535B">
        <w:rPr>
          <w:rFonts w:ascii="Arial" w:eastAsia="Arial" w:hAnsi="Arial" w:cs="Arial"/>
          <w:b/>
          <w:sz w:val="16"/>
          <w:szCs w:val="16"/>
        </w:rPr>
        <w:t xml:space="preserve"> </w:t>
      </w:r>
    </w:p>
    <w:p w14:paraId="1C68B75E" w14:textId="77777777" w:rsidR="008D0CD7" w:rsidRPr="00E8535B" w:rsidRDefault="008D0CD7">
      <w:pPr>
        <w:spacing w:line="360" w:lineRule="auto"/>
        <w:ind w:right="51"/>
        <w:jc w:val="both"/>
        <w:rPr>
          <w:rFonts w:ascii="Palatino Linotype" w:eastAsia="Palatino Linotype" w:hAnsi="Palatino Linotype" w:cs="Palatino Linotype"/>
          <w:b/>
        </w:rPr>
      </w:pPr>
    </w:p>
    <w:p w14:paraId="784F49B7" w14:textId="77777777" w:rsidR="008D0CD7" w:rsidRPr="00E8535B" w:rsidRDefault="00434F3F">
      <w:pPr>
        <w:spacing w:line="360" w:lineRule="auto"/>
        <w:ind w:right="51"/>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QUINTO. Versión Pública. </w:t>
      </w:r>
      <w:r w:rsidRPr="00E8535B">
        <w:rPr>
          <w:rFonts w:ascii="Palatino Linotype" w:eastAsia="Palatino Linotype" w:hAnsi="Palatino Linotype" w:cs="Palatino Linotype"/>
        </w:rPr>
        <w:t xml:space="preserve">Como fue debidamente apuntado,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4CBF701" w14:textId="77777777" w:rsidR="008D0CD7" w:rsidRPr="00E8535B" w:rsidRDefault="008D0CD7">
      <w:pPr>
        <w:spacing w:line="360" w:lineRule="auto"/>
        <w:ind w:right="51"/>
        <w:jc w:val="both"/>
        <w:rPr>
          <w:rFonts w:ascii="Palatino Linotype" w:eastAsia="Palatino Linotype" w:hAnsi="Palatino Linotype" w:cs="Palatino Linotype"/>
        </w:rPr>
      </w:pPr>
    </w:p>
    <w:p w14:paraId="6FCFAF36"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D81A042"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0EDBE59" w14:textId="77777777" w:rsidR="008D0CD7" w:rsidRPr="00E8535B" w:rsidRDefault="008D0CD7">
      <w:pPr>
        <w:spacing w:line="360" w:lineRule="auto"/>
        <w:ind w:right="49"/>
        <w:jc w:val="both"/>
        <w:rPr>
          <w:rFonts w:ascii="Palatino Linotype" w:eastAsia="Palatino Linotype" w:hAnsi="Palatino Linotype" w:cs="Palatino Linotype"/>
        </w:rPr>
      </w:pPr>
    </w:p>
    <w:p w14:paraId="7BAC22E9"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15C448E5"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262D439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Artículo 3.</w:t>
      </w:r>
      <w:r w:rsidRPr="00E8535B">
        <w:rPr>
          <w:rFonts w:ascii="Palatino Linotype" w:eastAsia="Palatino Linotype" w:hAnsi="Palatino Linotype" w:cs="Palatino Linotype"/>
          <w:i/>
          <w:color w:val="404040"/>
          <w:sz w:val="22"/>
          <w:szCs w:val="22"/>
        </w:rPr>
        <w:t xml:space="preserve"> Para los efectos de la presente Ley se entenderá por:</w:t>
      </w:r>
    </w:p>
    <w:p w14:paraId="3187063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240670A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IX. Datos personales</w:t>
      </w:r>
      <w:r w:rsidRPr="00E8535B">
        <w:rPr>
          <w:rFonts w:ascii="Palatino Linotype" w:eastAsia="Palatino Linotype" w:hAnsi="Palatino Linotype" w:cs="Palatino Linotype"/>
          <w:i/>
          <w:color w:val="404040"/>
          <w:sz w:val="22"/>
          <w:szCs w:val="22"/>
        </w:rPr>
        <w:t>: La información concerniente a una persona, identificada o identificable según lo dispuesto por la Ley de Protección de Datos Personales del Estado de México;</w:t>
      </w:r>
    </w:p>
    <w:p w14:paraId="261D90FD"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5750023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XX. Información clasificada</w:t>
      </w:r>
      <w:r w:rsidRPr="00E8535B">
        <w:rPr>
          <w:rFonts w:ascii="Palatino Linotype" w:eastAsia="Palatino Linotype" w:hAnsi="Palatino Linotype" w:cs="Palatino Linotype"/>
          <w:i/>
          <w:color w:val="404040"/>
          <w:sz w:val="22"/>
          <w:szCs w:val="22"/>
        </w:rPr>
        <w:t>: Aquella considerada por la presente Ley como reservada o confidencial;</w:t>
      </w:r>
    </w:p>
    <w:p w14:paraId="3371DCA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XXI. Información confidencial</w:t>
      </w:r>
      <w:r w:rsidRPr="00E8535B">
        <w:rPr>
          <w:rFonts w:ascii="Palatino Linotype" w:eastAsia="Palatino Linotype" w:hAnsi="Palatino Linotype" w:cs="Palatino Linotype"/>
          <w:i/>
          <w:color w:val="404040"/>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2C043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5DAA4EE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XXXII. Protección de Datos Personales</w:t>
      </w:r>
      <w:r w:rsidRPr="00E8535B">
        <w:rPr>
          <w:rFonts w:ascii="Palatino Linotype" w:eastAsia="Palatino Linotype" w:hAnsi="Palatino Linotype" w:cs="Palatino Linotype"/>
          <w:i/>
          <w:color w:val="404040"/>
          <w:sz w:val="22"/>
          <w:szCs w:val="22"/>
        </w:rPr>
        <w:t>: Derecho humano que tutela la privacidad de datos personales en poder de los sujetos obligados y sujetos particulares;</w:t>
      </w:r>
    </w:p>
    <w:p w14:paraId="69A1D21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000615A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XLV. Versión pública</w:t>
      </w:r>
      <w:r w:rsidRPr="00E8535B">
        <w:rPr>
          <w:rFonts w:ascii="Palatino Linotype" w:eastAsia="Palatino Linotype" w:hAnsi="Palatino Linotype" w:cs="Palatino Linotype"/>
          <w:i/>
          <w:color w:val="404040"/>
          <w:sz w:val="22"/>
          <w:szCs w:val="22"/>
        </w:rPr>
        <w:t>: Documento en el que se elimine, suprime o borra la información clasificada como reservada o confidencial para permitir su acceso.</w:t>
      </w:r>
    </w:p>
    <w:p w14:paraId="047951D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 Artículo 6</w:t>
      </w:r>
      <w:r w:rsidRPr="00E8535B">
        <w:rPr>
          <w:rFonts w:ascii="Palatino Linotype" w:eastAsia="Palatino Linotype" w:hAnsi="Palatino Linotype" w:cs="Palatino Linotype"/>
          <w:i/>
          <w:color w:val="404040"/>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D45FC2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 (…)</w:t>
      </w:r>
    </w:p>
    <w:p w14:paraId="40E7312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lastRenderedPageBreak/>
        <w:t>Artículo 91.</w:t>
      </w:r>
      <w:r w:rsidRPr="00E8535B">
        <w:rPr>
          <w:rFonts w:ascii="Palatino Linotype" w:eastAsia="Palatino Linotype" w:hAnsi="Palatino Linotype" w:cs="Palatino Linotype"/>
          <w:i/>
          <w:color w:val="404040"/>
          <w:sz w:val="22"/>
          <w:szCs w:val="22"/>
        </w:rPr>
        <w:t xml:space="preserve"> El acceso a la información pública será restringido excepcionalmente, cuando ésta sea clasificada como reservada o confidencial.</w:t>
      </w:r>
    </w:p>
    <w:p w14:paraId="0054F29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55EB73C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Artículo 137.</w:t>
      </w:r>
      <w:r w:rsidRPr="00E8535B">
        <w:rPr>
          <w:rFonts w:ascii="Palatino Linotype" w:eastAsia="Palatino Linotype" w:hAnsi="Palatino Linotype" w:cs="Palatino Linotype"/>
          <w:i/>
          <w:color w:val="40404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C4985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 Artículo 143.</w:t>
      </w:r>
      <w:r w:rsidRPr="00E8535B">
        <w:rPr>
          <w:rFonts w:ascii="Palatino Linotype" w:eastAsia="Palatino Linotype" w:hAnsi="Palatino Linotype" w:cs="Palatino Linotype"/>
          <w:i/>
          <w:color w:val="404040"/>
          <w:sz w:val="22"/>
          <w:szCs w:val="22"/>
        </w:rPr>
        <w:t xml:space="preserve"> Para los efectos de esta Ley se considera información confidencial, la clasificada como tal, de manera permanente, por su naturaleza, cuando:</w:t>
      </w:r>
    </w:p>
    <w:p w14:paraId="4515390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I.</w:t>
      </w:r>
      <w:r w:rsidRPr="00E8535B">
        <w:rPr>
          <w:rFonts w:ascii="Palatino Linotype" w:eastAsia="Palatino Linotype" w:hAnsi="Palatino Linotype" w:cs="Palatino Linotype"/>
          <w:i/>
          <w:color w:val="404040"/>
          <w:sz w:val="22"/>
          <w:szCs w:val="22"/>
        </w:rPr>
        <w:t xml:space="preserve"> Se refiera a la información privada y los datos personales concernientes a una persona física o jurídico colectiva identificada o identificable...</w:t>
      </w:r>
    </w:p>
    <w:p w14:paraId="5A3A230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035DA633" w14:textId="77777777" w:rsidR="008D0CD7" w:rsidRPr="00E8535B" w:rsidRDefault="008D0CD7"/>
    <w:p w14:paraId="3ABD94EC" w14:textId="77777777" w:rsidR="008D0CD7" w:rsidRPr="00E8535B" w:rsidRDefault="00434F3F">
      <w:pPr>
        <w:spacing w:line="360" w:lineRule="auto"/>
        <w:ind w:right="50"/>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606E386" w14:textId="77777777" w:rsidR="008D0CD7" w:rsidRPr="00E8535B" w:rsidRDefault="00434F3F">
      <w:pPr>
        <w:spacing w:line="360" w:lineRule="auto"/>
        <w:ind w:right="50"/>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1535197" w14:textId="77777777" w:rsidR="008D0CD7" w:rsidRPr="00E8535B" w:rsidRDefault="008D0CD7">
      <w:pPr>
        <w:spacing w:line="360" w:lineRule="auto"/>
        <w:ind w:right="50"/>
        <w:jc w:val="both"/>
        <w:rPr>
          <w:rFonts w:ascii="Palatino Linotype" w:eastAsia="Palatino Linotype" w:hAnsi="Palatino Linotype" w:cs="Palatino Linotype"/>
        </w:rPr>
      </w:pPr>
    </w:p>
    <w:p w14:paraId="146DD36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8535B">
        <w:rPr>
          <w:rFonts w:ascii="Palatino Linotype" w:eastAsia="Palatino Linotype" w:hAnsi="Palatino Linotype" w:cs="Palatino Linotype"/>
          <w:b/>
        </w:rPr>
        <w:t>Registro Federal de Contribuyentes</w:t>
      </w:r>
      <w:r w:rsidRPr="00E8535B">
        <w:rPr>
          <w:rFonts w:ascii="Palatino Linotype" w:eastAsia="Palatino Linotype" w:hAnsi="Palatino Linotype" w:cs="Palatino Linotype"/>
        </w:rPr>
        <w:t xml:space="preserve"> (RFC), la </w:t>
      </w:r>
      <w:r w:rsidRPr="00E8535B">
        <w:rPr>
          <w:rFonts w:ascii="Palatino Linotype" w:eastAsia="Palatino Linotype" w:hAnsi="Palatino Linotype" w:cs="Palatino Linotype"/>
          <w:b/>
        </w:rPr>
        <w:t>Clave Única de Registro de Población</w:t>
      </w:r>
      <w:r w:rsidRPr="00E8535B">
        <w:rPr>
          <w:rFonts w:ascii="Palatino Linotype" w:eastAsia="Palatino Linotype" w:hAnsi="Palatino Linotype" w:cs="Palatino Linotype"/>
        </w:rPr>
        <w:t xml:space="preserve"> (CURP), la </w:t>
      </w:r>
      <w:r w:rsidRPr="00E8535B">
        <w:rPr>
          <w:rFonts w:ascii="Palatino Linotype" w:eastAsia="Palatino Linotype" w:hAnsi="Palatino Linotype" w:cs="Palatino Linotype"/>
          <w:b/>
        </w:rPr>
        <w:t>Clave de cualquier tipo de seguridad social</w:t>
      </w:r>
      <w:r w:rsidRPr="00E8535B">
        <w:rPr>
          <w:rFonts w:ascii="Palatino Linotype" w:eastAsia="Palatino Linotype" w:hAnsi="Palatino Linotype" w:cs="Palatino Linotype"/>
        </w:rPr>
        <w:t xml:space="preserve"> (ISSEMYM, u otros), los </w:t>
      </w:r>
      <w:r w:rsidRPr="00E8535B">
        <w:rPr>
          <w:rFonts w:ascii="Palatino Linotype" w:eastAsia="Palatino Linotype" w:hAnsi="Palatino Linotype" w:cs="Palatino Linotype"/>
          <w:b/>
        </w:rPr>
        <w:t>números de cuentas bancarias</w:t>
      </w:r>
      <w:r w:rsidRPr="00E8535B">
        <w:rPr>
          <w:rFonts w:ascii="Palatino Linotype" w:eastAsia="Palatino Linotype" w:hAnsi="Palatino Linotype" w:cs="Palatino Linotype"/>
        </w:rPr>
        <w:t xml:space="preserve">, claves estandarizadas – interbancarias - (CLABES) y de tarjetas, los </w:t>
      </w:r>
      <w:r w:rsidRPr="00E8535B">
        <w:rPr>
          <w:rFonts w:ascii="Palatino Linotype" w:eastAsia="Palatino Linotype" w:hAnsi="Palatino Linotype" w:cs="Palatino Linotype"/>
          <w:b/>
        </w:rPr>
        <w:t>préstamos o descuentos</w:t>
      </w:r>
      <w:r w:rsidRPr="00E8535B">
        <w:rPr>
          <w:rFonts w:ascii="Palatino Linotype" w:eastAsia="Palatino Linotype" w:hAnsi="Palatino Linotype" w:cs="Palatino Linotype"/>
        </w:rPr>
        <w:t xml:space="preserve"> que se le hagan a la persona y que no tengan relación con los impuestos o la cuota por seguridad social, el</w:t>
      </w:r>
      <w:r w:rsidRPr="00E8535B">
        <w:rPr>
          <w:rFonts w:ascii="Palatino Linotype" w:eastAsia="Palatino Linotype" w:hAnsi="Palatino Linotype" w:cs="Palatino Linotype"/>
          <w:b/>
        </w:rPr>
        <w:t xml:space="preserve"> número de empleado, </w:t>
      </w:r>
      <w:r w:rsidRPr="00E8535B">
        <w:rPr>
          <w:rFonts w:ascii="Palatino Linotype" w:eastAsia="Palatino Linotype" w:hAnsi="Palatino Linotype" w:cs="Palatino Linotype"/>
        </w:rPr>
        <w:t xml:space="preserve">así como de ser el caso, el </w:t>
      </w:r>
      <w:r w:rsidRPr="00E8535B">
        <w:rPr>
          <w:rFonts w:ascii="Palatino Linotype" w:eastAsia="Palatino Linotype" w:hAnsi="Palatino Linotype" w:cs="Palatino Linotype"/>
          <w:b/>
        </w:rPr>
        <w:t>folio fiscal</w:t>
      </w:r>
      <w:r w:rsidRPr="00E8535B">
        <w:rPr>
          <w:rFonts w:ascii="Palatino Linotype" w:eastAsia="Palatino Linotype" w:hAnsi="Palatino Linotype" w:cs="Palatino Linotype"/>
        </w:rPr>
        <w:t xml:space="preserve">, la  </w:t>
      </w:r>
      <w:r w:rsidRPr="00E8535B">
        <w:rPr>
          <w:rFonts w:ascii="Palatino Linotype" w:eastAsia="Palatino Linotype" w:hAnsi="Palatino Linotype" w:cs="Palatino Linotype"/>
          <w:b/>
        </w:rPr>
        <w:t xml:space="preserve">cadena </w:t>
      </w:r>
      <w:r w:rsidRPr="00E8535B">
        <w:rPr>
          <w:rFonts w:ascii="Palatino Linotype" w:eastAsia="Palatino Linotype" w:hAnsi="Palatino Linotype" w:cs="Palatino Linotype"/>
          <w:b/>
        </w:rPr>
        <w:lastRenderedPageBreak/>
        <w:t xml:space="preserve">original, </w:t>
      </w:r>
      <w:r w:rsidRPr="00E8535B">
        <w:rPr>
          <w:rFonts w:ascii="Palatino Linotype" w:eastAsia="Palatino Linotype" w:hAnsi="Palatino Linotype" w:cs="Palatino Linotype"/>
        </w:rPr>
        <w:t>los</w:t>
      </w:r>
      <w:r w:rsidRPr="00E8535B">
        <w:rPr>
          <w:rFonts w:ascii="Palatino Linotype" w:eastAsia="Palatino Linotype" w:hAnsi="Palatino Linotype" w:cs="Palatino Linotype"/>
          <w:b/>
        </w:rPr>
        <w:t xml:space="preserve"> códigos bidimensionales o códigos QR,</w:t>
      </w:r>
      <w:r w:rsidRPr="00E8535B">
        <w:rPr>
          <w:rFonts w:ascii="Palatino Linotype" w:eastAsia="Palatino Linotype" w:hAnsi="Palatino Linotype" w:cs="Palatino Linotype"/>
        </w:rPr>
        <w:t xml:space="preserve"> y cualquier información de carácter fiscal, bajo las siguientes consideraciones. </w:t>
      </w:r>
    </w:p>
    <w:p w14:paraId="54536C62" w14:textId="77777777" w:rsidR="008D0CD7" w:rsidRPr="00E8535B" w:rsidRDefault="008D0CD7">
      <w:pPr>
        <w:spacing w:line="360" w:lineRule="auto"/>
        <w:jc w:val="both"/>
        <w:rPr>
          <w:rFonts w:ascii="Palatino Linotype" w:eastAsia="Palatino Linotype" w:hAnsi="Palatino Linotype" w:cs="Palatino Linotype"/>
        </w:rPr>
      </w:pPr>
    </w:p>
    <w:p w14:paraId="1F71C944" w14:textId="77777777" w:rsidR="008D0CD7" w:rsidRPr="00E8535B" w:rsidRDefault="00434F3F">
      <w:pPr>
        <w:spacing w:line="360" w:lineRule="auto"/>
        <w:ind w:right="50"/>
        <w:jc w:val="both"/>
        <w:rPr>
          <w:rFonts w:ascii="Palatino Linotype" w:eastAsia="Palatino Linotype" w:hAnsi="Palatino Linotype" w:cs="Palatino Linotype"/>
        </w:rPr>
      </w:pPr>
      <w:r w:rsidRPr="00E8535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B42EB20" w14:textId="77777777" w:rsidR="008D0CD7" w:rsidRPr="00E8535B" w:rsidRDefault="008D0CD7">
      <w:pPr>
        <w:spacing w:line="360" w:lineRule="auto"/>
        <w:jc w:val="both"/>
        <w:rPr>
          <w:rFonts w:ascii="Palatino Linotype" w:eastAsia="Palatino Linotype" w:hAnsi="Palatino Linotype" w:cs="Palatino Linotype"/>
        </w:rPr>
      </w:pPr>
    </w:p>
    <w:p w14:paraId="01431806"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E8535B">
        <w:rPr>
          <w:rFonts w:ascii="Palatino Linotype" w:eastAsia="Palatino Linotype" w:hAnsi="Palatino Linotype" w:cs="Palatino Linotype"/>
        </w:rPr>
        <w:t>homoclave</w:t>
      </w:r>
      <w:proofErr w:type="spellEnd"/>
      <w:r w:rsidRPr="00E8535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5FD592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351DEC5" w14:textId="77777777" w:rsidR="008D0CD7" w:rsidRPr="00E8535B" w:rsidRDefault="008D0CD7">
      <w:pPr>
        <w:spacing w:line="360" w:lineRule="auto"/>
        <w:jc w:val="both"/>
        <w:rPr>
          <w:rFonts w:ascii="Palatino Linotype" w:eastAsia="Palatino Linotype" w:hAnsi="Palatino Linotype" w:cs="Palatino Linotype"/>
        </w:rPr>
      </w:pPr>
    </w:p>
    <w:p w14:paraId="56DC1A58"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54EB7656" w14:textId="77777777" w:rsidR="008D0CD7" w:rsidRPr="00E8535B" w:rsidRDefault="008D0CD7">
      <w:pPr>
        <w:ind w:left="851" w:right="900"/>
        <w:jc w:val="both"/>
        <w:rPr>
          <w:rFonts w:ascii="Palatino Linotype" w:eastAsia="Palatino Linotype" w:hAnsi="Palatino Linotype" w:cs="Palatino Linotype"/>
          <w:b/>
          <w:i/>
          <w:sz w:val="22"/>
          <w:szCs w:val="22"/>
        </w:rPr>
      </w:pPr>
    </w:p>
    <w:p w14:paraId="6827AF4F" w14:textId="77777777" w:rsidR="008D0CD7" w:rsidRPr="00E8535B" w:rsidRDefault="00434F3F">
      <w:pPr>
        <w:ind w:left="851" w:right="900"/>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 Registro Federal de Contribuyentes (RFC) de personas físicas</w:t>
      </w:r>
      <w:r w:rsidRPr="00E8535B">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557D6362"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5A7FD7"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E8535B">
        <w:rPr>
          <w:rFonts w:ascii="Palatino Linotype" w:eastAsia="Palatino Linotype" w:hAnsi="Palatino Linotype" w:cs="Palatino Linotype"/>
        </w:rPr>
        <w:t>homoclave</w:t>
      </w:r>
      <w:proofErr w:type="spellEnd"/>
      <w:r w:rsidRPr="00E8535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8E741C3"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AD28378"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790A842F"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Argumento que es compartido por el Instituto Nacional de Transparencia, Acceso a la Información y Protección de Datos Personales, INAI, conforme al criterio 18/17, el cual refiere:</w:t>
      </w:r>
    </w:p>
    <w:p w14:paraId="237DE700" w14:textId="77777777" w:rsidR="008D0CD7" w:rsidRPr="00E8535B" w:rsidRDefault="008D0CD7">
      <w:pPr>
        <w:ind w:left="851" w:right="851"/>
        <w:jc w:val="both"/>
        <w:rPr>
          <w:rFonts w:ascii="Palatino Linotype" w:eastAsia="Palatino Linotype" w:hAnsi="Palatino Linotype" w:cs="Palatino Linotype"/>
          <w:b/>
          <w:i/>
          <w:sz w:val="22"/>
          <w:szCs w:val="22"/>
        </w:rPr>
      </w:pPr>
    </w:p>
    <w:p w14:paraId="3013C271" w14:textId="77777777" w:rsidR="008D0CD7" w:rsidRPr="00E8535B" w:rsidRDefault="00434F3F">
      <w:pPr>
        <w:ind w:left="851" w:right="851"/>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Clave Única de Registro de Población (CURP). </w:t>
      </w:r>
      <w:r w:rsidRPr="00E8535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11741EB" w14:textId="77777777" w:rsidR="008D0CD7" w:rsidRPr="00E8535B" w:rsidRDefault="008D0CD7">
      <w:pPr>
        <w:spacing w:line="360" w:lineRule="auto"/>
        <w:jc w:val="both"/>
        <w:rPr>
          <w:rFonts w:ascii="Palatino Linotype" w:eastAsia="Palatino Linotype" w:hAnsi="Palatino Linotype" w:cs="Palatino Linotype"/>
          <w:sz w:val="22"/>
          <w:szCs w:val="22"/>
        </w:rPr>
      </w:pPr>
    </w:p>
    <w:p w14:paraId="7448982E"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0030550" w14:textId="77777777" w:rsidR="008D0CD7" w:rsidRPr="00E8535B" w:rsidRDefault="008D0CD7">
      <w:pPr>
        <w:spacing w:line="360" w:lineRule="auto"/>
        <w:jc w:val="both"/>
        <w:rPr>
          <w:rFonts w:ascii="Palatino Linotype" w:eastAsia="Palatino Linotype" w:hAnsi="Palatino Linotype" w:cs="Palatino Linotype"/>
        </w:rPr>
      </w:pPr>
    </w:p>
    <w:p w14:paraId="2EEFA2F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A4B6320" w14:textId="77777777" w:rsidR="008D0CD7" w:rsidRPr="00E8535B" w:rsidRDefault="008D0CD7">
      <w:pPr>
        <w:spacing w:line="360" w:lineRule="auto"/>
        <w:jc w:val="both"/>
        <w:rPr>
          <w:rFonts w:ascii="Palatino Linotype" w:eastAsia="Palatino Linotype" w:hAnsi="Palatino Linotype" w:cs="Palatino Linotype"/>
        </w:rPr>
      </w:pPr>
    </w:p>
    <w:p w14:paraId="79269F75"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E8535B">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59C04DBA" w14:textId="77777777" w:rsidR="008D0CD7" w:rsidRPr="00E8535B" w:rsidRDefault="008D0CD7">
      <w:pPr>
        <w:spacing w:line="360" w:lineRule="auto"/>
        <w:jc w:val="both"/>
        <w:rPr>
          <w:rFonts w:ascii="Palatino Linotype" w:eastAsia="Palatino Linotype" w:hAnsi="Palatino Linotype" w:cs="Palatino Linotype"/>
        </w:rPr>
      </w:pPr>
    </w:p>
    <w:p w14:paraId="4172CD16"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C3289C6"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69DC6764"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77747E9"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460E94A7"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869B0CC" w14:textId="77777777" w:rsidR="00B25381" w:rsidRPr="00E8535B" w:rsidRDefault="00B25381">
      <w:pPr>
        <w:spacing w:line="360" w:lineRule="auto"/>
        <w:jc w:val="both"/>
        <w:rPr>
          <w:rFonts w:ascii="Palatino Linotype" w:eastAsia="Palatino Linotype" w:hAnsi="Palatino Linotype" w:cs="Palatino Linotype"/>
        </w:rPr>
      </w:pPr>
    </w:p>
    <w:p w14:paraId="49B04BB0"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B548704" w14:textId="77777777" w:rsidR="008D0CD7" w:rsidRPr="00E8535B" w:rsidRDefault="008D0CD7">
      <w:pPr>
        <w:spacing w:line="360" w:lineRule="auto"/>
        <w:jc w:val="both"/>
        <w:rPr>
          <w:rFonts w:ascii="Palatino Linotype" w:eastAsia="Palatino Linotype" w:hAnsi="Palatino Linotype" w:cs="Palatino Linotype"/>
          <w:sz w:val="22"/>
          <w:szCs w:val="22"/>
        </w:rPr>
      </w:pPr>
    </w:p>
    <w:p w14:paraId="44CC6365" w14:textId="77777777" w:rsidR="008D0CD7" w:rsidRPr="00E8535B" w:rsidRDefault="00434F3F">
      <w:pPr>
        <w:ind w:left="851" w:right="900"/>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Cuentas bancarias y/o CLABE interbancaria de personas físicas y morales privadas.</w:t>
      </w:r>
      <w:r w:rsidRPr="00E8535B">
        <w:rPr>
          <w:rFonts w:ascii="Palatino Linotype" w:eastAsia="Palatino Linotype" w:hAnsi="Palatino Linotype" w:cs="Palatino Linotype"/>
          <w:i/>
          <w:sz w:val="22"/>
          <w:szCs w:val="22"/>
        </w:rPr>
        <w:t xml:space="preserve"> El número de cuenta bancaria y/o CLABE interbancaria de </w:t>
      </w:r>
      <w:r w:rsidRPr="00E8535B">
        <w:rPr>
          <w:rFonts w:ascii="Palatino Linotype" w:eastAsia="Palatino Linotype" w:hAnsi="Palatino Linotype" w:cs="Palatino Linotype"/>
          <w:i/>
          <w:sz w:val="22"/>
          <w:szCs w:val="22"/>
        </w:rPr>
        <w:lastRenderedPageBreak/>
        <w:t>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00DE358" w14:textId="77777777" w:rsidR="008D0CD7" w:rsidRPr="00E8535B" w:rsidRDefault="008D0CD7">
      <w:pPr>
        <w:ind w:left="851" w:right="900"/>
        <w:jc w:val="both"/>
        <w:rPr>
          <w:rFonts w:ascii="Palatino Linotype" w:eastAsia="Palatino Linotype" w:hAnsi="Palatino Linotype" w:cs="Palatino Linotype"/>
          <w:b/>
          <w:i/>
          <w:sz w:val="22"/>
          <w:szCs w:val="22"/>
        </w:rPr>
      </w:pPr>
    </w:p>
    <w:p w14:paraId="5FD79603" w14:textId="77777777" w:rsidR="008D0CD7" w:rsidRPr="00E8535B" w:rsidRDefault="00434F3F">
      <w:pPr>
        <w:ind w:left="851" w:right="900"/>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8535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CA2D26B" w14:textId="77777777" w:rsidR="008D0CD7" w:rsidRPr="00E8535B" w:rsidRDefault="008D0CD7">
      <w:pPr>
        <w:spacing w:line="360" w:lineRule="auto"/>
        <w:jc w:val="both"/>
        <w:rPr>
          <w:rFonts w:ascii="Palatino Linotype" w:eastAsia="Palatino Linotype" w:hAnsi="Palatino Linotype" w:cs="Palatino Linotype"/>
          <w:sz w:val="22"/>
          <w:szCs w:val="22"/>
        </w:rPr>
      </w:pPr>
    </w:p>
    <w:p w14:paraId="3D6F5133"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Por cuanto hace a los </w:t>
      </w:r>
      <w:r w:rsidRPr="00E8535B">
        <w:rPr>
          <w:rFonts w:ascii="Palatino Linotype" w:eastAsia="Palatino Linotype" w:hAnsi="Palatino Linotype" w:cs="Palatino Linotype"/>
          <w:b/>
        </w:rPr>
        <w:t>préstamos o descuentos de carácter personal</w:t>
      </w:r>
      <w:r w:rsidRPr="00E8535B">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728AF4F4" w14:textId="77777777" w:rsidR="008D0CD7" w:rsidRPr="00E8535B" w:rsidRDefault="008D0CD7">
      <w:pPr>
        <w:spacing w:line="360" w:lineRule="auto"/>
        <w:jc w:val="both"/>
        <w:rPr>
          <w:rFonts w:ascii="Palatino Linotype" w:eastAsia="Palatino Linotype" w:hAnsi="Palatino Linotype" w:cs="Palatino Linotype"/>
        </w:rPr>
      </w:pPr>
    </w:p>
    <w:p w14:paraId="57E4364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6902B1D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E8535B">
        <w:rPr>
          <w:rFonts w:ascii="Palatino Linotype" w:eastAsia="Palatino Linotype" w:hAnsi="Palatino Linotype" w:cs="Palatino Linotype"/>
          <w:b/>
          <w:i/>
          <w:color w:val="404040"/>
          <w:sz w:val="22"/>
          <w:szCs w:val="22"/>
        </w:rPr>
        <w:t xml:space="preserve">ARTÍCULO 84. </w:t>
      </w:r>
      <w:r w:rsidRPr="00E8535B">
        <w:rPr>
          <w:rFonts w:ascii="Palatino Linotype" w:eastAsia="Palatino Linotype" w:hAnsi="Palatino Linotype" w:cs="Palatino Linotype"/>
          <w:i/>
          <w:color w:val="404040"/>
          <w:sz w:val="22"/>
          <w:szCs w:val="22"/>
        </w:rPr>
        <w:t>Sólo podrán hacerse retenciones, descuentos o deducciones al sueldo de los servidores públicos por concepto de:</w:t>
      </w:r>
    </w:p>
    <w:p w14:paraId="276D1E2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 Gravámenes fiscales relacionados con el sueldo;</w:t>
      </w:r>
    </w:p>
    <w:p w14:paraId="2029CB7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 Deudas contraídas con las instituciones públicas o dependencias por concepto de anticipos de sueldo, pagos hechos con exceso, errores o pérdidas debidamente comprobados;</w:t>
      </w:r>
    </w:p>
    <w:p w14:paraId="7E6EF77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III. Cuotas sindicales;</w:t>
      </w:r>
    </w:p>
    <w:p w14:paraId="021826F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IV. Cuotas de aportación a fondos para la constitución de cooperativas y de cajas de ahorro, siempre que el servidor público hubiese manifestado previamente, de manera expresa, su conformidad;</w:t>
      </w:r>
    </w:p>
    <w:p w14:paraId="739A7A2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lastRenderedPageBreak/>
        <w:t>V. Descuentos ordenados por el Instituto de Seguridad Social del Estado de México y Municipios, con motivo de cuotas y obligaciones contraídas con éste por los servidores públicos;</w:t>
      </w:r>
    </w:p>
    <w:p w14:paraId="084D60D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VI. Obligaciones a cargo del servidor público con las que haya consentido, derivadas de la adquisición o del uso de habitaciones consideradas como de interés social;</w:t>
      </w:r>
    </w:p>
    <w:p w14:paraId="1B89293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VII. Faltas de puntualidad o de asistencia injustificadas;</w:t>
      </w:r>
    </w:p>
    <w:p w14:paraId="7800032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b/>
          <w:i/>
          <w:color w:val="404040"/>
          <w:sz w:val="22"/>
          <w:szCs w:val="22"/>
        </w:rPr>
        <w:t>VIII. Pensiones alimenticias ordenadas por la autoridad judicial;</w:t>
      </w:r>
      <w:r w:rsidRPr="00E8535B">
        <w:rPr>
          <w:rFonts w:ascii="Palatino Linotype" w:eastAsia="Palatino Linotype" w:hAnsi="Palatino Linotype" w:cs="Palatino Linotype"/>
          <w:i/>
          <w:color w:val="404040"/>
          <w:sz w:val="22"/>
          <w:szCs w:val="22"/>
        </w:rPr>
        <w:t xml:space="preserve"> o</w:t>
      </w:r>
    </w:p>
    <w:p w14:paraId="3385713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E8535B">
        <w:rPr>
          <w:rFonts w:ascii="Palatino Linotype" w:eastAsia="Palatino Linotype" w:hAnsi="Palatino Linotype" w:cs="Palatino Linotype"/>
          <w:b/>
          <w:i/>
          <w:color w:val="404040"/>
          <w:sz w:val="22"/>
          <w:szCs w:val="22"/>
        </w:rPr>
        <w:t>IX. Cualquier otro convenido con instituciones de servicios y aceptado por el servidor público.</w:t>
      </w:r>
    </w:p>
    <w:p w14:paraId="21543B0C"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769F175" w14:textId="77777777" w:rsidR="008D0CD7" w:rsidRPr="00E8535B" w:rsidRDefault="008D0CD7">
      <w:pPr>
        <w:spacing w:line="360" w:lineRule="auto"/>
        <w:jc w:val="both"/>
        <w:rPr>
          <w:rFonts w:ascii="Palatino Linotype" w:eastAsia="Palatino Linotype" w:hAnsi="Palatino Linotype" w:cs="Palatino Linotype"/>
        </w:rPr>
      </w:pPr>
    </w:p>
    <w:p w14:paraId="7660F4E2"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09F8B13" w14:textId="77777777" w:rsidR="008D0CD7" w:rsidRPr="00E8535B" w:rsidRDefault="008D0CD7">
      <w:pPr>
        <w:spacing w:line="360" w:lineRule="auto"/>
        <w:jc w:val="both"/>
        <w:rPr>
          <w:rFonts w:ascii="Palatino Linotype" w:eastAsia="Palatino Linotype" w:hAnsi="Palatino Linotype" w:cs="Palatino Linotype"/>
        </w:rPr>
      </w:pPr>
    </w:p>
    <w:p w14:paraId="03A70CE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Con relación al </w:t>
      </w:r>
      <w:r w:rsidRPr="00E8535B">
        <w:rPr>
          <w:rFonts w:ascii="Palatino Linotype" w:eastAsia="Palatino Linotype" w:hAnsi="Palatino Linotype" w:cs="Palatino Linotype"/>
          <w:b/>
        </w:rPr>
        <w:t>número de empleado</w:t>
      </w:r>
      <w:r w:rsidRPr="00E8535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w:t>
      </w:r>
      <w:r w:rsidRPr="00E8535B">
        <w:rPr>
          <w:rFonts w:ascii="Palatino Linotype" w:eastAsia="Palatino Linotype" w:hAnsi="Palatino Linotype" w:cs="Palatino Linotype"/>
        </w:rPr>
        <w:lastRenderedPageBreak/>
        <w:t>consultas relacionadas con su situación laboral particular, siendo un número único, permanente e intransferible que se asigna para llevar un registro de los trabajadores</w:t>
      </w:r>
      <w:r w:rsidRPr="00E8535B">
        <w:rPr>
          <w:rFonts w:ascii="Palatino Linotype" w:eastAsia="Palatino Linotype" w:hAnsi="Palatino Linotype" w:cs="Palatino Linotype"/>
          <w:vertAlign w:val="superscript"/>
        </w:rPr>
        <w:footnoteReference w:id="11"/>
      </w:r>
      <w:r w:rsidRPr="00E8535B">
        <w:rPr>
          <w:rFonts w:ascii="Palatino Linotype" w:eastAsia="Palatino Linotype" w:hAnsi="Palatino Linotype" w:cs="Palatino Linotype"/>
        </w:rPr>
        <w:t>.</w:t>
      </w:r>
    </w:p>
    <w:p w14:paraId="3AA5D753" w14:textId="77777777" w:rsidR="008D0CD7" w:rsidRPr="00E8535B" w:rsidRDefault="008D0CD7">
      <w:pPr>
        <w:spacing w:line="360" w:lineRule="auto"/>
        <w:jc w:val="both"/>
        <w:rPr>
          <w:rFonts w:ascii="Palatino Linotype" w:eastAsia="Palatino Linotype" w:hAnsi="Palatino Linotype" w:cs="Palatino Linotype"/>
        </w:rPr>
      </w:pPr>
    </w:p>
    <w:p w14:paraId="07426A59"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E8535B">
        <w:rPr>
          <w:rFonts w:ascii="Palatino Linotype" w:eastAsia="Palatino Linotype" w:hAnsi="Palatino Linotype" w:cs="Palatino Linotype"/>
        </w:rPr>
        <w:t>INAI  se</w:t>
      </w:r>
      <w:proofErr w:type="gramEnd"/>
      <w:r w:rsidRPr="00E8535B">
        <w:rPr>
          <w:rFonts w:ascii="Palatino Linotype" w:eastAsia="Palatino Linotype" w:hAnsi="Palatino Linotype" w:cs="Palatino Linotype"/>
        </w:rPr>
        <w:t xml:space="preserve"> ha pronunciado sobre su publicidad, a través del criterio 06/19, que indica lo siguiente:</w:t>
      </w:r>
    </w:p>
    <w:p w14:paraId="19F68EBC" w14:textId="77777777" w:rsidR="008D0CD7" w:rsidRPr="00E8535B" w:rsidRDefault="008D0CD7">
      <w:pPr>
        <w:spacing w:line="360" w:lineRule="auto"/>
        <w:jc w:val="both"/>
        <w:rPr>
          <w:rFonts w:ascii="Palatino Linotype" w:eastAsia="Palatino Linotype" w:hAnsi="Palatino Linotype" w:cs="Palatino Linotype"/>
          <w:sz w:val="22"/>
          <w:szCs w:val="22"/>
        </w:rPr>
      </w:pPr>
    </w:p>
    <w:p w14:paraId="22CE70D4" w14:textId="77777777" w:rsidR="008D0CD7" w:rsidRPr="00E8535B" w:rsidRDefault="00434F3F">
      <w:pPr>
        <w:tabs>
          <w:tab w:val="left" w:pos="7655"/>
        </w:tabs>
        <w:ind w:left="993" w:right="992"/>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 xml:space="preserve">Número de empleado. </w:t>
      </w:r>
      <w:r w:rsidRPr="00E8535B">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4CB4723" w14:textId="77777777" w:rsidR="008D0CD7" w:rsidRPr="00E8535B" w:rsidRDefault="008D0CD7">
      <w:pPr>
        <w:tabs>
          <w:tab w:val="left" w:pos="7655"/>
        </w:tabs>
        <w:ind w:left="993" w:right="992"/>
        <w:jc w:val="both"/>
        <w:rPr>
          <w:rFonts w:ascii="Palatino Linotype" w:eastAsia="Palatino Linotype" w:hAnsi="Palatino Linotype" w:cs="Palatino Linotype"/>
          <w:i/>
          <w:sz w:val="22"/>
          <w:szCs w:val="22"/>
        </w:rPr>
      </w:pPr>
    </w:p>
    <w:p w14:paraId="6574E68D"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w:t>
      </w:r>
      <w:r w:rsidRPr="00E8535B">
        <w:rPr>
          <w:rFonts w:ascii="Palatino Linotype" w:eastAsia="Palatino Linotype" w:hAnsi="Palatino Linotype" w:cs="Palatino Linotype"/>
        </w:rPr>
        <w:lastRenderedPageBreak/>
        <w:t xml:space="preserve">siempre que requiera una contraseña para acceder a los datos personales o cuando su conformación no revele los mismos, por consiguiente, en el caso concreto,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0BD8B16" w14:textId="77777777" w:rsidR="008D0CD7" w:rsidRPr="00E8535B" w:rsidRDefault="008D0CD7">
      <w:pPr>
        <w:spacing w:line="360" w:lineRule="auto"/>
        <w:jc w:val="both"/>
        <w:rPr>
          <w:rFonts w:ascii="Palatino Linotype" w:eastAsia="Palatino Linotype" w:hAnsi="Palatino Linotype" w:cs="Palatino Linotype"/>
          <w:b/>
        </w:rPr>
      </w:pPr>
    </w:p>
    <w:p w14:paraId="128D98FF"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De la información fiscal</w:t>
      </w:r>
      <w:r w:rsidRPr="00E8535B">
        <w:rPr>
          <w:rFonts w:ascii="Palatino Linotype" w:eastAsia="Palatino Linotype" w:hAnsi="Palatino Linotype" w:cs="Palatino Linotype"/>
        </w:rPr>
        <w:t xml:space="preserve">: </w:t>
      </w:r>
    </w:p>
    <w:p w14:paraId="5D33257C"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La </w:t>
      </w:r>
      <w:r w:rsidRPr="00E8535B">
        <w:rPr>
          <w:rFonts w:ascii="Palatino Linotype" w:eastAsia="Palatino Linotype" w:hAnsi="Palatino Linotype" w:cs="Palatino Linotype"/>
          <w:b/>
        </w:rPr>
        <w:t>Cadena Original</w:t>
      </w:r>
      <w:r w:rsidRPr="00E8535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0E31DE64" w14:textId="77777777" w:rsidR="00B25381" w:rsidRPr="00E8535B" w:rsidRDefault="00B25381">
      <w:pPr>
        <w:spacing w:line="360" w:lineRule="auto"/>
        <w:jc w:val="both"/>
        <w:rPr>
          <w:rFonts w:ascii="Palatino Linotype" w:eastAsia="Palatino Linotype" w:hAnsi="Palatino Linotype" w:cs="Palatino Linotype"/>
        </w:rPr>
      </w:pPr>
    </w:p>
    <w:p w14:paraId="2A2D5BBA"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Los </w:t>
      </w:r>
      <w:r w:rsidRPr="00E8535B">
        <w:rPr>
          <w:rFonts w:ascii="Palatino Linotype" w:eastAsia="Palatino Linotype" w:hAnsi="Palatino Linotype" w:cs="Palatino Linotype"/>
          <w:b/>
        </w:rPr>
        <w:t>códigos bidimensionales</w:t>
      </w:r>
      <w:r w:rsidRPr="00E8535B">
        <w:rPr>
          <w:rFonts w:ascii="Palatino Linotype" w:eastAsia="Palatino Linotype" w:hAnsi="Palatino Linotype" w:cs="Palatino Linotype"/>
        </w:rPr>
        <w:t xml:space="preserve"> o </w:t>
      </w:r>
      <w:r w:rsidRPr="00E8535B">
        <w:rPr>
          <w:rFonts w:ascii="Palatino Linotype" w:eastAsia="Palatino Linotype" w:hAnsi="Palatino Linotype" w:cs="Palatino Linotype"/>
          <w:b/>
        </w:rPr>
        <w:t xml:space="preserve">códigos QR, </w:t>
      </w:r>
      <w:r w:rsidRPr="00E8535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E8535B">
        <w:rPr>
          <w:rFonts w:ascii="Palatino Linotype" w:eastAsia="Palatino Linotype" w:hAnsi="Palatino Linotype" w:cs="Palatino Linotype"/>
          <w:b/>
        </w:rPr>
        <w:t xml:space="preserve">EL </w:t>
      </w:r>
      <w:r w:rsidRPr="00E8535B">
        <w:rPr>
          <w:rFonts w:ascii="Palatino Linotype" w:eastAsia="Palatino Linotype" w:hAnsi="Palatino Linotype" w:cs="Palatino Linotype"/>
          <w:b/>
        </w:rPr>
        <w:lastRenderedPageBreak/>
        <w:t xml:space="preserve">SUJETO OBLIGADO </w:t>
      </w:r>
      <w:r w:rsidRPr="00E8535B">
        <w:rPr>
          <w:rFonts w:ascii="Palatino Linotype" w:eastAsia="Palatino Linotype" w:hAnsi="Palatino Linotype" w:cs="Palatino Linotype"/>
        </w:rPr>
        <w:t>analizar dicha circunstancia con la finalidad de determinar si se actualiza algún supuesto de confidencialidad.</w:t>
      </w:r>
    </w:p>
    <w:p w14:paraId="2924A74B" w14:textId="77777777" w:rsidR="008D0CD7" w:rsidRPr="00E8535B" w:rsidRDefault="008D0CD7">
      <w:pPr>
        <w:spacing w:line="360" w:lineRule="auto"/>
        <w:jc w:val="both"/>
        <w:rPr>
          <w:rFonts w:ascii="Palatino Linotype" w:eastAsia="Palatino Linotype" w:hAnsi="Palatino Linotype" w:cs="Palatino Linotype"/>
        </w:rPr>
      </w:pPr>
    </w:p>
    <w:p w14:paraId="7E32AEFA"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tal sentido, si derivado del análisis efectuado por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96F98A4"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de clasificación que se genere, deberá establecer ambos supuestos de clasificación: reserva y confidencialidad, en congruencia con los requisitos establecidos en los lineamientos citados.</w:t>
      </w:r>
    </w:p>
    <w:p w14:paraId="493FB41A" w14:textId="77777777" w:rsidR="008D0CD7" w:rsidRPr="00E8535B" w:rsidRDefault="008D0CD7">
      <w:pPr>
        <w:spacing w:line="360" w:lineRule="auto"/>
        <w:ind w:right="50"/>
        <w:jc w:val="both"/>
        <w:rPr>
          <w:rFonts w:ascii="Palatino Linotype" w:eastAsia="Palatino Linotype" w:hAnsi="Palatino Linotype" w:cs="Palatino Linotype"/>
        </w:rPr>
      </w:pPr>
    </w:p>
    <w:p w14:paraId="2BED3246" w14:textId="77777777" w:rsidR="008D0CD7" w:rsidRPr="00E8535B" w:rsidRDefault="00434F3F">
      <w:pPr>
        <w:spacing w:line="360" w:lineRule="auto"/>
        <w:ind w:right="50"/>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E8535B">
        <w:rPr>
          <w:rFonts w:ascii="Palatino Linotype" w:eastAsia="Palatino Linotype" w:hAnsi="Palatino Linotype" w:cs="Palatino Linotype"/>
        </w:rPr>
        <w:t>Responsable</w:t>
      </w:r>
      <w:proofErr w:type="gramEnd"/>
      <w:r w:rsidRPr="00E8535B">
        <w:rPr>
          <w:rFonts w:ascii="Palatino Linotype" w:eastAsia="Palatino Linotype" w:hAnsi="Palatino Linotype" w:cs="Palatino Linotype"/>
        </w:rPr>
        <w:t xml:space="preserve"> de la Unidad de Transparencia del Sujeto Obligado, sino que ello deberá realizarse en </w:t>
      </w:r>
      <w:r w:rsidRPr="00E8535B">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45AE5F54" w14:textId="77777777" w:rsidR="008D0CD7" w:rsidRPr="00E8535B" w:rsidRDefault="008D0CD7">
      <w:pPr>
        <w:spacing w:line="360" w:lineRule="auto"/>
        <w:ind w:right="50"/>
        <w:jc w:val="both"/>
        <w:rPr>
          <w:rFonts w:ascii="Palatino Linotype" w:eastAsia="Palatino Linotype" w:hAnsi="Palatino Linotype" w:cs="Palatino Linotype"/>
        </w:rPr>
      </w:pPr>
    </w:p>
    <w:p w14:paraId="4D8BE05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Artículo 49. Los Comités de Transparencia tendrán las siguientes atribuciones:</w:t>
      </w:r>
    </w:p>
    <w:p w14:paraId="0A299C95"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7968BE1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VIII. Aprobar, modificar o revocar la clasificación de la información…</w:t>
      </w:r>
    </w:p>
    <w:p w14:paraId="425180E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4BC9E96A"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C0C71C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Artículo 53. Las Unidades de Transparencia tendrán las siguientes funciones:</w:t>
      </w:r>
    </w:p>
    <w:p w14:paraId="2474E8A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340F46C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X. Presentar ante el Comité, el proyecto de clasificación de información;</w:t>
      </w:r>
    </w:p>
    <w:p w14:paraId="491C46B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5CD2D52B"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F48ACE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Artículo 59. Los servidores públicos habilitados tendrán las funciones siguientes:</w:t>
      </w:r>
    </w:p>
    <w:p w14:paraId="421E3BC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1CE78ED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V. Integrar y presentar al responsable de la Unidad de Transparencia la propuesta de clasificación de información, la cual tendrá los fundamentos y argumentos en que se basa dicha propuesta:</w:t>
      </w:r>
    </w:p>
    <w:p w14:paraId="7A60AB1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6991A13F" w14:textId="77777777" w:rsidR="008D0CD7" w:rsidRPr="00E8535B" w:rsidRDefault="008D0CD7">
      <w:pPr>
        <w:spacing w:line="360" w:lineRule="auto"/>
        <w:jc w:val="both"/>
        <w:rPr>
          <w:rFonts w:ascii="Palatino Linotype" w:eastAsia="Palatino Linotype" w:hAnsi="Palatino Linotype" w:cs="Palatino Linotype"/>
          <w:sz w:val="22"/>
          <w:szCs w:val="22"/>
        </w:rPr>
      </w:pPr>
    </w:p>
    <w:p w14:paraId="12E3D7C3"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9D9209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29C33484" w14:textId="77777777" w:rsidR="008D0CD7" w:rsidRPr="00E8535B" w:rsidRDefault="008D0CD7">
      <w:pPr>
        <w:ind w:left="851" w:right="900"/>
        <w:jc w:val="both"/>
        <w:rPr>
          <w:rFonts w:ascii="Palatino Linotype" w:eastAsia="Palatino Linotype" w:hAnsi="Palatino Linotype" w:cs="Palatino Linotype"/>
          <w:b/>
          <w:i/>
          <w:sz w:val="22"/>
          <w:szCs w:val="22"/>
        </w:rPr>
      </w:pPr>
    </w:p>
    <w:p w14:paraId="40C27DA0" w14:textId="77777777" w:rsidR="008D0CD7" w:rsidRPr="00E8535B" w:rsidRDefault="00434F3F">
      <w:pPr>
        <w:ind w:left="851" w:right="900"/>
        <w:jc w:val="both"/>
        <w:rPr>
          <w:rFonts w:ascii="Palatino Linotype" w:eastAsia="Palatino Linotype" w:hAnsi="Palatino Linotype" w:cs="Palatino Linotype"/>
          <w:i/>
          <w:sz w:val="22"/>
          <w:szCs w:val="22"/>
        </w:rPr>
      </w:pPr>
      <w:r w:rsidRPr="00E8535B">
        <w:rPr>
          <w:rFonts w:ascii="Palatino Linotype" w:eastAsia="Palatino Linotype" w:hAnsi="Palatino Linotype" w:cs="Palatino Linotype"/>
          <w:b/>
          <w:i/>
          <w:sz w:val="22"/>
          <w:szCs w:val="22"/>
        </w:rPr>
        <w:t>Artículo 149.</w:t>
      </w:r>
      <w:r w:rsidRPr="00E8535B">
        <w:rPr>
          <w:rFonts w:ascii="Palatino Linotype" w:eastAsia="Palatino Linotype" w:hAnsi="Palatino Linotype" w:cs="Palatino Linotype"/>
          <w:i/>
          <w:sz w:val="22"/>
          <w:szCs w:val="22"/>
        </w:rPr>
        <w:t xml:space="preserve"> El </w:t>
      </w:r>
      <w:r w:rsidRPr="00E8535B">
        <w:rPr>
          <w:rFonts w:ascii="Palatino Linotype" w:eastAsia="Palatino Linotype" w:hAnsi="Palatino Linotype" w:cs="Palatino Linotype"/>
          <w:b/>
          <w:i/>
          <w:sz w:val="22"/>
          <w:szCs w:val="22"/>
        </w:rPr>
        <w:t>acuerdo que clasifique la información como confidencial</w:t>
      </w:r>
      <w:r w:rsidRPr="00E8535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05A3C85" w14:textId="77777777" w:rsidR="008D0CD7" w:rsidRPr="00E8535B" w:rsidRDefault="008D0CD7">
      <w:pPr>
        <w:ind w:left="851" w:right="900"/>
        <w:jc w:val="both"/>
        <w:rPr>
          <w:rFonts w:ascii="Palatino Linotype" w:eastAsia="Palatino Linotype" w:hAnsi="Palatino Linotype" w:cs="Palatino Linotype"/>
          <w:i/>
          <w:sz w:val="22"/>
          <w:szCs w:val="22"/>
        </w:rPr>
      </w:pPr>
    </w:p>
    <w:p w14:paraId="20D0622E" w14:textId="77777777" w:rsidR="008D0CD7" w:rsidRPr="00E8535B" w:rsidRDefault="00434F3F">
      <w:pPr>
        <w:spacing w:line="360" w:lineRule="auto"/>
        <w:ind w:right="51"/>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Es decir,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5534A76" w14:textId="77777777" w:rsidR="008D0CD7" w:rsidRPr="00E8535B" w:rsidRDefault="008D0CD7">
      <w:pPr>
        <w:spacing w:line="360" w:lineRule="auto"/>
        <w:ind w:right="51"/>
        <w:jc w:val="both"/>
        <w:rPr>
          <w:rFonts w:ascii="Palatino Linotype" w:eastAsia="Palatino Linotype" w:hAnsi="Palatino Linotype" w:cs="Palatino Linotype"/>
        </w:rPr>
      </w:pPr>
    </w:p>
    <w:p w14:paraId="175C9199" w14:textId="77777777" w:rsidR="008D0CD7" w:rsidRPr="00E8535B" w:rsidRDefault="00434F3F">
      <w:pPr>
        <w:spacing w:line="360" w:lineRule="auto"/>
        <w:ind w:right="49"/>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w:t>
      </w:r>
      <w:r w:rsidRPr="00E8535B">
        <w:rPr>
          <w:rFonts w:ascii="Palatino Linotype" w:eastAsia="Palatino Linotype" w:hAnsi="Palatino Linotype" w:cs="Palatino Linotype"/>
        </w:rPr>
        <w:lastRenderedPageBreak/>
        <w:t>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54A5074"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EFD62FC"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Artículo 132. La clasificación de la información se llevará a cabo en el momento en que:</w:t>
      </w:r>
    </w:p>
    <w:p w14:paraId="79CB262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0183806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 Se determine mediante resolución de autoridad competente; o</w:t>
      </w:r>
    </w:p>
    <w:p w14:paraId="2CE0FDC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III. Se generen versiones públicas para dar cumplimiento a las obligaciones de transparencia previstas en esta Ley.</w:t>
      </w:r>
    </w:p>
    <w:p w14:paraId="4E7399E6"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3E3E828"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roofErr w:type="gramStart"/>
      <w:r w:rsidRPr="00E8535B">
        <w:rPr>
          <w:rFonts w:ascii="Palatino Linotype" w:eastAsia="Palatino Linotype" w:hAnsi="Palatino Linotype" w:cs="Palatino Linotype"/>
          <w:i/>
          <w:color w:val="404040"/>
          <w:sz w:val="22"/>
          <w:szCs w:val="22"/>
        </w:rPr>
        <w:t>Segundo.-</w:t>
      </w:r>
      <w:proofErr w:type="gramEnd"/>
      <w:r w:rsidRPr="00E8535B">
        <w:rPr>
          <w:rFonts w:ascii="Palatino Linotype" w:eastAsia="Palatino Linotype" w:hAnsi="Palatino Linotype" w:cs="Palatino Linotype"/>
          <w:i/>
          <w:color w:val="404040"/>
          <w:sz w:val="22"/>
          <w:szCs w:val="22"/>
        </w:rPr>
        <w:t xml:space="preserve"> Para efectos de los presentes Lineamientos Generales, se entenderá por:</w:t>
      </w:r>
    </w:p>
    <w:p w14:paraId="194E0F5D"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B02B8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83354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Los sujetos obligados deberán aplicar, de manera estricta, las excepciones al derecho de acceso a la información y sólo podrán invocarlas cuando acrediten su procedencia.</w:t>
      </w:r>
    </w:p>
    <w:p w14:paraId="139FF76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w:t>
      </w:r>
      <w:r w:rsidRPr="00E8535B">
        <w:rPr>
          <w:rFonts w:ascii="Palatino Linotype" w:eastAsia="Palatino Linotype" w:hAnsi="Palatino Linotype" w:cs="Palatino Linotype"/>
          <w:i/>
          <w:color w:val="404040"/>
          <w:sz w:val="22"/>
          <w:szCs w:val="22"/>
        </w:rPr>
        <w:lastRenderedPageBreak/>
        <w:t>generen versiones públicas para dar cumplimiento a las obligaciones de transparencia, observando lo dispuesto en la Ley General y las demás disposiciones aplicables en la materia.</w:t>
      </w:r>
    </w:p>
    <w:p w14:paraId="7AE3FC7E"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175A5D3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La clasificación de información se realizará conforme a un análisis caso por caso, mediante la aplicación de la prueba de daño y de interés público.</w:t>
      </w:r>
    </w:p>
    <w:p w14:paraId="00B5FE8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Séptimo. La clasificación de la información se llevará a cabo en el momento en que:</w:t>
      </w:r>
    </w:p>
    <w:p w14:paraId="60F2B08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 Se reciba una solicitud de acceso a la información;</w:t>
      </w:r>
    </w:p>
    <w:p w14:paraId="596AEDF4"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 Se determine mediante resolución de autoridad competente, o</w:t>
      </w:r>
    </w:p>
    <w:p w14:paraId="763796C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III. Se generen versiones públicas para dar cumplimiento a las obligaciones de transparencia previstas en la Ley General, la Ley Federal y las correspondientes de las entidades federativas.</w:t>
      </w:r>
    </w:p>
    <w:p w14:paraId="4DA175FD"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Los titulares de las áreas deberán revisar la clasificación al momento de la recepción de una solicitud de acceso a la información, para verificar si encuadra en una causal de reserva o de confidencialidad.</w:t>
      </w:r>
    </w:p>
    <w:p w14:paraId="46384F3D"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7944B95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Para motivar la clasificación se deberán señalar las razones o circunstancias especiales que lo llevaron a concluir que el caso particular se ajusta al supuesto previsto por la norma legal invocada como fundamento.</w:t>
      </w:r>
    </w:p>
    <w:p w14:paraId="5C86305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En caso de referirse a información reservada, la motivación de la clasificación también deberá comprender las circunstancias que justifican el establecimiento de determinado plazo de reserva.</w:t>
      </w:r>
    </w:p>
    <w:p w14:paraId="22F86FD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FE656F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Los documentos contenidos en los archivos históricos y los identificados como históricos confidenciales no serán susceptibles de clasificación como reservados.</w:t>
      </w:r>
    </w:p>
    <w:p w14:paraId="32A39B8C"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lastRenderedPageBreak/>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99324D2"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F879C3"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En ausencia de los titulares de las áreas, la información será clasificada o desclasificada por la persona que lo supla, en términos de la normativa que rija la actuación del sujeto obligado.</w:t>
      </w:r>
    </w:p>
    <w:p w14:paraId="5363EFC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BF27923" w14:textId="77777777" w:rsidR="008D0CD7" w:rsidRPr="00E8535B" w:rsidRDefault="008D0CD7">
      <w:pPr>
        <w:tabs>
          <w:tab w:val="left" w:pos="8222"/>
        </w:tabs>
        <w:ind w:left="851" w:right="1134"/>
        <w:jc w:val="both"/>
        <w:rPr>
          <w:rFonts w:ascii="Palatino Linotype" w:eastAsia="Palatino Linotype" w:hAnsi="Palatino Linotype" w:cs="Palatino Linotype"/>
          <w:i/>
          <w:sz w:val="22"/>
          <w:szCs w:val="22"/>
        </w:rPr>
      </w:pPr>
    </w:p>
    <w:p w14:paraId="601E175E"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E8535B">
        <w:rPr>
          <w:rFonts w:ascii="Palatino Linotype" w:eastAsia="Palatino Linotype" w:hAnsi="Palatino Linotype" w:cs="Palatino Linotype"/>
        </w:rPr>
        <w:t>supraindicados</w:t>
      </w:r>
      <w:proofErr w:type="spellEnd"/>
      <w:r w:rsidRPr="00E8535B">
        <w:rPr>
          <w:rFonts w:ascii="Palatino Linotype" w:eastAsia="Palatino Linotype" w:hAnsi="Palatino Linotype" w:cs="Palatino Linotype"/>
        </w:rPr>
        <w:t xml:space="preserve">, que establecen los formatos para la clasificación parcial y total de los documentos, conforme a lo siguiente: </w:t>
      </w:r>
    </w:p>
    <w:p w14:paraId="7D736150" w14:textId="77777777" w:rsidR="008D0CD7" w:rsidRPr="00E8535B" w:rsidRDefault="008D0CD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E69370B"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CAPÍTULO VIII</w:t>
      </w:r>
    </w:p>
    <w:p w14:paraId="357179F0"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DE LA LEYENDA DE CLASIFICACIÓN</w:t>
      </w:r>
    </w:p>
    <w:p w14:paraId="5D5FB6F7"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3BFB0636"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 xml:space="preserve">Quincuagésimo tercero. </w:t>
      </w:r>
      <w:r w:rsidRPr="00E8535B">
        <w:rPr>
          <w:rFonts w:ascii="Palatino Linotype" w:eastAsia="Palatino Linotype" w:hAnsi="Palatino Linotype" w:cs="Palatino Linotype"/>
          <w:i/>
          <w:color w:val="404040"/>
          <w:sz w:val="22"/>
          <w:szCs w:val="22"/>
          <w:u w:val="single"/>
        </w:rPr>
        <w:t>El formato para señalar la clasificación parcial de un documento</w:t>
      </w:r>
      <w:r w:rsidRPr="00E8535B">
        <w:rPr>
          <w:rFonts w:ascii="Palatino Linotype" w:eastAsia="Palatino Linotype" w:hAnsi="Palatino Linotype" w:cs="Palatino Linotype"/>
          <w:i/>
          <w:color w:val="404040"/>
          <w:sz w:val="22"/>
          <w:szCs w:val="22"/>
        </w:rPr>
        <w:t>, es el siguiente:</w:t>
      </w:r>
    </w:p>
    <w:p w14:paraId="282A0F5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w:t>
      </w:r>
    </w:p>
    <w:p w14:paraId="709B98FA"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Quincuagésimo quinto. Los documentos que integren un expediente reservado o confidencial en su totalidad no deberán marcarse en lo individual.</w:t>
      </w:r>
    </w:p>
    <w:p w14:paraId="1C48B23F"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lastRenderedPageBreak/>
        <w:t>Una vez desclasificados los expedientes, si existieren documentos que tuvieran el carácter de reservados o confidenciales, deberán ser marcados.</w:t>
      </w:r>
    </w:p>
    <w:p w14:paraId="2BEAE571"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E8535B">
        <w:rPr>
          <w:rFonts w:ascii="Palatino Linotype" w:eastAsia="Palatino Linotype" w:hAnsi="Palatino Linotype" w:cs="Palatino Linotype"/>
          <w:i/>
          <w:color w:val="404040"/>
          <w:sz w:val="22"/>
          <w:szCs w:val="22"/>
        </w:rPr>
        <w:t>El formato para señalar la clasificación de expedientes que por su naturaleza sean en su totalidad reservados o confidenciales, es el siguiente:</w:t>
      </w:r>
    </w:p>
    <w:p w14:paraId="6D70EF9F" w14:textId="77777777" w:rsidR="008D0CD7" w:rsidRPr="00E8535B" w:rsidRDefault="008D0CD7">
      <w:pPr>
        <w:rPr>
          <w:rFonts w:ascii="Palatino Linotype" w:eastAsia="Palatino Linotype" w:hAnsi="Palatino Linotype" w:cs="Palatino Linotype"/>
          <w:sz w:val="22"/>
          <w:szCs w:val="22"/>
        </w:rPr>
      </w:pP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8D0CD7" w:rsidRPr="00E8535B" w14:paraId="1FB43126" w14:textId="77777777" w:rsidTr="008D0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0A5A338" w14:textId="77777777" w:rsidR="008D0CD7" w:rsidRPr="00E8535B" w:rsidRDefault="00434F3F">
            <w:pPr>
              <w:jc w:val="center"/>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Parcial</w:t>
            </w:r>
          </w:p>
        </w:tc>
        <w:tc>
          <w:tcPr>
            <w:tcW w:w="4414" w:type="dxa"/>
            <w:gridSpan w:val="2"/>
          </w:tcPr>
          <w:p w14:paraId="0D7369F2" w14:textId="77777777" w:rsidR="008D0CD7" w:rsidRPr="00E8535B" w:rsidRDefault="00434F3F">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Total</w:t>
            </w:r>
          </w:p>
        </w:tc>
      </w:tr>
      <w:tr w:rsidR="008D0CD7" w:rsidRPr="00E8535B" w14:paraId="029212AC"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ECE362D" w14:textId="77777777" w:rsidR="008D0CD7" w:rsidRPr="00E8535B" w:rsidRDefault="00434F3F">
            <w:pPr>
              <w:jc w:val="center"/>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Concepto</w:t>
            </w:r>
          </w:p>
        </w:tc>
        <w:tc>
          <w:tcPr>
            <w:tcW w:w="3421" w:type="dxa"/>
          </w:tcPr>
          <w:p w14:paraId="28013F1B" w14:textId="77777777" w:rsidR="008D0CD7" w:rsidRPr="00E8535B" w:rsidRDefault="00434F3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Dónde</w:t>
            </w:r>
          </w:p>
        </w:tc>
        <w:tc>
          <w:tcPr>
            <w:tcW w:w="968" w:type="dxa"/>
          </w:tcPr>
          <w:p w14:paraId="52DEB1B8" w14:textId="77777777" w:rsidR="008D0CD7" w:rsidRPr="00E8535B" w:rsidRDefault="00434F3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Concepto</w:t>
            </w:r>
          </w:p>
        </w:tc>
        <w:tc>
          <w:tcPr>
            <w:tcW w:w="3446" w:type="dxa"/>
          </w:tcPr>
          <w:p w14:paraId="4454C18D" w14:textId="77777777" w:rsidR="008D0CD7" w:rsidRPr="00E8535B" w:rsidRDefault="00434F3F">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Dónde</w:t>
            </w:r>
          </w:p>
        </w:tc>
      </w:tr>
      <w:tr w:rsidR="008D0CD7" w:rsidRPr="00E8535B" w14:paraId="766F794F" w14:textId="77777777" w:rsidTr="008D0CD7">
        <w:tc>
          <w:tcPr>
            <w:cnfStyle w:val="001000000000" w:firstRow="0" w:lastRow="0" w:firstColumn="1" w:lastColumn="0" w:oddVBand="0" w:evenVBand="0" w:oddHBand="0" w:evenHBand="0" w:firstRowFirstColumn="0" w:firstRowLastColumn="0" w:lastRowFirstColumn="0" w:lastRowLastColumn="0"/>
            <w:tcW w:w="8828" w:type="dxa"/>
            <w:gridSpan w:val="4"/>
          </w:tcPr>
          <w:p w14:paraId="38E2F8CC" w14:textId="77777777" w:rsidR="008D0CD7" w:rsidRPr="00E8535B" w:rsidRDefault="00434F3F">
            <w:pPr>
              <w:jc w:val="center"/>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Sello oficial o logotipo del sujeto obligado</w:t>
            </w:r>
          </w:p>
        </w:tc>
      </w:tr>
      <w:tr w:rsidR="008D0CD7" w:rsidRPr="00E8535B" w14:paraId="171F0ABE"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D8DBC51"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Fecha de clasificación</w:t>
            </w:r>
          </w:p>
        </w:tc>
        <w:tc>
          <w:tcPr>
            <w:tcW w:w="3421" w:type="dxa"/>
          </w:tcPr>
          <w:p w14:paraId="317E4991"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4D906DB"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Fecha de clasificación</w:t>
            </w:r>
          </w:p>
        </w:tc>
        <w:tc>
          <w:tcPr>
            <w:tcW w:w="3446" w:type="dxa"/>
          </w:tcPr>
          <w:p w14:paraId="24E8EED4"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D0CD7" w:rsidRPr="00E8535B" w14:paraId="325FCF62"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1CEBD8B1"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Área</w:t>
            </w:r>
          </w:p>
        </w:tc>
        <w:tc>
          <w:tcPr>
            <w:tcW w:w="3421" w:type="dxa"/>
          </w:tcPr>
          <w:p w14:paraId="1EE4C496"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área del cual es titular quien clasifica.</w:t>
            </w:r>
          </w:p>
        </w:tc>
        <w:tc>
          <w:tcPr>
            <w:tcW w:w="968" w:type="dxa"/>
          </w:tcPr>
          <w:p w14:paraId="49567081"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Área</w:t>
            </w:r>
          </w:p>
        </w:tc>
        <w:tc>
          <w:tcPr>
            <w:tcW w:w="3446" w:type="dxa"/>
          </w:tcPr>
          <w:p w14:paraId="1426DFAE"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área de la cual es el titular quien clasifica.</w:t>
            </w:r>
          </w:p>
        </w:tc>
      </w:tr>
      <w:tr w:rsidR="008D0CD7" w:rsidRPr="00E8535B" w14:paraId="1C22C9D6"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0A3ACC8"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Información reservada</w:t>
            </w:r>
          </w:p>
        </w:tc>
        <w:tc>
          <w:tcPr>
            <w:tcW w:w="3421" w:type="dxa"/>
          </w:tcPr>
          <w:p w14:paraId="422847C0"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E557B73"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Reservado</w:t>
            </w:r>
          </w:p>
        </w:tc>
        <w:tc>
          <w:tcPr>
            <w:tcW w:w="3446" w:type="dxa"/>
          </w:tcPr>
          <w:p w14:paraId="506DB76E"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Leyenda de información RESERVADA.</w:t>
            </w:r>
          </w:p>
        </w:tc>
      </w:tr>
      <w:tr w:rsidR="008D0CD7" w:rsidRPr="00E8535B" w14:paraId="261D807E"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7DA5C62B"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Fundamento legal</w:t>
            </w:r>
          </w:p>
        </w:tc>
        <w:tc>
          <w:tcPr>
            <w:tcW w:w="3421" w:type="dxa"/>
          </w:tcPr>
          <w:p w14:paraId="5BB05EFF"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83954C0"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Periodo de reserva</w:t>
            </w:r>
          </w:p>
        </w:tc>
        <w:tc>
          <w:tcPr>
            <w:tcW w:w="3446" w:type="dxa"/>
          </w:tcPr>
          <w:p w14:paraId="6A7503BE"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D0CD7" w:rsidRPr="00E8535B" w14:paraId="3A2E3059"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4D72DE6"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Ampliación del periodo de reserva</w:t>
            </w:r>
          </w:p>
        </w:tc>
        <w:tc>
          <w:tcPr>
            <w:tcW w:w="3421" w:type="dxa"/>
          </w:tcPr>
          <w:p w14:paraId="5E08BF5F"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0A29228"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Fundamento legal</w:t>
            </w:r>
          </w:p>
        </w:tc>
        <w:tc>
          <w:tcPr>
            <w:tcW w:w="3446" w:type="dxa"/>
          </w:tcPr>
          <w:p w14:paraId="47CDB88F"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D0CD7" w:rsidRPr="00E8535B" w14:paraId="7EFE5D34"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19019D7A"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Confidencial</w:t>
            </w:r>
          </w:p>
        </w:tc>
        <w:tc>
          <w:tcPr>
            <w:tcW w:w="3421" w:type="dxa"/>
          </w:tcPr>
          <w:p w14:paraId="6E030E4F"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648E75C"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Ampliación del periodo de reserva</w:t>
            </w:r>
          </w:p>
        </w:tc>
        <w:tc>
          <w:tcPr>
            <w:tcW w:w="3446" w:type="dxa"/>
          </w:tcPr>
          <w:p w14:paraId="35E0753C"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D0CD7" w:rsidRPr="00E8535B" w14:paraId="0BA6634D"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4A8EFF"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Fundamento legal</w:t>
            </w:r>
          </w:p>
        </w:tc>
        <w:tc>
          <w:tcPr>
            <w:tcW w:w="3421" w:type="dxa"/>
          </w:tcPr>
          <w:p w14:paraId="6A5CB742"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1EF4B1A"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Confidencial</w:t>
            </w:r>
          </w:p>
        </w:tc>
        <w:tc>
          <w:tcPr>
            <w:tcW w:w="3446" w:type="dxa"/>
          </w:tcPr>
          <w:p w14:paraId="5420DC0B"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Leyenda de información CONFIDENCIAL.</w:t>
            </w:r>
          </w:p>
        </w:tc>
      </w:tr>
      <w:tr w:rsidR="008D0CD7" w:rsidRPr="00E8535B" w14:paraId="346B6D12"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093C282A"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del titular del área</w:t>
            </w:r>
          </w:p>
        </w:tc>
        <w:tc>
          <w:tcPr>
            <w:tcW w:w="3421" w:type="dxa"/>
          </w:tcPr>
          <w:p w14:paraId="63DD86A8"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autógrafa de quien clasifica.</w:t>
            </w:r>
          </w:p>
        </w:tc>
        <w:tc>
          <w:tcPr>
            <w:tcW w:w="968" w:type="dxa"/>
          </w:tcPr>
          <w:p w14:paraId="4483CC19"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Fundamento legal</w:t>
            </w:r>
          </w:p>
        </w:tc>
        <w:tc>
          <w:tcPr>
            <w:tcW w:w="3446" w:type="dxa"/>
          </w:tcPr>
          <w:p w14:paraId="0F39B899"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D0CD7" w:rsidRPr="00E8535B" w14:paraId="290A3ADD"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8441AD1"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Fecha de desclasificación</w:t>
            </w:r>
          </w:p>
        </w:tc>
        <w:tc>
          <w:tcPr>
            <w:tcW w:w="3421" w:type="dxa"/>
          </w:tcPr>
          <w:p w14:paraId="07C57E26"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anotará la fecha en que se desclasifica el documento.</w:t>
            </w:r>
          </w:p>
        </w:tc>
        <w:tc>
          <w:tcPr>
            <w:tcW w:w="968" w:type="dxa"/>
          </w:tcPr>
          <w:p w14:paraId="3E853073"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Rúbrica del titular del área</w:t>
            </w:r>
          </w:p>
        </w:tc>
        <w:tc>
          <w:tcPr>
            <w:tcW w:w="3446" w:type="dxa"/>
          </w:tcPr>
          <w:p w14:paraId="16A091E8"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autógrafa de quien clasifica.</w:t>
            </w:r>
          </w:p>
        </w:tc>
      </w:tr>
      <w:tr w:rsidR="008D0CD7" w:rsidRPr="00E8535B" w14:paraId="7A718E01"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0880F200" w14:textId="77777777" w:rsidR="008D0CD7" w:rsidRPr="00E8535B" w:rsidRDefault="00434F3F">
            <w:pPr>
              <w:jc w:val="both"/>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y cargo del servidor público</w:t>
            </w:r>
          </w:p>
        </w:tc>
        <w:tc>
          <w:tcPr>
            <w:tcW w:w="3421" w:type="dxa"/>
          </w:tcPr>
          <w:p w14:paraId="55D0A8F0"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autógrafa de quien desclasifica.</w:t>
            </w:r>
          </w:p>
        </w:tc>
        <w:tc>
          <w:tcPr>
            <w:tcW w:w="968" w:type="dxa"/>
          </w:tcPr>
          <w:p w14:paraId="40EDEF35"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Fecha de desclasificación</w:t>
            </w:r>
          </w:p>
        </w:tc>
        <w:tc>
          <w:tcPr>
            <w:tcW w:w="3446" w:type="dxa"/>
          </w:tcPr>
          <w:p w14:paraId="02FE8CF0"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Se anotará la fecha en que se desclasifica.</w:t>
            </w:r>
          </w:p>
        </w:tc>
      </w:tr>
      <w:tr w:rsidR="008D0CD7" w:rsidRPr="00E8535B" w14:paraId="6622FD8F" w14:textId="77777777" w:rsidTr="008D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161ACC1" w14:textId="77777777" w:rsidR="008D0CD7" w:rsidRPr="00E8535B" w:rsidRDefault="008D0CD7">
            <w:pPr>
              <w:jc w:val="both"/>
              <w:rPr>
                <w:rFonts w:ascii="Palatino Linotype" w:eastAsia="Palatino Linotype" w:hAnsi="Palatino Linotype" w:cs="Palatino Linotype"/>
                <w:sz w:val="12"/>
                <w:szCs w:val="12"/>
              </w:rPr>
            </w:pPr>
          </w:p>
        </w:tc>
        <w:tc>
          <w:tcPr>
            <w:tcW w:w="3421" w:type="dxa"/>
          </w:tcPr>
          <w:p w14:paraId="4B2D6AB7" w14:textId="77777777" w:rsidR="008D0CD7" w:rsidRPr="00E8535B" w:rsidRDefault="008D0CD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2863B909"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Partes o secciones reservadas o confidenciales</w:t>
            </w:r>
          </w:p>
        </w:tc>
        <w:tc>
          <w:tcPr>
            <w:tcW w:w="3446" w:type="dxa"/>
          </w:tcPr>
          <w:p w14:paraId="14BE5DD9" w14:textId="77777777" w:rsidR="008D0CD7" w:rsidRPr="00E8535B" w:rsidRDefault="00434F3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 xml:space="preserve">En caso que una vez desclasificado el expediente, </w:t>
            </w:r>
            <w:proofErr w:type="spellStart"/>
            <w:r w:rsidRPr="00E8535B">
              <w:rPr>
                <w:rFonts w:ascii="Palatino Linotype" w:eastAsia="Palatino Linotype" w:hAnsi="Palatino Linotype" w:cs="Palatino Linotype"/>
                <w:sz w:val="12"/>
                <w:szCs w:val="12"/>
              </w:rPr>
              <w:t>subsistanpartes</w:t>
            </w:r>
            <w:proofErr w:type="spellEnd"/>
            <w:r w:rsidRPr="00E8535B">
              <w:rPr>
                <w:rFonts w:ascii="Palatino Linotype" w:eastAsia="Palatino Linotype" w:hAnsi="Palatino Linotype" w:cs="Palatino Linotype"/>
                <w:sz w:val="12"/>
                <w:szCs w:val="12"/>
              </w:rPr>
              <w:t xml:space="preserve"> o secciones del mismo reservadas o confidenciales, se señalará este hecho.</w:t>
            </w:r>
          </w:p>
        </w:tc>
      </w:tr>
      <w:tr w:rsidR="008D0CD7" w:rsidRPr="00E8535B" w14:paraId="6F731DD1" w14:textId="77777777" w:rsidTr="008D0CD7">
        <w:tc>
          <w:tcPr>
            <w:cnfStyle w:val="001000000000" w:firstRow="0" w:lastRow="0" w:firstColumn="1" w:lastColumn="0" w:oddVBand="0" w:evenVBand="0" w:oddHBand="0" w:evenHBand="0" w:firstRowFirstColumn="0" w:firstRowLastColumn="0" w:lastRowFirstColumn="0" w:lastRowLastColumn="0"/>
            <w:tcW w:w="993" w:type="dxa"/>
          </w:tcPr>
          <w:p w14:paraId="67664BD6" w14:textId="77777777" w:rsidR="008D0CD7" w:rsidRPr="00E8535B" w:rsidRDefault="008D0CD7">
            <w:pPr>
              <w:jc w:val="both"/>
              <w:rPr>
                <w:rFonts w:ascii="Palatino Linotype" w:eastAsia="Palatino Linotype" w:hAnsi="Palatino Linotype" w:cs="Palatino Linotype"/>
                <w:sz w:val="12"/>
                <w:szCs w:val="12"/>
              </w:rPr>
            </w:pPr>
          </w:p>
        </w:tc>
        <w:tc>
          <w:tcPr>
            <w:tcW w:w="3421" w:type="dxa"/>
          </w:tcPr>
          <w:p w14:paraId="5A78385E" w14:textId="77777777" w:rsidR="008D0CD7" w:rsidRPr="00E8535B" w:rsidRDefault="008D0CD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51175001"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8535B">
              <w:rPr>
                <w:rFonts w:ascii="Palatino Linotype" w:eastAsia="Palatino Linotype" w:hAnsi="Palatino Linotype" w:cs="Palatino Linotype"/>
                <w:b/>
                <w:sz w:val="12"/>
                <w:szCs w:val="12"/>
              </w:rPr>
              <w:t>Rúbrica y cargo del servidor público</w:t>
            </w:r>
          </w:p>
        </w:tc>
        <w:tc>
          <w:tcPr>
            <w:tcW w:w="3446" w:type="dxa"/>
          </w:tcPr>
          <w:p w14:paraId="066518BF" w14:textId="77777777" w:rsidR="008D0CD7" w:rsidRPr="00E8535B" w:rsidRDefault="00434F3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8535B">
              <w:rPr>
                <w:rFonts w:ascii="Palatino Linotype" w:eastAsia="Palatino Linotype" w:hAnsi="Palatino Linotype" w:cs="Palatino Linotype"/>
                <w:sz w:val="12"/>
                <w:szCs w:val="12"/>
              </w:rPr>
              <w:t>Rúbrica autógrafa de quien desclasifica.</w:t>
            </w:r>
          </w:p>
        </w:tc>
      </w:tr>
    </w:tbl>
    <w:p w14:paraId="2E4BD13D"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2DA6E3CF"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 xml:space="preserve">De lo hasta aquí expuesto, se concluye que los motivos de inconformidad de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devienen </w:t>
      </w:r>
      <w:r w:rsidRPr="00E8535B">
        <w:rPr>
          <w:rFonts w:ascii="Palatino Linotype" w:eastAsia="Palatino Linotype" w:hAnsi="Palatino Linotype" w:cs="Palatino Linotype"/>
          <w:b/>
        </w:rPr>
        <w:t>FUNDADOS,</w:t>
      </w:r>
      <w:r w:rsidRPr="00E8535B">
        <w:rPr>
          <w:rFonts w:ascii="Palatino Linotype" w:eastAsia="Palatino Linotype" w:hAnsi="Palatino Linotype" w:cs="Palatino Linotype"/>
        </w:rPr>
        <w:t xml:space="preserve"> siendo procedente </w:t>
      </w:r>
      <w:r w:rsidRPr="00E8535B">
        <w:rPr>
          <w:rFonts w:ascii="Palatino Linotype" w:eastAsia="Palatino Linotype" w:hAnsi="Palatino Linotype" w:cs="Palatino Linotype"/>
          <w:b/>
        </w:rPr>
        <w:t>MODIFICAR</w:t>
      </w:r>
      <w:r w:rsidRPr="00E8535B">
        <w:rPr>
          <w:rFonts w:ascii="Palatino Linotype" w:eastAsia="Palatino Linotype" w:hAnsi="Palatino Linotype" w:cs="Palatino Linotype"/>
          <w:i/>
        </w:rPr>
        <w:t xml:space="preserve"> </w:t>
      </w:r>
      <w:r w:rsidRPr="00E8535B">
        <w:rPr>
          <w:rFonts w:ascii="Palatino Linotype" w:eastAsia="Palatino Linotype" w:hAnsi="Palatino Linotype" w:cs="Palatino Linotype"/>
        </w:rPr>
        <w:lastRenderedPageBreak/>
        <w:t xml:space="preserve">la respuesta proporcionada por </w:t>
      </w:r>
      <w:r w:rsidRPr="00E8535B">
        <w:rPr>
          <w:rFonts w:ascii="Palatino Linotype" w:eastAsia="Palatino Linotype" w:hAnsi="Palatino Linotype" w:cs="Palatino Linotype"/>
          <w:b/>
        </w:rPr>
        <w:t xml:space="preserve">EL SUJETO OBLIGADO </w:t>
      </w:r>
      <w:r w:rsidRPr="00E8535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67E3D16"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63FA5A5E" w14:textId="77777777" w:rsidR="008D0CD7" w:rsidRPr="00E8535B" w:rsidRDefault="00434F3F">
      <w:pPr>
        <w:pBdr>
          <w:top w:val="nil"/>
          <w:left w:val="nil"/>
          <w:bottom w:val="nil"/>
          <w:right w:val="nil"/>
          <w:between w:val="nil"/>
        </w:pBd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669BF36" w14:textId="77777777" w:rsidR="008D0CD7" w:rsidRPr="00E8535B" w:rsidRDefault="008D0CD7">
      <w:pPr>
        <w:pBdr>
          <w:top w:val="nil"/>
          <w:left w:val="nil"/>
          <w:bottom w:val="nil"/>
          <w:right w:val="nil"/>
          <w:between w:val="nil"/>
        </w:pBdr>
        <w:spacing w:line="360" w:lineRule="auto"/>
        <w:jc w:val="both"/>
        <w:rPr>
          <w:rFonts w:ascii="Palatino Linotype" w:eastAsia="Palatino Linotype" w:hAnsi="Palatino Linotype" w:cs="Palatino Linotype"/>
        </w:rPr>
      </w:pPr>
    </w:p>
    <w:p w14:paraId="71D94624" w14:textId="77777777" w:rsidR="008D0CD7" w:rsidRPr="00E8535B" w:rsidRDefault="00434F3F">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E8535B">
        <w:rPr>
          <w:rFonts w:ascii="Palatino Linotype" w:eastAsia="Palatino Linotype" w:hAnsi="Palatino Linotype" w:cs="Palatino Linotype"/>
          <w:b/>
        </w:rPr>
        <w:t>R E S U E L V E</w:t>
      </w:r>
    </w:p>
    <w:p w14:paraId="3764D6E1" w14:textId="77777777" w:rsidR="008D0CD7" w:rsidRPr="00E8535B" w:rsidRDefault="008D0CD7">
      <w:pPr>
        <w:pBdr>
          <w:top w:val="nil"/>
          <w:left w:val="nil"/>
          <w:bottom w:val="nil"/>
          <w:right w:val="nil"/>
          <w:between w:val="nil"/>
        </w:pBdr>
        <w:spacing w:line="360" w:lineRule="auto"/>
        <w:ind w:left="1080"/>
        <w:rPr>
          <w:rFonts w:ascii="Palatino Linotype" w:eastAsia="Palatino Linotype" w:hAnsi="Palatino Linotype" w:cs="Palatino Linotype"/>
          <w:b/>
        </w:rPr>
      </w:pPr>
    </w:p>
    <w:p w14:paraId="32943CB2" w14:textId="77777777" w:rsidR="008D0CD7" w:rsidRPr="00E8535B" w:rsidRDefault="00434F3F">
      <w:pPr>
        <w:spacing w:line="360" w:lineRule="auto"/>
        <w:jc w:val="both"/>
        <w:rPr>
          <w:rFonts w:ascii="Palatino Linotype" w:eastAsia="Palatino Linotype" w:hAnsi="Palatino Linotype" w:cs="Palatino Linotype"/>
          <w:b/>
        </w:rPr>
      </w:pPr>
      <w:bookmarkStart w:id="9" w:name="_heading=h.4d34og8" w:colFirst="0" w:colLast="0"/>
      <w:bookmarkEnd w:id="9"/>
      <w:r w:rsidRPr="00E8535B">
        <w:rPr>
          <w:rFonts w:ascii="Palatino Linotype" w:eastAsia="Palatino Linotype" w:hAnsi="Palatino Linotype" w:cs="Palatino Linotype"/>
          <w:b/>
        </w:rPr>
        <w:t xml:space="preserve">PRIMERO. </w:t>
      </w:r>
      <w:r w:rsidRPr="00E8535B">
        <w:rPr>
          <w:rFonts w:ascii="Palatino Linotype" w:eastAsia="Palatino Linotype" w:hAnsi="Palatino Linotype" w:cs="Palatino Linotype"/>
        </w:rPr>
        <w:t xml:space="preserve">Resultan </w:t>
      </w:r>
      <w:r w:rsidRPr="00E8535B">
        <w:rPr>
          <w:rFonts w:ascii="Palatino Linotype" w:eastAsia="Palatino Linotype" w:hAnsi="Palatino Linotype" w:cs="Palatino Linotype"/>
          <w:b/>
        </w:rPr>
        <w:t>FUNDADOS</w:t>
      </w:r>
      <w:r w:rsidRPr="00E8535B">
        <w:rPr>
          <w:rFonts w:ascii="Palatino Linotype" w:eastAsia="Palatino Linotype" w:hAnsi="Palatino Linotype" w:cs="Palatino Linotype"/>
        </w:rPr>
        <w:t xml:space="preserve"> los motivos de inconformidad hechos valer por </w:t>
      </w:r>
      <w:r w:rsidRPr="00E8535B">
        <w:rPr>
          <w:rFonts w:ascii="Palatino Linotype" w:eastAsia="Palatino Linotype" w:hAnsi="Palatino Linotype" w:cs="Palatino Linotype"/>
          <w:b/>
        </w:rPr>
        <w:t xml:space="preserve">LA PARTE RECURRENTE </w:t>
      </w:r>
      <w:r w:rsidRPr="00E8535B">
        <w:rPr>
          <w:rFonts w:ascii="Palatino Linotype" w:eastAsia="Palatino Linotype" w:hAnsi="Palatino Linotype" w:cs="Palatino Linotype"/>
        </w:rPr>
        <w:t xml:space="preserve">en el recurso de revisión </w:t>
      </w:r>
      <w:r w:rsidRPr="00E8535B">
        <w:rPr>
          <w:rFonts w:ascii="Palatino Linotype" w:eastAsia="Palatino Linotype" w:hAnsi="Palatino Linotype" w:cs="Palatino Linotype"/>
          <w:b/>
        </w:rPr>
        <w:t xml:space="preserve">14519/INFOEM/IP/RR/2022, </w:t>
      </w:r>
      <w:r w:rsidRPr="00E8535B">
        <w:rPr>
          <w:rFonts w:ascii="Palatino Linotype" w:eastAsia="Palatino Linotype" w:hAnsi="Palatino Linotype" w:cs="Palatino Linotype"/>
        </w:rPr>
        <w:t xml:space="preserve">por lo que, en términos del </w:t>
      </w:r>
      <w:r w:rsidRPr="00E8535B">
        <w:rPr>
          <w:rFonts w:ascii="Palatino Linotype" w:eastAsia="Palatino Linotype" w:hAnsi="Palatino Linotype" w:cs="Palatino Linotype"/>
          <w:b/>
        </w:rPr>
        <w:t>CONSIDERANDO CUARTO</w:t>
      </w:r>
      <w:r w:rsidRPr="00E8535B">
        <w:rPr>
          <w:rFonts w:ascii="Palatino Linotype" w:eastAsia="Palatino Linotype" w:hAnsi="Palatino Linotype" w:cs="Palatino Linotype"/>
        </w:rPr>
        <w:t xml:space="preserve"> de la presente resolución, se</w:t>
      </w:r>
      <w:r w:rsidRPr="00E8535B">
        <w:rPr>
          <w:rFonts w:ascii="Palatino Linotype" w:eastAsia="Palatino Linotype" w:hAnsi="Palatino Linotype" w:cs="Palatino Linotype"/>
          <w:b/>
        </w:rPr>
        <w:t xml:space="preserve"> MODIFICA </w:t>
      </w:r>
      <w:r w:rsidRPr="00E8535B">
        <w:rPr>
          <w:rFonts w:ascii="Palatino Linotype" w:eastAsia="Palatino Linotype" w:hAnsi="Palatino Linotype" w:cs="Palatino Linotype"/>
        </w:rPr>
        <w:t xml:space="preserve">la respuesta a la solicitud </w:t>
      </w:r>
      <w:r w:rsidRPr="00E8535B">
        <w:rPr>
          <w:rFonts w:ascii="Palatino Linotype" w:eastAsia="Palatino Linotype" w:hAnsi="Palatino Linotype" w:cs="Palatino Linotype"/>
          <w:b/>
        </w:rPr>
        <w:t xml:space="preserve">00129/OASNAUCAL/IP/2022 </w:t>
      </w:r>
      <w:r w:rsidRPr="00E8535B">
        <w:rPr>
          <w:rFonts w:ascii="Palatino Linotype" w:eastAsia="Palatino Linotype" w:hAnsi="Palatino Linotype" w:cs="Palatino Linotype"/>
        </w:rPr>
        <w:t>por parte</w:t>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 xml:space="preserve">del </w:t>
      </w:r>
      <w:r w:rsidRPr="00E8535B">
        <w:rPr>
          <w:rFonts w:ascii="Palatino Linotype" w:eastAsia="Palatino Linotype" w:hAnsi="Palatino Linotype" w:cs="Palatino Linotype"/>
          <w:b/>
        </w:rPr>
        <w:t>SUJETO OBLIGADO.</w:t>
      </w:r>
    </w:p>
    <w:p w14:paraId="7BE95306" w14:textId="77777777" w:rsidR="008D0CD7" w:rsidRPr="00E8535B" w:rsidRDefault="008D0CD7">
      <w:pPr>
        <w:spacing w:line="360" w:lineRule="auto"/>
        <w:jc w:val="both"/>
        <w:rPr>
          <w:rFonts w:ascii="Palatino Linotype" w:eastAsia="Palatino Linotype" w:hAnsi="Palatino Linotype" w:cs="Palatino Linotype"/>
          <w:b/>
        </w:rPr>
      </w:pPr>
    </w:p>
    <w:p w14:paraId="41230FA1"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SEGUNDO. </w:t>
      </w:r>
      <w:r w:rsidRPr="00E8535B">
        <w:rPr>
          <w:rFonts w:ascii="Palatino Linotype" w:eastAsia="Palatino Linotype" w:hAnsi="Palatino Linotype" w:cs="Palatino Linotype"/>
        </w:rPr>
        <w:t xml:space="preserve">Se </w:t>
      </w:r>
      <w:r w:rsidRPr="00E8535B">
        <w:rPr>
          <w:rFonts w:ascii="Palatino Linotype" w:eastAsia="Palatino Linotype" w:hAnsi="Palatino Linotype" w:cs="Palatino Linotype"/>
          <w:b/>
        </w:rPr>
        <w:t>ORDENA</w:t>
      </w:r>
      <w:r w:rsidRPr="00E8535B">
        <w:rPr>
          <w:rFonts w:ascii="Palatino Linotype" w:eastAsia="Palatino Linotype" w:hAnsi="Palatino Linotype" w:cs="Palatino Linotype"/>
        </w:rPr>
        <w:t xml:space="preserve"> al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en términos de los </w:t>
      </w:r>
      <w:r w:rsidRPr="00E8535B">
        <w:rPr>
          <w:rFonts w:ascii="Palatino Linotype" w:eastAsia="Palatino Linotype" w:hAnsi="Palatino Linotype" w:cs="Palatino Linotype"/>
          <w:b/>
        </w:rPr>
        <w:t xml:space="preserve">CONSIDERANDOS CUARTO </w:t>
      </w:r>
      <w:r w:rsidRPr="00E8535B">
        <w:rPr>
          <w:rFonts w:ascii="Palatino Linotype" w:eastAsia="Palatino Linotype" w:hAnsi="Palatino Linotype" w:cs="Palatino Linotype"/>
        </w:rPr>
        <w:t xml:space="preserve">y </w:t>
      </w:r>
      <w:r w:rsidRPr="00E8535B">
        <w:rPr>
          <w:rFonts w:ascii="Palatino Linotype" w:eastAsia="Palatino Linotype" w:hAnsi="Palatino Linotype" w:cs="Palatino Linotype"/>
          <w:b/>
        </w:rPr>
        <w:t xml:space="preserve">QUINTO </w:t>
      </w:r>
      <w:r w:rsidRPr="00E8535B">
        <w:rPr>
          <w:rFonts w:ascii="Palatino Linotype" w:eastAsia="Palatino Linotype" w:hAnsi="Palatino Linotype" w:cs="Palatino Linotype"/>
        </w:rPr>
        <w:t>de esta resolución, haga entrega, vía SAIMEX, en versión pública de lo siguiente:</w:t>
      </w:r>
    </w:p>
    <w:p w14:paraId="791B7677" w14:textId="77777777" w:rsidR="008D0CD7" w:rsidRPr="00E8535B" w:rsidRDefault="008D0CD7">
      <w:pPr>
        <w:spacing w:line="360" w:lineRule="auto"/>
        <w:jc w:val="both"/>
        <w:rPr>
          <w:rFonts w:ascii="Palatino Linotype" w:eastAsia="Palatino Linotype" w:hAnsi="Palatino Linotype" w:cs="Palatino Linotype"/>
        </w:rPr>
      </w:pPr>
    </w:p>
    <w:p w14:paraId="2D9CB169" w14:textId="77777777" w:rsidR="008A54EC" w:rsidRPr="00E8535B" w:rsidRDefault="00B25381" w:rsidP="008A54E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color w:val="000000"/>
        </w:rPr>
        <w:t xml:space="preserve">Documento donde conste </w:t>
      </w:r>
      <w:r w:rsidRPr="00E8535B">
        <w:rPr>
          <w:rFonts w:ascii="Palatino Linotype" w:eastAsia="Palatino Linotype" w:hAnsi="Palatino Linotype" w:cs="Palatino Linotype"/>
        </w:rPr>
        <w:t xml:space="preserve">nombre, apellidos, número de empleado, salario mensual neto, fecha de ingreso, tipo de contratación, puesto y área de adscripción de todo del personal </w:t>
      </w:r>
      <w:r w:rsidR="002F2308" w:rsidRPr="00E8535B">
        <w:rPr>
          <w:rFonts w:ascii="Palatino Linotype" w:eastAsia="Palatino Linotype" w:hAnsi="Palatino Linotype" w:cs="Palatino Linotype"/>
        </w:rPr>
        <w:t xml:space="preserve">del </w:t>
      </w:r>
      <w:r w:rsidRPr="00E8535B">
        <w:rPr>
          <w:rFonts w:ascii="Palatino Linotype" w:eastAsia="Palatino Linotype" w:hAnsi="Palatino Linotype" w:cs="Palatino Linotype"/>
          <w:b/>
        </w:rPr>
        <w:t>SUJETO OBLIGADO</w:t>
      </w:r>
      <w:r w:rsidR="008A54EC" w:rsidRPr="00E8535B">
        <w:rPr>
          <w:rFonts w:ascii="Palatino Linotype" w:eastAsia="Palatino Linotype" w:hAnsi="Palatino Linotype" w:cs="Palatino Linotype"/>
          <w:color w:val="000000"/>
        </w:rPr>
        <w:t xml:space="preserve">, </w:t>
      </w:r>
      <w:r w:rsidR="00434F3F" w:rsidRPr="00E8535B">
        <w:rPr>
          <w:rFonts w:ascii="Palatino Linotype" w:eastAsia="Palatino Linotype" w:hAnsi="Palatino Linotype" w:cs="Palatino Linotype"/>
        </w:rPr>
        <w:t xml:space="preserve">correspondiente </w:t>
      </w:r>
      <w:r w:rsidR="002F2308" w:rsidRPr="00E8535B">
        <w:rPr>
          <w:rFonts w:ascii="Palatino Linotype" w:eastAsia="Palatino Linotype" w:hAnsi="Palatino Linotype" w:cs="Palatino Linotype"/>
        </w:rPr>
        <w:t xml:space="preserve">al mes </w:t>
      </w:r>
      <w:r w:rsidR="00434F3F" w:rsidRPr="00E8535B">
        <w:rPr>
          <w:rFonts w:ascii="Palatino Linotype" w:eastAsia="Palatino Linotype" w:hAnsi="Palatino Linotype" w:cs="Palatino Linotype"/>
          <w:color w:val="000000"/>
        </w:rPr>
        <w:t>de julio de dos mil veintidós</w:t>
      </w:r>
      <w:r w:rsidR="00434F3F" w:rsidRPr="00E8535B">
        <w:rPr>
          <w:rFonts w:ascii="Palatino Linotype" w:eastAsia="Palatino Linotype" w:hAnsi="Palatino Linotype" w:cs="Palatino Linotype"/>
        </w:rPr>
        <w:t>;</w:t>
      </w:r>
    </w:p>
    <w:p w14:paraId="6F4EDE7C" w14:textId="77777777" w:rsidR="008D0CD7" w:rsidRPr="00E8535B" w:rsidRDefault="00434F3F" w:rsidP="008A54EC">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8535B">
        <w:rPr>
          <w:rFonts w:ascii="Palatino Linotype" w:eastAsia="Palatino Linotype" w:hAnsi="Palatino Linotype" w:cs="Palatino Linotype"/>
        </w:rPr>
        <w:t>Documento o documentos donde consten</w:t>
      </w:r>
      <w:r w:rsidR="000E4693" w:rsidRPr="00E8535B">
        <w:rPr>
          <w:rFonts w:ascii="Palatino Linotype" w:eastAsia="Palatino Linotype" w:hAnsi="Palatino Linotype" w:cs="Palatino Linotype"/>
        </w:rPr>
        <w:t xml:space="preserve"> las altas de personal</w:t>
      </w:r>
      <w:r w:rsidR="008A54EC" w:rsidRPr="00E8535B">
        <w:rPr>
          <w:rFonts w:ascii="Palatino Linotype" w:eastAsia="Palatino Linotype" w:hAnsi="Palatino Linotype" w:cs="Palatino Linotype"/>
        </w:rPr>
        <w:t xml:space="preserve"> del </w:t>
      </w:r>
      <w:r w:rsidRPr="00E8535B">
        <w:rPr>
          <w:rFonts w:ascii="Palatino Linotype" w:eastAsia="Palatino Linotype" w:hAnsi="Palatino Linotype" w:cs="Palatino Linotype"/>
        </w:rPr>
        <w:t>primero de enero al doce de agosto de dos mil veintidós; y,</w:t>
      </w:r>
    </w:p>
    <w:p w14:paraId="3FBA36FB" w14:textId="77777777" w:rsidR="008D0CD7" w:rsidRPr="00E8535B" w:rsidRDefault="00434F3F" w:rsidP="00BA3ABB">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0" w:name="_heading=h.1fob9te" w:colFirst="0" w:colLast="0"/>
      <w:bookmarkEnd w:id="10"/>
      <w:r w:rsidRPr="00E8535B">
        <w:rPr>
          <w:rFonts w:ascii="Palatino Linotype" w:eastAsia="Palatino Linotype" w:hAnsi="Palatino Linotype" w:cs="Palatino Linotype"/>
          <w:color w:val="000000"/>
        </w:rPr>
        <w:t xml:space="preserve">Los nombramientos </w:t>
      </w:r>
      <w:r w:rsidRPr="00E8535B">
        <w:rPr>
          <w:rFonts w:ascii="Palatino Linotype" w:eastAsia="Palatino Linotype" w:hAnsi="Palatino Linotype" w:cs="Palatino Linotype"/>
        </w:rPr>
        <w:t xml:space="preserve">remitidos en respuesta </w:t>
      </w:r>
      <w:r w:rsidRPr="00E8535B">
        <w:rPr>
          <w:rFonts w:ascii="Palatino Linotype" w:eastAsia="Palatino Linotype" w:hAnsi="Palatino Linotype" w:cs="Palatino Linotype"/>
          <w:color w:val="000000"/>
        </w:rPr>
        <w:t>a la solicitud</w:t>
      </w:r>
      <w:r w:rsidRPr="00E8535B">
        <w:rPr>
          <w:rFonts w:ascii="Palatino Linotype" w:eastAsia="Palatino Linotype" w:hAnsi="Palatino Linotype" w:cs="Palatino Linotype"/>
        </w:rPr>
        <w:t xml:space="preserve"> </w:t>
      </w:r>
      <w:r w:rsidRPr="00E8535B">
        <w:rPr>
          <w:rFonts w:ascii="Palatino Linotype" w:eastAsia="Palatino Linotype" w:hAnsi="Palatino Linotype" w:cs="Palatino Linotype"/>
          <w:b/>
          <w:color w:val="000000"/>
        </w:rPr>
        <w:t>00129/OASNAUCAL/IP/2022,</w:t>
      </w:r>
      <w:r w:rsidRPr="00E8535B">
        <w:rPr>
          <w:rFonts w:ascii="Palatino Linotype" w:eastAsia="Palatino Linotype" w:hAnsi="Palatino Linotype" w:cs="Palatino Linotype"/>
          <w:color w:val="000000"/>
        </w:rPr>
        <w:t xml:space="preserve"> en su forma íntegra. </w:t>
      </w:r>
    </w:p>
    <w:p w14:paraId="65DBFF71" w14:textId="77777777" w:rsidR="008A54EC" w:rsidRPr="00E8535B" w:rsidRDefault="008A54EC">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3E37E19" w14:textId="77777777" w:rsidR="008D0CD7" w:rsidRPr="00E8535B" w:rsidRDefault="00434F3F">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E8535B">
        <w:rPr>
          <w:rFonts w:ascii="Palatino Linotype" w:eastAsia="Palatino Linotype" w:hAnsi="Palatino Linotype" w:cs="Palatino Linotype"/>
          <w:i/>
          <w:color w:val="404040"/>
          <w:sz w:val="22"/>
          <w:szCs w:val="22"/>
        </w:rPr>
        <w:t xml:space="preserve">En torno al punto uno, </w:t>
      </w:r>
      <w:r w:rsidRPr="00E8535B">
        <w:rPr>
          <w:rFonts w:ascii="Palatino Linotype" w:eastAsia="Palatino Linotype" w:hAnsi="Palatino Linotype" w:cs="Palatino Linotype"/>
          <w:i/>
          <w:color w:val="000000"/>
          <w:sz w:val="22"/>
          <w:szCs w:val="22"/>
        </w:rPr>
        <w:t xml:space="preserve">de ser el caso, debiendo acompañar con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E8535B">
        <w:rPr>
          <w:rFonts w:ascii="Palatino Linotype" w:eastAsia="Palatino Linotype" w:hAnsi="Palatino Linotype" w:cs="Palatino Linotype"/>
          <w:b/>
          <w:i/>
          <w:color w:val="000000"/>
          <w:sz w:val="22"/>
          <w:szCs w:val="22"/>
        </w:rPr>
        <w:t xml:space="preserve">LA PARTE RECURRENTE. </w:t>
      </w:r>
    </w:p>
    <w:p w14:paraId="09695C14" w14:textId="77777777" w:rsidR="008D0CD7" w:rsidRPr="00E8535B" w:rsidRDefault="008D0CD7"/>
    <w:p w14:paraId="29FE1A53" w14:textId="77777777" w:rsidR="008D0CD7" w:rsidRPr="00E8535B" w:rsidRDefault="00434F3F">
      <w:pPr>
        <w:spacing w:line="360" w:lineRule="auto"/>
        <w:jc w:val="both"/>
        <w:rPr>
          <w:rFonts w:ascii="Palatino Linotype" w:eastAsia="Palatino Linotype" w:hAnsi="Palatino Linotype" w:cs="Palatino Linotype"/>
          <w:b/>
        </w:rPr>
      </w:pPr>
      <w:r w:rsidRPr="00E8535B">
        <w:rPr>
          <w:rFonts w:ascii="Palatino Linotype" w:eastAsia="Palatino Linotype" w:hAnsi="Palatino Linotype" w:cs="Palatino Linotype"/>
          <w:b/>
        </w:rPr>
        <w:t xml:space="preserve">TERCERO. Notifíquese, </w:t>
      </w:r>
      <w:r w:rsidRPr="00E8535B">
        <w:rPr>
          <w:rFonts w:ascii="Palatino Linotype" w:eastAsia="Palatino Linotype" w:hAnsi="Palatino Linotype" w:cs="Palatino Linotype"/>
        </w:rPr>
        <w:t>vía</w:t>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SAIMEX</w:t>
      </w:r>
      <w:r w:rsidRPr="00E8535B">
        <w:rPr>
          <w:rFonts w:ascii="Palatino Linotype" w:eastAsia="Palatino Linotype" w:hAnsi="Palatino Linotype" w:cs="Palatino Linotype"/>
          <w:b/>
        </w:rPr>
        <w:t xml:space="preserve">, </w:t>
      </w:r>
      <w:r w:rsidRPr="00E8535B">
        <w:rPr>
          <w:rFonts w:ascii="Palatino Linotype" w:eastAsia="Palatino Linotype" w:hAnsi="Palatino Linotype" w:cs="Palatino Linotype"/>
        </w:rPr>
        <w:t xml:space="preserve">a la Persona Titular de la Unidad de Transparencia del </w:t>
      </w:r>
      <w:r w:rsidRPr="00E8535B">
        <w:rPr>
          <w:rFonts w:ascii="Palatino Linotype" w:eastAsia="Palatino Linotype" w:hAnsi="Palatino Linotype" w:cs="Palatino Linotype"/>
          <w:b/>
        </w:rPr>
        <w:t>SUJETO OBLIGADO</w:t>
      </w:r>
      <w:r w:rsidRPr="00E8535B">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E8535B">
        <w:rPr>
          <w:rFonts w:ascii="Palatino Linotype" w:eastAsia="Palatino Linotype" w:hAnsi="Palatino Linotype" w:cs="Palatino Linotype"/>
          <w:b/>
        </w:rPr>
        <w:t>.</w:t>
      </w:r>
    </w:p>
    <w:p w14:paraId="14449854" w14:textId="77777777" w:rsidR="008D0CD7" w:rsidRPr="00E8535B" w:rsidRDefault="008D0CD7">
      <w:pPr>
        <w:spacing w:line="360" w:lineRule="auto"/>
        <w:jc w:val="both"/>
        <w:rPr>
          <w:rFonts w:ascii="Palatino Linotype" w:eastAsia="Palatino Linotype" w:hAnsi="Palatino Linotype" w:cs="Palatino Linotype"/>
          <w:b/>
        </w:rPr>
      </w:pPr>
    </w:p>
    <w:p w14:paraId="26948E82"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w:t>
      </w:r>
      <w:r w:rsidRPr="00E8535B">
        <w:rPr>
          <w:rFonts w:ascii="Palatino Linotype" w:eastAsia="Palatino Linotype" w:hAnsi="Palatino Linotype" w:cs="Palatino Linotype"/>
          <w:b/>
        </w:rPr>
        <w:t>EL SUJETO OBLIGADO</w:t>
      </w:r>
      <w:r w:rsidRPr="00E8535B">
        <w:rPr>
          <w:rFonts w:ascii="Palatino Linotype" w:eastAsia="Palatino Linotype" w:hAnsi="Palatino Linotype" w:cs="Palatino Linotype"/>
        </w:rPr>
        <w:t xml:space="preserve"> de manera fundada y motivada, podrá solicitar una ampliación de plazo para el cumplimiento de la presente resolución.</w:t>
      </w:r>
    </w:p>
    <w:p w14:paraId="2C2BC959" w14:textId="77777777" w:rsidR="008D0CD7" w:rsidRPr="00E8535B" w:rsidRDefault="008D0CD7">
      <w:pPr>
        <w:spacing w:line="360" w:lineRule="auto"/>
        <w:jc w:val="both"/>
        <w:rPr>
          <w:rFonts w:ascii="Palatino Linotype" w:eastAsia="Palatino Linotype" w:hAnsi="Palatino Linotype" w:cs="Palatino Linotype"/>
        </w:rPr>
      </w:pPr>
    </w:p>
    <w:p w14:paraId="26D8370C" w14:textId="77777777" w:rsidR="008D0CD7" w:rsidRPr="00E8535B" w:rsidRDefault="00434F3F">
      <w:pPr>
        <w:spacing w:line="360" w:lineRule="auto"/>
        <w:jc w:val="both"/>
        <w:rPr>
          <w:rFonts w:ascii="Palatino Linotype" w:eastAsia="Palatino Linotype" w:hAnsi="Palatino Linotype" w:cs="Palatino Linotype"/>
        </w:rPr>
      </w:pPr>
      <w:r w:rsidRPr="00E8535B">
        <w:rPr>
          <w:rFonts w:ascii="Palatino Linotype" w:eastAsia="Palatino Linotype" w:hAnsi="Palatino Linotype" w:cs="Palatino Linotype"/>
          <w:b/>
        </w:rPr>
        <w:t xml:space="preserve">CUARTO.  Notifíquese, </w:t>
      </w:r>
      <w:r w:rsidRPr="00E8535B">
        <w:rPr>
          <w:rFonts w:ascii="Palatino Linotype" w:eastAsia="Palatino Linotype" w:hAnsi="Palatino Linotype" w:cs="Palatino Linotype"/>
        </w:rPr>
        <w:t xml:space="preserve">vía SAIMEX, a </w:t>
      </w:r>
      <w:r w:rsidRPr="00E8535B">
        <w:rPr>
          <w:rFonts w:ascii="Palatino Linotype" w:eastAsia="Palatino Linotype" w:hAnsi="Palatino Linotype" w:cs="Palatino Linotype"/>
          <w:b/>
        </w:rPr>
        <w:t>LA PARTE RECURRENTE</w:t>
      </w:r>
      <w:r w:rsidRPr="00E8535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FC4876C" w14:textId="77777777" w:rsidR="008D0CD7" w:rsidRPr="00E8535B" w:rsidRDefault="008D0CD7">
      <w:pPr>
        <w:spacing w:line="360" w:lineRule="auto"/>
        <w:jc w:val="both"/>
        <w:rPr>
          <w:rFonts w:ascii="Palatino Linotype" w:eastAsia="Palatino Linotype" w:hAnsi="Palatino Linotype" w:cs="Palatino Linotype"/>
        </w:rPr>
      </w:pPr>
    </w:p>
    <w:p w14:paraId="418C1FB0" w14:textId="77777777" w:rsidR="008D0CD7" w:rsidRDefault="00434F3F">
      <w:pPr>
        <w:spacing w:line="360" w:lineRule="auto"/>
        <w:jc w:val="both"/>
        <w:rPr>
          <w:rFonts w:ascii="Palatino Linotype" w:eastAsia="Palatino Linotype" w:hAnsi="Palatino Linotype" w:cs="Palatino Linotype"/>
        </w:rPr>
      </w:pPr>
      <w:bookmarkStart w:id="11" w:name="_heading=h.3rdcrjn" w:colFirst="0" w:colLast="0"/>
      <w:bookmarkEnd w:id="11"/>
      <w:r w:rsidRPr="00E8535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w:t>
      </w:r>
    </w:p>
    <w:p w14:paraId="37A87A88" w14:textId="77777777" w:rsidR="008D0CD7" w:rsidRDefault="008D0CD7">
      <w:pPr>
        <w:spacing w:line="360" w:lineRule="auto"/>
        <w:jc w:val="both"/>
        <w:rPr>
          <w:rFonts w:ascii="Palatino Linotype" w:eastAsia="Palatino Linotype" w:hAnsi="Palatino Linotype" w:cs="Palatino Linotype"/>
        </w:rPr>
      </w:pPr>
    </w:p>
    <w:p w14:paraId="557173D8" w14:textId="77777777" w:rsidR="008D0CD7" w:rsidRDefault="008D0CD7">
      <w:pPr>
        <w:spacing w:line="360" w:lineRule="auto"/>
        <w:jc w:val="both"/>
        <w:rPr>
          <w:rFonts w:ascii="Palatino Linotype" w:eastAsia="Palatino Linotype" w:hAnsi="Palatino Linotype" w:cs="Palatino Linotype"/>
        </w:rPr>
      </w:pPr>
    </w:p>
    <w:p w14:paraId="7C760766" w14:textId="77777777" w:rsidR="008D0CD7" w:rsidRDefault="008D0CD7">
      <w:pPr>
        <w:spacing w:line="360" w:lineRule="auto"/>
        <w:jc w:val="both"/>
        <w:rPr>
          <w:rFonts w:ascii="Palatino Linotype" w:eastAsia="Palatino Linotype" w:hAnsi="Palatino Linotype" w:cs="Palatino Linotype"/>
        </w:rPr>
      </w:pPr>
    </w:p>
    <w:sectPr w:rsidR="008D0CD7">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0F28" w14:textId="77777777" w:rsidR="002E72CF" w:rsidRDefault="002E72CF">
      <w:r>
        <w:separator/>
      </w:r>
    </w:p>
  </w:endnote>
  <w:endnote w:type="continuationSeparator" w:id="0">
    <w:p w14:paraId="04461103" w14:textId="77777777" w:rsidR="002E72CF" w:rsidRDefault="002E7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6D2C" w14:textId="77777777" w:rsidR="00C27209" w:rsidRDefault="00C272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535B">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535B">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436E1F34" w14:textId="77777777" w:rsidR="00C27209" w:rsidRDefault="00C2720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DD3E" w14:textId="77777777" w:rsidR="00C27209" w:rsidRDefault="00C272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53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535B">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2DF27CF3" w14:textId="77777777" w:rsidR="00C27209" w:rsidRDefault="00C2720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721EC" w14:textId="77777777" w:rsidR="002E72CF" w:rsidRDefault="002E72CF">
      <w:r>
        <w:separator/>
      </w:r>
    </w:p>
  </w:footnote>
  <w:footnote w:type="continuationSeparator" w:id="0">
    <w:p w14:paraId="759F98BF" w14:textId="77777777" w:rsidR="002E72CF" w:rsidRDefault="002E72CF">
      <w:r>
        <w:continuationSeparator/>
      </w:r>
    </w:p>
  </w:footnote>
  <w:footnote w:id="1">
    <w:p w14:paraId="7ECF5909"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w:t>
      </w:r>
      <w:proofErr w:type="spellStart"/>
      <w:r>
        <w:rPr>
          <w:rFonts w:ascii="Palatino Linotype" w:eastAsia="Palatino Linotype" w:hAnsi="Palatino Linotype" w:cs="Palatino Linotype"/>
          <w:color w:val="000000"/>
          <w:sz w:val="20"/>
          <w:szCs w:val="20"/>
        </w:rPr>
        <w:t>Infoem</w:t>
      </w:r>
      <w:proofErr w:type="spellEnd"/>
      <w:r>
        <w:rPr>
          <w:rFonts w:ascii="Palatino Linotype" w:eastAsia="Palatino Linotype" w:hAnsi="Palatino Linotype" w:cs="Palatino Linotype"/>
          <w:color w:val="000000"/>
          <w:sz w:val="20"/>
          <w:szCs w:val="20"/>
        </w:rPr>
        <w:t>, el Instituto, el Instituto de Transparencia o el Organismo Garante</w:t>
      </w:r>
    </w:p>
    <w:bookmarkStart w:id="0" w:name="_heading=h.1t3h5sf" w:colFirst="0" w:colLast="0"/>
    <w:bookmarkEnd w:id="0"/>
  </w:footnote>
  <w:footnote w:id="2">
    <w:p w14:paraId="7397B9DC"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bookmarkStart w:id="1" w:name="_heading=h.1t3h5sf" w:colFirst="0" w:colLast="0"/>
      <w:bookmarkEnd w:id="1"/>
      <w:r>
        <w:rPr>
          <w:vertAlign w:val="superscript"/>
        </w:rPr>
        <w:footnoteRef/>
      </w:r>
      <w:r>
        <w:rPr>
          <w:rFonts w:ascii="Palatino Linotype" w:eastAsia="Palatino Linotype" w:hAnsi="Palatino Linotype" w:cs="Palatino Linotype"/>
          <w:color w:val="000000"/>
          <w:sz w:val="20"/>
          <w:szCs w:val="20"/>
        </w:rPr>
        <w:t xml:space="preserve"> En lo subsecuente para su identificación, OAPAS Naucalpan </w:t>
      </w:r>
    </w:p>
  </w:footnote>
  <w:footnote w:id="3">
    <w:p w14:paraId="1EC2160C" w14:textId="77777777" w:rsidR="00C27209" w:rsidRDefault="00C2720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SAIMEX</w:t>
      </w:r>
    </w:p>
  </w:footnote>
  <w:footnote w:id="4">
    <w:p w14:paraId="16D49E35" w14:textId="77777777" w:rsidR="00C27209" w:rsidRDefault="00C2720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En adelante, el IPOMEX</w:t>
      </w:r>
    </w:p>
  </w:footnote>
  <w:footnote w:id="5">
    <w:p w14:paraId="75C6148B" w14:textId="77777777" w:rsidR="00C27209" w:rsidRDefault="00C2720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 lo subsecuente, Ley de Transparencia, ley en la materia o LTAIPEMM.</w:t>
      </w:r>
    </w:p>
  </w:footnote>
  <w:footnote w:id="6">
    <w:p w14:paraId="4B0F08AA"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7">
    <w:p w14:paraId="1ACC3874" w14:textId="77777777" w:rsidR="00C27209" w:rsidRDefault="00C27209">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8">
    <w:p w14:paraId="279E73B0"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https://www.osfem.gob.mx/04_Iconografia/Ent_Fisc/Doc_Apoy/doc/2022/03_Instr4.pdf</w:t>
      </w:r>
    </w:p>
  </w:footnote>
  <w:footnote w:id="9">
    <w:p w14:paraId="04C8ED99"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13. El Instituto, en el ámbito de sus atribuciones, deberá suplir cualquier deficiencia para garantizar el ejercicio del derecho de acceso a la información.</w:t>
      </w:r>
    </w:p>
  </w:footnote>
  <w:footnote w:id="10">
    <w:p w14:paraId="2B4FC513"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 </w:t>
      </w:r>
    </w:p>
    <w:p w14:paraId="2E48301D" w14:textId="77777777" w:rsidR="00C27209" w:rsidRDefault="00C27209">
      <w:pPr>
        <w:pBdr>
          <w:top w:val="nil"/>
          <w:left w:val="nil"/>
          <w:bottom w:val="nil"/>
          <w:right w:val="nil"/>
          <w:between w:val="nil"/>
        </w:pBd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p w14:paraId="226A8395" w14:textId="77777777" w:rsidR="00C27209" w:rsidRDefault="00C27209">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20"/>
          <w:szCs w:val="20"/>
        </w:rPr>
        <w:t>(…)</w:t>
      </w:r>
    </w:p>
  </w:footnote>
  <w:footnote w:id="11">
    <w:p w14:paraId="6B46A3B3" w14:textId="77777777" w:rsidR="00C27209" w:rsidRDefault="00C2720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2FCA" w14:textId="77777777" w:rsidR="00C27209" w:rsidRDefault="00C27209">
    <w:pPr>
      <w:rPr>
        <w:rFonts w:ascii="Cambria" w:eastAsia="Cambria" w:hAnsi="Cambria" w:cs="Cambria"/>
        <w:color w:val="000000"/>
      </w:rPr>
    </w:pPr>
    <w:r>
      <w:rPr>
        <w:noProof/>
      </w:rPr>
      <w:drawing>
        <wp:anchor distT="0" distB="0" distL="0" distR="0" simplePos="0" relativeHeight="251658240" behindDoc="1" locked="0" layoutInCell="1" hidden="0" allowOverlap="1" wp14:anchorId="4F023097" wp14:editId="220EFF60">
          <wp:simplePos x="0" y="0"/>
          <wp:positionH relativeFrom="column">
            <wp:posOffset>-1080122</wp:posOffset>
          </wp:positionH>
          <wp:positionV relativeFrom="paragraph">
            <wp:posOffset>-488300</wp:posOffset>
          </wp:positionV>
          <wp:extent cx="7809865" cy="10165715"/>
          <wp:effectExtent l="0" t="0" r="0" b="0"/>
          <wp:wrapNone/>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953" w:type="dxa"/>
      <w:tblInd w:w="3261" w:type="dxa"/>
      <w:tblLayout w:type="fixed"/>
      <w:tblLook w:val="0400" w:firstRow="0" w:lastRow="0" w:firstColumn="0" w:lastColumn="0" w:noHBand="0" w:noVBand="1"/>
    </w:tblPr>
    <w:tblGrid>
      <w:gridCol w:w="2489"/>
      <w:gridCol w:w="3464"/>
    </w:tblGrid>
    <w:tr w:rsidR="00C27209" w14:paraId="1F331A70" w14:textId="77777777">
      <w:tc>
        <w:tcPr>
          <w:tcW w:w="2489" w:type="dxa"/>
          <w:shd w:val="clear" w:color="auto" w:fill="auto"/>
        </w:tcPr>
        <w:p w14:paraId="4D271535"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F65607A" w14:textId="77777777" w:rsidR="00C27209" w:rsidRDefault="00C2720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14519/INFOEM/IP/RR/2022</w:t>
          </w:r>
        </w:p>
      </w:tc>
    </w:tr>
    <w:tr w:rsidR="00C27209" w14:paraId="1A8339FE" w14:textId="77777777">
      <w:trPr>
        <w:trHeight w:val="228"/>
      </w:trPr>
      <w:tc>
        <w:tcPr>
          <w:tcW w:w="2489" w:type="dxa"/>
          <w:shd w:val="clear" w:color="auto" w:fill="auto"/>
          <w:vAlign w:val="center"/>
        </w:tcPr>
        <w:p w14:paraId="068A06BE"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8316882" w14:textId="77777777" w:rsidR="00C27209" w:rsidRDefault="002B6C56">
          <w:pPr>
            <w:ind w:right="176"/>
            <w:jc w:val="both"/>
            <w:rPr>
              <w:rFonts w:ascii="Palatino Linotype" w:eastAsia="Palatino Linotype" w:hAnsi="Palatino Linotype" w:cs="Palatino Linotype"/>
              <w:b/>
              <w:sz w:val="22"/>
              <w:szCs w:val="22"/>
            </w:rPr>
          </w:pPr>
          <w:r w:rsidRPr="002B6C56">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p>
      </w:tc>
    </w:tr>
    <w:tr w:rsidR="00C27209" w14:paraId="71CC6D17" w14:textId="77777777">
      <w:tc>
        <w:tcPr>
          <w:tcW w:w="2489" w:type="dxa"/>
          <w:shd w:val="clear" w:color="auto" w:fill="auto"/>
          <w:vAlign w:val="center"/>
        </w:tcPr>
        <w:p w14:paraId="37547501" w14:textId="77777777" w:rsidR="00C27209" w:rsidRDefault="00C2720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E1975E3" w14:textId="77777777" w:rsidR="00C27209" w:rsidRDefault="00C2720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81ED36" w14:textId="77777777" w:rsidR="00C27209" w:rsidRDefault="00C2720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55CD" w14:textId="77777777" w:rsidR="00C27209" w:rsidRDefault="00C2720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467DCA5" wp14:editId="0F886675">
          <wp:simplePos x="0" y="0"/>
          <wp:positionH relativeFrom="column">
            <wp:posOffset>-1089023</wp:posOffset>
          </wp:positionH>
          <wp:positionV relativeFrom="paragraph">
            <wp:posOffset>185420</wp:posOffset>
          </wp:positionV>
          <wp:extent cx="7809865" cy="10165715"/>
          <wp:effectExtent l="0" t="0" r="0" b="0"/>
          <wp:wrapNone/>
          <wp:docPr id="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70" w:type="dxa"/>
      <w:tblInd w:w="3261" w:type="dxa"/>
      <w:tblLayout w:type="fixed"/>
      <w:tblLook w:val="0400" w:firstRow="0" w:lastRow="0" w:firstColumn="0" w:lastColumn="0" w:noHBand="0" w:noVBand="1"/>
    </w:tblPr>
    <w:tblGrid>
      <w:gridCol w:w="2551"/>
      <w:gridCol w:w="3119"/>
    </w:tblGrid>
    <w:tr w:rsidR="00C27209" w14:paraId="63866EC9" w14:textId="77777777">
      <w:tc>
        <w:tcPr>
          <w:tcW w:w="2551" w:type="dxa"/>
          <w:shd w:val="clear" w:color="auto" w:fill="auto"/>
          <w:vAlign w:val="center"/>
        </w:tcPr>
        <w:p w14:paraId="70C680F2"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4DBE33" w14:textId="77777777" w:rsidR="00C27209" w:rsidRDefault="00C2720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14519/INFOEM/IP/RR/2022</w:t>
          </w:r>
        </w:p>
      </w:tc>
    </w:tr>
    <w:tr w:rsidR="00C27209" w14:paraId="2AD7070A" w14:textId="77777777">
      <w:trPr>
        <w:trHeight w:val="130"/>
      </w:trPr>
      <w:tc>
        <w:tcPr>
          <w:tcW w:w="2551" w:type="dxa"/>
          <w:shd w:val="clear" w:color="auto" w:fill="auto"/>
          <w:vAlign w:val="center"/>
        </w:tcPr>
        <w:p w14:paraId="37550111"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316C02B" w14:textId="77777777" w:rsidR="00C27209" w:rsidRDefault="00C27209">
          <w:pPr>
            <w:jc w:val="both"/>
            <w:rPr>
              <w:rFonts w:ascii="Palatino Linotype" w:eastAsia="Palatino Linotype" w:hAnsi="Palatino Linotype" w:cs="Palatino Linotype"/>
              <w:b/>
              <w:sz w:val="22"/>
              <w:szCs w:val="22"/>
            </w:rPr>
          </w:pPr>
        </w:p>
      </w:tc>
    </w:tr>
    <w:tr w:rsidR="00C27209" w14:paraId="650028F1" w14:textId="77777777">
      <w:trPr>
        <w:trHeight w:val="228"/>
      </w:trPr>
      <w:tc>
        <w:tcPr>
          <w:tcW w:w="2551" w:type="dxa"/>
          <w:shd w:val="clear" w:color="auto" w:fill="auto"/>
          <w:vAlign w:val="center"/>
        </w:tcPr>
        <w:p w14:paraId="1635E72C"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CF242FA" w14:textId="77777777" w:rsidR="00C27209" w:rsidRDefault="00C2720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p>
      </w:tc>
    </w:tr>
    <w:tr w:rsidR="00C27209" w14:paraId="32A8BDA8" w14:textId="77777777">
      <w:tc>
        <w:tcPr>
          <w:tcW w:w="2551" w:type="dxa"/>
          <w:shd w:val="clear" w:color="auto" w:fill="auto"/>
          <w:vAlign w:val="center"/>
        </w:tcPr>
        <w:p w14:paraId="522F8143" w14:textId="77777777" w:rsidR="00C27209" w:rsidRDefault="00C272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37ECDC5" w14:textId="77777777" w:rsidR="00C27209" w:rsidRDefault="00C2720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80ADA0" w14:textId="77777777" w:rsidR="00C27209" w:rsidRDefault="00C2720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6F54"/>
    <w:multiLevelType w:val="multilevel"/>
    <w:tmpl w:val="73FCE73C"/>
    <w:lvl w:ilvl="0">
      <w:start w:val="3"/>
      <w:numFmt w:val="upperRoman"/>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8D4D1F"/>
    <w:multiLevelType w:val="multilevel"/>
    <w:tmpl w:val="CD90C1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C5F2E"/>
    <w:multiLevelType w:val="multilevel"/>
    <w:tmpl w:val="81FE6342"/>
    <w:lvl w:ilvl="0">
      <w:start w:val="1"/>
      <w:numFmt w:val="lowerLetter"/>
      <w:pStyle w:val="Listaconvietas2"/>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50D2998"/>
    <w:multiLevelType w:val="multilevel"/>
    <w:tmpl w:val="B68A69FA"/>
    <w:lvl w:ilvl="0">
      <w:start w:val="1"/>
      <w:numFmt w:val="upperRoman"/>
      <w:lvlText w:val="%1."/>
      <w:lvlJc w:val="righ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4" w15:restartNumberingAfterBreak="0">
    <w:nsid w:val="2ABF2541"/>
    <w:multiLevelType w:val="multilevel"/>
    <w:tmpl w:val="B43CE09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643D00"/>
    <w:multiLevelType w:val="multilevel"/>
    <w:tmpl w:val="B7085F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FF2473"/>
    <w:multiLevelType w:val="multilevel"/>
    <w:tmpl w:val="F22AE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CD7"/>
    <w:rsid w:val="000E4693"/>
    <w:rsid w:val="002B6C56"/>
    <w:rsid w:val="002E72CF"/>
    <w:rsid w:val="002F2308"/>
    <w:rsid w:val="003438EF"/>
    <w:rsid w:val="003C6B0E"/>
    <w:rsid w:val="00434F3F"/>
    <w:rsid w:val="004C30EE"/>
    <w:rsid w:val="007C381F"/>
    <w:rsid w:val="008A54EC"/>
    <w:rsid w:val="008D0CD7"/>
    <w:rsid w:val="0098579E"/>
    <w:rsid w:val="009B49FF"/>
    <w:rsid w:val="00B25381"/>
    <w:rsid w:val="00BA3ABB"/>
    <w:rsid w:val="00C27209"/>
    <w:rsid w:val="00DF24C7"/>
    <w:rsid w:val="00E17138"/>
    <w:rsid w:val="00E85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837A27"/>
  <w15:docId w15:val="{F8CF2EA7-54FA-469E-B9B7-27CB4DC2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pomex.org.mx/ipo3/lgt/indice/OASNAUCALPAN/art_92_viii/4.web?token=03ANYolquqWwH41TaOU-WECNo7Ew6hiBVDxpUAFeINivy-AR-rf_orvKN04nypgLM7JaF1ahwq4mwi6EZ6kTQnB4CFqxbnegWqsKcF0kFWtljSY-3flox7BUyQFapQ6SQUzHBWbtQLvYyEmpCtMlHKJDOrmEzbAtn0Nlzkf7mQwPyPKTZgPIehGegq6eQcY1j4GliPD_DgXL0KdP6-x7YmdjEEkcVWpZ-NXOFgNeZMhM4DOqyzlojIuQbxiSU-_p8VPVq9vBgp6eBBc7R-6iNv9Rmya2QNAv21be-8eIHXsF-onKLrSthDFIW20zwtBknluc1PXq2NeuRZ8YZdLEC6VOLbLinWkxZkwuT2UHX2rGcztGEED2XrwEaB0FydycVVC4YSwwG0VOam8xFWTKUfxlLRxxBMWain63G4oRC-0oBMOTOcto6vcH37JiwwHDF-1DcDDn0qfCv88vmD7X-tLDJ0kFdEk8ZGB4dMOxKdrRsFftGfiaP4NwnT8eWd28up26q4_10uaO5c"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558636.pag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5863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omex.org.mx/ipo3/lgt/indice/OASNAUCALPAN/art_92_viii/4.web?token=03AFY_a8VF_lJWFqjjC7CaW0eWdoyvflPbFEgfvesHc1WzHfmV7mTUhCM7q6Lmh6YBalCtdJr9RoMf2jCvaAkjEp7dXnLRCvafU_Al2craPUYnMWjz1nvQLJ-6DtyW0vVtsdbq57SbKyfj3zWewwVLxF8o92ougfCwCxypiMKWLBrg1UDPUve3eWoLOKrNkNXAWaehC4aNHZVu2FPyo1xYJ5VWVB1Dn_kPYjrlhhcismZ5XgNRYyYeoXc9AP4YsN02FqU6HXcwi9rkfwxeYs-1QzQ93lG14XEjKn1PakxjbVql4Cm9nJBQvMDnZdEwc9y_Ak9XbjAOXSXeyCQI-bklOC96yG0JqjJs9sW8-FQYSmEZ9u49YTSjoUZbgVTEYO-USajxlVunkZRf_Vg3f4yrMgeFyMvTLk7wOIEbiNxbAhJed6sjvHV6yY9wQ0uWVYNjiMi6c9BcSUpE4T5kYsLA1YmVMThv1sr2S-FZM_sq0Y5TzOY-U1GKWeoK6WVnUaBACBG9grxJFzNm" TargetMode="External"/><Relationship Id="rId23" Type="http://schemas.openxmlformats.org/officeDocument/2006/relationships/footer" Target="footer2.xml"/><Relationship Id="rId10" Type="http://schemas.openxmlformats.org/officeDocument/2006/relationships/hyperlink" Target="https://saimex.org.mx/saimex/solicitud/downloadAttach/1558636.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1558635.page" TargetMode="External"/><Relationship Id="rId14" Type="http://schemas.openxmlformats.org/officeDocument/2006/relationships/hyperlink" Target="https://ipomex.org.mx/ipo3/lgt/indice/OASNAUCALPAN/art_92_viii/4.web?token=03AFY_a8VF_lJWFqjjC7CaW0eWdoyvflPbFEgfvesHc1WzHfmV7mTUhCM7q6Lmh6YBalCtdJr9RoMf2jCvaAkjEp7dXnLRCvafU_Al2craPUYnMWjz1nvQLJ-6DtyW0vVtsdbq57SbKyfj3zWewwVLxF8o92ougfCwCxypiMKWLBrg1UDPUve3eWoLOKrNkNXAWaehC4aNHZVu2FPyo1xYJ5VWVB1Dn_kPYjrlhhcismZ5XgNRYyYeoXc9AP4YsN02FqU6HXcwi9rkfwxeYs-1QzQ93lG14XEjKn1PakxjbVql4Cm9nJBQvMDnZdEwc9y_Ak9XbjAOXSXeyCQI-bklOC96yG0JqjJs9sW8-FQYSmEZ9u49YTSjoUZbgVTEYO-USajxlVunkZRf_Vg3f4yrMgeFyMvTLk7wOIEbiNxbAhJed6sjvHV6yY9wQ0uWVYNjiMi6c9BcSUpE4T5kYsLA1YmVMThv1sr2S-FZM_sq0Y5TzOY-U1GKWeoK6WVnUaBACBG9grxJFzN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rrs4ThuNKSidLV+AuD4p9MXgfA==">AMUW2mWqxy8KiNXBVAJHobAneSLY7ZYUm8Te2hTuIMHx+IduTHkGjvtiyEGsw7JJ+5f/2I693l3ZBHftJZx8Fhpa+1awxTbHbsRaozfNUQkWgQGn91FiVTpVRC5xqunFbwPWedBcxxAdtuZWGRrgU4tATodkwIMGs4BLy4xzbMVHvui//5bhjnmjA/NRhXd5SIsehNhASQDH9TBF5HuUlqF77vhUSCCqllQkVeydEJ4SBVM/1QARqQF7kPDVvYB62Pt7vEU0hH/CCsgYiHTz1E9KV00Jar/l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13987</Words>
  <Characters>76929</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2023-03-31T16:20:00Z</cp:lastPrinted>
  <dcterms:created xsi:type="dcterms:W3CDTF">2023-04-11T02:23:00Z</dcterms:created>
  <dcterms:modified xsi:type="dcterms:W3CDTF">2023-04-11T02:23:00Z</dcterms:modified>
</cp:coreProperties>
</file>