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tabs>
          <w:tab w:val="left" w:leader="none" w:pos="5954"/>
        </w:tabs>
        <w:spacing w:after="0" w:before="240"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Resolución del Pleno del Instituto de Transparencia, Acceso a la Información Pública y Protección de Datos Personales del Estado de México y Municipios, con domicilio en Metepec, Estado de México, a seis de diciembre de dos mil veintitrés.</w:t>
      </w:r>
    </w:p>
    <w:p w:rsidR="00000000" w:rsidDel="00000000" w:rsidP="00000000" w:rsidRDefault="00000000" w:rsidRPr="00000000" w14:paraId="00000002">
      <w:pPr>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03">
      <w:pPr>
        <w:spacing w:after="0" w:line="360" w:lineRule="auto"/>
        <w:jc w:val="both"/>
        <w:rPr>
          <w:rFonts w:ascii="Palatino Linotype" w:cs="Palatino Linotype" w:eastAsia="Palatino Linotype" w:hAnsi="Palatino Linotype"/>
          <w:b w:val="1"/>
          <w:sz w:val="24"/>
          <w:szCs w:val="24"/>
        </w:rPr>
      </w:pPr>
      <w:r w:rsidDel="00000000" w:rsidR="00000000" w:rsidRPr="00000000">
        <w:rPr>
          <w:rFonts w:ascii="Palatino Linotype" w:cs="Palatino Linotype" w:eastAsia="Palatino Linotype" w:hAnsi="Palatino Linotype"/>
          <w:b w:val="1"/>
          <w:sz w:val="24"/>
          <w:szCs w:val="24"/>
          <w:rtl w:val="0"/>
        </w:rPr>
        <w:t xml:space="preserve">Visto </w:t>
      </w:r>
      <w:r w:rsidDel="00000000" w:rsidR="00000000" w:rsidRPr="00000000">
        <w:rPr>
          <w:rFonts w:ascii="Palatino Linotype" w:cs="Palatino Linotype" w:eastAsia="Palatino Linotype" w:hAnsi="Palatino Linotype"/>
          <w:sz w:val="24"/>
          <w:szCs w:val="24"/>
          <w:rtl w:val="0"/>
        </w:rPr>
        <w:t xml:space="preserve">el expediente relativo al recurso de revisión </w:t>
      </w:r>
      <w:r w:rsidDel="00000000" w:rsidR="00000000" w:rsidRPr="00000000">
        <w:rPr>
          <w:rFonts w:ascii="Palatino Linotype" w:cs="Palatino Linotype" w:eastAsia="Palatino Linotype" w:hAnsi="Palatino Linotype"/>
          <w:b w:val="1"/>
          <w:sz w:val="24"/>
          <w:szCs w:val="24"/>
          <w:rtl w:val="0"/>
        </w:rPr>
        <w:t xml:space="preserve">07754/INFOEM/IP/RR/2023</w:t>
      </w:r>
      <w:r w:rsidDel="00000000" w:rsidR="00000000" w:rsidRPr="00000000">
        <w:rPr>
          <w:rFonts w:ascii="Palatino Linotype" w:cs="Palatino Linotype" w:eastAsia="Palatino Linotype" w:hAnsi="Palatino Linotype"/>
          <w:color w:val="000000"/>
          <w:sz w:val="24"/>
          <w:szCs w:val="24"/>
          <w:rtl w:val="0"/>
        </w:rPr>
        <w:t xml:space="preserve">, </w:t>
      </w:r>
      <w:r w:rsidDel="00000000" w:rsidR="00000000" w:rsidRPr="00000000">
        <w:rPr>
          <w:rFonts w:ascii="Palatino Linotype" w:cs="Palatino Linotype" w:eastAsia="Palatino Linotype" w:hAnsi="Palatino Linotype"/>
          <w:sz w:val="24"/>
          <w:szCs w:val="24"/>
          <w:rtl w:val="0"/>
        </w:rPr>
        <w:t xml:space="preserve">interpuesto por </w:t>
      </w:r>
      <w:r w:rsidDel="00000000" w:rsidR="00000000" w:rsidRPr="00000000">
        <w:rPr>
          <w:rFonts w:ascii="Palatino Linotype" w:cs="Palatino Linotype" w:eastAsia="Palatino Linotype" w:hAnsi="Palatino Linotype"/>
          <w:b w:val="1"/>
          <w:sz w:val="24"/>
          <w:szCs w:val="24"/>
          <w:rtl w:val="0"/>
        </w:rPr>
        <w:t xml:space="preserve">XXXXX XXXXXX XXXXXXX</w:t>
      </w:r>
      <w:r w:rsidDel="00000000" w:rsidR="00000000" w:rsidRPr="00000000">
        <w:rPr>
          <w:rFonts w:ascii="Palatino Linotype" w:cs="Palatino Linotype" w:eastAsia="Palatino Linotype" w:hAnsi="Palatino Linotype"/>
          <w:sz w:val="24"/>
          <w:szCs w:val="24"/>
          <w:rtl w:val="0"/>
        </w:rPr>
        <w:t xml:space="preserve">,</w:t>
      </w:r>
      <w:r w:rsidDel="00000000" w:rsidR="00000000" w:rsidRPr="00000000">
        <w:rPr>
          <w:rFonts w:ascii="Palatino Linotype" w:cs="Palatino Linotype" w:eastAsia="Palatino Linotype" w:hAnsi="Palatino Linotype"/>
          <w:b w:val="1"/>
          <w:sz w:val="24"/>
          <w:szCs w:val="24"/>
          <w:rtl w:val="0"/>
        </w:rPr>
        <w:t xml:space="preserve"> </w:t>
      </w:r>
      <w:r w:rsidDel="00000000" w:rsidR="00000000" w:rsidRPr="00000000">
        <w:rPr>
          <w:rFonts w:ascii="Palatino Linotype" w:cs="Palatino Linotype" w:eastAsia="Palatino Linotype" w:hAnsi="Palatino Linotype"/>
          <w:sz w:val="24"/>
          <w:szCs w:val="24"/>
          <w:rtl w:val="0"/>
        </w:rPr>
        <w:t xml:space="preserve">a quien en lo sucesivo se le denominara </w:t>
      </w:r>
      <w:r w:rsidDel="00000000" w:rsidR="00000000" w:rsidRPr="00000000">
        <w:rPr>
          <w:rFonts w:ascii="Palatino Linotype" w:cs="Palatino Linotype" w:eastAsia="Palatino Linotype" w:hAnsi="Palatino Linotype"/>
          <w:b w:val="1"/>
          <w:sz w:val="24"/>
          <w:szCs w:val="24"/>
          <w:rtl w:val="0"/>
        </w:rPr>
        <w:t xml:space="preserve">LA PARTE RECURRENTE</w:t>
      </w:r>
      <w:r w:rsidDel="00000000" w:rsidR="00000000" w:rsidRPr="00000000">
        <w:rPr>
          <w:rFonts w:ascii="Palatino Linotype" w:cs="Palatino Linotype" w:eastAsia="Palatino Linotype" w:hAnsi="Palatino Linotype"/>
          <w:sz w:val="24"/>
          <w:szCs w:val="24"/>
          <w:rtl w:val="0"/>
        </w:rPr>
        <w:t xml:space="preserve">, en contra </w:t>
      </w:r>
      <w:r w:rsidDel="00000000" w:rsidR="00000000" w:rsidRPr="00000000">
        <w:rPr>
          <w:rFonts w:ascii="Palatino Linotype" w:cs="Palatino Linotype" w:eastAsia="Palatino Linotype" w:hAnsi="Palatino Linotype"/>
          <w:color w:val="000000"/>
          <w:sz w:val="24"/>
          <w:szCs w:val="24"/>
          <w:rtl w:val="0"/>
        </w:rPr>
        <w:t xml:space="preserve">de la falta de respuesta </w:t>
      </w:r>
      <w:r w:rsidDel="00000000" w:rsidR="00000000" w:rsidRPr="00000000">
        <w:rPr>
          <w:rFonts w:ascii="Palatino Linotype" w:cs="Palatino Linotype" w:eastAsia="Palatino Linotype" w:hAnsi="Palatino Linotype"/>
          <w:sz w:val="24"/>
          <w:szCs w:val="24"/>
          <w:rtl w:val="0"/>
        </w:rPr>
        <w:t xml:space="preserve">a la solicitud de información con número de folio </w:t>
      </w:r>
      <w:r w:rsidDel="00000000" w:rsidR="00000000" w:rsidRPr="00000000">
        <w:rPr>
          <w:rFonts w:ascii="Palatino Linotype" w:cs="Palatino Linotype" w:eastAsia="Palatino Linotype" w:hAnsi="Palatino Linotype"/>
          <w:b w:val="1"/>
          <w:sz w:val="24"/>
          <w:szCs w:val="24"/>
          <w:rtl w:val="0"/>
        </w:rPr>
        <w:t xml:space="preserve">00065/ALMORI/IP/2023</w:t>
      </w:r>
      <w:r w:rsidDel="00000000" w:rsidR="00000000" w:rsidRPr="00000000">
        <w:rPr>
          <w:rFonts w:ascii="Palatino Linotype" w:cs="Palatino Linotype" w:eastAsia="Palatino Linotype" w:hAnsi="Palatino Linotype"/>
          <w:sz w:val="24"/>
          <w:szCs w:val="24"/>
          <w:rtl w:val="0"/>
        </w:rPr>
        <w:t xml:space="preserve">, por parte del </w:t>
      </w:r>
      <w:r w:rsidDel="00000000" w:rsidR="00000000" w:rsidRPr="00000000">
        <w:rPr>
          <w:rFonts w:ascii="Palatino Linotype" w:cs="Palatino Linotype" w:eastAsia="Palatino Linotype" w:hAnsi="Palatino Linotype"/>
          <w:b w:val="1"/>
          <w:sz w:val="24"/>
          <w:szCs w:val="24"/>
          <w:rtl w:val="0"/>
        </w:rPr>
        <w:t xml:space="preserve">Ayuntamiento de Almoloya de Río</w:t>
      </w:r>
      <w:r w:rsidDel="00000000" w:rsidR="00000000" w:rsidRPr="00000000">
        <w:rPr>
          <w:rFonts w:ascii="Palatino Linotype" w:cs="Palatino Linotype" w:eastAsia="Palatino Linotype" w:hAnsi="Palatino Linotype"/>
          <w:sz w:val="24"/>
          <w:szCs w:val="24"/>
          <w:rtl w:val="0"/>
        </w:rPr>
        <w:t xml:space="preserve">, en lo sucesivo </w:t>
      </w:r>
      <w:r w:rsidDel="00000000" w:rsidR="00000000" w:rsidRPr="00000000">
        <w:rPr>
          <w:rFonts w:ascii="Palatino Linotype" w:cs="Palatino Linotype" w:eastAsia="Palatino Linotype" w:hAnsi="Palatino Linotype"/>
          <w:b w:val="1"/>
          <w:sz w:val="24"/>
          <w:szCs w:val="24"/>
          <w:rtl w:val="0"/>
        </w:rPr>
        <w:t xml:space="preserve">EL</w:t>
      </w:r>
      <w:r w:rsidDel="00000000" w:rsidR="00000000" w:rsidRPr="00000000">
        <w:rPr>
          <w:rFonts w:ascii="Palatino Linotype" w:cs="Palatino Linotype" w:eastAsia="Palatino Linotype" w:hAnsi="Palatino Linotype"/>
          <w:sz w:val="24"/>
          <w:szCs w:val="24"/>
          <w:rtl w:val="0"/>
        </w:rPr>
        <w:t xml:space="preserve"> </w:t>
      </w:r>
      <w:r w:rsidDel="00000000" w:rsidR="00000000" w:rsidRPr="00000000">
        <w:rPr>
          <w:rFonts w:ascii="Palatino Linotype" w:cs="Palatino Linotype" w:eastAsia="Palatino Linotype" w:hAnsi="Palatino Linotype"/>
          <w:b w:val="1"/>
          <w:sz w:val="24"/>
          <w:szCs w:val="24"/>
          <w:rtl w:val="0"/>
        </w:rPr>
        <w:t xml:space="preserve">SUJETO OBLIGADO; </w:t>
      </w:r>
      <w:r w:rsidDel="00000000" w:rsidR="00000000" w:rsidRPr="00000000">
        <w:rPr>
          <w:rFonts w:ascii="Palatino Linotype" w:cs="Palatino Linotype" w:eastAsia="Palatino Linotype" w:hAnsi="Palatino Linotype"/>
          <w:sz w:val="24"/>
          <w:szCs w:val="24"/>
          <w:rtl w:val="0"/>
        </w:rPr>
        <w:t xml:space="preserve">se procede a dictar la presente resolución, con base en lo siguiente.</w:t>
      </w:r>
      <w:r w:rsidDel="00000000" w:rsidR="00000000" w:rsidRPr="00000000">
        <w:rPr>
          <w:rtl w:val="0"/>
        </w:rPr>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spacing w:after="0" w:line="36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A N T E C E D E N T E S </w:t>
      </w:r>
    </w:p>
    <w:p w:rsidR="00000000" w:rsidDel="00000000" w:rsidP="00000000" w:rsidRDefault="00000000" w:rsidRPr="00000000" w14:paraId="00000006">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07">
      <w:pPr>
        <w:spacing w:after="0"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sz w:val="24"/>
          <w:szCs w:val="24"/>
          <w:rtl w:val="0"/>
        </w:rPr>
        <w:t xml:space="preserve">1.</w:t>
      </w:r>
      <w:r w:rsidDel="00000000" w:rsidR="00000000" w:rsidRPr="00000000">
        <w:rPr>
          <w:rFonts w:ascii="Palatino Linotype" w:cs="Palatino Linotype" w:eastAsia="Palatino Linotype" w:hAnsi="Palatino Linotype"/>
          <w:sz w:val="24"/>
          <w:szCs w:val="24"/>
          <w:rtl w:val="0"/>
        </w:rPr>
        <w:t xml:space="preserve"> </w:t>
      </w:r>
      <w:r w:rsidDel="00000000" w:rsidR="00000000" w:rsidRPr="00000000">
        <w:rPr>
          <w:rFonts w:ascii="Palatino Linotype" w:cs="Palatino Linotype" w:eastAsia="Palatino Linotype" w:hAnsi="Palatino Linotype"/>
          <w:b w:val="1"/>
          <w:sz w:val="24"/>
          <w:szCs w:val="24"/>
          <w:rtl w:val="0"/>
        </w:rPr>
        <w:t xml:space="preserve">SOLICITUD DE INFORMACIÓN. </w:t>
      </w:r>
      <w:r w:rsidDel="00000000" w:rsidR="00000000" w:rsidRPr="00000000">
        <w:rPr>
          <w:rFonts w:ascii="Palatino Linotype" w:cs="Palatino Linotype" w:eastAsia="Palatino Linotype" w:hAnsi="Palatino Linotype"/>
          <w:sz w:val="24"/>
          <w:szCs w:val="24"/>
          <w:rtl w:val="0"/>
        </w:rPr>
        <w:t xml:space="preserve">Con fecha </w:t>
      </w:r>
      <w:r w:rsidDel="00000000" w:rsidR="00000000" w:rsidRPr="00000000">
        <w:rPr>
          <w:rFonts w:ascii="Palatino Linotype" w:cs="Palatino Linotype" w:eastAsia="Palatino Linotype" w:hAnsi="Palatino Linotype"/>
          <w:b w:val="1"/>
          <w:sz w:val="24"/>
          <w:szCs w:val="24"/>
          <w:rtl w:val="0"/>
        </w:rPr>
        <w:t xml:space="preserve">trece de octubre de dos mil veintitrés</w:t>
      </w:r>
      <w:r w:rsidDel="00000000" w:rsidR="00000000" w:rsidRPr="00000000">
        <w:rPr>
          <w:rFonts w:ascii="Palatino Linotype" w:cs="Palatino Linotype" w:eastAsia="Palatino Linotype" w:hAnsi="Palatino Linotype"/>
          <w:sz w:val="24"/>
          <w:szCs w:val="24"/>
          <w:rtl w:val="0"/>
        </w:rPr>
        <w:t xml:space="preserve">, </w:t>
      </w:r>
      <w:r w:rsidDel="00000000" w:rsidR="00000000" w:rsidRPr="00000000">
        <w:rPr>
          <w:rFonts w:ascii="Palatino Linotype" w:cs="Palatino Linotype" w:eastAsia="Palatino Linotype" w:hAnsi="Palatino Linotype"/>
          <w:b w:val="1"/>
          <w:sz w:val="24"/>
          <w:szCs w:val="24"/>
          <w:rtl w:val="0"/>
        </w:rPr>
        <w:t xml:space="preserve">LA PARTE RECURRENTE</w:t>
      </w:r>
      <w:r w:rsidDel="00000000" w:rsidR="00000000" w:rsidRPr="00000000">
        <w:rPr>
          <w:rFonts w:ascii="Palatino Linotype" w:cs="Palatino Linotype" w:eastAsia="Palatino Linotype" w:hAnsi="Palatino Linotype"/>
          <w:sz w:val="24"/>
          <w:szCs w:val="24"/>
          <w:rtl w:val="0"/>
        </w:rPr>
        <w:t xml:space="preserve">, presentó a través del Sistema de Acceso a la Información Mexiquense (</w:t>
      </w:r>
      <w:r w:rsidDel="00000000" w:rsidR="00000000" w:rsidRPr="00000000">
        <w:rPr>
          <w:rFonts w:ascii="Palatino Linotype" w:cs="Palatino Linotype" w:eastAsia="Palatino Linotype" w:hAnsi="Palatino Linotype"/>
          <w:b w:val="1"/>
          <w:sz w:val="24"/>
          <w:szCs w:val="24"/>
          <w:rtl w:val="0"/>
        </w:rPr>
        <w:t xml:space="preserve">SAIMEX)</w:t>
      </w:r>
      <w:r w:rsidDel="00000000" w:rsidR="00000000" w:rsidRPr="00000000">
        <w:rPr>
          <w:rFonts w:ascii="Palatino Linotype" w:cs="Palatino Linotype" w:eastAsia="Palatino Linotype" w:hAnsi="Palatino Linotype"/>
          <w:sz w:val="24"/>
          <w:szCs w:val="24"/>
          <w:rtl w:val="0"/>
        </w:rPr>
        <w:t xml:space="preserve"> ante </w:t>
      </w:r>
      <w:r w:rsidDel="00000000" w:rsidR="00000000" w:rsidRPr="00000000">
        <w:rPr>
          <w:rFonts w:ascii="Palatino Linotype" w:cs="Palatino Linotype" w:eastAsia="Palatino Linotype" w:hAnsi="Palatino Linotype"/>
          <w:b w:val="1"/>
          <w:sz w:val="24"/>
          <w:szCs w:val="24"/>
          <w:rtl w:val="0"/>
        </w:rPr>
        <w:t xml:space="preserve">EL SUJETO OBLIGADO</w:t>
      </w:r>
      <w:r w:rsidDel="00000000" w:rsidR="00000000" w:rsidRPr="00000000">
        <w:rPr>
          <w:rFonts w:ascii="Palatino Linotype" w:cs="Palatino Linotype" w:eastAsia="Palatino Linotype" w:hAnsi="Palatino Linotype"/>
          <w:sz w:val="24"/>
          <w:szCs w:val="24"/>
          <w:rtl w:val="0"/>
        </w:rPr>
        <w:t xml:space="preserve">, solicitud de acceso a la información pública, registrada bajo el número de expediente</w:t>
      </w:r>
      <w:r w:rsidDel="00000000" w:rsidR="00000000" w:rsidRPr="00000000">
        <w:rPr>
          <w:rFonts w:ascii="Palatino Linotype" w:cs="Palatino Linotype" w:eastAsia="Palatino Linotype" w:hAnsi="Palatino Linotype"/>
          <w:b w:val="1"/>
          <w:color w:val="ff0000"/>
          <w:rtl w:val="0"/>
        </w:rPr>
        <w:t xml:space="preserve"> </w:t>
      </w:r>
      <w:r w:rsidDel="00000000" w:rsidR="00000000" w:rsidRPr="00000000">
        <w:rPr>
          <w:rFonts w:ascii="Palatino Linotype" w:cs="Palatino Linotype" w:eastAsia="Palatino Linotype" w:hAnsi="Palatino Linotype"/>
          <w:b w:val="1"/>
          <w:sz w:val="24"/>
          <w:szCs w:val="24"/>
          <w:rtl w:val="0"/>
        </w:rPr>
        <w:t xml:space="preserve">00065/ALMORI/IP/2023</w:t>
      </w:r>
      <w:r w:rsidDel="00000000" w:rsidR="00000000" w:rsidRPr="00000000">
        <w:rPr>
          <w:rFonts w:ascii="Palatino Linotype" w:cs="Palatino Linotype" w:eastAsia="Palatino Linotype" w:hAnsi="Palatino Linotype"/>
          <w:sz w:val="24"/>
          <w:szCs w:val="24"/>
          <w:rtl w:val="0"/>
        </w:rPr>
        <w:t xml:space="preserve">,</w:t>
      </w:r>
      <w:r w:rsidDel="00000000" w:rsidR="00000000" w:rsidRPr="00000000">
        <w:rPr>
          <w:rFonts w:ascii="Palatino Linotype" w:cs="Palatino Linotype" w:eastAsia="Palatino Linotype" w:hAnsi="Palatino Linotype"/>
          <w:b w:val="1"/>
          <w:sz w:val="24"/>
          <w:szCs w:val="24"/>
          <w:rtl w:val="0"/>
        </w:rPr>
        <w:t xml:space="preserve"> </w:t>
      </w:r>
      <w:r w:rsidDel="00000000" w:rsidR="00000000" w:rsidRPr="00000000">
        <w:rPr>
          <w:rFonts w:ascii="Palatino Linotype" w:cs="Palatino Linotype" w:eastAsia="Palatino Linotype" w:hAnsi="Palatino Linotype"/>
          <w:sz w:val="24"/>
          <w:szCs w:val="24"/>
          <w:rtl w:val="0"/>
        </w:rPr>
        <w:t xml:space="preserve">mediante la cual solicitó la siguiente información:</w:t>
      </w:r>
    </w:p>
    <w:p w:rsidR="00000000" w:rsidDel="00000000" w:rsidP="00000000" w:rsidRDefault="00000000" w:rsidRPr="00000000" w14:paraId="00000008">
      <w:pPr>
        <w:spacing w:after="0" w:line="360" w:lineRule="auto"/>
        <w:ind w:right="49"/>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09">
      <w:pPr>
        <w:spacing w:after="0" w:line="276" w:lineRule="auto"/>
        <w:ind w:left="709" w:right="758" w:firstLine="0"/>
        <w:jc w:val="both"/>
        <w:rPr>
          <w:rFonts w:ascii="Palatino Linotype" w:cs="Palatino Linotype" w:eastAsia="Palatino Linotype" w:hAnsi="Palatino Linotype"/>
          <w:i w:val="1"/>
          <w:color w:val="000000"/>
        </w:rPr>
      </w:pPr>
      <w:r w:rsidDel="00000000" w:rsidR="00000000" w:rsidRPr="00000000">
        <w:rPr>
          <w:rFonts w:ascii="Palatino Linotype" w:cs="Palatino Linotype" w:eastAsia="Palatino Linotype" w:hAnsi="Palatino Linotype"/>
          <w:i w:val="1"/>
          <w:color w:val="000000"/>
          <w:rtl w:val="0"/>
        </w:rPr>
        <w:t xml:space="preserve">“Deseo obtener información acerca del estatus de la Lic. Anabell Delgadillo Hernández, desde que fecha se encuentra laborando como Titular de la Unidad Académica de la UDEMEX en el municipio de Almoloya del Río, así como si se encuentra activa dentro de la plantilla de personal dentro del Ayuntamiento de Almoloya del Río o que tipo de plaza ocupa, al mismo tiempo saber si a la fecha sigue prestando sus servicios para la Unidad Acdémica o el Municipio antes mencionado, y su jornada laboral.” (Sic).</w:t>
      </w:r>
    </w:p>
    <w:p w:rsidR="00000000" w:rsidDel="00000000" w:rsidP="00000000" w:rsidRDefault="00000000" w:rsidRPr="00000000" w14:paraId="0000000A">
      <w:pPr>
        <w:spacing w:after="0" w:line="276" w:lineRule="auto"/>
        <w:ind w:left="709" w:right="758" w:firstLine="0"/>
        <w:jc w:val="both"/>
        <w:rPr>
          <w:rFonts w:ascii="Palatino Linotype" w:cs="Palatino Linotype" w:eastAsia="Palatino Linotype" w:hAnsi="Palatino Linotype"/>
          <w:i w:val="1"/>
          <w:color w:val="000000"/>
        </w:rPr>
      </w:pPr>
      <w:r w:rsidDel="00000000" w:rsidR="00000000" w:rsidRPr="00000000">
        <w:rPr>
          <w:rtl w:val="0"/>
        </w:rPr>
      </w:r>
    </w:p>
    <w:p w:rsidR="00000000" w:rsidDel="00000000" w:rsidP="00000000" w:rsidRDefault="00000000" w:rsidRPr="00000000" w14:paraId="0000000B">
      <w:pPr>
        <w:spacing w:after="0"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Modalidad de entrega: A través del </w:t>
      </w:r>
      <w:r w:rsidDel="00000000" w:rsidR="00000000" w:rsidRPr="00000000">
        <w:rPr>
          <w:rFonts w:ascii="Palatino Linotype" w:cs="Palatino Linotype" w:eastAsia="Palatino Linotype" w:hAnsi="Palatino Linotype"/>
          <w:b w:val="1"/>
          <w:sz w:val="24"/>
          <w:szCs w:val="24"/>
          <w:rtl w:val="0"/>
        </w:rPr>
        <w:t xml:space="preserve">SAIMEX</w:t>
      </w:r>
      <w:r w:rsidDel="00000000" w:rsidR="00000000" w:rsidRPr="00000000">
        <w:rPr>
          <w:rFonts w:ascii="Palatino Linotype" w:cs="Palatino Linotype" w:eastAsia="Palatino Linotype" w:hAnsi="Palatino Linotype"/>
          <w:sz w:val="24"/>
          <w:szCs w:val="24"/>
          <w:rtl w:val="0"/>
        </w:rPr>
        <w:t xml:space="preserve">.</w:t>
      </w:r>
    </w:p>
    <w:p w:rsidR="00000000" w:rsidDel="00000000" w:rsidP="00000000" w:rsidRDefault="00000000" w:rsidRPr="00000000" w14:paraId="0000000C">
      <w:pPr>
        <w:spacing w:after="0" w:line="360" w:lineRule="auto"/>
        <w:ind w:right="49"/>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0D">
      <w:pPr>
        <w:spacing w:after="0" w:line="360" w:lineRule="auto"/>
        <w:jc w:val="both"/>
        <w:rPr>
          <w:rFonts w:ascii="Palatino Linotype" w:cs="Palatino Linotype" w:eastAsia="Palatino Linotype" w:hAnsi="Palatino Linotype"/>
          <w:b w:val="1"/>
          <w:sz w:val="24"/>
          <w:szCs w:val="24"/>
        </w:rPr>
      </w:pPr>
      <w:r w:rsidDel="00000000" w:rsidR="00000000" w:rsidRPr="00000000">
        <w:rPr>
          <w:rFonts w:ascii="Palatino Linotype" w:cs="Palatino Linotype" w:eastAsia="Palatino Linotype" w:hAnsi="Palatino Linotype"/>
          <w:b w:val="1"/>
          <w:sz w:val="24"/>
          <w:szCs w:val="24"/>
          <w:rtl w:val="0"/>
        </w:rPr>
        <w:t xml:space="preserve">2. RESPUESTA. </w:t>
      </w:r>
      <w:r w:rsidDel="00000000" w:rsidR="00000000" w:rsidRPr="00000000">
        <w:rPr>
          <w:rFonts w:ascii="Palatino Linotype" w:cs="Palatino Linotype" w:eastAsia="Palatino Linotype" w:hAnsi="Palatino Linotype"/>
          <w:sz w:val="24"/>
          <w:szCs w:val="24"/>
          <w:rtl w:val="0"/>
        </w:rPr>
        <w:t xml:space="preserve">De las constancias que obran en </w:t>
      </w:r>
      <w:r w:rsidDel="00000000" w:rsidR="00000000" w:rsidRPr="00000000">
        <w:rPr>
          <w:rFonts w:ascii="Palatino Linotype" w:cs="Palatino Linotype" w:eastAsia="Palatino Linotype" w:hAnsi="Palatino Linotype"/>
          <w:b w:val="1"/>
          <w:sz w:val="24"/>
          <w:szCs w:val="24"/>
          <w:rtl w:val="0"/>
        </w:rPr>
        <w:t xml:space="preserve">SAIMEX</w:t>
      </w:r>
      <w:r w:rsidDel="00000000" w:rsidR="00000000" w:rsidRPr="00000000">
        <w:rPr>
          <w:rFonts w:ascii="Palatino Linotype" w:cs="Palatino Linotype" w:eastAsia="Palatino Linotype" w:hAnsi="Palatino Linotype"/>
          <w:sz w:val="24"/>
          <w:szCs w:val="24"/>
          <w:rtl w:val="0"/>
        </w:rPr>
        <w:t xml:space="preserve">, se observa que </w:t>
      </w:r>
      <w:r w:rsidDel="00000000" w:rsidR="00000000" w:rsidRPr="00000000">
        <w:rPr>
          <w:rFonts w:ascii="Palatino Linotype" w:cs="Palatino Linotype" w:eastAsia="Palatino Linotype" w:hAnsi="Palatino Linotype"/>
          <w:b w:val="1"/>
          <w:sz w:val="24"/>
          <w:szCs w:val="24"/>
          <w:rtl w:val="0"/>
        </w:rPr>
        <w:t xml:space="preserve">EL SUJETO OBLIGADO </w:t>
      </w:r>
      <w:r w:rsidDel="00000000" w:rsidR="00000000" w:rsidRPr="00000000">
        <w:rPr>
          <w:rFonts w:ascii="Palatino Linotype" w:cs="Palatino Linotype" w:eastAsia="Palatino Linotype" w:hAnsi="Palatino Linotype"/>
          <w:sz w:val="24"/>
          <w:szCs w:val="24"/>
          <w:rtl w:val="0"/>
        </w:rPr>
        <w:t xml:space="preserve">no emitió respuesta a la solicitud de información formulada por </w:t>
      </w:r>
      <w:r w:rsidDel="00000000" w:rsidR="00000000" w:rsidRPr="00000000">
        <w:rPr>
          <w:rFonts w:ascii="Palatino Linotype" w:cs="Palatino Linotype" w:eastAsia="Palatino Linotype" w:hAnsi="Palatino Linotype"/>
          <w:b w:val="1"/>
          <w:sz w:val="24"/>
          <w:szCs w:val="24"/>
          <w:rtl w:val="0"/>
        </w:rPr>
        <w:t xml:space="preserve">LA PARTE  RECURRENTE.</w:t>
      </w:r>
    </w:p>
    <w:p w:rsidR="00000000" w:rsidDel="00000000" w:rsidP="00000000" w:rsidRDefault="00000000" w:rsidRPr="00000000" w14:paraId="0000000E">
      <w:pPr>
        <w:spacing w:after="0" w:line="360" w:lineRule="auto"/>
        <w:ind w:right="-234"/>
        <w:jc w:val="both"/>
        <w:rPr>
          <w:rFonts w:ascii="Palatino Linotype" w:cs="Palatino Linotype" w:eastAsia="Palatino Linotype" w:hAnsi="Palatino Linotype"/>
          <w:b w:val="1"/>
          <w:color w:val="000000"/>
          <w:sz w:val="24"/>
          <w:szCs w:val="24"/>
        </w:rPr>
      </w:pPr>
      <w:r w:rsidDel="00000000" w:rsidR="00000000" w:rsidRPr="00000000">
        <w:rPr>
          <w:rtl w:val="0"/>
        </w:rPr>
      </w:r>
    </w:p>
    <w:p w:rsidR="00000000" w:rsidDel="00000000" w:rsidP="00000000" w:rsidRDefault="00000000" w:rsidRPr="00000000" w14:paraId="0000000F">
      <w:pPr>
        <w:spacing w:after="0" w:line="360" w:lineRule="auto"/>
        <w:ind w:right="-234"/>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b w:val="1"/>
          <w:color w:val="000000"/>
          <w:sz w:val="24"/>
          <w:szCs w:val="24"/>
          <w:rtl w:val="0"/>
        </w:rPr>
        <w:t xml:space="preserve">3. INTERPOSICIÓN DEL RECURSO DE REVISIÓN. </w:t>
      </w:r>
      <w:r w:rsidDel="00000000" w:rsidR="00000000" w:rsidRPr="00000000">
        <w:rPr>
          <w:rFonts w:ascii="Palatino Linotype" w:cs="Palatino Linotype" w:eastAsia="Palatino Linotype" w:hAnsi="Palatino Linotype"/>
          <w:color w:val="000000"/>
          <w:sz w:val="24"/>
          <w:szCs w:val="24"/>
          <w:rtl w:val="0"/>
        </w:rPr>
        <w:t xml:space="preserve">Inconforme con la falta de respuesta del</w:t>
      </w:r>
      <w:r w:rsidDel="00000000" w:rsidR="00000000" w:rsidRPr="00000000">
        <w:rPr>
          <w:rFonts w:ascii="Palatino Linotype" w:cs="Palatino Linotype" w:eastAsia="Palatino Linotype" w:hAnsi="Palatino Linotype"/>
          <w:b w:val="1"/>
          <w:color w:val="000000"/>
          <w:sz w:val="24"/>
          <w:szCs w:val="24"/>
          <w:rtl w:val="0"/>
        </w:rPr>
        <w:t xml:space="preserve"> SUJETO OBLIGADO, </w:t>
      </w:r>
      <w:r w:rsidDel="00000000" w:rsidR="00000000" w:rsidRPr="00000000">
        <w:rPr>
          <w:rFonts w:ascii="Palatino Linotype" w:cs="Palatino Linotype" w:eastAsia="Palatino Linotype" w:hAnsi="Palatino Linotype"/>
          <w:color w:val="000000"/>
          <w:sz w:val="24"/>
          <w:szCs w:val="24"/>
          <w:rtl w:val="0"/>
        </w:rPr>
        <w:t xml:space="preserve">en fecha </w:t>
      </w:r>
      <w:r w:rsidDel="00000000" w:rsidR="00000000" w:rsidRPr="00000000">
        <w:rPr>
          <w:rFonts w:ascii="Palatino Linotype" w:cs="Palatino Linotype" w:eastAsia="Palatino Linotype" w:hAnsi="Palatino Linotype"/>
          <w:b w:val="1"/>
          <w:color w:val="000000"/>
          <w:sz w:val="24"/>
          <w:szCs w:val="24"/>
          <w:rtl w:val="0"/>
        </w:rPr>
        <w:t xml:space="preserve">siete de noviembre de dos mil veintitrés</w:t>
      </w:r>
      <w:r w:rsidDel="00000000" w:rsidR="00000000" w:rsidRPr="00000000">
        <w:rPr>
          <w:rFonts w:ascii="Palatino Linotype" w:cs="Palatino Linotype" w:eastAsia="Palatino Linotype" w:hAnsi="Palatino Linotype"/>
          <w:color w:val="000000"/>
          <w:sz w:val="24"/>
          <w:szCs w:val="24"/>
          <w:rtl w:val="0"/>
        </w:rPr>
        <w:t xml:space="preserve">,</w:t>
      </w:r>
      <w:r w:rsidDel="00000000" w:rsidR="00000000" w:rsidRPr="00000000">
        <w:rPr>
          <w:rFonts w:ascii="Palatino Linotype" w:cs="Palatino Linotype" w:eastAsia="Palatino Linotype" w:hAnsi="Palatino Linotype"/>
          <w:b w:val="1"/>
          <w:color w:val="000000"/>
          <w:sz w:val="24"/>
          <w:szCs w:val="24"/>
          <w:rtl w:val="0"/>
        </w:rPr>
        <w:t xml:space="preserve"> LA PARTE RECURRENTE </w:t>
      </w:r>
      <w:r w:rsidDel="00000000" w:rsidR="00000000" w:rsidRPr="00000000">
        <w:rPr>
          <w:rFonts w:ascii="Palatino Linotype" w:cs="Palatino Linotype" w:eastAsia="Palatino Linotype" w:hAnsi="Palatino Linotype"/>
          <w:color w:val="000000"/>
          <w:sz w:val="24"/>
          <w:szCs w:val="24"/>
          <w:rtl w:val="0"/>
        </w:rPr>
        <w:t xml:space="preserve">interpuso el recurso de revisión, el cual fue registrado</w:t>
      </w:r>
      <w:r w:rsidDel="00000000" w:rsidR="00000000" w:rsidRPr="00000000">
        <w:rPr>
          <w:rFonts w:ascii="Palatino Linotype" w:cs="Palatino Linotype" w:eastAsia="Palatino Linotype" w:hAnsi="Palatino Linotype"/>
          <w:b w:val="1"/>
          <w:color w:val="000000"/>
          <w:sz w:val="24"/>
          <w:szCs w:val="24"/>
          <w:rtl w:val="0"/>
        </w:rPr>
        <w:t xml:space="preserve"> </w:t>
      </w:r>
      <w:r w:rsidDel="00000000" w:rsidR="00000000" w:rsidRPr="00000000">
        <w:rPr>
          <w:rFonts w:ascii="Palatino Linotype" w:cs="Palatino Linotype" w:eastAsia="Palatino Linotype" w:hAnsi="Palatino Linotype"/>
          <w:color w:val="000000"/>
          <w:sz w:val="24"/>
          <w:szCs w:val="24"/>
          <w:rtl w:val="0"/>
        </w:rPr>
        <w:t xml:space="preserve">en el sistema electrónico con el expediente número </w:t>
      </w:r>
      <w:r w:rsidDel="00000000" w:rsidR="00000000" w:rsidRPr="00000000">
        <w:rPr>
          <w:rFonts w:ascii="Palatino Linotype" w:cs="Palatino Linotype" w:eastAsia="Palatino Linotype" w:hAnsi="Palatino Linotype"/>
          <w:b w:val="1"/>
          <w:color w:val="000000"/>
          <w:sz w:val="24"/>
          <w:szCs w:val="24"/>
          <w:rtl w:val="0"/>
        </w:rPr>
        <w:t xml:space="preserve">07754/INFOEM/IP/RR/2023</w:t>
      </w:r>
      <w:r w:rsidDel="00000000" w:rsidR="00000000" w:rsidRPr="00000000">
        <w:rPr>
          <w:rFonts w:ascii="Palatino Linotype" w:cs="Palatino Linotype" w:eastAsia="Palatino Linotype" w:hAnsi="Palatino Linotype"/>
          <w:color w:val="000000"/>
          <w:sz w:val="24"/>
          <w:szCs w:val="24"/>
          <w:rtl w:val="0"/>
        </w:rPr>
        <w:t xml:space="preserve">, en el cual manifiesta, lo siguiente:</w:t>
      </w:r>
    </w:p>
    <w:p w:rsidR="00000000" w:rsidDel="00000000" w:rsidP="00000000" w:rsidRDefault="00000000" w:rsidRPr="00000000" w14:paraId="00000010">
      <w:pPr>
        <w:spacing w:after="0" w:line="360" w:lineRule="auto"/>
        <w:ind w:right="-234"/>
        <w:jc w:val="both"/>
        <w:rPr>
          <w:rFonts w:ascii="Palatino Linotype" w:cs="Palatino Linotype" w:eastAsia="Palatino Linotype" w:hAnsi="Palatino Linotype"/>
          <w:b w:val="1"/>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 </w:t>
      </w:r>
      <w:r w:rsidDel="00000000" w:rsidR="00000000" w:rsidRPr="00000000">
        <w:rPr>
          <w:rtl w:val="0"/>
        </w:rPr>
      </w:r>
    </w:p>
    <w:p w:rsidR="00000000" w:rsidDel="00000000" w:rsidP="00000000" w:rsidRDefault="00000000" w:rsidRPr="00000000" w14:paraId="00000011">
      <w:pPr>
        <w:numPr>
          <w:ilvl w:val="0"/>
          <w:numId w:val="1"/>
        </w:numPr>
        <w:pBdr>
          <w:top w:space="0" w:sz="0" w:val="nil"/>
          <w:left w:space="0" w:sz="0" w:val="nil"/>
          <w:bottom w:space="0" w:sz="0" w:val="nil"/>
          <w:right w:space="0" w:sz="0" w:val="nil"/>
          <w:between w:space="0" w:sz="0" w:val="nil"/>
        </w:pBdr>
        <w:spacing w:after="240" w:line="360" w:lineRule="auto"/>
        <w:ind w:left="720" w:hanging="360"/>
        <w:jc w:val="both"/>
        <w:rPr>
          <w:rFonts w:ascii="Palatino Linotype" w:cs="Palatino Linotype" w:eastAsia="Palatino Linotype" w:hAnsi="Palatino Linotype"/>
          <w:b w:val="1"/>
          <w:i w:val="1"/>
          <w:color w:val="000000"/>
          <w:sz w:val="24"/>
          <w:szCs w:val="24"/>
        </w:rPr>
      </w:pPr>
      <w:r w:rsidDel="00000000" w:rsidR="00000000" w:rsidRPr="00000000">
        <w:rPr>
          <w:rFonts w:ascii="Palatino Linotype" w:cs="Palatino Linotype" w:eastAsia="Palatino Linotype" w:hAnsi="Palatino Linotype"/>
          <w:b w:val="1"/>
          <w:i w:val="1"/>
          <w:color w:val="000000"/>
          <w:sz w:val="24"/>
          <w:szCs w:val="24"/>
          <w:rtl w:val="0"/>
        </w:rPr>
        <w:t xml:space="preserve">Acto Impugnado:</w:t>
      </w:r>
    </w:p>
    <w:p w:rsidR="00000000" w:rsidDel="00000000" w:rsidP="00000000" w:rsidRDefault="00000000" w:rsidRPr="00000000" w14:paraId="00000012">
      <w:pPr>
        <w:tabs>
          <w:tab w:val="left" w:leader="none" w:pos="8222"/>
        </w:tabs>
        <w:spacing w:after="240" w:before="240" w:line="276" w:lineRule="auto"/>
        <w:ind w:left="851" w:right="616" w:firstLine="0"/>
        <w:jc w:val="both"/>
        <w:rPr>
          <w:rFonts w:ascii="Palatino Linotype" w:cs="Palatino Linotype" w:eastAsia="Palatino Linotype" w:hAnsi="Palatino Linotype"/>
          <w:i w:val="1"/>
          <w:color w:val="000000"/>
        </w:rPr>
      </w:pPr>
      <w:r w:rsidDel="00000000" w:rsidR="00000000" w:rsidRPr="00000000">
        <w:rPr>
          <w:rFonts w:ascii="Palatino Linotype" w:cs="Palatino Linotype" w:eastAsia="Palatino Linotype" w:hAnsi="Palatino Linotype"/>
          <w:i w:val="1"/>
          <w:color w:val="000000"/>
          <w:rtl w:val="0"/>
        </w:rPr>
        <w:t xml:space="preserve">“SOLICITUD DE INFORMACIÓN NO ATENDIDA.” [sic]</w:t>
      </w:r>
    </w:p>
    <w:p w:rsidR="00000000" w:rsidDel="00000000" w:rsidP="00000000" w:rsidRDefault="00000000" w:rsidRPr="00000000" w14:paraId="00000013">
      <w:pPr>
        <w:numPr>
          <w:ilvl w:val="0"/>
          <w:numId w:val="1"/>
        </w:numPr>
        <w:pBdr>
          <w:top w:space="0" w:sz="0" w:val="nil"/>
          <w:left w:space="0" w:sz="0" w:val="nil"/>
          <w:bottom w:space="0" w:sz="0" w:val="nil"/>
          <w:right w:space="0" w:sz="0" w:val="nil"/>
          <w:between w:space="0" w:sz="0" w:val="nil"/>
        </w:pBdr>
        <w:spacing w:after="240" w:before="240" w:line="360" w:lineRule="auto"/>
        <w:ind w:left="720" w:hanging="360"/>
        <w:rPr>
          <w:rFonts w:ascii="Palatino Linotype" w:cs="Palatino Linotype" w:eastAsia="Palatino Linotype" w:hAnsi="Palatino Linotype"/>
          <w:i w:val="1"/>
          <w:color w:val="000000"/>
          <w:sz w:val="24"/>
          <w:szCs w:val="24"/>
        </w:rPr>
      </w:pPr>
      <w:r w:rsidDel="00000000" w:rsidR="00000000" w:rsidRPr="00000000">
        <w:rPr>
          <w:rFonts w:ascii="Palatino Linotype" w:cs="Palatino Linotype" w:eastAsia="Palatino Linotype" w:hAnsi="Palatino Linotype"/>
          <w:b w:val="1"/>
          <w:i w:val="1"/>
          <w:color w:val="000000"/>
          <w:sz w:val="24"/>
          <w:szCs w:val="24"/>
          <w:rtl w:val="0"/>
        </w:rPr>
        <w:t xml:space="preserve">Razones o Motivos de Inconformidad</w:t>
      </w:r>
      <w:r w:rsidDel="00000000" w:rsidR="00000000" w:rsidRPr="00000000">
        <w:rPr>
          <w:rFonts w:ascii="Palatino Linotype" w:cs="Palatino Linotype" w:eastAsia="Palatino Linotype" w:hAnsi="Palatino Linotype"/>
          <w:i w:val="1"/>
          <w:color w:val="000000"/>
          <w:sz w:val="24"/>
          <w:szCs w:val="24"/>
          <w:rtl w:val="0"/>
        </w:rPr>
        <w:t xml:space="preserve">:</w:t>
      </w:r>
    </w:p>
    <w:p w:rsidR="00000000" w:rsidDel="00000000" w:rsidP="00000000" w:rsidRDefault="00000000" w:rsidRPr="00000000" w14:paraId="00000014">
      <w:pPr>
        <w:spacing w:after="0" w:before="240" w:line="276" w:lineRule="auto"/>
        <w:ind w:left="851" w:right="616" w:firstLine="0"/>
        <w:jc w:val="both"/>
        <w:rPr>
          <w:rFonts w:ascii="Palatino Linotype" w:cs="Palatino Linotype" w:eastAsia="Palatino Linotype" w:hAnsi="Palatino Linotype"/>
          <w:i w:val="1"/>
          <w:color w:val="000000"/>
        </w:rPr>
      </w:pPr>
      <w:r w:rsidDel="00000000" w:rsidR="00000000" w:rsidRPr="00000000">
        <w:rPr>
          <w:rFonts w:ascii="Palatino Linotype" w:cs="Palatino Linotype" w:eastAsia="Palatino Linotype" w:hAnsi="Palatino Linotype"/>
          <w:i w:val="1"/>
          <w:color w:val="000000"/>
          <w:sz w:val="24"/>
          <w:szCs w:val="24"/>
          <w:rtl w:val="0"/>
        </w:rPr>
        <w:t xml:space="preserve">“</w:t>
      </w:r>
      <w:r w:rsidDel="00000000" w:rsidR="00000000" w:rsidRPr="00000000">
        <w:rPr>
          <w:rFonts w:ascii="Palatino Linotype" w:cs="Palatino Linotype" w:eastAsia="Palatino Linotype" w:hAnsi="Palatino Linotype"/>
          <w:i w:val="1"/>
          <w:color w:val="000000"/>
          <w:rtl w:val="0"/>
        </w:rPr>
        <w:t xml:space="preserve">NO SE ME HA DADO RESPUESTA A LA SOLICITUD ELABORADA AL AYUNTAMIENTO DE ALMOLOYA DEL RÍO EN LA FECHA LÍMITE DE RESPUESTA ESTABLECIDA LA CUAL FUE EL 06/11/2023, RESPECTO DE LA TITULAR DE LA UNIDAD ACADÉMICA DE LA UNIVERSIDAD DIGITAL DEL ESTADO DE MÉXICO, UNIDAD DEPENDIENTE DEL AYUNTAMIENTO DE ALMOLOYA DEL RÍO.” [sic]</w:t>
      </w:r>
    </w:p>
    <w:p w:rsidR="00000000" w:rsidDel="00000000" w:rsidP="00000000" w:rsidRDefault="00000000" w:rsidRPr="00000000" w14:paraId="00000015">
      <w:pPr>
        <w:rPr/>
      </w:pPr>
      <w:r w:rsidDel="00000000" w:rsidR="00000000" w:rsidRPr="00000000">
        <w:rPr>
          <w:rtl w:val="0"/>
        </w:rPr>
      </w:r>
    </w:p>
    <w:p w:rsidR="00000000" w:rsidDel="00000000" w:rsidP="00000000" w:rsidRDefault="00000000" w:rsidRPr="00000000" w14:paraId="00000016">
      <w:pPr>
        <w:spacing w:after="0" w:line="360" w:lineRule="auto"/>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b w:val="1"/>
          <w:color w:val="000000"/>
          <w:sz w:val="24"/>
          <w:szCs w:val="24"/>
          <w:rtl w:val="0"/>
        </w:rPr>
        <w:t xml:space="preserve">4. TURNO. </w:t>
      </w:r>
      <w:r w:rsidDel="00000000" w:rsidR="00000000" w:rsidRPr="00000000">
        <w:rPr>
          <w:rFonts w:ascii="Palatino Linotype" w:cs="Palatino Linotype" w:eastAsia="Palatino Linotype" w:hAnsi="Palatino Linotype"/>
          <w:color w:val="000000"/>
          <w:sz w:val="24"/>
          <w:szCs w:val="24"/>
          <w:rtl w:val="0"/>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Del="00000000" w:rsidR="00000000" w:rsidRPr="00000000">
        <w:rPr>
          <w:rFonts w:ascii="Palatino Linotype" w:cs="Palatino Linotype" w:eastAsia="Palatino Linotype" w:hAnsi="Palatino Linotype"/>
          <w:b w:val="1"/>
          <w:color w:val="000000"/>
          <w:sz w:val="24"/>
          <w:szCs w:val="24"/>
          <w:rtl w:val="0"/>
        </w:rPr>
        <w:t xml:space="preserve">Guadalupe Ramírez Peña, </w:t>
      </w:r>
      <w:r w:rsidDel="00000000" w:rsidR="00000000" w:rsidRPr="00000000">
        <w:rPr>
          <w:rFonts w:ascii="Palatino Linotype" w:cs="Palatino Linotype" w:eastAsia="Palatino Linotype" w:hAnsi="Palatino Linotype"/>
          <w:color w:val="000000"/>
          <w:sz w:val="24"/>
          <w:szCs w:val="24"/>
          <w:rtl w:val="0"/>
        </w:rPr>
        <w:t xml:space="preserve">a efecto de que analizara sobre su admisión o su desechamiento.</w:t>
      </w:r>
    </w:p>
    <w:p w:rsidR="00000000" w:rsidDel="00000000" w:rsidP="00000000" w:rsidRDefault="00000000" w:rsidRPr="00000000" w14:paraId="00000017">
      <w:pPr>
        <w:spacing w:after="0" w:line="360" w:lineRule="auto"/>
        <w:jc w:val="both"/>
        <w:rPr>
          <w:rFonts w:ascii="Palatino Linotype" w:cs="Palatino Linotype" w:eastAsia="Palatino Linotype" w:hAnsi="Palatino Linotype"/>
          <w:color w:val="000000"/>
          <w:sz w:val="24"/>
          <w:szCs w:val="24"/>
        </w:rPr>
      </w:pPr>
      <w:r w:rsidDel="00000000" w:rsidR="00000000" w:rsidRPr="00000000">
        <w:rPr>
          <w:rtl w:val="0"/>
        </w:rPr>
      </w:r>
    </w:p>
    <w:p w:rsidR="00000000" w:rsidDel="00000000" w:rsidP="00000000" w:rsidRDefault="00000000" w:rsidRPr="00000000" w14:paraId="00000018">
      <w:pPr>
        <w:spacing w:after="0" w:line="360" w:lineRule="auto"/>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b w:val="1"/>
          <w:color w:val="000000"/>
          <w:sz w:val="24"/>
          <w:szCs w:val="24"/>
          <w:rtl w:val="0"/>
        </w:rPr>
        <w:t xml:space="preserve">5. ADMISIÓN DEL RECURSO DE REVISIÓN.</w:t>
      </w:r>
      <w:r w:rsidDel="00000000" w:rsidR="00000000" w:rsidRPr="00000000">
        <w:rPr>
          <w:rFonts w:ascii="Palatino Linotype" w:cs="Palatino Linotype" w:eastAsia="Palatino Linotype" w:hAnsi="Palatino Linotype"/>
          <w:color w:val="000000"/>
          <w:sz w:val="24"/>
          <w:szCs w:val="24"/>
          <w:rtl w:val="0"/>
        </w:rPr>
        <w:t xml:space="preserve"> Con fecha</w:t>
      </w:r>
      <w:r w:rsidDel="00000000" w:rsidR="00000000" w:rsidRPr="00000000">
        <w:rPr>
          <w:rFonts w:ascii="Palatino Linotype" w:cs="Palatino Linotype" w:eastAsia="Palatino Linotype" w:hAnsi="Palatino Linotype"/>
          <w:b w:val="1"/>
          <w:color w:val="000000"/>
          <w:sz w:val="24"/>
          <w:szCs w:val="24"/>
          <w:rtl w:val="0"/>
        </w:rPr>
        <w:t xml:space="preserve"> diez de noviembre de dos mil veintitrés, </w:t>
      </w:r>
      <w:r w:rsidDel="00000000" w:rsidR="00000000" w:rsidRPr="00000000">
        <w:rPr>
          <w:rFonts w:ascii="Palatino Linotype" w:cs="Palatino Linotype" w:eastAsia="Palatino Linotype" w:hAnsi="Palatino Linotype"/>
          <w:color w:val="000000"/>
          <w:sz w:val="24"/>
          <w:szCs w:val="24"/>
          <w:rtl w:val="0"/>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Del="00000000" w:rsidR="00000000" w:rsidRPr="00000000">
        <w:rPr>
          <w:rFonts w:ascii="Palatino Linotype" w:cs="Palatino Linotype" w:eastAsia="Palatino Linotype" w:hAnsi="Palatino Linotype"/>
          <w:b w:val="1"/>
          <w:color w:val="000000"/>
          <w:sz w:val="24"/>
          <w:szCs w:val="24"/>
          <w:rtl w:val="0"/>
        </w:rPr>
        <w:t xml:space="preserve">SUJETO OBLIGADO </w:t>
      </w:r>
      <w:r w:rsidDel="00000000" w:rsidR="00000000" w:rsidRPr="00000000">
        <w:rPr>
          <w:rFonts w:ascii="Palatino Linotype" w:cs="Palatino Linotype" w:eastAsia="Palatino Linotype" w:hAnsi="Palatino Linotype"/>
          <w:color w:val="000000"/>
          <w:sz w:val="24"/>
          <w:szCs w:val="24"/>
          <w:rtl w:val="0"/>
        </w:rPr>
        <w:t xml:space="preserve">presentará su informe justificado.</w:t>
      </w:r>
    </w:p>
    <w:p w:rsidR="00000000" w:rsidDel="00000000" w:rsidP="00000000" w:rsidRDefault="00000000" w:rsidRPr="00000000" w14:paraId="00000019">
      <w:pPr>
        <w:rPr/>
      </w:pPr>
      <w:r w:rsidDel="00000000" w:rsidR="00000000" w:rsidRPr="00000000">
        <w:rPr>
          <w:rtl w:val="0"/>
        </w:rPr>
      </w:r>
    </w:p>
    <w:p w:rsidR="00000000" w:rsidDel="00000000" w:rsidP="00000000" w:rsidRDefault="00000000" w:rsidRPr="00000000" w14:paraId="0000001A">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sz w:val="24"/>
          <w:szCs w:val="24"/>
          <w:rtl w:val="0"/>
        </w:rPr>
        <w:t xml:space="preserve">6. MANIFESTACIONES</w:t>
      </w:r>
      <w:r w:rsidDel="00000000" w:rsidR="00000000" w:rsidRPr="00000000">
        <w:rPr>
          <w:rFonts w:ascii="Palatino Linotype" w:cs="Palatino Linotype" w:eastAsia="Palatino Linotype" w:hAnsi="Palatino Linotype"/>
          <w:sz w:val="24"/>
          <w:szCs w:val="24"/>
          <w:rtl w:val="0"/>
        </w:rPr>
        <w:t xml:space="preserve">. </w:t>
      </w:r>
      <w:r w:rsidDel="00000000" w:rsidR="00000000" w:rsidRPr="00000000">
        <w:rPr>
          <w:rFonts w:ascii="Palatino Linotype" w:cs="Palatino Linotype" w:eastAsia="Palatino Linotype" w:hAnsi="Palatino Linotype"/>
          <w:b w:val="1"/>
          <w:sz w:val="24"/>
          <w:szCs w:val="24"/>
          <w:rtl w:val="0"/>
        </w:rPr>
        <w:t xml:space="preserve">EL SUJETO OBLIGADO, </w:t>
      </w:r>
      <w:r w:rsidDel="00000000" w:rsidR="00000000" w:rsidRPr="00000000">
        <w:rPr>
          <w:rFonts w:ascii="Palatino Linotype" w:cs="Palatino Linotype" w:eastAsia="Palatino Linotype" w:hAnsi="Palatino Linotype"/>
          <w:sz w:val="24"/>
          <w:szCs w:val="24"/>
          <w:rtl w:val="0"/>
        </w:rPr>
        <w:t xml:space="preserve">fue omiso </w:t>
      </w:r>
      <w:r w:rsidDel="00000000" w:rsidR="00000000" w:rsidRPr="00000000">
        <w:rPr>
          <w:rFonts w:ascii="Palatino Linotype" w:cs="Palatino Linotype" w:eastAsia="Palatino Linotype" w:hAnsi="Palatino Linotype"/>
          <w:color w:val="000000"/>
          <w:sz w:val="24"/>
          <w:szCs w:val="24"/>
          <w:rtl w:val="0"/>
        </w:rPr>
        <w:t xml:space="preserve">en rendir su informe justificado, a</w:t>
      </w:r>
      <w:r w:rsidDel="00000000" w:rsidR="00000000" w:rsidRPr="00000000">
        <w:rPr>
          <w:rFonts w:ascii="Palatino Linotype" w:cs="Palatino Linotype" w:eastAsia="Palatino Linotype" w:hAnsi="Palatino Linotype"/>
          <w:sz w:val="24"/>
          <w:szCs w:val="24"/>
          <w:rtl w:val="0"/>
        </w:rPr>
        <w:t xml:space="preserve">simismo, debe señalarse que el particular omitió emitir manifestaciones, alegatos o cualquier argumento que a su derecho conviniera, por lo que se tiene por precluido su derecho para tal efecto.</w:t>
      </w:r>
    </w:p>
    <w:p w:rsidR="00000000" w:rsidDel="00000000" w:rsidP="00000000" w:rsidRDefault="00000000" w:rsidRPr="00000000" w14:paraId="0000001B">
      <w:pPr>
        <w:rPr/>
      </w:pPr>
      <w:r w:rsidDel="00000000" w:rsidR="00000000" w:rsidRPr="00000000">
        <w:rPr/>
        <w:drawing>
          <wp:inline distB="0" distT="0" distL="0" distR="0">
            <wp:extent cx="5456281" cy="1713933"/>
            <wp:effectExtent b="0" l="0" r="0" t="0"/>
            <wp:docPr id="1" name="image1.png"/>
            <a:graphic>
              <a:graphicData uri="http://schemas.openxmlformats.org/drawingml/2006/picture">
                <pic:pic>
                  <pic:nvPicPr>
                    <pic:cNvPr id="0" name="image1.png"/>
                    <pic:cNvPicPr preferRelativeResize="0"/>
                  </pic:nvPicPr>
                  <pic:blipFill>
                    <a:blip r:embed="rId7"/>
                    <a:srcRect b="31475" l="7806" r="33301" t="35621"/>
                    <a:stretch>
                      <a:fillRect/>
                    </a:stretch>
                  </pic:blipFill>
                  <pic:spPr>
                    <a:xfrm>
                      <a:off x="0" y="0"/>
                      <a:ext cx="5456281" cy="1713933"/>
                    </a:xfrm>
                    <a:prstGeom prst="rect"/>
                    <a:ln/>
                  </pic:spPr>
                </pic:pic>
              </a:graphicData>
            </a:graphic>
          </wp:inline>
        </w:drawing>
      </w:r>
      <w:r w:rsidDel="00000000" w:rsidR="00000000" w:rsidRPr="00000000">
        <w:rPr>
          <w:rtl w:val="0"/>
        </w:rPr>
      </w:r>
    </w:p>
    <w:p w:rsidR="00000000" w:rsidDel="00000000" w:rsidP="00000000" w:rsidRDefault="00000000" w:rsidRPr="00000000" w14:paraId="0000001C">
      <w:pPr>
        <w:rPr/>
      </w:pPr>
      <w:r w:rsidDel="00000000" w:rsidR="00000000" w:rsidRPr="00000000">
        <w:rPr>
          <w:rtl w:val="0"/>
        </w:rPr>
      </w:r>
    </w:p>
    <w:p w:rsidR="00000000" w:rsidDel="00000000" w:rsidP="00000000" w:rsidRDefault="00000000" w:rsidRPr="00000000" w14:paraId="0000001D">
      <w:pPr>
        <w:spacing w:after="0" w:line="360" w:lineRule="auto"/>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b w:val="1"/>
          <w:color w:val="000000"/>
          <w:sz w:val="24"/>
          <w:szCs w:val="24"/>
          <w:rtl w:val="0"/>
        </w:rPr>
        <w:t xml:space="preserve">7. CIERRE DE INSTRUCCIÓN. </w:t>
      </w:r>
      <w:r w:rsidDel="00000000" w:rsidR="00000000" w:rsidRPr="00000000">
        <w:rPr>
          <w:rFonts w:ascii="Palatino Linotype" w:cs="Palatino Linotype" w:eastAsia="Palatino Linotype" w:hAnsi="Palatino Linotype"/>
          <w:color w:val="000000"/>
          <w:sz w:val="24"/>
          <w:szCs w:val="24"/>
          <w:rtl w:val="0"/>
        </w:rPr>
        <w:t xml:space="preserve">El </w:t>
      </w:r>
      <w:r w:rsidDel="00000000" w:rsidR="00000000" w:rsidRPr="00000000">
        <w:rPr>
          <w:rFonts w:ascii="Palatino Linotype" w:cs="Palatino Linotype" w:eastAsia="Palatino Linotype" w:hAnsi="Palatino Linotype"/>
          <w:b w:val="1"/>
          <w:color w:val="000000"/>
          <w:sz w:val="24"/>
          <w:szCs w:val="24"/>
          <w:rtl w:val="0"/>
        </w:rPr>
        <w:t xml:space="preserve">veintitrés de noviembre de dos mil veintitrés, </w:t>
      </w:r>
      <w:r w:rsidDel="00000000" w:rsidR="00000000" w:rsidRPr="00000000">
        <w:rPr>
          <w:rFonts w:ascii="Palatino Linotype" w:cs="Palatino Linotype" w:eastAsia="Palatino Linotype" w:hAnsi="Palatino Linotype"/>
          <w:color w:val="000000"/>
          <w:sz w:val="24"/>
          <w:szCs w:val="24"/>
          <w:rtl w:val="0"/>
        </w:rPr>
        <w:t xml:space="preserve">al no existir diligencias pendientes por desahogar, se emitió el acuerdo por medio del cual se declaró cerrada la instrucción y se determinó pasar el expediente a resolución, en términos del artículo 185 fracción VI y VIII de la Ley de Transparencia y Acceso a la Información Pública del Estado de México y Municipios, iniciando el término legal para dictar resolución definitiva del asunto.</w:t>
      </w:r>
    </w:p>
    <w:p w:rsidR="00000000" w:rsidDel="00000000" w:rsidP="00000000" w:rsidRDefault="00000000" w:rsidRPr="00000000" w14:paraId="0000001E">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1F">
      <w:pPr>
        <w:spacing w:after="0" w:line="360" w:lineRule="auto"/>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En razón de que fue debidamente sustanciado el expediente electrónico y no existe diligencia pendiente de desahogo, se emite la Resolución que conforme a Derecho proceda, de acuerdo con los siguientes:</w:t>
      </w:r>
    </w:p>
    <w:p w:rsidR="00000000" w:rsidDel="00000000" w:rsidP="00000000" w:rsidRDefault="00000000" w:rsidRPr="00000000" w14:paraId="00000020">
      <w:pPr>
        <w:rPr/>
      </w:pPr>
      <w:r w:rsidDel="00000000" w:rsidR="00000000" w:rsidRPr="00000000">
        <w:rPr>
          <w:rtl w:val="0"/>
        </w:rPr>
      </w:r>
    </w:p>
    <w:p w:rsidR="00000000" w:rsidDel="00000000" w:rsidP="00000000" w:rsidRDefault="00000000" w:rsidRPr="00000000" w14:paraId="00000021">
      <w:pPr>
        <w:widowControl w:val="0"/>
        <w:spacing w:after="0" w:line="360" w:lineRule="auto"/>
        <w:jc w:val="center"/>
        <w:rPr>
          <w:rFonts w:ascii="Palatino Linotype" w:cs="Palatino Linotype" w:eastAsia="Palatino Linotype" w:hAnsi="Palatino Linotype"/>
          <w:b w:val="1"/>
          <w:color w:val="000000"/>
          <w:sz w:val="24"/>
          <w:szCs w:val="24"/>
        </w:rPr>
      </w:pPr>
      <w:r w:rsidDel="00000000" w:rsidR="00000000" w:rsidRPr="00000000">
        <w:rPr>
          <w:rFonts w:ascii="Palatino Linotype" w:cs="Palatino Linotype" w:eastAsia="Palatino Linotype" w:hAnsi="Palatino Linotype"/>
          <w:b w:val="1"/>
          <w:color w:val="000000"/>
          <w:sz w:val="24"/>
          <w:szCs w:val="24"/>
          <w:rtl w:val="0"/>
        </w:rPr>
        <w:t xml:space="preserve">C O N S I D E R A N D O S</w:t>
      </w:r>
    </w:p>
    <w:p w:rsidR="00000000" w:rsidDel="00000000" w:rsidP="00000000" w:rsidRDefault="00000000" w:rsidRPr="00000000" w14:paraId="00000022">
      <w:pPr>
        <w:spacing w:after="0" w:line="360" w:lineRule="auto"/>
        <w:jc w:val="both"/>
        <w:rPr>
          <w:rFonts w:ascii="Palatino Linotype" w:cs="Palatino Linotype" w:eastAsia="Palatino Linotype" w:hAnsi="Palatino Linotype"/>
          <w:b w:val="1"/>
          <w:color w:val="000000"/>
          <w:sz w:val="24"/>
          <w:szCs w:val="24"/>
        </w:rPr>
      </w:pPr>
      <w:r w:rsidDel="00000000" w:rsidR="00000000" w:rsidRPr="00000000">
        <w:rPr>
          <w:rtl w:val="0"/>
        </w:rPr>
      </w:r>
    </w:p>
    <w:p w:rsidR="00000000" w:rsidDel="00000000" w:rsidP="00000000" w:rsidRDefault="00000000" w:rsidRPr="00000000" w14:paraId="00000023">
      <w:pPr>
        <w:spacing w:after="0" w:line="360" w:lineRule="auto"/>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b w:val="1"/>
          <w:color w:val="000000"/>
          <w:sz w:val="24"/>
          <w:szCs w:val="24"/>
          <w:rtl w:val="0"/>
        </w:rPr>
        <w:t xml:space="preserve">PRIMERO. COMPETENCIA.</w:t>
      </w:r>
      <w:r w:rsidDel="00000000" w:rsidR="00000000" w:rsidRPr="00000000">
        <w:rPr>
          <w:rFonts w:ascii="Palatino Linotype" w:cs="Palatino Linotype" w:eastAsia="Palatino Linotype" w:hAnsi="Palatino Linotype"/>
          <w:color w:val="000000"/>
          <w:sz w:val="24"/>
          <w:szCs w:val="24"/>
          <w:rtl w:val="0"/>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w:t>
      </w:r>
      <w:r w:rsidDel="00000000" w:rsidR="00000000" w:rsidRPr="00000000">
        <w:rPr>
          <w:rFonts w:ascii="Palatino Linotype" w:cs="Palatino Linotype" w:eastAsia="Palatino Linotype" w:hAnsi="Palatino Linotype"/>
          <w:sz w:val="24"/>
          <w:szCs w:val="24"/>
          <w:rtl w:val="0"/>
        </w:rPr>
        <w:t xml:space="preserve">trigésimo segundo, trigésimo tercero y trigésimo cuarto</w:t>
      </w:r>
      <w:r w:rsidDel="00000000" w:rsidR="00000000" w:rsidRPr="00000000">
        <w:rPr>
          <w:rFonts w:ascii="Palatino Linotype" w:cs="Palatino Linotype" w:eastAsia="Palatino Linotype" w:hAnsi="Palatino Linotype"/>
          <w:color w:val="ff0000"/>
          <w:sz w:val="24"/>
          <w:szCs w:val="24"/>
          <w:rtl w:val="0"/>
        </w:rPr>
        <w:t xml:space="preserve"> </w:t>
      </w:r>
      <w:r w:rsidDel="00000000" w:rsidR="00000000" w:rsidRPr="00000000">
        <w:rPr>
          <w:rFonts w:ascii="Palatino Linotype" w:cs="Palatino Linotype" w:eastAsia="Palatino Linotype" w:hAnsi="Palatino Linotype"/>
          <w:color w:val="000000"/>
          <w:sz w:val="24"/>
          <w:szCs w:val="24"/>
          <w:rtl w:val="0"/>
        </w:rPr>
        <w:t xml:space="preserve">fracciones IV y V de la Constitución Política del Estado Libre y Soberano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rsidR="00000000" w:rsidDel="00000000" w:rsidP="00000000" w:rsidRDefault="00000000" w:rsidRPr="00000000" w14:paraId="00000024">
      <w:pPr>
        <w:spacing w:after="0" w:line="360" w:lineRule="auto"/>
        <w:jc w:val="both"/>
        <w:rPr>
          <w:sz w:val="24"/>
          <w:szCs w:val="24"/>
        </w:rPr>
      </w:pPr>
      <w:r w:rsidDel="00000000" w:rsidR="00000000" w:rsidRPr="00000000">
        <w:rPr>
          <w:rtl w:val="0"/>
        </w:rPr>
      </w:r>
    </w:p>
    <w:p w:rsidR="00000000" w:rsidDel="00000000" w:rsidP="00000000" w:rsidRDefault="00000000" w:rsidRPr="00000000" w14:paraId="00000025">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sz w:val="24"/>
          <w:szCs w:val="24"/>
          <w:rtl w:val="0"/>
        </w:rPr>
        <w:t xml:space="preserve">SEGUNDO. OPORTUNIDAD Y PROCEDIBILIDAD. </w:t>
      </w:r>
      <w:r w:rsidDel="00000000" w:rsidR="00000000" w:rsidRPr="00000000">
        <w:rPr>
          <w:rFonts w:ascii="Palatino Linotype" w:cs="Palatino Linotype" w:eastAsia="Palatino Linotype" w:hAnsi="Palatino Linotype"/>
          <w:sz w:val="24"/>
          <w:szCs w:val="24"/>
          <w:rtl w:val="0"/>
        </w:rPr>
        <w:t xml:space="preserve">Es de precisar que la</w:t>
      </w:r>
      <w:r w:rsidDel="00000000" w:rsidR="00000000" w:rsidRPr="00000000">
        <w:rPr>
          <w:rFonts w:ascii="Palatino Linotype" w:cs="Palatino Linotype" w:eastAsia="Palatino Linotype" w:hAnsi="Palatino Linotype"/>
          <w:b w:val="1"/>
          <w:sz w:val="24"/>
          <w:szCs w:val="24"/>
          <w:rtl w:val="0"/>
        </w:rPr>
        <w:t xml:space="preserve"> </w:t>
      </w:r>
      <w:r w:rsidDel="00000000" w:rsidR="00000000" w:rsidRPr="00000000">
        <w:rPr>
          <w:rFonts w:ascii="Palatino Linotype" w:cs="Palatino Linotype" w:eastAsia="Palatino Linotype" w:hAnsi="Palatino Linotype"/>
          <w:sz w:val="24"/>
          <w:szCs w:val="24"/>
          <w:rtl w:val="0"/>
        </w:rPr>
        <w:t xml:space="preserve">Ley de Transparencia y Acceso a la Información Pública del Estado de México y Municipios, describe el mecanismo de procedencia de los recursos de revisión, como se dispone en los artículos 163 y cuarto párrafo del 166, del tenor literal siguiente: </w:t>
      </w:r>
    </w:p>
    <w:p w:rsidR="00000000" w:rsidDel="00000000" w:rsidP="00000000" w:rsidRDefault="00000000" w:rsidRPr="00000000" w14:paraId="00000026">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27">
      <w:pPr>
        <w:pBdr>
          <w:top w:space="0" w:sz="0" w:val="nil"/>
          <w:left w:space="0" w:sz="0" w:val="nil"/>
          <w:bottom w:space="0" w:sz="0" w:val="nil"/>
          <w:right w:space="0" w:sz="0" w:val="nil"/>
          <w:between w:space="0" w:sz="0" w:val="nil"/>
        </w:pBdr>
        <w:ind w:left="864" w:right="864"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Artículo 163. </w:t>
      </w:r>
      <w:r w:rsidDel="00000000" w:rsidR="00000000" w:rsidRPr="00000000">
        <w:rPr>
          <w:rFonts w:ascii="Palatino Linotype" w:cs="Palatino Linotype" w:eastAsia="Palatino Linotype" w:hAnsi="Palatino Linotype"/>
          <w:i w:val="1"/>
          <w:rtl w:val="0"/>
        </w:rPr>
        <w:t xml:space="preserve">La Unidad de Transparencia deberá notificar la respuesta a la solicitud al interesado en el menor tiempo posible, que no podrá exceder de quince días hábiles, contados a partir del día siguiente a la presentación de aquélla. </w:t>
      </w:r>
    </w:p>
    <w:p w:rsidR="00000000" w:rsidDel="00000000" w:rsidP="00000000" w:rsidRDefault="00000000" w:rsidRPr="00000000" w14:paraId="00000028">
      <w:pPr>
        <w:pBdr>
          <w:top w:space="0" w:sz="0" w:val="nil"/>
          <w:left w:space="0" w:sz="0" w:val="nil"/>
          <w:bottom w:space="0" w:sz="0" w:val="nil"/>
          <w:right w:space="0" w:sz="0" w:val="nil"/>
          <w:between w:space="0" w:sz="0" w:val="nil"/>
        </w:pBdr>
        <w:ind w:left="864" w:right="864"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29">
      <w:pPr>
        <w:pBdr>
          <w:top w:space="0" w:sz="0" w:val="nil"/>
          <w:left w:space="0" w:sz="0" w:val="nil"/>
          <w:bottom w:space="0" w:sz="0" w:val="nil"/>
          <w:right w:space="0" w:sz="0" w:val="nil"/>
          <w:between w:space="0" w:sz="0" w:val="nil"/>
        </w:pBdr>
        <w:ind w:left="864" w:right="864"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Artículo 166.</w:t>
      </w:r>
      <w:r w:rsidDel="00000000" w:rsidR="00000000" w:rsidRPr="00000000">
        <w:rPr>
          <w:rtl w:val="0"/>
        </w:rPr>
      </w:r>
    </w:p>
    <w:p w:rsidR="00000000" w:rsidDel="00000000" w:rsidP="00000000" w:rsidRDefault="00000000" w:rsidRPr="00000000" w14:paraId="0000002A">
      <w:pPr>
        <w:pBdr>
          <w:top w:space="0" w:sz="0" w:val="nil"/>
          <w:left w:space="0" w:sz="0" w:val="nil"/>
          <w:bottom w:space="0" w:sz="0" w:val="nil"/>
          <w:right w:space="0" w:sz="0" w:val="nil"/>
          <w:between w:space="0" w:sz="0" w:val="nil"/>
        </w:pBdr>
        <w:ind w:left="864" w:right="864"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02B">
      <w:pPr>
        <w:pBdr>
          <w:top w:space="0" w:sz="0" w:val="nil"/>
          <w:left w:space="0" w:sz="0" w:val="nil"/>
          <w:bottom w:space="0" w:sz="0" w:val="nil"/>
          <w:right w:space="0" w:sz="0" w:val="nil"/>
          <w:between w:space="0" w:sz="0" w:val="nil"/>
        </w:pBdr>
        <w:ind w:left="864" w:right="864"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Cuando el sujeto obligado no entregue la respuesta a la solicitud dentro del plazo previsto en la Ley, la solicitud se entenderá negada y el solicitante podrá interponer el recurso de revisión previsto en este ordenamiento.</w:t>
      </w:r>
    </w:p>
    <w:p w:rsidR="00000000" w:rsidDel="00000000" w:rsidP="00000000" w:rsidRDefault="00000000" w:rsidRPr="00000000" w14:paraId="0000002C">
      <w:pPr>
        <w:pBdr>
          <w:top w:space="0" w:sz="0" w:val="nil"/>
          <w:left w:space="0" w:sz="0" w:val="nil"/>
          <w:bottom w:space="0" w:sz="0" w:val="nil"/>
          <w:right w:space="0" w:sz="0" w:val="nil"/>
          <w:between w:space="0" w:sz="0" w:val="nil"/>
        </w:pBdr>
        <w:ind w:left="864" w:right="864"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02D">
      <w:pPr>
        <w:pBdr>
          <w:top w:space="0" w:sz="0" w:val="nil"/>
          <w:left w:space="0" w:sz="0" w:val="nil"/>
          <w:bottom w:space="0" w:sz="0" w:val="nil"/>
          <w:right w:space="0" w:sz="0" w:val="nil"/>
          <w:between w:space="0" w:sz="0" w:val="nil"/>
        </w:pBdr>
        <w:ind w:left="864" w:right="864"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2E">
      <w:pPr>
        <w:spacing w:after="0" w:line="360" w:lineRule="auto"/>
        <w:ind w:left="-426" w:firstLine="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De la interpretación sistemática a los preceptos legales insertos, se obtiene que el plazo que les asiste a los Sujetos Obligados para entregar la respuesta a una solicitud de información pública es de quince días hábiles posteriores a la presentación de ésta; sin embargo, en aquellos casos en que transcurre el referido plazo de quince días hábiles, sin que los Sujetos Obligados entreguen la respuesta a la solicitud de información, esta se considera negada; por lo que a la persona solicitante le asiste el derecho para presentar el recurso de revisión.</w:t>
      </w:r>
    </w:p>
    <w:p w:rsidR="00000000" w:rsidDel="00000000" w:rsidP="00000000" w:rsidRDefault="00000000" w:rsidRPr="00000000" w14:paraId="0000002F">
      <w:pPr>
        <w:spacing w:after="0" w:line="360" w:lineRule="auto"/>
        <w:ind w:left="-426" w:firstLine="0"/>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30">
      <w:pPr>
        <w:spacing w:after="0" w:line="360" w:lineRule="auto"/>
        <w:ind w:left="-426" w:firstLine="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En tal sentido, se constituye lo que en la doctrina se conoce como negativa ficta, figura jurídica cuya esencia consiste en atribuir un efecto negativo al silencio de la autoridad administrativa frente a las instancias y solicitudes que hagan los particulares.</w:t>
      </w:r>
    </w:p>
    <w:p w:rsidR="00000000" w:rsidDel="00000000" w:rsidP="00000000" w:rsidRDefault="00000000" w:rsidRPr="00000000" w14:paraId="00000031">
      <w:pPr>
        <w:spacing w:after="0" w:line="360" w:lineRule="auto"/>
        <w:ind w:left="-426" w:firstLine="0"/>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32">
      <w:pPr>
        <w:spacing w:after="0" w:line="360" w:lineRule="auto"/>
        <w:ind w:left="-426" w:firstLine="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Por su parte, el artículo 178 del citado ordenamiento, establece:</w:t>
      </w:r>
    </w:p>
    <w:p w:rsidR="00000000" w:rsidDel="00000000" w:rsidP="00000000" w:rsidRDefault="00000000" w:rsidRPr="00000000" w14:paraId="00000033">
      <w:pPr>
        <w:pBdr>
          <w:top w:space="0" w:sz="0" w:val="nil"/>
          <w:left w:space="0" w:sz="0" w:val="nil"/>
          <w:bottom w:space="0" w:sz="0" w:val="nil"/>
          <w:right w:space="0" w:sz="0" w:val="nil"/>
          <w:between w:space="0" w:sz="0" w:val="nil"/>
        </w:pBdr>
        <w:ind w:left="864" w:right="864"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34">
      <w:pPr>
        <w:pBdr>
          <w:top w:space="0" w:sz="0" w:val="nil"/>
          <w:left w:space="0" w:sz="0" w:val="nil"/>
          <w:bottom w:space="0" w:sz="0" w:val="nil"/>
          <w:right w:space="0" w:sz="0" w:val="nil"/>
          <w:between w:space="0" w:sz="0" w:val="nil"/>
        </w:pBdr>
        <w:ind w:left="864" w:right="864" w:firstLine="0"/>
        <w:jc w:val="both"/>
        <w:rPr>
          <w:rFonts w:ascii="Palatino Linotype" w:cs="Palatino Linotype" w:eastAsia="Palatino Linotype" w:hAnsi="Palatino Linotype"/>
          <w:b w:val="1"/>
          <w:i w:val="1"/>
        </w:rPr>
      </w:pPr>
      <w:r w:rsidDel="00000000" w:rsidR="00000000" w:rsidRPr="00000000">
        <w:rPr>
          <w:rFonts w:ascii="Palatino Linotype" w:cs="Palatino Linotype" w:eastAsia="Palatino Linotype" w:hAnsi="Palatino Linotype"/>
          <w:b w:val="1"/>
          <w:i w:val="1"/>
          <w:rtl w:val="0"/>
        </w:rPr>
        <w:t xml:space="preserve">Artículo 178. </w:t>
      </w:r>
      <w:r w:rsidDel="00000000" w:rsidR="00000000" w:rsidRPr="00000000">
        <w:rPr>
          <w:rFonts w:ascii="Palatino Linotype" w:cs="Palatino Linotype" w:eastAsia="Palatino Linotype" w:hAnsi="Palatino Linotype"/>
          <w:i w:val="1"/>
          <w:rtl w:val="0"/>
        </w:rPr>
        <w:t xml:space="preserve">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r w:rsidDel="00000000" w:rsidR="00000000" w:rsidRPr="00000000">
        <w:rPr>
          <w:rFonts w:ascii="Palatino Linotype" w:cs="Palatino Linotype" w:eastAsia="Palatino Linotype" w:hAnsi="Palatino Linotype"/>
          <w:b w:val="1"/>
          <w:i w:val="1"/>
          <w:rtl w:val="0"/>
        </w:rPr>
        <w:t xml:space="preserve">.</w:t>
      </w:r>
    </w:p>
    <w:p w:rsidR="00000000" w:rsidDel="00000000" w:rsidP="00000000" w:rsidRDefault="00000000" w:rsidRPr="00000000" w14:paraId="00000035">
      <w:pPr>
        <w:pBdr>
          <w:top w:space="0" w:sz="0" w:val="nil"/>
          <w:left w:space="0" w:sz="0" w:val="nil"/>
          <w:bottom w:space="0" w:sz="0" w:val="nil"/>
          <w:right w:space="0" w:sz="0" w:val="nil"/>
          <w:between w:space="0" w:sz="0" w:val="nil"/>
        </w:pBdr>
        <w:ind w:left="864" w:right="864" w:firstLine="0"/>
        <w:jc w:val="both"/>
        <w:rPr>
          <w:rFonts w:ascii="Palatino Linotype" w:cs="Palatino Linotype" w:eastAsia="Palatino Linotype" w:hAnsi="Palatino Linotype"/>
          <w:b w:val="1"/>
          <w:i w:val="1"/>
        </w:rPr>
      </w:pPr>
      <w:r w:rsidDel="00000000" w:rsidR="00000000" w:rsidRPr="00000000">
        <w:rPr>
          <w:rFonts w:ascii="Palatino Linotype" w:cs="Palatino Linotype" w:eastAsia="Palatino Linotype" w:hAnsi="Palatino Linotype"/>
          <w:i w:val="1"/>
          <w:rtl w:val="0"/>
        </w:rPr>
        <w:t xml:space="preserve">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r w:rsidDel="00000000" w:rsidR="00000000" w:rsidRPr="00000000">
        <w:rPr>
          <w:rFonts w:ascii="Palatino Linotype" w:cs="Palatino Linotype" w:eastAsia="Palatino Linotype" w:hAnsi="Palatino Linotype"/>
          <w:b w:val="1"/>
          <w:i w:val="1"/>
          <w:rtl w:val="0"/>
        </w:rPr>
        <w:t xml:space="preserve">.</w:t>
      </w:r>
    </w:p>
    <w:p w:rsidR="00000000" w:rsidDel="00000000" w:rsidP="00000000" w:rsidRDefault="00000000" w:rsidRPr="00000000" w14:paraId="00000036">
      <w:pPr>
        <w:pBdr>
          <w:top w:space="0" w:sz="0" w:val="nil"/>
          <w:left w:space="0" w:sz="0" w:val="nil"/>
          <w:bottom w:space="0" w:sz="0" w:val="nil"/>
          <w:right w:space="0" w:sz="0" w:val="nil"/>
          <w:between w:space="0" w:sz="0" w:val="nil"/>
        </w:pBdr>
        <w:ind w:left="864" w:right="864" w:firstLine="0"/>
        <w:jc w:val="both"/>
        <w:rPr>
          <w:rFonts w:ascii="Palatino Linotype" w:cs="Palatino Linotype" w:eastAsia="Palatino Linotype" w:hAnsi="Palatino Linotype"/>
          <w:b w:val="1"/>
          <w:i w:val="1"/>
        </w:rPr>
      </w:pPr>
      <w:r w:rsidDel="00000000" w:rsidR="00000000" w:rsidRPr="00000000">
        <w:rPr>
          <w:rFonts w:ascii="Palatino Linotype" w:cs="Palatino Linotype" w:eastAsia="Palatino Linotype" w:hAnsi="Palatino Linotype"/>
          <w:i w:val="1"/>
          <w:rtl w:val="0"/>
        </w:rPr>
        <w:t xml:space="preserve">(</w:t>
      </w:r>
      <w:r w:rsidDel="00000000" w:rsidR="00000000" w:rsidRPr="00000000">
        <w:rPr>
          <w:rFonts w:ascii="Palatino Linotype" w:cs="Palatino Linotype" w:eastAsia="Palatino Linotype" w:hAnsi="Palatino Linotype"/>
          <w:b w:val="1"/>
          <w:i w:val="1"/>
          <w:rtl w:val="0"/>
        </w:rPr>
        <w:t xml:space="preserve">…)</w:t>
      </w:r>
    </w:p>
    <w:p w:rsidR="00000000" w:rsidDel="00000000" w:rsidP="00000000" w:rsidRDefault="00000000" w:rsidRPr="00000000" w14:paraId="00000037">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De lo anterior, se advierte que el recurso de revisión no se ha de interponer dentro del plazo de quince días hábiles, a partir de la fecha en que </w:t>
      </w:r>
      <w:r w:rsidDel="00000000" w:rsidR="00000000" w:rsidRPr="00000000">
        <w:rPr>
          <w:rFonts w:ascii="Palatino Linotype" w:cs="Palatino Linotype" w:eastAsia="Palatino Linotype" w:hAnsi="Palatino Linotype"/>
          <w:b w:val="1"/>
          <w:sz w:val="24"/>
          <w:szCs w:val="24"/>
          <w:rtl w:val="0"/>
        </w:rPr>
        <w:t xml:space="preserve">EL SUJETO OBLIGADO </w:t>
      </w:r>
      <w:r w:rsidDel="00000000" w:rsidR="00000000" w:rsidRPr="00000000">
        <w:rPr>
          <w:rFonts w:ascii="Palatino Linotype" w:cs="Palatino Linotype" w:eastAsia="Palatino Linotype" w:hAnsi="Palatino Linotype"/>
          <w:sz w:val="24"/>
          <w:szCs w:val="24"/>
          <w:rtl w:val="0"/>
        </w:rPr>
        <w:t xml:space="preserve">da respuesta a la solicitud de información; sin embargo, tratándose de negativa ficta no existe resolución que se haga del conocimiento de la persona solicitante a partir de la cual pueda computarse dicho plazo, por lo que se concluye que </w:t>
      </w:r>
      <w:r w:rsidDel="00000000" w:rsidR="00000000" w:rsidRPr="00000000">
        <w:rPr>
          <w:rFonts w:ascii="Palatino Linotype" w:cs="Palatino Linotype" w:eastAsia="Palatino Linotype" w:hAnsi="Palatino Linotype"/>
          <w:b w:val="1"/>
          <w:sz w:val="24"/>
          <w:szCs w:val="24"/>
          <w:u w:val="single"/>
          <w:rtl w:val="0"/>
        </w:rPr>
        <w:t xml:space="preserve">la interposición del recurso de revisión puede ser en cualquier momento.</w:t>
      </w:r>
      <w:r w:rsidDel="00000000" w:rsidR="00000000" w:rsidRPr="00000000">
        <w:rPr>
          <w:rtl w:val="0"/>
        </w:rPr>
      </w:r>
    </w:p>
    <w:p w:rsidR="00000000" w:rsidDel="00000000" w:rsidP="00000000" w:rsidRDefault="00000000" w:rsidRPr="00000000" w14:paraId="00000038">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39">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La negativa ficta constituye una presunción legal, en el entendido de que donde no hubo respuesta por parte del </w:t>
      </w:r>
      <w:r w:rsidDel="00000000" w:rsidR="00000000" w:rsidRPr="00000000">
        <w:rPr>
          <w:rFonts w:ascii="Palatino Linotype" w:cs="Palatino Linotype" w:eastAsia="Palatino Linotype" w:hAnsi="Palatino Linotype"/>
          <w:b w:val="1"/>
          <w:sz w:val="24"/>
          <w:szCs w:val="24"/>
          <w:rtl w:val="0"/>
        </w:rPr>
        <w:t xml:space="preserve">SUJETO OBLIGADO, </w:t>
      </w:r>
      <w:r w:rsidDel="00000000" w:rsidR="00000000" w:rsidRPr="00000000">
        <w:rPr>
          <w:rFonts w:ascii="Palatino Linotype" w:cs="Palatino Linotype" w:eastAsia="Palatino Linotype" w:hAnsi="Palatino Linotype"/>
          <w:sz w:val="24"/>
          <w:szCs w:val="24"/>
          <w:rtl w:val="0"/>
        </w:rPr>
        <w:t xml:space="preserve">existe por lo tanto, una resolución de rechazo ante la solicitud del ciudadano; ya que efectivamente, dicha figura se encuentra íntimamente vinculada con el Derecho de Petición, consagrado en nuestra Constitución, es por ello que constituye un instrumento que garantiza la posibilidad de defensa del particular en contra de la incertidumbre jurídica y que tiende a realizar ese Estado de Derecho en el que, el particular, tiene siempre una vía de defensa en contra de los actos autoritarios que le perjudican.</w:t>
      </w:r>
    </w:p>
    <w:p w:rsidR="00000000" w:rsidDel="00000000" w:rsidP="00000000" w:rsidRDefault="00000000" w:rsidRPr="00000000" w14:paraId="0000003A">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3B">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En el marco del derecho de acceso a la información pública, la figura de la negativa ficta brinda al ciudadano la oportunidad de inconformarse en los casos en que estime violentado su derecho; permitiendo a este Instituto cumplir los principios por los cuales la misma ley se rige que atienden a la simplicidad y rapidez al acceso a la información, por lo tanto antes de que se actualice un recurso extemporáneo, se actualiza la omisión del </w:t>
      </w:r>
      <w:r w:rsidDel="00000000" w:rsidR="00000000" w:rsidRPr="00000000">
        <w:rPr>
          <w:rFonts w:ascii="Palatino Linotype" w:cs="Palatino Linotype" w:eastAsia="Palatino Linotype" w:hAnsi="Palatino Linotype"/>
          <w:b w:val="1"/>
          <w:sz w:val="24"/>
          <w:szCs w:val="24"/>
          <w:rtl w:val="0"/>
        </w:rPr>
        <w:t xml:space="preserve">SUJETO OBLIGADO</w:t>
      </w:r>
      <w:r w:rsidDel="00000000" w:rsidR="00000000" w:rsidRPr="00000000">
        <w:rPr>
          <w:rFonts w:ascii="Palatino Linotype" w:cs="Palatino Linotype" w:eastAsia="Palatino Linotype" w:hAnsi="Palatino Linotype"/>
          <w:sz w:val="24"/>
          <w:szCs w:val="24"/>
          <w:rtl w:val="0"/>
        </w:rPr>
        <w:t xml:space="preserve"> de dar respuesta, por lo que este Organismo Garante del derecho de acceso a la información y en aras de privilegiar el principio de máxima publicidad deberá dar entrada al estudio del fondo del recurso interpuesto en dichos casos y no optar por el desechamiento del mismo.</w:t>
      </w:r>
    </w:p>
    <w:p w:rsidR="00000000" w:rsidDel="00000000" w:rsidP="00000000" w:rsidRDefault="00000000" w:rsidRPr="00000000" w14:paraId="0000003C">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3D">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Por lo tanto, con la finalidad de no reducir ni limitar el derecho de acceso a la información y concederle una protección más eficaz al solicitante para impugnar el silencio del </w:t>
      </w:r>
      <w:r w:rsidDel="00000000" w:rsidR="00000000" w:rsidRPr="00000000">
        <w:rPr>
          <w:rFonts w:ascii="Palatino Linotype" w:cs="Palatino Linotype" w:eastAsia="Palatino Linotype" w:hAnsi="Palatino Linotype"/>
          <w:b w:val="1"/>
          <w:sz w:val="24"/>
          <w:szCs w:val="24"/>
          <w:rtl w:val="0"/>
        </w:rPr>
        <w:t xml:space="preserve">SUJETO OBLIGADO,</w:t>
      </w:r>
      <w:r w:rsidDel="00000000" w:rsidR="00000000" w:rsidRPr="00000000">
        <w:rPr>
          <w:rFonts w:ascii="Palatino Linotype" w:cs="Palatino Linotype" w:eastAsia="Palatino Linotype" w:hAnsi="Palatino Linotype"/>
          <w:sz w:val="24"/>
          <w:szCs w:val="24"/>
          <w:rtl w:val="0"/>
        </w:rPr>
        <w:t xml:space="preserve"> este tiene la posibilidad de impugnar dicha omisión en cualquier tiempo mediante el recurso de revisión y con ello satisfacer su pretensión; postura que ha sido adoptada mediante criterio número 001-15, aprobado por el Pleno del Instituto de Transparencia, Acceso a la Información Pública y Protección de Datos Personales del Estado de México y Municipios y publicado en el Periódico Oficial del Estado de México “Gaceta del Gobierno”, el veintitrés de abril de dos mil quince, que establece:</w:t>
      </w:r>
    </w:p>
    <w:p w:rsidR="00000000" w:rsidDel="00000000" w:rsidP="00000000" w:rsidRDefault="00000000" w:rsidRPr="00000000" w14:paraId="0000003E">
      <w:pPr>
        <w:spacing w:after="0" w:line="360" w:lineRule="auto"/>
        <w:jc w:val="both"/>
        <w:rPr>
          <w:rFonts w:ascii="Palatino Linotype" w:cs="Palatino Linotype" w:eastAsia="Palatino Linotype" w:hAnsi="Palatino Linotype"/>
          <w:i w:val="1"/>
          <w:sz w:val="24"/>
          <w:szCs w:val="24"/>
        </w:rPr>
      </w:pPr>
      <w:r w:rsidDel="00000000" w:rsidR="00000000" w:rsidRPr="00000000">
        <w:rPr>
          <w:rtl w:val="0"/>
        </w:rPr>
      </w:r>
    </w:p>
    <w:p w:rsidR="00000000" w:rsidDel="00000000" w:rsidP="00000000" w:rsidRDefault="00000000" w:rsidRPr="00000000" w14:paraId="0000003F">
      <w:pPr>
        <w:tabs>
          <w:tab w:val="left" w:leader="none" w:pos="1276"/>
        </w:tabs>
        <w:spacing w:line="276"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CRITERIO 0001-15. NEGATIVA FICTA. PLAZO PARA INTERPONER EL RECURSO DE REVISIÓN TRATÁNDOSE DE</w:t>
      </w:r>
      <w:r w:rsidDel="00000000" w:rsidR="00000000" w:rsidRPr="00000000">
        <w:rPr>
          <w:rFonts w:ascii="Palatino Linotype" w:cs="Palatino Linotype" w:eastAsia="Palatino Linotype" w:hAnsi="Palatino Linotype"/>
          <w:i w:val="1"/>
          <w:rtl w:val="0"/>
        </w:rPr>
        <w:t xml:space="preserve">. El artículo 48, párrafo tercero de la Ley de Transparencia y Acceso a la Información Pública del Estado de México y Municipios establece que, cuando no se entregue la respuesta a la solicitud dentro del plazo de 15 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legal de una respuesta en sentido negativo; 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w:t>
      </w:r>
    </w:p>
    <w:p w:rsidR="00000000" w:rsidDel="00000000" w:rsidP="00000000" w:rsidRDefault="00000000" w:rsidRPr="00000000" w14:paraId="00000040">
      <w:pPr>
        <w:spacing w:after="0" w:line="360" w:lineRule="auto"/>
        <w:ind w:right="-147"/>
        <w:jc w:val="both"/>
        <w:rPr>
          <w:rFonts w:ascii="Palatino Linotype" w:cs="Palatino Linotype" w:eastAsia="Palatino Linotype" w:hAnsi="Palatino Linotype"/>
          <w:color w:val="000000"/>
          <w:sz w:val="24"/>
          <w:szCs w:val="24"/>
        </w:rPr>
      </w:pPr>
      <w:r w:rsidDel="00000000" w:rsidR="00000000" w:rsidRPr="00000000">
        <w:rPr>
          <w:rtl w:val="0"/>
        </w:rPr>
      </w:r>
    </w:p>
    <w:p w:rsidR="00000000" w:rsidDel="00000000" w:rsidP="00000000" w:rsidRDefault="00000000" w:rsidRPr="00000000" w14:paraId="00000041">
      <w:pPr>
        <w:spacing w:after="0" w:line="360" w:lineRule="auto"/>
        <w:ind w:right="49"/>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Además, por cuanto hace a la procedibilidad de los recursos de revisión una vez realizado el análisis del formato de interposición del recurso, se acreditan plenamente de todos y cada uno de los elementos formales exigidos por el artículo 180 de la Ley de Transparencia y Acceso a la Información Pública del Estado de México y Municipios, en atención a que fue presentado mediante el formato visible en </w:t>
      </w:r>
      <w:r w:rsidDel="00000000" w:rsidR="00000000" w:rsidRPr="00000000">
        <w:rPr>
          <w:rFonts w:ascii="Palatino Linotype" w:cs="Palatino Linotype" w:eastAsia="Palatino Linotype" w:hAnsi="Palatino Linotype"/>
          <w:b w:val="1"/>
          <w:color w:val="000000"/>
          <w:sz w:val="24"/>
          <w:szCs w:val="24"/>
          <w:rtl w:val="0"/>
        </w:rPr>
        <w:t xml:space="preserve">EL</w:t>
      </w:r>
      <w:r w:rsidDel="00000000" w:rsidR="00000000" w:rsidRPr="00000000">
        <w:rPr>
          <w:rFonts w:ascii="Palatino Linotype" w:cs="Palatino Linotype" w:eastAsia="Palatino Linotype" w:hAnsi="Palatino Linotype"/>
          <w:color w:val="000000"/>
          <w:sz w:val="24"/>
          <w:szCs w:val="24"/>
          <w:rtl w:val="0"/>
        </w:rPr>
        <w:t xml:space="preserve"> </w:t>
      </w:r>
      <w:r w:rsidDel="00000000" w:rsidR="00000000" w:rsidRPr="00000000">
        <w:rPr>
          <w:rFonts w:ascii="Palatino Linotype" w:cs="Palatino Linotype" w:eastAsia="Palatino Linotype" w:hAnsi="Palatino Linotype"/>
          <w:b w:val="1"/>
          <w:color w:val="000000"/>
          <w:sz w:val="24"/>
          <w:szCs w:val="24"/>
          <w:rtl w:val="0"/>
        </w:rPr>
        <w:t xml:space="preserve">SAIMEX</w:t>
      </w:r>
      <w:r w:rsidDel="00000000" w:rsidR="00000000" w:rsidRPr="00000000">
        <w:rPr>
          <w:rFonts w:ascii="Palatino Linotype" w:cs="Palatino Linotype" w:eastAsia="Palatino Linotype" w:hAnsi="Palatino Linotype"/>
          <w:color w:val="000000"/>
          <w:sz w:val="24"/>
          <w:szCs w:val="24"/>
          <w:rtl w:val="0"/>
        </w:rPr>
        <w:t xml:space="preserve">.</w:t>
      </w:r>
    </w:p>
    <w:p w:rsidR="00000000" w:rsidDel="00000000" w:rsidP="00000000" w:rsidRDefault="00000000" w:rsidRPr="00000000" w14:paraId="00000042">
      <w:pPr>
        <w:spacing w:after="0" w:line="360" w:lineRule="auto"/>
        <w:rPr>
          <w:sz w:val="24"/>
          <w:szCs w:val="24"/>
        </w:rPr>
      </w:pPr>
      <w:r w:rsidDel="00000000" w:rsidR="00000000" w:rsidRPr="00000000">
        <w:rPr>
          <w:rtl w:val="0"/>
        </w:rPr>
      </w:r>
    </w:p>
    <w:p w:rsidR="00000000" w:rsidDel="00000000" w:rsidP="00000000" w:rsidRDefault="00000000" w:rsidRPr="00000000" w14:paraId="00000043">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Finalmente, antes de entrar al estudio de la presente resolución es preciso determinar si resulta procedente la interposición del recurso de revisión, toda vez que se actualiza la hipótesis prevista en la </w:t>
      </w:r>
      <w:r w:rsidDel="00000000" w:rsidR="00000000" w:rsidRPr="00000000">
        <w:rPr>
          <w:rFonts w:ascii="Palatino Linotype" w:cs="Palatino Linotype" w:eastAsia="Palatino Linotype" w:hAnsi="Palatino Linotype"/>
          <w:b w:val="1"/>
          <w:sz w:val="24"/>
          <w:szCs w:val="24"/>
          <w:rtl w:val="0"/>
        </w:rPr>
        <w:t xml:space="preserve">fracción VII del artículo 179</w:t>
      </w:r>
      <w:r w:rsidDel="00000000" w:rsidR="00000000" w:rsidRPr="00000000">
        <w:rPr>
          <w:rFonts w:ascii="Palatino Linotype" w:cs="Palatino Linotype" w:eastAsia="Palatino Linotype" w:hAnsi="Palatino Linotype"/>
          <w:sz w:val="24"/>
          <w:szCs w:val="24"/>
          <w:rtl w:val="0"/>
        </w:rPr>
        <w:t xml:space="preserve"> de la ley de la materia, que a la letra dice:</w:t>
      </w:r>
    </w:p>
    <w:p w:rsidR="00000000" w:rsidDel="00000000" w:rsidP="00000000" w:rsidRDefault="00000000" w:rsidRPr="00000000" w14:paraId="00000044">
      <w:pPr>
        <w:pBdr>
          <w:top w:space="0" w:sz="0" w:val="nil"/>
          <w:left w:space="0" w:sz="0" w:val="nil"/>
          <w:bottom w:space="0" w:sz="0" w:val="nil"/>
          <w:right w:space="0" w:sz="0" w:val="nil"/>
          <w:between w:space="0" w:sz="0" w:val="nil"/>
        </w:pBdr>
        <w:spacing w:after="0" w:line="360" w:lineRule="auto"/>
        <w:ind w:left="864" w:right="864" w:firstLine="0"/>
        <w:jc w:val="both"/>
        <w:rPr>
          <w:rFonts w:ascii="Palatino Linotype" w:cs="Palatino Linotype" w:eastAsia="Palatino Linotype" w:hAnsi="Palatino Linotype"/>
          <w:i w:val="1"/>
          <w:sz w:val="24"/>
          <w:szCs w:val="24"/>
        </w:rPr>
      </w:pPr>
      <w:r w:rsidDel="00000000" w:rsidR="00000000" w:rsidRPr="00000000">
        <w:rPr>
          <w:rtl w:val="0"/>
        </w:rPr>
      </w:r>
    </w:p>
    <w:p w:rsidR="00000000" w:rsidDel="00000000" w:rsidP="00000000" w:rsidRDefault="00000000" w:rsidRPr="00000000" w14:paraId="00000045">
      <w:pPr>
        <w:pBdr>
          <w:top w:space="0" w:sz="0" w:val="nil"/>
          <w:left w:space="0" w:sz="0" w:val="nil"/>
          <w:bottom w:space="0" w:sz="0" w:val="nil"/>
          <w:right w:space="0" w:sz="0" w:val="nil"/>
          <w:between w:space="0" w:sz="0" w:val="nil"/>
        </w:pBdr>
        <w:ind w:left="864" w:right="864"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Artículo 179. </w:t>
      </w:r>
      <w:r w:rsidDel="00000000" w:rsidR="00000000" w:rsidRPr="00000000">
        <w:rPr>
          <w:rFonts w:ascii="Palatino Linotype" w:cs="Palatino Linotype" w:eastAsia="Palatino Linotype" w:hAnsi="Palatino Linotype"/>
          <w:i w:val="1"/>
          <w:rtl w:val="0"/>
        </w:rPr>
        <w:t xml:space="preserve">El recurso de revisión es un medio de protección que la Ley otorga a los particulares, para hacer valer su derecho de acceso a la información pública, y procederá en contra de las siguientes causas:</w:t>
      </w:r>
    </w:p>
    <w:p w:rsidR="00000000" w:rsidDel="00000000" w:rsidP="00000000" w:rsidRDefault="00000000" w:rsidRPr="00000000" w14:paraId="00000046">
      <w:pPr>
        <w:pBdr>
          <w:top w:space="0" w:sz="0" w:val="nil"/>
          <w:left w:space="0" w:sz="0" w:val="nil"/>
          <w:bottom w:space="0" w:sz="0" w:val="nil"/>
          <w:right w:space="0" w:sz="0" w:val="nil"/>
          <w:between w:space="0" w:sz="0" w:val="nil"/>
        </w:pBdr>
        <w:ind w:left="864" w:right="864"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047">
      <w:pPr>
        <w:pBdr>
          <w:top w:space="0" w:sz="0" w:val="nil"/>
          <w:left w:space="0" w:sz="0" w:val="nil"/>
          <w:bottom w:space="0" w:sz="0" w:val="nil"/>
          <w:right w:space="0" w:sz="0" w:val="nil"/>
          <w:between w:space="0" w:sz="0" w:val="nil"/>
        </w:pBdr>
        <w:ind w:left="864" w:right="864"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VII. </w:t>
      </w:r>
      <w:r w:rsidDel="00000000" w:rsidR="00000000" w:rsidRPr="00000000">
        <w:rPr>
          <w:rFonts w:ascii="Palatino Linotype" w:cs="Palatino Linotype" w:eastAsia="Palatino Linotype" w:hAnsi="Palatino Linotype"/>
          <w:i w:val="1"/>
          <w:rtl w:val="0"/>
        </w:rPr>
        <w:t xml:space="preserve">La falta de respuesta a una solicitud de acceso a la información;”</w:t>
      </w:r>
    </w:p>
    <w:p w:rsidR="00000000" w:rsidDel="00000000" w:rsidP="00000000" w:rsidRDefault="00000000" w:rsidRPr="00000000" w14:paraId="00000048">
      <w:pPr>
        <w:pBdr>
          <w:top w:space="0" w:sz="0" w:val="nil"/>
          <w:left w:space="0" w:sz="0" w:val="nil"/>
          <w:bottom w:space="0" w:sz="0" w:val="nil"/>
          <w:right w:space="0" w:sz="0" w:val="nil"/>
          <w:between w:space="0" w:sz="0" w:val="nil"/>
        </w:pBdr>
        <w:ind w:left="864" w:right="864"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049">
      <w:pPr>
        <w:pBdr>
          <w:top w:space="0" w:sz="0" w:val="nil"/>
          <w:left w:space="0" w:sz="0" w:val="nil"/>
          <w:bottom w:space="0" w:sz="0" w:val="nil"/>
          <w:right w:space="0" w:sz="0" w:val="nil"/>
          <w:between w:space="0" w:sz="0" w:val="nil"/>
        </w:pBdr>
        <w:spacing w:after="0" w:line="360" w:lineRule="auto"/>
        <w:ind w:left="864" w:right="864" w:firstLine="0"/>
        <w:jc w:val="both"/>
        <w:rPr>
          <w:rFonts w:ascii="Palatino Linotype" w:cs="Palatino Linotype" w:eastAsia="Palatino Linotype" w:hAnsi="Palatino Linotype"/>
          <w:i w:val="1"/>
          <w:sz w:val="24"/>
          <w:szCs w:val="24"/>
        </w:rPr>
      </w:pPr>
      <w:r w:rsidDel="00000000" w:rsidR="00000000" w:rsidRPr="00000000">
        <w:rPr>
          <w:rtl w:val="0"/>
        </w:rPr>
      </w:r>
    </w:p>
    <w:p w:rsidR="00000000" w:rsidDel="00000000" w:rsidP="00000000" w:rsidRDefault="00000000" w:rsidRPr="00000000" w14:paraId="0000004A">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El precepto legal citado, establece como supuesto de procedencia del recurso de revisión, en aquellos casos en que </w:t>
      </w:r>
      <w:r w:rsidDel="00000000" w:rsidR="00000000" w:rsidRPr="00000000">
        <w:rPr>
          <w:rFonts w:ascii="Palatino Linotype" w:cs="Palatino Linotype" w:eastAsia="Palatino Linotype" w:hAnsi="Palatino Linotype"/>
          <w:b w:val="1"/>
          <w:sz w:val="24"/>
          <w:szCs w:val="24"/>
          <w:rtl w:val="0"/>
        </w:rPr>
        <w:t xml:space="preserve">LA PARTE RECURRENTE </w:t>
      </w:r>
      <w:r w:rsidDel="00000000" w:rsidR="00000000" w:rsidRPr="00000000">
        <w:rPr>
          <w:rFonts w:ascii="Palatino Linotype" w:cs="Palatino Linotype" w:eastAsia="Palatino Linotype" w:hAnsi="Palatino Linotype"/>
          <w:sz w:val="24"/>
          <w:szCs w:val="24"/>
          <w:rtl w:val="0"/>
        </w:rPr>
        <w:t xml:space="preserve">estime negado el acceso a la información por la falta de respuesta por </w:t>
      </w:r>
      <w:r w:rsidDel="00000000" w:rsidR="00000000" w:rsidRPr="00000000">
        <w:rPr>
          <w:rFonts w:ascii="Palatino Linotype" w:cs="Palatino Linotype" w:eastAsia="Palatino Linotype" w:hAnsi="Palatino Linotype"/>
          <w:b w:val="1"/>
          <w:sz w:val="24"/>
          <w:szCs w:val="24"/>
          <w:rtl w:val="0"/>
        </w:rPr>
        <w:t xml:space="preserve">EL SUJETO OBLIGADO,</w:t>
      </w:r>
      <w:r w:rsidDel="00000000" w:rsidR="00000000" w:rsidRPr="00000000">
        <w:rPr>
          <w:rFonts w:ascii="Palatino Linotype" w:cs="Palatino Linotype" w:eastAsia="Palatino Linotype" w:hAnsi="Palatino Linotype"/>
          <w:sz w:val="24"/>
          <w:szCs w:val="24"/>
          <w:rtl w:val="0"/>
        </w:rPr>
        <w:t xml:space="preserve"> en este asunto se actualiza la hipótesis jurídica citada, en atención a que </w:t>
      </w:r>
      <w:r w:rsidDel="00000000" w:rsidR="00000000" w:rsidRPr="00000000">
        <w:rPr>
          <w:rFonts w:ascii="Palatino Linotype" w:cs="Palatino Linotype" w:eastAsia="Palatino Linotype" w:hAnsi="Palatino Linotype"/>
          <w:b w:val="1"/>
          <w:sz w:val="24"/>
          <w:szCs w:val="24"/>
          <w:rtl w:val="0"/>
        </w:rPr>
        <w:t xml:space="preserve">LA PARTE</w:t>
      </w:r>
      <w:r w:rsidDel="00000000" w:rsidR="00000000" w:rsidRPr="00000000">
        <w:rPr>
          <w:rFonts w:ascii="Palatino Linotype" w:cs="Palatino Linotype" w:eastAsia="Palatino Linotype" w:hAnsi="Palatino Linotype"/>
          <w:sz w:val="24"/>
          <w:szCs w:val="24"/>
          <w:rtl w:val="0"/>
        </w:rPr>
        <w:t xml:space="preserve"> </w:t>
      </w:r>
      <w:r w:rsidDel="00000000" w:rsidR="00000000" w:rsidRPr="00000000">
        <w:rPr>
          <w:rFonts w:ascii="Palatino Linotype" w:cs="Palatino Linotype" w:eastAsia="Palatino Linotype" w:hAnsi="Palatino Linotype"/>
          <w:b w:val="1"/>
          <w:sz w:val="24"/>
          <w:szCs w:val="24"/>
          <w:rtl w:val="0"/>
        </w:rPr>
        <w:t xml:space="preserve">RECURRENTE</w:t>
      </w:r>
      <w:r w:rsidDel="00000000" w:rsidR="00000000" w:rsidRPr="00000000">
        <w:rPr>
          <w:rFonts w:ascii="Palatino Linotype" w:cs="Palatino Linotype" w:eastAsia="Palatino Linotype" w:hAnsi="Palatino Linotype"/>
          <w:sz w:val="24"/>
          <w:szCs w:val="24"/>
          <w:rtl w:val="0"/>
        </w:rPr>
        <w:t xml:space="preserve"> combate falta de trámite por </w:t>
      </w:r>
      <w:r w:rsidDel="00000000" w:rsidR="00000000" w:rsidRPr="00000000">
        <w:rPr>
          <w:rFonts w:ascii="Palatino Linotype" w:cs="Palatino Linotype" w:eastAsia="Palatino Linotype" w:hAnsi="Palatino Linotype"/>
          <w:b w:val="1"/>
          <w:sz w:val="24"/>
          <w:szCs w:val="24"/>
          <w:rtl w:val="0"/>
        </w:rPr>
        <w:t xml:space="preserve">EL SUJETO OBLIGADO</w:t>
      </w:r>
      <w:r w:rsidDel="00000000" w:rsidR="00000000" w:rsidRPr="00000000">
        <w:rPr>
          <w:rFonts w:ascii="Palatino Linotype" w:cs="Palatino Linotype" w:eastAsia="Palatino Linotype" w:hAnsi="Palatino Linotype"/>
          <w:sz w:val="24"/>
          <w:szCs w:val="24"/>
          <w:rtl w:val="0"/>
        </w:rPr>
        <w:t xml:space="preserve"> y expresa motivos de inconformidad en contra de dicha circunstancia.</w:t>
      </w:r>
    </w:p>
    <w:p w:rsidR="00000000" w:rsidDel="00000000" w:rsidP="00000000" w:rsidRDefault="00000000" w:rsidRPr="00000000" w14:paraId="0000004B">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4C">
      <w:pPr>
        <w:tabs>
          <w:tab w:val="left" w:leader="none" w:pos="8647"/>
        </w:tabs>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sz w:val="24"/>
          <w:szCs w:val="24"/>
          <w:rtl w:val="0"/>
        </w:rPr>
        <w:t xml:space="preserve">TERCERO. MATERIA DE LA REVISIÓN. </w:t>
      </w:r>
      <w:r w:rsidDel="00000000" w:rsidR="00000000" w:rsidRPr="00000000">
        <w:rPr>
          <w:rFonts w:ascii="Palatino Linotype" w:cs="Palatino Linotype" w:eastAsia="Palatino Linotype" w:hAnsi="Palatino Linotype"/>
          <w:sz w:val="24"/>
          <w:szCs w:val="24"/>
          <w:rtl w:val="0"/>
        </w:rPr>
        <w:t xml:space="preserve">Este Organismo Garante procede del análisis de los agravios hechos valer por </w:t>
      </w:r>
      <w:r w:rsidDel="00000000" w:rsidR="00000000" w:rsidRPr="00000000">
        <w:rPr>
          <w:rFonts w:ascii="Palatino Linotype" w:cs="Palatino Linotype" w:eastAsia="Palatino Linotype" w:hAnsi="Palatino Linotype"/>
          <w:b w:val="1"/>
          <w:sz w:val="24"/>
          <w:szCs w:val="24"/>
          <w:rtl w:val="0"/>
        </w:rPr>
        <w:t xml:space="preserve">LA PARTE RECURRENTE,</w:t>
      </w:r>
      <w:r w:rsidDel="00000000" w:rsidR="00000000" w:rsidRPr="00000000">
        <w:rPr>
          <w:rFonts w:ascii="Palatino Linotype" w:cs="Palatino Linotype" w:eastAsia="Palatino Linotype" w:hAnsi="Palatino Linotype"/>
          <w:sz w:val="24"/>
          <w:szCs w:val="24"/>
          <w:rtl w:val="0"/>
        </w:rPr>
        <w:t xml:space="preserve"> a fin de determinar si se violenta en perjuicio de este, el derecho de acceso a la información previsto en la Constitución Política de los Estados Unidos Mexicanos y en la Constitución Política del Estado Libre y Soberano de México. </w:t>
      </w:r>
    </w:p>
    <w:p w:rsidR="00000000" w:rsidDel="00000000" w:rsidP="00000000" w:rsidRDefault="00000000" w:rsidRPr="00000000" w14:paraId="0000004D">
      <w:pPr>
        <w:tabs>
          <w:tab w:val="left" w:leader="none" w:pos="8647"/>
        </w:tabs>
        <w:spacing w:after="0" w:line="360" w:lineRule="auto"/>
        <w:jc w:val="both"/>
        <w:rPr>
          <w:rFonts w:ascii="Palatino Linotype" w:cs="Palatino Linotype" w:eastAsia="Palatino Linotype" w:hAnsi="Palatino Linotype"/>
          <w:b w:val="1"/>
          <w:sz w:val="24"/>
          <w:szCs w:val="24"/>
        </w:rPr>
      </w:pPr>
      <w:r w:rsidDel="00000000" w:rsidR="00000000" w:rsidRPr="00000000">
        <w:rPr>
          <w:rtl w:val="0"/>
        </w:rPr>
      </w:r>
    </w:p>
    <w:p w:rsidR="00000000" w:rsidDel="00000000" w:rsidP="00000000" w:rsidRDefault="00000000" w:rsidRPr="00000000" w14:paraId="0000004E">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sz w:val="24"/>
          <w:szCs w:val="24"/>
          <w:rtl w:val="0"/>
        </w:rPr>
        <w:t xml:space="preserve">CUARTO. ESTUDIO DEL ASUNTO. </w:t>
      </w:r>
      <w:r w:rsidDel="00000000" w:rsidR="00000000" w:rsidRPr="00000000">
        <w:rPr>
          <w:rFonts w:ascii="Palatino Linotype" w:cs="Palatino Linotype" w:eastAsia="Palatino Linotype" w:hAnsi="Palatino Linotype"/>
          <w:sz w:val="24"/>
          <w:szCs w:val="24"/>
          <w:rtl w:val="0"/>
        </w:rPr>
        <w:t xml:space="preserve">Una vez determinada la vía sobre la que versará el presente recurso, y previa revisión del expediente del recurso de revisión materia de la presente resolución, se advierte que </w:t>
      </w:r>
      <w:r w:rsidDel="00000000" w:rsidR="00000000" w:rsidRPr="00000000">
        <w:rPr>
          <w:rFonts w:ascii="Palatino Linotype" w:cs="Palatino Linotype" w:eastAsia="Palatino Linotype" w:hAnsi="Palatino Linotype"/>
          <w:b w:val="1"/>
          <w:sz w:val="24"/>
          <w:szCs w:val="24"/>
          <w:rtl w:val="0"/>
        </w:rPr>
        <w:t xml:space="preserve">EL SUJETO OBLIGADO </w:t>
      </w:r>
      <w:r w:rsidDel="00000000" w:rsidR="00000000" w:rsidRPr="00000000">
        <w:rPr>
          <w:rFonts w:ascii="Palatino Linotype" w:cs="Palatino Linotype" w:eastAsia="Palatino Linotype" w:hAnsi="Palatino Linotype"/>
          <w:sz w:val="24"/>
          <w:szCs w:val="24"/>
          <w:rtl w:val="0"/>
        </w:rPr>
        <w:t xml:space="preserve">no dio respuesta a la solicitud de información planteada por </w:t>
      </w:r>
      <w:r w:rsidDel="00000000" w:rsidR="00000000" w:rsidRPr="00000000">
        <w:rPr>
          <w:rFonts w:ascii="Palatino Linotype" w:cs="Palatino Linotype" w:eastAsia="Palatino Linotype" w:hAnsi="Palatino Linotype"/>
          <w:b w:val="1"/>
          <w:sz w:val="24"/>
          <w:szCs w:val="24"/>
          <w:rtl w:val="0"/>
        </w:rPr>
        <w:t xml:space="preserve">LA PARTE RECURRENTE</w:t>
      </w:r>
      <w:r w:rsidDel="00000000" w:rsidR="00000000" w:rsidRPr="00000000">
        <w:rPr>
          <w:rFonts w:ascii="Palatino Linotype" w:cs="Palatino Linotype" w:eastAsia="Palatino Linotype" w:hAnsi="Palatino Linotype"/>
          <w:sz w:val="24"/>
          <w:szCs w:val="24"/>
          <w:rtl w:val="0"/>
        </w:rPr>
        <w:t xml:space="preserve">, lo que se traduce como la configuración de la </w:t>
      </w:r>
      <w:r w:rsidDel="00000000" w:rsidR="00000000" w:rsidRPr="00000000">
        <w:rPr>
          <w:rFonts w:ascii="Palatino Linotype" w:cs="Palatino Linotype" w:eastAsia="Palatino Linotype" w:hAnsi="Palatino Linotype"/>
          <w:b w:val="1"/>
          <w:sz w:val="24"/>
          <w:szCs w:val="24"/>
          <w:rtl w:val="0"/>
        </w:rPr>
        <w:t xml:space="preserve">NEGATIVA FICTA</w:t>
      </w:r>
      <w:r w:rsidDel="00000000" w:rsidR="00000000" w:rsidRPr="00000000">
        <w:rPr>
          <w:rFonts w:ascii="Palatino Linotype" w:cs="Palatino Linotype" w:eastAsia="Palatino Linotype" w:hAnsi="Palatino Linotype"/>
          <w:sz w:val="24"/>
          <w:szCs w:val="24"/>
          <w:rtl w:val="0"/>
        </w:rPr>
        <w:t xml:space="preserve">, situación que demuestra la existencia del acto impugnado y procedencia del motivo de inconformidad, que en términos generales consistente en que </w:t>
      </w:r>
      <w:r w:rsidDel="00000000" w:rsidR="00000000" w:rsidRPr="00000000">
        <w:rPr>
          <w:rFonts w:ascii="Palatino Linotype" w:cs="Palatino Linotype" w:eastAsia="Palatino Linotype" w:hAnsi="Palatino Linotype"/>
          <w:b w:val="1"/>
          <w:sz w:val="24"/>
          <w:szCs w:val="24"/>
          <w:rtl w:val="0"/>
        </w:rPr>
        <w:t xml:space="preserve">EL SUJETO OBLIGADO</w:t>
      </w:r>
      <w:r w:rsidDel="00000000" w:rsidR="00000000" w:rsidRPr="00000000">
        <w:rPr>
          <w:rFonts w:ascii="Palatino Linotype" w:cs="Palatino Linotype" w:eastAsia="Palatino Linotype" w:hAnsi="Palatino Linotype"/>
          <w:sz w:val="24"/>
          <w:szCs w:val="24"/>
          <w:rtl w:val="0"/>
        </w:rPr>
        <w:t xml:space="preserve"> no emitió respuesta a la solicitud de información, dentro del plazo legal previsto para ello.</w:t>
      </w:r>
    </w:p>
    <w:p w:rsidR="00000000" w:rsidDel="00000000" w:rsidP="00000000" w:rsidRDefault="00000000" w:rsidRPr="00000000" w14:paraId="0000004F">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50">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Previo a exponer los argumentos que justifiquen la afirmación que antecede, es necesario precisar que, del análisis realizado a la solicitud formulada por </w:t>
      </w:r>
      <w:r w:rsidDel="00000000" w:rsidR="00000000" w:rsidRPr="00000000">
        <w:rPr>
          <w:rFonts w:ascii="Palatino Linotype" w:cs="Palatino Linotype" w:eastAsia="Palatino Linotype" w:hAnsi="Palatino Linotype"/>
          <w:b w:val="1"/>
          <w:sz w:val="24"/>
          <w:szCs w:val="24"/>
          <w:rtl w:val="0"/>
        </w:rPr>
        <w:t xml:space="preserve">LA PARTE RECURRENTE, </w:t>
      </w:r>
      <w:r w:rsidDel="00000000" w:rsidR="00000000" w:rsidRPr="00000000">
        <w:rPr>
          <w:rFonts w:ascii="Palatino Linotype" w:cs="Palatino Linotype" w:eastAsia="Palatino Linotype" w:hAnsi="Palatino Linotype"/>
          <w:sz w:val="24"/>
          <w:szCs w:val="24"/>
          <w:rtl w:val="0"/>
        </w:rPr>
        <w:t xml:space="preserve">se advierte que requirió al </w:t>
      </w:r>
      <w:r w:rsidDel="00000000" w:rsidR="00000000" w:rsidRPr="00000000">
        <w:rPr>
          <w:rFonts w:ascii="Palatino Linotype" w:cs="Palatino Linotype" w:eastAsia="Palatino Linotype" w:hAnsi="Palatino Linotype"/>
          <w:b w:val="1"/>
          <w:sz w:val="24"/>
          <w:szCs w:val="24"/>
          <w:rtl w:val="0"/>
        </w:rPr>
        <w:t xml:space="preserve">SUJETO OBLIGADO</w:t>
      </w:r>
      <w:r w:rsidDel="00000000" w:rsidR="00000000" w:rsidRPr="00000000">
        <w:rPr>
          <w:rFonts w:ascii="Palatino Linotype" w:cs="Palatino Linotype" w:eastAsia="Palatino Linotype" w:hAnsi="Palatino Linotype"/>
          <w:sz w:val="24"/>
          <w:szCs w:val="24"/>
          <w:rtl w:val="0"/>
        </w:rPr>
        <w:t xml:space="preserve"> le proporcionara, lo siguiente: </w:t>
      </w:r>
    </w:p>
    <w:p w:rsidR="00000000" w:rsidDel="00000000" w:rsidP="00000000" w:rsidRDefault="00000000" w:rsidRPr="00000000" w14:paraId="00000051">
      <w:pPr>
        <w:spacing w:after="0" w:line="360" w:lineRule="auto"/>
        <w:ind w:right="616"/>
        <w:jc w:val="both"/>
        <w:rPr>
          <w:rFonts w:ascii="Palatino Linotype" w:cs="Palatino Linotype" w:eastAsia="Palatino Linotype" w:hAnsi="Palatino Linotype"/>
          <w:color w:val="000000"/>
          <w:sz w:val="24"/>
          <w:szCs w:val="24"/>
        </w:rPr>
      </w:pPr>
      <w:r w:rsidDel="00000000" w:rsidR="00000000" w:rsidRPr="00000000">
        <w:rPr>
          <w:rtl w:val="0"/>
        </w:rPr>
      </w:r>
    </w:p>
    <w:p w:rsidR="00000000" w:rsidDel="00000000" w:rsidP="00000000" w:rsidRDefault="00000000" w:rsidRPr="00000000" w14:paraId="0000005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1287" w:right="616" w:hanging="36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Deseo obtener información acerca del estatus de la Lic. Anabell Delgadillo Hernández. </w:t>
      </w:r>
    </w:p>
    <w:p w:rsidR="00000000" w:rsidDel="00000000" w:rsidP="00000000" w:rsidRDefault="00000000" w:rsidRPr="00000000" w14:paraId="0000005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1287" w:right="616" w:hanging="36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¿Desde qué fecha se encuentra laborando como Titular de la Unidad Académica de la UDEMEX en el municipio de Almoloya del Río?</w:t>
      </w:r>
    </w:p>
    <w:p w:rsidR="00000000" w:rsidDel="00000000" w:rsidP="00000000" w:rsidRDefault="00000000" w:rsidRPr="00000000" w14:paraId="0000005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1287" w:right="616" w:hanging="36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¿Si se encuentra activa dentro de la plantilla de personal dentro del Ayuntamiento de Almoloya del Río? o ¿que tipo de plaza ocupa?</w:t>
      </w:r>
    </w:p>
    <w:p w:rsidR="00000000" w:rsidDel="00000000" w:rsidP="00000000" w:rsidRDefault="00000000" w:rsidRPr="00000000" w14:paraId="0000005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1287" w:right="616" w:hanging="36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Saber si a la fecha sigue prestando sus servicios para la Unidad Académica o el Municipio antes mencionado, y su jornada laboral.</w:t>
      </w:r>
    </w:p>
    <w:p w:rsidR="00000000" w:rsidDel="00000000" w:rsidP="00000000" w:rsidRDefault="00000000" w:rsidRPr="00000000" w14:paraId="00000056">
      <w:pPr>
        <w:spacing w:after="0" w:line="360" w:lineRule="auto"/>
        <w:jc w:val="both"/>
        <w:rPr>
          <w:rFonts w:ascii="Palatino Linotype" w:cs="Palatino Linotype" w:eastAsia="Palatino Linotype" w:hAnsi="Palatino Linotype"/>
          <w:color w:val="000000"/>
          <w:sz w:val="24"/>
          <w:szCs w:val="24"/>
        </w:rPr>
      </w:pPr>
      <w:r w:rsidDel="00000000" w:rsidR="00000000" w:rsidRPr="00000000">
        <w:rPr>
          <w:rtl w:val="0"/>
        </w:rPr>
      </w:r>
    </w:p>
    <w:p w:rsidR="00000000" w:rsidDel="00000000" w:rsidP="00000000" w:rsidRDefault="00000000" w:rsidRPr="00000000" w14:paraId="00000057">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Precisado lo anterior, se procede al análisis del presente recurso, así como al contenido íntegro de las actuaciones que obran en el expediente electrónico, para así estar en posibilidad este Organismo Garante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rsidR="00000000" w:rsidDel="00000000" w:rsidP="00000000" w:rsidRDefault="00000000" w:rsidRPr="00000000" w14:paraId="00000058">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59">
      <w:pPr>
        <w:tabs>
          <w:tab w:val="left" w:leader="none" w:pos="709"/>
        </w:tabs>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En primer lugar, es menester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rsidR="00000000" w:rsidDel="00000000" w:rsidP="00000000" w:rsidRDefault="00000000" w:rsidRPr="00000000" w14:paraId="0000005A">
      <w:pPr>
        <w:tabs>
          <w:tab w:val="left" w:leader="none" w:pos="709"/>
        </w:tabs>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5B">
      <w:pPr>
        <w:pBdr>
          <w:top w:space="0" w:sz="0" w:val="nil"/>
          <w:left w:space="0" w:sz="0" w:val="nil"/>
          <w:bottom w:space="0" w:sz="0" w:val="nil"/>
          <w:right w:space="0" w:sz="0" w:val="nil"/>
          <w:between w:space="0" w:sz="0" w:val="nil"/>
        </w:pBdr>
        <w:ind w:left="864" w:right="864"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u w:val="single"/>
          <w:rtl w:val="0"/>
        </w:rPr>
        <w:t xml:space="preserve">Artículo 1o. En los Estados Unidos Mexicanos todas las personas gozarán de los derechos humanos reconocidos en esta Constitución y en los tratados internacionales de los que el Estado Mexicano sea parte</w:t>
      </w:r>
      <w:r w:rsidDel="00000000" w:rsidR="00000000" w:rsidRPr="00000000">
        <w:rPr>
          <w:rFonts w:ascii="Palatino Linotype" w:cs="Palatino Linotype" w:eastAsia="Palatino Linotype" w:hAnsi="Palatino Linotype"/>
          <w:i w:val="1"/>
          <w:rtl w:val="0"/>
        </w:rPr>
        <w:t xml:space="preserve">, así como de las garantías para su protección, cuyo ejercicio no podrá restringirse ni suspenderse, salvo en los casos y bajo las condiciones que esta Constitución establece.</w:t>
      </w:r>
    </w:p>
    <w:p w:rsidR="00000000" w:rsidDel="00000000" w:rsidP="00000000" w:rsidRDefault="00000000" w:rsidRPr="00000000" w14:paraId="0000005C">
      <w:pPr>
        <w:rPr/>
      </w:pPr>
      <w:r w:rsidDel="00000000" w:rsidR="00000000" w:rsidRPr="00000000">
        <w:rPr>
          <w:rtl w:val="0"/>
        </w:rPr>
      </w:r>
    </w:p>
    <w:p w:rsidR="00000000" w:rsidDel="00000000" w:rsidP="00000000" w:rsidRDefault="00000000" w:rsidRPr="00000000" w14:paraId="0000005D">
      <w:pPr>
        <w:pBdr>
          <w:top w:space="0" w:sz="0" w:val="nil"/>
          <w:left w:space="0" w:sz="0" w:val="nil"/>
          <w:bottom w:space="0" w:sz="0" w:val="nil"/>
          <w:right w:space="0" w:sz="0" w:val="nil"/>
          <w:between w:space="0" w:sz="0" w:val="nil"/>
        </w:pBdr>
        <w:ind w:left="864" w:right="864" w:firstLine="0"/>
        <w:jc w:val="both"/>
        <w:rPr>
          <w:rFonts w:ascii="Palatino Linotype" w:cs="Palatino Linotype" w:eastAsia="Palatino Linotype" w:hAnsi="Palatino Linotype"/>
          <w:b w:val="1"/>
          <w:i w:val="1"/>
        </w:rPr>
      </w:pPr>
      <w:r w:rsidDel="00000000" w:rsidR="00000000" w:rsidRPr="00000000">
        <w:rPr>
          <w:rFonts w:ascii="Palatino Linotype" w:cs="Palatino Linotype" w:eastAsia="Palatino Linotype" w:hAnsi="Palatino Linotype"/>
          <w:b w:val="1"/>
          <w:i w:val="1"/>
          <w:rtl w:val="0"/>
        </w:rPr>
        <w:t xml:space="preserve">Las normas relativas a los derechos humanos se interpretarán de conformidad con esta Constitución y con los tratados internacionales de la materia favoreciendo en todo tiempo a las personas la protección más amplia.</w:t>
      </w:r>
    </w:p>
    <w:p w:rsidR="00000000" w:rsidDel="00000000" w:rsidP="00000000" w:rsidRDefault="00000000" w:rsidRPr="00000000" w14:paraId="0000005E">
      <w:pPr>
        <w:rPr/>
      </w:pPr>
      <w:r w:rsidDel="00000000" w:rsidR="00000000" w:rsidRPr="00000000">
        <w:rPr>
          <w:rtl w:val="0"/>
        </w:rPr>
      </w:r>
    </w:p>
    <w:p w:rsidR="00000000" w:rsidDel="00000000" w:rsidP="00000000" w:rsidRDefault="00000000" w:rsidRPr="00000000" w14:paraId="0000005F">
      <w:pPr>
        <w:pBdr>
          <w:top w:space="0" w:sz="0" w:val="nil"/>
          <w:left w:space="0" w:sz="0" w:val="nil"/>
          <w:bottom w:space="0" w:sz="0" w:val="nil"/>
          <w:right w:space="0" w:sz="0" w:val="nil"/>
          <w:between w:space="0" w:sz="0" w:val="nil"/>
        </w:pBdr>
        <w:ind w:left="864" w:right="864"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u w:val="single"/>
          <w:rtl w:val="0"/>
        </w:rPr>
        <w:t xml:space="preserve">Todas las autoridades, en el ámbito de sus competencias, tienen la obligación de promover, respetar, proteger y garantizar los derechos humanos de conformidad con los principios de universalidad, interdependencia, indivisibilidad y progresividad.</w:t>
      </w:r>
      <w:r w:rsidDel="00000000" w:rsidR="00000000" w:rsidRPr="00000000">
        <w:rPr>
          <w:rFonts w:ascii="Palatino Linotype" w:cs="Palatino Linotype" w:eastAsia="Palatino Linotype" w:hAnsi="Palatino Linotype"/>
          <w:i w:val="1"/>
          <w:rtl w:val="0"/>
        </w:rPr>
        <w:t xml:space="preserve"> En consecuencia, el Estado deberá prevenir, investigar, sancionar y reparar las violaciones a los derechos humanos, en los términos que establezca la ley</w:t>
      </w:r>
    </w:p>
    <w:p w:rsidR="00000000" w:rsidDel="00000000" w:rsidP="00000000" w:rsidRDefault="00000000" w:rsidRPr="00000000" w14:paraId="00000060">
      <w:pPr>
        <w:pBdr>
          <w:top w:space="0" w:sz="0" w:val="nil"/>
          <w:left w:space="0" w:sz="0" w:val="nil"/>
          <w:bottom w:space="0" w:sz="0" w:val="nil"/>
          <w:right w:space="0" w:sz="0" w:val="nil"/>
          <w:between w:space="0" w:sz="0" w:val="nil"/>
        </w:pBdr>
        <w:ind w:left="864" w:right="864"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061">
      <w:pPr>
        <w:pBdr>
          <w:top w:space="0" w:sz="0" w:val="nil"/>
          <w:left w:space="0" w:sz="0" w:val="nil"/>
          <w:bottom w:space="0" w:sz="0" w:val="nil"/>
          <w:right w:space="0" w:sz="0" w:val="nil"/>
          <w:between w:space="0" w:sz="0" w:val="nil"/>
        </w:pBdr>
        <w:ind w:left="864" w:right="864"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Artículo 6o.</w:t>
      </w:r>
      <w:r w:rsidDel="00000000" w:rsidR="00000000" w:rsidRPr="00000000">
        <w:rPr>
          <w:rtl w:val="0"/>
        </w:rPr>
      </w:r>
    </w:p>
    <w:p w:rsidR="00000000" w:rsidDel="00000000" w:rsidP="00000000" w:rsidRDefault="00000000" w:rsidRPr="00000000" w14:paraId="00000062">
      <w:pPr>
        <w:pBdr>
          <w:top w:space="0" w:sz="0" w:val="nil"/>
          <w:left w:space="0" w:sz="0" w:val="nil"/>
          <w:bottom w:space="0" w:sz="0" w:val="nil"/>
          <w:right w:space="0" w:sz="0" w:val="nil"/>
          <w:between w:space="0" w:sz="0" w:val="nil"/>
        </w:pBdr>
        <w:ind w:left="864" w:right="864"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063">
      <w:pPr>
        <w:pBdr>
          <w:top w:space="0" w:sz="0" w:val="nil"/>
          <w:left w:space="0" w:sz="0" w:val="nil"/>
          <w:bottom w:space="0" w:sz="0" w:val="nil"/>
          <w:right w:space="0" w:sz="0" w:val="nil"/>
          <w:between w:space="0" w:sz="0" w:val="nil"/>
        </w:pBdr>
        <w:ind w:left="864" w:right="864"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A. Para el ejercicio del derecho de acceso a la información, la Federación y </w:t>
      </w:r>
      <w:r w:rsidDel="00000000" w:rsidR="00000000" w:rsidRPr="00000000">
        <w:rPr>
          <w:rFonts w:ascii="Palatino Linotype" w:cs="Palatino Linotype" w:eastAsia="Palatino Linotype" w:hAnsi="Palatino Linotype"/>
          <w:b w:val="1"/>
          <w:i w:val="1"/>
          <w:u w:val="single"/>
          <w:rtl w:val="0"/>
        </w:rPr>
        <w:t xml:space="preserve">las entidades federativas</w:t>
      </w:r>
      <w:r w:rsidDel="00000000" w:rsidR="00000000" w:rsidRPr="00000000">
        <w:rPr>
          <w:rFonts w:ascii="Palatino Linotype" w:cs="Palatino Linotype" w:eastAsia="Palatino Linotype" w:hAnsi="Palatino Linotype"/>
          <w:b w:val="1"/>
          <w:i w:val="1"/>
          <w:rtl w:val="0"/>
        </w:rPr>
        <w:t xml:space="preserve">,</w:t>
      </w:r>
      <w:r w:rsidDel="00000000" w:rsidR="00000000" w:rsidRPr="00000000">
        <w:rPr>
          <w:rFonts w:ascii="Palatino Linotype" w:cs="Palatino Linotype" w:eastAsia="Palatino Linotype" w:hAnsi="Palatino Linotype"/>
          <w:i w:val="1"/>
          <w:rtl w:val="0"/>
        </w:rPr>
        <w:t xml:space="preserve"> en el ámbito de sus respectivas competencias, se regirán por los siguientes principios y bases:</w:t>
      </w:r>
    </w:p>
    <w:p w:rsidR="00000000" w:rsidDel="00000000" w:rsidP="00000000" w:rsidRDefault="00000000" w:rsidRPr="00000000" w14:paraId="00000064">
      <w:pPr>
        <w:rPr/>
      </w:pPr>
      <w:r w:rsidDel="00000000" w:rsidR="00000000" w:rsidRPr="00000000">
        <w:rPr>
          <w:rtl w:val="0"/>
        </w:rPr>
      </w:r>
    </w:p>
    <w:p w:rsidR="00000000" w:rsidDel="00000000" w:rsidP="00000000" w:rsidRDefault="00000000" w:rsidRPr="00000000" w14:paraId="00000065">
      <w:pPr>
        <w:pBdr>
          <w:top w:space="0" w:sz="0" w:val="nil"/>
          <w:left w:space="0" w:sz="0" w:val="nil"/>
          <w:bottom w:space="0" w:sz="0" w:val="nil"/>
          <w:right w:space="0" w:sz="0" w:val="nil"/>
          <w:between w:space="0" w:sz="0" w:val="nil"/>
        </w:pBdr>
        <w:ind w:left="864" w:right="864"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b w:val="1"/>
          <w:i w:val="1"/>
          <w:rtl w:val="0"/>
        </w:rPr>
        <w:t xml:space="preserve">I. </w:t>
      </w:r>
      <w:r w:rsidDel="00000000" w:rsidR="00000000" w:rsidRPr="00000000">
        <w:rPr>
          <w:rFonts w:ascii="Palatino Linotype" w:cs="Palatino Linotype" w:eastAsia="Palatino Linotype" w:hAnsi="Palatino Linotype"/>
          <w:b w:val="1"/>
          <w:i w:val="1"/>
          <w:u w:val="single"/>
          <w:rtl w:val="0"/>
        </w:rPr>
        <w:t xml:space="preserve">Toda la información en posesión de cualquier autoridad, entidad, órgano y organismo de los Poderes</w:t>
      </w:r>
      <w:r w:rsidDel="00000000" w:rsidR="00000000" w:rsidRPr="00000000">
        <w:rPr>
          <w:rFonts w:ascii="Palatino Linotype" w:cs="Palatino Linotype" w:eastAsia="Palatino Linotype" w:hAnsi="Palatino Linotype"/>
          <w:i w:val="1"/>
          <w:rtl w:val="0"/>
        </w:rPr>
        <w:t xml:space="preserve"> Ejecutivo, Legislativo </w:t>
      </w:r>
      <w:r w:rsidDel="00000000" w:rsidR="00000000" w:rsidRPr="00000000">
        <w:rPr>
          <w:rFonts w:ascii="Palatino Linotype" w:cs="Palatino Linotype" w:eastAsia="Palatino Linotype" w:hAnsi="Palatino Linotype"/>
          <w:b w:val="1"/>
          <w:i w:val="1"/>
          <w:u w:val="single"/>
          <w:rtl w:val="0"/>
        </w:rPr>
        <w:t xml:space="preserve">y Judicial</w:t>
      </w:r>
      <w:r w:rsidDel="00000000" w:rsidR="00000000" w:rsidRPr="00000000">
        <w:rPr>
          <w:rFonts w:ascii="Palatino Linotype" w:cs="Palatino Linotype" w:eastAsia="Palatino Linotype" w:hAnsi="Palatino Linotype"/>
          <w:i w:val="1"/>
          <w:rtl w:val="0"/>
        </w:rPr>
        <w:t xml:space="preserve">, órganos autónomos, partidos políticos, fideicomisos y fondos públicos, así como de cualquier persona física, moral o sindicato que reciba y ejerza recursos públicos o realice actos de autoridad en el ámbito federal, estatal y municipal, </w:t>
      </w:r>
      <w:r w:rsidDel="00000000" w:rsidR="00000000" w:rsidRPr="00000000">
        <w:rPr>
          <w:rFonts w:ascii="Palatino Linotype" w:cs="Palatino Linotype" w:eastAsia="Palatino Linotype" w:hAnsi="Palatino Linotype"/>
          <w:b w:val="1"/>
          <w:i w:val="1"/>
          <w:rtl w:val="0"/>
        </w:rPr>
        <w:t xml:space="preserve">es pública y sólo podrá ser reservada temporalmente por razones de interés público y seguridad nacional,</w:t>
      </w:r>
      <w:r w:rsidDel="00000000" w:rsidR="00000000" w:rsidRPr="00000000">
        <w:rPr>
          <w:rFonts w:ascii="Palatino Linotype" w:cs="Palatino Linotype" w:eastAsia="Palatino Linotype" w:hAnsi="Palatino Linotype"/>
          <w:i w:val="1"/>
          <w:rtl w:val="0"/>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000000" w:rsidDel="00000000" w:rsidP="00000000" w:rsidRDefault="00000000" w:rsidRPr="00000000" w14:paraId="00000066">
      <w:pPr>
        <w:rPr/>
      </w:pPr>
      <w:r w:rsidDel="00000000" w:rsidR="00000000" w:rsidRPr="00000000">
        <w:rPr>
          <w:rtl w:val="0"/>
        </w:rPr>
      </w:r>
    </w:p>
    <w:p w:rsidR="00000000" w:rsidDel="00000000" w:rsidP="00000000" w:rsidRDefault="00000000" w:rsidRPr="00000000" w14:paraId="00000067">
      <w:pPr>
        <w:pBdr>
          <w:top w:space="0" w:sz="0" w:val="nil"/>
          <w:left w:space="0" w:sz="0" w:val="nil"/>
          <w:bottom w:space="0" w:sz="0" w:val="nil"/>
          <w:right w:space="0" w:sz="0" w:val="nil"/>
          <w:between w:space="0" w:sz="0" w:val="nil"/>
        </w:pBdr>
        <w:ind w:left="864" w:right="864" w:firstLine="0"/>
        <w:jc w:val="both"/>
        <w:rPr>
          <w:rFonts w:ascii="Palatino Linotype" w:cs="Palatino Linotype" w:eastAsia="Palatino Linotype" w:hAnsi="Palatino Linotype"/>
          <w:b w:val="1"/>
          <w:i w:val="1"/>
        </w:rPr>
      </w:pP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b w:val="1"/>
          <w:i w:val="1"/>
          <w:rtl w:val="0"/>
        </w:rPr>
        <w:t xml:space="preserve">II. La información que se refiere a la vida privada y los datos personales será protegida en los términos y con las excepciones que fijen las leyes.</w:t>
      </w:r>
    </w:p>
    <w:p w:rsidR="00000000" w:rsidDel="00000000" w:rsidP="00000000" w:rsidRDefault="00000000" w:rsidRPr="00000000" w14:paraId="00000068">
      <w:pPr>
        <w:rPr/>
      </w:pPr>
      <w:r w:rsidDel="00000000" w:rsidR="00000000" w:rsidRPr="00000000">
        <w:rPr>
          <w:rtl w:val="0"/>
        </w:rPr>
      </w:r>
    </w:p>
    <w:p w:rsidR="00000000" w:rsidDel="00000000" w:rsidP="00000000" w:rsidRDefault="00000000" w:rsidRPr="00000000" w14:paraId="00000069">
      <w:pPr>
        <w:pBdr>
          <w:top w:space="0" w:sz="0" w:val="nil"/>
          <w:left w:space="0" w:sz="0" w:val="nil"/>
          <w:bottom w:space="0" w:sz="0" w:val="nil"/>
          <w:right w:space="0" w:sz="0" w:val="nil"/>
          <w:between w:space="0" w:sz="0" w:val="nil"/>
        </w:pBdr>
        <w:ind w:left="864" w:right="864"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b w:val="1"/>
          <w:i w:val="1"/>
          <w:rtl w:val="0"/>
        </w:rPr>
        <w:t xml:space="preserve">III. </w:t>
      </w:r>
      <w:r w:rsidDel="00000000" w:rsidR="00000000" w:rsidRPr="00000000">
        <w:rPr>
          <w:rFonts w:ascii="Palatino Linotype" w:cs="Palatino Linotype" w:eastAsia="Palatino Linotype" w:hAnsi="Palatino Linotype"/>
          <w:b w:val="1"/>
          <w:i w:val="1"/>
          <w:u w:val="single"/>
          <w:rtl w:val="0"/>
        </w:rPr>
        <w:t xml:space="preserve">Toda persona, sin necesidad de acreditar interés alguno o justificar su utilización, tendrá acceso gratuito a la información pública,</w:t>
      </w:r>
      <w:r w:rsidDel="00000000" w:rsidR="00000000" w:rsidRPr="00000000">
        <w:rPr>
          <w:rFonts w:ascii="Palatino Linotype" w:cs="Palatino Linotype" w:eastAsia="Palatino Linotype" w:hAnsi="Palatino Linotype"/>
          <w:i w:val="1"/>
          <w:rtl w:val="0"/>
        </w:rPr>
        <w:t xml:space="preserve"> a sus datos personales o a la rectificación de éstos.</w:t>
      </w:r>
    </w:p>
    <w:p w:rsidR="00000000" w:rsidDel="00000000" w:rsidP="00000000" w:rsidRDefault="00000000" w:rsidRPr="00000000" w14:paraId="0000006A">
      <w:pPr>
        <w:rPr/>
      </w:pPr>
      <w:r w:rsidDel="00000000" w:rsidR="00000000" w:rsidRPr="00000000">
        <w:rPr>
          <w:rtl w:val="0"/>
        </w:rPr>
      </w:r>
    </w:p>
    <w:p w:rsidR="00000000" w:rsidDel="00000000" w:rsidP="00000000" w:rsidRDefault="00000000" w:rsidRPr="00000000" w14:paraId="0000006B">
      <w:pPr>
        <w:pBdr>
          <w:top w:space="0" w:sz="0" w:val="nil"/>
          <w:left w:space="0" w:sz="0" w:val="nil"/>
          <w:bottom w:space="0" w:sz="0" w:val="nil"/>
          <w:right w:space="0" w:sz="0" w:val="nil"/>
          <w:between w:space="0" w:sz="0" w:val="nil"/>
        </w:pBdr>
        <w:ind w:left="864" w:right="864"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b w:val="1"/>
          <w:i w:val="1"/>
          <w:rtl w:val="0"/>
        </w:rPr>
        <w:t xml:space="preserve">IV. </w:t>
      </w:r>
      <w:r w:rsidDel="00000000" w:rsidR="00000000" w:rsidRPr="00000000">
        <w:rPr>
          <w:rFonts w:ascii="Palatino Linotype" w:cs="Palatino Linotype" w:eastAsia="Palatino Linotype" w:hAnsi="Palatino Linotype"/>
          <w:i w:val="1"/>
          <w:rtl w:val="0"/>
        </w:rPr>
        <w:t xml:space="preserve">Se establecerán mecanismos de acceso a la información y procedimientos de revisión expeditos que se sustanciarán ante los organismos autónomos especializados e imparciales que establece esta Constitución.</w:t>
      </w:r>
    </w:p>
    <w:p w:rsidR="00000000" w:rsidDel="00000000" w:rsidP="00000000" w:rsidRDefault="00000000" w:rsidRPr="00000000" w14:paraId="0000006C">
      <w:pPr>
        <w:rPr/>
      </w:pPr>
      <w:r w:rsidDel="00000000" w:rsidR="00000000" w:rsidRPr="00000000">
        <w:rPr>
          <w:rtl w:val="0"/>
        </w:rPr>
      </w:r>
    </w:p>
    <w:p w:rsidR="00000000" w:rsidDel="00000000" w:rsidP="00000000" w:rsidRDefault="00000000" w:rsidRPr="00000000" w14:paraId="0000006D">
      <w:pPr>
        <w:pBdr>
          <w:top w:space="0" w:sz="0" w:val="nil"/>
          <w:left w:space="0" w:sz="0" w:val="nil"/>
          <w:bottom w:space="0" w:sz="0" w:val="nil"/>
          <w:right w:space="0" w:sz="0" w:val="nil"/>
          <w:between w:space="0" w:sz="0" w:val="nil"/>
        </w:pBdr>
        <w:ind w:left="864" w:right="864"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V. </w:t>
      </w:r>
      <w:r w:rsidDel="00000000" w:rsidR="00000000" w:rsidRPr="00000000">
        <w:rPr>
          <w:rFonts w:ascii="Palatino Linotype" w:cs="Palatino Linotype" w:eastAsia="Palatino Linotype" w:hAnsi="Palatino Linotype"/>
          <w:i w:val="1"/>
          <w:rtl w:val="0"/>
        </w:rPr>
        <w:t xml:space="preserve">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000000" w:rsidDel="00000000" w:rsidP="00000000" w:rsidRDefault="00000000" w:rsidRPr="00000000" w14:paraId="0000006E">
      <w:pPr>
        <w:rPr/>
      </w:pPr>
      <w:r w:rsidDel="00000000" w:rsidR="00000000" w:rsidRPr="00000000">
        <w:rPr>
          <w:rtl w:val="0"/>
        </w:rPr>
      </w:r>
    </w:p>
    <w:p w:rsidR="00000000" w:rsidDel="00000000" w:rsidP="00000000" w:rsidRDefault="00000000" w:rsidRPr="00000000" w14:paraId="0000006F">
      <w:pPr>
        <w:pBdr>
          <w:top w:space="0" w:sz="0" w:val="nil"/>
          <w:left w:space="0" w:sz="0" w:val="nil"/>
          <w:bottom w:space="0" w:sz="0" w:val="nil"/>
          <w:right w:space="0" w:sz="0" w:val="nil"/>
          <w:between w:space="0" w:sz="0" w:val="nil"/>
        </w:pBdr>
        <w:ind w:left="864" w:right="864"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b w:val="1"/>
          <w:i w:val="1"/>
          <w:rtl w:val="0"/>
        </w:rPr>
        <w:t xml:space="preserve">VI. </w:t>
      </w:r>
      <w:r w:rsidDel="00000000" w:rsidR="00000000" w:rsidRPr="00000000">
        <w:rPr>
          <w:rFonts w:ascii="Palatino Linotype" w:cs="Palatino Linotype" w:eastAsia="Palatino Linotype" w:hAnsi="Palatino Linotype"/>
          <w:i w:val="1"/>
          <w:rtl w:val="0"/>
        </w:rPr>
        <w:t xml:space="preserve">Las leyes determinarán la manera en que los sujetos obligados deberán hacer pública la información relativa a los recursos públicos que entreguen a personas físicas o morales.</w:t>
      </w:r>
    </w:p>
    <w:p w:rsidR="00000000" w:rsidDel="00000000" w:rsidP="00000000" w:rsidRDefault="00000000" w:rsidRPr="00000000" w14:paraId="00000070">
      <w:pPr>
        <w:rPr/>
      </w:pPr>
      <w:r w:rsidDel="00000000" w:rsidR="00000000" w:rsidRPr="00000000">
        <w:rPr>
          <w:rtl w:val="0"/>
        </w:rPr>
      </w:r>
    </w:p>
    <w:p w:rsidR="00000000" w:rsidDel="00000000" w:rsidP="00000000" w:rsidRDefault="00000000" w:rsidRPr="00000000" w14:paraId="00000071">
      <w:pPr>
        <w:pBdr>
          <w:top w:space="0" w:sz="0" w:val="nil"/>
          <w:left w:space="0" w:sz="0" w:val="nil"/>
          <w:bottom w:space="0" w:sz="0" w:val="nil"/>
          <w:right w:space="0" w:sz="0" w:val="nil"/>
          <w:between w:space="0" w:sz="0" w:val="nil"/>
        </w:pBdr>
        <w:ind w:left="864" w:right="864"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b w:val="1"/>
          <w:i w:val="1"/>
          <w:rtl w:val="0"/>
        </w:rPr>
        <w:t xml:space="preserve">VII. </w:t>
      </w:r>
      <w:r w:rsidDel="00000000" w:rsidR="00000000" w:rsidRPr="00000000">
        <w:rPr>
          <w:rFonts w:ascii="Palatino Linotype" w:cs="Palatino Linotype" w:eastAsia="Palatino Linotype" w:hAnsi="Palatino Linotype"/>
          <w:i w:val="1"/>
          <w:rtl w:val="0"/>
        </w:rPr>
        <w:t xml:space="preserve">La inobservancia a las disposiciones en materia de acceso a la información pública será sancionada en los términos que dispongan las leyes. </w:t>
      </w:r>
    </w:p>
    <w:p w:rsidR="00000000" w:rsidDel="00000000" w:rsidP="00000000" w:rsidRDefault="00000000" w:rsidRPr="00000000" w14:paraId="00000072">
      <w:pPr>
        <w:pBdr>
          <w:top w:space="0" w:sz="0" w:val="nil"/>
          <w:left w:space="0" w:sz="0" w:val="nil"/>
          <w:bottom w:space="0" w:sz="0" w:val="nil"/>
          <w:right w:space="0" w:sz="0" w:val="nil"/>
          <w:between w:space="0" w:sz="0" w:val="nil"/>
        </w:pBdr>
        <w:ind w:left="864" w:right="864"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073">
      <w:pPr>
        <w:tabs>
          <w:tab w:val="left" w:leader="none" w:pos="709"/>
        </w:tabs>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Así, de la interpretación sistémica de los numerales inmersos en el instrumento legal nacional, el derecho de acceso a la información es un derecho del cual goza toda persona sin discriminación alguna, el cual se ejerce ante los Poderes del Estado, entidades, dependencias o cualquiera persona física o moral que reciba y ejerza recursos públicos, siendo pública toda la información que posean con las excepciones enmarcadas, para lo cual queda demostrado que los Sujetos Obligados deben cumplir con dichos dispositivos legales.</w:t>
      </w:r>
    </w:p>
    <w:p w:rsidR="00000000" w:rsidDel="00000000" w:rsidP="00000000" w:rsidRDefault="00000000" w:rsidRPr="00000000" w14:paraId="00000074">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75">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En ese orden de ideas, la Ley de Transparencia y Acceso a la Información Pública del Estado de México y Municipios, prevé en su artículo 23, lo siguiente:</w:t>
      </w:r>
    </w:p>
    <w:p w:rsidR="00000000" w:rsidDel="00000000" w:rsidP="00000000" w:rsidRDefault="00000000" w:rsidRPr="00000000" w14:paraId="00000076">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77">
      <w:pPr>
        <w:pBdr>
          <w:top w:space="0" w:sz="0" w:val="nil"/>
          <w:left w:space="0" w:sz="0" w:val="nil"/>
          <w:bottom w:space="0" w:sz="0" w:val="nil"/>
          <w:right w:space="0" w:sz="0" w:val="nil"/>
          <w:between w:space="0" w:sz="0" w:val="nil"/>
        </w:pBdr>
        <w:ind w:left="864" w:right="864"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Artículo 23. Son sujetos obligados a transparentar y permitir el acceso a su información y proteger los datos personales que obren en su poder</w:t>
      </w: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078">
      <w:pPr>
        <w:pBdr>
          <w:top w:space="0" w:sz="0" w:val="nil"/>
          <w:left w:space="0" w:sz="0" w:val="nil"/>
          <w:bottom w:space="0" w:sz="0" w:val="nil"/>
          <w:right w:space="0" w:sz="0" w:val="nil"/>
          <w:between w:space="0" w:sz="0" w:val="nil"/>
        </w:pBdr>
        <w:ind w:left="864" w:right="864" w:firstLine="0"/>
        <w:jc w:val="both"/>
        <w:rPr>
          <w:rFonts w:ascii="Palatino Linotype" w:cs="Palatino Linotype" w:eastAsia="Palatino Linotype" w:hAnsi="Palatino Linotype"/>
          <w:b w:val="1"/>
          <w:i w:val="1"/>
        </w:rPr>
      </w:pPr>
      <w:r w:rsidDel="00000000" w:rsidR="00000000" w:rsidRPr="00000000">
        <w:rPr>
          <w:rFonts w:ascii="Palatino Linotype" w:cs="Palatino Linotype" w:eastAsia="Palatino Linotype" w:hAnsi="Palatino Linotype"/>
          <w:b w:val="1"/>
          <w:i w:val="1"/>
          <w:rtl w:val="0"/>
        </w:rPr>
        <w:t xml:space="preserve">I.</w:t>
      </w:r>
      <w:r w:rsidDel="00000000" w:rsidR="00000000" w:rsidRPr="00000000">
        <w:rPr>
          <w:rFonts w:ascii="Palatino Linotype" w:cs="Palatino Linotype" w:eastAsia="Palatino Linotype" w:hAnsi="Palatino Linotype"/>
          <w:i w:val="1"/>
          <w:rtl w:val="0"/>
        </w:rPr>
        <w:t xml:space="preserve"> El Poder Ejecutivo del Estado de México, las dependencias, organismos auxiliares,</w:t>
      </w:r>
      <w:r w:rsidDel="00000000" w:rsidR="00000000" w:rsidRPr="00000000">
        <w:rPr>
          <w:rFonts w:ascii="Palatino Linotype" w:cs="Palatino Linotype" w:eastAsia="Palatino Linotype" w:hAnsi="Palatino Linotype"/>
          <w:b w:val="1"/>
          <w:i w:val="1"/>
          <w:rtl w:val="0"/>
        </w:rPr>
        <w:t xml:space="preserve"> </w:t>
      </w:r>
      <w:r w:rsidDel="00000000" w:rsidR="00000000" w:rsidRPr="00000000">
        <w:rPr>
          <w:rFonts w:ascii="Palatino Linotype" w:cs="Palatino Linotype" w:eastAsia="Palatino Linotype" w:hAnsi="Palatino Linotype"/>
          <w:i w:val="1"/>
          <w:rtl w:val="0"/>
        </w:rPr>
        <w:t xml:space="preserve">órganos, entidades, fideicomisos y fondos públicos, así como la Procuraduría General de Justicia;</w:t>
      </w:r>
      <w:r w:rsidDel="00000000" w:rsidR="00000000" w:rsidRPr="00000000">
        <w:rPr>
          <w:rtl w:val="0"/>
        </w:rPr>
      </w:r>
    </w:p>
    <w:p w:rsidR="00000000" w:rsidDel="00000000" w:rsidP="00000000" w:rsidRDefault="00000000" w:rsidRPr="00000000" w14:paraId="00000079">
      <w:pPr>
        <w:pBdr>
          <w:top w:space="0" w:sz="0" w:val="nil"/>
          <w:left w:space="0" w:sz="0" w:val="nil"/>
          <w:bottom w:space="0" w:sz="0" w:val="nil"/>
          <w:right w:space="0" w:sz="0" w:val="nil"/>
          <w:between w:space="0" w:sz="0" w:val="nil"/>
        </w:pBdr>
        <w:ind w:left="864" w:right="864"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II.</w:t>
      </w:r>
      <w:r w:rsidDel="00000000" w:rsidR="00000000" w:rsidRPr="00000000">
        <w:rPr>
          <w:rFonts w:ascii="Palatino Linotype" w:cs="Palatino Linotype" w:eastAsia="Palatino Linotype" w:hAnsi="Palatino Linotype"/>
          <w:i w:val="1"/>
          <w:rtl w:val="0"/>
        </w:rPr>
        <w:t xml:space="preserve"> El Poder Legislativo del Estado, los organismos, órganos y entidades de la Legislatura y sus dependencias;</w:t>
      </w:r>
    </w:p>
    <w:p w:rsidR="00000000" w:rsidDel="00000000" w:rsidP="00000000" w:rsidRDefault="00000000" w:rsidRPr="00000000" w14:paraId="0000007A">
      <w:pPr>
        <w:pBdr>
          <w:top w:space="0" w:sz="0" w:val="nil"/>
          <w:left w:space="0" w:sz="0" w:val="nil"/>
          <w:bottom w:space="0" w:sz="0" w:val="nil"/>
          <w:right w:space="0" w:sz="0" w:val="nil"/>
          <w:between w:space="0" w:sz="0" w:val="nil"/>
        </w:pBdr>
        <w:ind w:left="864" w:right="864"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III.</w:t>
      </w:r>
      <w:r w:rsidDel="00000000" w:rsidR="00000000" w:rsidRPr="00000000">
        <w:rPr>
          <w:rFonts w:ascii="Palatino Linotype" w:cs="Palatino Linotype" w:eastAsia="Palatino Linotype" w:hAnsi="Palatino Linotype"/>
          <w:i w:val="1"/>
          <w:rtl w:val="0"/>
        </w:rPr>
        <w:t xml:space="preserve"> El Poder Judicial, sus organismos, órganos y entidades, así como el Consejo de la Judicatura del Estado;</w:t>
      </w:r>
    </w:p>
    <w:p w:rsidR="00000000" w:rsidDel="00000000" w:rsidP="00000000" w:rsidRDefault="00000000" w:rsidRPr="00000000" w14:paraId="0000007B">
      <w:pPr>
        <w:pBdr>
          <w:top w:space="0" w:sz="0" w:val="nil"/>
          <w:left w:space="0" w:sz="0" w:val="nil"/>
          <w:bottom w:space="0" w:sz="0" w:val="nil"/>
          <w:right w:space="0" w:sz="0" w:val="nil"/>
          <w:between w:space="0" w:sz="0" w:val="nil"/>
        </w:pBdr>
        <w:ind w:left="864" w:right="864"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IV. Los ayuntamientos y las dependencias, organismos, órganos y entidades de la administración municipal;</w:t>
      </w:r>
    </w:p>
    <w:p w:rsidR="00000000" w:rsidDel="00000000" w:rsidP="00000000" w:rsidRDefault="00000000" w:rsidRPr="00000000" w14:paraId="0000007C">
      <w:pPr>
        <w:pBdr>
          <w:top w:space="0" w:sz="0" w:val="nil"/>
          <w:left w:space="0" w:sz="0" w:val="nil"/>
          <w:bottom w:space="0" w:sz="0" w:val="nil"/>
          <w:right w:space="0" w:sz="0" w:val="nil"/>
          <w:between w:space="0" w:sz="0" w:val="nil"/>
        </w:pBdr>
        <w:ind w:left="864" w:right="864"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V.</w:t>
      </w:r>
      <w:r w:rsidDel="00000000" w:rsidR="00000000" w:rsidRPr="00000000">
        <w:rPr>
          <w:rFonts w:ascii="Palatino Linotype" w:cs="Palatino Linotype" w:eastAsia="Palatino Linotype" w:hAnsi="Palatino Linotype"/>
          <w:i w:val="1"/>
          <w:rtl w:val="0"/>
        </w:rPr>
        <w:t xml:space="preserve"> Los órganos autónomos;</w:t>
      </w:r>
    </w:p>
    <w:p w:rsidR="00000000" w:rsidDel="00000000" w:rsidP="00000000" w:rsidRDefault="00000000" w:rsidRPr="00000000" w14:paraId="0000007D">
      <w:pPr>
        <w:pBdr>
          <w:top w:space="0" w:sz="0" w:val="nil"/>
          <w:left w:space="0" w:sz="0" w:val="nil"/>
          <w:bottom w:space="0" w:sz="0" w:val="nil"/>
          <w:right w:space="0" w:sz="0" w:val="nil"/>
          <w:between w:space="0" w:sz="0" w:val="nil"/>
        </w:pBdr>
        <w:ind w:left="864" w:right="864"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VI.</w:t>
      </w:r>
      <w:r w:rsidDel="00000000" w:rsidR="00000000" w:rsidRPr="00000000">
        <w:rPr>
          <w:rFonts w:ascii="Palatino Linotype" w:cs="Palatino Linotype" w:eastAsia="Palatino Linotype" w:hAnsi="Palatino Linotype"/>
          <w:i w:val="1"/>
          <w:rtl w:val="0"/>
        </w:rPr>
        <w:t xml:space="preserve"> Los tribunales administrativos y autoridades jurisdiccionales en materia laboral;</w:t>
      </w:r>
    </w:p>
    <w:p w:rsidR="00000000" w:rsidDel="00000000" w:rsidP="00000000" w:rsidRDefault="00000000" w:rsidRPr="00000000" w14:paraId="0000007E">
      <w:pPr>
        <w:pBdr>
          <w:top w:space="0" w:sz="0" w:val="nil"/>
          <w:left w:space="0" w:sz="0" w:val="nil"/>
          <w:bottom w:space="0" w:sz="0" w:val="nil"/>
          <w:right w:space="0" w:sz="0" w:val="nil"/>
          <w:between w:space="0" w:sz="0" w:val="nil"/>
        </w:pBdr>
        <w:ind w:left="864" w:right="864"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VII.</w:t>
      </w:r>
      <w:r w:rsidDel="00000000" w:rsidR="00000000" w:rsidRPr="00000000">
        <w:rPr>
          <w:rFonts w:ascii="Palatino Linotype" w:cs="Palatino Linotype" w:eastAsia="Palatino Linotype" w:hAnsi="Palatino Linotype"/>
          <w:i w:val="1"/>
          <w:rtl w:val="0"/>
        </w:rPr>
        <w:t xml:space="preserve"> Los partidos políticos y agrupaciones políticas, en los términos de las disposiciones aplicables;</w:t>
      </w:r>
    </w:p>
    <w:p w:rsidR="00000000" w:rsidDel="00000000" w:rsidP="00000000" w:rsidRDefault="00000000" w:rsidRPr="00000000" w14:paraId="0000007F">
      <w:pPr>
        <w:pBdr>
          <w:top w:space="0" w:sz="0" w:val="nil"/>
          <w:left w:space="0" w:sz="0" w:val="nil"/>
          <w:bottom w:space="0" w:sz="0" w:val="nil"/>
          <w:right w:space="0" w:sz="0" w:val="nil"/>
          <w:between w:space="0" w:sz="0" w:val="nil"/>
        </w:pBdr>
        <w:ind w:left="864" w:right="864"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VIII.</w:t>
      </w:r>
      <w:r w:rsidDel="00000000" w:rsidR="00000000" w:rsidRPr="00000000">
        <w:rPr>
          <w:rFonts w:ascii="Palatino Linotype" w:cs="Palatino Linotype" w:eastAsia="Palatino Linotype" w:hAnsi="Palatino Linotype"/>
          <w:i w:val="1"/>
          <w:rtl w:val="0"/>
        </w:rPr>
        <w:t xml:space="preserve"> Los fideicomisos y fondos públicos que cuenten con financiamiento público, parcial o total, o con participación de entidades de gobierno;</w:t>
      </w:r>
    </w:p>
    <w:p w:rsidR="00000000" w:rsidDel="00000000" w:rsidP="00000000" w:rsidRDefault="00000000" w:rsidRPr="00000000" w14:paraId="00000080">
      <w:pPr>
        <w:pBdr>
          <w:top w:space="0" w:sz="0" w:val="nil"/>
          <w:left w:space="0" w:sz="0" w:val="nil"/>
          <w:bottom w:space="0" w:sz="0" w:val="nil"/>
          <w:right w:space="0" w:sz="0" w:val="nil"/>
          <w:between w:space="0" w:sz="0" w:val="nil"/>
        </w:pBdr>
        <w:ind w:left="864" w:right="864"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IX.</w:t>
      </w:r>
      <w:r w:rsidDel="00000000" w:rsidR="00000000" w:rsidRPr="00000000">
        <w:rPr>
          <w:rFonts w:ascii="Palatino Linotype" w:cs="Palatino Linotype" w:eastAsia="Palatino Linotype" w:hAnsi="Palatino Linotype"/>
          <w:i w:val="1"/>
          <w:rtl w:val="0"/>
        </w:rPr>
        <w:t xml:space="preserve"> Los sindicatos que reciban y/o ejerzan recursos públicos en el ámbito estatal y municipal;</w:t>
      </w:r>
    </w:p>
    <w:p w:rsidR="00000000" w:rsidDel="00000000" w:rsidP="00000000" w:rsidRDefault="00000000" w:rsidRPr="00000000" w14:paraId="00000081">
      <w:pPr>
        <w:pBdr>
          <w:top w:space="0" w:sz="0" w:val="nil"/>
          <w:left w:space="0" w:sz="0" w:val="nil"/>
          <w:bottom w:space="0" w:sz="0" w:val="nil"/>
          <w:right w:space="0" w:sz="0" w:val="nil"/>
          <w:between w:space="0" w:sz="0" w:val="nil"/>
        </w:pBdr>
        <w:ind w:left="864" w:right="864"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X.</w:t>
      </w:r>
      <w:r w:rsidDel="00000000" w:rsidR="00000000" w:rsidRPr="00000000">
        <w:rPr>
          <w:rFonts w:ascii="Palatino Linotype" w:cs="Palatino Linotype" w:eastAsia="Palatino Linotype" w:hAnsi="Palatino Linotype"/>
          <w:i w:val="1"/>
          <w:rtl w:val="0"/>
        </w:rPr>
        <w:t xml:space="preserve"> Cualquier persona física o jurídico colectiva que reciba y ejerza recursos públicos en el ámbito estatal o municipal; y</w:t>
      </w:r>
    </w:p>
    <w:p w:rsidR="00000000" w:rsidDel="00000000" w:rsidP="00000000" w:rsidRDefault="00000000" w:rsidRPr="00000000" w14:paraId="00000082">
      <w:pPr>
        <w:pBdr>
          <w:top w:space="0" w:sz="0" w:val="nil"/>
          <w:left w:space="0" w:sz="0" w:val="nil"/>
          <w:bottom w:space="0" w:sz="0" w:val="nil"/>
          <w:right w:space="0" w:sz="0" w:val="nil"/>
          <w:between w:space="0" w:sz="0" w:val="nil"/>
        </w:pBdr>
        <w:ind w:left="864" w:right="864"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XI.</w:t>
      </w:r>
      <w:r w:rsidDel="00000000" w:rsidR="00000000" w:rsidRPr="00000000">
        <w:rPr>
          <w:rFonts w:ascii="Palatino Linotype" w:cs="Palatino Linotype" w:eastAsia="Palatino Linotype" w:hAnsi="Palatino Linotype"/>
          <w:i w:val="1"/>
          <w:rtl w:val="0"/>
        </w:rPr>
        <w:t xml:space="preserve"> Cualquier otra autoridad, entidad, órgano u organismo de los poderes estatal o municipal, que reciba recursos públicos.</w:t>
      </w:r>
    </w:p>
    <w:p w:rsidR="00000000" w:rsidDel="00000000" w:rsidP="00000000" w:rsidRDefault="00000000" w:rsidRPr="00000000" w14:paraId="00000083">
      <w:pPr>
        <w:pBdr>
          <w:top w:space="0" w:sz="0" w:val="nil"/>
          <w:left w:space="0" w:sz="0" w:val="nil"/>
          <w:bottom w:space="0" w:sz="0" w:val="nil"/>
          <w:right w:space="0" w:sz="0" w:val="nil"/>
          <w:between w:space="0" w:sz="0" w:val="nil"/>
        </w:pBdr>
        <w:ind w:left="864" w:right="864"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rsidR="00000000" w:rsidDel="00000000" w:rsidP="00000000" w:rsidRDefault="00000000" w:rsidRPr="00000000" w14:paraId="00000084">
      <w:pPr>
        <w:pBdr>
          <w:top w:space="0" w:sz="0" w:val="nil"/>
          <w:left w:space="0" w:sz="0" w:val="nil"/>
          <w:bottom w:space="0" w:sz="0" w:val="nil"/>
          <w:right w:space="0" w:sz="0" w:val="nil"/>
          <w:between w:space="0" w:sz="0" w:val="nil"/>
        </w:pBdr>
        <w:ind w:left="864" w:right="864"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Los servidores públicos deberán transparentar sus acciones, así como garantizar y respetar el derecho de acceso a la información pública</w:t>
      </w: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085">
      <w:pPr>
        <w:pBdr>
          <w:top w:space="0" w:sz="0" w:val="nil"/>
          <w:left w:space="0" w:sz="0" w:val="nil"/>
          <w:bottom w:space="0" w:sz="0" w:val="nil"/>
          <w:right w:space="0" w:sz="0" w:val="nil"/>
          <w:between w:space="0" w:sz="0" w:val="nil"/>
        </w:pBdr>
        <w:spacing w:after="0" w:line="360" w:lineRule="auto"/>
        <w:ind w:left="864" w:right="864" w:firstLine="0"/>
        <w:jc w:val="both"/>
        <w:rPr>
          <w:rFonts w:ascii="Palatino Linotype" w:cs="Palatino Linotype" w:eastAsia="Palatino Linotype" w:hAnsi="Palatino Linotype"/>
          <w:i w:val="1"/>
          <w:sz w:val="24"/>
          <w:szCs w:val="24"/>
        </w:rPr>
      </w:pPr>
      <w:r w:rsidDel="00000000" w:rsidR="00000000" w:rsidRPr="00000000">
        <w:rPr>
          <w:rtl w:val="0"/>
        </w:rPr>
      </w:r>
    </w:p>
    <w:p w:rsidR="00000000" w:rsidDel="00000000" w:rsidP="00000000" w:rsidRDefault="00000000" w:rsidRPr="00000000" w14:paraId="00000086">
      <w:pPr>
        <w:spacing w:after="0" w:line="360" w:lineRule="auto"/>
        <w:ind w:left="-142" w:firstLine="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Es así que,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 </w:t>
      </w:r>
    </w:p>
    <w:p w:rsidR="00000000" w:rsidDel="00000000" w:rsidP="00000000" w:rsidRDefault="00000000" w:rsidRPr="00000000" w14:paraId="00000087">
      <w:pPr>
        <w:spacing w:after="0" w:line="360" w:lineRule="auto"/>
        <w:ind w:left="-142" w:firstLine="0"/>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88">
      <w:pPr>
        <w:spacing w:after="0" w:line="360" w:lineRule="auto"/>
        <w:ind w:left="-142" w:firstLine="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En esa tesitura, este Instituto no omite señalar que los Sujetos Obligados deben contar con un área responsable para la atención de las solicitudes de información, a la que se le denominará Unidad de Transparencia; asimismo, deben designar a un responsable para atender dicha Unidad, quien fungirá como enlace entre éstos y los solicitantes. </w:t>
      </w:r>
    </w:p>
    <w:p w:rsidR="00000000" w:rsidDel="00000000" w:rsidP="00000000" w:rsidRDefault="00000000" w:rsidRPr="00000000" w14:paraId="00000089">
      <w:pPr>
        <w:spacing w:after="0" w:line="360" w:lineRule="auto"/>
        <w:ind w:left="-142" w:firstLine="0"/>
        <w:jc w:val="both"/>
        <w:rPr>
          <w:rFonts w:ascii="Palatino Linotype" w:cs="Palatino Linotype" w:eastAsia="Palatino Linotype" w:hAnsi="Palatino Linotype"/>
          <w:sz w:val="28"/>
          <w:szCs w:val="28"/>
        </w:rPr>
      </w:pPr>
      <w:r w:rsidDel="00000000" w:rsidR="00000000" w:rsidRPr="00000000">
        <w:rPr>
          <w:rtl w:val="0"/>
        </w:rPr>
      </w:r>
    </w:p>
    <w:p w:rsidR="00000000" w:rsidDel="00000000" w:rsidP="00000000" w:rsidRDefault="00000000" w:rsidRPr="00000000" w14:paraId="0000008A">
      <w:pPr>
        <w:widowControl w:val="0"/>
        <w:tabs>
          <w:tab w:val="left" w:leader="none" w:pos="1276"/>
        </w:tabs>
        <w:spacing w:after="0" w:line="360" w:lineRule="auto"/>
        <w:ind w:left="-142" w:firstLine="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Dicho lo anterior, se precisa que la ya mencionada Unidad de Transparencia es la encargada de tramitar internamente las solicitudes de información y tiene la responsabilidad de verificar, en cada caso, que la información no tenga el carácter de confidencial o reservada, en términos de los artículos 50 y 51 de la Ley de Transparencia y Acceso a la Información Pública del Estado de México y Municipios.</w:t>
      </w:r>
    </w:p>
    <w:p w:rsidR="00000000" w:rsidDel="00000000" w:rsidP="00000000" w:rsidRDefault="00000000" w:rsidRPr="00000000" w14:paraId="0000008B">
      <w:pPr>
        <w:widowControl w:val="0"/>
        <w:tabs>
          <w:tab w:val="left" w:leader="none" w:pos="1276"/>
        </w:tabs>
        <w:spacing w:after="0" w:line="360" w:lineRule="auto"/>
        <w:ind w:left="-142" w:firstLine="0"/>
        <w:jc w:val="both"/>
        <w:rPr>
          <w:rFonts w:ascii="Palatino Linotype" w:cs="Palatino Linotype" w:eastAsia="Palatino Linotype" w:hAnsi="Palatino Linotype"/>
          <w:sz w:val="28"/>
          <w:szCs w:val="28"/>
        </w:rPr>
      </w:pPr>
      <w:r w:rsidDel="00000000" w:rsidR="00000000" w:rsidRPr="00000000">
        <w:rPr>
          <w:rtl w:val="0"/>
        </w:rPr>
      </w:r>
    </w:p>
    <w:p w:rsidR="00000000" w:rsidDel="00000000" w:rsidP="00000000" w:rsidRDefault="00000000" w:rsidRPr="00000000" w14:paraId="0000008C">
      <w:pPr>
        <w:widowControl w:val="0"/>
        <w:tabs>
          <w:tab w:val="left" w:leader="none" w:pos="1276"/>
        </w:tabs>
        <w:spacing w:after="0" w:line="360" w:lineRule="auto"/>
        <w:ind w:left="-142" w:firstLine="0"/>
        <w:jc w:val="both"/>
        <w:rPr>
          <w:rFonts w:ascii="Palatino Linotype" w:cs="Palatino Linotype" w:eastAsia="Palatino Linotype" w:hAnsi="Palatino Linotype"/>
          <w:sz w:val="28"/>
          <w:szCs w:val="28"/>
        </w:rPr>
      </w:pPr>
      <w:r w:rsidDel="00000000" w:rsidR="00000000" w:rsidRPr="00000000">
        <w:rPr>
          <w:rFonts w:ascii="Palatino Linotype" w:cs="Palatino Linotype" w:eastAsia="Palatino Linotype" w:hAnsi="Palatino Linotype"/>
          <w:sz w:val="24"/>
          <w:szCs w:val="24"/>
          <w:rtl w:val="0"/>
        </w:rPr>
        <w:t xml:space="preserve">Por su parte, el artículo 53, fracciones II, IV y V de la Ley antes citada establece que las Unidades de Transparencia tienen, entre otras, las funciones de recibir, tramitar y dar respuesta a las solicitudes de acceso a la información; realizar, con efectividad, los trámites internos necesarios para la atención de las solicitudes de acceso a la información; así como, entregar, en su caso, a los particulares la información solicitada.</w:t>
      </w:r>
      <w:r w:rsidDel="00000000" w:rsidR="00000000" w:rsidRPr="00000000">
        <w:rPr>
          <w:rtl w:val="0"/>
        </w:rPr>
      </w:r>
    </w:p>
    <w:p w:rsidR="00000000" w:rsidDel="00000000" w:rsidP="00000000" w:rsidRDefault="00000000" w:rsidRPr="00000000" w14:paraId="0000008D">
      <w:pPr>
        <w:spacing w:after="0" w:line="360" w:lineRule="auto"/>
        <w:ind w:left="-284" w:firstLine="0"/>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8E">
      <w:pPr>
        <w:spacing w:after="0" w:line="360" w:lineRule="auto"/>
        <w:ind w:left="-142" w:firstLine="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Por otro lado, el diverso artículo 54 de la Ley de Transparencia y Acceso a la Información Pública del Estado de México y Municipios establece que cuando alguna área de los Sujetos Obligados se negara a colaborar con la Unidad de Transparencia, ésta dará aviso al superior jerárquico para que le ordene realizar sin demora las acciones conducentes y en caso de que persista la negativa de colaboración, hará del conocimiento de la autoridad competente para que se inicie, en su caso, el procedimiento de responsabilidad respectivo.</w:t>
      </w:r>
    </w:p>
    <w:p w:rsidR="00000000" w:rsidDel="00000000" w:rsidP="00000000" w:rsidRDefault="00000000" w:rsidRPr="00000000" w14:paraId="0000008F">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90">
      <w:pPr>
        <w:widowControl w:val="0"/>
        <w:tabs>
          <w:tab w:val="left" w:leader="none" w:pos="1276"/>
        </w:tabs>
        <w:spacing w:after="0" w:line="360" w:lineRule="auto"/>
        <w:ind w:left="-142" w:right="-93" w:firstLine="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De igual forma, el diverso artículo 59, fracciones I, II y III de la multicitada legislación Sustantiva, establece que los Servidores Públicos Habilitados deben localizar la información que le solicite la Unidad de Transparencia; proporcionar la misma y apoyarla en lo que ésta le solicite para el cumplimiento de sus funciones.</w:t>
      </w:r>
    </w:p>
    <w:p w:rsidR="00000000" w:rsidDel="00000000" w:rsidP="00000000" w:rsidRDefault="00000000" w:rsidRPr="00000000" w14:paraId="00000091">
      <w:pPr>
        <w:widowControl w:val="0"/>
        <w:tabs>
          <w:tab w:val="left" w:leader="none" w:pos="1276"/>
        </w:tabs>
        <w:spacing w:after="0" w:line="360" w:lineRule="auto"/>
        <w:ind w:left="-142" w:right="-93" w:firstLine="0"/>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92">
      <w:pPr>
        <w:spacing w:after="0" w:line="360" w:lineRule="auto"/>
        <w:ind w:left="-142" w:right="-93" w:firstLine="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Finalmente, se destaca que de conformidad con el artículo 163 de la legislación en cita, se desprende que la Unidad de Transparencia debe notificar la respuesta a las solicitudes de acceso a la información, en el menor tiempo posible, que no podrá exceder de </w:t>
      </w:r>
      <w:r w:rsidDel="00000000" w:rsidR="00000000" w:rsidRPr="00000000">
        <w:rPr>
          <w:rFonts w:ascii="Palatino Linotype" w:cs="Palatino Linotype" w:eastAsia="Palatino Linotype" w:hAnsi="Palatino Linotype"/>
          <w:b w:val="1"/>
          <w:sz w:val="24"/>
          <w:szCs w:val="24"/>
          <w:rtl w:val="0"/>
        </w:rPr>
        <w:t xml:space="preserve">quince días hábiles,</w:t>
      </w:r>
      <w:r w:rsidDel="00000000" w:rsidR="00000000" w:rsidRPr="00000000">
        <w:rPr>
          <w:rFonts w:ascii="Palatino Linotype" w:cs="Palatino Linotype" w:eastAsia="Palatino Linotype" w:hAnsi="Palatino Linotype"/>
          <w:sz w:val="24"/>
          <w:szCs w:val="24"/>
          <w:rtl w:val="0"/>
        </w:rPr>
        <w:t xml:space="preserve"> teniendo como excepción al plazo referido, una prórroga de hasta siete días hábiles adicionales, siempre y cuando existan razones fundadas y motivadas, las cuales deberán ser aprobadas por el Comité de Transparencia. Situación que en la especie no aconteció. </w:t>
      </w:r>
    </w:p>
    <w:p w:rsidR="00000000" w:rsidDel="00000000" w:rsidP="00000000" w:rsidRDefault="00000000" w:rsidRPr="00000000" w14:paraId="00000093">
      <w:pPr>
        <w:spacing w:after="0" w:line="360" w:lineRule="auto"/>
        <w:ind w:left="-142" w:right="-93" w:firstLine="0"/>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94">
      <w:pPr>
        <w:spacing w:after="0" w:line="360" w:lineRule="auto"/>
        <w:ind w:left="-142" w:right="-93" w:firstLine="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Sirve de sustento a lo anterior, el precepto legal en cita:</w:t>
      </w:r>
    </w:p>
    <w:p w:rsidR="00000000" w:rsidDel="00000000" w:rsidP="00000000" w:rsidRDefault="00000000" w:rsidRPr="00000000" w14:paraId="00000095">
      <w:pPr>
        <w:pBdr>
          <w:top w:space="0" w:sz="0" w:val="nil"/>
          <w:left w:space="0" w:sz="0" w:val="nil"/>
          <w:bottom w:space="0" w:sz="0" w:val="nil"/>
          <w:right w:space="0" w:sz="0" w:val="nil"/>
          <w:between w:space="0" w:sz="0" w:val="nil"/>
        </w:pBdr>
        <w:ind w:left="864" w:right="864"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96">
      <w:pPr>
        <w:pBdr>
          <w:top w:space="0" w:sz="0" w:val="nil"/>
          <w:left w:space="0" w:sz="0" w:val="nil"/>
          <w:bottom w:space="0" w:sz="0" w:val="nil"/>
          <w:right w:space="0" w:sz="0" w:val="nil"/>
          <w:between w:space="0" w:sz="0" w:val="nil"/>
        </w:pBdr>
        <w:spacing w:after="0" w:line="276" w:lineRule="auto"/>
        <w:ind w:left="862" w:right="862"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Artículo 163. La Unidad de Transparencia deberá notificar la respuesta a la solicitud al interesado en el menor tiempo posible, que no podrá exceder de quince días hábiles</w:t>
      </w:r>
      <w:r w:rsidDel="00000000" w:rsidR="00000000" w:rsidRPr="00000000">
        <w:rPr>
          <w:rFonts w:ascii="Palatino Linotype" w:cs="Palatino Linotype" w:eastAsia="Palatino Linotype" w:hAnsi="Palatino Linotype"/>
          <w:i w:val="1"/>
          <w:rtl w:val="0"/>
        </w:rPr>
        <w:t xml:space="preserve">, contados a partir del día siguiente a la presentación de aquélla. </w:t>
      </w:r>
    </w:p>
    <w:p w:rsidR="00000000" w:rsidDel="00000000" w:rsidP="00000000" w:rsidRDefault="00000000" w:rsidRPr="00000000" w14:paraId="00000097">
      <w:pPr>
        <w:pBdr>
          <w:top w:space="0" w:sz="0" w:val="nil"/>
          <w:left w:space="0" w:sz="0" w:val="nil"/>
          <w:bottom w:space="0" w:sz="0" w:val="nil"/>
          <w:right w:space="0" w:sz="0" w:val="nil"/>
          <w:between w:space="0" w:sz="0" w:val="nil"/>
        </w:pBdr>
        <w:spacing w:after="0" w:line="276" w:lineRule="auto"/>
        <w:ind w:left="862" w:right="862"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w:t>
      </w:r>
    </w:p>
    <w:p w:rsidR="00000000" w:rsidDel="00000000" w:rsidP="00000000" w:rsidRDefault="00000000" w:rsidRPr="00000000" w14:paraId="00000098">
      <w:pPr>
        <w:pBdr>
          <w:top w:space="0" w:sz="0" w:val="nil"/>
          <w:left w:space="0" w:sz="0" w:val="nil"/>
          <w:bottom w:space="0" w:sz="0" w:val="nil"/>
          <w:right w:space="0" w:sz="0" w:val="nil"/>
          <w:between w:space="0" w:sz="0" w:val="nil"/>
        </w:pBdr>
        <w:ind w:left="864" w:right="864"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99">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En mérito de lo expuesto, es claro que en este caso </w:t>
      </w:r>
      <w:r w:rsidDel="00000000" w:rsidR="00000000" w:rsidRPr="00000000">
        <w:rPr>
          <w:rFonts w:ascii="Palatino Linotype" w:cs="Palatino Linotype" w:eastAsia="Palatino Linotype" w:hAnsi="Palatino Linotype"/>
          <w:b w:val="1"/>
          <w:sz w:val="24"/>
          <w:szCs w:val="24"/>
          <w:rtl w:val="0"/>
        </w:rPr>
        <w:t xml:space="preserve">EL SUJETO OBLIGADO</w:t>
      </w:r>
      <w:r w:rsidDel="00000000" w:rsidR="00000000" w:rsidRPr="00000000">
        <w:rPr>
          <w:rFonts w:ascii="Palatino Linotype" w:cs="Palatino Linotype" w:eastAsia="Palatino Linotype" w:hAnsi="Palatino Linotype"/>
          <w:sz w:val="24"/>
          <w:szCs w:val="24"/>
          <w:rtl w:val="0"/>
        </w:rPr>
        <w:t xml:space="preserve"> incumplió la normativa en la materia, puesto que no dio trámite ni respuesta a la solicitud de acceso a la información, limitando el derecho de acceso a la información, accionado por la persona solicitante.</w:t>
      </w:r>
    </w:p>
    <w:p w:rsidR="00000000" w:rsidDel="00000000" w:rsidP="00000000" w:rsidRDefault="00000000" w:rsidRPr="00000000" w14:paraId="0000009A">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Consecuentemente, este Instituto estima necesario reiterar que, de conformidad con el artículo 150 de la Ley de Transparencia y Acceso a la Información Pública del Estado de México y Municipios, el procedimiento de acceso a la información es la garantía primaria del derecho en cuestión y se rige por los principios de simplicidad, rapidez gratuidad del procedimiento, auxilio y orientación a los particulares; así como, atención adecuada a las personas con discapacidad y a los hablantes de lengua indígena con el objeto de otorgar la protección más amplia del derecho de las personas. </w:t>
      </w:r>
    </w:p>
    <w:p w:rsidR="00000000" w:rsidDel="00000000" w:rsidP="00000000" w:rsidRDefault="00000000" w:rsidRPr="00000000" w14:paraId="0000009B">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Aunado a lo anterior, este Instituto estima dable referir lo que dispone el artículo 172, último párrafo de la Ley de Transparencia y Acceso a la Información Pública del Estado de México y Municipios, el cual refiere que los argumentos para justificar cualquier negativa de acceso a la información deben recaer en </w:t>
      </w:r>
      <w:r w:rsidDel="00000000" w:rsidR="00000000" w:rsidRPr="00000000">
        <w:rPr>
          <w:rFonts w:ascii="Palatino Linotype" w:cs="Palatino Linotype" w:eastAsia="Palatino Linotype" w:hAnsi="Palatino Linotype"/>
          <w:b w:val="1"/>
          <w:sz w:val="24"/>
          <w:szCs w:val="24"/>
          <w:rtl w:val="0"/>
        </w:rPr>
        <w:t xml:space="preserve">EL SUJETO OBLIGADO;</w:t>
      </w:r>
      <w:r w:rsidDel="00000000" w:rsidR="00000000" w:rsidRPr="00000000">
        <w:rPr>
          <w:rFonts w:ascii="Palatino Linotype" w:cs="Palatino Linotype" w:eastAsia="Palatino Linotype" w:hAnsi="Palatino Linotype"/>
          <w:sz w:val="24"/>
          <w:szCs w:val="24"/>
          <w:rtl w:val="0"/>
        </w:rPr>
        <w:t xml:space="preserve"> por lo que, en caso de no atender de manera positiva, el requerimiento de información deberá manifestarse al respecto.</w:t>
      </w:r>
    </w:p>
    <w:p w:rsidR="00000000" w:rsidDel="00000000" w:rsidP="00000000" w:rsidRDefault="00000000" w:rsidRPr="00000000" w14:paraId="0000009C">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9D">
      <w:pPr>
        <w:numPr>
          <w:ilvl w:val="0"/>
          <w:numId w:val="3"/>
        </w:numPr>
        <w:pBdr>
          <w:top w:space="0" w:sz="0" w:val="nil"/>
          <w:left w:space="0" w:sz="0" w:val="nil"/>
          <w:bottom w:space="0" w:sz="0" w:val="nil"/>
          <w:right w:space="0" w:sz="0" w:val="nil"/>
          <w:between w:space="0" w:sz="0" w:val="nil"/>
        </w:pBdr>
        <w:spacing w:after="0" w:line="360" w:lineRule="auto"/>
        <w:ind w:left="720" w:hanging="360"/>
        <w:jc w:val="both"/>
        <w:rPr>
          <w:rFonts w:ascii="Palatino Linotype" w:cs="Palatino Linotype" w:eastAsia="Palatino Linotype" w:hAnsi="Palatino Linotype"/>
          <w:b w:val="1"/>
          <w:sz w:val="24"/>
          <w:szCs w:val="24"/>
        </w:rPr>
      </w:pPr>
      <w:r w:rsidDel="00000000" w:rsidR="00000000" w:rsidRPr="00000000">
        <w:rPr>
          <w:rFonts w:ascii="Palatino Linotype" w:cs="Palatino Linotype" w:eastAsia="Palatino Linotype" w:hAnsi="Palatino Linotype"/>
          <w:b w:val="1"/>
          <w:sz w:val="24"/>
          <w:szCs w:val="24"/>
          <w:rtl w:val="0"/>
        </w:rPr>
        <w:t xml:space="preserve">DE LA CLASIFICACIÓN DE LA INFORMACIÓN.</w:t>
      </w:r>
    </w:p>
    <w:p w:rsidR="00000000" w:rsidDel="00000000" w:rsidP="00000000" w:rsidRDefault="00000000" w:rsidRPr="00000000" w14:paraId="0000009E">
      <w:pPr>
        <w:spacing w:after="0" w:line="360" w:lineRule="auto"/>
        <w:jc w:val="both"/>
        <w:rPr>
          <w:rFonts w:ascii="Palatino Linotype" w:cs="Palatino Linotype" w:eastAsia="Palatino Linotype" w:hAnsi="Palatino Linotype"/>
          <w:b w:val="1"/>
          <w:sz w:val="24"/>
          <w:szCs w:val="24"/>
        </w:rPr>
      </w:pPr>
      <w:r w:rsidDel="00000000" w:rsidR="00000000" w:rsidRPr="00000000">
        <w:rPr>
          <w:rtl w:val="0"/>
        </w:rPr>
      </w:r>
    </w:p>
    <w:p w:rsidR="00000000" w:rsidDel="00000000" w:rsidP="00000000" w:rsidRDefault="00000000" w:rsidRPr="00000000" w14:paraId="0000009F">
      <w:pPr>
        <w:spacing w:after="0" w:line="360" w:lineRule="auto"/>
        <w:ind w:right="51"/>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Ahora bien, en atención al sentido en que se resuelve el presente medio de impugnación, este Organismo Garante no omite señalar que, el derecho de acceso a la información puede ser restringido de manera excepcional por razones de interés público, en los términos de las causas legítimas y estrictamente necesarias previstas por la Ley, a través de la clasificación de la información como confidencial o reservada para permitir el acceso, como se desprende del artículo 91 de la ley de la materia que es del tenor literal siguiente:</w:t>
      </w:r>
    </w:p>
    <w:p w:rsidR="00000000" w:rsidDel="00000000" w:rsidP="00000000" w:rsidRDefault="00000000" w:rsidRPr="00000000" w14:paraId="000000A0">
      <w:pPr>
        <w:pBdr>
          <w:top w:space="0" w:sz="0" w:val="nil"/>
          <w:left w:space="0" w:sz="0" w:val="nil"/>
          <w:bottom w:space="0" w:sz="0" w:val="nil"/>
          <w:right w:space="0" w:sz="0" w:val="nil"/>
          <w:between w:space="0" w:sz="0" w:val="nil"/>
        </w:pBdr>
        <w:spacing w:after="0" w:line="360" w:lineRule="auto"/>
        <w:ind w:left="864" w:right="864" w:firstLine="0"/>
        <w:jc w:val="both"/>
        <w:rPr>
          <w:rFonts w:ascii="Palatino Linotype" w:cs="Palatino Linotype" w:eastAsia="Palatino Linotype" w:hAnsi="Palatino Linotype"/>
          <w:i w:val="1"/>
          <w:sz w:val="24"/>
          <w:szCs w:val="24"/>
        </w:rPr>
      </w:pPr>
      <w:r w:rsidDel="00000000" w:rsidR="00000000" w:rsidRPr="00000000">
        <w:rPr>
          <w:rtl w:val="0"/>
        </w:rPr>
      </w:r>
    </w:p>
    <w:p w:rsidR="00000000" w:rsidDel="00000000" w:rsidP="00000000" w:rsidRDefault="00000000" w:rsidRPr="00000000" w14:paraId="000000A1">
      <w:pPr>
        <w:pBdr>
          <w:top w:space="0" w:sz="0" w:val="nil"/>
          <w:left w:space="0" w:sz="0" w:val="nil"/>
          <w:bottom w:space="0" w:sz="0" w:val="nil"/>
          <w:right w:space="0" w:sz="0" w:val="nil"/>
          <w:between w:space="0" w:sz="0" w:val="nil"/>
        </w:pBdr>
        <w:ind w:left="864" w:right="864"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Artículo 91. </w:t>
      </w:r>
      <w:r w:rsidDel="00000000" w:rsidR="00000000" w:rsidRPr="00000000">
        <w:rPr>
          <w:rFonts w:ascii="Palatino Linotype" w:cs="Palatino Linotype" w:eastAsia="Palatino Linotype" w:hAnsi="Palatino Linotype"/>
          <w:i w:val="1"/>
          <w:rtl w:val="0"/>
        </w:rPr>
        <w:t xml:space="preserve">El acceso a la información pública será restringido excepcionalmente, cuando ésta sea clasificada como reservada o confidencial.</w:t>
      </w:r>
    </w:p>
    <w:p w:rsidR="00000000" w:rsidDel="00000000" w:rsidP="00000000" w:rsidRDefault="00000000" w:rsidRPr="00000000" w14:paraId="000000A2">
      <w:pPr>
        <w:pBdr>
          <w:top w:space="0" w:sz="0" w:val="nil"/>
          <w:left w:space="0" w:sz="0" w:val="nil"/>
          <w:bottom w:space="0" w:sz="0" w:val="nil"/>
          <w:right w:space="0" w:sz="0" w:val="nil"/>
          <w:between w:space="0" w:sz="0" w:val="nil"/>
        </w:pBdr>
        <w:spacing w:after="0" w:line="360" w:lineRule="auto"/>
        <w:ind w:left="864" w:right="864" w:firstLine="0"/>
        <w:jc w:val="both"/>
        <w:rPr>
          <w:rFonts w:ascii="Palatino Linotype" w:cs="Palatino Linotype" w:eastAsia="Palatino Linotype" w:hAnsi="Palatino Linotype"/>
          <w:i w:val="1"/>
          <w:sz w:val="24"/>
          <w:szCs w:val="24"/>
        </w:rPr>
      </w:pPr>
      <w:r w:rsidDel="00000000" w:rsidR="00000000" w:rsidRPr="00000000">
        <w:rPr>
          <w:rtl w:val="0"/>
        </w:rPr>
      </w:r>
    </w:p>
    <w:p w:rsidR="00000000" w:rsidDel="00000000" w:rsidP="00000000" w:rsidRDefault="00000000" w:rsidRPr="00000000" w14:paraId="000000A3">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Entendiéndose como información reservada aquella que se clasifica de manera temporal cuya divulgación pueda causar algún daño; y como información confidencial, la relacionada con los secretos bancario, fiduciario, industrial, comercial, fiscal, bursátil y postal, cuya titularidad corresponde a particulares, sujetos de derecho internacional o a Sujetos Obligados cuando no involucren el ejercicio de recursos públicos, así como la información privada contenida en documentos públicos o privados que refiera a la vida privada y/o los datos personales, que no son de acceso público. </w:t>
      </w:r>
    </w:p>
    <w:p w:rsidR="00000000" w:rsidDel="00000000" w:rsidP="00000000" w:rsidRDefault="00000000" w:rsidRPr="00000000" w14:paraId="000000A4">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A5">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De manera que, la Ley de Transparencia y Acceso a la Información Pública del Estado de México y Municipios, en sus artículos 140 y 143 prevé los siguientes supuestos para clasificar la información como reservada o confidencial:</w:t>
      </w:r>
    </w:p>
    <w:p w:rsidR="00000000" w:rsidDel="00000000" w:rsidP="00000000" w:rsidRDefault="00000000" w:rsidRPr="00000000" w14:paraId="000000A6">
      <w:pPr>
        <w:pBdr>
          <w:top w:space="0" w:sz="0" w:val="nil"/>
          <w:left w:space="0" w:sz="0" w:val="nil"/>
          <w:bottom w:space="0" w:sz="0" w:val="nil"/>
          <w:right w:space="0" w:sz="0" w:val="nil"/>
          <w:between w:space="0" w:sz="0" w:val="nil"/>
        </w:pBdr>
        <w:ind w:left="864" w:right="864"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A7">
      <w:pPr>
        <w:pBdr>
          <w:top w:space="0" w:sz="0" w:val="nil"/>
          <w:left w:space="0" w:sz="0" w:val="nil"/>
          <w:bottom w:space="0" w:sz="0" w:val="nil"/>
          <w:right w:space="0" w:sz="0" w:val="nil"/>
          <w:between w:space="0" w:sz="0" w:val="nil"/>
        </w:pBdr>
        <w:ind w:left="864" w:right="864"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Artículo 140. </w:t>
      </w:r>
      <w:r w:rsidDel="00000000" w:rsidR="00000000" w:rsidRPr="00000000">
        <w:rPr>
          <w:rFonts w:ascii="Palatino Linotype" w:cs="Palatino Linotype" w:eastAsia="Palatino Linotype" w:hAnsi="Palatino Linotype"/>
          <w:i w:val="1"/>
          <w:rtl w:val="0"/>
        </w:rPr>
        <w:t xml:space="preserve">El acceso a la información pública será restringido excepcionalmente, cuando por razones de interés público, ésta sea clasificada como reservada, conforme a los criterios siguientes:</w:t>
      </w:r>
    </w:p>
    <w:p w:rsidR="00000000" w:rsidDel="00000000" w:rsidP="00000000" w:rsidRDefault="00000000" w:rsidRPr="00000000" w14:paraId="000000A8">
      <w:pPr>
        <w:pBdr>
          <w:top w:space="0" w:sz="0" w:val="nil"/>
          <w:left w:space="0" w:sz="0" w:val="nil"/>
          <w:bottom w:space="0" w:sz="0" w:val="nil"/>
          <w:right w:space="0" w:sz="0" w:val="nil"/>
          <w:between w:space="0" w:sz="0" w:val="nil"/>
        </w:pBdr>
        <w:ind w:left="864" w:right="864"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I. </w:t>
      </w:r>
      <w:r w:rsidDel="00000000" w:rsidR="00000000" w:rsidRPr="00000000">
        <w:rPr>
          <w:rFonts w:ascii="Palatino Linotype" w:cs="Palatino Linotype" w:eastAsia="Palatino Linotype" w:hAnsi="Palatino Linotype"/>
          <w:i w:val="1"/>
          <w:rtl w:val="0"/>
        </w:rPr>
        <w:t xml:space="preserve">Comprometa la seguridad pública y cuente con un propósito genuino y un efecto demostrable;</w:t>
      </w:r>
    </w:p>
    <w:p w:rsidR="00000000" w:rsidDel="00000000" w:rsidP="00000000" w:rsidRDefault="00000000" w:rsidRPr="00000000" w14:paraId="000000A9">
      <w:pPr>
        <w:pBdr>
          <w:top w:space="0" w:sz="0" w:val="nil"/>
          <w:left w:space="0" w:sz="0" w:val="nil"/>
          <w:bottom w:space="0" w:sz="0" w:val="nil"/>
          <w:right w:space="0" w:sz="0" w:val="nil"/>
          <w:between w:space="0" w:sz="0" w:val="nil"/>
        </w:pBdr>
        <w:ind w:left="864" w:right="864"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II. </w:t>
      </w:r>
      <w:r w:rsidDel="00000000" w:rsidR="00000000" w:rsidRPr="00000000">
        <w:rPr>
          <w:rFonts w:ascii="Palatino Linotype" w:cs="Palatino Linotype" w:eastAsia="Palatino Linotype" w:hAnsi="Palatino Linotype"/>
          <w:i w:val="1"/>
          <w:rtl w:val="0"/>
        </w:rPr>
        <w:t xml:space="preserve">Pueda menoscabar la conducción de las negociaciones y relaciones internacionales;</w:t>
      </w:r>
    </w:p>
    <w:p w:rsidR="00000000" w:rsidDel="00000000" w:rsidP="00000000" w:rsidRDefault="00000000" w:rsidRPr="00000000" w14:paraId="000000AA">
      <w:pPr>
        <w:pBdr>
          <w:top w:space="0" w:sz="0" w:val="nil"/>
          <w:left w:space="0" w:sz="0" w:val="nil"/>
          <w:bottom w:space="0" w:sz="0" w:val="nil"/>
          <w:right w:space="0" w:sz="0" w:val="nil"/>
          <w:between w:space="0" w:sz="0" w:val="nil"/>
        </w:pBdr>
        <w:ind w:left="864" w:right="864"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III. </w:t>
      </w:r>
      <w:r w:rsidDel="00000000" w:rsidR="00000000" w:rsidRPr="00000000">
        <w:rPr>
          <w:rFonts w:ascii="Palatino Linotype" w:cs="Palatino Linotype" w:eastAsia="Palatino Linotype" w:hAnsi="Palatino Linotype"/>
          <w:i w:val="1"/>
          <w:rtl w:val="0"/>
        </w:rPr>
        <w:t xml:space="preserve">Se entregue a la Entidad expresamente con ese carácter o el de confidencialidad por otro u otros sujetos de derecho internacional, excepto cuando se trate de violaciones graves de derechos humanos o delitos de lesa humanidad de conformidad con el derecho internacional;</w:t>
      </w:r>
    </w:p>
    <w:p w:rsidR="00000000" w:rsidDel="00000000" w:rsidP="00000000" w:rsidRDefault="00000000" w:rsidRPr="00000000" w14:paraId="000000AB">
      <w:pPr>
        <w:pBdr>
          <w:top w:space="0" w:sz="0" w:val="nil"/>
          <w:left w:space="0" w:sz="0" w:val="nil"/>
          <w:bottom w:space="0" w:sz="0" w:val="nil"/>
          <w:right w:space="0" w:sz="0" w:val="nil"/>
          <w:between w:space="0" w:sz="0" w:val="nil"/>
        </w:pBdr>
        <w:ind w:left="864" w:right="864"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IV. </w:t>
      </w:r>
      <w:r w:rsidDel="00000000" w:rsidR="00000000" w:rsidRPr="00000000">
        <w:rPr>
          <w:rFonts w:ascii="Palatino Linotype" w:cs="Palatino Linotype" w:eastAsia="Palatino Linotype" w:hAnsi="Palatino Linotype"/>
          <w:i w:val="1"/>
          <w:rtl w:val="0"/>
        </w:rPr>
        <w:t xml:space="preserve">Ponga en riesgo la vida, la seguridad o la salud de una persona física;</w:t>
      </w:r>
    </w:p>
    <w:p w:rsidR="00000000" w:rsidDel="00000000" w:rsidP="00000000" w:rsidRDefault="00000000" w:rsidRPr="00000000" w14:paraId="000000AC">
      <w:pPr>
        <w:pBdr>
          <w:top w:space="0" w:sz="0" w:val="nil"/>
          <w:left w:space="0" w:sz="0" w:val="nil"/>
          <w:bottom w:space="0" w:sz="0" w:val="nil"/>
          <w:right w:space="0" w:sz="0" w:val="nil"/>
          <w:between w:space="0" w:sz="0" w:val="nil"/>
        </w:pBdr>
        <w:ind w:left="864" w:right="864"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V. </w:t>
      </w:r>
      <w:r w:rsidDel="00000000" w:rsidR="00000000" w:rsidRPr="00000000">
        <w:rPr>
          <w:rFonts w:ascii="Palatino Linotype" w:cs="Palatino Linotype" w:eastAsia="Palatino Linotype" w:hAnsi="Palatino Linotype"/>
          <w:i w:val="1"/>
          <w:rtl w:val="0"/>
        </w:rPr>
        <w:t xml:space="preserve">Aquella cuya divulgación obstruya o pueda causar un serio perjuicio a:</w:t>
      </w:r>
    </w:p>
    <w:p w:rsidR="00000000" w:rsidDel="00000000" w:rsidP="00000000" w:rsidRDefault="00000000" w:rsidRPr="00000000" w14:paraId="000000AD">
      <w:pPr>
        <w:pBdr>
          <w:top w:space="0" w:sz="0" w:val="nil"/>
          <w:left w:space="0" w:sz="0" w:val="nil"/>
          <w:bottom w:space="0" w:sz="0" w:val="nil"/>
          <w:right w:space="0" w:sz="0" w:val="nil"/>
          <w:between w:space="0" w:sz="0" w:val="nil"/>
        </w:pBdr>
        <w:ind w:left="864" w:right="864"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1. </w:t>
      </w:r>
      <w:r w:rsidDel="00000000" w:rsidR="00000000" w:rsidRPr="00000000">
        <w:rPr>
          <w:rFonts w:ascii="Palatino Linotype" w:cs="Palatino Linotype" w:eastAsia="Palatino Linotype" w:hAnsi="Palatino Linotype"/>
          <w:i w:val="1"/>
          <w:rtl w:val="0"/>
        </w:rPr>
        <w:t xml:space="preserve">Las actividades de fiscalización, verificación, inspección, comprobación y auditoría sobre el cumplimiento de las Leyes; o </w:t>
      </w:r>
    </w:p>
    <w:p w:rsidR="00000000" w:rsidDel="00000000" w:rsidP="00000000" w:rsidRDefault="00000000" w:rsidRPr="00000000" w14:paraId="000000AE">
      <w:pPr>
        <w:pBdr>
          <w:top w:space="0" w:sz="0" w:val="nil"/>
          <w:left w:space="0" w:sz="0" w:val="nil"/>
          <w:bottom w:space="0" w:sz="0" w:val="nil"/>
          <w:right w:space="0" w:sz="0" w:val="nil"/>
          <w:between w:space="0" w:sz="0" w:val="nil"/>
        </w:pBdr>
        <w:ind w:left="864" w:right="864"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2. </w:t>
      </w:r>
      <w:r w:rsidDel="00000000" w:rsidR="00000000" w:rsidRPr="00000000">
        <w:rPr>
          <w:rFonts w:ascii="Palatino Linotype" w:cs="Palatino Linotype" w:eastAsia="Palatino Linotype" w:hAnsi="Palatino Linotype"/>
          <w:i w:val="1"/>
          <w:rtl w:val="0"/>
        </w:rPr>
        <w:t xml:space="preserve">La recaudación de las contribuciones.</w:t>
      </w:r>
    </w:p>
    <w:p w:rsidR="00000000" w:rsidDel="00000000" w:rsidP="00000000" w:rsidRDefault="00000000" w:rsidRPr="00000000" w14:paraId="000000AF">
      <w:pPr>
        <w:pBdr>
          <w:top w:space="0" w:sz="0" w:val="nil"/>
          <w:left w:space="0" w:sz="0" w:val="nil"/>
          <w:bottom w:space="0" w:sz="0" w:val="nil"/>
          <w:right w:space="0" w:sz="0" w:val="nil"/>
          <w:between w:space="0" w:sz="0" w:val="nil"/>
        </w:pBdr>
        <w:ind w:left="864" w:right="864"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VI. </w:t>
      </w:r>
      <w:r w:rsidDel="00000000" w:rsidR="00000000" w:rsidRPr="00000000">
        <w:rPr>
          <w:rFonts w:ascii="Palatino Linotype" w:cs="Palatino Linotype" w:eastAsia="Palatino Linotype" w:hAnsi="Palatino Linotype"/>
          <w:i w:val="1"/>
          <w:rtl w:val="0"/>
        </w:rPr>
        <w:t xml:space="preserve">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w:t>
      </w:r>
    </w:p>
    <w:p w:rsidR="00000000" w:rsidDel="00000000" w:rsidP="00000000" w:rsidRDefault="00000000" w:rsidRPr="00000000" w14:paraId="000000B0">
      <w:pPr>
        <w:pBdr>
          <w:top w:space="0" w:sz="0" w:val="nil"/>
          <w:left w:space="0" w:sz="0" w:val="nil"/>
          <w:bottom w:space="0" w:sz="0" w:val="nil"/>
          <w:right w:space="0" w:sz="0" w:val="nil"/>
          <w:between w:space="0" w:sz="0" w:val="nil"/>
        </w:pBdr>
        <w:ind w:left="864" w:right="864"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VII. </w:t>
      </w:r>
      <w:r w:rsidDel="00000000" w:rsidR="00000000" w:rsidRPr="00000000">
        <w:rPr>
          <w:rFonts w:ascii="Palatino Linotype" w:cs="Palatino Linotype" w:eastAsia="Palatino Linotype" w:hAnsi="Palatino Linotype"/>
          <w:i w:val="1"/>
          <w:rtl w:val="0"/>
        </w:rPr>
        <w:t xml:space="preserve">La que contengan las opiniones, recomendaciones o puntos de vista que formen parte del proceso deliberativo de los servidores públicos, hasta en tanto sea adoptada la decisión definitiva, la cual deberá estar documentada;</w:t>
      </w:r>
    </w:p>
    <w:p w:rsidR="00000000" w:rsidDel="00000000" w:rsidP="00000000" w:rsidRDefault="00000000" w:rsidRPr="00000000" w14:paraId="000000B1">
      <w:pPr>
        <w:pBdr>
          <w:top w:space="0" w:sz="0" w:val="nil"/>
          <w:left w:space="0" w:sz="0" w:val="nil"/>
          <w:bottom w:space="0" w:sz="0" w:val="nil"/>
          <w:right w:space="0" w:sz="0" w:val="nil"/>
          <w:between w:space="0" w:sz="0" w:val="nil"/>
        </w:pBdr>
        <w:ind w:left="864" w:right="864"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VIII</w:t>
      </w:r>
      <w:r w:rsidDel="00000000" w:rsidR="00000000" w:rsidRPr="00000000">
        <w:rPr>
          <w:rFonts w:ascii="Palatino Linotype" w:cs="Palatino Linotype" w:eastAsia="Palatino Linotype" w:hAnsi="Palatino Linotype"/>
          <w:i w:val="1"/>
          <w:rtl w:val="0"/>
        </w:rPr>
        <w:t xml:space="preserve">. Vulnere la conducción de los expedientes judiciales o de los procedimientos administrativos seguidos en forma de juicio, en tanto no hayan quedado firmes</w:t>
      </w:r>
      <w:r w:rsidDel="00000000" w:rsidR="00000000" w:rsidRPr="00000000">
        <w:rPr>
          <w:rFonts w:ascii="Palatino Linotype" w:cs="Palatino Linotype" w:eastAsia="Palatino Linotype" w:hAnsi="Palatino Linotype"/>
          <w:b w:val="1"/>
          <w:i w:val="1"/>
          <w:rtl w:val="0"/>
        </w:rPr>
        <w:t xml:space="preserve">;</w:t>
      </w:r>
      <w:r w:rsidDel="00000000" w:rsidR="00000000" w:rsidRPr="00000000">
        <w:rPr>
          <w:rtl w:val="0"/>
        </w:rPr>
      </w:r>
    </w:p>
    <w:p w:rsidR="00000000" w:rsidDel="00000000" w:rsidP="00000000" w:rsidRDefault="00000000" w:rsidRPr="00000000" w14:paraId="000000B2">
      <w:pPr>
        <w:pBdr>
          <w:top w:space="0" w:sz="0" w:val="nil"/>
          <w:left w:space="0" w:sz="0" w:val="nil"/>
          <w:bottom w:space="0" w:sz="0" w:val="nil"/>
          <w:right w:space="0" w:sz="0" w:val="nil"/>
          <w:between w:space="0" w:sz="0" w:val="nil"/>
        </w:pBdr>
        <w:ind w:left="864" w:right="864"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IX. </w:t>
      </w:r>
      <w:r w:rsidDel="00000000" w:rsidR="00000000" w:rsidRPr="00000000">
        <w:rPr>
          <w:rFonts w:ascii="Palatino Linotype" w:cs="Palatino Linotype" w:eastAsia="Palatino Linotype" w:hAnsi="Palatino Linotype"/>
          <w:i w:val="1"/>
          <w:rtl w:val="0"/>
        </w:rPr>
        <w:t xml:space="preserve">Se encuentre contenida dentro de las investigaciones de hechos que la Ley señale como delitos y se tramiten ante el Ministerio Público;</w:t>
      </w:r>
    </w:p>
    <w:p w:rsidR="00000000" w:rsidDel="00000000" w:rsidP="00000000" w:rsidRDefault="00000000" w:rsidRPr="00000000" w14:paraId="000000B3">
      <w:pPr>
        <w:pBdr>
          <w:top w:space="0" w:sz="0" w:val="nil"/>
          <w:left w:space="0" w:sz="0" w:val="nil"/>
          <w:bottom w:space="0" w:sz="0" w:val="nil"/>
          <w:right w:space="0" w:sz="0" w:val="nil"/>
          <w:between w:space="0" w:sz="0" w:val="nil"/>
        </w:pBdr>
        <w:ind w:left="864" w:right="864"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X. </w:t>
      </w:r>
      <w:r w:rsidDel="00000000" w:rsidR="00000000" w:rsidRPr="00000000">
        <w:rPr>
          <w:rFonts w:ascii="Palatino Linotype" w:cs="Palatino Linotype" w:eastAsia="Palatino Linotype" w:hAnsi="Palatino Linotype"/>
          <w:i w:val="1"/>
          <w:rtl w:val="0"/>
        </w:rPr>
        <w:t xml:space="preserve">El daño que pueda producirse con la publicación de la información sea mayor que el interés público de conocer la información de referencia, siempre que esté directamente relacionado con procesos o procedimientos administrativos o judiciales que no hayan quedado firmes;</w:t>
      </w:r>
    </w:p>
    <w:p w:rsidR="00000000" w:rsidDel="00000000" w:rsidP="00000000" w:rsidRDefault="00000000" w:rsidRPr="00000000" w14:paraId="000000B4">
      <w:pPr>
        <w:pBdr>
          <w:top w:space="0" w:sz="0" w:val="nil"/>
          <w:left w:space="0" w:sz="0" w:val="nil"/>
          <w:bottom w:space="0" w:sz="0" w:val="nil"/>
          <w:right w:space="0" w:sz="0" w:val="nil"/>
          <w:between w:space="0" w:sz="0" w:val="nil"/>
        </w:pBdr>
        <w:ind w:left="864" w:right="864"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Cuando se trate de información sobre estudios y proyectos cuya divulgación pueda causar daños al interés del Estado o suponga un riesgo para su realización, siempre que esté directamente relacionado con procesos o procedimientos administrativos o judiciales que no hayan quedado firmes; y</w:t>
      </w:r>
    </w:p>
    <w:p w:rsidR="00000000" w:rsidDel="00000000" w:rsidP="00000000" w:rsidRDefault="00000000" w:rsidRPr="00000000" w14:paraId="000000B5">
      <w:pPr>
        <w:pBdr>
          <w:top w:space="0" w:sz="0" w:val="nil"/>
          <w:left w:space="0" w:sz="0" w:val="nil"/>
          <w:bottom w:space="0" w:sz="0" w:val="nil"/>
          <w:right w:space="0" w:sz="0" w:val="nil"/>
          <w:between w:space="0" w:sz="0" w:val="nil"/>
        </w:pBdr>
        <w:ind w:left="864" w:right="864"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XI. </w:t>
      </w:r>
      <w:r w:rsidDel="00000000" w:rsidR="00000000" w:rsidRPr="00000000">
        <w:rPr>
          <w:rFonts w:ascii="Palatino Linotype" w:cs="Palatino Linotype" w:eastAsia="Palatino Linotype" w:hAnsi="Palatino Linotype"/>
          <w:i w:val="1"/>
          <w:rtl w:val="0"/>
        </w:rPr>
        <w:t xml:space="preserve">Las que por disposición expresa de una ley tengan tal carácter, siempre que sean acordes con las bases, principios y disposiciones establecidos en esta Ley y no la contravengan; así como las previstas en tratados internacionales.</w:t>
      </w:r>
    </w:p>
    <w:p w:rsidR="00000000" w:rsidDel="00000000" w:rsidP="00000000" w:rsidRDefault="00000000" w:rsidRPr="00000000" w14:paraId="000000B6">
      <w:pPr>
        <w:pBdr>
          <w:top w:space="0" w:sz="0" w:val="nil"/>
          <w:left w:space="0" w:sz="0" w:val="nil"/>
          <w:bottom w:space="0" w:sz="0" w:val="nil"/>
          <w:right w:space="0" w:sz="0" w:val="nil"/>
          <w:between w:space="0" w:sz="0" w:val="nil"/>
        </w:pBdr>
        <w:ind w:left="864" w:right="864"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B7">
      <w:pPr>
        <w:pBdr>
          <w:top w:space="0" w:sz="0" w:val="nil"/>
          <w:left w:space="0" w:sz="0" w:val="nil"/>
          <w:bottom w:space="0" w:sz="0" w:val="nil"/>
          <w:right w:space="0" w:sz="0" w:val="nil"/>
          <w:between w:space="0" w:sz="0" w:val="nil"/>
        </w:pBdr>
        <w:ind w:left="864" w:right="864"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Artículo 143. </w:t>
      </w:r>
      <w:r w:rsidDel="00000000" w:rsidR="00000000" w:rsidRPr="00000000">
        <w:rPr>
          <w:rFonts w:ascii="Palatino Linotype" w:cs="Palatino Linotype" w:eastAsia="Palatino Linotype" w:hAnsi="Palatino Linotype"/>
          <w:i w:val="1"/>
          <w:rtl w:val="0"/>
        </w:rPr>
        <w:t xml:space="preserve">Para los efectos de esta Ley se considera información confidencial, la clasificada como tal, de manera permanente, por su naturaleza, cuando:</w:t>
      </w:r>
    </w:p>
    <w:p w:rsidR="00000000" w:rsidDel="00000000" w:rsidP="00000000" w:rsidRDefault="00000000" w:rsidRPr="00000000" w14:paraId="000000B8">
      <w:pPr>
        <w:pBdr>
          <w:top w:space="0" w:sz="0" w:val="nil"/>
          <w:left w:space="0" w:sz="0" w:val="nil"/>
          <w:bottom w:space="0" w:sz="0" w:val="nil"/>
          <w:right w:space="0" w:sz="0" w:val="nil"/>
          <w:between w:space="0" w:sz="0" w:val="nil"/>
        </w:pBdr>
        <w:ind w:left="864" w:right="864"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I. </w:t>
      </w:r>
      <w:r w:rsidDel="00000000" w:rsidR="00000000" w:rsidRPr="00000000">
        <w:rPr>
          <w:rFonts w:ascii="Palatino Linotype" w:cs="Palatino Linotype" w:eastAsia="Palatino Linotype" w:hAnsi="Palatino Linotype"/>
          <w:i w:val="1"/>
          <w:rtl w:val="0"/>
        </w:rPr>
        <w:t xml:space="preserve">Se refiera a la información privada y los datos personales concernientes a una persona física o jurídico colectiva identificada o identificable;</w:t>
      </w:r>
    </w:p>
    <w:p w:rsidR="00000000" w:rsidDel="00000000" w:rsidP="00000000" w:rsidRDefault="00000000" w:rsidRPr="00000000" w14:paraId="000000B9">
      <w:pPr>
        <w:pBdr>
          <w:top w:space="0" w:sz="0" w:val="nil"/>
          <w:left w:space="0" w:sz="0" w:val="nil"/>
          <w:bottom w:space="0" w:sz="0" w:val="nil"/>
          <w:right w:space="0" w:sz="0" w:val="nil"/>
          <w:between w:space="0" w:sz="0" w:val="nil"/>
        </w:pBdr>
        <w:ind w:left="864" w:right="864"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II. </w:t>
      </w:r>
      <w:r w:rsidDel="00000000" w:rsidR="00000000" w:rsidRPr="00000000">
        <w:rPr>
          <w:rFonts w:ascii="Palatino Linotype" w:cs="Palatino Linotype" w:eastAsia="Palatino Linotype" w:hAnsi="Palatino Linotype"/>
          <w:i w:val="1"/>
          <w:rtl w:val="0"/>
        </w:rPr>
        <w:t xml:space="preserve">Los secretos bancario, fiduciario, industrial, comercial, fiscal, bursátil y postal, cuya titularidad corresponda a particulares, sujetos de derecho internacional o a sujetos obligados cuando no involucren el ejercicio de recursos públicos; y</w:t>
      </w:r>
    </w:p>
    <w:p w:rsidR="00000000" w:rsidDel="00000000" w:rsidP="00000000" w:rsidRDefault="00000000" w:rsidRPr="00000000" w14:paraId="000000BA">
      <w:pPr>
        <w:pBdr>
          <w:top w:space="0" w:sz="0" w:val="nil"/>
          <w:left w:space="0" w:sz="0" w:val="nil"/>
          <w:bottom w:space="0" w:sz="0" w:val="nil"/>
          <w:right w:space="0" w:sz="0" w:val="nil"/>
          <w:between w:space="0" w:sz="0" w:val="nil"/>
        </w:pBdr>
        <w:ind w:left="864" w:right="864"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III. </w:t>
      </w:r>
      <w:r w:rsidDel="00000000" w:rsidR="00000000" w:rsidRPr="00000000">
        <w:rPr>
          <w:rFonts w:ascii="Palatino Linotype" w:cs="Palatino Linotype" w:eastAsia="Palatino Linotype" w:hAnsi="Palatino Linotype"/>
          <w:i w:val="1"/>
          <w:rtl w:val="0"/>
        </w:rPr>
        <w:t xml:space="preserve">La que presenten los particulares a los sujetos obligados, de conformidad con lo dispuesto por las leyes o los tratados internacionales.</w:t>
      </w:r>
    </w:p>
    <w:p w:rsidR="00000000" w:rsidDel="00000000" w:rsidP="00000000" w:rsidRDefault="00000000" w:rsidRPr="00000000" w14:paraId="000000BB">
      <w:pPr>
        <w:pBdr>
          <w:top w:space="0" w:sz="0" w:val="nil"/>
          <w:left w:space="0" w:sz="0" w:val="nil"/>
          <w:bottom w:space="0" w:sz="0" w:val="nil"/>
          <w:right w:space="0" w:sz="0" w:val="nil"/>
          <w:between w:space="0" w:sz="0" w:val="nil"/>
        </w:pBdr>
        <w:ind w:left="864" w:right="864"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La información confidencial no estará sujeta a temporalidad alguna y sólo podrán tener acceso a ella los titulares de la misma, sus representantes y los servidores públicos facultados para ello.</w:t>
      </w:r>
    </w:p>
    <w:p w:rsidR="00000000" w:rsidDel="00000000" w:rsidP="00000000" w:rsidRDefault="00000000" w:rsidRPr="00000000" w14:paraId="000000BC">
      <w:pPr>
        <w:pBdr>
          <w:top w:space="0" w:sz="0" w:val="nil"/>
          <w:left w:space="0" w:sz="0" w:val="nil"/>
          <w:bottom w:space="0" w:sz="0" w:val="nil"/>
          <w:right w:space="0" w:sz="0" w:val="nil"/>
          <w:between w:space="0" w:sz="0" w:val="nil"/>
        </w:pBdr>
        <w:ind w:left="864" w:right="864"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No se considerará confidencial la información que se encuentre en los registros públicos o en fuentes de acceso público, ni tampoco la que sea considerada por la presente ley como información pública.</w:t>
      </w:r>
    </w:p>
    <w:p w:rsidR="00000000" w:rsidDel="00000000" w:rsidP="00000000" w:rsidRDefault="00000000" w:rsidRPr="00000000" w14:paraId="000000BD">
      <w:pPr>
        <w:pBdr>
          <w:top w:space="0" w:sz="0" w:val="nil"/>
          <w:left w:space="0" w:sz="0" w:val="nil"/>
          <w:bottom w:space="0" w:sz="0" w:val="nil"/>
          <w:right w:space="0" w:sz="0" w:val="nil"/>
          <w:between w:space="0" w:sz="0" w:val="nil"/>
        </w:pBdr>
        <w:spacing w:after="0" w:line="360" w:lineRule="auto"/>
        <w:ind w:left="864" w:right="864" w:firstLine="0"/>
        <w:jc w:val="both"/>
        <w:rPr>
          <w:rFonts w:ascii="Palatino Linotype" w:cs="Palatino Linotype" w:eastAsia="Palatino Linotype" w:hAnsi="Palatino Linotype"/>
          <w:i w:val="1"/>
          <w:sz w:val="24"/>
          <w:szCs w:val="24"/>
        </w:rPr>
      </w:pPr>
      <w:r w:rsidDel="00000000" w:rsidR="00000000" w:rsidRPr="00000000">
        <w:rPr>
          <w:rtl w:val="0"/>
        </w:rPr>
      </w:r>
    </w:p>
    <w:p w:rsidR="00000000" w:rsidDel="00000000" w:rsidP="00000000" w:rsidRDefault="00000000" w:rsidRPr="00000000" w14:paraId="000000BE">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De este modo, conforme al artículo 132 de la ley en referencia, para clasificar la información se debe de atender a lo dispuesto por la normativa y aplicar, de manera estricta, las excepciones del derecho de acceso a la información y sólo podrán invocarlas cuando acrediten su procedencia, debiendo clasificar la información en el momento en que:</w:t>
      </w:r>
    </w:p>
    <w:p w:rsidR="00000000" w:rsidDel="00000000" w:rsidP="00000000" w:rsidRDefault="00000000" w:rsidRPr="00000000" w14:paraId="000000BF">
      <w:pPr>
        <w:tabs>
          <w:tab w:val="left" w:leader="none" w:pos="851"/>
        </w:tabs>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C0">
      <w:pPr>
        <w:numPr>
          <w:ilvl w:val="0"/>
          <w:numId w:val="4"/>
        </w:numPr>
        <w:pBdr>
          <w:top w:space="0" w:sz="0" w:val="nil"/>
          <w:left w:space="0" w:sz="0" w:val="nil"/>
          <w:bottom w:space="0" w:sz="0" w:val="nil"/>
          <w:right w:space="0" w:sz="0" w:val="nil"/>
          <w:between w:space="0" w:sz="0" w:val="nil"/>
        </w:pBdr>
        <w:tabs>
          <w:tab w:val="left" w:leader="none" w:pos="851"/>
        </w:tabs>
        <w:spacing w:after="0" w:line="360" w:lineRule="auto"/>
        <w:ind w:left="720" w:hanging="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Se reciba una solicitud de acceso a la información;</w:t>
      </w:r>
    </w:p>
    <w:p w:rsidR="00000000" w:rsidDel="00000000" w:rsidP="00000000" w:rsidRDefault="00000000" w:rsidRPr="00000000" w14:paraId="000000C1">
      <w:pPr>
        <w:numPr>
          <w:ilvl w:val="0"/>
          <w:numId w:val="4"/>
        </w:numPr>
        <w:pBdr>
          <w:top w:space="0" w:sz="0" w:val="nil"/>
          <w:left w:space="0" w:sz="0" w:val="nil"/>
          <w:bottom w:space="0" w:sz="0" w:val="nil"/>
          <w:right w:space="0" w:sz="0" w:val="nil"/>
          <w:between w:space="0" w:sz="0" w:val="nil"/>
        </w:pBdr>
        <w:tabs>
          <w:tab w:val="left" w:leader="none" w:pos="851"/>
        </w:tabs>
        <w:spacing w:after="0" w:line="360" w:lineRule="auto"/>
        <w:ind w:left="720" w:hanging="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Se determine mediante resolución de autoridad competente; y/o</w:t>
      </w:r>
    </w:p>
    <w:p w:rsidR="00000000" w:rsidDel="00000000" w:rsidP="00000000" w:rsidRDefault="00000000" w:rsidRPr="00000000" w14:paraId="000000C2">
      <w:pPr>
        <w:numPr>
          <w:ilvl w:val="0"/>
          <w:numId w:val="4"/>
        </w:numPr>
        <w:pBdr>
          <w:top w:space="0" w:sz="0" w:val="nil"/>
          <w:left w:space="0" w:sz="0" w:val="nil"/>
          <w:bottom w:space="0" w:sz="0" w:val="nil"/>
          <w:right w:space="0" w:sz="0" w:val="nil"/>
          <w:between w:space="0" w:sz="0" w:val="nil"/>
        </w:pBdr>
        <w:tabs>
          <w:tab w:val="left" w:leader="none" w:pos="851"/>
        </w:tabs>
        <w:spacing w:after="0" w:line="360" w:lineRule="auto"/>
        <w:ind w:left="720" w:hanging="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Se generen versiones públicas para dar cumplimiento a las obligaciones de transparencia previstas en la Ley.</w:t>
      </w:r>
    </w:p>
    <w:p w:rsidR="00000000" w:rsidDel="00000000" w:rsidP="00000000" w:rsidRDefault="00000000" w:rsidRPr="00000000" w14:paraId="000000C3">
      <w:pPr>
        <w:tabs>
          <w:tab w:val="left" w:leader="none" w:pos="851"/>
        </w:tabs>
        <w:spacing w:after="0" w:line="360" w:lineRule="auto"/>
        <w:ind w:left="567" w:firstLine="0"/>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C4">
      <w:pPr>
        <w:spacing w:after="0" w:line="360" w:lineRule="auto"/>
        <w:ind w:right="51"/>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En ese sentido, es de precisar que la clasificación de la información no se da por el simple mandato de la ley, sino que es necesario que </w:t>
      </w:r>
      <w:r w:rsidDel="00000000" w:rsidR="00000000" w:rsidRPr="00000000">
        <w:rPr>
          <w:rFonts w:ascii="Palatino Linotype" w:cs="Palatino Linotype" w:eastAsia="Palatino Linotype" w:hAnsi="Palatino Linotype"/>
          <w:b w:val="1"/>
          <w:sz w:val="24"/>
          <w:szCs w:val="24"/>
          <w:rtl w:val="0"/>
        </w:rPr>
        <w:t xml:space="preserve">EL SUJETO OBLIGADO,</w:t>
      </w:r>
      <w:r w:rsidDel="00000000" w:rsidR="00000000" w:rsidRPr="00000000">
        <w:rPr>
          <w:rFonts w:ascii="Palatino Linotype" w:cs="Palatino Linotype" w:eastAsia="Palatino Linotype" w:hAnsi="Palatino Linotype"/>
          <w:sz w:val="24"/>
          <w:szCs w:val="24"/>
          <w:rtl w:val="0"/>
        </w:rPr>
        <w:t xml:space="preserve"> cuando clasifique algún documento o información, ya sea todo o en parte, atienda lo dispuesto por la ley de la materia, siendo que dicha clasificación es un trabajo en conjunto tanto de los Servidores Públicos Habilitados, de las Unidades de Transparencia y del Comité de Transparencia del </w:t>
      </w:r>
      <w:r w:rsidDel="00000000" w:rsidR="00000000" w:rsidRPr="00000000">
        <w:rPr>
          <w:rFonts w:ascii="Palatino Linotype" w:cs="Palatino Linotype" w:eastAsia="Palatino Linotype" w:hAnsi="Palatino Linotype"/>
          <w:b w:val="1"/>
          <w:sz w:val="24"/>
          <w:szCs w:val="24"/>
          <w:rtl w:val="0"/>
        </w:rPr>
        <w:t xml:space="preserve">SUJETO OBLIGADO</w:t>
      </w:r>
      <w:r w:rsidDel="00000000" w:rsidR="00000000" w:rsidRPr="00000000">
        <w:rPr>
          <w:rFonts w:ascii="Palatino Linotype" w:cs="Palatino Linotype" w:eastAsia="Palatino Linotype" w:hAnsi="Palatino Linotype"/>
          <w:sz w:val="24"/>
          <w:szCs w:val="24"/>
          <w:rtl w:val="0"/>
        </w:rPr>
        <w:t xml:space="preserve">, teniendo el deber los primeros de ellos de presentar ante la Unidad de Transparencia la propuesta de la clasificación de la información, para que luego esta se presente ante al Comité de Transparencia de así resultar procedente el proyecto de clasificación de la información y que finalmente sea este último quien apruebe, modifique o revoque la misma, como se desprende de los artículos 59 fracción V, 53 fracción X, y 49 fracciones II y VIII de la Ley de Transparencia y Acceso a la Información Pública del Estado de México y Municipios.</w:t>
      </w:r>
    </w:p>
    <w:p w:rsidR="00000000" w:rsidDel="00000000" w:rsidP="00000000" w:rsidRDefault="00000000" w:rsidRPr="00000000" w14:paraId="000000C5">
      <w:pPr>
        <w:pBdr>
          <w:top w:space="0" w:sz="0" w:val="nil"/>
          <w:left w:space="0" w:sz="0" w:val="nil"/>
          <w:bottom w:space="0" w:sz="0" w:val="nil"/>
          <w:right w:space="0" w:sz="0" w:val="nil"/>
          <w:between w:space="0" w:sz="0" w:val="nil"/>
        </w:pBdr>
        <w:ind w:left="864" w:right="864"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C6">
      <w:pPr>
        <w:pBdr>
          <w:top w:space="0" w:sz="0" w:val="nil"/>
          <w:left w:space="0" w:sz="0" w:val="nil"/>
          <w:bottom w:space="0" w:sz="0" w:val="nil"/>
          <w:right w:space="0" w:sz="0" w:val="nil"/>
          <w:between w:space="0" w:sz="0" w:val="nil"/>
        </w:pBdr>
        <w:ind w:left="864" w:right="864"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Artículo 59. Los servidores públicos habilitados tendrán las funciones siguientes:</w:t>
      </w:r>
    </w:p>
    <w:p w:rsidR="00000000" w:rsidDel="00000000" w:rsidP="00000000" w:rsidRDefault="00000000" w:rsidRPr="00000000" w14:paraId="000000C7">
      <w:pPr>
        <w:pBdr>
          <w:top w:space="0" w:sz="0" w:val="nil"/>
          <w:left w:space="0" w:sz="0" w:val="nil"/>
          <w:bottom w:space="0" w:sz="0" w:val="nil"/>
          <w:right w:space="0" w:sz="0" w:val="nil"/>
          <w:between w:space="0" w:sz="0" w:val="nil"/>
        </w:pBdr>
        <w:ind w:left="864" w:right="864"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0C8">
      <w:pPr>
        <w:pBdr>
          <w:top w:space="0" w:sz="0" w:val="nil"/>
          <w:left w:space="0" w:sz="0" w:val="nil"/>
          <w:bottom w:space="0" w:sz="0" w:val="nil"/>
          <w:right w:space="0" w:sz="0" w:val="nil"/>
          <w:between w:space="0" w:sz="0" w:val="nil"/>
        </w:pBdr>
        <w:ind w:left="864" w:right="864"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V. Integrar y presentar al responsable de la Unidad de Transparencia la propuesta de clasificación de información, la cual tendrá los fundamentos y argumentos en que se basa dicha propuesta;</w:t>
      </w:r>
    </w:p>
    <w:p w:rsidR="00000000" w:rsidDel="00000000" w:rsidP="00000000" w:rsidRDefault="00000000" w:rsidRPr="00000000" w14:paraId="000000C9">
      <w:pPr>
        <w:pBdr>
          <w:top w:space="0" w:sz="0" w:val="nil"/>
          <w:left w:space="0" w:sz="0" w:val="nil"/>
          <w:bottom w:space="0" w:sz="0" w:val="nil"/>
          <w:right w:space="0" w:sz="0" w:val="nil"/>
          <w:between w:space="0" w:sz="0" w:val="nil"/>
        </w:pBdr>
        <w:ind w:left="864" w:right="864"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0CA">
      <w:pPr>
        <w:pBdr>
          <w:top w:space="0" w:sz="0" w:val="nil"/>
          <w:left w:space="0" w:sz="0" w:val="nil"/>
          <w:bottom w:space="0" w:sz="0" w:val="nil"/>
          <w:right w:space="0" w:sz="0" w:val="nil"/>
          <w:between w:space="0" w:sz="0" w:val="nil"/>
        </w:pBdr>
        <w:ind w:left="864" w:right="864" w:firstLine="0"/>
        <w:jc w:val="both"/>
        <w:rPr>
          <w:rFonts w:ascii="Palatino Linotype" w:cs="Palatino Linotype" w:eastAsia="Palatino Linotype" w:hAnsi="Palatino Linotype"/>
          <w:i w:val="1"/>
          <w:vertAlign w:val="superscript"/>
        </w:rPr>
      </w:pPr>
      <w:r w:rsidDel="00000000" w:rsidR="00000000" w:rsidRPr="00000000">
        <w:rPr>
          <w:rtl w:val="0"/>
        </w:rPr>
      </w:r>
    </w:p>
    <w:p w:rsidR="00000000" w:rsidDel="00000000" w:rsidP="00000000" w:rsidRDefault="00000000" w:rsidRPr="00000000" w14:paraId="000000CB">
      <w:pPr>
        <w:pBdr>
          <w:top w:space="0" w:sz="0" w:val="nil"/>
          <w:left w:space="0" w:sz="0" w:val="nil"/>
          <w:bottom w:space="0" w:sz="0" w:val="nil"/>
          <w:right w:space="0" w:sz="0" w:val="nil"/>
          <w:between w:space="0" w:sz="0" w:val="nil"/>
        </w:pBdr>
        <w:ind w:left="864" w:right="864"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Artículo 53. Las Unidades de Transparencia tendrán las siguientes funciones:</w:t>
      </w:r>
    </w:p>
    <w:p w:rsidR="00000000" w:rsidDel="00000000" w:rsidP="00000000" w:rsidRDefault="00000000" w:rsidRPr="00000000" w14:paraId="000000CC">
      <w:pPr>
        <w:pBdr>
          <w:top w:space="0" w:sz="0" w:val="nil"/>
          <w:left w:space="0" w:sz="0" w:val="nil"/>
          <w:bottom w:space="0" w:sz="0" w:val="nil"/>
          <w:right w:space="0" w:sz="0" w:val="nil"/>
          <w:between w:space="0" w:sz="0" w:val="nil"/>
        </w:pBdr>
        <w:ind w:left="864" w:right="864"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0CD">
      <w:pPr>
        <w:pBdr>
          <w:top w:space="0" w:sz="0" w:val="nil"/>
          <w:left w:space="0" w:sz="0" w:val="nil"/>
          <w:bottom w:space="0" w:sz="0" w:val="nil"/>
          <w:right w:space="0" w:sz="0" w:val="nil"/>
          <w:between w:space="0" w:sz="0" w:val="nil"/>
        </w:pBdr>
        <w:ind w:left="864" w:right="864"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X. Presentar ante el Comité, el proyecto de clasificación de información;</w:t>
      </w:r>
    </w:p>
    <w:p w:rsidR="00000000" w:rsidDel="00000000" w:rsidP="00000000" w:rsidRDefault="00000000" w:rsidRPr="00000000" w14:paraId="000000CE">
      <w:pPr>
        <w:pBdr>
          <w:top w:space="0" w:sz="0" w:val="nil"/>
          <w:left w:space="0" w:sz="0" w:val="nil"/>
          <w:bottom w:space="0" w:sz="0" w:val="nil"/>
          <w:right w:space="0" w:sz="0" w:val="nil"/>
          <w:between w:space="0" w:sz="0" w:val="nil"/>
        </w:pBdr>
        <w:ind w:left="864" w:right="864"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 </w:t>
      </w:r>
    </w:p>
    <w:p w:rsidR="00000000" w:rsidDel="00000000" w:rsidP="00000000" w:rsidRDefault="00000000" w:rsidRPr="00000000" w14:paraId="000000CF">
      <w:pPr>
        <w:pBdr>
          <w:top w:space="0" w:sz="0" w:val="nil"/>
          <w:left w:space="0" w:sz="0" w:val="nil"/>
          <w:bottom w:space="0" w:sz="0" w:val="nil"/>
          <w:right w:space="0" w:sz="0" w:val="nil"/>
          <w:between w:space="0" w:sz="0" w:val="nil"/>
        </w:pBdr>
        <w:ind w:left="864" w:right="864" w:firstLine="0"/>
        <w:jc w:val="both"/>
        <w:rPr>
          <w:rFonts w:ascii="Palatino Linotype" w:cs="Palatino Linotype" w:eastAsia="Palatino Linotype" w:hAnsi="Palatino Linotype"/>
          <w:i w:val="1"/>
          <w:vertAlign w:val="superscript"/>
        </w:rPr>
      </w:pPr>
      <w:r w:rsidDel="00000000" w:rsidR="00000000" w:rsidRPr="00000000">
        <w:rPr>
          <w:rtl w:val="0"/>
        </w:rPr>
      </w:r>
    </w:p>
    <w:p w:rsidR="00000000" w:rsidDel="00000000" w:rsidP="00000000" w:rsidRDefault="00000000" w:rsidRPr="00000000" w14:paraId="000000D0">
      <w:pPr>
        <w:pBdr>
          <w:top w:space="0" w:sz="0" w:val="nil"/>
          <w:left w:space="0" w:sz="0" w:val="nil"/>
          <w:bottom w:space="0" w:sz="0" w:val="nil"/>
          <w:right w:space="0" w:sz="0" w:val="nil"/>
          <w:between w:space="0" w:sz="0" w:val="nil"/>
        </w:pBdr>
        <w:ind w:left="864" w:right="864"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Artículo 49. Los Comités de Transparencia tendrán las siguientes atribuciones:</w:t>
      </w:r>
    </w:p>
    <w:p w:rsidR="00000000" w:rsidDel="00000000" w:rsidP="00000000" w:rsidRDefault="00000000" w:rsidRPr="00000000" w14:paraId="000000D1">
      <w:pPr>
        <w:pBdr>
          <w:top w:space="0" w:sz="0" w:val="nil"/>
          <w:left w:space="0" w:sz="0" w:val="nil"/>
          <w:bottom w:space="0" w:sz="0" w:val="nil"/>
          <w:right w:space="0" w:sz="0" w:val="nil"/>
          <w:between w:space="0" w:sz="0" w:val="nil"/>
        </w:pBdr>
        <w:ind w:left="864" w:right="864"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0D2">
      <w:pPr>
        <w:pBdr>
          <w:top w:space="0" w:sz="0" w:val="nil"/>
          <w:left w:space="0" w:sz="0" w:val="nil"/>
          <w:bottom w:space="0" w:sz="0" w:val="nil"/>
          <w:right w:space="0" w:sz="0" w:val="nil"/>
          <w:between w:space="0" w:sz="0" w:val="nil"/>
        </w:pBdr>
        <w:ind w:left="864" w:right="864"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II. Confirmar, modificar o revocar las determinaciones que en materia de ampliación del plazo de respuesta, clasificación de la información y declaración de inexistencia o de incompetencia realicen los titulares de las áreas de los sujetos obligados;</w:t>
      </w:r>
    </w:p>
    <w:p w:rsidR="00000000" w:rsidDel="00000000" w:rsidP="00000000" w:rsidRDefault="00000000" w:rsidRPr="00000000" w14:paraId="000000D3">
      <w:pPr>
        <w:pBdr>
          <w:top w:space="0" w:sz="0" w:val="nil"/>
          <w:left w:space="0" w:sz="0" w:val="nil"/>
          <w:bottom w:space="0" w:sz="0" w:val="nil"/>
          <w:right w:space="0" w:sz="0" w:val="nil"/>
          <w:between w:space="0" w:sz="0" w:val="nil"/>
        </w:pBdr>
        <w:ind w:left="864" w:right="864"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0D4">
      <w:pPr>
        <w:pBdr>
          <w:top w:space="0" w:sz="0" w:val="nil"/>
          <w:left w:space="0" w:sz="0" w:val="nil"/>
          <w:bottom w:space="0" w:sz="0" w:val="nil"/>
          <w:right w:space="0" w:sz="0" w:val="nil"/>
          <w:between w:space="0" w:sz="0" w:val="nil"/>
        </w:pBdr>
        <w:ind w:left="864" w:right="864"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VIII. Aprobar, modificar o revocar la clasificación de la información;</w:t>
      </w:r>
    </w:p>
    <w:p w:rsidR="00000000" w:rsidDel="00000000" w:rsidP="00000000" w:rsidRDefault="00000000" w:rsidRPr="00000000" w14:paraId="000000D5">
      <w:pPr>
        <w:pBdr>
          <w:top w:space="0" w:sz="0" w:val="nil"/>
          <w:left w:space="0" w:sz="0" w:val="nil"/>
          <w:bottom w:space="0" w:sz="0" w:val="nil"/>
          <w:right w:space="0" w:sz="0" w:val="nil"/>
          <w:between w:space="0" w:sz="0" w:val="nil"/>
        </w:pBdr>
        <w:ind w:left="864" w:right="864"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0D6">
      <w:pPr>
        <w:pBdr>
          <w:top w:space="0" w:sz="0" w:val="nil"/>
          <w:left w:space="0" w:sz="0" w:val="nil"/>
          <w:bottom w:space="0" w:sz="0" w:val="nil"/>
          <w:right w:space="0" w:sz="0" w:val="nil"/>
          <w:between w:space="0" w:sz="0" w:val="nil"/>
        </w:pBdr>
        <w:spacing w:after="0" w:line="360" w:lineRule="auto"/>
        <w:ind w:left="864" w:right="864" w:firstLine="0"/>
        <w:jc w:val="both"/>
        <w:rPr>
          <w:rFonts w:ascii="Palatino Linotype" w:cs="Palatino Linotype" w:eastAsia="Palatino Linotype" w:hAnsi="Palatino Linotype"/>
          <w:i w:val="1"/>
          <w:sz w:val="24"/>
          <w:szCs w:val="24"/>
        </w:rPr>
      </w:pPr>
      <w:r w:rsidDel="00000000" w:rsidR="00000000" w:rsidRPr="00000000">
        <w:rPr>
          <w:rtl w:val="0"/>
        </w:rPr>
      </w:r>
    </w:p>
    <w:p w:rsidR="00000000" w:rsidDel="00000000" w:rsidP="00000000" w:rsidRDefault="00000000" w:rsidRPr="00000000" w14:paraId="000000D7">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Bajo tales consideraciones, este Organismo Garante no omite señalar que, si EL </w:t>
      </w:r>
      <w:r w:rsidDel="00000000" w:rsidR="00000000" w:rsidRPr="00000000">
        <w:rPr>
          <w:rFonts w:ascii="Palatino Linotype" w:cs="Palatino Linotype" w:eastAsia="Palatino Linotype" w:hAnsi="Palatino Linotype"/>
          <w:b w:val="1"/>
          <w:sz w:val="24"/>
          <w:szCs w:val="24"/>
          <w:rtl w:val="0"/>
        </w:rPr>
        <w:t xml:space="preserve">SUJETO OBLIGADO</w:t>
      </w:r>
      <w:r w:rsidDel="00000000" w:rsidR="00000000" w:rsidRPr="00000000">
        <w:rPr>
          <w:rFonts w:ascii="Palatino Linotype" w:cs="Palatino Linotype" w:eastAsia="Palatino Linotype" w:hAnsi="Palatino Linotype"/>
          <w:sz w:val="24"/>
          <w:szCs w:val="24"/>
          <w:rtl w:val="0"/>
        </w:rPr>
        <w:t xml:space="preserve"> advierte que la información solicitada contiene datos personales que sean susceptibles de ser clasificados como confidenciales,</w:t>
      </w:r>
      <w:r w:rsidDel="00000000" w:rsidR="00000000" w:rsidRPr="00000000">
        <w:rPr>
          <w:rFonts w:ascii="Palatino Linotype" w:cs="Palatino Linotype" w:eastAsia="Palatino Linotype" w:hAnsi="Palatino Linotype"/>
          <w:b w:val="1"/>
          <w:sz w:val="24"/>
          <w:szCs w:val="24"/>
          <w:rtl w:val="0"/>
        </w:rPr>
        <w:t xml:space="preserve"> </w:t>
      </w:r>
      <w:r w:rsidDel="00000000" w:rsidR="00000000" w:rsidRPr="00000000">
        <w:rPr>
          <w:rFonts w:ascii="Palatino Linotype" w:cs="Palatino Linotype" w:eastAsia="Palatino Linotype" w:hAnsi="Palatino Linotype"/>
          <w:sz w:val="24"/>
          <w:szCs w:val="24"/>
          <w:rtl w:val="0"/>
        </w:rPr>
        <w:t xml:space="preserve">o, si por otro lado, por su propia y especial naturaleza, encuadra en alguno de los supuestos de reserva o de confidencialidad en su totalidad, deberá emitir, un Acuerdo de Clasificación debidamente fundado y motivado que sustente la clasificación parcial, a través de la versión pública que emita, o bien, la restricción total del derecho de acceso a la información.  </w:t>
      </w:r>
    </w:p>
    <w:p w:rsidR="00000000" w:rsidDel="00000000" w:rsidP="00000000" w:rsidRDefault="00000000" w:rsidRPr="00000000" w14:paraId="000000D8">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D9">
      <w:pPr>
        <w:numPr>
          <w:ilvl w:val="0"/>
          <w:numId w:val="3"/>
        </w:numPr>
        <w:pBdr>
          <w:top w:space="0" w:sz="0" w:val="nil"/>
          <w:left w:space="0" w:sz="0" w:val="nil"/>
          <w:bottom w:space="0" w:sz="0" w:val="nil"/>
          <w:right w:space="0" w:sz="0" w:val="nil"/>
          <w:between w:space="0" w:sz="0" w:val="nil"/>
        </w:pBdr>
        <w:spacing w:after="0" w:line="360" w:lineRule="auto"/>
        <w:ind w:left="72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DE LA CLASIFICACIÓN PARCIAL DE LA INFORMACIÓN.</w:t>
      </w:r>
      <w:r w:rsidDel="00000000" w:rsidR="00000000" w:rsidRPr="00000000">
        <w:rPr>
          <w:rtl w:val="0"/>
        </w:rPr>
      </w:r>
    </w:p>
    <w:p w:rsidR="00000000" w:rsidDel="00000000" w:rsidP="00000000" w:rsidRDefault="00000000" w:rsidRPr="00000000" w14:paraId="000000DA">
      <w:pPr>
        <w:pBdr>
          <w:top w:space="0" w:sz="0" w:val="nil"/>
          <w:left w:space="0" w:sz="0" w:val="nil"/>
          <w:bottom w:space="0" w:sz="0" w:val="nil"/>
          <w:right w:space="0" w:sz="0" w:val="nil"/>
          <w:between w:space="0" w:sz="0" w:val="nil"/>
        </w:pBdr>
        <w:spacing w:line="360" w:lineRule="auto"/>
        <w:ind w:left="720" w:firstLine="0"/>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DB">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Respecto de la elaboración de versiones públicas, debe mencionarse que dentro de los datos personales que pudieran contenerse se destacan los datos personales sensibles, los cuales son aquellos referentes de la esfera de su titular cuya utilización indebida pueda dar origen a discriminación o conlleve un riesgo grave para este. De manera enunciativa más no limitativa, se consideran sensibles los datos personales que puedan revelar aspectos como origen racial o étnico, estado de salud física o mental, presente o futura, información genética, creencias religiosas, filosóficas y morales, opiniones políticas y preferencia sexual, de conformidad con el artículo 4, fracción XII de la Ley de Protección de Datos Personales en Posesión de Sujetos Obligados del Estado de México y Municipios.</w:t>
      </w:r>
    </w:p>
    <w:p w:rsidR="00000000" w:rsidDel="00000000" w:rsidP="00000000" w:rsidRDefault="00000000" w:rsidRPr="00000000" w14:paraId="000000DC">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DD">
      <w:pPr>
        <w:numPr>
          <w:ilvl w:val="0"/>
          <w:numId w:val="3"/>
        </w:numPr>
        <w:pBdr>
          <w:top w:space="0" w:sz="0" w:val="nil"/>
          <w:left w:space="0" w:sz="0" w:val="nil"/>
          <w:bottom w:space="0" w:sz="0" w:val="nil"/>
          <w:right w:space="0" w:sz="0" w:val="nil"/>
          <w:between w:space="0" w:sz="0" w:val="nil"/>
        </w:pBdr>
        <w:spacing w:after="0" w:line="360" w:lineRule="auto"/>
        <w:ind w:left="720" w:right="51" w:hanging="360"/>
        <w:jc w:val="both"/>
        <w:rPr>
          <w:rFonts w:ascii="Palatino Linotype" w:cs="Palatino Linotype" w:eastAsia="Palatino Linotype" w:hAnsi="Palatino Linotype"/>
          <w:b w:val="1"/>
          <w:sz w:val="24"/>
          <w:szCs w:val="24"/>
        </w:rPr>
      </w:pPr>
      <w:r w:rsidDel="00000000" w:rsidR="00000000" w:rsidRPr="00000000">
        <w:rPr>
          <w:rFonts w:ascii="Palatino Linotype" w:cs="Palatino Linotype" w:eastAsia="Palatino Linotype" w:hAnsi="Palatino Linotype"/>
          <w:b w:val="1"/>
          <w:sz w:val="24"/>
          <w:szCs w:val="24"/>
          <w:rtl w:val="0"/>
        </w:rPr>
        <w:t xml:space="preserve">DE LA CLASIFICACIÓN DE INFORMACIÓN COMO RESERVADA.</w:t>
      </w:r>
    </w:p>
    <w:p w:rsidR="00000000" w:rsidDel="00000000" w:rsidP="00000000" w:rsidRDefault="00000000" w:rsidRPr="00000000" w14:paraId="000000DE">
      <w:pPr>
        <w:pBdr>
          <w:top w:space="0" w:sz="0" w:val="nil"/>
          <w:left w:space="0" w:sz="0" w:val="nil"/>
          <w:bottom w:space="0" w:sz="0" w:val="nil"/>
          <w:right w:space="0" w:sz="0" w:val="nil"/>
          <w:between w:space="0" w:sz="0" w:val="nil"/>
        </w:pBdr>
        <w:spacing w:after="0" w:line="360" w:lineRule="auto"/>
        <w:ind w:left="720" w:right="51" w:firstLine="0"/>
        <w:jc w:val="both"/>
        <w:rPr>
          <w:rFonts w:ascii="Palatino Linotype" w:cs="Palatino Linotype" w:eastAsia="Palatino Linotype" w:hAnsi="Palatino Linotype"/>
          <w:b w:val="1"/>
          <w:sz w:val="24"/>
          <w:szCs w:val="24"/>
        </w:rPr>
      </w:pPr>
      <w:r w:rsidDel="00000000" w:rsidR="00000000" w:rsidRPr="00000000">
        <w:rPr>
          <w:rtl w:val="0"/>
        </w:rPr>
      </w:r>
    </w:p>
    <w:p w:rsidR="00000000" w:rsidDel="00000000" w:rsidP="00000000" w:rsidRDefault="00000000" w:rsidRPr="00000000" w14:paraId="000000DF">
      <w:pPr>
        <w:spacing w:after="0" w:line="360" w:lineRule="auto"/>
        <w:ind w:right="51"/>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Por cuanto hace a la reserva y ampliación del plazo de reserva de la información, para motivar la clasificación se deberán de señalar las razones, motivos o circunstancias especiales que llevaron al </w:t>
      </w:r>
      <w:r w:rsidDel="00000000" w:rsidR="00000000" w:rsidRPr="00000000">
        <w:rPr>
          <w:rFonts w:ascii="Palatino Linotype" w:cs="Palatino Linotype" w:eastAsia="Palatino Linotype" w:hAnsi="Palatino Linotype"/>
          <w:b w:val="1"/>
          <w:sz w:val="24"/>
          <w:szCs w:val="24"/>
          <w:rtl w:val="0"/>
        </w:rPr>
        <w:t xml:space="preserve">SUJETO OBLIGADO</w:t>
      </w:r>
      <w:r w:rsidDel="00000000" w:rsidR="00000000" w:rsidRPr="00000000">
        <w:rPr>
          <w:rFonts w:ascii="Palatino Linotype" w:cs="Palatino Linotype" w:eastAsia="Palatino Linotype" w:hAnsi="Palatino Linotype"/>
          <w:sz w:val="24"/>
          <w:szCs w:val="24"/>
          <w:rtl w:val="0"/>
        </w:rPr>
        <w:t xml:space="preserve"> a concluir que, el caso particular se ajusta al supuesto previsto por la norma legal invocada como fundamento; siendo que, además, en todo momento, se debe aplicar una prueba de daño, entendida esta como la responsabilidad de los Sujetos Obligados de demostrar, de manera fundada y motivada, que la divulgación de la información lesiona el interés debidamente protegido por la ley y que el menoscabo o daño que puede producirse con la publicidad de la información, es mayor que el interés de conocerla; debiendo clasificarse como reservada.</w:t>
      </w:r>
    </w:p>
    <w:p w:rsidR="00000000" w:rsidDel="00000000" w:rsidP="00000000" w:rsidRDefault="00000000" w:rsidRPr="00000000" w14:paraId="000000E0">
      <w:pPr>
        <w:spacing w:after="0" w:line="360" w:lineRule="auto"/>
        <w:ind w:right="51"/>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E1">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En otras palabras, para la clasificación de la información como reservada se deben establecer, de manera fundada y motivada, las hipótesis normativas aplicables al caso concreto y se analice la prueba de daño, misma que se encuentra prevista en el artículo 129 de la Ley de Transparencia y Acceso a la Información pública del Estado de México y Municipios, para lo cual, los Sujetos Obligados deberán considerar que: </w:t>
      </w:r>
    </w:p>
    <w:p w:rsidR="00000000" w:rsidDel="00000000" w:rsidP="00000000" w:rsidRDefault="00000000" w:rsidRPr="00000000" w14:paraId="000000E2">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E3">
      <w:pPr>
        <w:numPr>
          <w:ilvl w:val="0"/>
          <w:numId w:val="5"/>
        </w:numPr>
        <w:tabs>
          <w:tab w:val="left" w:leader="none" w:pos="851"/>
        </w:tabs>
        <w:spacing w:after="0" w:line="360" w:lineRule="auto"/>
        <w:ind w:left="567" w:firstLine="1.0000000000000142"/>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La divulgación de la información representa un </w:t>
      </w:r>
      <w:r w:rsidDel="00000000" w:rsidR="00000000" w:rsidRPr="00000000">
        <w:rPr>
          <w:rFonts w:ascii="Palatino Linotype" w:cs="Palatino Linotype" w:eastAsia="Palatino Linotype" w:hAnsi="Palatino Linotype"/>
          <w:b w:val="1"/>
          <w:sz w:val="24"/>
          <w:szCs w:val="24"/>
          <w:rtl w:val="0"/>
        </w:rPr>
        <w:t xml:space="preserve">riesgo real, demostrable e identificable del perjuicio significativo al interés público o a la seguridad pública</w:t>
      </w:r>
      <w:r w:rsidDel="00000000" w:rsidR="00000000" w:rsidRPr="00000000">
        <w:rPr>
          <w:rFonts w:ascii="Palatino Linotype" w:cs="Palatino Linotype" w:eastAsia="Palatino Linotype" w:hAnsi="Palatino Linotype"/>
          <w:sz w:val="24"/>
          <w:szCs w:val="24"/>
          <w:rtl w:val="0"/>
        </w:rPr>
        <w:t xml:space="preserve">;</w:t>
      </w:r>
    </w:p>
    <w:p w:rsidR="00000000" w:rsidDel="00000000" w:rsidP="00000000" w:rsidRDefault="00000000" w:rsidRPr="00000000" w14:paraId="000000E4">
      <w:pPr>
        <w:numPr>
          <w:ilvl w:val="0"/>
          <w:numId w:val="5"/>
        </w:numPr>
        <w:tabs>
          <w:tab w:val="left" w:leader="none" w:pos="851"/>
        </w:tabs>
        <w:spacing w:after="0" w:line="360" w:lineRule="auto"/>
        <w:ind w:left="567" w:firstLine="1.0000000000000142"/>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El riesgo de perjuicio que supondría la divulgación supera el interés público general de que se difunda; y,</w:t>
      </w:r>
    </w:p>
    <w:p w:rsidR="00000000" w:rsidDel="00000000" w:rsidP="00000000" w:rsidRDefault="00000000" w:rsidRPr="00000000" w14:paraId="000000E5">
      <w:pPr>
        <w:numPr>
          <w:ilvl w:val="0"/>
          <w:numId w:val="5"/>
        </w:numPr>
        <w:tabs>
          <w:tab w:val="left" w:leader="none" w:pos="851"/>
        </w:tabs>
        <w:spacing w:after="0" w:line="360" w:lineRule="auto"/>
        <w:ind w:left="567" w:firstLine="1.0000000000000142"/>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La limitación se adecua al principio de proporcionalidad y representa el medio menos restrictivo disponible para evitar el perjuicio. </w:t>
      </w:r>
    </w:p>
    <w:p w:rsidR="00000000" w:rsidDel="00000000" w:rsidP="00000000" w:rsidRDefault="00000000" w:rsidRPr="00000000" w14:paraId="000000E6">
      <w:pPr>
        <w:tabs>
          <w:tab w:val="left" w:leader="none" w:pos="851"/>
        </w:tabs>
        <w:spacing w:after="0" w:line="360" w:lineRule="auto"/>
        <w:ind w:left="568" w:firstLine="0"/>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E7">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Siendo pertinente aclarar que, la información que se clasifica bajo la premisa de reservada, no pierde el carácter de pública, sino que se reserva temporalmente del conocimiento público, es decir, que, por un tiempo determinado, se conservará y custodiará la información de manera especial, y una vez transcurrido el plazo de reserva, el documento podrá divulgarse.</w:t>
      </w:r>
    </w:p>
    <w:p w:rsidR="00000000" w:rsidDel="00000000" w:rsidP="00000000" w:rsidRDefault="00000000" w:rsidRPr="00000000" w14:paraId="000000E8">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E9">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De tal manera, las limitaciones al acceso a la información deben sustentarse en una adecuada clasificación que debe distinguir y tomar en cuenta qué información puede generar un daño desproporcionado o innecesario a valores jurídicamente protegidos. </w:t>
      </w:r>
    </w:p>
    <w:p w:rsidR="00000000" w:rsidDel="00000000" w:rsidP="00000000" w:rsidRDefault="00000000" w:rsidRPr="00000000" w14:paraId="000000EA">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EB">
      <w:pPr>
        <w:numPr>
          <w:ilvl w:val="0"/>
          <w:numId w:val="3"/>
        </w:numPr>
        <w:pBdr>
          <w:top w:space="0" w:sz="0" w:val="nil"/>
          <w:left w:space="0" w:sz="0" w:val="nil"/>
          <w:bottom w:space="0" w:sz="0" w:val="nil"/>
          <w:right w:space="0" w:sz="0" w:val="nil"/>
          <w:between w:space="0" w:sz="0" w:val="nil"/>
        </w:pBdr>
        <w:tabs>
          <w:tab w:val="left" w:leader="none" w:pos="709"/>
        </w:tabs>
        <w:spacing w:after="0" w:line="360" w:lineRule="auto"/>
        <w:ind w:left="720" w:hanging="360"/>
        <w:jc w:val="both"/>
        <w:rPr>
          <w:rFonts w:ascii="Palatino Linotype" w:cs="Palatino Linotype" w:eastAsia="Palatino Linotype" w:hAnsi="Palatino Linotype"/>
          <w:b w:val="1"/>
          <w:sz w:val="24"/>
          <w:szCs w:val="24"/>
        </w:rPr>
      </w:pPr>
      <w:r w:rsidDel="00000000" w:rsidR="00000000" w:rsidRPr="00000000">
        <w:rPr>
          <w:rFonts w:ascii="Palatino Linotype" w:cs="Palatino Linotype" w:eastAsia="Palatino Linotype" w:hAnsi="Palatino Linotype"/>
          <w:b w:val="1"/>
          <w:sz w:val="24"/>
          <w:szCs w:val="24"/>
          <w:rtl w:val="0"/>
        </w:rPr>
        <w:t xml:space="preserve">DE LA CLASIFICACIÓN DE LA INFORMACIÓN COMO TOTALMENTE CONFIDENCIAL.</w:t>
      </w:r>
    </w:p>
    <w:p w:rsidR="00000000" w:rsidDel="00000000" w:rsidP="00000000" w:rsidRDefault="00000000" w:rsidRPr="00000000" w14:paraId="000000EC">
      <w:pPr>
        <w:pBdr>
          <w:top w:space="0" w:sz="0" w:val="nil"/>
          <w:left w:space="0" w:sz="0" w:val="nil"/>
          <w:bottom w:space="0" w:sz="0" w:val="nil"/>
          <w:right w:space="0" w:sz="0" w:val="nil"/>
          <w:between w:space="0" w:sz="0" w:val="nil"/>
        </w:pBdr>
        <w:tabs>
          <w:tab w:val="left" w:leader="none" w:pos="709"/>
        </w:tabs>
        <w:spacing w:after="0" w:line="360" w:lineRule="auto"/>
        <w:ind w:left="720" w:firstLine="0"/>
        <w:jc w:val="both"/>
        <w:rPr>
          <w:rFonts w:ascii="Palatino Linotype" w:cs="Palatino Linotype" w:eastAsia="Palatino Linotype" w:hAnsi="Palatino Linotype"/>
          <w:b w:val="1"/>
          <w:sz w:val="24"/>
          <w:szCs w:val="24"/>
        </w:rPr>
      </w:pPr>
      <w:r w:rsidDel="00000000" w:rsidR="00000000" w:rsidRPr="00000000">
        <w:rPr>
          <w:rtl w:val="0"/>
        </w:rPr>
      </w:r>
    </w:p>
    <w:p w:rsidR="00000000" w:rsidDel="00000000" w:rsidP="00000000" w:rsidRDefault="00000000" w:rsidRPr="00000000" w14:paraId="000000ED">
      <w:pPr>
        <w:tabs>
          <w:tab w:val="left" w:leader="none" w:pos="709"/>
        </w:tabs>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Por cuanto hace a los documentos que por su propia y especial naturaleza sean de carácter privado, encuadran en el supuesto de información confidencial en su totalidad, bajo la premisa de que el derecho de acceso a la información pública tiene como limitante el respeto a la intimidad y a la vida privada de las personas, es por ello que este Instituto debe cuidar que los datos personales que obren en poder de los Sujetos Obligados estén protegidos, quienes deberán adoptar las medidas de seguridad administrativa, física y técnica necesarias para garantizar la integridad, confidencialidad y disponibilidad de los datos personales, considerando además, que conforme al principio de finalidad todo tratamiento de datos personales que efectúen los Sujetos Obligados deberá estar justificado en la Ley, lo anterior en términos de lo dispuesto por los artículos 6, 22, 38 y 43, de la Ley de Protección de Datos Personales en Posesión de los Sujetos Obligados del Estado de México y Municipios.</w:t>
      </w:r>
    </w:p>
    <w:p w:rsidR="00000000" w:rsidDel="00000000" w:rsidP="00000000" w:rsidRDefault="00000000" w:rsidRPr="00000000" w14:paraId="000000EE">
      <w:pPr>
        <w:tabs>
          <w:tab w:val="left" w:leader="none" w:pos="709"/>
        </w:tabs>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EF">
      <w:pPr>
        <w:spacing w:after="0" w:line="360" w:lineRule="auto"/>
        <w:ind w:right="51"/>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Asimismo, no obsta mencionar que el Acuerdo del Comité de Transparencia mediante el cual se clasifique la información como reservada o confidencial, de manera total o parcial debe emitirse siguiendo las formalidades previstas en la Ley de Transparencia y Acceso a la Información Pública del Estado de México y en los Lineamientos Generales en Materia de Clasificación y Desclasificación de la Información, así como para la Elaboración de Versiones Públicas, de igual forma en dicho acuerdo se deben exponer de manera clara los fundamentos y razones que llevaron a la autoridad a clasificar la información, de lo contrario, implica dejar al solicitante en estado de incertidumbre, al no conocer o comprender las razones por las que se clasifica la documentación respectiva, es decir, si no se exponen de manera puntual las razones, de ello se estaría violentando el Derecho de Acceso a la Información del solicitante.</w:t>
      </w:r>
    </w:p>
    <w:p w:rsidR="00000000" w:rsidDel="00000000" w:rsidP="00000000" w:rsidRDefault="00000000" w:rsidRPr="00000000" w14:paraId="000000F0">
      <w:pPr>
        <w:spacing w:after="0" w:line="360" w:lineRule="auto"/>
        <w:ind w:right="51"/>
        <w:jc w:val="both"/>
        <w:rPr>
          <w:rFonts w:ascii="Palatino Linotype" w:cs="Palatino Linotype" w:eastAsia="Palatino Linotype" w:hAnsi="Palatino Linotype"/>
          <w:b w:val="1"/>
          <w:sz w:val="24"/>
          <w:szCs w:val="24"/>
        </w:rPr>
      </w:pPr>
      <w:r w:rsidDel="00000000" w:rsidR="00000000" w:rsidRPr="00000000">
        <w:rPr>
          <w:rtl w:val="0"/>
        </w:rPr>
      </w:r>
    </w:p>
    <w:p w:rsidR="00000000" w:rsidDel="00000000" w:rsidP="00000000" w:rsidRDefault="00000000" w:rsidRPr="00000000" w14:paraId="000000F1">
      <w:pPr>
        <w:numPr>
          <w:ilvl w:val="0"/>
          <w:numId w:val="3"/>
        </w:numPr>
        <w:pBdr>
          <w:top w:space="0" w:sz="0" w:val="nil"/>
          <w:left w:space="0" w:sz="0" w:val="nil"/>
          <w:bottom w:space="0" w:sz="0" w:val="nil"/>
          <w:right w:space="0" w:sz="0" w:val="nil"/>
          <w:between w:space="0" w:sz="0" w:val="nil"/>
        </w:pBdr>
        <w:spacing w:after="0" w:line="360" w:lineRule="auto"/>
        <w:ind w:left="720" w:right="51" w:hanging="360"/>
        <w:jc w:val="both"/>
        <w:rPr>
          <w:rFonts w:ascii="Palatino Linotype" w:cs="Palatino Linotype" w:eastAsia="Palatino Linotype" w:hAnsi="Palatino Linotype"/>
          <w:b w:val="1"/>
          <w:sz w:val="24"/>
          <w:szCs w:val="24"/>
        </w:rPr>
      </w:pPr>
      <w:r w:rsidDel="00000000" w:rsidR="00000000" w:rsidRPr="00000000">
        <w:rPr>
          <w:rFonts w:ascii="Palatino Linotype" w:cs="Palatino Linotype" w:eastAsia="Palatino Linotype" w:hAnsi="Palatino Linotype"/>
          <w:b w:val="1"/>
          <w:sz w:val="24"/>
          <w:szCs w:val="24"/>
          <w:rtl w:val="0"/>
        </w:rPr>
        <w:t xml:space="preserve">DE LA DECLARATORIA DE INEXISTENCIA DE LA INFORMACIÓN.</w:t>
      </w:r>
    </w:p>
    <w:p w:rsidR="00000000" w:rsidDel="00000000" w:rsidP="00000000" w:rsidRDefault="00000000" w:rsidRPr="00000000" w14:paraId="000000F2">
      <w:pPr>
        <w:spacing w:after="0" w:line="360" w:lineRule="auto"/>
        <w:ind w:right="51"/>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F3">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Por otro lado, estima prudente señalar al </w:t>
      </w:r>
      <w:r w:rsidDel="00000000" w:rsidR="00000000" w:rsidRPr="00000000">
        <w:rPr>
          <w:rFonts w:ascii="Palatino Linotype" w:cs="Palatino Linotype" w:eastAsia="Palatino Linotype" w:hAnsi="Palatino Linotype"/>
          <w:b w:val="1"/>
          <w:sz w:val="24"/>
          <w:szCs w:val="24"/>
          <w:rtl w:val="0"/>
        </w:rPr>
        <w:t xml:space="preserve">SUJETO OBLIGADO</w:t>
      </w:r>
      <w:r w:rsidDel="00000000" w:rsidR="00000000" w:rsidRPr="00000000">
        <w:rPr>
          <w:rFonts w:ascii="Palatino Linotype" w:cs="Palatino Linotype" w:eastAsia="Palatino Linotype" w:hAnsi="Palatino Linotype"/>
          <w:sz w:val="24"/>
          <w:szCs w:val="24"/>
          <w:rtl w:val="0"/>
        </w:rPr>
        <w:t xml:space="preserve"> que, en caso de que la información solicitada, debiera obrar en sus archivos y no cuente con ella, deberá entregar el Acuerdo del Comité de Transparencia, en donde conste la declaratoria de inexistencia de la misma.</w:t>
      </w:r>
    </w:p>
    <w:p w:rsidR="00000000" w:rsidDel="00000000" w:rsidP="00000000" w:rsidRDefault="00000000" w:rsidRPr="00000000" w14:paraId="000000F4">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F5">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Siendo importante resaltar que los artículos 18 y 19 de la Ley de Transparencia y Acceso a la Información Pública del Estado de México y Municipios establecen que los Sujetos Obligados deben documentar todo acto que derive del ejercicio de sus facultades, competencias o funciones y que se presume que la información debe existir si se refiere a dichas facultades, competencias y/o funciones.</w:t>
      </w:r>
    </w:p>
    <w:p w:rsidR="00000000" w:rsidDel="00000000" w:rsidP="00000000" w:rsidRDefault="00000000" w:rsidRPr="00000000" w14:paraId="000000F6">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F7">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En tal caso, la declaratoria a que se ha hecho referencia deberá realizarse, conforme a lo dispuesto en los artículos 49, fracciones II y XIII, 169 y 170 de la Ley de Transparencia y Acceso a la Información Pública del Estado de México y Municipios, que establecen la forma en que los Sujetos Obligados deben dar curso a las Declaratorias de Inexistencia.</w:t>
      </w:r>
    </w:p>
    <w:p w:rsidR="00000000" w:rsidDel="00000000" w:rsidP="00000000" w:rsidRDefault="00000000" w:rsidRPr="00000000" w14:paraId="000000F8">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F9">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Resulta aplicable el criterio de interpretación en el orden administrativo número 0008-19 emitido por Acuerdo del Pleno del Instituto de Transparencia y Acceso a la Información Pública del Estado de México y Municipios, que a la letra dice:</w:t>
      </w:r>
    </w:p>
    <w:p w:rsidR="00000000" w:rsidDel="00000000" w:rsidP="00000000" w:rsidRDefault="00000000" w:rsidRPr="00000000" w14:paraId="000000FA">
      <w:pPr>
        <w:pBdr>
          <w:top w:space="0" w:sz="0" w:val="nil"/>
          <w:left w:space="0" w:sz="0" w:val="nil"/>
          <w:bottom w:space="0" w:sz="0" w:val="nil"/>
          <w:right w:space="0" w:sz="0" w:val="nil"/>
          <w:between w:space="0" w:sz="0" w:val="nil"/>
        </w:pBdr>
        <w:spacing w:after="0" w:line="276" w:lineRule="auto"/>
        <w:ind w:left="862" w:right="862"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FB">
      <w:pPr>
        <w:pBdr>
          <w:top w:space="0" w:sz="0" w:val="nil"/>
          <w:left w:space="0" w:sz="0" w:val="nil"/>
          <w:bottom w:space="0" w:sz="0" w:val="nil"/>
          <w:right w:space="0" w:sz="0" w:val="nil"/>
          <w:between w:space="0" w:sz="0" w:val="nil"/>
        </w:pBdr>
        <w:spacing w:after="0" w:line="276" w:lineRule="auto"/>
        <w:ind w:left="862" w:right="862"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INEXISTENCIA DE LA INFORMACIÓN. SUPUESTOS PARA EMITIR LA RESOLUCIÓN DE LA. </w:t>
      </w:r>
      <w:r w:rsidDel="00000000" w:rsidR="00000000" w:rsidRPr="00000000">
        <w:rPr>
          <w:rFonts w:ascii="Palatino Linotype" w:cs="Palatino Linotype" w:eastAsia="Palatino Linotype" w:hAnsi="Palatino Linotype"/>
          <w:i w:val="1"/>
          <w:rtl w:val="0"/>
        </w:rPr>
        <w:t xml:space="preserve">De conformidad con los artículos 19, párrafo tercero y 170 de la Ley de Transparencia y Acceso a la Información Pública del Estado de México y Municipios, el Comité de Transparencia deberá emitir un acuerdo de inexistencia de información debidamente fundado y motivado, para justificar por qué no obra en los archivos del Sujeto Obligado la información que deriva de las facultades, competencias y atribuciones que los ordenamientos jurídicos aplicables le otorgan, la cual debió generar, poseer y administrar. Por tanto, en términos de los numerales previamente citados, el referido acuerdo de inexistencia procede en los siguientes momentos: a) cuando no se generó, poseyó o administró el documento teniendo la obligación conforme a la presunción legal que deriva de las facultades, competencias y atribuciones que los ordenamientos jurídicos aplicables le otorgan; b) que habiendo sido generada, poseída o administrada, por algún motivo ya no se cuenta con la información solicitada; o bien, c) cuando el Sujeto Obligado fue omiso en ejercer una facultad, competencia o atribución inexcusable. Supuestos que, de actualizarse, deberán acreditarse con las exigencias legales contempladas en los numerales 49, fracción II, 169 y 170 de la Ley de Transparencia de la entidad, a través de una resolución del Comité de Transparencia del Sujeto Obligado que confirme la inexistencia de la información, acto jurídico que genera certeza jurídica al particular de que se realizó un criterio de búsqueda exhaustivo y razonable con la debida justificación de la falta de información y en su caso, las consecuencias de ello.</w:t>
      </w:r>
    </w:p>
    <w:p w:rsidR="00000000" w:rsidDel="00000000" w:rsidP="00000000" w:rsidRDefault="00000000" w:rsidRPr="00000000" w14:paraId="000000FC">
      <w:pPr>
        <w:pBdr>
          <w:top w:space="0" w:sz="0" w:val="nil"/>
          <w:left w:space="0" w:sz="0" w:val="nil"/>
          <w:bottom w:space="0" w:sz="0" w:val="nil"/>
          <w:right w:space="0" w:sz="0" w:val="nil"/>
          <w:between w:space="0" w:sz="0" w:val="nil"/>
        </w:pBdr>
        <w:ind w:left="864" w:right="864" w:firstLine="0"/>
        <w:jc w:val="both"/>
        <w:rPr>
          <w:rFonts w:ascii="Palatino Linotype" w:cs="Palatino Linotype" w:eastAsia="Palatino Linotype" w:hAnsi="Palatino Linotype"/>
          <w:i w:val="1"/>
          <w:sz w:val="24"/>
          <w:szCs w:val="24"/>
        </w:rPr>
      </w:pPr>
      <w:r w:rsidDel="00000000" w:rsidR="00000000" w:rsidRPr="00000000">
        <w:rPr>
          <w:rtl w:val="0"/>
        </w:rPr>
      </w:r>
    </w:p>
    <w:p w:rsidR="00000000" w:rsidDel="00000000" w:rsidP="00000000" w:rsidRDefault="00000000" w:rsidRPr="00000000" w14:paraId="000000FD">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En mérito de todo lo expuesto, ante lo </w:t>
      </w:r>
      <w:r w:rsidDel="00000000" w:rsidR="00000000" w:rsidRPr="00000000">
        <w:rPr>
          <w:rFonts w:ascii="Palatino Linotype" w:cs="Palatino Linotype" w:eastAsia="Palatino Linotype" w:hAnsi="Palatino Linotype"/>
          <w:b w:val="1"/>
          <w:sz w:val="24"/>
          <w:szCs w:val="24"/>
          <w:rtl w:val="0"/>
        </w:rPr>
        <w:t xml:space="preserve">FUNDADO</w:t>
      </w:r>
      <w:r w:rsidDel="00000000" w:rsidR="00000000" w:rsidRPr="00000000">
        <w:rPr>
          <w:rFonts w:ascii="Palatino Linotype" w:cs="Palatino Linotype" w:eastAsia="Palatino Linotype" w:hAnsi="Palatino Linotype"/>
          <w:sz w:val="24"/>
          <w:szCs w:val="24"/>
          <w:rtl w:val="0"/>
        </w:rPr>
        <w:t xml:space="preserve"> de las razones o motivos de inconformidad hechos valer por </w:t>
      </w:r>
      <w:r w:rsidDel="00000000" w:rsidR="00000000" w:rsidRPr="00000000">
        <w:rPr>
          <w:rFonts w:ascii="Palatino Linotype" w:cs="Palatino Linotype" w:eastAsia="Palatino Linotype" w:hAnsi="Palatino Linotype"/>
          <w:b w:val="1"/>
          <w:sz w:val="24"/>
          <w:szCs w:val="24"/>
          <w:rtl w:val="0"/>
        </w:rPr>
        <w:t xml:space="preserve">LA PARTE RECURRENTE, </w:t>
      </w:r>
      <w:r w:rsidDel="00000000" w:rsidR="00000000" w:rsidRPr="00000000">
        <w:rPr>
          <w:rFonts w:ascii="Palatino Linotype" w:cs="Palatino Linotype" w:eastAsia="Palatino Linotype" w:hAnsi="Palatino Linotype"/>
          <w:sz w:val="24"/>
          <w:szCs w:val="24"/>
          <w:rtl w:val="0"/>
        </w:rPr>
        <w:t xml:space="preserve">este Instituto estima que lo dable es </w:t>
      </w:r>
      <w:r w:rsidDel="00000000" w:rsidR="00000000" w:rsidRPr="00000000">
        <w:rPr>
          <w:rFonts w:ascii="Palatino Linotype" w:cs="Palatino Linotype" w:eastAsia="Palatino Linotype" w:hAnsi="Palatino Linotype"/>
          <w:b w:val="1"/>
          <w:sz w:val="24"/>
          <w:szCs w:val="24"/>
          <w:rtl w:val="0"/>
        </w:rPr>
        <w:t xml:space="preserve">ORDENAR</w:t>
      </w:r>
      <w:r w:rsidDel="00000000" w:rsidR="00000000" w:rsidRPr="00000000">
        <w:rPr>
          <w:rFonts w:ascii="Palatino Linotype" w:cs="Palatino Linotype" w:eastAsia="Palatino Linotype" w:hAnsi="Palatino Linotype"/>
          <w:sz w:val="24"/>
          <w:szCs w:val="24"/>
          <w:rtl w:val="0"/>
        </w:rPr>
        <w:t xml:space="preserve"> al </w:t>
      </w:r>
      <w:r w:rsidDel="00000000" w:rsidR="00000000" w:rsidRPr="00000000">
        <w:rPr>
          <w:rFonts w:ascii="Palatino Linotype" w:cs="Palatino Linotype" w:eastAsia="Palatino Linotype" w:hAnsi="Palatino Linotype"/>
          <w:b w:val="1"/>
          <w:sz w:val="24"/>
          <w:szCs w:val="24"/>
          <w:rtl w:val="0"/>
        </w:rPr>
        <w:t xml:space="preserve">SUJETO OBLIGADO</w:t>
      </w:r>
      <w:r w:rsidDel="00000000" w:rsidR="00000000" w:rsidRPr="00000000">
        <w:rPr>
          <w:rFonts w:ascii="Palatino Linotype" w:cs="Palatino Linotype" w:eastAsia="Palatino Linotype" w:hAnsi="Palatino Linotype"/>
          <w:sz w:val="24"/>
          <w:szCs w:val="24"/>
          <w:rtl w:val="0"/>
        </w:rPr>
        <w:t xml:space="preserve"> atienda la solicitud de acceso a la información, atendiendo lo señalado en el presente Considerando.</w:t>
      </w:r>
    </w:p>
    <w:p w:rsidR="00000000" w:rsidDel="00000000" w:rsidP="00000000" w:rsidRDefault="00000000" w:rsidRPr="00000000" w14:paraId="000000FE">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FF">
      <w:pPr>
        <w:spacing w:after="0"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Finalmente, es de señalar que, como ya se mencionó </w:t>
      </w:r>
      <w:r w:rsidDel="00000000" w:rsidR="00000000" w:rsidRPr="00000000">
        <w:rPr>
          <w:rFonts w:ascii="Palatino Linotype" w:cs="Palatino Linotype" w:eastAsia="Palatino Linotype" w:hAnsi="Palatino Linotype"/>
          <w:b w:val="1"/>
          <w:sz w:val="24"/>
          <w:szCs w:val="24"/>
          <w:rtl w:val="0"/>
        </w:rPr>
        <w:t xml:space="preserve">EL SUJETO OBLIGADO,</w:t>
      </w:r>
      <w:r w:rsidDel="00000000" w:rsidR="00000000" w:rsidRPr="00000000">
        <w:rPr>
          <w:rFonts w:ascii="Palatino Linotype" w:cs="Palatino Linotype" w:eastAsia="Palatino Linotype" w:hAnsi="Palatino Linotype"/>
          <w:sz w:val="24"/>
          <w:szCs w:val="24"/>
          <w:rtl w:val="0"/>
        </w:rPr>
        <w:t xml:space="preserve"> </w:t>
      </w:r>
      <w:r w:rsidDel="00000000" w:rsidR="00000000" w:rsidRPr="00000000">
        <w:rPr>
          <w:rFonts w:ascii="Palatino Linotype" w:cs="Palatino Linotype" w:eastAsia="Palatino Linotype" w:hAnsi="Palatino Linotype"/>
          <w:sz w:val="24"/>
          <w:szCs w:val="24"/>
          <w:u w:val="single"/>
          <w:rtl w:val="0"/>
        </w:rPr>
        <w:t xml:space="preserve">omitió proporcionar la respuesta a la solicitud de acceso a la información pública,</w:t>
      </w:r>
      <w:r w:rsidDel="00000000" w:rsidR="00000000" w:rsidRPr="00000000">
        <w:rPr>
          <w:rFonts w:ascii="Palatino Linotype" w:cs="Palatino Linotype" w:eastAsia="Palatino Linotype" w:hAnsi="Palatino Linotype"/>
          <w:sz w:val="24"/>
          <w:szCs w:val="24"/>
          <w:rtl w:val="0"/>
        </w:rPr>
        <w:t xml:space="preserve"> en el término contemplado en el ya citado artículo 163 de la ley de la materia, razón por la que, en términos de lo previsto en el artículo 190 de la Ley de Transparencia y Acceso a la Información Pública del Estado de México y Municipios, se </w:t>
      </w:r>
      <w:r w:rsidDel="00000000" w:rsidR="00000000" w:rsidRPr="00000000">
        <w:rPr>
          <w:rFonts w:ascii="Palatino Linotype" w:cs="Palatino Linotype" w:eastAsia="Palatino Linotype" w:hAnsi="Palatino Linotype"/>
          <w:b w:val="1"/>
          <w:sz w:val="24"/>
          <w:szCs w:val="24"/>
          <w:rtl w:val="0"/>
        </w:rPr>
        <w:t xml:space="preserve">ORDENA </w:t>
      </w:r>
      <w:r w:rsidDel="00000000" w:rsidR="00000000" w:rsidRPr="00000000">
        <w:rPr>
          <w:rFonts w:ascii="Palatino Linotype" w:cs="Palatino Linotype" w:eastAsia="Palatino Linotype" w:hAnsi="Palatino Linotype"/>
          <w:sz w:val="24"/>
          <w:szCs w:val="24"/>
          <w:rtl w:val="0"/>
        </w:rPr>
        <w:t xml:space="preserve">dar vista a la </w:t>
      </w:r>
      <w:r w:rsidDel="00000000" w:rsidR="00000000" w:rsidRPr="00000000">
        <w:rPr>
          <w:rFonts w:ascii="Palatino Linotype" w:cs="Palatino Linotype" w:eastAsia="Palatino Linotype" w:hAnsi="Palatino Linotype"/>
          <w:b w:val="1"/>
          <w:sz w:val="24"/>
          <w:szCs w:val="24"/>
          <w:rtl w:val="0"/>
        </w:rPr>
        <w:t xml:space="preserve">SECRETARÍA TÉCNICA DEL PLENO</w:t>
      </w:r>
      <w:r w:rsidDel="00000000" w:rsidR="00000000" w:rsidRPr="00000000">
        <w:rPr>
          <w:rFonts w:ascii="Palatino Linotype" w:cs="Palatino Linotype" w:eastAsia="Palatino Linotype" w:hAnsi="Palatino Linotype"/>
          <w:sz w:val="24"/>
          <w:szCs w:val="24"/>
          <w:rtl w:val="0"/>
        </w:rPr>
        <w:t xml:space="preserve"> a efecto de que ejerza las atribuciones previstas en la normatividad aplicable y comunique al </w:t>
      </w:r>
      <w:r w:rsidDel="00000000" w:rsidR="00000000" w:rsidRPr="00000000">
        <w:rPr>
          <w:rFonts w:ascii="Palatino Linotype" w:cs="Palatino Linotype" w:eastAsia="Palatino Linotype" w:hAnsi="Palatino Linotype"/>
          <w:b w:val="1"/>
          <w:sz w:val="24"/>
          <w:szCs w:val="24"/>
          <w:rtl w:val="0"/>
        </w:rPr>
        <w:t xml:space="preserve">ÓRGANO INTERNO DE CONTROL COMPETENTE</w:t>
      </w:r>
      <w:r w:rsidDel="00000000" w:rsidR="00000000" w:rsidRPr="00000000">
        <w:rPr>
          <w:rFonts w:ascii="Palatino Linotype" w:cs="Palatino Linotype" w:eastAsia="Palatino Linotype" w:hAnsi="Palatino Linotype"/>
          <w:sz w:val="24"/>
          <w:szCs w:val="24"/>
          <w:rtl w:val="0"/>
        </w:rPr>
        <w:t xml:space="preserve"> para que éste último, en ejercicio de sus atribuciones resuelva lo conducente y determine en su caso el grado de responsabilidad en el incumplimiento de las obligaciones establecidas en la citada ley. </w:t>
      </w:r>
    </w:p>
    <w:p w:rsidR="00000000" w:rsidDel="00000000" w:rsidP="00000000" w:rsidRDefault="00000000" w:rsidRPr="00000000" w14:paraId="00000100">
      <w:pPr>
        <w:spacing w:after="0" w:line="360" w:lineRule="auto"/>
        <w:ind w:right="49"/>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01">
      <w:pPr>
        <w:spacing w:after="0" w:line="360" w:lineRule="auto"/>
        <w:jc w:val="both"/>
        <w:rPr>
          <w:rFonts w:ascii="Palatino Linotype" w:cs="Palatino Linotype" w:eastAsia="Palatino Linotype" w:hAnsi="Palatino Linotype"/>
          <w:sz w:val="24"/>
          <w:szCs w:val="24"/>
        </w:rPr>
      </w:pPr>
      <w:bookmarkStart w:colFirst="0" w:colLast="0" w:name="_heading=h.1fob9te" w:id="0"/>
      <w:bookmarkEnd w:id="0"/>
      <w:r w:rsidDel="00000000" w:rsidR="00000000" w:rsidRPr="00000000">
        <w:rPr>
          <w:rFonts w:ascii="Palatino Linotype" w:cs="Palatino Linotype" w:eastAsia="Palatino Linotype" w:hAnsi="Palatino Linotype"/>
          <w:sz w:val="24"/>
          <w:szCs w:val="24"/>
          <w:rtl w:val="0"/>
        </w:rPr>
        <w:t xml:space="preserve">Así, con fundamento en lo prescrito en los</w:t>
      </w:r>
      <w:r w:rsidDel="00000000" w:rsidR="00000000" w:rsidRPr="00000000">
        <w:rPr>
          <w:sz w:val="24"/>
          <w:szCs w:val="24"/>
          <w:rtl w:val="0"/>
        </w:rPr>
        <w:t xml:space="preserve"> </w:t>
      </w:r>
      <w:r w:rsidDel="00000000" w:rsidR="00000000" w:rsidRPr="00000000">
        <w:rPr>
          <w:rFonts w:ascii="Palatino Linotype" w:cs="Palatino Linotype" w:eastAsia="Palatino Linotype" w:hAnsi="Palatino Linotype"/>
          <w:sz w:val="24"/>
          <w:szCs w:val="24"/>
          <w:rtl w:val="0"/>
        </w:rPr>
        <w:t xml:space="preserve">artículos 5 párrafos trigésimo segundo, trigésimo tercero y trigésimo cuarto fracciones IV y V de la Constitución Política del Estado Libre y Soberano de México; 2, fracción II; 29, 36 fracciones I y II; 176, 178, 181, 185, fracción I, 186 y 188 de la Ley de Transparencia y Acceso a la Información Pública del Estado de México y Municipios, este Pleno</w:t>
      </w:r>
    </w:p>
    <w:p w:rsidR="00000000" w:rsidDel="00000000" w:rsidP="00000000" w:rsidRDefault="00000000" w:rsidRPr="00000000" w14:paraId="00000102">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03">
      <w:pPr>
        <w:pBdr>
          <w:top w:space="0" w:sz="0" w:val="nil"/>
          <w:left w:space="0" w:sz="0" w:val="nil"/>
          <w:bottom w:space="0" w:sz="0" w:val="nil"/>
          <w:right w:space="0" w:sz="0" w:val="nil"/>
          <w:between w:space="0" w:sz="0" w:val="nil"/>
        </w:pBdr>
        <w:spacing w:after="0" w:line="360" w:lineRule="auto"/>
        <w:jc w:val="center"/>
        <w:rPr>
          <w:rFonts w:ascii="Palatino Linotype" w:cs="Palatino Linotype" w:eastAsia="Palatino Linotype" w:hAnsi="Palatino Linotype"/>
          <w:b w:val="1"/>
          <w:sz w:val="24"/>
          <w:szCs w:val="24"/>
        </w:rPr>
      </w:pPr>
      <w:r w:rsidDel="00000000" w:rsidR="00000000" w:rsidRPr="00000000">
        <w:rPr>
          <w:rFonts w:ascii="Palatino Linotype" w:cs="Palatino Linotype" w:eastAsia="Palatino Linotype" w:hAnsi="Palatino Linotype"/>
          <w:b w:val="1"/>
          <w:sz w:val="24"/>
          <w:szCs w:val="24"/>
          <w:rtl w:val="0"/>
        </w:rPr>
        <w:t xml:space="preserve">R E S U E L V E:</w:t>
      </w:r>
    </w:p>
    <w:p w:rsidR="00000000" w:rsidDel="00000000" w:rsidP="00000000" w:rsidRDefault="00000000" w:rsidRPr="00000000" w14:paraId="00000104">
      <w:pPr>
        <w:pBdr>
          <w:top w:space="0" w:sz="0" w:val="nil"/>
          <w:left w:space="0" w:sz="0" w:val="nil"/>
          <w:bottom w:space="0" w:sz="0" w:val="nil"/>
          <w:right w:space="0" w:sz="0" w:val="nil"/>
          <w:between w:space="0" w:sz="0" w:val="nil"/>
        </w:pBdr>
        <w:spacing w:after="0" w:line="360" w:lineRule="auto"/>
        <w:jc w:val="center"/>
        <w:rPr>
          <w:rFonts w:ascii="Palatino Linotype" w:cs="Palatino Linotype" w:eastAsia="Palatino Linotype" w:hAnsi="Palatino Linotype"/>
          <w:b w:val="1"/>
          <w:sz w:val="24"/>
          <w:szCs w:val="24"/>
        </w:rPr>
      </w:pPr>
      <w:r w:rsidDel="00000000" w:rsidR="00000000" w:rsidRPr="00000000">
        <w:rPr>
          <w:rtl w:val="0"/>
        </w:rPr>
      </w:r>
    </w:p>
    <w:p w:rsidR="00000000" w:rsidDel="00000000" w:rsidP="00000000" w:rsidRDefault="00000000" w:rsidRPr="00000000" w14:paraId="00000105">
      <w:pPr>
        <w:spacing w:after="0"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sz w:val="24"/>
          <w:szCs w:val="24"/>
          <w:rtl w:val="0"/>
        </w:rPr>
        <w:t xml:space="preserve">PRIMERO. </w:t>
      </w:r>
      <w:r w:rsidDel="00000000" w:rsidR="00000000" w:rsidRPr="00000000">
        <w:rPr>
          <w:rFonts w:ascii="Palatino Linotype" w:cs="Palatino Linotype" w:eastAsia="Palatino Linotype" w:hAnsi="Palatino Linotype"/>
          <w:sz w:val="24"/>
          <w:szCs w:val="24"/>
          <w:rtl w:val="0"/>
        </w:rPr>
        <w:t xml:space="preserve">Resultan </w:t>
      </w:r>
      <w:r w:rsidDel="00000000" w:rsidR="00000000" w:rsidRPr="00000000">
        <w:rPr>
          <w:rFonts w:ascii="Palatino Linotype" w:cs="Palatino Linotype" w:eastAsia="Palatino Linotype" w:hAnsi="Palatino Linotype"/>
          <w:b w:val="1"/>
          <w:sz w:val="24"/>
          <w:szCs w:val="24"/>
          <w:rtl w:val="0"/>
        </w:rPr>
        <w:t xml:space="preserve">FUNDADOS</w:t>
      </w:r>
      <w:r w:rsidDel="00000000" w:rsidR="00000000" w:rsidRPr="00000000">
        <w:rPr>
          <w:rFonts w:ascii="Palatino Linotype" w:cs="Palatino Linotype" w:eastAsia="Palatino Linotype" w:hAnsi="Palatino Linotype"/>
          <w:sz w:val="24"/>
          <w:szCs w:val="24"/>
          <w:rtl w:val="0"/>
        </w:rPr>
        <w:t xml:space="preserve"> los motivos de inconformidad de </w:t>
      </w:r>
      <w:r w:rsidDel="00000000" w:rsidR="00000000" w:rsidRPr="00000000">
        <w:rPr>
          <w:rFonts w:ascii="Palatino Linotype" w:cs="Palatino Linotype" w:eastAsia="Palatino Linotype" w:hAnsi="Palatino Linotype"/>
          <w:b w:val="1"/>
          <w:sz w:val="24"/>
          <w:szCs w:val="24"/>
          <w:rtl w:val="0"/>
        </w:rPr>
        <w:t xml:space="preserve">LA PARTE</w:t>
      </w:r>
      <w:r w:rsidDel="00000000" w:rsidR="00000000" w:rsidRPr="00000000">
        <w:rPr>
          <w:rFonts w:ascii="Palatino Linotype" w:cs="Palatino Linotype" w:eastAsia="Palatino Linotype" w:hAnsi="Palatino Linotype"/>
          <w:sz w:val="24"/>
          <w:szCs w:val="24"/>
          <w:rtl w:val="0"/>
        </w:rPr>
        <w:t xml:space="preserve"> </w:t>
      </w:r>
      <w:r w:rsidDel="00000000" w:rsidR="00000000" w:rsidRPr="00000000">
        <w:rPr>
          <w:rFonts w:ascii="Palatino Linotype" w:cs="Palatino Linotype" w:eastAsia="Palatino Linotype" w:hAnsi="Palatino Linotype"/>
          <w:b w:val="1"/>
          <w:sz w:val="24"/>
          <w:szCs w:val="24"/>
          <w:rtl w:val="0"/>
        </w:rPr>
        <w:t xml:space="preserve">RECURRENTE</w:t>
      </w:r>
      <w:r w:rsidDel="00000000" w:rsidR="00000000" w:rsidRPr="00000000">
        <w:rPr>
          <w:rFonts w:ascii="Palatino Linotype" w:cs="Palatino Linotype" w:eastAsia="Palatino Linotype" w:hAnsi="Palatino Linotype"/>
          <w:sz w:val="24"/>
          <w:szCs w:val="24"/>
          <w:rtl w:val="0"/>
        </w:rPr>
        <w:t xml:space="preserve">, en términos del </w:t>
      </w:r>
      <w:r w:rsidDel="00000000" w:rsidR="00000000" w:rsidRPr="00000000">
        <w:rPr>
          <w:rFonts w:ascii="Palatino Linotype" w:cs="Palatino Linotype" w:eastAsia="Palatino Linotype" w:hAnsi="Palatino Linotype"/>
          <w:b w:val="1"/>
          <w:sz w:val="24"/>
          <w:szCs w:val="24"/>
          <w:rtl w:val="0"/>
        </w:rPr>
        <w:t xml:space="preserve">CONSIDERANDO</w:t>
      </w:r>
      <w:r w:rsidDel="00000000" w:rsidR="00000000" w:rsidRPr="00000000">
        <w:rPr>
          <w:rFonts w:ascii="Palatino Linotype" w:cs="Palatino Linotype" w:eastAsia="Palatino Linotype" w:hAnsi="Palatino Linotype"/>
          <w:sz w:val="24"/>
          <w:szCs w:val="24"/>
          <w:rtl w:val="0"/>
        </w:rPr>
        <w:t xml:space="preserve"> </w:t>
      </w:r>
      <w:r w:rsidDel="00000000" w:rsidR="00000000" w:rsidRPr="00000000">
        <w:rPr>
          <w:rFonts w:ascii="Palatino Linotype" w:cs="Palatino Linotype" w:eastAsia="Palatino Linotype" w:hAnsi="Palatino Linotype"/>
          <w:b w:val="1"/>
          <w:sz w:val="24"/>
          <w:szCs w:val="24"/>
          <w:rtl w:val="0"/>
        </w:rPr>
        <w:t xml:space="preserve">CUARTO</w:t>
      </w:r>
      <w:r w:rsidDel="00000000" w:rsidR="00000000" w:rsidRPr="00000000">
        <w:rPr>
          <w:rFonts w:ascii="Palatino Linotype" w:cs="Palatino Linotype" w:eastAsia="Palatino Linotype" w:hAnsi="Palatino Linotype"/>
          <w:sz w:val="24"/>
          <w:szCs w:val="24"/>
          <w:rtl w:val="0"/>
        </w:rPr>
        <w:t xml:space="preserve"> de la presente resolución.</w:t>
      </w:r>
    </w:p>
    <w:p w:rsidR="00000000" w:rsidDel="00000000" w:rsidP="00000000" w:rsidRDefault="00000000" w:rsidRPr="00000000" w14:paraId="00000106">
      <w:pPr>
        <w:spacing w:after="0" w:line="360" w:lineRule="auto"/>
        <w:ind w:right="49"/>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07">
      <w:pPr>
        <w:spacing w:after="0" w:line="360" w:lineRule="auto"/>
        <w:jc w:val="both"/>
        <w:rPr>
          <w:rFonts w:ascii="Palatino Linotype" w:cs="Palatino Linotype" w:eastAsia="Palatino Linotype" w:hAnsi="Palatino Linotype"/>
          <w:sz w:val="24"/>
          <w:szCs w:val="24"/>
        </w:rPr>
      </w:pPr>
      <w:bookmarkStart w:colFirst="0" w:colLast="0" w:name="_heading=h.3dy6vkm" w:id="1"/>
      <w:bookmarkEnd w:id="1"/>
      <w:r w:rsidDel="00000000" w:rsidR="00000000" w:rsidRPr="00000000">
        <w:rPr>
          <w:rFonts w:ascii="Palatino Linotype" w:cs="Palatino Linotype" w:eastAsia="Palatino Linotype" w:hAnsi="Palatino Linotype"/>
          <w:b w:val="1"/>
          <w:sz w:val="24"/>
          <w:szCs w:val="24"/>
          <w:rtl w:val="0"/>
        </w:rPr>
        <w:t xml:space="preserve">SEGUNDO.</w:t>
      </w:r>
      <w:r w:rsidDel="00000000" w:rsidR="00000000" w:rsidRPr="00000000">
        <w:rPr>
          <w:rFonts w:ascii="Palatino Linotype" w:cs="Palatino Linotype" w:eastAsia="Palatino Linotype" w:hAnsi="Palatino Linotype"/>
          <w:sz w:val="24"/>
          <w:szCs w:val="24"/>
          <w:rtl w:val="0"/>
        </w:rPr>
        <w:t xml:space="preserve"> Se </w:t>
      </w:r>
      <w:r w:rsidDel="00000000" w:rsidR="00000000" w:rsidRPr="00000000">
        <w:rPr>
          <w:rFonts w:ascii="Palatino Linotype" w:cs="Palatino Linotype" w:eastAsia="Palatino Linotype" w:hAnsi="Palatino Linotype"/>
          <w:b w:val="1"/>
          <w:sz w:val="24"/>
          <w:szCs w:val="24"/>
          <w:rtl w:val="0"/>
        </w:rPr>
        <w:t xml:space="preserve">ORDENA</w:t>
      </w:r>
      <w:r w:rsidDel="00000000" w:rsidR="00000000" w:rsidRPr="00000000">
        <w:rPr>
          <w:rFonts w:ascii="Palatino Linotype" w:cs="Palatino Linotype" w:eastAsia="Palatino Linotype" w:hAnsi="Palatino Linotype"/>
          <w:sz w:val="24"/>
          <w:szCs w:val="24"/>
          <w:rtl w:val="0"/>
        </w:rPr>
        <w:t xml:space="preserve"> al </w:t>
      </w:r>
      <w:r w:rsidDel="00000000" w:rsidR="00000000" w:rsidRPr="00000000">
        <w:rPr>
          <w:rFonts w:ascii="Palatino Linotype" w:cs="Palatino Linotype" w:eastAsia="Palatino Linotype" w:hAnsi="Palatino Linotype"/>
          <w:b w:val="1"/>
          <w:sz w:val="24"/>
          <w:szCs w:val="24"/>
          <w:rtl w:val="0"/>
        </w:rPr>
        <w:t xml:space="preserve">SUJETO OBLIGADO</w:t>
      </w:r>
      <w:r w:rsidDel="00000000" w:rsidR="00000000" w:rsidRPr="00000000">
        <w:rPr>
          <w:rFonts w:ascii="Palatino Linotype" w:cs="Palatino Linotype" w:eastAsia="Palatino Linotype" w:hAnsi="Palatino Linotype"/>
          <w:sz w:val="24"/>
          <w:szCs w:val="24"/>
          <w:rtl w:val="0"/>
        </w:rPr>
        <w:t xml:space="preserve"> atienda la Solicitud de Acceso a la Información Pública </w:t>
      </w:r>
      <w:r w:rsidDel="00000000" w:rsidR="00000000" w:rsidRPr="00000000">
        <w:rPr>
          <w:rFonts w:ascii="Palatino Linotype" w:cs="Palatino Linotype" w:eastAsia="Palatino Linotype" w:hAnsi="Palatino Linotype"/>
          <w:b w:val="1"/>
          <w:sz w:val="24"/>
          <w:szCs w:val="24"/>
          <w:rtl w:val="0"/>
        </w:rPr>
        <w:t xml:space="preserve">00065/ALMORI/IP/2023, </w:t>
      </w:r>
      <w:r w:rsidDel="00000000" w:rsidR="00000000" w:rsidRPr="00000000">
        <w:rPr>
          <w:rFonts w:ascii="Palatino Linotype" w:cs="Palatino Linotype" w:eastAsia="Palatino Linotype" w:hAnsi="Palatino Linotype"/>
          <w:sz w:val="24"/>
          <w:szCs w:val="24"/>
          <w:rtl w:val="0"/>
        </w:rPr>
        <w:t xml:space="preserve">que dio origen al recurso de revisión</w:t>
      </w:r>
      <w:r w:rsidDel="00000000" w:rsidR="00000000" w:rsidRPr="00000000">
        <w:rPr>
          <w:rFonts w:ascii="Palatino Linotype" w:cs="Palatino Linotype" w:eastAsia="Palatino Linotype" w:hAnsi="Palatino Linotype"/>
          <w:b w:val="1"/>
          <w:sz w:val="24"/>
          <w:szCs w:val="24"/>
          <w:rtl w:val="0"/>
        </w:rPr>
        <w:t xml:space="preserve"> 07754/INFOEM/IP/RR/2023</w:t>
      </w:r>
      <w:r w:rsidDel="00000000" w:rsidR="00000000" w:rsidRPr="00000000">
        <w:rPr>
          <w:rFonts w:ascii="Palatino Linotype" w:cs="Palatino Linotype" w:eastAsia="Palatino Linotype" w:hAnsi="Palatino Linotype"/>
          <w:sz w:val="24"/>
          <w:szCs w:val="24"/>
          <w:rtl w:val="0"/>
        </w:rPr>
        <w:t xml:space="preserve">,</w:t>
      </w:r>
      <w:r w:rsidDel="00000000" w:rsidR="00000000" w:rsidRPr="00000000">
        <w:rPr>
          <w:rFonts w:ascii="Palatino Linotype" w:cs="Palatino Linotype" w:eastAsia="Palatino Linotype" w:hAnsi="Palatino Linotype"/>
          <w:b w:val="1"/>
          <w:sz w:val="24"/>
          <w:szCs w:val="24"/>
          <w:rtl w:val="0"/>
        </w:rPr>
        <w:t xml:space="preserve"> </w:t>
      </w:r>
      <w:r w:rsidDel="00000000" w:rsidR="00000000" w:rsidRPr="00000000">
        <w:rPr>
          <w:rFonts w:ascii="Palatino Linotype" w:cs="Palatino Linotype" w:eastAsia="Palatino Linotype" w:hAnsi="Palatino Linotype"/>
          <w:sz w:val="24"/>
          <w:szCs w:val="24"/>
          <w:rtl w:val="0"/>
        </w:rPr>
        <w:t xml:space="preserve">en términos del </w:t>
      </w:r>
      <w:r w:rsidDel="00000000" w:rsidR="00000000" w:rsidRPr="00000000">
        <w:rPr>
          <w:rFonts w:ascii="Palatino Linotype" w:cs="Palatino Linotype" w:eastAsia="Palatino Linotype" w:hAnsi="Palatino Linotype"/>
          <w:b w:val="1"/>
          <w:sz w:val="24"/>
          <w:szCs w:val="24"/>
          <w:rtl w:val="0"/>
        </w:rPr>
        <w:t xml:space="preserve">CONSIDERANDO CUARTO</w:t>
      </w:r>
      <w:r w:rsidDel="00000000" w:rsidR="00000000" w:rsidRPr="00000000">
        <w:rPr>
          <w:rFonts w:ascii="Palatino Linotype" w:cs="Palatino Linotype" w:eastAsia="Palatino Linotype" w:hAnsi="Palatino Linotype"/>
          <w:sz w:val="24"/>
          <w:szCs w:val="24"/>
          <w:rtl w:val="0"/>
        </w:rPr>
        <w:t xml:space="preserve"> de esta resolución y emita respuesta, debiendo observar las excepciones contenidas en la Ley de Transparencia y Acceso a la Información Pública del Estado de México y Municipios.</w:t>
      </w:r>
    </w:p>
    <w:p w:rsidR="00000000" w:rsidDel="00000000" w:rsidP="00000000" w:rsidRDefault="00000000" w:rsidRPr="00000000" w14:paraId="00000108">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09">
      <w:pPr>
        <w:spacing w:after="0" w:line="360" w:lineRule="auto"/>
        <w:jc w:val="both"/>
        <w:rPr>
          <w:rFonts w:ascii="Palatino Linotype" w:cs="Palatino Linotype" w:eastAsia="Palatino Linotype" w:hAnsi="Palatino Linotype"/>
          <w:sz w:val="24"/>
          <w:szCs w:val="24"/>
        </w:rPr>
      </w:pPr>
      <w:bookmarkStart w:colFirst="0" w:colLast="0" w:name="_heading=h.3znysh7" w:id="2"/>
      <w:bookmarkEnd w:id="2"/>
      <w:r w:rsidDel="00000000" w:rsidR="00000000" w:rsidRPr="00000000">
        <w:rPr>
          <w:rFonts w:ascii="Palatino Linotype" w:cs="Palatino Linotype" w:eastAsia="Palatino Linotype" w:hAnsi="Palatino Linotype"/>
          <w:b w:val="1"/>
          <w:sz w:val="24"/>
          <w:szCs w:val="24"/>
          <w:rtl w:val="0"/>
        </w:rPr>
        <w:t xml:space="preserve">TERCERO. NOTIFÍQUESE </w:t>
      </w:r>
      <w:r w:rsidDel="00000000" w:rsidR="00000000" w:rsidRPr="00000000">
        <w:rPr>
          <w:rFonts w:ascii="Palatino Linotype" w:cs="Palatino Linotype" w:eastAsia="Palatino Linotype" w:hAnsi="Palatino Linotype"/>
          <w:sz w:val="24"/>
          <w:szCs w:val="24"/>
          <w:rtl w:val="0"/>
        </w:rPr>
        <w:t xml:space="preserve">vía SAIMEX,</w:t>
      </w:r>
      <w:r w:rsidDel="00000000" w:rsidR="00000000" w:rsidRPr="00000000">
        <w:rPr>
          <w:rFonts w:ascii="Palatino Linotype" w:cs="Palatino Linotype" w:eastAsia="Palatino Linotype" w:hAnsi="Palatino Linotype"/>
          <w:b w:val="1"/>
          <w:sz w:val="24"/>
          <w:szCs w:val="24"/>
          <w:rtl w:val="0"/>
        </w:rPr>
        <w:t xml:space="preserve"> </w:t>
      </w:r>
      <w:r w:rsidDel="00000000" w:rsidR="00000000" w:rsidRPr="00000000">
        <w:rPr>
          <w:rFonts w:ascii="Palatino Linotype" w:cs="Palatino Linotype" w:eastAsia="Palatino Linotype" w:hAnsi="Palatino Linotype"/>
          <w:sz w:val="24"/>
          <w:szCs w:val="24"/>
          <w:rtl w:val="0"/>
        </w:rPr>
        <w:t xml:space="preserve">la presente resolución a la Persona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rsidR="00000000" w:rsidDel="00000000" w:rsidP="00000000" w:rsidRDefault="00000000" w:rsidRPr="00000000" w14:paraId="0000010A">
      <w:pPr>
        <w:spacing w:after="0" w:line="360" w:lineRule="auto"/>
        <w:jc w:val="both"/>
        <w:rPr>
          <w:rFonts w:ascii="Palatino Linotype" w:cs="Palatino Linotype" w:eastAsia="Palatino Linotype" w:hAnsi="Palatino Linotype"/>
          <w:b w:val="1"/>
          <w:sz w:val="24"/>
          <w:szCs w:val="24"/>
        </w:rPr>
      </w:pPr>
      <w:r w:rsidDel="00000000" w:rsidR="00000000" w:rsidRPr="00000000">
        <w:rPr>
          <w:rtl w:val="0"/>
        </w:rPr>
      </w:r>
    </w:p>
    <w:p w:rsidR="00000000" w:rsidDel="00000000" w:rsidP="00000000" w:rsidRDefault="00000000" w:rsidRPr="00000000" w14:paraId="0000010B">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sz w:val="24"/>
          <w:szCs w:val="24"/>
          <w:rtl w:val="0"/>
        </w:rPr>
        <w:t xml:space="preserve">CUARTO. NOTIFÍQUESE</w:t>
      </w:r>
      <w:r w:rsidDel="00000000" w:rsidR="00000000" w:rsidRPr="00000000">
        <w:rPr>
          <w:rFonts w:ascii="Palatino Linotype" w:cs="Palatino Linotype" w:eastAsia="Palatino Linotype" w:hAnsi="Palatino Linotype"/>
          <w:sz w:val="24"/>
          <w:szCs w:val="24"/>
          <w:rtl w:val="0"/>
        </w:rPr>
        <w:t xml:space="preserve">,</w:t>
      </w:r>
      <w:r w:rsidDel="00000000" w:rsidR="00000000" w:rsidRPr="00000000">
        <w:rPr>
          <w:rFonts w:ascii="Palatino Linotype" w:cs="Palatino Linotype" w:eastAsia="Palatino Linotype" w:hAnsi="Palatino Linotype"/>
          <w:b w:val="1"/>
          <w:sz w:val="24"/>
          <w:szCs w:val="24"/>
          <w:rtl w:val="0"/>
        </w:rPr>
        <w:t xml:space="preserve"> </w:t>
      </w:r>
      <w:r w:rsidDel="00000000" w:rsidR="00000000" w:rsidRPr="00000000">
        <w:rPr>
          <w:rFonts w:ascii="Palatino Linotype" w:cs="Palatino Linotype" w:eastAsia="Palatino Linotype" w:hAnsi="Palatino Linotype"/>
          <w:sz w:val="24"/>
          <w:szCs w:val="24"/>
          <w:rtl w:val="0"/>
        </w:rPr>
        <w:t xml:space="preserve">vía SAIMEX, a </w:t>
      </w:r>
      <w:r w:rsidDel="00000000" w:rsidR="00000000" w:rsidRPr="00000000">
        <w:rPr>
          <w:rFonts w:ascii="Palatino Linotype" w:cs="Palatino Linotype" w:eastAsia="Palatino Linotype" w:hAnsi="Palatino Linotype"/>
          <w:b w:val="1"/>
          <w:sz w:val="24"/>
          <w:szCs w:val="24"/>
          <w:rtl w:val="0"/>
        </w:rPr>
        <w:t xml:space="preserve">LA PARTE</w:t>
      </w:r>
      <w:r w:rsidDel="00000000" w:rsidR="00000000" w:rsidRPr="00000000">
        <w:rPr>
          <w:rFonts w:ascii="Palatino Linotype" w:cs="Palatino Linotype" w:eastAsia="Palatino Linotype" w:hAnsi="Palatino Linotype"/>
          <w:sz w:val="24"/>
          <w:szCs w:val="24"/>
          <w:rtl w:val="0"/>
        </w:rPr>
        <w:t xml:space="preserve"> </w:t>
      </w:r>
      <w:r w:rsidDel="00000000" w:rsidR="00000000" w:rsidRPr="00000000">
        <w:rPr>
          <w:rFonts w:ascii="Palatino Linotype" w:cs="Palatino Linotype" w:eastAsia="Palatino Linotype" w:hAnsi="Palatino Linotype"/>
          <w:b w:val="1"/>
          <w:sz w:val="24"/>
          <w:szCs w:val="24"/>
          <w:rtl w:val="0"/>
        </w:rPr>
        <w:t xml:space="preserve">RECURRENTE </w:t>
      </w:r>
      <w:r w:rsidDel="00000000" w:rsidR="00000000" w:rsidRPr="00000000">
        <w:rPr>
          <w:rFonts w:ascii="Palatino Linotype" w:cs="Palatino Linotype" w:eastAsia="Palatino Linotype" w:hAnsi="Palatino Linotype"/>
          <w:sz w:val="24"/>
          <w:szCs w:val="24"/>
          <w:rtl w:val="0"/>
        </w:rPr>
        <w:t xml:space="preserve">la presente resolución,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p>
    <w:p w:rsidR="00000000" w:rsidDel="00000000" w:rsidP="00000000" w:rsidRDefault="00000000" w:rsidRPr="00000000" w14:paraId="0000010C">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0D">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sz w:val="24"/>
          <w:szCs w:val="24"/>
          <w:rtl w:val="0"/>
        </w:rPr>
        <w:t xml:space="preserve">QUINTO. NOTIFÍQUESE, </w:t>
      </w:r>
      <w:r w:rsidDel="00000000" w:rsidR="00000000" w:rsidRPr="00000000">
        <w:rPr>
          <w:rFonts w:ascii="Palatino Linotype" w:cs="Palatino Linotype" w:eastAsia="Palatino Linotype" w:hAnsi="Palatino Linotype"/>
          <w:sz w:val="24"/>
          <w:szCs w:val="24"/>
          <w:rtl w:val="0"/>
        </w:rPr>
        <w:t xml:space="preserve">a </w:t>
      </w:r>
      <w:r w:rsidDel="00000000" w:rsidR="00000000" w:rsidRPr="00000000">
        <w:rPr>
          <w:rFonts w:ascii="Palatino Linotype" w:cs="Palatino Linotype" w:eastAsia="Palatino Linotype" w:hAnsi="Palatino Linotype"/>
          <w:b w:val="1"/>
          <w:sz w:val="24"/>
          <w:szCs w:val="24"/>
          <w:rtl w:val="0"/>
        </w:rPr>
        <w:t xml:space="preserve">LA PARTE RECURRENTE </w:t>
      </w:r>
      <w:r w:rsidDel="00000000" w:rsidR="00000000" w:rsidRPr="00000000">
        <w:rPr>
          <w:rFonts w:ascii="Palatino Linotype" w:cs="Palatino Linotype" w:eastAsia="Palatino Linotype" w:hAnsi="Palatino Linotype"/>
          <w:sz w:val="24"/>
          <w:szCs w:val="24"/>
          <w:rtl w:val="0"/>
        </w:rPr>
        <w:t xml:space="preserve">que </w:t>
      </w:r>
      <w:r w:rsidDel="00000000" w:rsidR="00000000" w:rsidRPr="00000000">
        <w:rPr>
          <w:rFonts w:ascii="Palatino Linotype" w:cs="Palatino Linotype" w:eastAsia="Palatino Linotype" w:hAnsi="Palatino Linotype"/>
          <w:b w:val="1"/>
          <w:sz w:val="24"/>
          <w:szCs w:val="24"/>
          <w:u w:val="single"/>
          <w:rtl w:val="0"/>
        </w:rPr>
        <w:t xml:space="preserve">la respuesta</w:t>
      </w:r>
      <w:r w:rsidDel="00000000" w:rsidR="00000000" w:rsidRPr="00000000">
        <w:rPr>
          <w:rFonts w:ascii="Palatino Linotype" w:cs="Palatino Linotype" w:eastAsia="Palatino Linotype" w:hAnsi="Palatino Linotype"/>
          <w:sz w:val="24"/>
          <w:szCs w:val="24"/>
          <w:rtl w:val="0"/>
        </w:rPr>
        <w:t xml:space="preserve"> que dé </w:t>
      </w:r>
      <w:r w:rsidDel="00000000" w:rsidR="00000000" w:rsidRPr="00000000">
        <w:rPr>
          <w:rFonts w:ascii="Palatino Linotype" w:cs="Palatino Linotype" w:eastAsia="Palatino Linotype" w:hAnsi="Palatino Linotype"/>
          <w:b w:val="1"/>
          <w:sz w:val="24"/>
          <w:szCs w:val="24"/>
          <w:rtl w:val="0"/>
        </w:rPr>
        <w:t xml:space="preserve">EL SUJETO OBLIGADO</w:t>
      </w:r>
      <w:r w:rsidDel="00000000" w:rsidR="00000000" w:rsidRPr="00000000">
        <w:rPr>
          <w:rFonts w:ascii="Palatino Linotype" w:cs="Palatino Linotype" w:eastAsia="Palatino Linotype" w:hAnsi="Palatino Linotype"/>
          <w:sz w:val="24"/>
          <w:szCs w:val="24"/>
          <w:rtl w:val="0"/>
        </w:rPr>
        <w:t xml:space="preserve"> derivada de la presente resolución es susceptible de ser impugnada nuevamente, mediante recurso de revisión, ante el Instituto, en términos del artículo 179, último párrafo de la Ley de Transparencia y Acceso a la Información Pública del Estado de México y Municipios.</w:t>
      </w:r>
    </w:p>
    <w:p w:rsidR="00000000" w:rsidDel="00000000" w:rsidP="00000000" w:rsidRDefault="00000000" w:rsidRPr="00000000" w14:paraId="0000010E">
      <w:pPr>
        <w:spacing w:after="0" w:line="360" w:lineRule="auto"/>
        <w:jc w:val="both"/>
        <w:rPr>
          <w:rFonts w:ascii="Palatino Linotype" w:cs="Palatino Linotype" w:eastAsia="Palatino Linotype" w:hAnsi="Palatino Linotype"/>
          <w:b w:val="1"/>
          <w:sz w:val="24"/>
          <w:szCs w:val="24"/>
        </w:rPr>
      </w:pPr>
      <w:r w:rsidDel="00000000" w:rsidR="00000000" w:rsidRPr="00000000">
        <w:rPr>
          <w:rtl w:val="0"/>
        </w:rPr>
      </w:r>
    </w:p>
    <w:p w:rsidR="00000000" w:rsidDel="00000000" w:rsidP="00000000" w:rsidRDefault="00000000" w:rsidRPr="00000000" w14:paraId="0000010F">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sz w:val="24"/>
          <w:szCs w:val="24"/>
          <w:rtl w:val="0"/>
        </w:rPr>
        <w:t xml:space="preserve">SEXTO. GÍRESE </w:t>
      </w:r>
      <w:r w:rsidDel="00000000" w:rsidR="00000000" w:rsidRPr="00000000">
        <w:rPr>
          <w:rFonts w:ascii="Palatino Linotype" w:cs="Palatino Linotype" w:eastAsia="Palatino Linotype" w:hAnsi="Palatino Linotype"/>
          <w:sz w:val="24"/>
          <w:szCs w:val="24"/>
          <w:rtl w:val="0"/>
        </w:rPr>
        <w:t xml:space="preserve">oficio a la</w:t>
      </w:r>
      <w:r w:rsidDel="00000000" w:rsidR="00000000" w:rsidRPr="00000000">
        <w:rPr>
          <w:rFonts w:ascii="Palatino Linotype" w:cs="Palatino Linotype" w:eastAsia="Palatino Linotype" w:hAnsi="Palatino Linotype"/>
          <w:b w:val="1"/>
          <w:sz w:val="24"/>
          <w:szCs w:val="24"/>
          <w:rtl w:val="0"/>
        </w:rPr>
        <w:t xml:space="preserve"> SECRETARÍA TÉCNICA DEL PLENO </w:t>
      </w:r>
      <w:r w:rsidDel="00000000" w:rsidR="00000000" w:rsidRPr="00000000">
        <w:rPr>
          <w:rFonts w:ascii="Palatino Linotype" w:cs="Palatino Linotype" w:eastAsia="Palatino Linotype" w:hAnsi="Palatino Linotype"/>
          <w:sz w:val="24"/>
          <w:szCs w:val="24"/>
          <w:rtl w:val="0"/>
        </w:rPr>
        <w:t xml:space="preserve">de este Instituto a fin de que en ejercicio de sus atribuciones haga del conocimiento del </w:t>
      </w:r>
      <w:r w:rsidDel="00000000" w:rsidR="00000000" w:rsidRPr="00000000">
        <w:rPr>
          <w:rFonts w:ascii="Palatino Linotype" w:cs="Palatino Linotype" w:eastAsia="Palatino Linotype" w:hAnsi="Palatino Linotype"/>
          <w:b w:val="1"/>
          <w:sz w:val="24"/>
          <w:szCs w:val="24"/>
          <w:rtl w:val="0"/>
        </w:rPr>
        <w:t xml:space="preserve">ÓRGANO INTERNO DE CONTROL COMPETENTE</w:t>
      </w:r>
      <w:r w:rsidDel="00000000" w:rsidR="00000000" w:rsidRPr="00000000">
        <w:rPr>
          <w:rFonts w:ascii="Palatino Linotype" w:cs="Palatino Linotype" w:eastAsia="Palatino Linotype" w:hAnsi="Palatino Linotype"/>
          <w:sz w:val="24"/>
          <w:szCs w:val="24"/>
          <w:rtl w:val="0"/>
        </w:rPr>
        <w:t xml:space="preserve"> la presente resolución, para que de conformidad con el artículo 190, de la Ley de Transparencia y Acceso a la Información Pública del Estado de México y Municipios, determine lo conducente, en términos de lo señalado en el </w:t>
      </w:r>
      <w:r w:rsidDel="00000000" w:rsidR="00000000" w:rsidRPr="00000000">
        <w:rPr>
          <w:rFonts w:ascii="Palatino Linotype" w:cs="Palatino Linotype" w:eastAsia="Palatino Linotype" w:hAnsi="Palatino Linotype"/>
          <w:b w:val="1"/>
          <w:sz w:val="24"/>
          <w:szCs w:val="24"/>
          <w:rtl w:val="0"/>
        </w:rPr>
        <w:t xml:space="preserve">CONSIDERANDO CUARTO</w:t>
      </w:r>
      <w:r w:rsidDel="00000000" w:rsidR="00000000" w:rsidRPr="00000000">
        <w:rPr>
          <w:rFonts w:ascii="Palatino Linotype" w:cs="Palatino Linotype" w:eastAsia="Palatino Linotype" w:hAnsi="Palatino Linotype"/>
          <w:sz w:val="24"/>
          <w:szCs w:val="24"/>
          <w:rtl w:val="0"/>
        </w:rPr>
        <w:t xml:space="preserve"> de este fallo.</w:t>
      </w:r>
    </w:p>
    <w:p w:rsidR="00000000" w:rsidDel="00000000" w:rsidP="00000000" w:rsidRDefault="00000000" w:rsidRPr="00000000" w14:paraId="00000110">
      <w:pPr>
        <w:spacing w:after="0" w:line="360" w:lineRule="auto"/>
        <w:jc w:val="both"/>
        <w:rPr>
          <w:rFonts w:ascii="Palatino Linotype" w:cs="Palatino Linotype" w:eastAsia="Palatino Linotype" w:hAnsi="Palatino Linotype"/>
          <w:sz w:val="24"/>
          <w:szCs w:val="24"/>
        </w:rPr>
      </w:pPr>
      <w:bookmarkStart w:colFirst="0" w:colLast="0" w:name="_heading=h.gjdgxs" w:id="3"/>
      <w:bookmarkEnd w:id="3"/>
      <w:r w:rsidDel="00000000" w:rsidR="00000000" w:rsidRPr="00000000">
        <w:rPr>
          <w:rtl w:val="0"/>
        </w:rPr>
      </w:r>
    </w:p>
    <w:p w:rsidR="00000000" w:rsidDel="00000000" w:rsidP="00000000" w:rsidRDefault="00000000" w:rsidRPr="00000000" w14:paraId="00000111">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CUADRÁGESIMA CUARTA SESIÓN ORDINARIA CELEBRADA EL SEIS DE DICIEMBRE DE DOS MIL VEINTITRÉS, ANTE EL SECRETARIO TÉCNICO DEL PLENO ALEXIS TAPIA RAMÍREZ.</w:t>
      </w:r>
    </w:p>
    <w:p w:rsidR="00000000" w:rsidDel="00000000" w:rsidP="00000000" w:rsidRDefault="00000000" w:rsidRPr="00000000" w14:paraId="00000112">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13">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14">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15">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16">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17">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18">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19">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1A">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1B">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1C">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1D">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1E">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1F">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20">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21">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22">
      <w:pPr>
        <w:spacing w:line="360" w:lineRule="auto"/>
        <w:jc w:val="both"/>
        <w:rPr>
          <w:rFonts w:ascii="Palatino Linotype" w:cs="Palatino Linotype" w:eastAsia="Palatino Linotype" w:hAnsi="Palatino Linotype"/>
          <w:sz w:val="24"/>
          <w:szCs w:val="24"/>
        </w:rPr>
      </w:pPr>
      <w:r w:rsidDel="00000000" w:rsidR="00000000" w:rsidRPr="00000000">
        <w:rPr>
          <w:rtl w:val="0"/>
        </w:rPr>
      </w:r>
    </w:p>
    <w:sectPr>
      <w:headerReference r:id="rId8" w:type="default"/>
      <w:footerReference r:id="rId9" w:type="default"/>
      <w:pgSz w:h="15840" w:w="12240" w:orient="portrait"/>
      <w:pgMar w:bottom="1417" w:top="1417" w:left="1701" w:right="1701"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Courier New"/>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2D">
    <w:pPr>
      <w:tabs>
        <w:tab w:val="center" w:leader="none" w:pos="4252"/>
        <w:tab w:val="right" w:leader="none" w:pos="8504"/>
      </w:tabs>
      <w:jc w:val="right"/>
      <w:rPr>
        <w:rFonts w:ascii="Arial" w:cs="Arial" w:eastAsia="Arial" w:hAnsi="Arial"/>
        <w:color w:val="000000"/>
        <w:sz w:val="20"/>
        <w:szCs w:val="20"/>
      </w:rPr>
    </w:pPr>
    <w:r w:rsidDel="00000000" w:rsidR="00000000" w:rsidRPr="00000000">
      <w:rPr>
        <w:rFonts w:ascii="Arial" w:cs="Arial" w:eastAsia="Arial" w:hAnsi="Arial"/>
        <w:b w:val="1"/>
        <w:color w:val="000000"/>
        <w:sz w:val="20"/>
        <w:szCs w:val="20"/>
        <w:rtl w:val="0"/>
      </w:rPr>
      <w:t xml:space="preserve">Página </w:t>
    </w:r>
    <w:r w:rsidDel="00000000" w:rsidR="00000000" w:rsidRPr="00000000">
      <w:rPr>
        <w:rFonts w:ascii="Arial" w:cs="Arial" w:eastAsia="Arial" w:hAnsi="Arial"/>
        <w:b w:val="1"/>
        <w:color w:val="000000"/>
        <w:sz w:val="20"/>
        <w:szCs w:val="20"/>
      </w:rPr>
      <w:fldChar w:fldCharType="begin"/>
      <w:instrText xml:space="preserve">PAGE</w:instrText>
      <w:fldChar w:fldCharType="separate"/>
      <w:fldChar w:fldCharType="end"/>
    </w:r>
    <w:r w:rsidDel="00000000" w:rsidR="00000000" w:rsidRPr="00000000">
      <w:rPr>
        <w:rFonts w:ascii="Arial" w:cs="Arial" w:eastAsia="Arial" w:hAnsi="Arial"/>
        <w:color w:val="000000"/>
        <w:sz w:val="20"/>
        <w:szCs w:val="20"/>
        <w:rtl w:val="0"/>
      </w:rPr>
      <w:t xml:space="preserve"> de </w:t>
    </w:r>
    <w:r w:rsidDel="00000000" w:rsidR="00000000" w:rsidRPr="00000000">
      <w:rPr>
        <w:rFonts w:ascii="Arial" w:cs="Arial" w:eastAsia="Arial" w:hAnsi="Arial"/>
        <w:b w:val="1"/>
        <w:color w:val="000000"/>
        <w:sz w:val="20"/>
        <w:szCs w:val="20"/>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12E">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23">
    <w:pPr>
      <w:widowControl w:val="0"/>
      <w:pBdr>
        <w:top w:space="0" w:sz="0" w:val="nil"/>
        <w:left w:space="0" w:sz="0" w:val="nil"/>
        <w:bottom w:space="0" w:sz="0" w:val="nil"/>
        <w:right w:space="0" w:sz="0" w:val="nil"/>
        <w:between w:space="0" w:sz="0" w:val="nil"/>
      </w:pBdr>
      <w:spacing w:after="0" w:line="276" w:lineRule="auto"/>
      <w:rPr>
        <w:rFonts w:ascii="Palatino Linotype" w:cs="Palatino Linotype" w:eastAsia="Palatino Linotype" w:hAnsi="Palatino Linotype"/>
        <w:sz w:val="24"/>
        <w:szCs w:val="24"/>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-669924</wp:posOffset>
          </wp:positionH>
          <wp:positionV relativeFrom="paragraph">
            <wp:posOffset>41910</wp:posOffset>
          </wp:positionV>
          <wp:extent cx="7353300" cy="8658225"/>
          <wp:effectExtent b="0" l="0" r="0" t="0"/>
          <wp:wrapNone/>
          <wp:docPr id="2" name="image2.jpg"/>
          <a:graphic>
            <a:graphicData uri="http://schemas.openxmlformats.org/drawingml/2006/picture">
              <pic:pic>
                <pic:nvPicPr>
                  <pic:cNvPr id="0" name="image2.jpg"/>
                  <pic:cNvPicPr preferRelativeResize="0"/>
                </pic:nvPicPr>
                <pic:blipFill>
                  <a:blip r:embed="rId1"/>
                  <a:srcRect b="0" l="0" r="0" t="0"/>
                  <a:stretch>
                    <a:fillRect/>
                  </a:stretch>
                </pic:blipFill>
                <pic:spPr>
                  <a:xfrm>
                    <a:off x="0" y="0"/>
                    <a:ext cx="7353300" cy="8658225"/>
                  </a:xfrm>
                  <a:prstGeom prst="rect"/>
                  <a:ln/>
                </pic:spPr>
              </pic:pic>
            </a:graphicData>
          </a:graphic>
        </wp:anchor>
      </w:drawing>
    </w:r>
  </w:p>
  <w:tbl>
    <w:tblPr>
      <w:tblStyle w:val="Table1"/>
      <w:tblW w:w="10273.0" w:type="dxa"/>
      <w:jc w:val="left"/>
      <w:tblInd w:w="-1281.0" w:type="dxa"/>
      <w:tblLayout w:type="fixed"/>
      <w:tblLook w:val="0400"/>
    </w:tblPr>
    <w:tblGrid>
      <w:gridCol w:w="5716"/>
      <w:gridCol w:w="4557"/>
      <w:tblGridChange w:id="0">
        <w:tblGrid>
          <w:gridCol w:w="5716"/>
          <w:gridCol w:w="4557"/>
        </w:tblGrid>
      </w:tblGridChange>
    </w:tblGrid>
    <w:tr>
      <w:trPr>
        <w:cantSplit w:val="0"/>
        <w:trHeight w:val="246" w:hRule="atLeast"/>
        <w:tblHeader w:val="0"/>
      </w:trPr>
      <w:tc>
        <w:tcPr/>
        <w:p w:rsidR="00000000" w:rsidDel="00000000" w:rsidP="00000000" w:rsidRDefault="00000000" w:rsidRPr="00000000" w14:paraId="00000124">
          <w:pPr>
            <w:spacing w:after="120" w:lineRule="auto"/>
            <w:ind w:left="-252" w:firstLine="0"/>
            <w:jc w:val="right"/>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Recurso de Revisión N°:</w:t>
          </w:r>
        </w:p>
      </w:tc>
      <w:tc>
        <w:tcPr/>
        <w:p w:rsidR="00000000" w:rsidDel="00000000" w:rsidP="00000000" w:rsidRDefault="00000000" w:rsidRPr="00000000" w14:paraId="00000125">
          <w:pPr>
            <w:spacing w:after="120" w:lineRule="auto"/>
            <w:ind w:left="-252" w:firstLine="1408"/>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  07754/INFOEM/IP/RR/2023</w:t>
          </w:r>
        </w:p>
      </w:tc>
    </w:tr>
    <w:tr>
      <w:trPr>
        <w:cantSplit w:val="0"/>
        <w:trHeight w:val="212" w:hRule="atLeast"/>
        <w:tblHeader w:val="0"/>
      </w:trPr>
      <w:tc>
        <w:tcPr/>
        <w:p w:rsidR="00000000" w:rsidDel="00000000" w:rsidP="00000000" w:rsidRDefault="00000000" w:rsidRPr="00000000" w14:paraId="00000126">
          <w:pPr>
            <w:spacing w:after="120" w:lineRule="auto"/>
            <w:ind w:left="-252" w:firstLine="0"/>
            <w:jc w:val="right"/>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Recurrente:</w:t>
          </w:r>
        </w:p>
      </w:tc>
      <w:tc>
        <w:tcPr/>
        <w:p w:rsidR="00000000" w:rsidDel="00000000" w:rsidP="00000000" w:rsidRDefault="00000000" w:rsidRPr="00000000" w14:paraId="00000127">
          <w:pPr>
            <w:spacing w:after="120" w:lineRule="auto"/>
            <w:ind w:left="-252" w:firstLine="567"/>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sz w:val="24"/>
              <w:szCs w:val="24"/>
              <w:rtl w:val="0"/>
            </w:rPr>
            <w:t xml:space="preserve">               XXXXX XXXXXX XXXXXXX</w:t>
          </w:r>
          <w:r w:rsidDel="00000000" w:rsidR="00000000" w:rsidRPr="00000000">
            <w:rPr>
              <w:rFonts w:ascii="Palatino Linotype" w:cs="Palatino Linotype" w:eastAsia="Palatino Linotype" w:hAnsi="Palatino Linotype"/>
              <w:b w:val="1"/>
              <w:rtl w:val="0"/>
            </w:rPr>
            <w:t xml:space="preserve">      </w:t>
          </w:r>
        </w:p>
      </w:tc>
    </w:tr>
    <w:tr>
      <w:trPr>
        <w:cantSplit w:val="0"/>
        <w:trHeight w:val="264" w:hRule="atLeast"/>
        <w:tblHeader w:val="0"/>
      </w:trPr>
      <w:tc>
        <w:tcPr/>
        <w:p w:rsidR="00000000" w:rsidDel="00000000" w:rsidP="00000000" w:rsidRDefault="00000000" w:rsidRPr="00000000" w14:paraId="00000128">
          <w:pPr>
            <w:tabs>
              <w:tab w:val="center" w:leader="none" w:pos="2624"/>
              <w:tab w:val="right" w:leader="none" w:pos="5500"/>
            </w:tabs>
            <w:ind w:left="-252" w:firstLine="0"/>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ab/>
            <w:tab/>
            <w:t xml:space="preserve">Sujeto Obligado:</w:t>
          </w:r>
        </w:p>
      </w:tc>
      <w:tc>
        <w:tcPr/>
        <w:p w:rsidR="00000000" w:rsidDel="00000000" w:rsidP="00000000" w:rsidRDefault="00000000" w:rsidRPr="00000000" w14:paraId="00000129">
          <w:pPr>
            <w:pBdr>
              <w:top w:space="0" w:sz="0" w:val="nil"/>
              <w:left w:space="0" w:sz="0" w:val="nil"/>
              <w:bottom w:space="0" w:sz="0" w:val="nil"/>
              <w:right w:space="0" w:sz="0" w:val="nil"/>
              <w:between w:space="0" w:sz="0" w:val="nil"/>
            </w:pBdr>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sz w:val="24"/>
              <w:szCs w:val="24"/>
              <w:rtl w:val="0"/>
            </w:rPr>
            <w:t xml:space="preserve">                        </w:t>
          </w:r>
          <w:r w:rsidDel="00000000" w:rsidR="00000000" w:rsidRPr="00000000">
            <w:rPr>
              <w:rFonts w:ascii="Palatino Linotype" w:cs="Palatino Linotype" w:eastAsia="Palatino Linotype" w:hAnsi="Palatino Linotype"/>
              <w:b w:val="1"/>
              <w:color w:val="000000"/>
              <w:rtl w:val="0"/>
            </w:rPr>
            <w:t xml:space="preserve">Ayuntamiento de Almoloya </w:t>
            <w:br w:type="textWrapping"/>
            <w:t xml:space="preserve">                          del Río</w:t>
          </w:r>
        </w:p>
      </w:tc>
    </w:tr>
    <w:tr>
      <w:trPr>
        <w:cantSplit w:val="0"/>
        <w:trHeight w:val="373" w:hRule="atLeast"/>
        <w:tblHeader w:val="0"/>
      </w:trPr>
      <w:tc>
        <w:tcPr/>
        <w:p w:rsidR="00000000" w:rsidDel="00000000" w:rsidP="00000000" w:rsidRDefault="00000000" w:rsidRPr="00000000" w14:paraId="0000012A">
          <w:pPr>
            <w:tabs>
              <w:tab w:val="left" w:leader="none" w:pos="4892"/>
            </w:tabs>
            <w:spacing w:after="120" w:lineRule="auto"/>
            <w:ind w:left="-252" w:firstLine="0"/>
            <w:jc w:val="right"/>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Comisionada Ponente:</w:t>
          </w:r>
        </w:p>
      </w:tc>
      <w:tc>
        <w:tcPr/>
        <w:p w:rsidR="00000000" w:rsidDel="00000000" w:rsidP="00000000" w:rsidRDefault="00000000" w:rsidRPr="00000000" w14:paraId="0000012B">
          <w:pPr>
            <w:spacing w:after="120" w:lineRule="auto"/>
            <w:ind w:left="-252" w:firstLine="567"/>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              Guadalupe Ramírez Peña</w:t>
          </w:r>
        </w:p>
      </w:tc>
    </w:tr>
  </w:tbl>
  <w:p w:rsidR="00000000" w:rsidDel="00000000" w:rsidP="00000000" w:rsidRDefault="00000000" w:rsidRPr="00000000" w14:paraId="0000012C">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lowerLetter"/>
      <w:lvlText w:val="%1)"/>
      <w:lvlJc w:val="left"/>
      <w:pPr>
        <w:ind w:left="720" w:hanging="360"/>
      </w:pPr>
      <w:rPr>
        <w:b w:val="1"/>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bullet"/>
      <w:lvlText w:val="●"/>
      <w:lvlJc w:val="left"/>
      <w:pPr>
        <w:ind w:left="1287" w:hanging="360.0000000000001"/>
      </w:pPr>
      <w:rPr>
        <w:rFonts w:ascii="Noto Sans Symbols" w:cs="Noto Sans Symbols" w:eastAsia="Noto Sans Symbols" w:hAnsi="Noto Sans Symbols"/>
      </w:rPr>
    </w:lvl>
    <w:lvl w:ilvl="1">
      <w:start w:val="1"/>
      <w:numFmt w:val="bullet"/>
      <w:lvlText w:val="o"/>
      <w:lvlJc w:val="left"/>
      <w:pPr>
        <w:ind w:left="2007" w:hanging="360"/>
      </w:pPr>
      <w:rPr>
        <w:rFonts w:ascii="Courier New" w:cs="Courier New" w:eastAsia="Courier New" w:hAnsi="Courier New"/>
      </w:rPr>
    </w:lvl>
    <w:lvl w:ilvl="2">
      <w:start w:val="1"/>
      <w:numFmt w:val="bullet"/>
      <w:lvlText w:val="▪"/>
      <w:lvlJc w:val="left"/>
      <w:pPr>
        <w:ind w:left="2727" w:hanging="360"/>
      </w:pPr>
      <w:rPr>
        <w:rFonts w:ascii="Noto Sans Symbols" w:cs="Noto Sans Symbols" w:eastAsia="Noto Sans Symbols" w:hAnsi="Noto Sans Symbols"/>
      </w:rPr>
    </w:lvl>
    <w:lvl w:ilvl="3">
      <w:start w:val="1"/>
      <w:numFmt w:val="bullet"/>
      <w:lvlText w:val="●"/>
      <w:lvlJc w:val="left"/>
      <w:pPr>
        <w:ind w:left="3447" w:hanging="360"/>
      </w:pPr>
      <w:rPr>
        <w:rFonts w:ascii="Noto Sans Symbols" w:cs="Noto Sans Symbols" w:eastAsia="Noto Sans Symbols" w:hAnsi="Noto Sans Symbols"/>
      </w:rPr>
    </w:lvl>
    <w:lvl w:ilvl="4">
      <w:start w:val="1"/>
      <w:numFmt w:val="bullet"/>
      <w:lvlText w:val="o"/>
      <w:lvlJc w:val="left"/>
      <w:pPr>
        <w:ind w:left="4167" w:hanging="360"/>
      </w:pPr>
      <w:rPr>
        <w:rFonts w:ascii="Courier New" w:cs="Courier New" w:eastAsia="Courier New" w:hAnsi="Courier New"/>
      </w:rPr>
    </w:lvl>
    <w:lvl w:ilvl="5">
      <w:start w:val="1"/>
      <w:numFmt w:val="bullet"/>
      <w:lvlText w:val="▪"/>
      <w:lvlJc w:val="left"/>
      <w:pPr>
        <w:ind w:left="4887" w:hanging="360"/>
      </w:pPr>
      <w:rPr>
        <w:rFonts w:ascii="Noto Sans Symbols" w:cs="Noto Sans Symbols" w:eastAsia="Noto Sans Symbols" w:hAnsi="Noto Sans Symbols"/>
      </w:rPr>
    </w:lvl>
    <w:lvl w:ilvl="6">
      <w:start w:val="1"/>
      <w:numFmt w:val="bullet"/>
      <w:lvlText w:val="●"/>
      <w:lvlJc w:val="left"/>
      <w:pPr>
        <w:ind w:left="5607" w:hanging="360"/>
      </w:pPr>
      <w:rPr>
        <w:rFonts w:ascii="Noto Sans Symbols" w:cs="Noto Sans Symbols" w:eastAsia="Noto Sans Symbols" w:hAnsi="Noto Sans Symbols"/>
      </w:rPr>
    </w:lvl>
    <w:lvl w:ilvl="7">
      <w:start w:val="1"/>
      <w:numFmt w:val="bullet"/>
      <w:lvlText w:val="o"/>
      <w:lvlJc w:val="left"/>
      <w:pPr>
        <w:ind w:left="6327" w:hanging="360"/>
      </w:pPr>
      <w:rPr>
        <w:rFonts w:ascii="Courier New" w:cs="Courier New" w:eastAsia="Courier New" w:hAnsi="Courier New"/>
      </w:rPr>
    </w:lvl>
    <w:lvl w:ilvl="8">
      <w:start w:val="1"/>
      <w:numFmt w:val="bullet"/>
      <w:lvlText w:val="▪"/>
      <w:lvlJc w:val="left"/>
      <w:pPr>
        <w:ind w:left="7047"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decimal"/>
      <w:lvlText w:val="%1."/>
      <w:lvlJc w:val="left"/>
      <w:pPr>
        <w:ind w:left="720" w:hanging="360"/>
      </w:pPr>
      <w:rPr>
        <w:b w:val="1"/>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s-MX"/>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dKoGkrq16aCKUwwNl6z2+OGVz8g==">CgMxLjAyCWguMWZvYjl0ZTIJaC4zZHk2dmttMgloLjN6bnlzaDcyCGguZ2pkZ3hzOAByITE1aU1vZkNfRXRGTjVKVENTZ0V4bDB0OE1zQWtnb0JOYw==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