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8E" w:rsidRPr="0079394C" w:rsidRDefault="0068208E" w:rsidP="0068208E">
      <w:pPr>
        <w:spacing w:line="360" w:lineRule="auto"/>
        <w:jc w:val="both"/>
        <w:rPr>
          <w:rFonts w:ascii="Palatino Linotype" w:hAnsi="Palatino Linotype"/>
        </w:rPr>
      </w:pPr>
      <w:r w:rsidRPr="0079394C">
        <w:rPr>
          <w:rFonts w:ascii="Palatino Linotype" w:hAnsi="Palatino Linotype"/>
        </w:rPr>
        <w:t>Resolución del Pleno del Instituto de Transparencia, Acceso a la Información Pública y Protección de Datos Personales del Estado de México y Municipios, con domicilio en Metepec, Estado de México, de fecha siete de junio de dos mil veintitrés.</w:t>
      </w:r>
      <w:r w:rsidR="00475E3E" w:rsidRPr="0079394C">
        <w:rPr>
          <w:rFonts w:ascii="Palatino Linotype" w:hAnsi="Palatino Linotype"/>
        </w:rPr>
        <w:t xml:space="preserve"> </w:t>
      </w:r>
    </w:p>
    <w:p w:rsidR="0068208E" w:rsidRPr="0079394C" w:rsidRDefault="0068208E" w:rsidP="0068208E">
      <w:pPr>
        <w:spacing w:line="360" w:lineRule="auto"/>
        <w:jc w:val="both"/>
        <w:rPr>
          <w:rFonts w:ascii="Palatino Linotype" w:hAnsi="Palatino Linotype"/>
        </w:rPr>
      </w:pPr>
    </w:p>
    <w:p w:rsidR="0068208E" w:rsidRPr="0079394C" w:rsidRDefault="0068208E" w:rsidP="0068208E">
      <w:pPr>
        <w:spacing w:line="360" w:lineRule="auto"/>
        <w:jc w:val="both"/>
        <w:rPr>
          <w:rFonts w:ascii="Palatino Linotype" w:hAnsi="Palatino Linotype"/>
        </w:rPr>
      </w:pPr>
      <w:r w:rsidRPr="0079394C">
        <w:rPr>
          <w:rFonts w:ascii="Palatino Linotype" w:hAnsi="Palatino Linotype"/>
        </w:rPr>
        <w:t xml:space="preserve">VISTO el expediente formado con motivo del recurso de revisión </w:t>
      </w:r>
      <w:r w:rsidRPr="0079394C">
        <w:rPr>
          <w:rFonts w:ascii="Palatino Linotype" w:hAnsi="Palatino Linotype"/>
          <w:b/>
        </w:rPr>
        <w:t xml:space="preserve">02025/INFOEM/IP/RR/2023, </w:t>
      </w:r>
      <w:r w:rsidRPr="0079394C">
        <w:rPr>
          <w:rFonts w:ascii="Palatino Linotype" w:hAnsi="Palatino Linotype"/>
        </w:rPr>
        <w:t xml:space="preserve">interpuesto por </w:t>
      </w:r>
      <w:r w:rsidR="00D504CB">
        <w:rPr>
          <w:rFonts w:ascii="Palatino Linotype" w:hAnsi="Palatino Linotype"/>
          <w:b/>
        </w:rPr>
        <w:t>XXXXXXXXXXXXXXXXXXX</w:t>
      </w:r>
      <w:r w:rsidRPr="0079394C">
        <w:rPr>
          <w:rFonts w:ascii="Palatino Linotype" w:hAnsi="Palatino Linotype"/>
        </w:rPr>
        <w:t xml:space="preserve">, en lo sucesivo el </w:t>
      </w:r>
      <w:r w:rsidRPr="0079394C">
        <w:rPr>
          <w:rFonts w:ascii="Palatino Linotype" w:hAnsi="Palatino Linotype"/>
          <w:b/>
        </w:rPr>
        <w:t>Recurrente</w:t>
      </w:r>
      <w:r w:rsidRPr="0079394C">
        <w:rPr>
          <w:rFonts w:ascii="Palatino Linotype" w:hAnsi="Palatino Linotype"/>
        </w:rPr>
        <w:t>, en contra de la respuesta por la</w:t>
      </w:r>
      <w:r w:rsidRPr="0079394C">
        <w:rPr>
          <w:rFonts w:ascii="Palatino Linotype" w:hAnsi="Palatino Linotype"/>
          <w:b/>
        </w:rPr>
        <w:t xml:space="preserve"> Universidad Autónoma del Estado de </w:t>
      </w:r>
      <w:r w:rsidR="003200D1" w:rsidRPr="0079394C">
        <w:rPr>
          <w:rFonts w:ascii="Palatino Linotype" w:hAnsi="Palatino Linotype"/>
          <w:b/>
        </w:rPr>
        <w:t>México,</w:t>
      </w:r>
      <w:r w:rsidRPr="0079394C">
        <w:rPr>
          <w:rFonts w:ascii="Palatino Linotype" w:hAnsi="Palatino Linotype"/>
        </w:rPr>
        <w:t xml:space="preserve"> en lo sucesivo </w:t>
      </w:r>
      <w:r w:rsidRPr="0079394C">
        <w:rPr>
          <w:rFonts w:ascii="Palatino Linotype" w:hAnsi="Palatino Linotype"/>
          <w:b/>
        </w:rPr>
        <w:t>el Sujeto Obligado</w:t>
      </w:r>
      <w:r w:rsidRPr="0079394C">
        <w:rPr>
          <w:rFonts w:ascii="Palatino Linotype" w:hAnsi="Palatino Linotype"/>
        </w:rPr>
        <w:t xml:space="preserve">, se procede a dictar la presente resolución con base en lo siguiente: </w:t>
      </w:r>
    </w:p>
    <w:p w:rsidR="0068208E" w:rsidRPr="0079394C" w:rsidRDefault="0068208E" w:rsidP="0068208E">
      <w:pPr>
        <w:spacing w:line="360" w:lineRule="auto"/>
        <w:jc w:val="center"/>
        <w:rPr>
          <w:rFonts w:ascii="Palatino Linotype" w:hAnsi="Palatino Linotype"/>
          <w:b/>
          <w:bCs/>
          <w:spacing w:val="60"/>
          <w:lang w:val="es-ES_tradnl"/>
        </w:rPr>
      </w:pPr>
    </w:p>
    <w:p w:rsidR="0068208E" w:rsidRPr="0079394C" w:rsidRDefault="0068208E" w:rsidP="0068208E">
      <w:pPr>
        <w:spacing w:line="360" w:lineRule="auto"/>
        <w:jc w:val="center"/>
        <w:rPr>
          <w:rFonts w:ascii="Palatino Linotype" w:hAnsi="Palatino Linotype"/>
          <w:b/>
          <w:bCs/>
          <w:spacing w:val="60"/>
          <w:sz w:val="28"/>
          <w:lang w:val="es-ES_tradnl"/>
        </w:rPr>
      </w:pPr>
      <w:r w:rsidRPr="0079394C">
        <w:rPr>
          <w:rFonts w:ascii="Palatino Linotype" w:hAnsi="Palatino Linotype"/>
          <w:b/>
          <w:bCs/>
          <w:spacing w:val="60"/>
          <w:sz w:val="28"/>
          <w:lang w:val="es-ES_tradnl"/>
        </w:rPr>
        <w:t>RESULTANDO</w:t>
      </w:r>
    </w:p>
    <w:p w:rsidR="0068208E" w:rsidRPr="0079394C" w:rsidRDefault="0068208E" w:rsidP="0068208E">
      <w:pPr>
        <w:spacing w:line="360" w:lineRule="auto"/>
        <w:jc w:val="center"/>
        <w:rPr>
          <w:rFonts w:ascii="Palatino Linotype" w:hAnsi="Palatino Linotype"/>
          <w:b/>
          <w:bCs/>
          <w:spacing w:val="60"/>
          <w:lang w:val="es-ES_tradnl"/>
        </w:rPr>
      </w:pPr>
      <w:bookmarkStart w:id="0" w:name="_GoBack"/>
      <w:bookmarkEnd w:id="0"/>
    </w:p>
    <w:p w:rsidR="0068208E" w:rsidRPr="0079394C" w:rsidRDefault="0068208E" w:rsidP="0068208E">
      <w:pPr>
        <w:spacing w:line="360" w:lineRule="auto"/>
        <w:jc w:val="both"/>
        <w:rPr>
          <w:rFonts w:ascii="Palatino Linotype" w:hAnsi="Palatino Linotype"/>
        </w:rPr>
      </w:pPr>
      <w:r w:rsidRPr="0079394C">
        <w:rPr>
          <w:rFonts w:ascii="Palatino Linotype" w:hAnsi="Palatino Linotype"/>
          <w:b/>
          <w:sz w:val="28"/>
          <w:szCs w:val="28"/>
        </w:rPr>
        <w:t>PRIMERO. De la Solicitud de Información.</w:t>
      </w:r>
    </w:p>
    <w:p w:rsidR="0068208E" w:rsidRPr="0079394C" w:rsidRDefault="0068208E" w:rsidP="0068208E">
      <w:pPr>
        <w:spacing w:line="360" w:lineRule="auto"/>
        <w:jc w:val="both"/>
        <w:rPr>
          <w:rFonts w:ascii="Palatino Linotype" w:hAnsi="Palatino Linotype"/>
        </w:rPr>
      </w:pPr>
      <w:r w:rsidRPr="0079394C">
        <w:rPr>
          <w:rFonts w:ascii="Palatino Linotype" w:hAnsi="Palatino Linotype"/>
        </w:rPr>
        <w:t>En fecha 27 (veintisiete) de febrero de 2023 (dos mil veintitrés), el</w:t>
      </w:r>
      <w:r w:rsidRPr="0079394C">
        <w:rPr>
          <w:rFonts w:ascii="Palatino Linotype" w:hAnsi="Palatino Linotype"/>
          <w:b/>
        </w:rPr>
        <w:t xml:space="preserve"> Recurrente</w:t>
      </w:r>
      <w:r w:rsidRPr="0079394C">
        <w:rPr>
          <w:rFonts w:ascii="Palatino Linotype" w:hAnsi="Palatino Linotype"/>
        </w:rPr>
        <w:t xml:space="preserve"> presentó a través del Sistema de Acceso a la Información Mexiquense, en lo subsecuente </w:t>
      </w:r>
      <w:r w:rsidRPr="0079394C">
        <w:rPr>
          <w:rFonts w:ascii="Palatino Linotype" w:hAnsi="Palatino Linotype"/>
          <w:b/>
        </w:rPr>
        <w:t>el SAIMEX</w:t>
      </w:r>
      <w:r w:rsidRPr="0079394C">
        <w:rPr>
          <w:rFonts w:ascii="Palatino Linotype" w:hAnsi="Palatino Linotype"/>
        </w:rPr>
        <w:t>, ante el</w:t>
      </w:r>
      <w:r w:rsidRPr="0079394C">
        <w:rPr>
          <w:rFonts w:ascii="Palatino Linotype" w:hAnsi="Palatino Linotype"/>
          <w:b/>
        </w:rPr>
        <w:t xml:space="preserve"> Sujeto Obligado</w:t>
      </w:r>
      <w:r w:rsidRPr="0079394C">
        <w:rPr>
          <w:rFonts w:ascii="Palatino Linotype" w:hAnsi="Palatino Linotype"/>
        </w:rPr>
        <w:t>, solicitud de acceso a la información pública, a la que se le asignó el número de expediente</w:t>
      </w:r>
      <w:r w:rsidRPr="0079394C">
        <w:rPr>
          <w:rFonts w:ascii="Palatino Linotype" w:hAnsi="Palatino Linotype"/>
          <w:b/>
          <w:bCs/>
        </w:rPr>
        <w:t xml:space="preserve"> 00071/UAEM/IP/2023 </w:t>
      </w:r>
      <w:r w:rsidRPr="0079394C">
        <w:rPr>
          <w:rFonts w:ascii="Palatino Linotype" w:hAnsi="Palatino Linotype"/>
        </w:rPr>
        <w:t xml:space="preserve">mediante la cual solicitó, vía </w:t>
      </w:r>
      <w:r w:rsidRPr="0079394C">
        <w:rPr>
          <w:rFonts w:ascii="Palatino Linotype" w:hAnsi="Palatino Linotype"/>
          <w:b/>
        </w:rPr>
        <w:t>SAIMEX</w:t>
      </w:r>
      <w:r w:rsidRPr="0079394C">
        <w:rPr>
          <w:rFonts w:ascii="Palatino Linotype" w:hAnsi="Palatino Linotype"/>
        </w:rPr>
        <w:t>, lo siguiente:</w:t>
      </w:r>
    </w:p>
    <w:p w:rsidR="0068208E" w:rsidRPr="0079394C" w:rsidRDefault="0068208E" w:rsidP="0068208E">
      <w:pPr>
        <w:spacing w:line="360" w:lineRule="auto"/>
        <w:jc w:val="both"/>
        <w:rPr>
          <w:rFonts w:ascii="Palatino Linotype" w:hAnsi="Palatino Linotype" w:cs="Arial"/>
        </w:rPr>
      </w:pPr>
    </w:p>
    <w:p w:rsidR="0068208E" w:rsidRPr="0079394C" w:rsidRDefault="0068208E" w:rsidP="0068208E">
      <w:pPr>
        <w:pStyle w:val="Prrafodelista"/>
        <w:ind w:left="720" w:right="616"/>
        <w:jc w:val="both"/>
        <w:rPr>
          <w:rFonts w:ascii="Palatino Linotype" w:hAnsi="Palatino Linotype"/>
          <w:i/>
          <w:color w:val="000000"/>
        </w:rPr>
      </w:pPr>
      <w:r w:rsidRPr="0079394C">
        <w:rPr>
          <w:rFonts w:ascii="Palatino Linotype" w:hAnsi="Palatino Linotype"/>
          <w:bCs/>
          <w:i/>
          <w:sz w:val="22"/>
        </w:rPr>
        <w:t>“</w:t>
      </w:r>
      <w:r w:rsidRPr="0079394C">
        <w:rPr>
          <w:rFonts w:ascii="Palatino Linotype" w:hAnsi="Palatino Linotype"/>
          <w:i/>
          <w:color w:val="000000"/>
        </w:rPr>
        <w:t>1) Las actas aprobadas de las sesiones ordinarias del Consejo Académico de la Facultad de Economía de la Universidad Autónoma del Estado de México de los meses de enero de 2021, febrero de 2021, marzo de 2021</w:t>
      </w:r>
      <w:proofErr w:type="gramStart"/>
      <w:r w:rsidRPr="0079394C">
        <w:rPr>
          <w:rFonts w:ascii="Palatino Linotype" w:hAnsi="Palatino Linotype"/>
          <w:i/>
          <w:color w:val="000000"/>
        </w:rPr>
        <w:t>,abril</w:t>
      </w:r>
      <w:proofErr w:type="gramEnd"/>
      <w:r w:rsidRPr="0079394C">
        <w:rPr>
          <w:rFonts w:ascii="Palatino Linotype" w:hAnsi="Palatino Linotype"/>
          <w:i/>
          <w:color w:val="000000"/>
        </w:rPr>
        <w:t xml:space="preserve"> de 2021, mayo de 2021, junio de 2021, julio de 2021, agosto de 20 21,septiembre de 2021, octubre de 2021, noviembre de 2021 y diciembre de 2021. 2) Las actas aprobadas de las sesiones ordinarias del Consejo de Gobierno de la Facultad de Economía de la </w:t>
      </w:r>
      <w:r w:rsidRPr="0079394C">
        <w:rPr>
          <w:rFonts w:ascii="Palatino Linotype" w:hAnsi="Palatino Linotype"/>
          <w:i/>
          <w:color w:val="000000"/>
        </w:rPr>
        <w:lastRenderedPageBreak/>
        <w:t>Universidad Autónoma del Estado de México de los meses de enero de 2021, febrero de 2021, marzo de 2021, abril de 2021</w:t>
      </w:r>
      <w:proofErr w:type="gramStart"/>
      <w:r w:rsidRPr="0079394C">
        <w:rPr>
          <w:rFonts w:ascii="Palatino Linotype" w:hAnsi="Palatino Linotype"/>
          <w:i/>
          <w:color w:val="000000"/>
        </w:rPr>
        <w:t>,mayo</w:t>
      </w:r>
      <w:proofErr w:type="gramEnd"/>
      <w:r w:rsidRPr="0079394C">
        <w:rPr>
          <w:rFonts w:ascii="Palatino Linotype" w:hAnsi="Palatino Linotype"/>
          <w:i/>
          <w:color w:val="000000"/>
        </w:rPr>
        <w:t xml:space="preserve"> de 2021, junio de 2021, julio de 2021, agosto de 2021, septiembre de 2021, octubre de 2021, noviembre de 2021 y diciembre de 2021. 3) El acta aprobada de la sesión extraordinaria del Consejo Académico llevada a cabo el 01 de octubre de 2021. 4) El acta aprobada de la sesión extraordinaria del Consejo de Gobierno llevada a cabo el 01 de octubre de 2021. 5) Las actas aprobadas de las sesiones ordinarias del Consejo Académico de la Facultad de Economía de la Universidad Autónoma del Estado de México de los meses de enero de 2022, febrero de 2022, marzo de 2022</w:t>
      </w:r>
      <w:proofErr w:type="gramStart"/>
      <w:r w:rsidRPr="0079394C">
        <w:rPr>
          <w:rFonts w:ascii="Palatino Linotype" w:hAnsi="Palatino Linotype"/>
          <w:i/>
          <w:color w:val="000000"/>
        </w:rPr>
        <w:t>,abril</w:t>
      </w:r>
      <w:proofErr w:type="gramEnd"/>
      <w:r w:rsidRPr="0079394C">
        <w:rPr>
          <w:rFonts w:ascii="Palatino Linotype" w:hAnsi="Palatino Linotype"/>
          <w:i/>
          <w:color w:val="000000"/>
        </w:rPr>
        <w:t xml:space="preserve"> de 2022, mayo de 2022, junio de 2022, julio de 2022, agosto de 2022,septiembre de 2022, octubre de 2022, noviembre de 2022 y diciembre de 2022. 6) Las actas aprobadas de las sesiones ordinarias del Consejo de Gobierno de la Facultad de Economía de la Universidad Autónoma del Estado de México de los meses de enero de 2022, febrero de 2022, marzo de 2022, abril de 2022</w:t>
      </w:r>
      <w:proofErr w:type="gramStart"/>
      <w:r w:rsidRPr="0079394C">
        <w:rPr>
          <w:rFonts w:ascii="Palatino Linotype" w:hAnsi="Palatino Linotype"/>
          <w:i/>
          <w:color w:val="000000"/>
        </w:rPr>
        <w:t>,mayo</w:t>
      </w:r>
      <w:proofErr w:type="gramEnd"/>
      <w:r w:rsidRPr="0079394C">
        <w:rPr>
          <w:rFonts w:ascii="Palatino Linotype" w:hAnsi="Palatino Linotype"/>
          <w:i/>
          <w:color w:val="000000"/>
        </w:rPr>
        <w:t xml:space="preserve"> de 2022, junio de 2022, julio de 2022, agosto de 2022, septiembre de 2022, octubre de 2022, noviembre de 2022 y diciembre de 2022</w:t>
      </w:r>
      <w:r w:rsidRPr="0079394C">
        <w:rPr>
          <w:rFonts w:ascii="Palatino Linotype" w:hAnsi="Palatino Linotype"/>
          <w:i/>
          <w:color w:val="000000"/>
          <w:sz w:val="22"/>
          <w:szCs w:val="14"/>
        </w:rPr>
        <w:t>.</w:t>
      </w:r>
      <w:r w:rsidRPr="0079394C">
        <w:rPr>
          <w:rFonts w:ascii="Palatino Linotype" w:hAnsi="Palatino Linotype"/>
          <w:bCs/>
          <w:i/>
          <w:sz w:val="22"/>
        </w:rPr>
        <w:t>” (Sic)</w:t>
      </w:r>
    </w:p>
    <w:p w:rsidR="0068208E" w:rsidRPr="0079394C" w:rsidRDefault="0068208E" w:rsidP="0068208E">
      <w:pPr>
        <w:ind w:right="616"/>
        <w:jc w:val="both"/>
        <w:rPr>
          <w:rFonts w:ascii="Palatino Linotype" w:hAnsi="Palatino Linotype"/>
          <w:bCs/>
          <w:i/>
          <w:sz w:val="22"/>
        </w:rPr>
      </w:pPr>
    </w:p>
    <w:p w:rsidR="0068208E" w:rsidRPr="0079394C" w:rsidRDefault="0068208E" w:rsidP="0068208E">
      <w:pPr>
        <w:ind w:right="616"/>
        <w:jc w:val="both"/>
        <w:rPr>
          <w:rFonts w:ascii="Palatino Linotype" w:hAnsi="Palatino Linotype"/>
          <w:bCs/>
          <w:sz w:val="22"/>
        </w:rPr>
      </w:pPr>
    </w:p>
    <w:p w:rsidR="0068208E" w:rsidRPr="0079394C" w:rsidRDefault="0068208E" w:rsidP="0068208E">
      <w:pPr>
        <w:spacing w:line="360" w:lineRule="auto"/>
        <w:jc w:val="both"/>
        <w:rPr>
          <w:rFonts w:ascii="Palatino Linotype" w:hAnsi="Palatino Linotype"/>
          <w:szCs w:val="28"/>
          <w:lang w:val="es-MX"/>
        </w:rPr>
      </w:pPr>
      <w:r w:rsidRPr="0079394C">
        <w:rPr>
          <w:rFonts w:ascii="Palatino Linotype" w:hAnsi="Palatino Linotype"/>
          <w:szCs w:val="28"/>
          <w:lang w:val="es-MX"/>
        </w:rPr>
        <w:t>Modalidad de entrega:</w:t>
      </w:r>
      <w:r w:rsidRPr="0079394C">
        <w:rPr>
          <w:rFonts w:ascii="Palatino Linotype" w:hAnsi="Palatino Linotype"/>
          <w:b/>
          <w:i/>
          <w:szCs w:val="28"/>
          <w:lang w:val="es-MX"/>
        </w:rPr>
        <w:t xml:space="preserve"> </w:t>
      </w:r>
      <w:r w:rsidRPr="0079394C">
        <w:rPr>
          <w:rFonts w:ascii="Palatino Linotype" w:hAnsi="Palatino Linotype"/>
          <w:b/>
          <w:szCs w:val="28"/>
          <w:lang w:val="es-MX"/>
        </w:rPr>
        <w:t>a través del SAIMEX</w:t>
      </w:r>
      <w:r w:rsidRPr="0079394C">
        <w:rPr>
          <w:rFonts w:ascii="Palatino Linotype" w:hAnsi="Palatino Linotype"/>
          <w:b/>
          <w:i/>
          <w:szCs w:val="28"/>
          <w:lang w:val="es-MX"/>
        </w:rPr>
        <w:t>.</w:t>
      </w:r>
    </w:p>
    <w:p w:rsidR="0068208E" w:rsidRPr="0079394C" w:rsidRDefault="0068208E" w:rsidP="0068208E">
      <w:pPr>
        <w:spacing w:line="360" w:lineRule="auto"/>
        <w:jc w:val="both"/>
        <w:rPr>
          <w:rFonts w:ascii="Palatino Linotype" w:hAnsi="Palatino Linotype"/>
          <w:szCs w:val="28"/>
          <w:lang w:val="es-MX"/>
        </w:rPr>
      </w:pPr>
    </w:p>
    <w:p w:rsidR="0068208E" w:rsidRPr="0079394C" w:rsidRDefault="0068208E" w:rsidP="0068208E">
      <w:pPr>
        <w:spacing w:line="360" w:lineRule="auto"/>
        <w:jc w:val="both"/>
        <w:rPr>
          <w:rFonts w:ascii="Palatino Linotype" w:hAnsi="Palatino Linotype" w:cs="Arial"/>
          <w:b/>
          <w:sz w:val="28"/>
        </w:rPr>
      </w:pPr>
      <w:r w:rsidRPr="0079394C">
        <w:rPr>
          <w:rFonts w:ascii="Palatino Linotype" w:hAnsi="Palatino Linotype"/>
          <w:b/>
          <w:sz w:val="28"/>
          <w:szCs w:val="28"/>
          <w:lang w:val="es-MX"/>
        </w:rPr>
        <w:t>SEGUNDO</w:t>
      </w:r>
      <w:r w:rsidRPr="0079394C">
        <w:rPr>
          <w:rFonts w:ascii="Palatino Linotype" w:hAnsi="Palatino Linotype" w:cs="Arial"/>
          <w:b/>
          <w:sz w:val="28"/>
          <w:szCs w:val="28"/>
        </w:rPr>
        <w:t>.</w:t>
      </w:r>
      <w:r w:rsidRPr="0079394C">
        <w:rPr>
          <w:rFonts w:ascii="Palatino Linotype" w:hAnsi="Palatino Linotype" w:cs="Arial"/>
          <w:b/>
          <w:sz w:val="28"/>
        </w:rPr>
        <w:t xml:space="preserve"> </w:t>
      </w:r>
      <w:r w:rsidRPr="0079394C">
        <w:rPr>
          <w:rFonts w:ascii="Palatino Linotype" w:hAnsi="Palatino Linotype" w:cs="Arial"/>
          <w:b/>
          <w:sz w:val="28"/>
          <w:szCs w:val="20"/>
        </w:rPr>
        <w:t xml:space="preserve">De </w:t>
      </w:r>
      <w:r w:rsidR="003200D1" w:rsidRPr="0079394C">
        <w:rPr>
          <w:rFonts w:ascii="Palatino Linotype" w:hAnsi="Palatino Linotype" w:cs="Arial"/>
          <w:b/>
          <w:sz w:val="28"/>
          <w:szCs w:val="20"/>
        </w:rPr>
        <w:t>la Prorroga.</w:t>
      </w:r>
    </w:p>
    <w:p w:rsidR="0068208E" w:rsidRPr="0079394C" w:rsidRDefault="0068208E" w:rsidP="0068208E">
      <w:pPr>
        <w:spacing w:line="360" w:lineRule="auto"/>
        <w:jc w:val="both"/>
        <w:rPr>
          <w:rFonts w:ascii="Palatino Linotype" w:hAnsi="Palatino Linotype" w:cs="Arial"/>
        </w:rPr>
      </w:pPr>
      <w:r w:rsidRPr="0079394C">
        <w:rPr>
          <w:rFonts w:ascii="Palatino Linotype" w:hAnsi="Palatino Linotype" w:cs="Arial"/>
        </w:rPr>
        <w:t xml:space="preserve">En el expediente electrónico </w:t>
      </w:r>
      <w:r w:rsidRPr="0079394C">
        <w:rPr>
          <w:rFonts w:ascii="Palatino Linotype" w:hAnsi="Palatino Linotype" w:cs="Arial"/>
          <w:b/>
        </w:rPr>
        <w:t xml:space="preserve">SAIMEX, </w:t>
      </w:r>
      <w:r w:rsidRPr="0079394C">
        <w:rPr>
          <w:rFonts w:ascii="Palatino Linotype" w:hAnsi="Palatino Linotype" w:cs="Arial"/>
        </w:rPr>
        <w:t>se aprecia que en fecha 29 de marzo de dos mil veintitrés el Sujeto Obligado solicito una prórroga para poder dar contestación a la solicitud de información, en los términos siguientes:</w:t>
      </w:r>
    </w:p>
    <w:p w:rsidR="0068208E" w:rsidRPr="0079394C" w:rsidRDefault="0068208E" w:rsidP="0068208E">
      <w:pPr>
        <w:spacing w:line="360" w:lineRule="auto"/>
        <w:jc w:val="both"/>
        <w:rPr>
          <w:rFonts w:ascii="Palatino Linotype" w:hAnsi="Palatino Linotype" w:cs="Arial"/>
        </w:rPr>
      </w:pPr>
    </w:p>
    <w:tbl>
      <w:tblPr>
        <w:tblW w:w="8321" w:type="dxa"/>
        <w:jc w:val="center"/>
        <w:tblCellSpacing w:w="0" w:type="dxa"/>
        <w:tblCellMar>
          <w:left w:w="0" w:type="dxa"/>
          <w:right w:w="0" w:type="dxa"/>
        </w:tblCellMar>
        <w:tblLook w:val="04A0" w:firstRow="1" w:lastRow="0" w:firstColumn="1" w:lastColumn="0" w:noHBand="0" w:noVBand="1"/>
      </w:tblPr>
      <w:tblGrid>
        <w:gridCol w:w="8321"/>
      </w:tblGrid>
      <w:tr w:rsidR="0068208E" w:rsidRPr="0079394C" w:rsidTr="00316728">
        <w:trPr>
          <w:trHeight w:val="293"/>
          <w:tblCellSpacing w:w="0" w:type="dxa"/>
          <w:jc w:val="center"/>
        </w:trPr>
        <w:tc>
          <w:tcPr>
            <w:tcW w:w="0" w:type="auto"/>
            <w:vAlign w:val="center"/>
            <w:hideMark/>
          </w:tcPr>
          <w:p w:rsidR="0068208E" w:rsidRPr="0079394C" w:rsidRDefault="0068208E" w:rsidP="0068208E">
            <w:pPr>
              <w:jc w:val="right"/>
              <w:rPr>
                <w:rFonts w:ascii="Palatino Linotype" w:hAnsi="Palatino Linotype"/>
                <w:i/>
                <w:sz w:val="22"/>
                <w:szCs w:val="22"/>
                <w:lang w:val="es-MX" w:eastAsia="es-MX"/>
              </w:rPr>
            </w:pPr>
            <w:r w:rsidRPr="0079394C">
              <w:rPr>
                <w:rFonts w:ascii="Palatino Linotype" w:hAnsi="Palatino Linotype"/>
                <w:i/>
                <w:sz w:val="22"/>
                <w:szCs w:val="22"/>
                <w:lang w:val="es-MX" w:eastAsia="es-MX"/>
              </w:rPr>
              <w:t>“Metepec, México a 29 de Marzo de 2023</w:t>
            </w:r>
          </w:p>
        </w:tc>
      </w:tr>
      <w:tr w:rsidR="0068208E" w:rsidRPr="0079394C" w:rsidTr="00316728">
        <w:trPr>
          <w:trHeight w:val="293"/>
          <w:tblCellSpacing w:w="0" w:type="dxa"/>
          <w:jc w:val="center"/>
        </w:trPr>
        <w:tc>
          <w:tcPr>
            <w:tcW w:w="0" w:type="auto"/>
            <w:vAlign w:val="center"/>
            <w:hideMark/>
          </w:tcPr>
          <w:p w:rsidR="0068208E" w:rsidRPr="0079394C" w:rsidRDefault="0068208E" w:rsidP="0068208E">
            <w:pPr>
              <w:jc w:val="right"/>
              <w:rPr>
                <w:rFonts w:ascii="Palatino Linotype" w:hAnsi="Palatino Linotype"/>
                <w:i/>
                <w:sz w:val="22"/>
                <w:szCs w:val="22"/>
                <w:lang w:val="es-MX" w:eastAsia="es-MX"/>
              </w:rPr>
            </w:pPr>
            <w:r w:rsidRPr="0079394C">
              <w:rPr>
                <w:rFonts w:ascii="Palatino Linotype" w:hAnsi="Palatino Linotype"/>
                <w:i/>
                <w:sz w:val="22"/>
                <w:szCs w:val="22"/>
                <w:lang w:val="es-MX" w:eastAsia="es-MX"/>
              </w:rPr>
              <w:t>Nombre del solicitante: C. Solicitante</w:t>
            </w:r>
          </w:p>
        </w:tc>
      </w:tr>
      <w:tr w:rsidR="0068208E" w:rsidRPr="0079394C" w:rsidTr="00316728">
        <w:trPr>
          <w:trHeight w:val="293"/>
          <w:tblCellSpacing w:w="0" w:type="dxa"/>
          <w:jc w:val="center"/>
        </w:trPr>
        <w:tc>
          <w:tcPr>
            <w:tcW w:w="0" w:type="auto"/>
            <w:vAlign w:val="center"/>
            <w:hideMark/>
          </w:tcPr>
          <w:p w:rsidR="0068208E" w:rsidRPr="0079394C" w:rsidRDefault="0068208E" w:rsidP="0068208E">
            <w:pPr>
              <w:jc w:val="right"/>
              <w:rPr>
                <w:rFonts w:ascii="Palatino Linotype" w:hAnsi="Palatino Linotype"/>
                <w:i/>
                <w:sz w:val="22"/>
                <w:szCs w:val="22"/>
                <w:lang w:val="es-MX" w:eastAsia="es-MX"/>
              </w:rPr>
            </w:pPr>
            <w:r w:rsidRPr="0079394C">
              <w:rPr>
                <w:rFonts w:ascii="Palatino Linotype" w:hAnsi="Palatino Linotype"/>
                <w:i/>
                <w:sz w:val="22"/>
                <w:szCs w:val="22"/>
                <w:lang w:val="es-MX" w:eastAsia="es-MX"/>
              </w:rPr>
              <w:t>Folio de la solicitud: 00071/UAEM/IP/2023</w:t>
            </w:r>
          </w:p>
        </w:tc>
      </w:tr>
      <w:tr w:rsidR="0068208E" w:rsidRPr="0079394C" w:rsidTr="00316728">
        <w:trPr>
          <w:trHeight w:val="440"/>
          <w:tblCellSpacing w:w="0" w:type="dxa"/>
          <w:jc w:val="center"/>
        </w:trPr>
        <w:tc>
          <w:tcPr>
            <w:tcW w:w="0" w:type="auto"/>
            <w:vAlign w:val="center"/>
            <w:hideMark/>
          </w:tcPr>
          <w:p w:rsidR="0068208E" w:rsidRPr="0079394C" w:rsidRDefault="0068208E" w:rsidP="0068208E">
            <w:pPr>
              <w:jc w:val="right"/>
              <w:rPr>
                <w:rFonts w:ascii="Palatino Linotype" w:hAnsi="Palatino Linotype"/>
                <w:i/>
                <w:sz w:val="22"/>
                <w:szCs w:val="22"/>
                <w:lang w:val="es-MX" w:eastAsia="es-MX"/>
              </w:rPr>
            </w:pPr>
          </w:p>
        </w:tc>
      </w:tr>
      <w:tr w:rsidR="0068208E" w:rsidRPr="0079394C" w:rsidTr="00316728">
        <w:trPr>
          <w:trHeight w:val="146"/>
          <w:tblCellSpacing w:w="0" w:type="dxa"/>
          <w:jc w:val="center"/>
        </w:trPr>
        <w:tc>
          <w:tcPr>
            <w:tcW w:w="0" w:type="auto"/>
            <w:vAlign w:val="center"/>
            <w:hideMark/>
          </w:tcPr>
          <w:p w:rsidR="0068208E" w:rsidRPr="0079394C" w:rsidRDefault="0068208E" w:rsidP="00316728">
            <w:pPr>
              <w:jc w:val="both"/>
              <w:rPr>
                <w:rFonts w:ascii="Palatino Linotype" w:hAnsi="Palatino Linotype"/>
                <w:i/>
                <w:sz w:val="22"/>
                <w:szCs w:val="22"/>
                <w:lang w:val="es-MX" w:eastAsia="es-MX"/>
              </w:rPr>
            </w:pPr>
            <w:r w:rsidRPr="0079394C">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68208E" w:rsidRPr="0079394C" w:rsidTr="00316728">
        <w:trPr>
          <w:trHeight w:val="367"/>
          <w:tblCellSpacing w:w="0" w:type="dxa"/>
          <w:jc w:val="center"/>
        </w:trPr>
        <w:tc>
          <w:tcPr>
            <w:tcW w:w="0" w:type="auto"/>
            <w:vAlign w:val="center"/>
            <w:hideMark/>
          </w:tcPr>
          <w:p w:rsidR="0068208E" w:rsidRPr="0079394C" w:rsidRDefault="0068208E" w:rsidP="0068208E">
            <w:pPr>
              <w:rPr>
                <w:rFonts w:ascii="Palatino Linotype" w:hAnsi="Palatino Linotype"/>
                <w:i/>
                <w:sz w:val="22"/>
                <w:szCs w:val="22"/>
                <w:lang w:val="es-MX" w:eastAsia="es-MX"/>
              </w:rPr>
            </w:pPr>
          </w:p>
        </w:tc>
      </w:tr>
      <w:tr w:rsidR="0068208E" w:rsidRPr="0079394C" w:rsidTr="00316728">
        <w:trPr>
          <w:trHeight w:val="146"/>
          <w:tblCellSpacing w:w="0" w:type="dxa"/>
          <w:jc w:val="center"/>
        </w:trPr>
        <w:tc>
          <w:tcPr>
            <w:tcW w:w="0" w:type="auto"/>
            <w:vAlign w:val="center"/>
            <w:hideMark/>
          </w:tcPr>
          <w:p w:rsidR="0068208E" w:rsidRPr="0079394C" w:rsidRDefault="0068208E" w:rsidP="00316728">
            <w:pPr>
              <w:jc w:val="both"/>
              <w:rPr>
                <w:rFonts w:ascii="Palatino Linotype" w:hAnsi="Palatino Linotype"/>
                <w:i/>
                <w:sz w:val="22"/>
                <w:szCs w:val="22"/>
                <w:lang w:val="es-MX" w:eastAsia="es-MX"/>
              </w:rPr>
            </w:pPr>
            <w:r w:rsidRPr="0079394C">
              <w:rPr>
                <w:rFonts w:ascii="Palatino Linotype" w:hAnsi="Palatino Linotype"/>
                <w:i/>
                <w:sz w:val="22"/>
                <w:szCs w:val="22"/>
                <w:lang w:val="es-MX" w:eastAsia="es-MX"/>
              </w:rPr>
              <w:lastRenderedPageBreak/>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0071/UAEM/IP/2023, toda vez que se está realizando una búsqueda de la información solicitada con el fin de garantizar el derecho de acceso a la información del particular</w:t>
            </w:r>
          </w:p>
        </w:tc>
      </w:tr>
      <w:tr w:rsidR="0068208E" w:rsidRPr="0079394C" w:rsidTr="00316728">
        <w:trPr>
          <w:trHeight w:val="367"/>
          <w:tblCellSpacing w:w="0" w:type="dxa"/>
          <w:jc w:val="center"/>
        </w:trPr>
        <w:tc>
          <w:tcPr>
            <w:tcW w:w="0" w:type="auto"/>
            <w:vAlign w:val="center"/>
            <w:hideMark/>
          </w:tcPr>
          <w:p w:rsidR="0068208E" w:rsidRPr="0079394C" w:rsidRDefault="0068208E" w:rsidP="0068208E">
            <w:pPr>
              <w:rPr>
                <w:rFonts w:ascii="Palatino Linotype" w:hAnsi="Palatino Linotype"/>
                <w:i/>
                <w:sz w:val="22"/>
                <w:szCs w:val="22"/>
                <w:lang w:val="es-MX" w:eastAsia="es-MX"/>
              </w:rPr>
            </w:pPr>
          </w:p>
        </w:tc>
      </w:tr>
      <w:tr w:rsidR="0068208E" w:rsidRPr="0079394C" w:rsidTr="00316728">
        <w:trPr>
          <w:trHeight w:val="146"/>
          <w:tblCellSpacing w:w="0" w:type="dxa"/>
          <w:jc w:val="center"/>
        </w:trPr>
        <w:tc>
          <w:tcPr>
            <w:tcW w:w="0" w:type="auto"/>
            <w:vAlign w:val="center"/>
            <w:hideMark/>
          </w:tcPr>
          <w:p w:rsidR="0068208E" w:rsidRPr="0079394C" w:rsidRDefault="0068208E" w:rsidP="0068208E">
            <w:pPr>
              <w:jc w:val="center"/>
              <w:rPr>
                <w:rFonts w:ascii="Palatino Linotype" w:hAnsi="Palatino Linotype"/>
                <w:i/>
                <w:sz w:val="22"/>
                <w:szCs w:val="22"/>
                <w:lang w:val="es-MX" w:eastAsia="es-MX"/>
              </w:rPr>
            </w:pPr>
          </w:p>
        </w:tc>
      </w:tr>
      <w:tr w:rsidR="0068208E" w:rsidRPr="0079394C" w:rsidTr="00316728">
        <w:trPr>
          <w:trHeight w:val="146"/>
          <w:tblCellSpacing w:w="0" w:type="dxa"/>
          <w:jc w:val="center"/>
        </w:trPr>
        <w:tc>
          <w:tcPr>
            <w:tcW w:w="0" w:type="auto"/>
            <w:vAlign w:val="center"/>
            <w:hideMark/>
          </w:tcPr>
          <w:p w:rsidR="0068208E" w:rsidRPr="0079394C" w:rsidRDefault="0068208E" w:rsidP="0068208E">
            <w:pPr>
              <w:rPr>
                <w:rFonts w:ascii="Palatino Linotype" w:hAnsi="Palatino Linotype"/>
                <w:i/>
                <w:sz w:val="22"/>
                <w:szCs w:val="22"/>
                <w:lang w:val="es-MX" w:eastAsia="es-MX"/>
              </w:rPr>
            </w:pPr>
            <w:r w:rsidRPr="0079394C">
              <w:rPr>
                <w:rFonts w:ascii="Palatino Linotype" w:hAnsi="Palatino Linotype"/>
                <w:i/>
                <w:sz w:val="22"/>
                <w:szCs w:val="22"/>
                <w:lang w:val="es-MX" w:eastAsia="es-MX"/>
              </w:rPr>
              <w:t>M. EN D. HUGO EDGAR CHAPARRO CAMPOS</w:t>
            </w:r>
          </w:p>
        </w:tc>
      </w:tr>
      <w:tr w:rsidR="0068208E" w:rsidRPr="0079394C" w:rsidTr="00316728">
        <w:trPr>
          <w:trHeight w:val="146"/>
          <w:tblCellSpacing w:w="0" w:type="dxa"/>
          <w:jc w:val="center"/>
        </w:trPr>
        <w:tc>
          <w:tcPr>
            <w:tcW w:w="0" w:type="auto"/>
            <w:vAlign w:val="center"/>
            <w:hideMark/>
          </w:tcPr>
          <w:p w:rsidR="0068208E" w:rsidRPr="0079394C" w:rsidRDefault="0068208E" w:rsidP="0068208E">
            <w:pPr>
              <w:rPr>
                <w:rFonts w:ascii="Palatino Linotype" w:hAnsi="Palatino Linotype"/>
                <w:i/>
                <w:sz w:val="22"/>
                <w:szCs w:val="22"/>
                <w:lang w:val="es-MX" w:eastAsia="es-MX"/>
              </w:rPr>
            </w:pPr>
            <w:r w:rsidRPr="0079394C">
              <w:rPr>
                <w:rFonts w:ascii="Palatino Linotype" w:hAnsi="Palatino Linotype"/>
                <w:b/>
                <w:bCs/>
                <w:i/>
                <w:sz w:val="22"/>
                <w:szCs w:val="22"/>
                <w:lang w:val="es-MX" w:eastAsia="es-MX"/>
              </w:rPr>
              <w:t>Responsable de la Unidad de Transparencia”</w:t>
            </w:r>
          </w:p>
        </w:tc>
      </w:tr>
    </w:tbl>
    <w:p w:rsidR="0068208E" w:rsidRPr="0079394C" w:rsidRDefault="0068208E" w:rsidP="0068208E">
      <w:pPr>
        <w:spacing w:line="360" w:lineRule="auto"/>
        <w:jc w:val="both"/>
        <w:rPr>
          <w:rFonts w:ascii="Palatino Linotype" w:hAnsi="Palatino Linotype" w:cs="Arial"/>
        </w:rPr>
      </w:pPr>
    </w:p>
    <w:p w:rsidR="0068208E" w:rsidRPr="0079394C" w:rsidRDefault="0068208E" w:rsidP="0068208E">
      <w:pPr>
        <w:spacing w:line="360" w:lineRule="auto"/>
        <w:jc w:val="both"/>
        <w:rPr>
          <w:rFonts w:ascii="Palatino Linotype" w:hAnsi="Palatino Linotype" w:cs="Arial"/>
        </w:rPr>
      </w:pPr>
    </w:p>
    <w:p w:rsidR="003200D1" w:rsidRPr="0079394C" w:rsidRDefault="00F75815" w:rsidP="0068208E">
      <w:pPr>
        <w:spacing w:line="360" w:lineRule="auto"/>
        <w:jc w:val="both"/>
        <w:rPr>
          <w:rFonts w:ascii="Palatino Linotype" w:hAnsi="Palatino Linotype" w:cs="Arial"/>
          <w:b/>
          <w:sz w:val="28"/>
        </w:rPr>
      </w:pPr>
      <w:r w:rsidRPr="0079394C">
        <w:rPr>
          <w:rFonts w:ascii="Palatino Linotype" w:hAnsi="Palatino Linotype" w:cs="Arial"/>
          <w:b/>
          <w:sz w:val="28"/>
        </w:rPr>
        <w:t xml:space="preserve">TERCERO. </w:t>
      </w:r>
      <w:r w:rsidR="003200D1" w:rsidRPr="0079394C">
        <w:rPr>
          <w:rFonts w:ascii="Palatino Linotype" w:hAnsi="Palatino Linotype" w:cs="Arial"/>
          <w:b/>
          <w:sz w:val="28"/>
        </w:rPr>
        <w:t xml:space="preserve">De la </w:t>
      </w:r>
      <w:r w:rsidR="003200D1" w:rsidRPr="0079394C">
        <w:rPr>
          <w:rFonts w:ascii="Palatino Linotype" w:hAnsi="Palatino Linotype" w:cs="Arial"/>
          <w:b/>
          <w:sz w:val="28"/>
          <w:szCs w:val="20"/>
        </w:rPr>
        <w:t>respuesta del Sujeto Obligado.</w:t>
      </w:r>
    </w:p>
    <w:p w:rsidR="0068208E" w:rsidRPr="0079394C" w:rsidRDefault="00316728" w:rsidP="0068208E">
      <w:pPr>
        <w:spacing w:line="360" w:lineRule="auto"/>
        <w:jc w:val="both"/>
        <w:rPr>
          <w:rFonts w:ascii="Palatino Linotype" w:hAnsi="Palatino Linotype" w:cs="Arial"/>
          <w:b/>
          <w:sz w:val="28"/>
        </w:rPr>
      </w:pPr>
      <w:r w:rsidRPr="0079394C">
        <w:rPr>
          <w:rFonts w:ascii="Palatino Linotype" w:hAnsi="Palatino Linotype" w:cs="Arial"/>
        </w:rPr>
        <w:t xml:space="preserve">En el expediente electrónico </w:t>
      </w:r>
      <w:r w:rsidRPr="0079394C">
        <w:rPr>
          <w:rFonts w:ascii="Palatino Linotype" w:hAnsi="Palatino Linotype" w:cs="Arial"/>
          <w:b/>
        </w:rPr>
        <w:t xml:space="preserve">SAIMEX, </w:t>
      </w:r>
      <w:r w:rsidRPr="0079394C">
        <w:rPr>
          <w:rFonts w:ascii="Palatino Linotype" w:hAnsi="Palatino Linotype" w:cs="Arial"/>
        </w:rPr>
        <w:t xml:space="preserve">se aprecia que </w:t>
      </w:r>
      <w:r w:rsidR="0068208E" w:rsidRPr="0079394C">
        <w:rPr>
          <w:rFonts w:ascii="Palatino Linotype" w:hAnsi="Palatino Linotype" w:cs="Arial"/>
        </w:rPr>
        <w:t xml:space="preserve">el </w:t>
      </w:r>
      <w:r w:rsidRPr="0079394C">
        <w:rPr>
          <w:rFonts w:ascii="Palatino Linotype" w:hAnsi="Palatino Linotype" w:cs="Arial"/>
        </w:rPr>
        <w:t>14</w:t>
      </w:r>
      <w:r w:rsidR="0068208E" w:rsidRPr="0079394C">
        <w:rPr>
          <w:rFonts w:ascii="Palatino Linotype" w:hAnsi="Palatino Linotype" w:cs="Arial"/>
        </w:rPr>
        <w:t xml:space="preserve"> (</w:t>
      </w:r>
      <w:r w:rsidRPr="0079394C">
        <w:rPr>
          <w:rFonts w:ascii="Palatino Linotype" w:hAnsi="Palatino Linotype" w:cs="Arial"/>
        </w:rPr>
        <w:t>catorce) de abril de dos mil veintitrés</w:t>
      </w:r>
      <w:r w:rsidR="0068208E" w:rsidRPr="0079394C">
        <w:rPr>
          <w:rFonts w:ascii="Palatino Linotype" w:hAnsi="Palatino Linotype" w:cs="Arial"/>
        </w:rPr>
        <w:t xml:space="preserve">, </w:t>
      </w:r>
      <w:r w:rsidR="0068208E" w:rsidRPr="0079394C">
        <w:rPr>
          <w:rFonts w:ascii="Palatino Linotype" w:hAnsi="Palatino Linotype" w:cs="Arial"/>
          <w:b/>
        </w:rPr>
        <w:t xml:space="preserve">El Sujeto Obligado </w:t>
      </w:r>
      <w:r w:rsidR="0068208E" w:rsidRPr="0079394C">
        <w:rPr>
          <w:rFonts w:ascii="Palatino Linotype" w:hAnsi="Palatino Linotype" w:cs="Arial"/>
        </w:rPr>
        <w:t>dio respuesta a la solicitud de información, en los siguientes términos:</w:t>
      </w:r>
    </w:p>
    <w:tbl>
      <w:tblPr>
        <w:tblW w:w="8727" w:type="dxa"/>
        <w:jc w:val="center"/>
        <w:tblCellSpacing w:w="0" w:type="dxa"/>
        <w:tblCellMar>
          <w:left w:w="0" w:type="dxa"/>
          <w:right w:w="0" w:type="dxa"/>
        </w:tblCellMar>
        <w:tblLook w:val="04A0" w:firstRow="1" w:lastRow="0" w:firstColumn="1" w:lastColumn="0" w:noHBand="0" w:noVBand="1"/>
      </w:tblPr>
      <w:tblGrid>
        <w:gridCol w:w="8727"/>
      </w:tblGrid>
      <w:tr w:rsidR="00316728" w:rsidRPr="0079394C" w:rsidTr="00316728">
        <w:trPr>
          <w:trHeight w:val="249"/>
          <w:tblCellSpacing w:w="0" w:type="dxa"/>
          <w:jc w:val="center"/>
        </w:trPr>
        <w:tc>
          <w:tcPr>
            <w:tcW w:w="0" w:type="auto"/>
            <w:vAlign w:val="center"/>
            <w:hideMark/>
          </w:tcPr>
          <w:p w:rsidR="00316728" w:rsidRPr="0079394C" w:rsidRDefault="00316728" w:rsidP="00316728">
            <w:pPr>
              <w:jc w:val="right"/>
              <w:rPr>
                <w:rFonts w:ascii="Palatino Linotype" w:hAnsi="Palatino Linotype"/>
                <w:i/>
                <w:lang w:val="es-MX" w:eastAsia="es-MX"/>
              </w:rPr>
            </w:pPr>
            <w:r w:rsidRPr="0079394C">
              <w:rPr>
                <w:rFonts w:ascii="Palatino Linotype" w:hAnsi="Palatino Linotype"/>
                <w:i/>
                <w:lang w:val="es-MX" w:eastAsia="es-MX"/>
              </w:rPr>
              <w:t>“Metepec, México a 14 de Abril de 2023</w:t>
            </w:r>
          </w:p>
        </w:tc>
      </w:tr>
      <w:tr w:rsidR="00316728" w:rsidRPr="0079394C" w:rsidTr="00316728">
        <w:trPr>
          <w:trHeight w:val="249"/>
          <w:tblCellSpacing w:w="0" w:type="dxa"/>
          <w:jc w:val="center"/>
        </w:trPr>
        <w:tc>
          <w:tcPr>
            <w:tcW w:w="0" w:type="auto"/>
            <w:vAlign w:val="center"/>
            <w:hideMark/>
          </w:tcPr>
          <w:p w:rsidR="00316728" w:rsidRPr="0079394C" w:rsidRDefault="00316728" w:rsidP="00316728">
            <w:pPr>
              <w:jc w:val="right"/>
              <w:rPr>
                <w:rFonts w:ascii="Palatino Linotype" w:hAnsi="Palatino Linotype"/>
                <w:i/>
                <w:lang w:val="es-MX" w:eastAsia="es-MX"/>
              </w:rPr>
            </w:pPr>
            <w:r w:rsidRPr="0079394C">
              <w:rPr>
                <w:rFonts w:ascii="Palatino Linotype" w:hAnsi="Palatino Linotype"/>
                <w:i/>
                <w:lang w:val="es-MX" w:eastAsia="es-MX"/>
              </w:rPr>
              <w:t>Nombre del solicitante: C. Solicitante</w:t>
            </w:r>
          </w:p>
        </w:tc>
      </w:tr>
      <w:tr w:rsidR="00316728" w:rsidRPr="0079394C" w:rsidTr="00316728">
        <w:trPr>
          <w:trHeight w:val="249"/>
          <w:tblCellSpacing w:w="0" w:type="dxa"/>
          <w:jc w:val="center"/>
        </w:trPr>
        <w:tc>
          <w:tcPr>
            <w:tcW w:w="0" w:type="auto"/>
            <w:vAlign w:val="center"/>
            <w:hideMark/>
          </w:tcPr>
          <w:p w:rsidR="00316728" w:rsidRPr="0079394C" w:rsidRDefault="00316728" w:rsidP="00316728">
            <w:pPr>
              <w:jc w:val="right"/>
              <w:rPr>
                <w:rFonts w:ascii="Palatino Linotype" w:hAnsi="Palatino Linotype"/>
                <w:i/>
                <w:lang w:val="es-MX" w:eastAsia="es-MX"/>
              </w:rPr>
            </w:pPr>
            <w:r w:rsidRPr="0079394C">
              <w:rPr>
                <w:rFonts w:ascii="Palatino Linotype" w:hAnsi="Palatino Linotype"/>
                <w:i/>
                <w:lang w:val="es-MX" w:eastAsia="es-MX"/>
              </w:rPr>
              <w:t>Folio de la solicitud: 00071/UAEM/IP/2023</w:t>
            </w:r>
          </w:p>
        </w:tc>
      </w:tr>
      <w:tr w:rsidR="00316728" w:rsidRPr="0079394C" w:rsidTr="00316728">
        <w:trPr>
          <w:trHeight w:val="374"/>
          <w:tblCellSpacing w:w="0" w:type="dxa"/>
          <w:jc w:val="center"/>
        </w:trPr>
        <w:tc>
          <w:tcPr>
            <w:tcW w:w="0" w:type="auto"/>
            <w:vAlign w:val="center"/>
            <w:hideMark/>
          </w:tcPr>
          <w:p w:rsidR="00316728" w:rsidRPr="0079394C" w:rsidRDefault="00316728" w:rsidP="00316728">
            <w:pPr>
              <w:jc w:val="right"/>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jc w:val="both"/>
              <w:rPr>
                <w:rFonts w:ascii="Palatino Linotype" w:hAnsi="Palatino Linotype"/>
                <w:i/>
                <w:lang w:val="es-MX" w:eastAsia="es-MX"/>
              </w:rPr>
            </w:pPr>
            <w:r w:rsidRPr="0079394C">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16728" w:rsidRPr="0079394C" w:rsidTr="00316728">
        <w:trPr>
          <w:trHeight w:val="311"/>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jc w:val="both"/>
              <w:rPr>
                <w:rFonts w:ascii="Palatino Linotype" w:hAnsi="Palatino Linotype"/>
                <w:i/>
                <w:lang w:val="es-MX" w:eastAsia="es-MX"/>
              </w:rPr>
            </w:pPr>
            <w:r w:rsidRPr="0079394C">
              <w:rPr>
                <w:rFonts w:ascii="Palatino Linotype" w:hAnsi="Palatino Linotype"/>
                <w:i/>
                <w:lang w:val="es-MX" w:eastAsia="es-MX"/>
              </w:rPr>
              <w:t xml:space="preserve">En respuesta a la solicitud de acceso a la información pública con número de folio 0071/UAEM/IP/2023,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Facultad de Economía, en archivo electrónico adjunto encontrará la información solicitada en versión </w:t>
            </w:r>
            <w:r w:rsidRPr="0079394C">
              <w:rPr>
                <w:rFonts w:ascii="Palatino Linotype" w:hAnsi="Palatino Linotype"/>
                <w:i/>
                <w:lang w:val="es-MX" w:eastAsia="es-MX"/>
              </w:rPr>
              <w:lastRenderedPageBreak/>
              <w:t>pública, así como el Acuerdo de Clasificación de Información Confidencial UAEM/CI/CIC/20/23.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tc>
      </w:tr>
      <w:tr w:rsidR="00316728" w:rsidRPr="0079394C" w:rsidTr="00316728">
        <w:trPr>
          <w:trHeight w:val="311"/>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jc w:val="center"/>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r w:rsidRPr="0079394C">
              <w:rPr>
                <w:rFonts w:ascii="Palatino Linotype" w:hAnsi="Palatino Linotype"/>
                <w:i/>
                <w:lang w:val="es-MX" w:eastAsia="es-MX"/>
              </w:rPr>
              <w:t>ATENTAMENTE</w:t>
            </w:r>
          </w:p>
        </w:tc>
      </w:tr>
      <w:tr w:rsidR="00316728" w:rsidRPr="0079394C" w:rsidTr="00316728">
        <w:trPr>
          <w:trHeight w:val="187"/>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p>
        </w:tc>
      </w:tr>
      <w:tr w:rsidR="00316728" w:rsidRPr="0079394C" w:rsidTr="00316728">
        <w:trPr>
          <w:trHeight w:val="124"/>
          <w:tblCellSpacing w:w="0" w:type="dxa"/>
          <w:jc w:val="center"/>
        </w:trPr>
        <w:tc>
          <w:tcPr>
            <w:tcW w:w="0" w:type="auto"/>
            <w:vAlign w:val="center"/>
            <w:hideMark/>
          </w:tcPr>
          <w:p w:rsidR="00316728" w:rsidRPr="0079394C" w:rsidRDefault="00316728" w:rsidP="00316728">
            <w:pPr>
              <w:rPr>
                <w:rFonts w:ascii="Palatino Linotype" w:hAnsi="Palatino Linotype"/>
                <w:i/>
                <w:lang w:val="es-MX" w:eastAsia="es-MX"/>
              </w:rPr>
            </w:pPr>
            <w:r w:rsidRPr="0079394C">
              <w:rPr>
                <w:rFonts w:ascii="Palatino Linotype" w:hAnsi="Palatino Linotype"/>
                <w:i/>
                <w:lang w:val="es-MX" w:eastAsia="es-MX"/>
              </w:rPr>
              <w:t>M. EN D. HUGO EDGAR CHAPARRO CAMPOS”</w:t>
            </w:r>
          </w:p>
        </w:tc>
      </w:tr>
    </w:tbl>
    <w:p w:rsidR="00316728" w:rsidRPr="0079394C" w:rsidRDefault="00316728" w:rsidP="00316728">
      <w:pPr>
        <w:spacing w:before="240"/>
        <w:ind w:right="899"/>
        <w:rPr>
          <w:rFonts w:ascii="Palatino Linotype" w:hAnsi="Palatino Linotype" w:cs="Arial"/>
          <w:i/>
        </w:rPr>
      </w:pPr>
    </w:p>
    <w:p w:rsidR="0068208E" w:rsidRPr="0079394C" w:rsidRDefault="0068208E" w:rsidP="0068208E">
      <w:pPr>
        <w:spacing w:before="240" w:line="360" w:lineRule="auto"/>
        <w:jc w:val="both"/>
        <w:rPr>
          <w:rFonts w:ascii="Palatino Linotype" w:hAnsi="Palatino Linotype"/>
        </w:rPr>
      </w:pPr>
      <w:r w:rsidRPr="0079394C">
        <w:rPr>
          <w:rFonts w:ascii="Palatino Linotype" w:hAnsi="Palatino Linotype"/>
        </w:rPr>
        <w:t xml:space="preserve">De forma complementaria, </w:t>
      </w:r>
      <w:r w:rsidRPr="0079394C">
        <w:rPr>
          <w:rFonts w:ascii="Palatino Linotype" w:hAnsi="Palatino Linotype"/>
          <w:b/>
        </w:rPr>
        <w:t xml:space="preserve">El Sujeto Obligado </w:t>
      </w:r>
      <w:r w:rsidRPr="0079394C">
        <w:rPr>
          <w:rFonts w:ascii="Palatino Linotype" w:hAnsi="Palatino Linotype"/>
        </w:rPr>
        <w:t xml:space="preserve">adjuntó documentos electrónicos: </w:t>
      </w:r>
    </w:p>
    <w:p w:rsidR="00316728" w:rsidRPr="0079394C" w:rsidRDefault="00991C2B" w:rsidP="0068208E">
      <w:pPr>
        <w:pStyle w:val="Sinespaciado"/>
        <w:numPr>
          <w:ilvl w:val="0"/>
          <w:numId w:val="2"/>
        </w:numPr>
        <w:spacing w:before="240" w:line="360" w:lineRule="auto"/>
        <w:ind w:right="49"/>
        <w:jc w:val="both"/>
        <w:rPr>
          <w:rFonts w:ascii="Palatino Linotype" w:hAnsi="Palatino Linotype"/>
          <w:b/>
        </w:rPr>
      </w:pPr>
      <w:hyperlink r:id="rId7" w:tgtFrame="_blank" w:history="1">
        <w:r w:rsidR="00316728" w:rsidRPr="0079394C">
          <w:rPr>
            <w:rStyle w:val="Hipervnculo"/>
            <w:rFonts w:ascii="Palatino Linotype" w:hAnsi="Palatino Linotype" w:cs="Arial"/>
            <w:b/>
            <w:bCs/>
            <w:color w:val="auto"/>
          </w:rPr>
          <w:t>UAEM.CI.CIC.020.2023.pdf</w:t>
        </w:r>
      </w:hyperlink>
      <w:r w:rsidR="00316728" w:rsidRPr="0079394C">
        <w:rPr>
          <w:rFonts w:ascii="Palatino Linotype" w:hAnsi="Palatino Linotype"/>
        </w:rPr>
        <w:t xml:space="preserve">: </w:t>
      </w:r>
      <w:r w:rsidR="003200D1" w:rsidRPr="0079394C">
        <w:rPr>
          <w:rFonts w:ascii="Palatino Linotype" w:hAnsi="Palatino Linotype"/>
        </w:rPr>
        <w:t>Constante de</w:t>
      </w:r>
      <w:r w:rsidR="00316728" w:rsidRPr="0079394C">
        <w:rPr>
          <w:rFonts w:ascii="Palatino Linotype" w:hAnsi="Palatino Linotype"/>
        </w:rPr>
        <w:t xml:space="preserve"> cuatro fojas, en formato PDF, que contiene:</w:t>
      </w:r>
    </w:p>
    <w:p w:rsidR="00316728" w:rsidRPr="0079394C" w:rsidRDefault="00316728" w:rsidP="00316728">
      <w:pPr>
        <w:pStyle w:val="Sinespaciado"/>
        <w:numPr>
          <w:ilvl w:val="0"/>
          <w:numId w:val="4"/>
        </w:numPr>
        <w:spacing w:before="240" w:line="360" w:lineRule="auto"/>
        <w:ind w:right="49"/>
        <w:jc w:val="both"/>
        <w:rPr>
          <w:rFonts w:ascii="Palatino Linotype" w:hAnsi="Palatino Linotype"/>
          <w:b/>
        </w:rPr>
      </w:pPr>
      <w:r w:rsidRPr="0079394C">
        <w:rPr>
          <w:rFonts w:ascii="Palatino Linotype" w:hAnsi="Palatino Linotype"/>
        </w:rPr>
        <w:t xml:space="preserve">Acuerdo UAEM/CI/CIC/020/2023, </w:t>
      </w:r>
      <w:r w:rsidR="003200D1" w:rsidRPr="0079394C">
        <w:rPr>
          <w:rFonts w:ascii="Palatino Linotype" w:hAnsi="Palatino Linotype"/>
        </w:rPr>
        <w:tab/>
        <w:t xml:space="preserve">que emite el Comité de Transparencia de la Universidad Autónoma del Estado de México para </w:t>
      </w:r>
      <w:r w:rsidR="009A438A" w:rsidRPr="0079394C">
        <w:rPr>
          <w:rFonts w:ascii="Palatino Linotype" w:hAnsi="Palatino Linotype"/>
        </w:rPr>
        <w:t>clasificación</w:t>
      </w:r>
      <w:r w:rsidR="003200D1" w:rsidRPr="0079394C">
        <w:rPr>
          <w:rFonts w:ascii="Palatino Linotype" w:hAnsi="Palatino Linotype"/>
        </w:rPr>
        <w:t xml:space="preserve"> de información confidencial</w:t>
      </w:r>
      <w:r w:rsidR="009A438A" w:rsidRPr="0079394C">
        <w:rPr>
          <w:rFonts w:ascii="Palatino Linotype" w:hAnsi="Palatino Linotype"/>
        </w:rPr>
        <w:t xml:space="preserve">, </w:t>
      </w:r>
      <w:r w:rsidRPr="0079394C">
        <w:rPr>
          <w:rFonts w:ascii="Palatino Linotype" w:hAnsi="Palatino Linotype"/>
        </w:rPr>
        <w:t xml:space="preserve">de fecha trece de abril de dos mil veintitrés, en el que </w:t>
      </w:r>
      <w:r w:rsidR="009A438A" w:rsidRPr="0079394C">
        <w:rPr>
          <w:rFonts w:ascii="Palatino Linotype" w:hAnsi="Palatino Linotype"/>
        </w:rPr>
        <w:t xml:space="preserve">sustancialmente </w:t>
      </w:r>
      <w:r w:rsidRPr="0079394C">
        <w:rPr>
          <w:rFonts w:ascii="Palatino Linotype" w:hAnsi="Palatino Linotype"/>
        </w:rPr>
        <w:t>manifiesta lo siguiente:</w:t>
      </w:r>
    </w:p>
    <w:p w:rsidR="009A438A" w:rsidRPr="0079394C" w:rsidRDefault="008B3DAC" w:rsidP="00316728">
      <w:pPr>
        <w:pStyle w:val="Sinespaciado"/>
        <w:spacing w:before="240" w:line="360" w:lineRule="auto"/>
        <w:ind w:left="1800" w:right="49"/>
        <w:jc w:val="both"/>
        <w:rPr>
          <w:rFonts w:ascii="Palatino Linotype" w:hAnsi="Palatino Linotype"/>
          <w:i/>
          <w:sz w:val="22"/>
          <w:szCs w:val="22"/>
        </w:rPr>
      </w:pPr>
      <w:r w:rsidRPr="0079394C">
        <w:rPr>
          <w:rFonts w:ascii="Palatino Linotype" w:hAnsi="Palatino Linotype"/>
          <w:i/>
          <w:sz w:val="22"/>
          <w:szCs w:val="22"/>
        </w:rPr>
        <w:t>“</w:t>
      </w:r>
      <w:r w:rsidR="009A438A" w:rsidRPr="0079394C">
        <w:rPr>
          <w:rFonts w:ascii="Palatino Linotype" w:hAnsi="Palatino Linotype"/>
          <w:i/>
          <w:sz w:val="22"/>
          <w:szCs w:val="22"/>
        </w:rPr>
        <w:t>(…)</w:t>
      </w:r>
    </w:p>
    <w:p w:rsidR="009A438A" w:rsidRPr="0079394C" w:rsidRDefault="009A438A" w:rsidP="00316728">
      <w:pPr>
        <w:pStyle w:val="Sinespaciado"/>
        <w:spacing w:before="240" w:line="360" w:lineRule="auto"/>
        <w:ind w:left="1800" w:right="49"/>
        <w:jc w:val="both"/>
        <w:rPr>
          <w:rFonts w:ascii="Palatino Linotype" w:hAnsi="Palatino Linotype"/>
          <w:i/>
          <w:sz w:val="22"/>
          <w:szCs w:val="22"/>
        </w:rPr>
      </w:pPr>
      <w:r w:rsidRPr="0079394C">
        <w:rPr>
          <w:rFonts w:ascii="Palatino Linotype" w:hAnsi="Palatino Linotype"/>
          <w:b/>
          <w:i/>
          <w:sz w:val="22"/>
          <w:szCs w:val="22"/>
        </w:rPr>
        <w:t xml:space="preserve">PRIMERO. </w:t>
      </w:r>
      <w:r w:rsidR="008B3DAC" w:rsidRPr="0079394C">
        <w:rPr>
          <w:rFonts w:ascii="Palatino Linotype" w:hAnsi="Palatino Linotype"/>
          <w:i/>
          <w:sz w:val="22"/>
          <w:szCs w:val="22"/>
        </w:rPr>
        <w:t xml:space="preserve">Se confirma la clasificación de la información relativa al nombre, número de cuenta, y calificaciones cuantitativas, cualitativas, promedios y observaciones a las calificaciones de los documentos denominados “Actas de los H.H. Consejos Académico y de Gobierno de la Facultad de Economía, correspondientes a los años 2021 y 2022”, por considerarse datos personales que de darse a conocer pudieran incidir en la intimidad de los servidores universitarios y </w:t>
      </w:r>
      <w:r w:rsidR="008B3DAC" w:rsidRPr="0079394C">
        <w:rPr>
          <w:rFonts w:ascii="Palatino Linotype" w:hAnsi="Palatino Linotype"/>
          <w:i/>
          <w:sz w:val="22"/>
          <w:szCs w:val="22"/>
        </w:rPr>
        <w:lastRenderedPageBreak/>
        <w:t>alumnos, ello con fundamento en los artículos 3 fracciones IX, XII, 122, 132, 143 fracción I y 149 de la Ley de Transparencia y Acceso a la Información Pública del Estado de México y Municipios así como los artículos 2º, 4º fracciones II y XI y 40 de la Ley de Protección de Datos Personales en Posesión de Sujetos Obligados del Estado de México y Municipios, artículo Trigésimo Octavo fracción I y Trigésimo Noveno de los Lineamientos Generales en Materia de Clasificación y Desclasificación de la Información, así como para la Elaboración de Versiones Públicas conforme a lo anteriormente señalado</w:t>
      </w:r>
    </w:p>
    <w:p w:rsidR="00316728" w:rsidRPr="0079394C" w:rsidRDefault="009A438A" w:rsidP="00316728">
      <w:pPr>
        <w:pStyle w:val="Sinespaciado"/>
        <w:spacing w:before="240" w:line="360" w:lineRule="auto"/>
        <w:ind w:left="1800" w:right="49"/>
        <w:jc w:val="both"/>
        <w:rPr>
          <w:rFonts w:ascii="Palatino Linotype" w:hAnsi="Palatino Linotype"/>
          <w:b/>
          <w:i/>
          <w:sz w:val="22"/>
          <w:szCs w:val="22"/>
        </w:rPr>
      </w:pPr>
      <w:r w:rsidRPr="0079394C">
        <w:rPr>
          <w:rFonts w:ascii="Palatino Linotype" w:hAnsi="Palatino Linotype"/>
          <w:i/>
          <w:sz w:val="22"/>
          <w:szCs w:val="22"/>
        </w:rPr>
        <w:t>(…)</w:t>
      </w:r>
      <w:r w:rsidR="008B3DAC" w:rsidRPr="0079394C">
        <w:rPr>
          <w:rFonts w:ascii="Palatino Linotype" w:hAnsi="Palatino Linotype"/>
          <w:i/>
          <w:sz w:val="22"/>
          <w:szCs w:val="22"/>
        </w:rPr>
        <w:t>”</w:t>
      </w:r>
    </w:p>
    <w:p w:rsidR="008B3DAC" w:rsidRPr="0079394C" w:rsidRDefault="00991C2B" w:rsidP="00475E3E">
      <w:pPr>
        <w:pStyle w:val="Sinespaciado"/>
        <w:numPr>
          <w:ilvl w:val="0"/>
          <w:numId w:val="2"/>
        </w:numPr>
        <w:spacing w:before="240" w:line="360" w:lineRule="auto"/>
        <w:ind w:right="49"/>
        <w:jc w:val="both"/>
        <w:rPr>
          <w:rFonts w:ascii="Palatino Linotype" w:hAnsi="Palatino Linotype"/>
          <w:b/>
        </w:rPr>
      </w:pPr>
      <w:hyperlink r:id="rId8" w:tgtFrame="_blank" w:history="1">
        <w:r w:rsidR="00316728" w:rsidRPr="0079394C">
          <w:rPr>
            <w:rStyle w:val="Hipervnculo"/>
            <w:rFonts w:ascii="Palatino Linotype" w:hAnsi="Palatino Linotype" w:cs="Arial"/>
            <w:b/>
            <w:bCs/>
            <w:color w:val="auto"/>
          </w:rPr>
          <w:t>GOB-2021.pdf</w:t>
        </w:r>
      </w:hyperlink>
      <w:r w:rsidR="008B3DAC" w:rsidRPr="0079394C">
        <w:rPr>
          <w:rFonts w:ascii="Palatino Linotype" w:hAnsi="Palatino Linotype"/>
        </w:rPr>
        <w:t>: Consistente en ciento diez fojas, en formato PDF, que contiene</w:t>
      </w:r>
      <w:r w:rsidR="00CE08FD" w:rsidRPr="0079394C">
        <w:rPr>
          <w:rFonts w:ascii="Palatino Linotype" w:hAnsi="Palatino Linotype"/>
        </w:rPr>
        <w:t xml:space="preserve"> 12 </w:t>
      </w:r>
      <w:r w:rsidR="008B3DAC" w:rsidRPr="0079394C">
        <w:rPr>
          <w:rFonts w:ascii="Palatino Linotype" w:hAnsi="Palatino Linotype"/>
        </w:rPr>
        <w:t>Acta</w:t>
      </w:r>
      <w:r w:rsidR="00CE08FD" w:rsidRPr="0079394C">
        <w:rPr>
          <w:rFonts w:ascii="Palatino Linotype" w:hAnsi="Palatino Linotype"/>
        </w:rPr>
        <w:t>s</w:t>
      </w:r>
      <w:r w:rsidR="008B3DAC" w:rsidRPr="0079394C">
        <w:rPr>
          <w:rFonts w:ascii="Palatino Linotype" w:hAnsi="Palatino Linotype"/>
        </w:rPr>
        <w:t xml:space="preserve"> de </w:t>
      </w:r>
      <w:r w:rsidR="00CE08FD" w:rsidRPr="0079394C">
        <w:rPr>
          <w:rFonts w:ascii="Palatino Linotype" w:hAnsi="Palatino Linotype"/>
        </w:rPr>
        <w:t>Sesiones</w:t>
      </w:r>
      <w:r w:rsidR="008B3DAC" w:rsidRPr="0079394C">
        <w:rPr>
          <w:rFonts w:ascii="Palatino Linotype" w:hAnsi="Palatino Linotype"/>
        </w:rPr>
        <w:t xml:space="preserve"> Ordinaria</w:t>
      </w:r>
      <w:r w:rsidR="00CE08FD" w:rsidRPr="0079394C">
        <w:rPr>
          <w:rFonts w:ascii="Palatino Linotype" w:hAnsi="Palatino Linotype"/>
        </w:rPr>
        <w:t>s</w:t>
      </w:r>
      <w:r w:rsidR="008B3DAC" w:rsidRPr="0079394C">
        <w:rPr>
          <w:rFonts w:ascii="Palatino Linotype" w:hAnsi="Palatino Linotype"/>
        </w:rPr>
        <w:t xml:space="preserve"> correspondiente</w:t>
      </w:r>
      <w:r w:rsidR="00CE08FD" w:rsidRPr="0079394C">
        <w:rPr>
          <w:rFonts w:ascii="Palatino Linotype" w:hAnsi="Palatino Linotype"/>
        </w:rPr>
        <w:t>s</w:t>
      </w:r>
      <w:r w:rsidR="008B3DAC" w:rsidRPr="0079394C">
        <w:rPr>
          <w:rFonts w:ascii="Palatino Linotype" w:hAnsi="Palatino Linotype"/>
        </w:rPr>
        <w:t xml:space="preserve"> al </w:t>
      </w:r>
      <w:r w:rsidR="00CE08FD" w:rsidRPr="0079394C">
        <w:rPr>
          <w:rFonts w:ascii="Palatino Linotype" w:hAnsi="Palatino Linotype"/>
        </w:rPr>
        <w:t>año</w:t>
      </w:r>
      <w:r w:rsidR="008B3DAC" w:rsidRPr="0079394C">
        <w:rPr>
          <w:rFonts w:ascii="Palatino Linotype" w:hAnsi="Palatino Linotype"/>
        </w:rPr>
        <w:t xml:space="preserve"> 2021</w:t>
      </w:r>
      <w:r w:rsidR="00CE08FD" w:rsidRPr="0079394C">
        <w:rPr>
          <w:rFonts w:ascii="Palatino Linotype" w:hAnsi="Palatino Linotype"/>
        </w:rPr>
        <w:t>.</w:t>
      </w:r>
    </w:p>
    <w:p w:rsidR="00316728" w:rsidRPr="0079394C" w:rsidRDefault="00991C2B" w:rsidP="00475E3E">
      <w:pPr>
        <w:pStyle w:val="Sinespaciado"/>
        <w:numPr>
          <w:ilvl w:val="0"/>
          <w:numId w:val="2"/>
        </w:numPr>
        <w:spacing w:before="240" w:line="360" w:lineRule="auto"/>
        <w:ind w:right="49"/>
        <w:jc w:val="both"/>
        <w:rPr>
          <w:rFonts w:ascii="Palatino Linotype" w:hAnsi="Palatino Linotype"/>
          <w:b/>
        </w:rPr>
      </w:pPr>
      <w:hyperlink r:id="rId9" w:tgtFrame="_blank" w:history="1">
        <w:r w:rsidR="00316728" w:rsidRPr="0079394C">
          <w:rPr>
            <w:rStyle w:val="Hipervnculo"/>
            <w:rFonts w:ascii="Palatino Linotype" w:hAnsi="Palatino Linotype" w:cs="Arial"/>
            <w:b/>
            <w:bCs/>
            <w:color w:val="auto"/>
          </w:rPr>
          <w:t>GOB-2022.pdf</w:t>
        </w:r>
      </w:hyperlink>
      <w:r w:rsidR="008B3DAC" w:rsidRPr="0079394C">
        <w:rPr>
          <w:rFonts w:ascii="Palatino Linotype" w:hAnsi="Palatino Linotype"/>
        </w:rPr>
        <w:t>: Consistente en ciento cincuenta y cuatro fojas, en formato PDF, que contiene</w:t>
      </w:r>
      <w:r w:rsidR="00B30A5C" w:rsidRPr="0079394C">
        <w:rPr>
          <w:rFonts w:ascii="Palatino Linotype" w:hAnsi="Palatino Linotype"/>
        </w:rPr>
        <w:t xml:space="preserve"> 13</w:t>
      </w:r>
      <w:r w:rsidR="008B3DAC" w:rsidRPr="0079394C">
        <w:rPr>
          <w:rFonts w:ascii="Palatino Linotype" w:hAnsi="Palatino Linotype"/>
        </w:rPr>
        <w:t xml:space="preserve"> Acta</w:t>
      </w:r>
      <w:r w:rsidR="00B30A5C" w:rsidRPr="0079394C">
        <w:rPr>
          <w:rFonts w:ascii="Palatino Linotype" w:hAnsi="Palatino Linotype"/>
        </w:rPr>
        <w:t>s</w:t>
      </w:r>
      <w:r w:rsidR="008B3DAC" w:rsidRPr="0079394C">
        <w:rPr>
          <w:rFonts w:ascii="Palatino Linotype" w:hAnsi="Palatino Linotype"/>
        </w:rPr>
        <w:t xml:space="preserve"> de la Sesi</w:t>
      </w:r>
      <w:r w:rsidR="00B30A5C" w:rsidRPr="0079394C">
        <w:rPr>
          <w:rFonts w:ascii="Palatino Linotype" w:hAnsi="Palatino Linotype"/>
        </w:rPr>
        <w:t>ones</w:t>
      </w:r>
      <w:r w:rsidR="008B3DAC" w:rsidRPr="0079394C">
        <w:rPr>
          <w:rFonts w:ascii="Palatino Linotype" w:hAnsi="Palatino Linotype"/>
        </w:rPr>
        <w:t xml:space="preserve"> Ordinaria</w:t>
      </w:r>
      <w:r w:rsidR="00B30A5C" w:rsidRPr="0079394C">
        <w:rPr>
          <w:rFonts w:ascii="Palatino Linotype" w:hAnsi="Palatino Linotype"/>
        </w:rPr>
        <w:t>s</w:t>
      </w:r>
      <w:r w:rsidR="008B3DAC" w:rsidRPr="0079394C">
        <w:rPr>
          <w:rFonts w:ascii="Palatino Linotype" w:hAnsi="Palatino Linotype"/>
        </w:rPr>
        <w:t xml:space="preserve"> </w:t>
      </w:r>
      <w:r w:rsidR="00B30A5C" w:rsidRPr="0079394C">
        <w:rPr>
          <w:rFonts w:ascii="Palatino Linotype" w:hAnsi="Palatino Linotype"/>
        </w:rPr>
        <w:t>al año</w:t>
      </w:r>
      <w:r w:rsidR="008B3DAC" w:rsidRPr="0079394C">
        <w:rPr>
          <w:rFonts w:ascii="Palatino Linotype" w:hAnsi="Palatino Linotype"/>
        </w:rPr>
        <w:t xml:space="preserve"> 2022</w:t>
      </w:r>
      <w:r w:rsidR="00B30A5C" w:rsidRPr="0079394C">
        <w:rPr>
          <w:rFonts w:ascii="Palatino Linotype" w:hAnsi="Palatino Linotype"/>
        </w:rPr>
        <w:t>.</w:t>
      </w:r>
    </w:p>
    <w:p w:rsidR="00316728" w:rsidRPr="0079394C" w:rsidRDefault="00991C2B" w:rsidP="0068208E">
      <w:pPr>
        <w:pStyle w:val="Sinespaciado"/>
        <w:numPr>
          <w:ilvl w:val="0"/>
          <w:numId w:val="2"/>
        </w:numPr>
        <w:spacing w:before="240" w:line="360" w:lineRule="auto"/>
        <w:ind w:right="49"/>
        <w:jc w:val="both"/>
        <w:rPr>
          <w:rFonts w:ascii="Palatino Linotype" w:hAnsi="Palatino Linotype"/>
          <w:b/>
        </w:rPr>
      </w:pPr>
      <w:hyperlink r:id="rId10" w:tgtFrame="_blank" w:history="1">
        <w:r w:rsidR="00316728" w:rsidRPr="0079394C">
          <w:rPr>
            <w:rStyle w:val="Hipervnculo"/>
            <w:rFonts w:ascii="Palatino Linotype" w:hAnsi="Palatino Linotype" w:cs="Arial"/>
            <w:b/>
            <w:bCs/>
            <w:color w:val="auto"/>
          </w:rPr>
          <w:t>ACA-2022.pdf</w:t>
        </w:r>
      </w:hyperlink>
      <w:r w:rsidR="008B3DAC" w:rsidRPr="0079394C">
        <w:rPr>
          <w:rFonts w:ascii="Palatino Linotype" w:hAnsi="Palatino Linotype"/>
        </w:rPr>
        <w:t>: Consistente en ciento cincuenta y tres fojas, en formato PDF, que contiene</w:t>
      </w:r>
      <w:r w:rsidR="00881F4E" w:rsidRPr="0079394C">
        <w:rPr>
          <w:rFonts w:ascii="Palatino Linotype" w:hAnsi="Palatino Linotype"/>
        </w:rPr>
        <w:t xml:space="preserve"> 13 Actas de Sesiones Ordinarias correspondientes al año 2021.</w:t>
      </w:r>
    </w:p>
    <w:p w:rsidR="0068208E" w:rsidRPr="0079394C" w:rsidRDefault="00991C2B" w:rsidP="00475E3E">
      <w:pPr>
        <w:pStyle w:val="Sinespaciado"/>
        <w:numPr>
          <w:ilvl w:val="0"/>
          <w:numId w:val="2"/>
        </w:numPr>
        <w:spacing w:before="240" w:line="360" w:lineRule="auto"/>
        <w:ind w:right="49"/>
        <w:jc w:val="both"/>
        <w:rPr>
          <w:rFonts w:ascii="Palatino Linotype" w:hAnsi="Palatino Linotype"/>
          <w:color w:val="000000"/>
        </w:rPr>
      </w:pPr>
      <w:hyperlink r:id="rId11" w:tgtFrame="_blank" w:history="1">
        <w:r w:rsidR="00316728" w:rsidRPr="0079394C">
          <w:rPr>
            <w:rStyle w:val="Hipervnculo"/>
            <w:rFonts w:ascii="Palatino Linotype" w:hAnsi="Palatino Linotype" w:cs="Arial"/>
            <w:b/>
            <w:bCs/>
            <w:color w:val="auto"/>
          </w:rPr>
          <w:t>ACA-2021.pdf</w:t>
        </w:r>
      </w:hyperlink>
      <w:r w:rsidR="0068208E" w:rsidRPr="0079394C">
        <w:rPr>
          <w:rFonts w:ascii="Palatino Linotype" w:hAnsi="Palatino Linotype"/>
          <w:b/>
        </w:rPr>
        <w:t xml:space="preserve">: </w:t>
      </w:r>
      <w:r w:rsidR="008B3DAC" w:rsidRPr="0079394C">
        <w:rPr>
          <w:rFonts w:ascii="Palatino Linotype" w:hAnsi="Palatino Linotype"/>
        </w:rPr>
        <w:t>Consistente en ciento y ocho fojas, en formato PDF, que contiene</w:t>
      </w:r>
      <w:r w:rsidR="00B30A5C" w:rsidRPr="0079394C">
        <w:rPr>
          <w:rFonts w:ascii="Palatino Linotype" w:hAnsi="Palatino Linotype"/>
          <w:color w:val="000000"/>
        </w:rPr>
        <w:t xml:space="preserve"> 12 </w:t>
      </w:r>
      <w:r w:rsidR="008B3DAC" w:rsidRPr="0079394C">
        <w:rPr>
          <w:rFonts w:ascii="Palatino Linotype" w:hAnsi="Palatino Linotype"/>
          <w:color w:val="000000"/>
        </w:rPr>
        <w:t>Acta</w:t>
      </w:r>
      <w:r w:rsidR="00B30A5C" w:rsidRPr="0079394C">
        <w:rPr>
          <w:rFonts w:ascii="Palatino Linotype" w:hAnsi="Palatino Linotype"/>
          <w:color w:val="000000"/>
        </w:rPr>
        <w:t>s</w:t>
      </w:r>
      <w:r w:rsidR="008B3DAC" w:rsidRPr="0079394C">
        <w:rPr>
          <w:rFonts w:ascii="Palatino Linotype" w:hAnsi="Palatino Linotype"/>
          <w:color w:val="000000"/>
        </w:rPr>
        <w:t xml:space="preserve"> de Ses</w:t>
      </w:r>
      <w:r w:rsidR="00B30A5C" w:rsidRPr="0079394C">
        <w:rPr>
          <w:rFonts w:ascii="Palatino Linotype" w:hAnsi="Palatino Linotype"/>
          <w:color w:val="000000"/>
        </w:rPr>
        <w:t>iones</w:t>
      </w:r>
      <w:r w:rsidR="008B3DAC" w:rsidRPr="0079394C">
        <w:rPr>
          <w:rFonts w:ascii="Palatino Linotype" w:hAnsi="Palatino Linotype"/>
          <w:color w:val="000000"/>
        </w:rPr>
        <w:t xml:space="preserve"> Ordinaria</w:t>
      </w:r>
      <w:r w:rsidR="00B30A5C" w:rsidRPr="0079394C">
        <w:rPr>
          <w:rFonts w:ascii="Palatino Linotype" w:hAnsi="Palatino Linotype"/>
          <w:color w:val="000000"/>
        </w:rPr>
        <w:t>s</w:t>
      </w:r>
      <w:r w:rsidR="008B3DAC" w:rsidRPr="0079394C">
        <w:rPr>
          <w:rFonts w:ascii="Palatino Linotype" w:hAnsi="Palatino Linotype"/>
          <w:color w:val="000000"/>
        </w:rPr>
        <w:t xml:space="preserve"> correspondiente</w:t>
      </w:r>
      <w:r w:rsidR="00B30A5C" w:rsidRPr="0079394C">
        <w:rPr>
          <w:rFonts w:ascii="Palatino Linotype" w:hAnsi="Palatino Linotype"/>
          <w:color w:val="000000"/>
        </w:rPr>
        <w:t>s</w:t>
      </w:r>
      <w:r w:rsidR="008B3DAC" w:rsidRPr="0079394C">
        <w:rPr>
          <w:rFonts w:ascii="Palatino Linotype" w:hAnsi="Palatino Linotype"/>
          <w:color w:val="000000"/>
        </w:rPr>
        <w:t xml:space="preserve"> al </w:t>
      </w:r>
      <w:r w:rsidR="00B30A5C" w:rsidRPr="0079394C">
        <w:rPr>
          <w:rFonts w:ascii="Palatino Linotype" w:hAnsi="Palatino Linotype"/>
          <w:color w:val="000000"/>
        </w:rPr>
        <w:t>año</w:t>
      </w:r>
      <w:r w:rsidR="008B3DAC" w:rsidRPr="0079394C">
        <w:rPr>
          <w:rFonts w:ascii="Palatino Linotype" w:hAnsi="Palatino Linotype"/>
          <w:color w:val="000000"/>
        </w:rPr>
        <w:t xml:space="preserve"> 2021</w:t>
      </w:r>
      <w:r w:rsidR="00B30A5C" w:rsidRPr="0079394C">
        <w:rPr>
          <w:rFonts w:ascii="Palatino Linotype" w:hAnsi="Palatino Linotype"/>
          <w:color w:val="000000"/>
        </w:rPr>
        <w:t>.</w:t>
      </w:r>
    </w:p>
    <w:p w:rsidR="008B3DAC" w:rsidRPr="0079394C" w:rsidRDefault="008B3DAC" w:rsidP="008B3DAC">
      <w:pPr>
        <w:pStyle w:val="Sinespaciado"/>
        <w:spacing w:before="240" w:line="360" w:lineRule="auto"/>
        <w:ind w:left="1800" w:right="49"/>
        <w:jc w:val="both"/>
        <w:rPr>
          <w:rFonts w:ascii="Palatino Linotype" w:hAnsi="Palatino Linotype"/>
          <w:color w:val="000000"/>
        </w:rPr>
      </w:pPr>
    </w:p>
    <w:p w:rsidR="0068208E" w:rsidRPr="0079394C" w:rsidRDefault="009A438A" w:rsidP="0068208E">
      <w:pPr>
        <w:spacing w:line="360" w:lineRule="auto"/>
        <w:jc w:val="both"/>
        <w:rPr>
          <w:rFonts w:ascii="Palatino Linotype" w:hAnsi="Palatino Linotype" w:cs="Arial"/>
          <w:b/>
          <w:sz w:val="28"/>
        </w:rPr>
      </w:pPr>
      <w:r w:rsidRPr="0079394C">
        <w:rPr>
          <w:rFonts w:ascii="Palatino Linotype" w:hAnsi="Palatino Linotype" w:cs="Arial"/>
          <w:b/>
          <w:sz w:val="28"/>
          <w:szCs w:val="22"/>
          <w:lang w:val="es-MX"/>
        </w:rPr>
        <w:t>CUARTO</w:t>
      </w:r>
      <w:r w:rsidR="0068208E" w:rsidRPr="0079394C">
        <w:rPr>
          <w:rFonts w:ascii="Palatino Linotype" w:hAnsi="Palatino Linotype" w:cs="Arial"/>
          <w:b/>
          <w:sz w:val="28"/>
          <w:szCs w:val="22"/>
          <w:lang w:val="es-MX"/>
        </w:rPr>
        <w:t xml:space="preserve">. </w:t>
      </w:r>
      <w:r w:rsidR="0068208E" w:rsidRPr="0079394C">
        <w:rPr>
          <w:rFonts w:ascii="Palatino Linotype" w:hAnsi="Palatino Linotype"/>
          <w:b/>
          <w:sz w:val="28"/>
        </w:rPr>
        <w:t>Del recurso de revisión.</w:t>
      </w:r>
    </w:p>
    <w:p w:rsidR="0068208E" w:rsidRPr="0079394C" w:rsidRDefault="0068208E" w:rsidP="0068208E">
      <w:pPr>
        <w:spacing w:line="360" w:lineRule="auto"/>
        <w:jc w:val="both"/>
        <w:rPr>
          <w:rFonts w:ascii="Palatino Linotype" w:hAnsi="Palatino Linotype" w:cs="Arial"/>
        </w:rPr>
      </w:pPr>
      <w:r w:rsidRPr="0079394C">
        <w:rPr>
          <w:rFonts w:ascii="Palatino Linotype" w:hAnsi="Palatino Linotype" w:cs="Arial"/>
        </w:rPr>
        <w:t xml:space="preserve">Inconforme ante la respuesta por parte del </w:t>
      </w:r>
      <w:r w:rsidRPr="0079394C">
        <w:rPr>
          <w:rFonts w:ascii="Palatino Linotype" w:hAnsi="Palatino Linotype" w:cs="Arial"/>
          <w:b/>
        </w:rPr>
        <w:t>Sujeto Obligado</w:t>
      </w:r>
      <w:r w:rsidRPr="0079394C">
        <w:rPr>
          <w:rFonts w:ascii="Palatino Linotype" w:hAnsi="Palatino Linotype" w:cs="Arial"/>
        </w:rPr>
        <w:t xml:space="preserve">, el día </w:t>
      </w:r>
      <w:r w:rsidR="008B3DAC" w:rsidRPr="0079394C">
        <w:rPr>
          <w:rFonts w:ascii="Palatino Linotype" w:hAnsi="Palatino Linotype" w:cs="Arial"/>
        </w:rPr>
        <w:t>18</w:t>
      </w:r>
      <w:r w:rsidRPr="0079394C">
        <w:rPr>
          <w:rFonts w:ascii="Palatino Linotype" w:hAnsi="Palatino Linotype" w:cs="Arial"/>
        </w:rPr>
        <w:t xml:space="preserve"> (</w:t>
      </w:r>
      <w:r w:rsidR="008B3DAC" w:rsidRPr="0079394C">
        <w:rPr>
          <w:rFonts w:ascii="Palatino Linotype" w:hAnsi="Palatino Linotype" w:cs="Arial"/>
        </w:rPr>
        <w:t>dieciocho</w:t>
      </w:r>
      <w:r w:rsidRPr="0079394C">
        <w:rPr>
          <w:rFonts w:ascii="Palatino Linotype" w:hAnsi="Palatino Linotype" w:cs="Arial"/>
        </w:rPr>
        <w:t xml:space="preserve">) de </w:t>
      </w:r>
      <w:r w:rsidR="008B3DAC" w:rsidRPr="0079394C">
        <w:rPr>
          <w:rFonts w:ascii="Palatino Linotype" w:hAnsi="Palatino Linotype" w:cs="Arial"/>
        </w:rPr>
        <w:t>abril</w:t>
      </w:r>
      <w:r w:rsidRPr="0079394C">
        <w:rPr>
          <w:rFonts w:ascii="Palatino Linotype" w:hAnsi="Palatino Linotype" w:cs="Arial"/>
        </w:rPr>
        <w:t xml:space="preserve"> </w:t>
      </w:r>
      <w:r w:rsidR="008B3DAC" w:rsidRPr="0079394C">
        <w:rPr>
          <w:rFonts w:ascii="Palatino Linotype" w:hAnsi="Palatino Linotype" w:cs="Arial"/>
        </w:rPr>
        <w:t>de 2023 (dos mil veintitrés</w:t>
      </w:r>
      <w:r w:rsidRPr="0079394C">
        <w:rPr>
          <w:rFonts w:ascii="Palatino Linotype" w:hAnsi="Palatino Linotype" w:cs="Arial"/>
        </w:rPr>
        <w:t xml:space="preserve">), </w:t>
      </w:r>
      <w:r w:rsidRPr="0079394C">
        <w:rPr>
          <w:rFonts w:ascii="Palatino Linotype" w:hAnsi="Palatino Linotype" w:cs="Arial"/>
          <w:b/>
        </w:rPr>
        <w:t>el Recurrente</w:t>
      </w:r>
      <w:r w:rsidRPr="0079394C">
        <w:rPr>
          <w:rFonts w:ascii="Palatino Linotype" w:hAnsi="Palatino Linotype" w:cs="Arial"/>
          <w:color w:val="000000"/>
        </w:rPr>
        <w:t xml:space="preserve"> </w:t>
      </w:r>
      <w:r w:rsidRPr="0079394C">
        <w:rPr>
          <w:rFonts w:ascii="Palatino Linotype" w:hAnsi="Palatino Linotype" w:cs="Arial"/>
        </w:rPr>
        <w:t>interpuso el presente recurso de revisión, quedando registrado en el</w:t>
      </w:r>
      <w:r w:rsidRPr="0079394C">
        <w:rPr>
          <w:rFonts w:ascii="Palatino Linotype" w:eastAsia="Arial Unicode MS" w:hAnsi="Palatino Linotype" w:cs="Arial"/>
          <w:b/>
        </w:rPr>
        <w:t xml:space="preserve"> SAIMEX</w:t>
      </w:r>
      <w:r w:rsidRPr="0079394C">
        <w:rPr>
          <w:rFonts w:ascii="Palatino Linotype" w:eastAsia="Arial Unicode MS" w:hAnsi="Palatino Linotype" w:cs="Arial"/>
        </w:rPr>
        <w:t xml:space="preserve"> con el número de recurso </w:t>
      </w:r>
      <w:r w:rsidR="008B3DAC" w:rsidRPr="0079394C">
        <w:rPr>
          <w:rFonts w:ascii="Palatino Linotype" w:hAnsi="Palatino Linotype"/>
          <w:b/>
        </w:rPr>
        <w:lastRenderedPageBreak/>
        <w:t>02025/INFOEM/IP/RR/2023</w:t>
      </w:r>
      <w:r w:rsidRPr="0079394C">
        <w:rPr>
          <w:rFonts w:ascii="Palatino Linotype" w:hAnsi="Palatino Linotype"/>
          <w:b/>
        </w:rPr>
        <w:t xml:space="preserve">, </w:t>
      </w:r>
      <w:r w:rsidRPr="0079394C">
        <w:rPr>
          <w:rFonts w:ascii="Palatino Linotype" w:hAnsi="Palatino Linotype" w:cs="Arial"/>
        </w:rPr>
        <w:t xml:space="preserve">en el que expresó como </w:t>
      </w:r>
      <w:r w:rsidRPr="0079394C">
        <w:rPr>
          <w:rFonts w:ascii="Palatino Linotype" w:hAnsi="Palatino Linotype" w:cs="Arial"/>
          <w:b/>
        </w:rPr>
        <w:t>acto impugnado</w:t>
      </w:r>
      <w:r w:rsidRPr="0079394C">
        <w:rPr>
          <w:rFonts w:ascii="Palatino Linotype" w:hAnsi="Palatino Linotype" w:cs="Arial"/>
        </w:rPr>
        <w:t xml:space="preserve">, y </w:t>
      </w:r>
      <w:r w:rsidRPr="0079394C">
        <w:rPr>
          <w:rFonts w:ascii="Palatino Linotype" w:hAnsi="Palatino Linotype" w:cs="Arial"/>
          <w:b/>
        </w:rPr>
        <w:t>motivos o razones de inconformidad</w:t>
      </w:r>
      <w:r w:rsidRPr="0079394C">
        <w:rPr>
          <w:rFonts w:ascii="Palatino Linotype" w:hAnsi="Palatino Linotype" w:cs="Arial"/>
        </w:rPr>
        <w:t xml:space="preserve"> los siguientes:</w:t>
      </w:r>
    </w:p>
    <w:p w:rsidR="0068208E" w:rsidRPr="0079394C" w:rsidRDefault="0068208E" w:rsidP="0068208E">
      <w:pPr>
        <w:spacing w:line="276" w:lineRule="auto"/>
        <w:ind w:right="616"/>
        <w:jc w:val="both"/>
        <w:rPr>
          <w:rFonts w:ascii="Palatino Linotype" w:hAnsi="Palatino Linotype"/>
          <w:b/>
        </w:rPr>
      </w:pPr>
    </w:p>
    <w:p w:rsidR="0068208E" w:rsidRPr="0079394C" w:rsidRDefault="0068208E" w:rsidP="0068208E">
      <w:pPr>
        <w:pStyle w:val="Prrafodelista"/>
        <w:numPr>
          <w:ilvl w:val="0"/>
          <w:numId w:val="1"/>
        </w:numPr>
        <w:spacing w:line="276" w:lineRule="auto"/>
        <w:ind w:right="616"/>
        <w:jc w:val="both"/>
        <w:rPr>
          <w:rFonts w:ascii="Palatino Linotype" w:hAnsi="Palatino Linotype"/>
          <w:b/>
        </w:rPr>
      </w:pPr>
      <w:r w:rsidRPr="0079394C">
        <w:rPr>
          <w:rFonts w:ascii="Palatino Linotype" w:hAnsi="Palatino Linotype"/>
          <w:b/>
        </w:rPr>
        <w:t>Acto impugnado:</w:t>
      </w:r>
    </w:p>
    <w:p w:rsidR="0068208E" w:rsidRPr="0079394C" w:rsidRDefault="0068208E" w:rsidP="0068208E">
      <w:pPr>
        <w:spacing w:line="276" w:lineRule="auto"/>
        <w:ind w:left="567" w:right="616"/>
        <w:jc w:val="both"/>
        <w:rPr>
          <w:rFonts w:ascii="Palatino Linotype" w:hAnsi="Palatino Linotype"/>
        </w:rPr>
      </w:pPr>
      <w:r w:rsidRPr="0079394C">
        <w:rPr>
          <w:rFonts w:ascii="Palatino Linotype" w:hAnsi="Palatino Linotype"/>
          <w:color w:val="000000"/>
          <w:sz w:val="22"/>
          <w:szCs w:val="22"/>
        </w:rPr>
        <w:t>“</w:t>
      </w:r>
      <w:r w:rsidR="008B3DAC" w:rsidRPr="0079394C">
        <w:rPr>
          <w:rFonts w:ascii="Palatino Linotype" w:hAnsi="Palatino Linotype"/>
          <w:color w:val="000000"/>
        </w:rPr>
        <w:t>La respuesta del obligado.</w:t>
      </w:r>
      <w:r w:rsidRPr="0079394C">
        <w:rPr>
          <w:rFonts w:ascii="Palatino Linotype" w:hAnsi="Palatino Linotype"/>
          <w:sz w:val="22"/>
        </w:rPr>
        <w:t>”</w:t>
      </w:r>
      <w:r w:rsidRPr="0079394C">
        <w:rPr>
          <w:rFonts w:ascii="Palatino Linotype" w:hAnsi="Palatino Linotype"/>
          <w:i/>
          <w:sz w:val="22"/>
        </w:rPr>
        <w:t xml:space="preserve"> (Sic)</w:t>
      </w:r>
    </w:p>
    <w:p w:rsidR="0068208E" w:rsidRPr="0079394C" w:rsidRDefault="0068208E" w:rsidP="0068208E">
      <w:pPr>
        <w:spacing w:line="360" w:lineRule="auto"/>
        <w:ind w:right="616"/>
        <w:jc w:val="both"/>
        <w:rPr>
          <w:rFonts w:ascii="Palatino Linotype" w:hAnsi="Palatino Linotype"/>
        </w:rPr>
      </w:pPr>
    </w:p>
    <w:p w:rsidR="0068208E" w:rsidRPr="0079394C" w:rsidRDefault="0068208E" w:rsidP="0068208E">
      <w:pPr>
        <w:pStyle w:val="Prrafodelista"/>
        <w:numPr>
          <w:ilvl w:val="0"/>
          <w:numId w:val="1"/>
        </w:numPr>
        <w:spacing w:line="360" w:lineRule="auto"/>
        <w:ind w:right="51"/>
        <w:jc w:val="both"/>
        <w:rPr>
          <w:rFonts w:ascii="Palatino Linotype" w:hAnsi="Palatino Linotype"/>
        </w:rPr>
      </w:pPr>
      <w:r w:rsidRPr="0079394C">
        <w:rPr>
          <w:rFonts w:ascii="Palatino Linotype" w:hAnsi="Palatino Linotype"/>
          <w:b/>
        </w:rPr>
        <w:t>Razones o motivos de inconformidad:</w:t>
      </w:r>
    </w:p>
    <w:p w:rsidR="0068208E" w:rsidRPr="0079394C" w:rsidRDefault="0068208E" w:rsidP="0068208E">
      <w:pPr>
        <w:ind w:left="567" w:right="616"/>
        <w:jc w:val="both"/>
        <w:rPr>
          <w:rFonts w:ascii="Palatino Linotype" w:hAnsi="Palatino Linotype"/>
          <w:i/>
          <w:sz w:val="22"/>
        </w:rPr>
      </w:pPr>
      <w:r w:rsidRPr="0079394C">
        <w:rPr>
          <w:rFonts w:ascii="Palatino Linotype" w:hAnsi="Palatino Linotype"/>
          <w:i/>
          <w:sz w:val="22"/>
        </w:rPr>
        <w:t>“</w:t>
      </w:r>
      <w:r w:rsidR="008B3DAC" w:rsidRPr="0079394C">
        <w:rPr>
          <w:rFonts w:ascii="Palatino Linotype" w:hAnsi="Palatino Linotype"/>
          <w:i/>
          <w:color w:val="000000"/>
        </w:rPr>
        <w:t xml:space="preserve">Se solicitaron las actas aprobadas de los Consejos Académico y de Gobierno de la Facultad de Economía de la Universidad Autónoma del Estado de México de enero a diciembre de los años 2021 y 2022, sin embargo, la información deliberadamente se entregó incompleta, dado que, tanto el acta de Consejo Académico de mayo de 2021 y el acta de Consejo de Gobierno del año 2021 no fueron incluidas. Adicionalmente se solicitaron las actas de las sesiones extraordinarias tanto de Consejo Académico como de Consejo de Gobierno celebradas el día 01 de octubre del año 2021, tampoco fueron proporcionadas.” </w:t>
      </w:r>
      <w:r w:rsidR="008B3DAC" w:rsidRPr="0079394C">
        <w:rPr>
          <w:rFonts w:ascii="Palatino Linotype" w:hAnsi="Palatino Linotype"/>
          <w:i/>
          <w:sz w:val="22"/>
        </w:rPr>
        <w:t>(Sic)</w:t>
      </w:r>
    </w:p>
    <w:p w:rsidR="0068208E" w:rsidRPr="0079394C" w:rsidRDefault="0068208E" w:rsidP="0068208E">
      <w:pPr>
        <w:spacing w:line="360" w:lineRule="auto"/>
        <w:ind w:right="49"/>
        <w:jc w:val="both"/>
        <w:rPr>
          <w:rFonts w:ascii="Palatino Linotype" w:hAnsi="Palatino Linotype" w:cs="Arial"/>
          <w:b/>
          <w:sz w:val="28"/>
          <w:szCs w:val="22"/>
          <w:lang w:val="es-MX"/>
        </w:rPr>
      </w:pPr>
    </w:p>
    <w:p w:rsidR="0068208E" w:rsidRPr="0079394C" w:rsidRDefault="009A438A" w:rsidP="0068208E">
      <w:pPr>
        <w:spacing w:line="360" w:lineRule="auto"/>
        <w:jc w:val="both"/>
        <w:rPr>
          <w:rFonts w:ascii="Palatino Linotype" w:hAnsi="Palatino Linotype" w:cs="Arial"/>
          <w:b/>
        </w:rPr>
      </w:pPr>
      <w:r w:rsidRPr="0079394C">
        <w:rPr>
          <w:rFonts w:ascii="Palatino Linotype" w:hAnsi="Palatino Linotype" w:cs="Arial"/>
          <w:b/>
          <w:sz w:val="28"/>
        </w:rPr>
        <w:t>QUIN</w:t>
      </w:r>
      <w:r w:rsidR="0068208E" w:rsidRPr="0079394C">
        <w:rPr>
          <w:rFonts w:ascii="Palatino Linotype" w:hAnsi="Palatino Linotype" w:cs="Arial"/>
          <w:b/>
          <w:sz w:val="28"/>
        </w:rPr>
        <w:t>TO</w:t>
      </w:r>
      <w:r w:rsidR="0068208E" w:rsidRPr="0079394C">
        <w:rPr>
          <w:rFonts w:ascii="Palatino Linotype" w:hAnsi="Palatino Linotype" w:cs="Arial"/>
          <w:b/>
        </w:rPr>
        <w:t xml:space="preserve">. </w:t>
      </w:r>
      <w:r w:rsidR="0068208E" w:rsidRPr="0079394C">
        <w:rPr>
          <w:rFonts w:ascii="Palatino Linotype" w:hAnsi="Palatino Linotype" w:cs="Arial"/>
          <w:b/>
          <w:sz w:val="28"/>
          <w:szCs w:val="28"/>
        </w:rPr>
        <w:t>Del turno y admisión del recurso de revisión.</w:t>
      </w:r>
    </w:p>
    <w:p w:rsidR="0068208E" w:rsidRPr="0079394C" w:rsidRDefault="0068208E" w:rsidP="0068208E">
      <w:pPr>
        <w:spacing w:line="360" w:lineRule="auto"/>
        <w:jc w:val="both"/>
        <w:rPr>
          <w:rFonts w:ascii="Palatino Linotype" w:hAnsi="Palatino Linotype" w:cs="Arial"/>
        </w:rPr>
      </w:pPr>
      <w:r w:rsidRPr="0079394C">
        <w:rPr>
          <w:rFonts w:ascii="Palatino Linotype" w:hAnsi="Palatino Linotype" w:cs="Arial"/>
        </w:rPr>
        <w:t xml:space="preserve">Medio de impugnación que le fue turnado al </w:t>
      </w:r>
      <w:r w:rsidRPr="0079394C">
        <w:rPr>
          <w:rFonts w:ascii="Palatino Linotype" w:hAnsi="Palatino Linotype" w:cs="Arial"/>
          <w:b/>
          <w:bCs/>
        </w:rPr>
        <w:t>Comisionado Presidente José Martínez</w:t>
      </w:r>
      <w:r w:rsidRPr="0079394C">
        <w:rPr>
          <w:rFonts w:ascii="Palatino Linotype" w:hAnsi="Palatino Linotype" w:cs="Arial"/>
          <w:b/>
        </w:rPr>
        <w:t xml:space="preserve"> Vilchis</w:t>
      </w:r>
      <w:r w:rsidRPr="0079394C">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79394C">
        <w:rPr>
          <w:rFonts w:ascii="Palatino Linotype" w:hAnsi="Palatino Linotype" w:cs="Arial"/>
          <w:b/>
        </w:rPr>
        <w:t>acuerdo de admisión</w:t>
      </w:r>
      <w:r w:rsidRPr="0079394C">
        <w:rPr>
          <w:rFonts w:ascii="Palatino Linotype" w:hAnsi="Palatino Linotype" w:cs="Arial"/>
        </w:rPr>
        <w:t xml:space="preserve"> en fecha </w:t>
      </w:r>
      <w:r w:rsidR="00DC188B" w:rsidRPr="0079394C">
        <w:rPr>
          <w:rFonts w:ascii="Palatino Linotype" w:hAnsi="Palatino Linotype" w:cs="Arial"/>
          <w:b/>
        </w:rPr>
        <w:t>veinticuatro de abril de dos mil veintitrés</w:t>
      </w:r>
      <w:r w:rsidRPr="0079394C">
        <w:rPr>
          <w:rFonts w:ascii="Palatino Linotype" w:hAnsi="Palatino Linotype" w:cs="Arial"/>
        </w:rPr>
        <w:t>, determinándose en él, un plazo de siete días para que las partes manifestaran lo que a su derecho corresponda en términos del numeral ya citado.</w:t>
      </w:r>
    </w:p>
    <w:p w:rsidR="0068208E" w:rsidRPr="0079394C" w:rsidRDefault="0068208E" w:rsidP="0068208E">
      <w:pPr>
        <w:spacing w:line="360" w:lineRule="auto"/>
        <w:ind w:right="49"/>
        <w:jc w:val="both"/>
        <w:rPr>
          <w:rFonts w:ascii="Palatino Linotype" w:hAnsi="Palatino Linotype" w:cs="Arial"/>
        </w:rPr>
      </w:pPr>
    </w:p>
    <w:p w:rsidR="0068208E" w:rsidRPr="0079394C" w:rsidRDefault="009A438A" w:rsidP="0068208E">
      <w:pPr>
        <w:spacing w:line="360" w:lineRule="auto"/>
        <w:jc w:val="both"/>
        <w:rPr>
          <w:rFonts w:ascii="Palatino Linotype" w:hAnsi="Palatino Linotype" w:cs="Arial"/>
          <w:b/>
        </w:rPr>
      </w:pPr>
      <w:r w:rsidRPr="0079394C">
        <w:rPr>
          <w:rFonts w:ascii="Palatino Linotype" w:hAnsi="Palatino Linotype" w:cs="Arial"/>
          <w:b/>
          <w:sz w:val="28"/>
        </w:rPr>
        <w:t>SEX</w:t>
      </w:r>
      <w:r w:rsidR="0068208E" w:rsidRPr="0079394C">
        <w:rPr>
          <w:rFonts w:ascii="Palatino Linotype" w:hAnsi="Palatino Linotype" w:cs="Arial"/>
          <w:b/>
          <w:sz w:val="28"/>
        </w:rPr>
        <w:t>TO</w:t>
      </w:r>
      <w:r w:rsidR="0068208E" w:rsidRPr="0079394C">
        <w:rPr>
          <w:rFonts w:ascii="Palatino Linotype" w:hAnsi="Palatino Linotype" w:cs="Arial"/>
          <w:b/>
        </w:rPr>
        <w:t xml:space="preserve">. </w:t>
      </w:r>
      <w:r w:rsidR="0068208E" w:rsidRPr="0079394C">
        <w:rPr>
          <w:rFonts w:ascii="Palatino Linotype" w:hAnsi="Palatino Linotype" w:cs="Arial"/>
          <w:b/>
          <w:sz w:val="28"/>
          <w:szCs w:val="28"/>
        </w:rPr>
        <w:t>De la etapa de instrucción.</w:t>
      </w:r>
    </w:p>
    <w:p w:rsidR="0068208E" w:rsidRPr="0079394C" w:rsidRDefault="0068208E" w:rsidP="0068208E">
      <w:pPr>
        <w:spacing w:line="360" w:lineRule="auto"/>
        <w:jc w:val="both"/>
        <w:rPr>
          <w:rFonts w:ascii="Palatino Linotype" w:hAnsi="Palatino Linotype" w:cs="Arial"/>
        </w:rPr>
      </w:pPr>
      <w:r w:rsidRPr="0079394C">
        <w:rPr>
          <w:rFonts w:ascii="Palatino Linotype" w:hAnsi="Palatino Linotype" w:cs="Arial"/>
        </w:rPr>
        <w:t xml:space="preserve">De las constancias que obran en el SAIMEX, se advierte que el </w:t>
      </w:r>
      <w:r w:rsidRPr="0079394C">
        <w:rPr>
          <w:rFonts w:ascii="Palatino Linotype" w:hAnsi="Palatino Linotype" w:cs="Arial"/>
          <w:b/>
        </w:rPr>
        <w:t>Sujeto Obligado</w:t>
      </w:r>
      <w:r w:rsidRPr="0079394C">
        <w:rPr>
          <w:rFonts w:ascii="Palatino Linotype" w:hAnsi="Palatino Linotype" w:cs="Arial"/>
        </w:rPr>
        <w:t xml:space="preserve"> rindió su informe justificado por medio del archivo electrónico </w:t>
      </w:r>
      <w:r w:rsidRPr="0079394C">
        <w:rPr>
          <w:rFonts w:ascii="Palatino Linotype" w:hAnsi="Palatino Linotype" w:cs="Arial"/>
          <w:b/>
        </w:rPr>
        <w:t>“</w:t>
      </w:r>
      <w:hyperlink r:id="rId12" w:history="1">
        <w:r w:rsidR="00DC188B" w:rsidRPr="0079394C">
          <w:rPr>
            <w:rStyle w:val="Hipervnculo"/>
            <w:rFonts w:ascii="Palatino Linotype" w:hAnsi="Palatino Linotype" w:cs="Arial"/>
            <w:b/>
            <w:bCs/>
            <w:color w:val="auto"/>
          </w:rPr>
          <w:t>rr2025_04-05-2023-174147.pdf</w:t>
        </w:r>
      </w:hyperlink>
      <w:r w:rsidR="00DC188B" w:rsidRPr="0079394C">
        <w:rPr>
          <w:rFonts w:ascii="Palatino Linotype" w:hAnsi="Palatino Linotype"/>
        </w:rPr>
        <w:t xml:space="preserve"> y </w:t>
      </w:r>
      <w:hyperlink r:id="rId13" w:history="1">
        <w:r w:rsidR="00DC188B" w:rsidRPr="0079394C">
          <w:rPr>
            <w:rStyle w:val="Hipervnculo"/>
            <w:rFonts w:ascii="Palatino Linotype" w:hAnsi="Palatino Linotype" w:cs="Arial"/>
            <w:b/>
            <w:bCs/>
            <w:color w:val="auto"/>
          </w:rPr>
          <w:t>RR2025-2023.zip</w:t>
        </w:r>
      </w:hyperlink>
      <w:r w:rsidR="00DC188B" w:rsidRPr="0079394C">
        <w:rPr>
          <w:rFonts w:ascii="Palatino Linotype" w:hAnsi="Palatino Linotype" w:cs="Arial"/>
          <w:b/>
        </w:rPr>
        <w:t>”</w:t>
      </w:r>
      <w:r w:rsidR="008F526C" w:rsidRPr="0079394C">
        <w:rPr>
          <w:rFonts w:ascii="Palatino Linotype" w:hAnsi="Palatino Linotype" w:cs="Arial"/>
          <w:b/>
        </w:rPr>
        <w:t xml:space="preserve">, </w:t>
      </w:r>
      <w:r w:rsidR="008F526C" w:rsidRPr="0079394C">
        <w:rPr>
          <w:rFonts w:ascii="Palatino Linotype" w:hAnsi="Palatino Linotype" w:cs="Arial"/>
        </w:rPr>
        <w:t xml:space="preserve">mismos que no fueron puestos a la vista del </w:t>
      </w:r>
      <w:r w:rsidR="008F526C" w:rsidRPr="0079394C">
        <w:rPr>
          <w:rFonts w:ascii="Palatino Linotype" w:hAnsi="Palatino Linotype" w:cs="Arial"/>
        </w:rPr>
        <w:lastRenderedPageBreak/>
        <w:t>Recurrente por haberse desistido expresamente la parte Recurrente</w:t>
      </w:r>
      <w:r w:rsidR="00DC188B" w:rsidRPr="0079394C">
        <w:rPr>
          <w:rFonts w:ascii="Palatino Linotype" w:hAnsi="Palatino Linotype" w:cs="Arial"/>
        </w:rPr>
        <w:t xml:space="preserve">. </w:t>
      </w:r>
      <w:r w:rsidRPr="0079394C">
        <w:rPr>
          <w:rFonts w:ascii="Palatino Linotype" w:hAnsi="Palatino Linotype" w:cs="Arial"/>
        </w:rPr>
        <w:t>Así mismo, se aprecia que no se llevaron a cabo audiencias durante la sustanciación del recurso de revisión, ni se ofrecieron pruebas por parte de</w:t>
      </w:r>
      <w:r w:rsidR="008F526C" w:rsidRPr="0079394C">
        <w:rPr>
          <w:rFonts w:ascii="Palatino Linotype" w:hAnsi="Palatino Linotype" w:cs="Arial"/>
        </w:rPr>
        <w:t xml:space="preserve"> </w:t>
      </w:r>
      <w:r w:rsidRPr="0079394C">
        <w:rPr>
          <w:rFonts w:ascii="Palatino Linotype" w:hAnsi="Palatino Linotype" w:cs="Arial"/>
        </w:rPr>
        <w:t>l</w:t>
      </w:r>
      <w:r w:rsidR="008F526C" w:rsidRPr="0079394C">
        <w:rPr>
          <w:rFonts w:ascii="Palatino Linotype" w:hAnsi="Palatino Linotype" w:cs="Arial"/>
        </w:rPr>
        <w:t>a</w:t>
      </w:r>
      <w:r w:rsidRPr="0079394C">
        <w:rPr>
          <w:rFonts w:ascii="Palatino Linotype" w:hAnsi="Palatino Linotype" w:cs="Arial"/>
        </w:rPr>
        <w:t xml:space="preserve"> </w:t>
      </w:r>
      <w:r w:rsidRPr="0079394C">
        <w:rPr>
          <w:rFonts w:ascii="Palatino Linotype" w:hAnsi="Palatino Linotype" w:cs="Arial"/>
          <w:b/>
        </w:rPr>
        <w:t>Recurrente</w:t>
      </w:r>
      <w:r w:rsidRPr="0079394C">
        <w:rPr>
          <w:rFonts w:ascii="Palatino Linotype" w:hAnsi="Palatino Linotype" w:cs="Arial"/>
        </w:rPr>
        <w:t>; todo lo anterior en términos de los artículos 185 fracciones II y IV, y 195 de la Ley de Transparencia y Acceso a la Información Pública del Estado de México y Municipios.</w:t>
      </w:r>
    </w:p>
    <w:p w:rsidR="0068208E" w:rsidRPr="0079394C" w:rsidRDefault="0068208E" w:rsidP="0068208E">
      <w:pPr>
        <w:spacing w:line="360" w:lineRule="auto"/>
        <w:jc w:val="both"/>
        <w:rPr>
          <w:rFonts w:ascii="Palatino Linotype" w:hAnsi="Palatino Linotype" w:cs="Arial"/>
          <w:lang w:val="es-ES_tradnl"/>
        </w:rPr>
      </w:pPr>
    </w:p>
    <w:p w:rsidR="008F526C" w:rsidRPr="0079394C" w:rsidRDefault="008F526C" w:rsidP="008F526C">
      <w:pPr>
        <w:spacing w:line="360" w:lineRule="auto"/>
        <w:rPr>
          <w:rFonts w:ascii="Palatino Linotype" w:eastAsiaTheme="minorHAnsi" w:hAnsi="Palatino Linotype" w:cs="Arial"/>
          <w:b/>
          <w:sz w:val="28"/>
          <w:lang w:val="es-MX" w:eastAsia="en-US"/>
        </w:rPr>
      </w:pPr>
      <w:r w:rsidRPr="0079394C">
        <w:rPr>
          <w:rFonts w:ascii="Palatino Linotype" w:hAnsi="Palatino Linotype"/>
          <w:b/>
          <w:sz w:val="28"/>
          <w:szCs w:val="28"/>
        </w:rPr>
        <w:t xml:space="preserve">SÉPTIMO. </w:t>
      </w:r>
      <w:r w:rsidRPr="0079394C">
        <w:rPr>
          <w:rFonts w:ascii="Palatino Linotype" w:eastAsiaTheme="minorHAnsi" w:hAnsi="Palatino Linotype" w:cs="Arial"/>
          <w:b/>
          <w:sz w:val="28"/>
          <w:lang w:val="es-MX" w:eastAsia="en-US"/>
        </w:rPr>
        <w:t>Del Desistimiento.</w:t>
      </w:r>
    </w:p>
    <w:p w:rsidR="008F526C" w:rsidRPr="0079394C" w:rsidRDefault="008F526C" w:rsidP="008F526C">
      <w:pPr>
        <w:pStyle w:val="Prrafodelista"/>
        <w:spacing w:line="360" w:lineRule="auto"/>
        <w:ind w:left="0"/>
        <w:jc w:val="both"/>
        <w:rPr>
          <w:rFonts w:ascii="Palatino Linotype" w:eastAsiaTheme="minorHAnsi" w:hAnsi="Palatino Linotype" w:cs="Arial"/>
          <w:lang w:val="es-MX" w:eastAsia="en-US"/>
        </w:rPr>
      </w:pPr>
      <w:r w:rsidRPr="0079394C">
        <w:rPr>
          <w:rFonts w:ascii="Palatino Linotype" w:eastAsiaTheme="minorHAnsi" w:hAnsi="Palatino Linotype" w:cs="Arial"/>
          <w:lang w:val="es-MX" w:eastAsia="en-US"/>
        </w:rPr>
        <w:t xml:space="preserve">De las constancias que integran el expediente en que se actúa, se advierte que el día </w:t>
      </w:r>
      <w:r w:rsidRPr="0079394C">
        <w:rPr>
          <w:rFonts w:ascii="Palatino Linotype" w:hAnsi="Palatino Linotype"/>
          <w:b/>
        </w:rPr>
        <w:t>29 (veintinueve) de mayo de 2023</w:t>
      </w:r>
      <w:r w:rsidRPr="0079394C">
        <w:rPr>
          <w:rFonts w:ascii="Palatino Linotype" w:hAnsi="Palatino Linotype" w:cs="Arial"/>
        </w:rPr>
        <w:t xml:space="preserve"> </w:t>
      </w:r>
      <w:r w:rsidRPr="0079394C">
        <w:rPr>
          <w:rFonts w:ascii="Palatino Linotype" w:eastAsiaTheme="minorHAnsi" w:hAnsi="Palatino Linotype" w:cs="Arial"/>
          <w:lang w:val="es-MX" w:eastAsia="en-US"/>
        </w:rPr>
        <w:t xml:space="preserve">(dos mil veintitrés), en el detalle de seguimiento de solicitud, se aprecia que el </w:t>
      </w:r>
      <w:r w:rsidRPr="0079394C">
        <w:rPr>
          <w:rFonts w:ascii="Palatino Linotype" w:eastAsiaTheme="minorHAnsi" w:hAnsi="Palatino Linotype" w:cs="Arial"/>
          <w:b/>
          <w:lang w:val="es-MX" w:eastAsia="en-US"/>
        </w:rPr>
        <w:t>Recurrente</w:t>
      </w:r>
      <w:r w:rsidRPr="0079394C">
        <w:rPr>
          <w:rFonts w:ascii="Palatino Linotype" w:eastAsiaTheme="minorHAnsi" w:hAnsi="Palatino Linotype" w:cs="Arial"/>
          <w:lang w:val="es-MX" w:eastAsia="en-US"/>
        </w:rPr>
        <w:t xml:space="preserve"> se desistió del recurso de revisión que nos ocupa.</w:t>
      </w:r>
    </w:p>
    <w:p w:rsidR="0068208E" w:rsidRPr="0079394C" w:rsidRDefault="0068208E" w:rsidP="0068208E">
      <w:pPr>
        <w:spacing w:line="360" w:lineRule="auto"/>
        <w:rPr>
          <w:rFonts w:ascii="Palatino Linotype" w:hAnsi="Palatino Linotype"/>
          <w:b/>
          <w:sz w:val="28"/>
          <w:szCs w:val="28"/>
        </w:rPr>
      </w:pPr>
    </w:p>
    <w:p w:rsidR="008F526C" w:rsidRPr="0079394C" w:rsidRDefault="008F526C" w:rsidP="008F526C">
      <w:pPr>
        <w:spacing w:line="360" w:lineRule="auto"/>
        <w:jc w:val="both"/>
        <w:rPr>
          <w:rFonts w:ascii="Palatino Linotype" w:hAnsi="Palatino Linotype"/>
          <w:b/>
          <w:sz w:val="28"/>
        </w:rPr>
      </w:pPr>
      <w:r w:rsidRPr="0079394C">
        <w:rPr>
          <w:rFonts w:ascii="Palatino Linotype" w:hAnsi="Palatino Linotype"/>
          <w:b/>
          <w:sz w:val="28"/>
          <w:szCs w:val="28"/>
        </w:rPr>
        <w:t>OCTAVO</w:t>
      </w:r>
      <w:r w:rsidR="0068208E" w:rsidRPr="0079394C">
        <w:rPr>
          <w:rFonts w:ascii="Palatino Linotype" w:hAnsi="Palatino Linotype"/>
          <w:b/>
          <w:sz w:val="28"/>
          <w:szCs w:val="28"/>
        </w:rPr>
        <w:t xml:space="preserve">. </w:t>
      </w:r>
      <w:r w:rsidRPr="0079394C">
        <w:rPr>
          <w:rFonts w:ascii="Palatino Linotype" w:hAnsi="Palatino Linotype"/>
          <w:b/>
          <w:sz w:val="28"/>
        </w:rPr>
        <w:t>Del Cierre de Instrucción.</w:t>
      </w:r>
    </w:p>
    <w:p w:rsidR="008F526C" w:rsidRPr="0079394C" w:rsidRDefault="008F526C" w:rsidP="008F526C">
      <w:pPr>
        <w:pStyle w:val="Prrafodelista"/>
        <w:spacing w:line="360" w:lineRule="auto"/>
        <w:ind w:left="0"/>
        <w:jc w:val="both"/>
        <w:rPr>
          <w:rFonts w:ascii="Palatino Linotype" w:eastAsiaTheme="minorHAnsi" w:hAnsi="Palatino Linotype" w:cs="Arial"/>
          <w:lang w:val="es-MX" w:eastAsia="en-US"/>
        </w:rPr>
      </w:pPr>
      <w:r w:rsidRPr="0079394C">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79394C">
        <w:rPr>
          <w:rFonts w:ascii="Palatino Linotype" w:eastAsiaTheme="minorHAnsi" w:hAnsi="Palatino Linotype" w:cs="Arial"/>
          <w:b/>
          <w:lang w:val="es-MX" w:eastAsia="en-US"/>
        </w:rPr>
        <w:t>cierre de instrucción</w:t>
      </w:r>
      <w:r w:rsidRPr="0079394C">
        <w:rPr>
          <w:rFonts w:ascii="Palatino Linotype" w:eastAsiaTheme="minorHAnsi" w:hAnsi="Palatino Linotype" w:cs="Arial"/>
          <w:lang w:val="es-MX" w:eastAsia="en-US"/>
        </w:rPr>
        <w:t xml:space="preserve"> en fecha </w:t>
      </w:r>
      <w:r w:rsidR="008021F7" w:rsidRPr="0079394C">
        <w:rPr>
          <w:rFonts w:ascii="Palatino Linotype" w:eastAsiaTheme="minorHAnsi" w:hAnsi="Palatino Linotype" w:cs="Arial"/>
          <w:b/>
          <w:lang w:val="es-MX" w:eastAsia="en-US"/>
        </w:rPr>
        <w:t>primero</w:t>
      </w:r>
      <w:r w:rsidRPr="0079394C">
        <w:rPr>
          <w:rFonts w:ascii="Palatino Linotype" w:eastAsiaTheme="minorHAnsi" w:hAnsi="Palatino Linotype" w:cs="Arial"/>
          <w:b/>
          <w:lang w:val="es-MX" w:eastAsia="en-US"/>
        </w:rPr>
        <w:t xml:space="preserve"> de </w:t>
      </w:r>
      <w:r w:rsidR="008021F7" w:rsidRPr="0079394C">
        <w:rPr>
          <w:rFonts w:ascii="Palatino Linotype" w:eastAsiaTheme="minorHAnsi" w:hAnsi="Palatino Linotype" w:cs="Arial"/>
          <w:b/>
          <w:lang w:val="es-MX" w:eastAsia="en-US"/>
        </w:rPr>
        <w:t>junio</w:t>
      </w:r>
      <w:r w:rsidRPr="0079394C">
        <w:rPr>
          <w:rFonts w:ascii="Palatino Linotype" w:eastAsiaTheme="minorHAnsi" w:hAnsi="Palatino Linotype" w:cs="Arial"/>
          <w:lang w:val="es-MX" w:eastAsia="en-US"/>
        </w:rPr>
        <w:t xml:space="preserve"> </w:t>
      </w:r>
      <w:r w:rsidRPr="0079394C">
        <w:rPr>
          <w:rFonts w:ascii="Palatino Linotype" w:eastAsiaTheme="minorHAnsi" w:hAnsi="Palatino Linotype" w:cs="Arial"/>
          <w:b/>
          <w:lang w:val="es-MX" w:eastAsia="en-US"/>
        </w:rPr>
        <w:t xml:space="preserve">de </w:t>
      </w:r>
      <w:r w:rsidR="00486EA1" w:rsidRPr="0079394C">
        <w:rPr>
          <w:rFonts w:ascii="Palatino Linotype" w:eastAsiaTheme="minorHAnsi" w:hAnsi="Palatino Linotype" w:cs="Arial"/>
          <w:b/>
          <w:lang w:val="es-MX" w:eastAsia="en-US"/>
        </w:rPr>
        <w:t>dos mil veintitrés</w:t>
      </w:r>
      <w:r w:rsidRPr="0079394C">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26AF1" w:rsidRPr="0079394C" w:rsidRDefault="00F26AF1" w:rsidP="008F526C">
      <w:pPr>
        <w:pStyle w:val="Prrafodelista"/>
        <w:spacing w:line="360" w:lineRule="auto"/>
        <w:ind w:left="0"/>
        <w:jc w:val="both"/>
        <w:rPr>
          <w:rFonts w:ascii="Palatino Linotype" w:hAnsi="Palatino Linotype" w:cs="Arial"/>
          <w:b/>
          <w:lang w:val="es-ES_tradnl"/>
        </w:rPr>
      </w:pPr>
    </w:p>
    <w:p w:rsidR="00F26AF1" w:rsidRPr="0079394C" w:rsidRDefault="00F26AF1">
      <w:pPr>
        <w:pStyle w:val="Ttulo2"/>
        <w:rPr>
          <w:rFonts w:eastAsiaTheme="minorHAnsi"/>
          <w:b/>
          <w:lang w:eastAsia="en-US"/>
        </w:rPr>
      </w:pPr>
      <w:r w:rsidRPr="0079394C">
        <w:rPr>
          <w:rFonts w:eastAsiaTheme="minorHAnsi"/>
          <w:b/>
          <w:sz w:val="28"/>
          <w:lang w:eastAsia="en-US"/>
        </w:rPr>
        <w:t>NOVENO</w:t>
      </w:r>
      <w:r w:rsidRPr="0079394C">
        <w:rPr>
          <w:rFonts w:eastAsiaTheme="minorHAnsi"/>
          <w:b/>
          <w:lang w:eastAsia="en-US"/>
        </w:rPr>
        <w:t xml:space="preserve">. </w:t>
      </w:r>
      <w:r w:rsidRPr="0079394C">
        <w:rPr>
          <w:rFonts w:eastAsiaTheme="minorHAnsi"/>
          <w:b/>
          <w:sz w:val="28"/>
          <w:lang w:eastAsia="en-US"/>
        </w:rPr>
        <w:t>De la ampliación del término para resolver.</w:t>
      </w:r>
    </w:p>
    <w:p w:rsidR="00F26AF1" w:rsidRPr="0079394C" w:rsidRDefault="00F26AF1" w:rsidP="00475E3E">
      <w:pPr>
        <w:spacing w:line="360" w:lineRule="auto"/>
        <w:jc w:val="both"/>
        <w:rPr>
          <w:rFonts w:ascii="Palatino Linotype" w:eastAsiaTheme="minorHAnsi" w:hAnsi="Palatino Linotype" w:cstheme="minorBidi"/>
          <w:lang w:eastAsia="en-US"/>
        </w:rPr>
      </w:pPr>
      <w:r w:rsidRPr="0079394C">
        <w:rPr>
          <w:rFonts w:ascii="Palatino Linotype" w:eastAsiaTheme="minorHAnsi" w:hAnsi="Palatino Linotype" w:cstheme="minorBidi"/>
          <w:lang w:eastAsia="en-US"/>
        </w:rPr>
        <w:t xml:space="preserve">En fecha primero de junio de dos mil veintitrés, se amplió el término para resolver el recurso de revisión en términos del artículo 181 párrafo tercero de la Ley de </w:t>
      </w:r>
      <w:r w:rsidRPr="0079394C">
        <w:rPr>
          <w:rFonts w:ascii="Palatino Linotype" w:eastAsiaTheme="minorHAnsi" w:hAnsi="Palatino Linotype" w:cstheme="minorBidi"/>
          <w:lang w:eastAsia="en-US"/>
        </w:rPr>
        <w:lastRenderedPageBreak/>
        <w:t>Transparencia y Acceso a la Información Pública del Estado de México y Municipios por un plazo de quince días hábiles.</w:t>
      </w:r>
    </w:p>
    <w:p w:rsidR="0068208E" w:rsidRPr="0079394C" w:rsidRDefault="0068208E" w:rsidP="008F526C">
      <w:pPr>
        <w:spacing w:line="360" w:lineRule="auto"/>
        <w:rPr>
          <w:rFonts w:ascii="Palatino Linotype" w:eastAsiaTheme="minorHAnsi" w:hAnsi="Palatino Linotype" w:cs="Arial"/>
          <w:lang w:val="es-MX" w:eastAsia="en-US"/>
        </w:rPr>
      </w:pPr>
    </w:p>
    <w:p w:rsidR="0068208E" w:rsidRPr="0079394C" w:rsidRDefault="0068208E" w:rsidP="0068208E">
      <w:pPr>
        <w:spacing w:line="360" w:lineRule="auto"/>
        <w:jc w:val="both"/>
        <w:rPr>
          <w:rFonts w:ascii="Palatino Linotype" w:eastAsiaTheme="minorHAnsi" w:hAnsi="Palatino Linotype" w:cs="Arial"/>
          <w:lang w:val="es-MX" w:eastAsia="en-US"/>
        </w:rPr>
      </w:pPr>
    </w:p>
    <w:p w:rsidR="0068208E" w:rsidRPr="0079394C" w:rsidRDefault="0068208E" w:rsidP="0068208E">
      <w:pPr>
        <w:spacing w:line="360" w:lineRule="auto"/>
        <w:jc w:val="both"/>
        <w:rPr>
          <w:rFonts w:ascii="Palatino Linotype" w:hAnsi="Palatino Linotype" w:cs="Arial"/>
        </w:rPr>
      </w:pPr>
    </w:p>
    <w:p w:rsidR="0068208E" w:rsidRPr="0079394C" w:rsidRDefault="0068208E" w:rsidP="0068208E">
      <w:pPr>
        <w:spacing w:line="360" w:lineRule="auto"/>
        <w:jc w:val="center"/>
        <w:rPr>
          <w:rFonts w:ascii="Palatino Linotype" w:hAnsi="Palatino Linotype"/>
          <w:b/>
          <w:bCs/>
          <w:spacing w:val="60"/>
          <w:sz w:val="28"/>
          <w:lang w:val="es-ES_tradnl"/>
        </w:rPr>
      </w:pPr>
      <w:r w:rsidRPr="0079394C">
        <w:rPr>
          <w:rFonts w:ascii="Palatino Linotype" w:hAnsi="Palatino Linotype"/>
          <w:b/>
          <w:bCs/>
          <w:spacing w:val="60"/>
          <w:sz w:val="28"/>
          <w:lang w:val="es-ES_tradnl"/>
        </w:rPr>
        <w:t>CONSIDERANDO</w:t>
      </w:r>
    </w:p>
    <w:p w:rsidR="0068208E" w:rsidRPr="0079394C" w:rsidRDefault="0068208E" w:rsidP="0068208E">
      <w:pPr>
        <w:spacing w:line="360" w:lineRule="auto"/>
        <w:ind w:right="49"/>
        <w:jc w:val="both"/>
        <w:rPr>
          <w:rFonts w:ascii="Palatino Linotype" w:hAnsi="Palatino Linotype"/>
          <w:szCs w:val="28"/>
        </w:rPr>
      </w:pPr>
    </w:p>
    <w:p w:rsidR="0068208E" w:rsidRPr="0079394C" w:rsidRDefault="0068208E" w:rsidP="0068208E">
      <w:pPr>
        <w:spacing w:line="360" w:lineRule="auto"/>
        <w:ind w:right="49"/>
        <w:jc w:val="both"/>
        <w:rPr>
          <w:rFonts w:ascii="Palatino Linotype" w:hAnsi="Palatino Linotype"/>
          <w:b/>
          <w:sz w:val="28"/>
          <w:szCs w:val="28"/>
        </w:rPr>
      </w:pPr>
      <w:r w:rsidRPr="0079394C">
        <w:rPr>
          <w:rFonts w:ascii="Palatino Linotype" w:hAnsi="Palatino Linotype"/>
          <w:b/>
          <w:sz w:val="28"/>
          <w:szCs w:val="28"/>
        </w:rPr>
        <w:t>PRIMERO.</w:t>
      </w:r>
      <w:r w:rsidRPr="0079394C">
        <w:rPr>
          <w:rFonts w:ascii="Palatino Linotype" w:hAnsi="Palatino Linotype"/>
          <w:sz w:val="28"/>
          <w:szCs w:val="28"/>
        </w:rPr>
        <w:t xml:space="preserve"> </w:t>
      </w:r>
      <w:r w:rsidRPr="0079394C">
        <w:rPr>
          <w:rFonts w:ascii="Palatino Linotype" w:hAnsi="Palatino Linotype"/>
          <w:b/>
          <w:sz w:val="28"/>
          <w:szCs w:val="28"/>
        </w:rPr>
        <w:t xml:space="preserve">Competencia. </w:t>
      </w:r>
    </w:p>
    <w:p w:rsidR="0068208E" w:rsidRPr="0079394C" w:rsidRDefault="0068208E" w:rsidP="0068208E">
      <w:pPr>
        <w:spacing w:line="360" w:lineRule="auto"/>
        <w:jc w:val="both"/>
        <w:rPr>
          <w:rFonts w:ascii="Palatino Linotype" w:hAnsi="Palatino Linotype" w:cs="Arial"/>
        </w:rPr>
      </w:pPr>
      <w:r w:rsidRPr="0079394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79394C">
        <w:rPr>
          <w:rFonts w:ascii="Palatino Linotype" w:hAnsi="Palatino Linotype" w:cs="Arial"/>
          <w:b/>
        </w:rPr>
        <w:t>Recurrente</w:t>
      </w:r>
      <w:r w:rsidRPr="0079394C">
        <w:rPr>
          <w:rFonts w:ascii="Palatino Linotype" w:hAnsi="Palatino Linotype" w:cs="Arial"/>
        </w:rPr>
        <w:t>,</w:t>
      </w:r>
      <w:r w:rsidRPr="0079394C">
        <w:rPr>
          <w:rFonts w:ascii="Palatino Linotype" w:hAnsi="Palatino Linotype" w:cs="Arial"/>
          <w:b/>
        </w:rPr>
        <w:t xml:space="preserve"> </w:t>
      </w:r>
      <w:r w:rsidRPr="0079394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w:t>
      </w:r>
      <w:r w:rsidR="00DC188B" w:rsidRPr="0079394C">
        <w:rPr>
          <w:rFonts w:ascii="Palatino Linotype" w:hAnsi="Palatino Linotype" w:cs="Arial"/>
        </w:rPr>
        <w:t xml:space="preserve"> de México y Municipios; 6, 9 fracciones I y XXIII</w:t>
      </w:r>
      <w:r w:rsidRPr="0079394C">
        <w:rPr>
          <w:rFonts w:ascii="Palatino Linotype" w:hAnsi="Palatino Linotype" w:cs="Arial"/>
        </w:rPr>
        <w:t>, y 11 del Reglamento Interior del Instituto de Transparencia, Acceso a la Información Pública y Protección de Datos Personales del Estado de México y Municipios.</w:t>
      </w:r>
    </w:p>
    <w:p w:rsidR="0068208E" w:rsidRPr="0079394C" w:rsidRDefault="0068208E" w:rsidP="0068208E">
      <w:pPr>
        <w:spacing w:line="360" w:lineRule="auto"/>
        <w:jc w:val="both"/>
        <w:rPr>
          <w:rFonts w:ascii="Palatino Linotype" w:hAnsi="Palatino Linotype" w:cs="Arial"/>
        </w:rPr>
      </w:pPr>
    </w:p>
    <w:p w:rsidR="0068208E" w:rsidRPr="0079394C" w:rsidRDefault="0068208E" w:rsidP="0068208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79394C">
        <w:rPr>
          <w:rFonts w:ascii="Palatino Linotype" w:eastAsiaTheme="minorHAnsi" w:hAnsi="Palatino Linotype" w:cs="Arial"/>
          <w:b/>
          <w:sz w:val="28"/>
          <w:szCs w:val="28"/>
          <w:lang w:val="es-MX" w:eastAsia="en-US"/>
        </w:rPr>
        <w:t xml:space="preserve">SEGUNDO. </w:t>
      </w:r>
      <w:r w:rsidRPr="0079394C">
        <w:rPr>
          <w:rFonts w:ascii="Palatino Linotype" w:eastAsiaTheme="minorHAnsi" w:hAnsi="Palatino Linotype" w:cs="Arial"/>
          <w:b/>
          <w:sz w:val="28"/>
          <w:szCs w:val="26"/>
          <w:lang w:val="es-MX" w:eastAsia="en-US"/>
        </w:rPr>
        <w:t>Alcances del recurso de revisión.</w:t>
      </w:r>
      <w:r w:rsidRPr="0079394C">
        <w:rPr>
          <w:rFonts w:ascii="Palatino Linotype" w:eastAsiaTheme="minorHAnsi" w:hAnsi="Palatino Linotype" w:cs="Arial"/>
          <w:b/>
          <w:sz w:val="32"/>
          <w:szCs w:val="28"/>
          <w:lang w:val="es-MX" w:eastAsia="en-US"/>
        </w:rPr>
        <w:t xml:space="preserve"> </w:t>
      </w:r>
    </w:p>
    <w:p w:rsidR="00DC188B" w:rsidRPr="0079394C" w:rsidRDefault="00DC188B" w:rsidP="00DC188B">
      <w:pPr>
        <w:pStyle w:val="Prrafodelista"/>
        <w:autoSpaceDE w:val="0"/>
        <w:autoSpaceDN w:val="0"/>
        <w:adjustRightInd w:val="0"/>
        <w:spacing w:before="240" w:after="160" w:line="360" w:lineRule="auto"/>
        <w:ind w:left="0"/>
        <w:jc w:val="both"/>
        <w:rPr>
          <w:rFonts w:ascii="Palatino Linotype" w:hAnsi="Palatino Linotype" w:cs="Arial"/>
        </w:rPr>
      </w:pPr>
      <w:r w:rsidRPr="0079394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79394C">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8208E" w:rsidRPr="0079394C" w:rsidRDefault="0068208E" w:rsidP="0068208E">
      <w:pPr>
        <w:autoSpaceDE w:val="0"/>
        <w:autoSpaceDN w:val="0"/>
        <w:adjustRightInd w:val="0"/>
        <w:spacing w:line="360" w:lineRule="auto"/>
        <w:jc w:val="both"/>
        <w:rPr>
          <w:rFonts w:ascii="Palatino Linotype" w:eastAsiaTheme="minorHAnsi" w:hAnsi="Palatino Linotype" w:cs="Arial"/>
          <w:lang w:val="es-MX" w:eastAsia="en-US"/>
        </w:rPr>
      </w:pPr>
    </w:p>
    <w:p w:rsidR="0068208E" w:rsidRPr="0079394C" w:rsidRDefault="0068208E" w:rsidP="0068208E">
      <w:pPr>
        <w:spacing w:line="360" w:lineRule="auto"/>
        <w:jc w:val="both"/>
        <w:rPr>
          <w:rFonts w:ascii="Palatino Linotype" w:eastAsiaTheme="minorEastAsia" w:hAnsi="Palatino Linotype" w:cs="Arial"/>
          <w:b/>
          <w:sz w:val="28"/>
          <w:szCs w:val="28"/>
          <w:lang w:val="es-ES_tradnl"/>
        </w:rPr>
      </w:pPr>
      <w:r w:rsidRPr="0079394C">
        <w:rPr>
          <w:rFonts w:ascii="Palatino Linotype" w:eastAsiaTheme="minorEastAsia" w:hAnsi="Palatino Linotype" w:cs="Arial"/>
          <w:b/>
          <w:sz w:val="28"/>
          <w:szCs w:val="28"/>
          <w:lang w:val="es-ES_tradnl"/>
        </w:rPr>
        <w:t>TERCERO. Del estudio de las causas de improcedencia y sobreseimiento.</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ind w:left="567" w:right="616"/>
        <w:jc w:val="both"/>
        <w:rPr>
          <w:rFonts w:ascii="Palatino Linotype" w:eastAsiaTheme="minorEastAsia" w:hAnsi="Palatino Linotype" w:cs="Arial"/>
          <w:i/>
          <w:sz w:val="22"/>
          <w:lang w:val="es-ES_tradnl"/>
        </w:rPr>
      </w:pPr>
      <w:r w:rsidRPr="0079394C">
        <w:rPr>
          <w:rFonts w:ascii="Palatino Linotype" w:eastAsiaTheme="minorEastAsia" w:hAnsi="Palatino Linotype" w:cs="Arial"/>
          <w:i/>
          <w:sz w:val="22"/>
          <w:lang w:val="es-ES_tradnl"/>
        </w:rPr>
        <w:t>“</w:t>
      </w:r>
      <w:r w:rsidRPr="0079394C">
        <w:rPr>
          <w:rFonts w:ascii="Palatino Linotype" w:eastAsiaTheme="minorEastAsia" w:hAnsi="Palatino Linotype" w:cs="Arial"/>
          <w:b/>
          <w:i/>
          <w:sz w:val="22"/>
          <w:lang w:val="es-ES_tradnl"/>
        </w:rPr>
        <w:t>Artículo 192.</w:t>
      </w:r>
      <w:r w:rsidRPr="0079394C">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68208E" w:rsidRPr="0079394C" w:rsidRDefault="0068208E" w:rsidP="0068208E">
      <w:pPr>
        <w:ind w:left="567" w:right="616"/>
        <w:jc w:val="both"/>
        <w:rPr>
          <w:rFonts w:ascii="Palatino Linotype" w:eastAsiaTheme="minorEastAsia" w:hAnsi="Palatino Linotype" w:cs="Arial"/>
          <w:i/>
          <w:sz w:val="22"/>
          <w:lang w:val="es-ES_tradnl"/>
        </w:rPr>
      </w:pPr>
      <w:r w:rsidRPr="0079394C">
        <w:rPr>
          <w:rFonts w:ascii="Palatino Linotype" w:eastAsiaTheme="minorEastAsia" w:hAnsi="Palatino Linotype" w:cs="Arial"/>
          <w:b/>
          <w:i/>
          <w:sz w:val="22"/>
          <w:lang w:val="es-ES_tradnl"/>
        </w:rPr>
        <w:t>I. El Recurrente</w:t>
      </w:r>
      <w:r w:rsidRPr="0079394C">
        <w:rPr>
          <w:rFonts w:ascii="Palatino Linotype" w:eastAsiaTheme="minorEastAsia" w:hAnsi="Palatino Linotype" w:cs="Arial"/>
          <w:b/>
          <w:i/>
          <w:sz w:val="22"/>
          <w:u w:val="single"/>
          <w:lang w:val="es-ES_tradnl"/>
        </w:rPr>
        <w:t xml:space="preserve"> se desista expresamente del recurso</w:t>
      </w:r>
      <w:r w:rsidRPr="0079394C">
        <w:rPr>
          <w:rFonts w:ascii="Palatino Linotype" w:eastAsiaTheme="minorEastAsia" w:hAnsi="Palatino Linotype" w:cs="Arial"/>
          <w:b/>
          <w:i/>
          <w:sz w:val="22"/>
          <w:lang w:val="es-ES_tradnl"/>
        </w:rPr>
        <w:t>;</w:t>
      </w:r>
    </w:p>
    <w:p w:rsidR="0068208E" w:rsidRPr="0079394C" w:rsidRDefault="0068208E" w:rsidP="0068208E">
      <w:pPr>
        <w:ind w:left="567" w:right="616"/>
        <w:jc w:val="both"/>
        <w:rPr>
          <w:rFonts w:ascii="Palatino Linotype" w:eastAsiaTheme="minorEastAsia" w:hAnsi="Palatino Linotype" w:cs="Arial"/>
          <w:i/>
          <w:sz w:val="22"/>
          <w:lang w:val="es-ES_tradnl"/>
        </w:rPr>
      </w:pPr>
      <w:r w:rsidRPr="0079394C">
        <w:rPr>
          <w:rFonts w:ascii="Palatino Linotype" w:eastAsiaTheme="minorEastAsia" w:hAnsi="Palatino Linotype" w:cs="Arial"/>
          <w:i/>
          <w:sz w:val="22"/>
          <w:lang w:val="es-ES_tradnl"/>
        </w:rPr>
        <w:t>II. El Recurrente fallezca o, tratándose de personas jurídicas colectivas, se disuelva;</w:t>
      </w:r>
    </w:p>
    <w:p w:rsidR="0068208E" w:rsidRPr="0079394C" w:rsidRDefault="0068208E" w:rsidP="0068208E">
      <w:pPr>
        <w:ind w:left="567" w:right="616"/>
        <w:jc w:val="both"/>
        <w:rPr>
          <w:rFonts w:ascii="Palatino Linotype" w:eastAsiaTheme="minorEastAsia" w:hAnsi="Palatino Linotype" w:cs="Arial"/>
          <w:i/>
          <w:sz w:val="22"/>
          <w:lang w:val="es-ES_tradnl"/>
        </w:rPr>
      </w:pPr>
      <w:r w:rsidRPr="0079394C">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68208E" w:rsidRPr="0079394C" w:rsidRDefault="0068208E" w:rsidP="0068208E">
      <w:pPr>
        <w:ind w:left="567" w:right="616"/>
        <w:jc w:val="both"/>
        <w:rPr>
          <w:rFonts w:ascii="Palatino Linotype" w:eastAsiaTheme="minorEastAsia" w:hAnsi="Palatino Linotype" w:cs="Arial"/>
          <w:i/>
          <w:sz w:val="22"/>
          <w:lang w:val="es-ES_tradnl"/>
        </w:rPr>
      </w:pPr>
      <w:r w:rsidRPr="0079394C">
        <w:rPr>
          <w:rFonts w:ascii="Palatino Linotype" w:eastAsiaTheme="minorEastAsia" w:hAnsi="Palatino Linotype" w:cs="Arial"/>
          <w:i/>
          <w:sz w:val="22"/>
          <w:lang w:val="es-ES_tradnl"/>
        </w:rPr>
        <w:t>IV. Admitido el recurso de revisión, aparezca alguna causal de improcedencia en los términos de la presente Ley; y</w:t>
      </w:r>
    </w:p>
    <w:p w:rsidR="0068208E" w:rsidRPr="0079394C" w:rsidRDefault="0068208E" w:rsidP="0068208E">
      <w:pPr>
        <w:ind w:left="567" w:right="616"/>
        <w:jc w:val="both"/>
        <w:rPr>
          <w:rFonts w:ascii="Palatino Linotype" w:eastAsiaTheme="minorEastAsia" w:hAnsi="Palatino Linotype" w:cs="Arial"/>
          <w:sz w:val="22"/>
          <w:lang w:val="es-ES_tradnl"/>
        </w:rPr>
      </w:pPr>
      <w:r w:rsidRPr="0079394C">
        <w:rPr>
          <w:rFonts w:ascii="Palatino Linotype" w:eastAsiaTheme="minorEastAsia" w:hAnsi="Palatino Linotype" w:cs="Arial"/>
          <w:i/>
          <w:sz w:val="22"/>
          <w:lang w:val="es-ES_tradnl"/>
        </w:rPr>
        <w:t>V. Cuando por cualquier motivo quede sin materia el recurso.”</w:t>
      </w:r>
    </w:p>
    <w:p w:rsidR="0068208E" w:rsidRPr="0079394C" w:rsidRDefault="0068208E" w:rsidP="0068208E">
      <w:pPr>
        <w:ind w:left="567" w:right="616"/>
        <w:jc w:val="both"/>
        <w:rPr>
          <w:rFonts w:ascii="Palatino Linotype" w:eastAsiaTheme="minorEastAsia" w:hAnsi="Palatino Linotype" w:cs="Arial"/>
          <w:sz w:val="22"/>
          <w:lang w:val="es-ES_tradnl"/>
        </w:rPr>
      </w:pPr>
    </w:p>
    <w:p w:rsidR="0068208E" w:rsidRPr="0079394C" w:rsidRDefault="0068208E" w:rsidP="0068208E">
      <w:pPr>
        <w:ind w:left="567" w:right="616"/>
        <w:jc w:val="right"/>
        <w:rPr>
          <w:rFonts w:ascii="Palatino Linotype" w:eastAsiaTheme="minorEastAsia" w:hAnsi="Palatino Linotype" w:cs="Arial"/>
          <w:sz w:val="22"/>
          <w:lang w:val="es-ES_tradnl"/>
        </w:rPr>
      </w:pPr>
      <w:r w:rsidRPr="0079394C">
        <w:rPr>
          <w:rFonts w:ascii="Palatino Linotype" w:eastAsiaTheme="minorEastAsia" w:hAnsi="Palatino Linotype" w:cs="Arial"/>
          <w:sz w:val="22"/>
          <w:lang w:val="es-ES_tradnl"/>
        </w:rPr>
        <w:t>(Énfasis añadido)</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 xml:space="preserve">Así, para que se tenga por desistido bastará con que la parte </w:t>
      </w:r>
      <w:r w:rsidRPr="0079394C">
        <w:rPr>
          <w:rFonts w:ascii="Palatino Linotype" w:eastAsiaTheme="minorEastAsia" w:hAnsi="Palatino Linotype" w:cs="Arial"/>
          <w:b/>
          <w:lang w:val="es-ES_tradnl"/>
        </w:rPr>
        <w:t>Recurrente</w:t>
      </w:r>
      <w:r w:rsidRPr="0079394C">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008F526C" w:rsidRPr="0079394C">
        <w:rPr>
          <w:rFonts w:ascii="Palatino Linotype" w:eastAsiaTheme="minorEastAsia" w:hAnsi="Palatino Linotype" w:cs="Arial"/>
          <w:b/>
          <w:lang w:val="es-ES_tradnl"/>
        </w:rPr>
        <w:t>la</w:t>
      </w:r>
      <w:r w:rsidRPr="0079394C">
        <w:rPr>
          <w:rFonts w:ascii="Palatino Linotype" w:eastAsiaTheme="minorEastAsia" w:hAnsi="Palatino Linotype" w:cs="Arial"/>
          <w:b/>
          <w:lang w:val="es-ES_tradnl"/>
        </w:rPr>
        <w:t xml:space="preserve"> Recurrente</w:t>
      </w:r>
      <w:r w:rsidRPr="0079394C">
        <w:rPr>
          <w:rFonts w:ascii="Palatino Linotype" w:eastAsiaTheme="minorEastAsia" w:hAnsi="Palatino Linotype" w:cs="Arial"/>
          <w:lang w:val="es-ES_tradnl"/>
        </w:rPr>
        <w:t>, expresó su voluntad de desistirse del recurso, manifestando lo siguiente:</w:t>
      </w:r>
    </w:p>
    <w:p w:rsidR="0068208E" w:rsidRPr="0079394C" w:rsidRDefault="0068208E" w:rsidP="0068208E">
      <w:pPr>
        <w:spacing w:line="360" w:lineRule="auto"/>
        <w:jc w:val="both"/>
        <w:rPr>
          <w:rFonts w:ascii="Palatino Linotype" w:eastAsiaTheme="minorEastAsia" w:hAnsi="Palatino Linotype" w:cs="Arial"/>
          <w:i/>
          <w:lang w:val="es-ES_tradnl"/>
        </w:rPr>
      </w:pPr>
    </w:p>
    <w:p w:rsidR="0068208E" w:rsidRPr="0079394C" w:rsidRDefault="0068208E" w:rsidP="0068208E">
      <w:pPr>
        <w:spacing w:line="360" w:lineRule="auto"/>
        <w:jc w:val="both"/>
        <w:rPr>
          <w:rFonts w:ascii="Palatino Linotype" w:eastAsiaTheme="minorEastAsia" w:hAnsi="Palatino Linotype" w:cs="Arial"/>
          <w:b/>
          <w:i/>
          <w:lang w:val="es-ES_tradnl"/>
        </w:rPr>
      </w:pPr>
      <w:r w:rsidRPr="0079394C">
        <w:rPr>
          <w:rFonts w:ascii="Palatino Linotype" w:eastAsiaTheme="minorEastAsia" w:hAnsi="Palatino Linotype" w:cs="Arial"/>
          <w:b/>
          <w:i/>
          <w:lang w:val="es-ES_tradnl"/>
        </w:rPr>
        <w:t>“</w:t>
      </w:r>
      <w:r w:rsidR="00DC188B" w:rsidRPr="0079394C">
        <w:rPr>
          <w:rFonts w:ascii="Palatino Linotype" w:eastAsiaTheme="minorEastAsia" w:hAnsi="Palatino Linotype" w:cs="Arial"/>
          <w:b/>
          <w:i/>
          <w:lang w:val="es-ES_tradnl"/>
        </w:rPr>
        <w:t>No se requiere la información</w:t>
      </w:r>
      <w:r w:rsidRPr="0079394C">
        <w:rPr>
          <w:rFonts w:ascii="Palatino Linotype" w:eastAsiaTheme="minorEastAsia" w:hAnsi="Palatino Linotype" w:cs="Arial"/>
          <w:b/>
          <w:i/>
          <w:lang w:val="es-ES_tradnl"/>
        </w:rPr>
        <w:t>.”</w:t>
      </w:r>
    </w:p>
    <w:p w:rsidR="0068208E" w:rsidRPr="0079394C" w:rsidRDefault="0068208E" w:rsidP="0068208E">
      <w:pPr>
        <w:spacing w:line="360" w:lineRule="auto"/>
        <w:rPr>
          <w:rFonts w:ascii="Palatino Linotype" w:eastAsiaTheme="minorEastAsia" w:hAnsi="Palatino Linotype" w:cs="Arial"/>
          <w:i/>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 xml:space="preserve">En ese orden de ideas, se entiende que </w:t>
      </w:r>
      <w:r w:rsidRPr="0079394C">
        <w:rPr>
          <w:rFonts w:ascii="Palatino Linotype" w:eastAsiaTheme="minorEastAsia" w:hAnsi="Palatino Linotype" w:cs="Arial"/>
          <w:b/>
          <w:lang w:val="es-ES_tradnl"/>
        </w:rPr>
        <w:t>el Recurrente</w:t>
      </w:r>
      <w:r w:rsidRPr="0079394C">
        <w:rPr>
          <w:rFonts w:ascii="Palatino Linotype" w:eastAsiaTheme="minorEastAsia" w:hAnsi="Palatino Linotype" w:cs="Arial"/>
          <w:lang w:val="es-ES_tradnl"/>
        </w:rPr>
        <w:t xml:space="preserve">, sin existir coacción o dolo, en ejercicio de sus derechos, se desiste del recurso en que se actúa, por lo que se procede </w:t>
      </w:r>
      <w:r w:rsidRPr="0079394C">
        <w:rPr>
          <w:rFonts w:ascii="Palatino Linotype" w:eastAsiaTheme="minorEastAsia" w:hAnsi="Palatino Linotype" w:cs="Arial"/>
          <w:lang w:val="es-ES_tradnl"/>
        </w:rPr>
        <w:lastRenderedPageBreak/>
        <w:t>a la valoración, respecto de si el desistimiento cumple con lo establecido en la fracción I del artículo 192 de la Ley de Transparencia y Acceso a la Información Pública del Estado de México y Municipios.</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 xml:space="preserve">En ese tenor de ideas, la parte </w:t>
      </w:r>
      <w:r w:rsidRPr="0079394C">
        <w:rPr>
          <w:rFonts w:ascii="Palatino Linotype" w:eastAsiaTheme="minorEastAsia" w:hAnsi="Palatino Linotype" w:cs="Arial"/>
          <w:b/>
          <w:lang w:val="es-ES_tradnl"/>
        </w:rPr>
        <w:t>Recurrente</w:t>
      </w:r>
      <w:r w:rsidRPr="0079394C">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00DC188B" w:rsidRPr="0079394C">
        <w:rPr>
          <w:rFonts w:ascii="Verdana" w:hAnsi="Verdana"/>
          <w:b/>
          <w:bCs/>
          <w:color w:val="FF0000"/>
        </w:rPr>
        <w:t xml:space="preserve"> </w:t>
      </w:r>
      <w:r w:rsidR="00DC188B" w:rsidRPr="0079394C">
        <w:rPr>
          <w:rFonts w:ascii="Palatino Linotype" w:hAnsi="Palatino Linotype"/>
          <w:b/>
          <w:bCs/>
        </w:rPr>
        <w:t>00071/UAEM/IP/2023</w:t>
      </w:r>
      <w:r w:rsidRPr="0079394C">
        <w:rPr>
          <w:rFonts w:ascii="Palatino Linotype" w:eastAsiaTheme="minorEastAsia" w:hAnsi="Palatino Linotype" w:cs="Arial"/>
          <w:lang w:val="es-ES_tradnl"/>
        </w:rPr>
        <w:t xml:space="preserve">, y quien, posteriormente interpuso el presente recurso de revisión número </w:t>
      </w:r>
      <w:r w:rsidR="00DC188B" w:rsidRPr="0079394C">
        <w:rPr>
          <w:rFonts w:ascii="Palatino Linotype" w:eastAsiaTheme="minorEastAsia" w:hAnsi="Palatino Linotype" w:cs="Arial"/>
          <w:b/>
          <w:lang w:val="es-ES_tradnl"/>
        </w:rPr>
        <w:t>02025</w:t>
      </w:r>
      <w:r w:rsidRPr="0079394C">
        <w:rPr>
          <w:rFonts w:ascii="Palatino Linotype" w:eastAsiaTheme="minorEastAsia" w:hAnsi="Palatino Linotype" w:cs="Arial"/>
          <w:b/>
          <w:lang w:val="es-ES_tradnl"/>
        </w:rPr>
        <w:t>/INFOEM</w:t>
      </w:r>
      <w:r w:rsidR="00DC188B" w:rsidRPr="0079394C">
        <w:rPr>
          <w:rFonts w:ascii="Palatino Linotype" w:eastAsiaTheme="minorEastAsia" w:hAnsi="Palatino Linotype" w:cs="Arial"/>
          <w:b/>
          <w:lang w:val="es-ES_tradnl"/>
        </w:rPr>
        <w:t>/IP/RR/2023</w:t>
      </w:r>
      <w:r w:rsidRPr="0079394C">
        <w:rPr>
          <w:rFonts w:ascii="Palatino Linotype" w:eastAsiaTheme="minorEastAsia" w:hAnsi="Palatino Linotype" w:cs="Arial"/>
          <w:b/>
          <w:lang w:val="es-ES_tradnl"/>
        </w:rPr>
        <w:t>,</w:t>
      </w:r>
      <w:r w:rsidRPr="0079394C">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lastRenderedPageBreak/>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lang w:val="es-ES_tradnl"/>
        </w:rPr>
        <w:t>Por lo antes expuesto y fundado es de resolverse y,</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center"/>
        <w:rPr>
          <w:rFonts w:ascii="Palatino Linotype" w:eastAsiaTheme="minorEastAsia" w:hAnsi="Palatino Linotype" w:cs="Arial"/>
          <w:b/>
          <w:sz w:val="28"/>
          <w:szCs w:val="28"/>
          <w:lang w:val="es-ES_tradnl"/>
        </w:rPr>
      </w:pPr>
      <w:r w:rsidRPr="0079394C">
        <w:rPr>
          <w:rFonts w:ascii="Palatino Linotype" w:eastAsiaTheme="minorEastAsia" w:hAnsi="Palatino Linotype" w:cs="Arial"/>
          <w:b/>
          <w:sz w:val="28"/>
          <w:szCs w:val="28"/>
          <w:lang w:val="es-ES_tradnl"/>
        </w:rPr>
        <w:t>SE    RESUELVE</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ind w:left="-142" w:firstLine="1"/>
        <w:jc w:val="both"/>
        <w:rPr>
          <w:rFonts w:ascii="Palatino Linotype" w:eastAsiaTheme="minorEastAsia" w:hAnsi="Palatino Linotype" w:cs="Arial"/>
          <w:i/>
          <w:sz w:val="22"/>
          <w:lang w:val="es-ES_tradnl"/>
        </w:rPr>
      </w:pPr>
      <w:r w:rsidRPr="0079394C">
        <w:rPr>
          <w:rFonts w:ascii="Palatino Linotype" w:eastAsiaTheme="minorEastAsia" w:hAnsi="Palatino Linotype" w:cs="Arial"/>
          <w:b/>
          <w:sz w:val="28"/>
          <w:szCs w:val="28"/>
          <w:lang w:val="es-ES_tradnl"/>
        </w:rPr>
        <w:t>PRIMERO</w:t>
      </w:r>
      <w:r w:rsidRPr="0079394C">
        <w:rPr>
          <w:rFonts w:ascii="Palatino Linotype" w:eastAsiaTheme="minorEastAsia" w:hAnsi="Palatino Linotype" w:cs="Arial"/>
          <w:lang w:val="es-ES_tradnl"/>
        </w:rPr>
        <w:t xml:space="preserve">. Se </w:t>
      </w:r>
      <w:r w:rsidRPr="0079394C">
        <w:rPr>
          <w:rFonts w:ascii="Palatino Linotype" w:eastAsiaTheme="minorEastAsia" w:hAnsi="Palatino Linotype" w:cs="Arial"/>
          <w:b/>
          <w:lang w:val="es-ES_tradnl"/>
        </w:rPr>
        <w:t>SOBRESEE</w:t>
      </w:r>
      <w:r w:rsidRPr="0079394C">
        <w:rPr>
          <w:rFonts w:ascii="Palatino Linotype" w:eastAsiaTheme="minorEastAsia" w:hAnsi="Palatino Linotype" w:cs="Arial"/>
          <w:lang w:val="es-ES_tradnl"/>
        </w:rPr>
        <w:t xml:space="preserve"> el recurso de revisión número </w:t>
      </w:r>
      <w:r w:rsidR="00DC188B" w:rsidRPr="0079394C">
        <w:rPr>
          <w:rFonts w:ascii="Palatino Linotype" w:eastAsiaTheme="minorEastAsia" w:hAnsi="Palatino Linotype" w:cs="Arial"/>
          <w:b/>
          <w:lang w:val="es-ES_tradnl"/>
        </w:rPr>
        <w:t>02025</w:t>
      </w:r>
      <w:r w:rsidRPr="0079394C">
        <w:rPr>
          <w:rFonts w:ascii="Palatino Linotype" w:eastAsiaTheme="minorEastAsia" w:hAnsi="Palatino Linotype" w:cs="Arial"/>
          <w:b/>
          <w:lang w:val="es-ES_tradnl"/>
        </w:rPr>
        <w:t>/INFOEM/IP/RR/202</w:t>
      </w:r>
      <w:r w:rsidR="00772087" w:rsidRPr="0079394C">
        <w:rPr>
          <w:rFonts w:ascii="Palatino Linotype" w:eastAsiaTheme="minorEastAsia" w:hAnsi="Palatino Linotype" w:cs="Arial"/>
          <w:b/>
          <w:lang w:val="es-ES_tradnl"/>
        </w:rPr>
        <w:t>3</w:t>
      </w:r>
      <w:r w:rsidRPr="0079394C">
        <w:rPr>
          <w:rFonts w:ascii="Palatino Linotype" w:eastAsiaTheme="minorEastAsia" w:hAnsi="Palatino Linotype" w:cs="Arial"/>
          <w:lang w:val="es-ES_tradnl"/>
        </w:rPr>
        <w:t xml:space="preserve">, por haberse desistido expresamente la parte </w:t>
      </w:r>
      <w:r w:rsidRPr="0079394C">
        <w:rPr>
          <w:rFonts w:ascii="Palatino Linotype" w:eastAsiaTheme="minorEastAsia" w:hAnsi="Palatino Linotype" w:cs="Arial"/>
          <w:b/>
          <w:lang w:val="es-ES_tradnl"/>
        </w:rPr>
        <w:t>Recurrente</w:t>
      </w:r>
      <w:r w:rsidRPr="0079394C">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EastAsia" w:hAnsi="Palatino Linotype" w:cs="Arial"/>
          <w:lang w:val="es-ES_tradnl"/>
        </w:rPr>
      </w:pPr>
      <w:r w:rsidRPr="0079394C">
        <w:rPr>
          <w:rFonts w:ascii="Palatino Linotype" w:eastAsiaTheme="minorEastAsia" w:hAnsi="Palatino Linotype" w:cs="Arial"/>
          <w:b/>
          <w:sz w:val="28"/>
          <w:szCs w:val="28"/>
          <w:lang w:val="es-ES_tradnl"/>
        </w:rPr>
        <w:t>SEGUNDO</w:t>
      </w:r>
      <w:r w:rsidRPr="0079394C">
        <w:rPr>
          <w:rFonts w:ascii="Palatino Linotype" w:eastAsiaTheme="minorEastAsia" w:hAnsi="Palatino Linotype" w:cs="Arial"/>
          <w:lang w:val="es-ES_tradnl"/>
        </w:rPr>
        <w:t xml:space="preserve">. </w:t>
      </w:r>
      <w:r w:rsidRPr="0079394C">
        <w:rPr>
          <w:rFonts w:ascii="Palatino Linotype" w:eastAsiaTheme="minorEastAsia" w:hAnsi="Palatino Linotype" w:cs="Arial"/>
          <w:b/>
          <w:lang w:val="es-ES_tradnl"/>
        </w:rPr>
        <w:t>Notifíquese</w:t>
      </w:r>
      <w:r w:rsidRPr="0079394C">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68208E" w:rsidRPr="0079394C" w:rsidRDefault="0068208E" w:rsidP="0068208E">
      <w:pPr>
        <w:spacing w:line="360" w:lineRule="auto"/>
        <w:jc w:val="both"/>
        <w:rPr>
          <w:rFonts w:ascii="Palatino Linotype" w:eastAsiaTheme="minorEastAsia" w:hAnsi="Palatino Linotype" w:cs="Arial"/>
          <w:lang w:val="es-ES_tradnl"/>
        </w:rPr>
      </w:pPr>
    </w:p>
    <w:p w:rsidR="0068208E" w:rsidRPr="0079394C" w:rsidRDefault="0068208E" w:rsidP="0068208E">
      <w:pPr>
        <w:spacing w:line="360" w:lineRule="auto"/>
        <w:jc w:val="both"/>
        <w:rPr>
          <w:rFonts w:ascii="Palatino Linotype" w:eastAsiaTheme="minorHAnsi" w:hAnsi="Palatino Linotype" w:cstheme="minorBidi"/>
          <w:lang w:eastAsia="es-ES_tradnl"/>
        </w:rPr>
      </w:pPr>
      <w:r w:rsidRPr="0079394C">
        <w:rPr>
          <w:rFonts w:ascii="Palatino Linotype" w:eastAsiaTheme="minorEastAsia" w:hAnsi="Palatino Linotype" w:cs="Arial"/>
          <w:b/>
          <w:sz w:val="28"/>
          <w:szCs w:val="28"/>
          <w:lang w:val="es-ES_tradnl"/>
        </w:rPr>
        <w:t>TERCERO</w:t>
      </w:r>
      <w:r w:rsidRPr="0079394C">
        <w:rPr>
          <w:rFonts w:ascii="Palatino Linotype" w:eastAsiaTheme="minorEastAsia" w:hAnsi="Palatino Linotype" w:cs="Arial"/>
          <w:lang w:val="es-ES_tradnl"/>
        </w:rPr>
        <w:t xml:space="preserve">. </w:t>
      </w:r>
      <w:r w:rsidRPr="0079394C">
        <w:rPr>
          <w:rFonts w:ascii="Palatino Linotype" w:eastAsiaTheme="minorEastAsia" w:hAnsi="Palatino Linotype" w:cs="Arial"/>
          <w:b/>
          <w:lang w:val="es-ES_tradnl"/>
        </w:rPr>
        <w:t>Notifíquese</w:t>
      </w:r>
      <w:r w:rsidRPr="0079394C">
        <w:rPr>
          <w:rFonts w:ascii="Palatino Linotype" w:eastAsiaTheme="minorEastAsia" w:hAnsi="Palatino Linotype" w:cs="Arial"/>
          <w:lang w:val="es-ES_tradnl"/>
        </w:rPr>
        <w:t xml:space="preserve"> la presente resolución a la parte </w:t>
      </w:r>
      <w:r w:rsidRPr="0079394C">
        <w:rPr>
          <w:rFonts w:ascii="Palatino Linotype" w:eastAsiaTheme="minorEastAsia" w:hAnsi="Palatino Linotype" w:cs="Arial"/>
          <w:b/>
          <w:lang w:val="es-ES_tradnl"/>
        </w:rPr>
        <w:t>Recurrente</w:t>
      </w:r>
      <w:r w:rsidRPr="0079394C">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w:t>
      </w:r>
      <w:r w:rsidRPr="0079394C">
        <w:rPr>
          <w:rFonts w:ascii="Palatino Linotype" w:eastAsiaTheme="minorEastAsia" w:hAnsi="Palatino Linotype" w:cs="Arial"/>
          <w:lang w:val="es-ES_tradnl"/>
        </w:rPr>
        <w:lastRenderedPageBreak/>
        <w:t>Pública del Estado de México y Municipios, podrá promover el Juicio de Amparo en los términos de las leyes aplicables.</w:t>
      </w:r>
    </w:p>
    <w:p w:rsidR="0068208E" w:rsidRPr="0079394C" w:rsidRDefault="0068208E" w:rsidP="0068208E">
      <w:pPr>
        <w:spacing w:line="360" w:lineRule="auto"/>
        <w:jc w:val="both"/>
        <w:rPr>
          <w:rFonts w:ascii="Palatino Linotype" w:eastAsiaTheme="minorHAnsi" w:hAnsi="Palatino Linotype" w:cstheme="minorBidi"/>
          <w:lang w:val="es-MX" w:eastAsia="es-ES_tradnl"/>
        </w:rPr>
      </w:pPr>
    </w:p>
    <w:p w:rsidR="0068208E" w:rsidRPr="0079394C" w:rsidRDefault="0068208E" w:rsidP="0068208E">
      <w:pPr>
        <w:spacing w:line="360" w:lineRule="auto"/>
        <w:jc w:val="both"/>
        <w:rPr>
          <w:rFonts w:ascii="Palatino Linotype" w:eastAsiaTheme="minorHAnsi" w:hAnsi="Palatino Linotype" w:cstheme="minorBidi"/>
          <w:lang w:val="es-MX" w:eastAsia="es-ES_tradnl"/>
        </w:rPr>
      </w:pPr>
    </w:p>
    <w:p w:rsidR="0068208E" w:rsidRPr="0079394C" w:rsidRDefault="0068208E" w:rsidP="0068208E">
      <w:pPr>
        <w:spacing w:line="360" w:lineRule="auto"/>
        <w:jc w:val="both"/>
        <w:rPr>
          <w:rFonts w:ascii="Palatino Linotype" w:hAnsi="Palatino Linotype" w:cs="Arial"/>
        </w:rPr>
      </w:pPr>
      <w:r w:rsidRPr="0079394C">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DC188B" w:rsidRPr="0079394C">
        <w:rPr>
          <w:rFonts w:ascii="Palatino Linotype" w:eastAsiaTheme="minorHAnsi" w:hAnsi="Palatino Linotype" w:cs="Arial"/>
          <w:lang w:val="es-MX" w:eastAsia="en-US"/>
        </w:rPr>
        <w:t xml:space="preserve">LUPE RAMÍREZ PEÑA; EN LA </w:t>
      </w:r>
      <w:r w:rsidR="008F526C" w:rsidRPr="0079394C">
        <w:rPr>
          <w:rFonts w:ascii="Palatino Linotype" w:eastAsiaTheme="minorHAnsi" w:hAnsi="Palatino Linotype" w:cs="Arial"/>
          <w:lang w:val="es-MX" w:eastAsia="en-US"/>
        </w:rPr>
        <w:t xml:space="preserve">VIGÉSIMA PRIMERA </w:t>
      </w:r>
      <w:r w:rsidRPr="0079394C">
        <w:rPr>
          <w:rFonts w:ascii="Palatino Linotype" w:eastAsiaTheme="minorHAnsi" w:hAnsi="Palatino Linotype" w:cs="Arial"/>
          <w:lang w:val="es-MX" w:eastAsia="en-US"/>
        </w:rPr>
        <w:t xml:space="preserve">SESIÓN ORDINARIA, CELEBRADA EL </w:t>
      </w:r>
      <w:r w:rsidR="00DC188B" w:rsidRPr="0079394C">
        <w:rPr>
          <w:rFonts w:ascii="Palatino Linotype" w:eastAsiaTheme="minorHAnsi" w:hAnsi="Palatino Linotype" w:cs="Arial"/>
          <w:lang w:val="es-MX" w:eastAsia="en-US"/>
        </w:rPr>
        <w:t xml:space="preserve">SIETE DE JUNIO </w:t>
      </w:r>
      <w:r w:rsidRPr="0079394C">
        <w:rPr>
          <w:rFonts w:ascii="Palatino Linotype" w:eastAsiaTheme="minorHAnsi" w:hAnsi="Palatino Linotype" w:cs="Arial"/>
          <w:lang w:val="es-MX" w:eastAsia="en-US"/>
        </w:rPr>
        <w:t>DE DOS MIL VEINTITRÉS, ANTE EL SECRETARIO TÉCNICO DEL PLENO ALEXIS TAPIA RAMÍREZ</w:t>
      </w:r>
      <w:r w:rsidRPr="0079394C">
        <w:rPr>
          <w:rFonts w:ascii="Palatino Linotype" w:hAnsi="Palatino Linotype" w:cs="Arial"/>
        </w:rPr>
        <w:t>. --------------------------------------------------------------------------------------------------------------------------------------------------------------------------------------------------------------------------------------------------------------------------------------------------------------------------------------------------------------------------------------------------------------------------------------------------------------------------------------------------------------------------------------------------------------------------------------------------------------------------------------------------------------------------------------------------------------------------------------------------------------------------------------------------------------------------------------------------------------------------------------------------------------------------------------------------------------------------------------------------------------------------------------------------------------------------------------------------------------------------------------------------------------------------------------------------------------------------------------------------------------------------------------------------------------------------------------------------------------------------------------------------------</w:t>
      </w:r>
    </w:p>
    <w:p w:rsidR="0068208E" w:rsidRPr="002C0BFD" w:rsidRDefault="0068208E" w:rsidP="0068208E">
      <w:pPr>
        <w:spacing w:line="360" w:lineRule="auto"/>
        <w:jc w:val="both"/>
        <w:rPr>
          <w:rFonts w:ascii="Palatino Linotype" w:hAnsi="Palatino Linotype" w:cs="Arial"/>
          <w:sz w:val="20"/>
        </w:rPr>
      </w:pPr>
      <w:r w:rsidRPr="0079394C">
        <w:rPr>
          <w:rFonts w:ascii="Palatino Linotype" w:hAnsi="Palatino Linotype" w:cs="Arial"/>
          <w:sz w:val="20"/>
        </w:rPr>
        <w:t>JMV/CCR/LMST</w:t>
      </w:r>
    </w:p>
    <w:p w:rsidR="0068208E" w:rsidRDefault="0068208E" w:rsidP="0068208E">
      <w:pPr>
        <w:spacing w:line="360" w:lineRule="auto"/>
        <w:jc w:val="both"/>
        <w:rPr>
          <w:rFonts w:ascii="Palatino Linotype" w:hAnsi="Palatino Linotype" w:cs="Arial"/>
        </w:rPr>
      </w:pPr>
    </w:p>
    <w:p w:rsidR="0068208E" w:rsidRDefault="0068208E" w:rsidP="0068208E">
      <w:pPr>
        <w:spacing w:line="360" w:lineRule="auto"/>
        <w:jc w:val="both"/>
        <w:rPr>
          <w:rFonts w:ascii="Palatino Linotype" w:hAnsi="Palatino Linotype" w:cs="Arial"/>
        </w:rPr>
      </w:pPr>
    </w:p>
    <w:p w:rsidR="0068208E" w:rsidRDefault="0068208E" w:rsidP="0068208E">
      <w:pPr>
        <w:spacing w:line="360" w:lineRule="auto"/>
        <w:jc w:val="both"/>
        <w:rPr>
          <w:rFonts w:ascii="Palatino Linotype" w:hAnsi="Palatino Linotype" w:cs="Arial"/>
        </w:rPr>
      </w:pPr>
    </w:p>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68208E" w:rsidRDefault="0068208E" w:rsidP="0068208E"/>
    <w:p w:rsidR="00CD23E8" w:rsidRDefault="00CD23E8"/>
    <w:sectPr w:rsidR="00CD23E8" w:rsidSect="004C41C9">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2B" w:rsidRDefault="00991C2B" w:rsidP="0068208E">
      <w:r>
        <w:separator/>
      </w:r>
    </w:p>
  </w:endnote>
  <w:endnote w:type="continuationSeparator" w:id="0">
    <w:p w:rsidR="00991C2B" w:rsidRDefault="00991C2B" w:rsidP="0068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A2780F" w:rsidRDefault="006A7BF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04CB">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04CB">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070856" w:rsidRDefault="006A7BF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04C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04CB">
      <w:rPr>
        <w:rFonts w:ascii="Arial" w:hAnsi="Arial" w:cs="Arial"/>
        <w:b/>
        <w:bCs/>
        <w:noProof/>
        <w:sz w:val="20"/>
        <w:szCs w:val="20"/>
      </w:rPr>
      <w:t>14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2B" w:rsidRDefault="00991C2B" w:rsidP="0068208E">
      <w:r>
        <w:separator/>
      </w:r>
    </w:p>
  </w:footnote>
  <w:footnote w:type="continuationSeparator" w:id="0">
    <w:p w:rsidR="00991C2B" w:rsidRDefault="00991C2B" w:rsidP="00682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rsidTr="004C41C9">
      <w:tc>
        <w:tcPr>
          <w:tcW w:w="3620" w:type="dxa"/>
          <w:shd w:val="clear" w:color="auto" w:fill="auto"/>
        </w:tcPr>
        <w:p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C41C9" w:rsidRPr="00664658" w:rsidRDefault="0068208E" w:rsidP="0068208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02025</w:t>
          </w:r>
          <w:r w:rsidR="006A7BF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C41C9" w:rsidRPr="008F2CCC" w:rsidTr="004C41C9">
      <w:tc>
        <w:tcPr>
          <w:tcW w:w="3620" w:type="dxa"/>
          <w:shd w:val="clear" w:color="auto" w:fill="auto"/>
        </w:tcPr>
        <w:p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C41C9" w:rsidRPr="00A06B4A" w:rsidRDefault="0068208E" w:rsidP="008D18BB">
          <w:pPr>
            <w:ind w:left="1019" w:right="-250"/>
            <w:rPr>
              <w:rFonts w:ascii="Palatino Linotype" w:hAnsi="Palatino Linotype"/>
              <w:b/>
              <w:sz w:val="22"/>
              <w:szCs w:val="22"/>
            </w:rPr>
          </w:pPr>
          <w:r>
            <w:rPr>
              <w:rFonts w:ascii="Palatino Linotype" w:hAnsi="Palatino Linotype"/>
              <w:b/>
              <w:sz w:val="22"/>
              <w:szCs w:val="22"/>
            </w:rPr>
            <w:t xml:space="preserve">Universidad Autónoma del Estado de México </w:t>
          </w:r>
        </w:p>
      </w:tc>
    </w:tr>
    <w:tr w:rsidR="004C41C9" w:rsidRPr="008F2CCC" w:rsidTr="004C41C9">
      <w:trPr>
        <w:trHeight w:val="228"/>
      </w:trPr>
      <w:tc>
        <w:tcPr>
          <w:tcW w:w="3620" w:type="dxa"/>
          <w:shd w:val="clear" w:color="auto" w:fill="auto"/>
        </w:tcPr>
        <w:p w:rsidR="004C41C9" w:rsidRPr="007E5FC4" w:rsidRDefault="006A7BF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C41C9" w:rsidRPr="00664658" w:rsidRDefault="006A7BF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1779E0" w:rsidRDefault="006A7BF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6D27B3" wp14:editId="3698E29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rsidTr="004C41C9">
      <w:tc>
        <w:tcPr>
          <w:tcW w:w="2977" w:type="dxa"/>
          <w:shd w:val="clear" w:color="auto" w:fill="auto"/>
        </w:tcPr>
        <w:p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C41C9" w:rsidRPr="008F2CCC" w:rsidRDefault="0068208E"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02025/INFOEM/IP/RR/2023</w:t>
          </w:r>
          <w:r w:rsidR="006A7BFC">
            <w:rPr>
              <w:rFonts w:ascii="Palatino Linotype" w:hAnsi="Palatino Linotype"/>
              <w:b/>
              <w:sz w:val="22"/>
              <w:szCs w:val="22"/>
              <w:lang w:val="es-ES_tradnl"/>
            </w:rPr>
            <w:t xml:space="preserve"> </w:t>
          </w:r>
        </w:p>
      </w:tc>
    </w:tr>
    <w:tr w:rsidR="004C41C9" w:rsidRPr="008F2CCC" w:rsidTr="004C41C9">
      <w:tc>
        <w:tcPr>
          <w:tcW w:w="2977" w:type="dxa"/>
          <w:shd w:val="clear" w:color="auto" w:fill="auto"/>
          <w:vAlign w:val="center"/>
        </w:tcPr>
        <w:p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C41C9" w:rsidRPr="008F2CCC" w:rsidRDefault="00D504CB"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r w:rsidR="006A7BFC">
            <w:rPr>
              <w:rFonts w:ascii="Palatino Linotype" w:hAnsi="Palatino Linotype"/>
              <w:b/>
              <w:sz w:val="22"/>
              <w:szCs w:val="22"/>
              <w:lang w:val="es-ES_tradnl"/>
            </w:rPr>
            <w:t xml:space="preserve"> </w:t>
          </w:r>
        </w:p>
      </w:tc>
    </w:tr>
    <w:tr w:rsidR="004C41C9" w:rsidRPr="008F2CCC" w:rsidTr="004C41C9">
      <w:trPr>
        <w:trHeight w:val="228"/>
      </w:trPr>
      <w:tc>
        <w:tcPr>
          <w:tcW w:w="2977" w:type="dxa"/>
          <w:shd w:val="clear" w:color="auto" w:fill="auto"/>
        </w:tcPr>
        <w:p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C41C9" w:rsidRPr="00DC41C8" w:rsidRDefault="0068208E" w:rsidP="004C41C9">
          <w:pPr>
            <w:spacing w:line="360" w:lineRule="auto"/>
            <w:jc w:val="right"/>
            <w:rPr>
              <w:rFonts w:ascii="Palatino Linotype" w:hAnsi="Palatino Linotype"/>
              <w:b/>
              <w:sz w:val="22"/>
              <w:szCs w:val="22"/>
            </w:rPr>
          </w:pPr>
          <w:r>
            <w:rPr>
              <w:rFonts w:ascii="Palatino Linotype" w:hAnsi="Palatino Linotype"/>
              <w:b/>
              <w:bCs/>
              <w:sz w:val="22"/>
              <w:szCs w:val="22"/>
            </w:rPr>
            <w:t>Universidad Autónoma del Estado de México</w:t>
          </w:r>
        </w:p>
      </w:tc>
    </w:tr>
    <w:tr w:rsidR="004C41C9" w:rsidRPr="008F2CCC" w:rsidTr="004C41C9">
      <w:tc>
        <w:tcPr>
          <w:tcW w:w="2977" w:type="dxa"/>
          <w:shd w:val="clear" w:color="auto" w:fill="auto"/>
        </w:tcPr>
        <w:p w:rsidR="004C41C9" w:rsidRPr="007E5FC4" w:rsidRDefault="006A7BF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C41C9" w:rsidRPr="008F2CCC" w:rsidRDefault="006A7BF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9F1AB6" w:rsidRDefault="006A7BF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2393ED4" wp14:editId="092C168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09620FB"/>
    <w:multiLevelType w:val="hybridMultilevel"/>
    <w:tmpl w:val="D134615E"/>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abstractNum w:abstractNumId="3" w15:restartNumberingAfterBreak="0">
    <w:nsid w:val="5A484027"/>
    <w:multiLevelType w:val="hybridMultilevel"/>
    <w:tmpl w:val="013258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8E"/>
    <w:rsid w:val="00017E01"/>
    <w:rsid w:val="00227A3D"/>
    <w:rsid w:val="00316728"/>
    <w:rsid w:val="003200D1"/>
    <w:rsid w:val="00357313"/>
    <w:rsid w:val="00475E3E"/>
    <w:rsid w:val="00486EA1"/>
    <w:rsid w:val="0068208E"/>
    <w:rsid w:val="006A7BFC"/>
    <w:rsid w:val="00772087"/>
    <w:rsid w:val="0079394C"/>
    <w:rsid w:val="008021F7"/>
    <w:rsid w:val="00881F4E"/>
    <w:rsid w:val="008B3DAC"/>
    <w:rsid w:val="008D0131"/>
    <w:rsid w:val="008F526C"/>
    <w:rsid w:val="00991C2B"/>
    <w:rsid w:val="009A438A"/>
    <w:rsid w:val="00B30A5C"/>
    <w:rsid w:val="00C43EC9"/>
    <w:rsid w:val="00CD23E8"/>
    <w:rsid w:val="00CE08FD"/>
    <w:rsid w:val="00D504CB"/>
    <w:rsid w:val="00DC188B"/>
    <w:rsid w:val="00F26AF1"/>
    <w:rsid w:val="00F75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8883C3-6CFE-44CA-9C98-A0A19E79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8E"/>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semiHidden/>
    <w:unhideWhenUsed/>
    <w:qFormat/>
    <w:rsid w:val="00F26AF1"/>
    <w:pPr>
      <w:keepNext/>
      <w:keepLines/>
      <w:spacing w:line="360" w:lineRule="auto"/>
      <w:jc w:val="both"/>
      <w:outlineLvl w:val="1"/>
    </w:pPr>
    <w:rPr>
      <w:rFonts w:ascii="Palatino Linotype" w:eastAsiaTheme="majorEastAsia" w:hAnsi="Palatino Linotype" w:cstheme="majorBidi"/>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08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8208E"/>
    <w:rPr>
      <w:rFonts w:eastAsiaTheme="minorEastAsia"/>
      <w:sz w:val="24"/>
      <w:szCs w:val="24"/>
      <w:lang w:val="es-ES_tradnl" w:eastAsia="es-ES"/>
    </w:rPr>
  </w:style>
  <w:style w:type="paragraph" w:styleId="Piedepgina">
    <w:name w:val="footer"/>
    <w:basedOn w:val="Normal"/>
    <w:link w:val="PiedepginaCar"/>
    <w:uiPriority w:val="99"/>
    <w:unhideWhenUsed/>
    <w:rsid w:val="0068208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8208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68208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68208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8208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8208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8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16728"/>
    <w:rPr>
      <w:color w:val="0000FF"/>
      <w:u w:val="single"/>
    </w:rPr>
  </w:style>
  <w:style w:type="paragraph" w:styleId="Textodeglobo">
    <w:name w:val="Balloon Text"/>
    <w:basedOn w:val="Normal"/>
    <w:link w:val="TextodegloboCar"/>
    <w:uiPriority w:val="99"/>
    <w:semiHidden/>
    <w:unhideWhenUsed/>
    <w:rsid w:val="003200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00D1"/>
    <w:rPr>
      <w:rFonts w:ascii="Segoe UI" w:eastAsia="Times New Roman" w:hAnsi="Segoe UI" w:cs="Segoe UI"/>
      <w:sz w:val="18"/>
      <w:szCs w:val="18"/>
      <w:lang w:val="es-ES" w:eastAsia="es-ES"/>
    </w:rPr>
  </w:style>
  <w:style w:type="character" w:customStyle="1" w:styleId="Ttulo2Car">
    <w:name w:val="Título 2 Car"/>
    <w:aliases w:val="Subtítulos Car"/>
    <w:basedOn w:val="Fuentedeprrafopredeter"/>
    <w:link w:val="Ttulo2"/>
    <w:uiPriority w:val="9"/>
    <w:semiHidden/>
    <w:rsid w:val="00F26AF1"/>
    <w:rPr>
      <w:rFonts w:ascii="Palatino Linotype" w:eastAsiaTheme="majorEastAsia" w:hAnsi="Palatino Linotype" w:cstheme="majorBidi"/>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969">
      <w:bodyDiv w:val="1"/>
      <w:marLeft w:val="0"/>
      <w:marRight w:val="0"/>
      <w:marTop w:val="0"/>
      <w:marBottom w:val="0"/>
      <w:divBdr>
        <w:top w:val="none" w:sz="0" w:space="0" w:color="auto"/>
        <w:left w:val="none" w:sz="0" w:space="0" w:color="auto"/>
        <w:bottom w:val="none" w:sz="0" w:space="0" w:color="auto"/>
        <w:right w:val="none" w:sz="0" w:space="0" w:color="auto"/>
      </w:divBdr>
    </w:div>
    <w:div w:id="705837212">
      <w:bodyDiv w:val="1"/>
      <w:marLeft w:val="0"/>
      <w:marRight w:val="0"/>
      <w:marTop w:val="0"/>
      <w:marBottom w:val="0"/>
      <w:divBdr>
        <w:top w:val="none" w:sz="0" w:space="0" w:color="auto"/>
        <w:left w:val="none" w:sz="0" w:space="0" w:color="auto"/>
        <w:bottom w:val="none" w:sz="0" w:space="0" w:color="auto"/>
        <w:right w:val="none" w:sz="0" w:space="0" w:color="auto"/>
      </w:divBdr>
    </w:div>
    <w:div w:id="1699428400">
      <w:bodyDiv w:val="1"/>
      <w:marLeft w:val="0"/>
      <w:marRight w:val="0"/>
      <w:marTop w:val="0"/>
      <w:marBottom w:val="0"/>
      <w:divBdr>
        <w:top w:val="none" w:sz="0" w:space="0" w:color="auto"/>
        <w:left w:val="none" w:sz="0" w:space="0" w:color="auto"/>
        <w:bottom w:val="none" w:sz="0" w:space="0" w:color="auto"/>
        <w:right w:val="none" w:sz="0" w:space="0" w:color="auto"/>
      </w:divBdr>
    </w:div>
    <w:div w:id="21075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9709.page" TargetMode="External"/><Relationship Id="rId13" Type="http://schemas.openxmlformats.org/officeDocument/2006/relationships/hyperlink" Target="https://saimex.org.mx/saimex/solicitud/downloadAttach/1777422.pa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59708.page" TargetMode="External"/><Relationship Id="rId12" Type="http://schemas.openxmlformats.org/officeDocument/2006/relationships/hyperlink" Target="https://saimex.org.mx/saimex/solicitud/downloadAttach/1777421.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59712.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759711.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75971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3306</Words>
  <Characters>18183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2023-05-30T17:40:00Z</dcterms:created>
  <dcterms:modified xsi:type="dcterms:W3CDTF">2023-06-27T18:35:00Z</dcterms:modified>
</cp:coreProperties>
</file>