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2641D2E"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352230">
        <w:rPr>
          <w:rFonts w:ascii="Palatino Linotype" w:hAnsi="Palatino Linotype"/>
          <w:color w:val="000000" w:themeColor="text1"/>
        </w:rPr>
        <w:t>cuatro</w:t>
      </w:r>
      <w:r w:rsidR="007F0D1B">
        <w:rPr>
          <w:rFonts w:ascii="Palatino Linotype" w:hAnsi="Palatino Linotype"/>
          <w:color w:val="000000" w:themeColor="text1"/>
        </w:rPr>
        <w:t xml:space="preserve"> </w:t>
      </w:r>
      <w:r w:rsidR="007076C5" w:rsidRPr="00A0054B">
        <w:rPr>
          <w:rFonts w:ascii="Palatino Linotype" w:hAnsi="Palatino Linotype"/>
          <w:color w:val="000000" w:themeColor="text1"/>
        </w:rPr>
        <w:t>(</w:t>
      </w:r>
      <w:r w:rsidR="00352230">
        <w:rPr>
          <w:rFonts w:ascii="Palatino Linotype" w:hAnsi="Palatino Linotype"/>
          <w:color w:val="000000" w:themeColor="text1"/>
        </w:rPr>
        <w:t>04</w:t>
      </w:r>
      <w:r w:rsidR="00FE576E">
        <w:rPr>
          <w:rFonts w:ascii="Palatino Linotype" w:hAnsi="Palatino Linotype"/>
          <w:color w:val="000000" w:themeColor="text1"/>
        </w:rPr>
        <w:t xml:space="preserve">) de </w:t>
      </w:r>
      <w:r w:rsidR="00A36398">
        <w:rPr>
          <w:rFonts w:ascii="Palatino Linotype" w:hAnsi="Palatino Linotype"/>
          <w:color w:val="000000" w:themeColor="text1"/>
        </w:rPr>
        <w:t>mayo</w:t>
      </w:r>
      <w:r w:rsidR="002D1AA7" w:rsidRPr="00A0054B">
        <w:rPr>
          <w:rFonts w:ascii="Palatino Linotype" w:hAnsi="Palatino Linotype"/>
          <w:color w:val="000000" w:themeColor="text1"/>
        </w:rPr>
        <w:t xml:space="preserve"> 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1776D68B"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A36398" w:rsidRPr="00A36398">
        <w:rPr>
          <w:rFonts w:ascii="Palatino Linotype" w:eastAsia="Calibri" w:hAnsi="Palatino Linotype" w:cs="Arial"/>
          <w:b/>
          <w:lang w:val="es-ES"/>
        </w:rPr>
        <w:t>16918</w:t>
      </w:r>
      <w:r w:rsidR="00A36398" w:rsidRPr="00A36398">
        <w:rPr>
          <w:rFonts w:ascii="Palatino Linotype" w:hAnsi="Palatino Linotype"/>
          <w:b/>
          <w:szCs w:val="22"/>
        </w:rPr>
        <w:t>/INFOEM/IP/RR/2022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223333">
        <w:rPr>
          <w:rFonts w:ascii="Palatino Linotype" w:hAnsi="Palatino Linotype"/>
          <w:b/>
          <w:szCs w:val="22"/>
        </w:rPr>
        <w:t>XXXXXXX</w:t>
      </w:r>
      <w:r w:rsidR="00DC6944">
        <w:rPr>
          <w:rFonts w:ascii="Palatino Linotype" w:eastAsia="Times New Roman" w:hAnsi="Palatino Linotype" w:cs="Times New Roman"/>
          <w:color w:val="000000" w:themeColor="text1"/>
        </w:rPr>
        <w:t>,</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w:t>
      </w:r>
      <w:r w:rsidR="005F1362" w:rsidRPr="00A36398">
        <w:rPr>
          <w:rFonts w:ascii="Palatino Linotype" w:eastAsia="Times New Roman" w:hAnsi="Palatino Linotype" w:cs="Arial"/>
          <w:b/>
          <w:color w:val="000000" w:themeColor="text1"/>
        </w:rPr>
        <w:t>d</w:t>
      </w:r>
      <w:r w:rsidR="00743FFA" w:rsidRPr="00A36398">
        <w:rPr>
          <w:rFonts w:ascii="Palatino Linotype" w:eastAsia="Times New Roman" w:hAnsi="Palatino Linotype" w:cs="Arial"/>
          <w:b/>
          <w:color w:val="000000" w:themeColor="text1"/>
        </w:rPr>
        <w:t>e</w:t>
      </w:r>
      <w:r w:rsidR="00A36398">
        <w:rPr>
          <w:rFonts w:ascii="Palatino Linotype" w:eastAsia="Calibri" w:hAnsi="Palatino Linotype" w:cs="Arial"/>
          <w:b/>
          <w:bCs/>
          <w:lang w:val="es-ES"/>
        </w:rPr>
        <w:t>l Poder Legislativo</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769E1410" w14:textId="25E1B89A" w:rsidR="0058736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5F73BCCB" w14:textId="77777777" w:rsidR="003F1A79" w:rsidRPr="003F1A79" w:rsidRDefault="003F1A79" w:rsidP="003F1A79">
      <w:pPr>
        <w:rPr>
          <w:lang w:eastAsia="en-US"/>
        </w:rPr>
      </w:pPr>
    </w:p>
    <w:p w14:paraId="402A4C0A" w14:textId="730BBDF2" w:rsidR="00D9392E" w:rsidRPr="002D1A9E"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5A0642">
        <w:rPr>
          <w:rFonts w:ascii="Palatino Linotype" w:eastAsia="Calibri" w:hAnsi="Palatino Linotype" w:cs="Arial"/>
          <w:color w:val="000000" w:themeColor="text1"/>
          <w:lang w:val="es-ES"/>
        </w:rPr>
        <w:t>ocho</w:t>
      </w:r>
      <w:r w:rsidR="002D1A9E">
        <w:rPr>
          <w:rFonts w:ascii="Palatino Linotype" w:eastAsia="Calibri" w:hAnsi="Palatino Linotype" w:cs="Arial"/>
          <w:color w:val="000000" w:themeColor="text1"/>
          <w:lang w:val="es-ES"/>
        </w:rPr>
        <w:t xml:space="preserve"> </w:t>
      </w:r>
      <w:r w:rsidR="00E7785D">
        <w:rPr>
          <w:rFonts w:ascii="Palatino Linotype" w:eastAsia="Calibri" w:hAnsi="Palatino Linotype" w:cs="Arial"/>
          <w:color w:val="000000" w:themeColor="text1"/>
          <w:lang w:val="es-ES"/>
        </w:rPr>
        <w:t>(</w:t>
      </w:r>
      <w:r w:rsidR="005A0642">
        <w:rPr>
          <w:rFonts w:ascii="Palatino Linotype" w:eastAsia="Calibri" w:hAnsi="Palatino Linotype" w:cs="Arial"/>
          <w:color w:val="000000" w:themeColor="text1"/>
          <w:lang w:val="es-ES"/>
        </w:rPr>
        <w:t>8</w:t>
      </w:r>
      <w:r w:rsidR="00E7785D" w:rsidRPr="002D1A9E">
        <w:rPr>
          <w:rFonts w:ascii="Palatino Linotype" w:eastAsia="Calibri" w:hAnsi="Palatino Linotype" w:cs="Arial"/>
          <w:color w:val="000000" w:themeColor="text1"/>
          <w:lang w:val="es-ES"/>
        </w:rPr>
        <w:t>)</w:t>
      </w:r>
      <w:r w:rsidR="007076C5" w:rsidRPr="002D1A9E">
        <w:rPr>
          <w:rFonts w:ascii="Palatino Linotype" w:eastAsia="Calibri" w:hAnsi="Palatino Linotype" w:cs="Arial"/>
          <w:color w:val="000000" w:themeColor="text1"/>
          <w:lang w:val="es-ES"/>
        </w:rPr>
        <w:t xml:space="preserve"> de </w:t>
      </w:r>
      <w:r w:rsidR="00A36398">
        <w:rPr>
          <w:rFonts w:ascii="Palatino Linotype" w:eastAsia="Calibri" w:hAnsi="Palatino Linotype" w:cs="Arial"/>
          <w:color w:val="000000" w:themeColor="text1"/>
          <w:lang w:val="es-ES"/>
        </w:rPr>
        <w:t>noviembre</w:t>
      </w:r>
      <w:r w:rsidR="00B31E90" w:rsidRPr="002D1A9E">
        <w:rPr>
          <w:rFonts w:ascii="Palatino Linotype" w:eastAsia="Calibri" w:hAnsi="Palatino Linotype" w:cs="Arial"/>
          <w:color w:val="000000" w:themeColor="text1"/>
          <w:lang w:val="es-ES"/>
        </w:rPr>
        <w:t xml:space="preserve"> de dos mil veinti</w:t>
      </w:r>
      <w:r w:rsidR="00DC6944" w:rsidRPr="002D1A9E">
        <w:rPr>
          <w:rFonts w:ascii="Palatino Linotype" w:eastAsia="Calibri" w:hAnsi="Palatino Linotype" w:cs="Arial"/>
          <w:color w:val="000000" w:themeColor="text1"/>
          <w:lang w:val="es-ES"/>
        </w:rPr>
        <w:t>dós</w:t>
      </w:r>
      <w:r w:rsidR="005F1362" w:rsidRPr="002D1A9E">
        <w:rPr>
          <w:rFonts w:ascii="Palatino Linotype" w:eastAsia="Calibri" w:hAnsi="Palatino Linotype" w:cs="Arial"/>
          <w:color w:val="000000" w:themeColor="text1"/>
          <w:lang w:val="es-ES"/>
        </w:rPr>
        <w:t xml:space="preserve">, </w:t>
      </w:r>
      <w:r w:rsidR="004E197E" w:rsidRPr="002D1A9E">
        <w:rPr>
          <w:rFonts w:ascii="Palatino Linotype" w:eastAsia="Calibri" w:hAnsi="Palatino Linotype" w:cs="Arial"/>
          <w:color w:val="000000" w:themeColor="text1"/>
          <w:lang w:val="es-ES"/>
        </w:rPr>
        <w:t>el</w:t>
      </w:r>
      <w:r w:rsidR="00B31E90" w:rsidRPr="002D1A9E">
        <w:rPr>
          <w:rFonts w:ascii="Palatino Linotype" w:hAnsi="Palatino Linotype"/>
          <w:color w:val="000000" w:themeColor="text1"/>
        </w:rPr>
        <w:t xml:space="preserve"> particular</w:t>
      </w:r>
      <w:r w:rsidR="005F1362" w:rsidRPr="002D1A9E">
        <w:rPr>
          <w:rFonts w:ascii="Palatino Linotype" w:hAnsi="Palatino Linotype"/>
          <w:color w:val="000000" w:themeColor="text1"/>
        </w:rPr>
        <w:t xml:space="preserve"> presentó</w:t>
      </w:r>
      <w:r w:rsidR="005F1362" w:rsidRPr="002D1A9E">
        <w:rPr>
          <w:rFonts w:ascii="Palatino Linotype" w:hAnsi="Palatino Linotype"/>
          <w:b/>
          <w:color w:val="000000" w:themeColor="text1"/>
        </w:rPr>
        <w:t xml:space="preserve"> </w:t>
      </w:r>
      <w:r w:rsidR="00127E68" w:rsidRPr="002D1A9E">
        <w:rPr>
          <w:rFonts w:ascii="Palatino Linotype" w:hAnsi="Palatino Linotype"/>
          <w:bCs/>
          <w:color w:val="000000" w:themeColor="text1"/>
        </w:rPr>
        <w:t xml:space="preserve">a través </w:t>
      </w:r>
      <w:r w:rsidR="00994E0F" w:rsidRPr="002D1A9E">
        <w:rPr>
          <w:rFonts w:ascii="Palatino Linotype" w:hAnsi="Palatino Linotype"/>
          <w:bCs/>
          <w:color w:val="000000" w:themeColor="text1"/>
        </w:rPr>
        <w:t>d</w:t>
      </w:r>
      <w:r w:rsidR="000021A0" w:rsidRPr="002D1A9E">
        <w:rPr>
          <w:rFonts w:ascii="Palatino Linotype" w:hAnsi="Palatino Linotype"/>
          <w:bCs/>
          <w:color w:val="000000" w:themeColor="text1"/>
        </w:rPr>
        <w:t>el</w:t>
      </w:r>
      <w:r w:rsidR="004863BC" w:rsidRPr="002D1A9E">
        <w:rPr>
          <w:rFonts w:ascii="Palatino Linotype" w:hAnsi="Palatino Linotype"/>
          <w:bCs/>
          <w:color w:val="000000" w:themeColor="text1"/>
        </w:rPr>
        <w:t xml:space="preserve"> </w:t>
      </w:r>
      <w:r w:rsidR="005F1362" w:rsidRPr="002D1A9E">
        <w:rPr>
          <w:rFonts w:ascii="Palatino Linotype" w:eastAsia="Calibri" w:hAnsi="Palatino Linotype" w:cs="Arial"/>
          <w:color w:val="000000" w:themeColor="text1"/>
          <w:lang w:val="es-ES"/>
        </w:rPr>
        <w:t xml:space="preserve">Sistema de Acceso a la Información Mexiquense </w:t>
      </w:r>
      <w:r w:rsidR="005F1362" w:rsidRPr="002D1A9E">
        <w:rPr>
          <w:rFonts w:ascii="Palatino Linotype" w:eastAsia="Calibri" w:hAnsi="Palatino Linotype" w:cs="Arial"/>
          <w:bCs/>
          <w:color w:val="000000" w:themeColor="text1"/>
          <w:lang w:val="es-ES"/>
        </w:rPr>
        <w:t>(SAIMEX)</w:t>
      </w:r>
      <w:r w:rsidR="005F1362" w:rsidRPr="002D1A9E">
        <w:rPr>
          <w:rFonts w:ascii="Palatino Linotype" w:eastAsia="Calibri" w:hAnsi="Palatino Linotype" w:cs="Arial"/>
          <w:color w:val="000000" w:themeColor="text1"/>
          <w:lang w:val="es-ES"/>
        </w:rPr>
        <w:t>, la solicitud de información pública registrada con el número</w:t>
      </w:r>
      <w:r w:rsidR="005F1362" w:rsidRPr="002D1A9E">
        <w:rPr>
          <w:rFonts w:ascii="Palatino Linotype" w:hAnsi="Palatino Linotype"/>
          <w:b/>
          <w:bCs/>
          <w:color w:val="000000" w:themeColor="text1"/>
        </w:rPr>
        <w:t xml:space="preserve"> </w:t>
      </w:r>
      <w:r w:rsidR="000544CE" w:rsidRPr="002D1A9E">
        <w:rPr>
          <w:rFonts w:ascii="Palatino Linotype" w:hAnsi="Palatino Linotype"/>
          <w:b/>
          <w:bCs/>
          <w:color w:val="000000" w:themeColor="text1"/>
        </w:rPr>
        <w:t>00</w:t>
      </w:r>
      <w:r w:rsidR="00A36398">
        <w:rPr>
          <w:rFonts w:ascii="Palatino Linotype" w:hAnsi="Palatino Linotype"/>
          <w:b/>
          <w:bCs/>
          <w:color w:val="000000" w:themeColor="text1"/>
        </w:rPr>
        <w:t>699</w:t>
      </w:r>
      <w:r w:rsidR="00190C3D" w:rsidRPr="002D1A9E">
        <w:rPr>
          <w:rFonts w:ascii="Palatino Linotype" w:hAnsi="Palatino Linotype"/>
          <w:b/>
          <w:bCs/>
          <w:color w:val="000000" w:themeColor="text1"/>
        </w:rPr>
        <w:t>/</w:t>
      </w:r>
      <w:r w:rsidR="00A36398">
        <w:rPr>
          <w:rFonts w:ascii="Palatino Linotype" w:hAnsi="Palatino Linotype"/>
          <w:b/>
          <w:bCs/>
          <w:color w:val="000000" w:themeColor="text1"/>
        </w:rPr>
        <w:t>PLEGISLA</w:t>
      </w:r>
      <w:r w:rsidR="007B50DF" w:rsidRPr="002D1A9E">
        <w:rPr>
          <w:rFonts w:ascii="Palatino Linotype" w:hAnsi="Palatino Linotype"/>
          <w:b/>
          <w:bCs/>
          <w:color w:val="000000" w:themeColor="text1"/>
        </w:rPr>
        <w:t>/IP/202</w:t>
      </w:r>
      <w:r w:rsidR="000544CE" w:rsidRPr="002D1A9E">
        <w:rPr>
          <w:rFonts w:ascii="Palatino Linotype" w:hAnsi="Palatino Linotype"/>
          <w:b/>
          <w:bCs/>
          <w:color w:val="000000" w:themeColor="text1"/>
        </w:rPr>
        <w:t>2</w:t>
      </w:r>
      <w:r w:rsidR="005F1362" w:rsidRPr="002D1A9E">
        <w:rPr>
          <w:rFonts w:ascii="Palatino Linotype" w:hAnsi="Palatino Linotype"/>
          <w:b/>
          <w:bCs/>
          <w:color w:val="000000" w:themeColor="text1"/>
        </w:rPr>
        <w:t>,</w:t>
      </w:r>
      <w:r w:rsidR="005F1362" w:rsidRPr="002D1A9E">
        <w:rPr>
          <w:rFonts w:ascii="Palatino Linotype" w:eastAsia="Calibri" w:hAnsi="Palatino Linotype" w:cs="Arial"/>
          <w:color w:val="000000" w:themeColor="text1"/>
          <w:lang w:val="es-ES"/>
        </w:rPr>
        <w:t xml:space="preserve"> mediante la cual requirió</w:t>
      </w:r>
      <w:r w:rsidR="00022D89" w:rsidRPr="002D1A9E">
        <w:rPr>
          <w:rFonts w:ascii="Palatino Linotype" w:eastAsia="Calibri" w:hAnsi="Palatino Linotype" w:cs="Arial"/>
          <w:color w:val="000000" w:themeColor="text1"/>
          <w:lang w:val="es-ES"/>
        </w:rPr>
        <w:t xml:space="preserve"> lo siguiente</w:t>
      </w:r>
      <w:r w:rsidR="005F1362" w:rsidRPr="002D1A9E">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9482717"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A36398" w:rsidRPr="00A36398">
        <w:rPr>
          <w:rFonts w:ascii="Palatino Linotype" w:hAnsi="Palatino Linotype"/>
          <w:bCs/>
          <w:i/>
          <w:color w:val="000000"/>
          <w:sz w:val="22"/>
          <w:szCs w:val="22"/>
        </w:rPr>
        <w:t xml:space="preserve">Solicito al Órgano Superior de Fiscalización del Estado de México la siguiente información: 1. Informe anual de gobierno del Ayuntamiento de Tianguistenco correspondientes a los años del 2017 al 2021 reportado al </w:t>
      </w:r>
      <w:proofErr w:type="spellStart"/>
      <w:r w:rsidR="00A36398" w:rsidRPr="00A36398">
        <w:rPr>
          <w:rFonts w:ascii="Palatino Linotype" w:hAnsi="Palatino Linotype"/>
          <w:bCs/>
          <w:i/>
          <w:color w:val="000000"/>
          <w:sz w:val="22"/>
          <w:szCs w:val="22"/>
        </w:rPr>
        <w:t>osfem</w:t>
      </w:r>
      <w:proofErr w:type="spellEnd"/>
      <w:r w:rsidR="00A36398" w:rsidRPr="00A36398">
        <w:rPr>
          <w:rFonts w:ascii="Palatino Linotype" w:hAnsi="Palatino Linotype"/>
          <w:bCs/>
          <w:i/>
          <w:color w:val="000000"/>
          <w:sz w:val="22"/>
          <w:szCs w:val="22"/>
        </w:rPr>
        <w:t xml:space="preserve"> como parte de sus obligaciones fiscales, siendo que el ayuntamiento de Tianguistenco refiere que en sus archivos no se encuentra dicha información. 2. Balanza de comprobación los Gastos de Publicidad y Propaganda reportados por el ayuntamiento de Tianguistenco en los informes mensuales municipales entregados al </w:t>
      </w:r>
      <w:proofErr w:type="spellStart"/>
      <w:r w:rsidR="00A36398" w:rsidRPr="00A36398">
        <w:rPr>
          <w:rFonts w:ascii="Palatino Linotype" w:hAnsi="Palatino Linotype"/>
          <w:bCs/>
          <w:i/>
          <w:color w:val="000000"/>
          <w:sz w:val="22"/>
          <w:szCs w:val="22"/>
        </w:rPr>
        <w:t>osfem</w:t>
      </w:r>
      <w:proofErr w:type="spellEnd"/>
      <w:r w:rsidR="00A36398" w:rsidRPr="00A36398">
        <w:rPr>
          <w:rFonts w:ascii="Palatino Linotype" w:hAnsi="Palatino Linotype"/>
          <w:bCs/>
          <w:i/>
          <w:color w:val="000000"/>
          <w:sz w:val="22"/>
          <w:szCs w:val="22"/>
        </w:rPr>
        <w:t xml:space="preserve"> durante los meses de mayo a diciembre del 2018, como parte de sus obligaciones fiscales, siendo que el ayuntamiento de Tianguistenco refiere que en sus archivos no se encuentra dicha información. 3. Contenido del disco 6 de los informes mensuales municipales reportados por el ayuntamiento de Tianguistenco correspondientes a los meses de junio a septiembre del </w:t>
      </w:r>
      <w:r w:rsidR="00A36398" w:rsidRPr="00A36398">
        <w:rPr>
          <w:rFonts w:ascii="Palatino Linotype" w:hAnsi="Palatino Linotype"/>
          <w:bCs/>
          <w:i/>
          <w:color w:val="000000"/>
          <w:sz w:val="22"/>
          <w:szCs w:val="22"/>
        </w:rPr>
        <w:lastRenderedPageBreak/>
        <w:t xml:space="preserve">2018. 4. Balanza de comprobación de los apoyos otorgados al Consejo indígena del trueque Tianguistenco o consejo municipal indígena del Trueque de Tianguistenco reportados por el ayuntamiento de Tianguistenco al </w:t>
      </w:r>
      <w:proofErr w:type="spellStart"/>
      <w:r w:rsidR="00A36398" w:rsidRPr="00A36398">
        <w:rPr>
          <w:rFonts w:ascii="Palatino Linotype" w:hAnsi="Palatino Linotype"/>
          <w:bCs/>
          <w:i/>
          <w:color w:val="000000"/>
          <w:sz w:val="22"/>
          <w:szCs w:val="22"/>
        </w:rPr>
        <w:t>osfem</w:t>
      </w:r>
      <w:proofErr w:type="spellEnd"/>
      <w:r w:rsidR="00A36398" w:rsidRPr="00A36398">
        <w:rPr>
          <w:rFonts w:ascii="Palatino Linotype" w:hAnsi="Palatino Linotype"/>
          <w:bCs/>
          <w:i/>
          <w:color w:val="000000"/>
          <w:sz w:val="22"/>
          <w:szCs w:val="22"/>
        </w:rPr>
        <w:t xml:space="preserve">, como parte de sus obligaciones fiscales, en los informes mensuales municipales de los meses de febrero, junio y diciembre en los años del 2017 al 2021 5. Balanza de comprobación de los gastos relacionados con actividades culturales, deportivas y extraordinarias, reportadas por el ayuntamiento de Tianguistenco al </w:t>
      </w:r>
      <w:proofErr w:type="spellStart"/>
      <w:r w:rsidR="00A36398" w:rsidRPr="00A36398">
        <w:rPr>
          <w:rFonts w:ascii="Palatino Linotype" w:hAnsi="Palatino Linotype"/>
          <w:bCs/>
          <w:i/>
          <w:color w:val="000000"/>
          <w:sz w:val="22"/>
          <w:szCs w:val="22"/>
        </w:rPr>
        <w:t>osfem</w:t>
      </w:r>
      <w:proofErr w:type="spellEnd"/>
      <w:r w:rsidR="00A36398" w:rsidRPr="00A36398">
        <w:rPr>
          <w:rFonts w:ascii="Palatino Linotype" w:hAnsi="Palatino Linotype"/>
          <w:bCs/>
          <w:i/>
          <w:color w:val="000000"/>
          <w:sz w:val="22"/>
          <w:szCs w:val="22"/>
        </w:rPr>
        <w:t xml:space="preserve">, como parte de sus obligaciones fiscales, en los informes mensuales municipales, en los años del 2017 al 2021. 6. Balanza de comprobación de los apoyos otorgados al Consejo indígena del trueque Tianguistenco reportados por el ayuntamiento de Tianguistenco al </w:t>
      </w:r>
      <w:proofErr w:type="spellStart"/>
      <w:r w:rsidR="00A36398" w:rsidRPr="00A36398">
        <w:rPr>
          <w:rFonts w:ascii="Palatino Linotype" w:hAnsi="Palatino Linotype"/>
          <w:bCs/>
          <w:i/>
          <w:color w:val="000000"/>
          <w:sz w:val="22"/>
          <w:szCs w:val="22"/>
        </w:rPr>
        <w:t>osfem</w:t>
      </w:r>
      <w:proofErr w:type="spellEnd"/>
      <w:r w:rsidR="00A36398" w:rsidRPr="00A36398">
        <w:rPr>
          <w:rFonts w:ascii="Palatino Linotype" w:hAnsi="Palatino Linotype"/>
          <w:bCs/>
          <w:i/>
          <w:color w:val="000000"/>
          <w:sz w:val="22"/>
          <w:szCs w:val="22"/>
        </w:rPr>
        <w:t>, como parte de sus obligaciones fiscales, en los informes trimestrales municipales correspondientes a los meses de enero, febrero, marzo y abril, mayo, junio del 2022.</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580BFEC" w14:textId="164C7125" w:rsidR="005A0642"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t xml:space="preserve">El </w:t>
      </w:r>
      <w:r w:rsidR="005A0642">
        <w:rPr>
          <w:rFonts w:ascii="Palatino Linotype" w:eastAsia="MS Mincho" w:hAnsi="Palatino Linotype" w:cs="Times New Roman"/>
          <w:color w:val="000000" w:themeColor="text1"/>
        </w:rPr>
        <w:t>veinticuatro</w:t>
      </w:r>
      <w:r w:rsidR="00FD2865">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5A0642">
        <w:rPr>
          <w:rFonts w:ascii="Palatino Linotype" w:eastAsia="MS Mincho" w:hAnsi="Palatino Linotype" w:cs="Times New Roman"/>
          <w:color w:val="000000" w:themeColor="text1"/>
        </w:rPr>
        <w:t>24</w:t>
      </w:r>
      <w:r w:rsidR="007076C5" w:rsidRPr="00A0054B">
        <w:rPr>
          <w:rFonts w:ascii="Palatino Linotype" w:eastAsia="MS Mincho" w:hAnsi="Palatino Linotype" w:cs="Times New Roman"/>
          <w:color w:val="000000" w:themeColor="text1"/>
        </w:rPr>
        <w:t xml:space="preserve">) de </w:t>
      </w:r>
      <w:r w:rsidR="005A785D">
        <w:rPr>
          <w:rFonts w:ascii="Palatino Linotype" w:eastAsia="MS Mincho" w:hAnsi="Palatino Linotype" w:cs="Times New Roman"/>
          <w:color w:val="000000" w:themeColor="text1"/>
        </w:rPr>
        <w:t>noviembre</w:t>
      </w:r>
      <w:r w:rsidR="00011F17">
        <w:rPr>
          <w:rFonts w:ascii="Palatino Linotype" w:eastAsia="MS Mincho" w:hAnsi="Palatino Linotype" w:cs="Times New Roman"/>
          <w:color w:val="000000" w:themeColor="text1"/>
        </w:rPr>
        <w:t xml:space="preserve"> de dos mil veintidós,</w:t>
      </w:r>
      <w:r w:rsidR="00E7785D">
        <w:rPr>
          <w:rFonts w:ascii="Palatino Linotype" w:eastAsia="MS Mincho" w:hAnsi="Palatino Linotype" w:cs="Times New Roman"/>
          <w:color w:val="000000" w:themeColor="text1"/>
        </w:rPr>
        <w:t xml:space="preserve"> el Sujeto Obligado </w:t>
      </w:r>
      <w:r w:rsidR="005A0642">
        <w:rPr>
          <w:rFonts w:ascii="Palatino Linotype" w:eastAsia="MS Mincho" w:hAnsi="Palatino Linotype" w:cs="Times New Roman"/>
          <w:color w:val="000000" w:themeColor="text1"/>
        </w:rPr>
        <w:t>dio respuesta a la solicitud en los siguientes términos:</w:t>
      </w:r>
    </w:p>
    <w:p w14:paraId="42713C04" w14:textId="77777777" w:rsidR="005A0642" w:rsidRPr="005A0642" w:rsidRDefault="005A0642" w:rsidP="005A0642">
      <w:pPr>
        <w:pStyle w:val="Prrafodelista"/>
        <w:ind w:left="567" w:right="616"/>
        <w:rPr>
          <w:rFonts w:ascii="Palatino Linotype" w:eastAsia="MS Mincho" w:hAnsi="Palatino Linotype" w:cs="Times New Roman"/>
          <w:i/>
          <w:color w:val="000000" w:themeColor="text1"/>
          <w:sz w:val="22"/>
        </w:rPr>
      </w:pPr>
    </w:p>
    <w:p w14:paraId="277D3144" w14:textId="57A43B0E" w:rsidR="005A785D" w:rsidRPr="005A785D" w:rsidRDefault="005A785D" w:rsidP="005A785D">
      <w:pPr>
        <w:pStyle w:val="Prrafodelista"/>
        <w:spacing w:line="360" w:lineRule="auto"/>
        <w:rPr>
          <w:rFonts w:ascii="Palatino Linotype" w:eastAsia="MS Mincho" w:hAnsi="Palatino Linotype" w:cs="Times New Roman"/>
          <w:i/>
          <w:color w:val="000000" w:themeColor="text1"/>
          <w:sz w:val="22"/>
        </w:rPr>
      </w:pPr>
      <w:r>
        <w:rPr>
          <w:rFonts w:ascii="Palatino Linotype" w:eastAsia="MS Mincho" w:hAnsi="Palatino Linotype" w:cs="Times New Roman"/>
          <w:i/>
          <w:color w:val="000000" w:themeColor="text1"/>
          <w:sz w:val="22"/>
        </w:rPr>
        <w:t>“</w:t>
      </w:r>
      <w:r w:rsidRPr="005A785D">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D7C81C" w14:textId="77777777" w:rsidR="005A785D" w:rsidRPr="005A785D" w:rsidRDefault="005A785D" w:rsidP="005A785D">
      <w:pPr>
        <w:pStyle w:val="Prrafodelista"/>
        <w:spacing w:line="360" w:lineRule="auto"/>
        <w:rPr>
          <w:rFonts w:ascii="Palatino Linotype" w:eastAsia="MS Mincho" w:hAnsi="Palatino Linotype" w:cs="Times New Roman"/>
          <w:i/>
          <w:color w:val="000000" w:themeColor="text1"/>
          <w:sz w:val="22"/>
        </w:rPr>
      </w:pPr>
      <w:r w:rsidRPr="005A785D">
        <w:rPr>
          <w:rFonts w:ascii="Palatino Linotype" w:eastAsia="MS Mincho" w:hAnsi="Palatino Linotype" w:cs="Times New Roman"/>
          <w:i/>
          <w:color w:val="000000" w:themeColor="text1"/>
          <w:sz w:val="22"/>
        </w:rPr>
        <w:t>Respuesta a solicitud 00699-2022</w:t>
      </w:r>
    </w:p>
    <w:p w14:paraId="59249BCF" w14:textId="77777777" w:rsidR="005A785D" w:rsidRPr="005A785D" w:rsidRDefault="005A785D" w:rsidP="005A785D">
      <w:pPr>
        <w:pStyle w:val="Prrafodelista"/>
        <w:spacing w:line="360" w:lineRule="auto"/>
        <w:rPr>
          <w:rFonts w:ascii="Palatino Linotype" w:eastAsia="MS Mincho" w:hAnsi="Palatino Linotype" w:cs="Times New Roman"/>
          <w:i/>
          <w:color w:val="000000" w:themeColor="text1"/>
          <w:sz w:val="22"/>
        </w:rPr>
      </w:pPr>
      <w:r w:rsidRPr="005A785D">
        <w:rPr>
          <w:rFonts w:ascii="Palatino Linotype" w:eastAsia="MS Mincho" w:hAnsi="Palatino Linotype" w:cs="Times New Roman"/>
          <w:i/>
          <w:color w:val="000000" w:themeColor="text1"/>
          <w:sz w:val="22"/>
        </w:rPr>
        <w:t>ATENTAMENTE</w:t>
      </w:r>
    </w:p>
    <w:p w14:paraId="20BFE59C" w14:textId="168D22D5" w:rsidR="005A0642" w:rsidRDefault="005A785D" w:rsidP="005A785D">
      <w:pPr>
        <w:pStyle w:val="Prrafodelista"/>
        <w:spacing w:line="360" w:lineRule="auto"/>
        <w:rPr>
          <w:rFonts w:ascii="Palatino Linotype" w:eastAsia="MS Mincho" w:hAnsi="Palatino Linotype" w:cs="Times New Roman"/>
          <w:i/>
          <w:color w:val="000000" w:themeColor="text1"/>
          <w:sz w:val="22"/>
        </w:rPr>
      </w:pPr>
      <w:r w:rsidRPr="005A785D">
        <w:rPr>
          <w:rFonts w:ascii="Palatino Linotype" w:eastAsia="MS Mincho" w:hAnsi="Palatino Linotype" w:cs="Times New Roman"/>
          <w:i/>
          <w:color w:val="000000" w:themeColor="text1"/>
          <w:sz w:val="22"/>
        </w:rPr>
        <w:t>Jesús Felipe Borja Coronel</w:t>
      </w:r>
      <w:r>
        <w:rPr>
          <w:rFonts w:ascii="Palatino Linotype" w:eastAsia="MS Mincho" w:hAnsi="Palatino Linotype" w:cs="Times New Roman"/>
          <w:i/>
          <w:color w:val="000000" w:themeColor="text1"/>
          <w:sz w:val="22"/>
        </w:rPr>
        <w:t>” (sic)</w:t>
      </w:r>
    </w:p>
    <w:p w14:paraId="3F7E079E" w14:textId="77777777" w:rsidR="005A785D" w:rsidRPr="005A0642" w:rsidRDefault="005A785D" w:rsidP="005A785D">
      <w:pPr>
        <w:pStyle w:val="Prrafodelista"/>
        <w:spacing w:line="360" w:lineRule="auto"/>
        <w:rPr>
          <w:rFonts w:ascii="Palatino Linotype" w:eastAsia="MS Mincho" w:hAnsi="Palatino Linotype" w:cs="Times New Roman"/>
          <w:color w:val="000000" w:themeColor="text1"/>
        </w:rPr>
      </w:pPr>
    </w:p>
    <w:p w14:paraId="60F701C0" w14:textId="6F267C06" w:rsidR="005A785D"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El Sujeto Obligado adjuntó los documentos electrónicos denominados </w:t>
      </w:r>
    </w:p>
    <w:p w14:paraId="160535A7" w14:textId="2B9FB9D7" w:rsidR="005A785D" w:rsidRPr="005A785D" w:rsidRDefault="005A785D" w:rsidP="005A785D">
      <w:pPr>
        <w:pStyle w:val="Prrafodelista"/>
        <w:numPr>
          <w:ilvl w:val="1"/>
          <w:numId w:val="31"/>
        </w:numPr>
        <w:tabs>
          <w:tab w:val="left" w:pos="284"/>
          <w:tab w:val="left" w:pos="426"/>
        </w:tabs>
        <w:spacing w:line="360" w:lineRule="auto"/>
        <w:ind w:left="851"/>
        <w:jc w:val="both"/>
        <w:rPr>
          <w:rFonts w:ascii="Palatino Linotype" w:hAnsi="Palatino Linotype"/>
          <w:b/>
          <w:color w:val="000000" w:themeColor="text1"/>
          <w:szCs w:val="22"/>
        </w:rPr>
      </w:pPr>
      <w:r w:rsidRPr="005A785D">
        <w:rPr>
          <w:rFonts w:ascii="Palatino Linotype" w:hAnsi="Palatino Linotype"/>
          <w:b/>
          <w:color w:val="000000" w:themeColor="text1"/>
          <w:szCs w:val="22"/>
        </w:rPr>
        <w:t>Respuesta a solicitud 00699-2022.pdf</w:t>
      </w:r>
      <w:r>
        <w:rPr>
          <w:rFonts w:ascii="Palatino Linotype" w:hAnsi="Palatino Linotype"/>
          <w:b/>
          <w:color w:val="000000" w:themeColor="text1"/>
          <w:szCs w:val="22"/>
        </w:rPr>
        <w:t xml:space="preserve">: </w:t>
      </w:r>
      <w:r w:rsidRPr="005A785D">
        <w:rPr>
          <w:rFonts w:ascii="Palatino Linotype" w:hAnsi="Palatino Linotype"/>
          <w:color w:val="000000" w:themeColor="text1"/>
          <w:szCs w:val="22"/>
        </w:rPr>
        <w:t>Oficio OSFEM/DJC/SPH/178/2022 suscrito por el Servidor Público Habilitado del Órgano Superior de Fiscalización del Estado de México</w:t>
      </w:r>
      <w:r>
        <w:rPr>
          <w:rFonts w:ascii="Palatino Linotype" w:hAnsi="Palatino Linotype"/>
          <w:b/>
          <w:color w:val="000000" w:themeColor="text1"/>
          <w:szCs w:val="22"/>
        </w:rPr>
        <w:t xml:space="preserve">, </w:t>
      </w:r>
      <w:r w:rsidRPr="008E7209">
        <w:rPr>
          <w:rFonts w:ascii="Palatino Linotype" w:hAnsi="Palatino Linotype"/>
          <w:color w:val="000000" w:themeColor="text1"/>
          <w:szCs w:val="22"/>
        </w:rPr>
        <w:t xml:space="preserve">mediante el cual refiere que no cuenta </w:t>
      </w:r>
      <w:r w:rsidRPr="008E7209">
        <w:rPr>
          <w:rFonts w:ascii="Palatino Linotype" w:hAnsi="Palatino Linotype"/>
          <w:color w:val="000000" w:themeColor="text1"/>
          <w:szCs w:val="22"/>
        </w:rPr>
        <w:lastRenderedPageBreak/>
        <w:t>con atribuciones para requerirle a los Ayuntamientos informes relacionadas con obligaciones fiscales</w:t>
      </w:r>
      <w:r w:rsidR="008E7209" w:rsidRPr="008E7209">
        <w:rPr>
          <w:rFonts w:ascii="Palatino Linotype" w:hAnsi="Palatino Linotype"/>
          <w:color w:val="000000" w:themeColor="text1"/>
          <w:szCs w:val="22"/>
        </w:rPr>
        <w:t>, por lo que orienta al particular formular la solicitud ante el Ayuntamiento de Tianguistenco</w:t>
      </w:r>
      <w:r w:rsidR="009F6353">
        <w:rPr>
          <w:rFonts w:ascii="Palatino Linotype" w:hAnsi="Palatino Linotype"/>
          <w:color w:val="000000" w:themeColor="text1"/>
          <w:szCs w:val="22"/>
        </w:rPr>
        <w:t>.</w:t>
      </w:r>
    </w:p>
    <w:p w14:paraId="73967C2B" w14:textId="00B2A42E" w:rsidR="005A785D" w:rsidRPr="005A785D" w:rsidRDefault="005A785D" w:rsidP="005A785D">
      <w:pPr>
        <w:pStyle w:val="Prrafodelista"/>
        <w:numPr>
          <w:ilvl w:val="0"/>
          <w:numId w:val="31"/>
        </w:numPr>
        <w:tabs>
          <w:tab w:val="left" w:pos="284"/>
          <w:tab w:val="left" w:pos="426"/>
        </w:tabs>
        <w:spacing w:line="360" w:lineRule="auto"/>
        <w:ind w:left="851"/>
        <w:jc w:val="both"/>
        <w:rPr>
          <w:rFonts w:ascii="Palatino Linotype" w:hAnsi="Palatino Linotype"/>
          <w:b/>
          <w:color w:val="000000" w:themeColor="text1"/>
          <w:szCs w:val="22"/>
        </w:rPr>
      </w:pPr>
      <w:r w:rsidRPr="005A785D">
        <w:rPr>
          <w:rFonts w:ascii="Palatino Linotype" w:hAnsi="Palatino Linotype"/>
          <w:b/>
          <w:color w:val="000000" w:themeColor="text1"/>
          <w:szCs w:val="22"/>
        </w:rPr>
        <w:t>Respuesta 699- OSFEM.pdf</w:t>
      </w:r>
      <w:r>
        <w:rPr>
          <w:rFonts w:ascii="Palatino Linotype" w:hAnsi="Palatino Linotype"/>
          <w:b/>
          <w:color w:val="000000" w:themeColor="text1"/>
          <w:szCs w:val="22"/>
        </w:rPr>
        <w:t>:</w:t>
      </w:r>
      <w:r w:rsidR="009F6353">
        <w:rPr>
          <w:rFonts w:ascii="Palatino Linotype" w:hAnsi="Palatino Linotype"/>
          <w:b/>
          <w:color w:val="000000" w:themeColor="text1"/>
          <w:szCs w:val="22"/>
        </w:rPr>
        <w:t xml:space="preserve"> </w:t>
      </w:r>
      <w:r w:rsidR="009F6353" w:rsidRPr="00504149">
        <w:rPr>
          <w:rFonts w:ascii="Palatino Linotype" w:hAnsi="Palatino Linotype"/>
          <w:color w:val="000000" w:themeColor="text1"/>
          <w:szCs w:val="22"/>
        </w:rPr>
        <w:t>Oficio UIPL/1919/2022 suscrito</w:t>
      </w:r>
      <w:r w:rsidR="00504149">
        <w:rPr>
          <w:rFonts w:ascii="Palatino Linotype" w:hAnsi="Palatino Linotype"/>
          <w:b/>
          <w:color w:val="000000" w:themeColor="text1"/>
          <w:szCs w:val="22"/>
        </w:rPr>
        <w:t xml:space="preserve"> </w:t>
      </w:r>
      <w:r w:rsidR="00504149" w:rsidRPr="00504149">
        <w:rPr>
          <w:rFonts w:ascii="Palatino Linotype" w:hAnsi="Palatino Linotype"/>
          <w:color w:val="000000" w:themeColor="text1"/>
          <w:szCs w:val="22"/>
        </w:rPr>
        <w:t>por el Titular de la Unidad de Transparencia mediante el cual se le hace de conocimiento al Particular que se emitió la respuesta del servidor público habilitado del Órgano Superior de Fiscalización del Estado de México.</w:t>
      </w:r>
    </w:p>
    <w:p w14:paraId="2EC8111D" w14:textId="77777777" w:rsidR="005A785D" w:rsidRPr="005A785D" w:rsidRDefault="005A785D" w:rsidP="005A785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22B85B56"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504149">
        <w:rPr>
          <w:rFonts w:ascii="Palatino Linotype" w:eastAsia="Times New Roman" w:hAnsi="Palatino Linotype" w:cs="Arial"/>
          <w:color w:val="000000" w:themeColor="text1"/>
          <w:lang w:val="es-ES"/>
        </w:rPr>
        <w:t>veinticuatro</w:t>
      </w:r>
      <w:r w:rsidR="002D6CF5" w:rsidRPr="00A0054B">
        <w:rPr>
          <w:rFonts w:ascii="Palatino Linotype" w:eastAsia="Times New Roman" w:hAnsi="Palatino Linotype" w:cs="Arial"/>
          <w:color w:val="000000" w:themeColor="text1"/>
          <w:lang w:val="es-ES"/>
        </w:rPr>
        <w:t xml:space="preserve"> (</w:t>
      </w:r>
      <w:r w:rsidR="008D6F9A">
        <w:rPr>
          <w:rFonts w:ascii="Palatino Linotype" w:eastAsia="Times New Roman" w:hAnsi="Palatino Linotype" w:cs="Arial"/>
          <w:color w:val="000000" w:themeColor="text1"/>
          <w:lang w:val="es-ES"/>
        </w:rPr>
        <w:t>2</w:t>
      </w:r>
      <w:r w:rsidR="00504149">
        <w:rPr>
          <w:rFonts w:ascii="Palatino Linotype" w:eastAsia="Times New Roman" w:hAnsi="Palatino Linotype" w:cs="Arial"/>
          <w:color w:val="000000" w:themeColor="text1"/>
          <w:lang w:val="es-ES"/>
        </w:rPr>
        <w:t>4</w:t>
      </w:r>
      <w:r w:rsidR="007A078A" w:rsidRPr="00A0054B">
        <w:rPr>
          <w:rFonts w:ascii="Palatino Linotype" w:eastAsia="Times New Roman" w:hAnsi="Palatino Linotype" w:cs="Arial"/>
          <w:color w:val="000000" w:themeColor="text1"/>
          <w:lang w:val="es-ES"/>
        </w:rPr>
        <w:t xml:space="preserve">) de </w:t>
      </w:r>
      <w:r w:rsidR="00504149">
        <w:rPr>
          <w:rFonts w:ascii="Palatino Linotype" w:eastAsia="Times New Roman" w:hAnsi="Palatino Linotype" w:cs="Arial"/>
          <w:color w:val="000000" w:themeColor="text1"/>
          <w:lang w:val="es-ES"/>
        </w:rPr>
        <w:t>noviembre</w:t>
      </w:r>
      <w:r w:rsidR="00BD47D0">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A36398" w:rsidRPr="00A36398">
        <w:rPr>
          <w:rFonts w:ascii="Palatino Linotype" w:eastAsia="Calibri" w:hAnsi="Palatino Linotype" w:cs="Arial"/>
          <w:b/>
          <w:lang w:val="es-ES"/>
        </w:rPr>
        <w:t>16918</w:t>
      </w:r>
      <w:r w:rsidR="00A36398" w:rsidRPr="00A36398">
        <w:rPr>
          <w:rFonts w:ascii="Palatino Linotype" w:hAnsi="Palatino Linotype"/>
          <w:b/>
          <w:szCs w:val="22"/>
        </w:rPr>
        <w:t>/INFOEM/IP/RR/2022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CEFA8FB" w:rsidR="00E34622" w:rsidRPr="00413D35" w:rsidRDefault="00E34622" w:rsidP="00504149">
      <w:pPr>
        <w:pStyle w:val="Prrafodelista"/>
        <w:numPr>
          <w:ilvl w:val="0"/>
          <w:numId w:val="2"/>
        </w:numPr>
        <w:tabs>
          <w:tab w:val="left" w:pos="426"/>
        </w:tabs>
        <w:spacing w:line="360" w:lineRule="auto"/>
        <w:ind w:left="567"/>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color w:val="000000" w:themeColor="text1"/>
          <w:sz w:val="22"/>
          <w:lang w:val="es-ES"/>
        </w:rPr>
        <w:t>“</w:t>
      </w:r>
      <w:r w:rsidR="00504149" w:rsidRPr="00504149">
        <w:rPr>
          <w:rFonts w:ascii="Palatino Linotype" w:eastAsia="Times New Roman" w:hAnsi="Palatino Linotype" w:cs="Arial"/>
          <w:i/>
          <w:color w:val="000000" w:themeColor="text1"/>
          <w:sz w:val="22"/>
          <w:lang w:val="es-ES"/>
        </w:rPr>
        <w:t>El Órgano Superior de Fiscalización del Estado de México no entrega la información solicitada</w:t>
      </w:r>
      <w:r w:rsidRPr="005F396F">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color w:val="000000" w:themeColor="text1"/>
          <w:sz w:val="22"/>
          <w:lang w:val="es-ES"/>
        </w:rPr>
        <w:t xml:space="preserve"> (Sic).</w:t>
      </w:r>
    </w:p>
    <w:p w14:paraId="033BFDE8" w14:textId="43585024" w:rsidR="00901BB1" w:rsidRDefault="00901BB1" w:rsidP="00504149">
      <w:pPr>
        <w:pStyle w:val="Prrafodelista"/>
        <w:numPr>
          <w:ilvl w:val="0"/>
          <w:numId w:val="2"/>
        </w:numPr>
        <w:tabs>
          <w:tab w:val="left" w:pos="426"/>
        </w:tabs>
        <w:spacing w:line="360" w:lineRule="auto"/>
        <w:ind w:left="567"/>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i/>
          <w:color w:val="000000" w:themeColor="text1"/>
          <w:lang w:val="es-ES"/>
        </w:rPr>
        <w:t>“</w:t>
      </w:r>
      <w:r w:rsidR="00504149" w:rsidRPr="00504149">
        <w:rPr>
          <w:rFonts w:ascii="Palatino Linotype" w:eastAsia="Times New Roman" w:hAnsi="Palatino Linotype" w:cs="Arial"/>
          <w:i/>
          <w:color w:val="000000" w:themeColor="text1"/>
          <w:sz w:val="22"/>
          <w:lang w:val="es-ES"/>
        </w:rPr>
        <w:t>El Órgano Superior de fiscalización del Estado de México, se niega a entregar la información solicitada.</w:t>
      </w:r>
      <w:r w:rsidR="007F089C" w:rsidRPr="005F396F">
        <w:rPr>
          <w:rFonts w:ascii="Palatino Linotype" w:eastAsia="Times New Roman" w:hAnsi="Palatino Linotype" w:cs="Arial"/>
          <w:i/>
          <w:color w:val="000000" w:themeColor="text1"/>
          <w:sz w:val="22"/>
          <w:lang w:val="es-ES"/>
        </w:rPr>
        <w:t xml:space="preserve">". </w:t>
      </w:r>
      <w:r w:rsidR="005B0765" w:rsidRPr="005F396F">
        <w:rPr>
          <w:rFonts w:ascii="Palatino Linotype" w:eastAsia="Times New Roman" w:hAnsi="Palatino Linotype" w:cs="Arial"/>
          <w:i/>
          <w:color w:val="000000" w:themeColor="text1"/>
          <w:sz w:val="22"/>
          <w:lang w:val="es-ES"/>
        </w:rPr>
        <w:t>(sic)</w:t>
      </w:r>
      <w:r w:rsidR="00E76251" w:rsidRPr="005F396F">
        <w:rPr>
          <w:rFonts w:ascii="Palatino Linotype" w:eastAsia="Times New Roman" w:hAnsi="Palatino Linotype" w:cs="Arial"/>
          <w:color w:val="000000" w:themeColor="text1"/>
          <w:sz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DE89F0B"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 xml:space="preserve">Ley de Transparencia y Acceso a la Información Pública del Estado </w:t>
      </w:r>
      <w:r w:rsidR="00613655" w:rsidRPr="00A0054B">
        <w:rPr>
          <w:rFonts w:ascii="Palatino Linotype" w:eastAsia="Calibri" w:hAnsi="Palatino Linotype" w:cs="Arial"/>
          <w:color w:val="000000" w:themeColor="text1"/>
          <w:lang w:val="es-ES"/>
        </w:rPr>
        <w:lastRenderedPageBreak/>
        <w:t>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504149">
        <w:rPr>
          <w:rFonts w:ascii="Palatino Linotype" w:eastAsia="Calibri" w:hAnsi="Palatino Linotype" w:cs="Arial"/>
          <w:color w:val="000000" w:themeColor="text1"/>
          <w:lang w:val="es-ES"/>
        </w:rPr>
        <w:t xml:space="preserve">treinta </w:t>
      </w:r>
      <w:r w:rsidR="00BD6C40" w:rsidRPr="00A0054B">
        <w:rPr>
          <w:rFonts w:ascii="Palatino Linotype" w:eastAsia="Calibri" w:hAnsi="Palatino Linotype" w:cs="Arial"/>
          <w:color w:val="000000" w:themeColor="text1"/>
          <w:lang w:val="es-ES"/>
        </w:rPr>
        <w:t>(</w:t>
      </w:r>
      <w:r w:rsidR="00504149">
        <w:rPr>
          <w:rFonts w:ascii="Palatino Linotype" w:eastAsia="Calibri" w:hAnsi="Palatino Linotype" w:cs="Arial"/>
          <w:color w:val="000000" w:themeColor="text1"/>
          <w:lang w:val="es-ES"/>
        </w:rPr>
        <w:t>30</w:t>
      </w:r>
      <w:r w:rsidR="00BD6C40" w:rsidRPr="00A0054B">
        <w:rPr>
          <w:rFonts w:ascii="Palatino Linotype" w:eastAsia="Calibri" w:hAnsi="Palatino Linotype" w:cs="Arial"/>
          <w:color w:val="000000" w:themeColor="text1"/>
          <w:lang w:val="es-ES"/>
        </w:rPr>
        <w:t xml:space="preserve">) de </w:t>
      </w:r>
      <w:r w:rsidR="00504149">
        <w:rPr>
          <w:rFonts w:ascii="Palatino Linotype" w:eastAsia="Calibri" w:hAnsi="Palatino Linotype" w:cs="Arial"/>
          <w:color w:val="000000" w:themeColor="text1"/>
          <w:lang w:val="es-ES"/>
        </w:rPr>
        <w:t>noviembre</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435B4C87" w14:textId="607982E2" w:rsidR="008D6F9A" w:rsidRPr="00610804" w:rsidRDefault="00AE0CDF" w:rsidP="00986A7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10804">
        <w:rPr>
          <w:rFonts w:ascii="Palatino Linotype" w:eastAsia="Calibri" w:hAnsi="Palatino Linotype" w:cs="Arial"/>
          <w:color w:val="000000" w:themeColor="text1"/>
          <w:lang w:val="es-ES"/>
        </w:rPr>
        <w:t>De las constancias que obran en el expediente electrónico del SAIMEX, se aprecia que</w:t>
      </w:r>
      <w:r w:rsidR="005F396F" w:rsidRPr="00610804">
        <w:rPr>
          <w:rFonts w:ascii="Palatino Linotype" w:eastAsia="Calibri" w:hAnsi="Palatino Linotype" w:cs="Arial"/>
          <w:color w:val="000000" w:themeColor="text1"/>
          <w:lang w:val="es-ES"/>
        </w:rPr>
        <w:t xml:space="preserve">, </w:t>
      </w:r>
      <w:r w:rsidR="00FB63DD" w:rsidRPr="00610804">
        <w:rPr>
          <w:rFonts w:ascii="Palatino Linotype" w:eastAsia="Calibri" w:hAnsi="Palatino Linotype" w:cs="Arial"/>
          <w:color w:val="000000" w:themeColor="text1"/>
          <w:lang w:val="es-ES"/>
        </w:rPr>
        <w:t>el</w:t>
      </w:r>
      <w:r w:rsidR="005F396F" w:rsidRPr="00610804">
        <w:rPr>
          <w:rFonts w:ascii="Palatino Linotype" w:eastAsia="Calibri" w:hAnsi="Palatino Linotype" w:cs="Arial"/>
          <w:color w:val="000000" w:themeColor="text1"/>
          <w:lang w:val="es-ES"/>
        </w:rPr>
        <w:t xml:space="preserve"> Sujeto Obligado</w:t>
      </w:r>
      <w:r w:rsidR="00D2342C" w:rsidRPr="00610804">
        <w:rPr>
          <w:rFonts w:ascii="Palatino Linotype" w:eastAsia="Calibri" w:hAnsi="Palatino Linotype" w:cs="Arial"/>
          <w:color w:val="000000" w:themeColor="text1"/>
          <w:lang w:val="es-ES"/>
        </w:rPr>
        <w:t xml:space="preserve">, el </w:t>
      </w:r>
      <w:r w:rsidR="00610804" w:rsidRPr="00610804">
        <w:rPr>
          <w:rFonts w:ascii="Palatino Linotype" w:eastAsia="Calibri" w:hAnsi="Palatino Linotype" w:cs="Arial"/>
          <w:color w:val="000000" w:themeColor="text1"/>
          <w:lang w:val="es-ES"/>
        </w:rPr>
        <w:t>uno</w:t>
      </w:r>
      <w:r w:rsidR="00FB63DD" w:rsidRPr="00610804">
        <w:rPr>
          <w:rFonts w:ascii="Palatino Linotype" w:eastAsia="Calibri" w:hAnsi="Palatino Linotype" w:cs="Arial"/>
          <w:color w:val="000000" w:themeColor="text1"/>
          <w:lang w:val="es-ES"/>
        </w:rPr>
        <w:t xml:space="preserve"> (</w:t>
      </w:r>
      <w:r w:rsidR="00610804" w:rsidRPr="00610804">
        <w:rPr>
          <w:rFonts w:ascii="Palatino Linotype" w:eastAsia="Calibri" w:hAnsi="Palatino Linotype" w:cs="Arial"/>
          <w:color w:val="000000" w:themeColor="text1"/>
          <w:lang w:val="es-ES"/>
        </w:rPr>
        <w:t>1</w:t>
      </w:r>
      <w:r w:rsidR="00FB63DD" w:rsidRPr="00610804">
        <w:rPr>
          <w:rFonts w:ascii="Palatino Linotype" w:eastAsia="Calibri" w:hAnsi="Palatino Linotype" w:cs="Arial"/>
          <w:color w:val="000000" w:themeColor="text1"/>
          <w:lang w:val="es-ES"/>
        </w:rPr>
        <w:t xml:space="preserve">) de </w:t>
      </w:r>
      <w:r w:rsidR="00610804" w:rsidRPr="00610804">
        <w:rPr>
          <w:rFonts w:ascii="Palatino Linotype" w:eastAsia="Calibri" w:hAnsi="Palatino Linotype" w:cs="Arial"/>
          <w:color w:val="000000" w:themeColor="text1"/>
          <w:lang w:val="es-ES"/>
        </w:rPr>
        <w:t>diciembre</w:t>
      </w:r>
      <w:r w:rsidR="00FB63DD" w:rsidRPr="00610804">
        <w:rPr>
          <w:rFonts w:ascii="Palatino Linotype" w:eastAsia="Calibri" w:hAnsi="Palatino Linotype" w:cs="Arial"/>
          <w:color w:val="000000" w:themeColor="text1"/>
          <w:lang w:val="es-ES"/>
        </w:rPr>
        <w:t xml:space="preserve"> de dos mil veintidós, remitió su </w:t>
      </w:r>
      <w:r w:rsidR="00D2342C" w:rsidRPr="00610804">
        <w:rPr>
          <w:rFonts w:ascii="Palatino Linotype" w:eastAsia="Calibri" w:hAnsi="Palatino Linotype" w:cs="Arial"/>
          <w:color w:val="000000" w:themeColor="text1"/>
          <w:lang w:val="es-ES"/>
        </w:rPr>
        <w:t>informe justificado a través de</w:t>
      </w:r>
      <w:r w:rsidR="00FB63DD" w:rsidRPr="00610804">
        <w:rPr>
          <w:rFonts w:ascii="Palatino Linotype" w:eastAsia="Calibri" w:hAnsi="Palatino Linotype" w:cs="Arial"/>
          <w:color w:val="000000" w:themeColor="text1"/>
          <w:lang w:val="es-ES"/>
        </w:rPr>
        <w:t>l</w:t>
      </w:r>
      <w:r w:rsidR="00D2342C" w:rsidRPr="00610804">
        <w:rPr>
          <w:rFonts w:ascii="Palatino Linotype" w:eastAsia="Calibri" w:hAnsi="Palatino Linotype" w:cs="Arial"/>
          <w:color w:val="000000" w:themeColor="text1"/>
          <w:lang w:val="es-ES"/>
        </w:rPr>
        <w:t xml:space="preserve"> documento electrónico denominado</w:t>
      </w:r>
      <w:r w:rsidR="008D6F9A" w:rsidRPr="00610804">
        <w:rPr>
          <w:rFonts w:ascii="Palatino Linotype" w:eastAsia="Calibri" w:hAnsi="Palatino Linotype" w:cs="Arial"/>
          <w:color w:val="000000" w:themeColor="text1"/>
          <w:lang w:val="es-ES"/>
        </w:rPr>
        <w:t xml:space="preserve"> </w:t>
      </w:r>
      <w:r w:rsidR="00610804" w:rsidRPr="00610804">
        <w:rPr>
          <w:rFonts w:ascii="Palatino Linotype" w:eastAsia="Calibri" w:hAnsi="Palatino Linotype" w:cs="Arial"/>
          <w:b/>
          <w:i/>
          <w:color w:val="000000" w:themeColor="text1"/>
          <w:lang w:val="es-ES"/>
        </w:rPr>
        <w:t>Informe justificado RR. 16918-2022 (sol. 699-2022).pdf Manifestaciones OSFEM RR. 16918-2022 (sol. 699-2022).</w:t>
      </w:r>
      <w:proofErr w:type="spellStart"/>
      <w:r w:rsidR="00610804" w:rsidRPr="00610804">
        <w:rPr>
          <w:rFonts w:ascii="Palatino Linotype" w:eastAsia="Calibri" w:hAnsi="Palatino Linotype" w:cs="Arial"/>
          <w:b/>
          <w:i/>
          <w:color w:val="000000" w:themeColor="text1"/>
          <w:lang w:val="es-ES"/>
        </w:rPr>
        <w:t>pdf</w:t>
      </w:r>
      <w:proofErr w:type="spellEnd"/>
      <w:r w:rsidR="00610804" w:rsidRPr="00610804">
        <w:rPr>
          <w:rFonts w:ascii="Palatino Linotype" w:eastAsia="Calibri" w:hAnsi="Palatino Linotype" w:cs="Arial"/>
          <w:b/>
          <w:i/>
          <w:color w:val="000000" w:themeColor="text1"/>
          <w:lang w:val="es-ES"/>
        </w:rPr>
        <w:t xml:space="preserve">, </w:t>
      </w:r>
      <w:r w:rsidR="00610804" w:rsidRPr="00610804">
        <w:rPr>
          <w:rFonts w:ascii="Palatino Linotype" w:eastAsia="Calibri" w:hAnsi="Palatino Linotype" w:cs="Arial"/>
          <w:color w:val="000000" w:themeColor="text1"/>
          <w:lang w:val="es-ES"/>
        </w:rPr>
        <w:t>los cuales se pusieron a la vista del particular quince (15) de marzo de dos mil veintitrés</w:t>
      </w:r>
      <w:r w:rsidR="008D6F9A" w:rsidRPr="00610804">
        <w:rPr>
          <w:rFonts w:ascii="Palatino Linotype" w:eastAsia="Calibri" w:hAnsi="Palatino Linotype" w:cs="Arial"/>
          <w:b/>
          <w:i/>
          <w:color w:val="000000" w:themeColor="text1"/>
          <w:lang w:val="es-ES"/>
        </w:rPr>
        <w:t xml:space="preserve">; </w:t>
      </w:r>
      <w:r w:rsidR="008D6F9A" w:rsidRPr="00610804">
        <w:rPr>
          <w:rFonts w:ascii="Palatino Linotype" w:eastAsia="Calibri" w:hAnsi="Palatino Linotype" w:cs="Arial"/>
          <w:color w:val="000000" w:themeColor="text1"/>
          <w:lang w:val="es-ES"/>
        </w:rPr>
        <w:t>el cual se puso a la vista el dos (2) de febrero de dos mil veintitrés; sin embargo, se describe su contenido medular, siendo el siguiente:</w:t>
      </w:r>
    </w:p>
    <w:p w14:paraId="3DD6A63C" w14:textId="77777777" w:rsidR="00216127" w:rsidRPr="00216127" w:rsidRDefault="00216127" w:rsidP="00216127">
      <w:pPr>
        <w:pStyle w:val="Prrafodelista"/>
        <w:rPr>
          <w:rFonts w:ascii="Palatino Linotype" w:eastAsia="Calibri" w:hAnsi="Palatino Linotype" w:cs="Arial"/>
          <w:color w:val="000000" w:themeColor="text1"/>
          <w:lang w:val="es-ES"/>
        </w:rPr>
      </w:pPr>
    </w:p>
    <w:p w14:paraId="402CD216" w14:textId="7BF487EF" w:rsidR="00610804" w:rsidRPr="00610804" w:rsidRDefault="00610804" w:rsidP="00610804">
      <w:pPr>
        <w:pStyle w:val="Prrafodelista"/>
        <w:numPr>
          <w:ilvl w:val="0"/>
          <w:numId w:val="30"/>
        </w:numPr>
        <w:tabs>
          <w:tab w:val="left" w:pos="426"/>
        </w:tabs>
        <w:spacing w:line="360" w:lineRule="auto"/>
        <w:jc w:val="both"/>
        <w:rPr>
          <w:rFonts w:ascii="Palatino Linotype" w:eastAsia="Calibri" w:hAnsi="Palatino Linotype" w:cs="Arial"/>
          <w:color w:val="000000" w:themeColor="text1"/>
          <w:lang w:val="es-ES"/>
        </w:rPr>
      </w:pPr>
      <w:r w:rsidRPr="00610804">
        <w:rPr>
          <w:rFonts w:ascii="Palatino Linotype" w:eastAsia="Calibri" w:hAnsi="Palatino Linotype" w:cs="Arial"/>
          <w:b/>
          <w:i/>
          <w:color w:val="000000" w:themeColor="text1"/>
          <w:lang w:val="es-ES"/>
        </w:rPr>
        <w:t>Informe justificado RR. 16918-2022 (sol. 699-2022).</w:t>
      </w:r>
      <w:proofErr w:type="spellStart"/>
      <w:r w:rsidRPr="00610804">
        <w:rPr>
          <w:rFonts w:ascii="Palatino Linotype" w:eastAsia="Calibri" w:hAnsi="Palatino Linotype" w:cs="Arial"/>
          <w:b/>
          <w:i/>
          <w:color w:val="000000" w:themeColor="text1"/>
          <w:lang w:val="es-ES"/>
        </w:rPr>
        <w:t>pdf</w:t>
      </w:r>
      <w:proofErr w:type="spellEnd"/>
      <w:r>
        <w:rPr>
          <w:rFonts w:ascii="Palatino Linotype" w:eastAsia="Calibri" w:hAnsi="Palatino Linotype" w:cs="Arial"/>
          <w:b/>
          <w:i/>
          <w:color w:val="000000" w:themeColor="text1"/>
          <w:lang w:val="es-ES"/>
        </w:rPr>
        <w:t xml:space="preserve">: </w:t>
      </w:r>
      <w:r>
        <w:rPr>
          <w:rFonts w:ascii="Palatino Linotype" w:eastAsia="Calibri" w:hAnsi="Palatino Linotype" w:cs="Arial"/>
          <w:color w:val="000000" w:themeColor="text1"/>
          <w:lang w:val="es-ES"/>
        </w:rPr>
        <w:t>Oficio UIPL/1958/2022 suscrito por el Titular de la Unidad de Transparencia mediante el cual medularmente ratifica su respuesta inicial.</w:t>
      </w:r>
    </w:p>
    <w:p w14:paraId="2FD5DD9F" w14:textId="42457858" w:rsidR="00610804" w:rsidRPr="00610804" w:rsidRDefault="00610804" w:rsidP="00610804">
      <w:pPr>
        <w:pStyle w:val="Prrafodelista"/>
        <w:numPr>
          <w:ilvl w:val="0"/>
          <w:numId w:val="30"/>
        </w:numPr>
        <w:tabs>
          <w:tab w:val="left" w:pos="426"/>
        </w:tabs>
        <w:spacing w:line="360" w:lineRule="auto"/>
        <w:jc w:val="both"/>
        <w:rPr>
          <w:rFonts w:ascii="Palatino Linotype" w:eastAsia="Calibri" w:hAnsi="Palatino Linotype" w:cs="Arial"/>
          <w:color w:val="000000" w:themeColor="text1"/>
          <w:lang w:val="es-ES"/>
        </w:rPr>
      </w:pPr>
      <w:r w:rsidRPr="00610804">
        <w:rPr>
          <w:rFonts w:ascii="Palatino Linotype" w:eastAsia="Calibri" w:hAnsi="Palatino Linotype" w:cs="Arial"/>
          <w:b/>
          <w:i/>
          <w:color w:val="000000" w:themeColor="text1"/>
          <w:lang w:val="es-ES"/>
        </w:rPr>
        <w:t>Manifestaciones OSFEM RR. 16918-2022 (sol. 699-2022).</w:t>
      </w:r>
      <w:proofErr w:type="spellStart"/>
      <w:r w:rsidRPr="00610804">
        <w:rPr>
          <w:rFonts w:ascii="Palatino Linotype" w:eastAsia="Calibri" w:hAnsi="Palatino Linotype" w:cs="Arial"/>
          <w:b/>
          <w:i/>
          <w:color w:val="000000" w:themeColor="text1"/>
          <w:lang w:val="es-ES"/>
        </w:rPr>
        <w:t>pdf</w:t>
      </w:r>
      <w:proofErr w:type="spellEnd"/>
      <w:r>
        <w:rPr>
          <w:rFonts w:ascii="Palatino Linotype" w:eastAsia="Calibri" w:hAnsi="Palatino Linotype" w:cs="Arial"/>
          <w:b/>
          <w:color w:val="000000" w:themeColor="text1"/>
          <w:lang w:val="es-ES"/>
        </w:rPr>
        <w:t xml:space="preserve">: </w:t>
      </w:r>
      <w:r>
        <w:rPr>
          <w:rFonts w:ascii="Palatino Linotype" w:eastAsia="Calibri" w:hAnsi="Palatino Linotype" w:cs="Arial"/>
          <w:color w:val="000000" w:themeColor="text1"/>
          <w:lang w:val="es-ES"/>
        </w:rPr>
        <w:t xml:space="preserve">Oficio </w:t>
      </w:r>
      <w:r w:rsidR="00986A78">
        <w:rPr>
          <w:rFonts w:ascii="Palatino Linotype" w:eastAsia="Calibri" w:hAnsi="Palatino Linotype" w:cs="Arial"/>
          <w:color w:val="000000" w:themeColor="text1"/>
          <w:lang w:val="es-ES"/>
        </w:rPr>
        <w:t xml:space="preserve">OSFEM/DJC/SPH/183/2022 suscrito por el Servidor Público Habilitado del Órgano Superior de Fiscalización del Estado de México, mediante el cual refiere que la información no es generada, poseída o administrada por el Sujeto Obligado, ya que si bien, el OSFEM fiscaliza las acciones de las entidades fiscalizables, más no las obligaciones fiscales como lo requiere el </w:t>
      </w:r>
      <w:r w:rsidR="00986A78">
        <w:rPr>
          <w:rFonts w:ascii="Palatino Linotype" w:eastAsia="Calibri" w:hAnsi="Palatino Linotype" w:cs="Arial"/>
          <w:color w:val="000000" w:themeColor="text1"/>
          <w:lang w:val="es-ES"/>
        </w:rPr>
        <w:lastRenderedPageBreak/>
        <w:t>solicitante. Por lo que se orienta al particular que formule la solicitud ante el Ayuntamiento de Tianguistenco.</w:t>
      </w:r>
    </w:p>
    <w:p w14:paraId="3AA3DEA0" w14:textId="77777777" w:rsidR="00610804" w:rsidRDefault="00610804" w:rsidP="00610804">
      <w:pPr>
        <w:pStyle w:val="Prrafodelista"/>
        <w:tabs>
          <w:tab w:val="left" w:pos="426"/>
        </w:tabs>
        <w:spacing w:line="360" w:lineRule="auto"/>
        <w:jc w:val="both"/>
        <w:rPr>
          <w:rFonts w:ascii="Palatino Linotype" w:eastAsia="Calibri" w:hAnsi="Palatino Linotype" w:cs="Arial"/>
          <w:color w:val="000000" w:themeColor="text1"/>
          <w:lang w:val="es-ES"/>
        </w:rPr>
      </w:pPr>
    </w:p>
    <w:p w14:paraId="79A89F89" w14:textId="4FEB960A" w:rsidR="00FF0E06" w:rsidRPr="00FF0E06" w:rsidRDefault="00F778B2" w:rsidP="002F0AA9">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124BBC">
        <w:rPr>
          <w:rFonts w:ascii="Palatino Linotype" w:hAnsi="Palatino Linotype" w:cs="Arial"/>
          <w:color w:val="000000" w:themeColor="text1"/>
        </w:rPr>
        <w:t xml:space="preserve">El </w:t>
      </w:r>
      <w:r w:rsidR="00986A78">
        <w:rPr>
          <w:rFonts w:ascii="Palatino Linotype" w:hAnsi="Palatino Linotype" w:cs="Arial"/>
          <w:color w:val="000000" w:themeColor="text1"/>
        </w:rPr>
        <w:t>quince</w:t>
      </w:r>
      <w:r w:rsidR="000152B8" w:rsidRPr="00124BBC">
        <w:rPr>
          <w:rFonts w:ascii="Palatino Linotype" w:hAnsi="Palatino Linotype" w:cs="Arial"/>
          <w:color w:val="000000" w:themeColor="text1"/>
        </w:rPr>
        <w:t xml:space="preserve"> (</w:t>
      </w:r>
      <w:r w:rsidR="00986A78">
        <w:rPr>
          <w:rFonts w:ascii="Palatino Linotype" w:hAnsi="Palatino Linotype" w:cs="Arial"/>
          <w:color w:val="000000" w:themeColor="text1"/>
        </w:rPr>
        <w:t>15</w:t>
      </w:r>
      <w:r w:rsidR="000152B8" w:rsidRPr="00124BBC">
        <w:rPr>
          <w:rFonts w:ascii="Palatino Linotype" w:hAnsi="Palatino Linotype" w:cs="Arial"/>
          <w:color w:val="000000" w:themeColor="text1"/>
        </w:rPr>
        <w:t xml:space="preserve">) de </w:t>
      </w:r>
      <w:r w:rsidR="00986A78">
        <w:rPr>
          <w:rFonts w:ascii="Palatino Linotype" w:hAnsi="Palatino Linotype" w:cs="Arial"/>
          <w:color w:val="000000" w:themeColor="text1"/>
        </w:rPr>
        <w:t>marzo</w:t>
      </w:r>
      <w:r w:rsidR="00E23CA4" w:rsidRPr="00124BBC">
        <w:rPr>
          <w:rFonts w:ascii="Palatino Linotype" w:hAnsi="Palatino Linotype" w:cs="Arial"/>
          <w:color w:val="000000" w:themeColor="text1"/>
        </w:rPr>
        <w:t xml:space="preserve"> de dos mil veinti</w:t>
      </w:r>
      <w:r w:rsidR="00FF0E06">
        <w:rPr>
          <w:rFonts w:ascii="Palatino Linotype" w:hAnsi="Palatino Linotype" w:cs="Arial"/>
          <w:color w:val="000000" w:themeColor="text1"/>
        </w:rPr>
        <w:t>dós</w:t>
      </w:r>
      <w:r w:rsidR="00E23CA4" w:rsidRPr="00124BBC">
        <w:rPr>
          <w:rFonts w:ascii="Palatino Linotype" w:hAnsi="Palatino Linotype" w:cs="Arial"/>
          <w:color w:val="000000" w:themeColor="text1"/>
        </w:rPr>
        <w:t xml:space="preserve">, </w:t>
      </w:r>
      <w:r w:rsidR="00041DCC" w:rsidRPr="00124BBC">
        <w:rPr>
          <w:rFonts w:ascii="Palatino Linotype" w:hAnsi="Palatino Linotype" w:cs="Arial"/>
          <w:color w:val="000000" w:themeColor="text1"/>
        </w:rPr>
        <w:t xml:space="preserve">la Comisionada Ponente </w:t>
      </w:r>
      <w:r w:rsidR="00D00A2E" w:rsidRPr="00124BBC">
        <w:rPr>
          <w:rFonts w:ascii="Palatino Linotype" w:hAnsi="Palatino Linotype" w:cs="Arial"/>
          <w:color w:val="000000" w:themeColor="text1"/>
        </w:rPr>
        <w:t xml:space="preserve">notificó el acuerdo de ampliación </w:t>
      </w:r>
      <w:r w:rsidR="00124BBC" w:rsidRPr="00124BBC">
        <w:rPr>
          <w:rFonts w:ascii="Palatino Linotype" w:hAnsi="Palatino Linotype" w:cs="Arial"/>
          <w:color w:val="000000" w:themeColor="text1"/>
        </w:rPr>
        <w:t>de plazo para emitir resoluc</w:t>
      </w:r>
      <w:r w:rsidR="00FF0E06">
        <w:rPr>
          <w:rFonts w:ascii="Palatino Linotype" w:hAnsi="Palatino Linotype" w:cs="Arial"/>
          <w:color w:val="000000" w:themeColor="text1"/>
        </w:rPr>
        <w:t>ión.</w:t>
      </w:r>
    </w:p>
    <w:p w14:paraId="32E5A003" w14:textId="77777777" w:rsidR="00FF0E06" w:rsidRPr="00FF0E06" w:rsidRDefault="00FF0E06" w:rsidP="00FF0E06">
      <w:pPr>
        <w:pStyle w:val="Prrafodelista"/>
        <w:tabs>
          <w:tab w:val="left" w:pos="426"/>
        </w:tabs>
        <w:spacing w:line="360" w:lineRule="auto"/>
        <w:ind w:left="0"/>
        <w:jc w:val="both"/>
        <w:rPr>
          <w:rFonts w:ascii="Palatino Linotype" w:hAnsi="Palatino Linotype"/>
          <w:color w:val="000000" w:themeColor="text1"/>
        </w:rPr>
      </w:pPr>
    </w:p>
    <w:p w14:paraId="3001AA57" w14:textId="286E665B" w:rsidR="008965EF" w:rsidRPr="00124BBC" w:rsidRDefault="00986A78" w:rsidP="002F0AA9">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El veinticuatro</w:t>
      </w:r>
      <w:r w:rsidR="00FF0E06">
        <w:rPr>
          <w:rFonts w:ascii="Palatino Linotype" w:hAnsi="Palatino Linotype" w:cs="Arial"/>
          <w:color w:val="000000" w:themeColor="text1"/>
        </w:rPr>
        <w:t xml:space="preserve"> (</w:t>
      </w:r>
      <w:r>
        <w:rPr>
          <w:rFonts w:ascii="Palatino Linotype" w:hAnsi="Palatino Linotype" w:cs="Arial"/>
          <w:color w:val="000000" w:themeColor="text1"/>
        </w:rPr>
        <w:t>24</w:t>
      </w:r>
      <w:r w:rsidR="00FF0E06">
        <w:rPr>
          <w:rFonts w:ascii="Palatino Linotype" w:hAnsi="Palatino Linotype" w:cs="Arial"/>
          <w:color w:val="000000" w:themeColor="text1"/>
        </w:rPr>
        <w:t>) de marzo de dos mil veintitrés, la Comisionada Ponente</w:t>
      </w:r>
      <w:r w:rsidR="00124BBC" w:rsidRPr="00124BBC">
        <w:rPr>
          <w:rFonts w:ascii="Palatino Linotype" w:hAnsi="Palatino Linotype" w:cs="Arial"/>
          <w:color w:val="000000" w:themeColor="text1"/>
        </w:rPr>
        <w:t xml:space="preserve"> </w:t>
      </w:r>
      <w:r w:rsidR="00041DCC" w:rsidRPr="00124BBC">
        <w:rPr>
          <w:rFonts w:ascii="Palatino Linotype" w:hAnsi="Palatino Linotype" w:cs="Arial"/>
          <w:color w:val="000000" w:themeColor="text1"/>
        </w:rPr>
        <w:t>de</w:t>
      </w:r>
      <w:r w:rsidR="0055252F" w:rsidRPr="00124BBC">
        <w:rPr>
          <w:rFonts w:ascii="Palatino Linotype" w:hAnsi="Palatino Linotype" w:cs="Arial"/>
          <w:color w:val="000000" w:themeColor="text1"/>
        </w:rPr>
        <w:t>c</w:t>
      </w:r>
      <w:r w:rsidR="00D00A2E" w:rsidRPr="00124BBC">
        <w:rPr>
          <w:rFonts w:ascii="Palatino Linotype" w:hAnsi="Palatino Linotype" w:cs="Arial"/>
          <w:color w:val="000000" w:themeColor="text1"/>
        </w:rPr>
        <w:t xml:space="preserve">retó el cierre de instrucción, </w:t>
      </w:r>
      <w:r w:rsidR="00AD6AC5" w:rsidRPr="00124BBC">
        <w:rPr>
          <w:rFonts w:ascii="Palatino Linotype" w:hAnsi="Palatino Linotype" w:cs="Arial"/>
          <w:color w:val="000000" w:themeColor="text1"/>
        </w:rPr>
        <w:t>por lo que ordenó turnar el expediente para su resolución, misma que ahora se pronuncia</w:t>
      </w:r>
      <w:r w:rsidR="00BB219F" w:rsidRPr="00124BBC">
        <w:rPr>
          <w:rFonts w:ascii="Palatino Linotype" w:hAnsi="Palatino Linotype" w:cs="Arial"/>
          <w:color w:val="000000" w:themeColor="text1"/>
        </w:rPr>
        <w:t>.</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CF4E75"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CF4E75" w:rsidRDefault="00BB219F" w:rsidP="00BB219F">
      <w:pPr>
        <w:pStyle w:val="Prrafodelista"/>
        <w:rPr>
          <w:rFonts w:ascii="Palatino Linotype" w:hAnsi="Palatino Linotype"/>
        </w:rPr>
      </w:pPr>
    </w:p>
    <w:p w14:paraId="763D9316"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CF4E75" w:rsidRDefault="00BB219F" w:rsidP="00BB219F">
      <w:pPr>
        <w:pStyle w:val="Prrafodelista"/>
        <w:rPr>
          <w:rFonts w:ascii="Palatino Linotype" w:hAnsi="Palatino Linotype"/>
        </w:rPr>
      </w:pPr>
    </w:p>
    <w:p w14:paraId="1F5EEE70"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17EDF5D6"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b)     Actividad Procesal del interesado: Acciones u omisiones del interesado.</w:t>
      </w:r>
    </w:p>
    <w:p w14:paraId="609ACC4D"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d) La afectación generada en la situación jurídica de la persona involucrada en el proceso: Violación a sus derechos humanos.</w:t>
      </w:r>
    </w:p>
    <w:p w14:paraId="6B32F9F4"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De modo que, cuando se trate de un asunto excepcional, por alguna o todas las características mencionadas o bien, cuando el ingreso de asuntos al órgano </w:t>
      </w:r>
      <w:r w:rsidRPr="00CF4E75">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Argumento que encuentra sustento en la jurisprudencia P</w:t>
      </w:r>
      <w:proofErr w:type="gramStart"/>
      <w:r w:rsidRPr="00CF4E75">
        <w:rPr>
          <w:rFonts w:ascii="Palatino Linotype" w:hAnsi="Palatino Linotype"/>
        </w:rPr>
        <w:t>./</w:t>
      </w:r>
      <w:proofErr w:type="gramEnd"/>
      <w:r w:rsidRPr="00CF4E75">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CF4E75" w:rsidRDefault="00BB219F" w:rsidP="00BB219F">
      <w:pPr>
        <w:pStyle w:val="Prrafodelista"/>
        <w:rPr>
          <w:rFonts w:ascii="Palatino Linotype" w:hAnsi="Palatino Linotype"/>
        </w:rPr>
      </w:pPr>
    </w:p>
    <w:p w14:paraId="424F017B"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A956A1C" w14:textId="77777777" w:rsidR="00BB219F" w:rsidRPr="00CF4E75" w:rsidRDefault="00BB219F" w:rsidP="00BB219F">
      <w:pPr>
        <w:pStyle w:val="Prrafodelista"/>
        <w:rPr>
          <w:rFonts w:ascii="Palatino Linotype" w:hAnsi="Palatino Linotype"/>
        </w:rPr>
      </w:pPr>
    </w:p>
    <w:p w14:paraId="5114BDE4"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CF4E75"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55252F"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B3E61">
        <w:rPr>
          <w:rFonts w:ascii="Palatino Linotype" w:hAnsi="Palatino Linotype"/>
          <w:b/>
          <w:color w:val="000000" w:themeColor="text1"/>
          <w:sz w:val="24"/>
        </w:rPr>
        <w:t>PRIMERO. De la competencia</w:t>
      </w:r>
      <w:bookmarkEnd w:id="6"/>
      <w:bookmarkEnd w:id="7"/>
      <w:bookmarkEnd w:id="8"/>
    </w:p>
    <w:p w14:paraId="60FBD8C7" w14:textId="77777777" w:rsidR="00FC1DA7" w:rsidRPr="001B3E61" w:rsidRDefault="00FC1DA7" w:rsidP="00B31E90">
      <w:pPr>
        <w:rPr>
          <w:rFonts w:ascii="Palatino Linotype" w:hAnsi="Palatino Linotype"/>
          <w:color w:val="000000" w:themeColor="text1"/>
          <w:lang w:eastAsia="en-US"/>
        </w:rPr>
      </w:pPr>
    </w:p>
    <w:p w14:paraId="3654A072" w14:textId="61F28EE4" w:rsidR="000B0ACA" w:rsidRPr="000B0ACA" w:rsidRDefault="000B0ACA" w:rsidP="000B0ACA">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B0ACA">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0B0ACA">
        <w:rPr>
          <w:rFonts w:ascii="Palatino Linotype" w:eastAsia="Calibri" w:hAnsi="Palatino Linotype" w:cs="Times New Roman"/>
          <w:b/>
          <w:color w:val="000000" w:themeColor="text1"/>
          <w:lang w:val="es-ES"/>
        </w:rPr>
        <w:t>Constitución Política de los Estados Unidos Mexicanos</w:t>
      </w:r>
      <w:r w:rsidRPr="000B0ACA">
        <w:rPr>
          <w:rFonts w:ascii="Palatino Linotype" w:eastAsia="Calibri" w:hAnsi="Palatino Linotype" w:cs="Times New Roman"/>
          <w:color w:val="000000" w:themeColor="text1"/>
          <w:lang w:val="es-ES"/>
        </w:rPr>
        <w:t xml:space="preserve">; 5, párrafos trigésimo, trigésimo primero y trigésimo segundo, fracciones IV y V, de la </w:t>
      </w:r>
      <w:r w:rsidRPr="000B0ACA">
        <w:rPr>
          <w:rFonts w:ascii="Palatino Linotype" w:eastAsia="Calibri" w:hAnsi="Palatino Linotype" w:cs="Times New Roman"/>
          <w:b/>
          <w:color w:val="000000" w:themeColor="text1"/>
          <w:lang w:val="es-ES"/>
        </w:rPr>
        <w:lastRenderedPageBreak/>
        <w:t>Constitución Política del Estado Libre y Soberano de México</w:t>
      </w:r>
      <w:r w:rsidRPr="000B0ACA">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B0ACA">
        <w:rPr>
          <w:rFonts w:ascii="Palatino Linotype" w:eastAsia="Calibri" w:hAnsi="Palatino Linotype" w:cs="Arial"/>
          <w:color w:val="000000" w:themeColor="text1"/>
          <w:lang w:val="es-ES"/>
        </w:rPr>
        <w:t xml:space="preserve">de la </w:t>
      </w:r>
      <w:r w:rsidRPr="000B0ACA">
        <w:rPr>
          <w:rFonts w:ascii="Palatino Linotype" w:eastAsia="Calibri" w:hAnsi="Palatino Linotype" w:cs="Arial"/>
          <w:b/>
          <w:color w:val="000000" w:themeColor="text1"/>
          <w:lang w:val="es-ES"/>
        </w:rPr>
        <w:t>Ley de Transparencia y Acceso a la Información Pública del Estado de México y Municipios</w:t>
      </w:r>
      <w:r w:rsidRPr="000B0ACA">
        <w:rPr>
          <w:rFonts w:ascii="Palatino Linotype" w:eastAsia="Calibri" w:hAnsi="Palatino Linotype" w:cs="Arial"/>
          <w:color w:val="000000" w:themeColor="text1"/>
          <w:lang w:val="es-ES"/>
        </w:rPr>
        <w:t xml:space="preserve">; y 6, 9 fracciones I y XXIII, y 11 del </w:t>
      </w:r>
      <w:r w:rsidRPr="000B0AC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0079188C">
        <w:rPr>
          <w:rFonts w:ascii="Palatino Linotype" w:eastAsia="Calibri" w:hAnsi="Palatino Linotype" w:cs="Arial"/>
          <w:b/>
          <w:color w:val="000000" w:themeColor="text1"/>
          <w:lang w:val="es-ES"/>
        </w:rPr>
        <w:t>.</w:t>
      </w:r>
    </w:p>
    <w:p w14:paraId="679C08A8" w14:textId="77777777" w:rsidR="000B0ACA" w:rsidRPr="000B0ACA" w:rsidRDefault="000B0ACA" w:rsidP="000B0AC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B3E61">
        <w:rPr>
          <w:rFonts w:ascii="Palatino Linotype" w:hAnsi="Palatino Linotype"/>
          <w:b/>
          <w:color w:val="000000" w:themeColor="text1"/>
          <w:sz w:val="24"/>
        </w:rPr>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9"/>
      <w:bookmarkEnd w:id="10"/>
      <w:bookmarkEnd w:id="11"/>
    </w:p>
    <w:p w14:paraId="18E22450" w14:textId="77777777" w:rsidR="00C6440A" w:rsidRPr="001B3E61" w:rsidRDefault="00C6440A" w:rsidP="00B31E90">
      <w:pPr>
        <w:rPr>
          <w:color w:val="000000" w:themeColor="text1"/>
          <w:lang w:eastAsia="en-US"/>
        </w:rPr>
      </w:pPr>
    </w:p>
    <w:p w14:paraId="7D631690" w14:textId="2B6D3C62" w:rsidR="00B34758" w:rsidRPr="001B3E6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 xml:space="preserve">El </w:t>
      </w:r>
      <w:r w:rsidR="00740BA4" w:rsidRPr="001B3E61">
        <w:rPr>
          <w:rFonts w:ascii="Palatino Linotype" w:eastAsia="Calibri" w:hAnsi="Palatino Linotype" w:cs="Arial"/>
          <w:color w:val="000000" w:themeColor="text1"/>
        </w:rPr>
        <w:t xml:space="preserve">medio de impugnación fue presentado a través del </w:t>
      </w:r>
      <w:r w:rsidR="00740BA4" w:rsidRPr="001B3E61">
        <w:rPr>
          <w:rFonts w:ascii="Palatino Linotype" w:eastAsia="Calibri" w:hAnsi="Palatino Linotype" w:cs="Arial"/>
          <w:bCs/>
          <w:iCs/>
          <w:color w:val="000000" w:themeColor="text1"/>
        </w:rPr>
        <w:t>SAIMEX</w:t>
      </w:r>
      <w:r w:rsidR="00740BA4" w:rsidRPr="001B3E6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B3E61">
        <w:rPr>
          <w:rFonts w:ascii="Palatino Linotype" w:eastAsia="Calibri" w:hAnsi="Palatino Linotype" w:cs="Arial"/>
          <w:b/>
          <w:color w:val="000000" w:themeColor="text1"/>
        </w:rPr>
        <w:t>SUJETO OBLIGADO</w:t>
      </w:r>
      <w:r w:rsidR="00740BA4" w:rsidRPr="001B3E61">
        <w:rPr>
          <w:rFonts w:ascii="Palatino Linotype" w:eastAsia="Calibri" w:hAnsi="Palatino Linotype" w:cs="Arial"/>
          <w:color w:val="000000" w:themeColor="text1"/>
        </w:rPr>
        <w:t xml:space="preserve"> entregó respuesta el </w:t>
      </w:r>
      <w:r w:rsidR="000B0ACA">
        <w:rPr>
          <w:rFonts w:ascii="Palatino Linotype" w:eastAsia="Calibri" w:hAnsi="Palatino Linotype" w:cs="Arial"/>
          <w:color w:val="000000" w:themeColor="text1"/>
        </w:rPr>
        <w:t>veinticuatro</w:t>
      </w:r>
      <w:r w:rsidR="00F778B2" w:rsidRPr="001B3E61">
        <w:rPr>
          <w:rFonts w:ascii="Palatino Linotype" w:eastAsia="Calibri" w:hAnsi="Palatino Linotype" w:cs="Arial"/>
          <w:color w:val="000000" w:themeColor="text1"/>
        </w:rPr>
        <w:t xml:space="preserve"> (</w:t>
      </w:r>
      <w:r w:rsidR="000B0ACA">
        <w:rPr>
          <w:rFonts w:ascii="Palatino Linotype" w:eastAsia="Calibri" w:hAnsi="Palatino Linotype" w:cs="Arial"/>
          <w:color w:val="000000" w:themeColor="text1"/>
        </w:rPr>
        <w:t>24</w:t>
      </w:r>
      <w:r w:rsidR="00F778B2" w:rsidRPr="001B3E61">
        <w:rPr>
          <w:rFonts w:ascii="Palatino Linotype" w:eastAsia="Calibri" w:hAnsi="Palatino Linotype" w:cs="Arial"/>
          <w:color w:val="000000" w:themeColor="text1"/>
        </w:rPr>
        <w:t>) d</w:t>
      </w:r>
      <w:r w:rsidR="00921375" w:rsidRPr="001B3E61">
        <w:rPr>
          <w:rFonts w:ascii="Palatino Linotype" w:eastAsia="Calibri" w:hAnsi="Palatino Linotype" w:cs="Arial"/>
          <w:color w:val="000000" w:themeColor="text1"/>
        </w:rPr>
        <w:t xml:space="preserve">e </w:t>
      </w:r>
      <w:r w:rsidR="00986A78">
        <w:rPr>
          <w:rFonts w:ascii="Palatino Linotype" w:eastAsia="Calibri" w:hAnsi="Palatino Linotype" w:cs="Arial"/>
          <w:color w:val="000000" w:themeColor="text1"/>
        </w:rPr>
        <w:t>noviembre</w:t>
      </w:r>
      <w:r w:rsidR="007F372C" w:rsidRPr="001B3E61">
        <w:rPr>
          <w:rFonts w:ascii="Palatino Linotype" w:eastAsia="Calibri" w:hAnsi="Palatino Linotype" w:cs="Arial"/>
          <w:color w:val="000000" w:themeColor="text1"/>
        </w:rPr>
        <w:t xml:space="preserve"> </w:t>
      </w:r>
      <w:r w:rsidR="00740BA4" w:rsidRPr="001B3E61">
        <w:rPr>
          <w:rFonts w:ascii="Palatino Linotype" w:eastAsia="Calibri" w:hAnsi="Palatino Linotype" w:cs="Arial"/>
          <w:color w:val="000000" w:themeColor="text1"/>
        </w:rPr>
        <w:t>de dos mil veinti</w:t>
      </w:r>
      <w:r w:rsidR="001B32B2" w:rsidRPr="001B3E61">
        <w:rPr>
          <w:rFonts w:ascii="Palatino Linotype" w:eastAsia="Calibri" w:hAnsi="Palatino Linotype" w:cs="Arial"/>
          <w:color w:val="000000" w:themeColor="text1"/>
        </w:rPr>
        <w:t>dós</w:t>
      </w:r>
      <w:r w:rsidR="00740BA4" w:rsidRPr="001B3E61">
        <w:rPr>
          <w:rFonts w:ascii="Palatino Linotype" w:eastAsia="Calibri" w:hAnsi="Palatino Linotype" w:cs="Arial"/>
          <w:color w:val="000000" w:themeColor="text1"/>
        </w:rPr>
        <w:t>, de tal forma que el plazo para interponer el recurso de revisión transcurrió del</w:t>
      </w:r>
      <w:r w:rsidR="005A3F61" w:rsidRPr="001B3E61">
        <w:rPr>
          <w:rFonts w:ascii="Palatino Linotype" w:eastAsia="Calibri" w:hAnsi="Palatino Linotype" w:cs="Arial"/>
          <w:color w:val="000000" w:themeColor="text1"/>
        </w:rPr>
        <w:t xml:space="preserve"> </w:t>
      </w:r>
      <w:r w:rsidR="00E47884">
        <w:rPr>
          <w:rFonts w:ascii="Palatino Linotype" w:eastAsia="Calibri" w:hAnsi="Palatino Linotype" w:cs="Arial"/>
          <w:color w:val="000000" w:themeColor="text1"/>
        </w:rPr>
        <w:t>veinticinco</w:t>
      </w:r>
      <w:r w:rsidR="00124BBC">
        <w:rPr>
          <w:rFonts w:ascii="Palatino Linotype" w:eastAsia="Calibri" w:hAnsi="Palatino Linotype" w:cs="Arial"/>
          <w:color w:val="000000" w:themeColor="text1"/>
        </w:rPr>
        <w:t xml:space="preserve"> </w:t>
      </w:r>
      <w:r w:rsidR="00921375" w:rsidRPr="001B3E61">
        <w:rPr>
          <w:rFonts w:ascii="Palatino Linotype" w:eastAsia="Calibri" w:hAnsi="Palatino Linotype" w:cs="Arial"/>
          <w:color w:val="000000" w:themeColor="text1"/>
        </w:rPr>
        <w:t>(</w:t>
      </w:r>
      <w:r w:rsidR="00E47884">
        <w:rPr>
          <w:rFonts w:ascii="Palatino Linotype" w:eastAsia="Calibri" w:hAnsi="Palatino Linotype" w:cs="Arial"/>
          <w:color w:val="000000" w:themeColor="text1"/>
        </w:rPr>
        <w:t>25</w:t>
      </w:r>
      <w:r w:rsidR="00921375" w:rsidRPr="001B3E61">
        <w:rPr>
          <w:rFonts w:ascii="Palatino Linotype" w:eastAsia="Calibri" w:hAnsi="Palatino Linotype" w:cs="Arial"/>
          <w:color w:val="000000" w:themeColor="text1"/>
        </w:rPr>
        <w:t xml:space="preserve">) </w:t>
      </w:r>
      <w:r w:rsidR="00E47884">
        <w:rPr>
          <w:rFonts w:ascii="Palatino Linotype" w:eastAsia="Calibri" w:hAnsi="Palatino Linotype" w:cs="Arial"/>
          <w:color w:val="000000" w:themeColor="text1"/>
        </w:rPr>
        <w:t xml:space="preserve">de </w:t>
      </w:r>
      <w:r w:rsidR="00986A78">
        <w:rPr>
          <w:rFonts w:ascii="Palatino Linotype" w:eastAsia="Calibri" w:hAnsi="Palatino Linotype" w:cs="Arial"/>
          <w:color w:val="000000" w:themeColor="text1"/>
        </w:rPr>
        <w:t>noviembre</w:t>
      </w:r>
      <w:r w:rsidR="00E47884">
        <w:rPr>
          <w:rFonts w:ascii="Palatino Linotype" w:eastAsia="Calibri" w:hAnsi="Palatino Linotype" w:cs="Arial"/>
          <w:color w:val="000000" w:themeColor="text1"/>
        </w:rPr>
        <w:t xml:space="preserve"> al </w:t>
      </w:r>
      <w:r w:rsidR="00986A78">
        <w:rPr>
          <w:rFonts w:ascii="Palatino Linotype" w:eastAsia="Calibri" w:hAnsi="Palatino Linotype" w:cs="Arial"/>
          <w:color w:val="000000" w:themeColor="text1"/>
        </w:rPr>
        <w:t>quince</w:t>
      </w:r>
      <w:r w:rsidR="00E47884">
        <w:rPr>
          <w:rFonts w:ascii="Palatino Linotype" w:eastAsia="Calibri" w:hAnsi="Palatino Linotype" w:cs="Arial"/>
          <w:color w:val="000000" w:themeColor="text1"/>
        </w:rPr>
        <w:t xml:space="preserve"> (</w:t>
      </w:r>
      <w:r w:rsidR="00986A78">
        <w:rPr>
          <w:rFonts w:ascii="Palatino Linotype" w:eastAsia="Calibri" w:hAnsi="Palatino Linotype" w:cs="Arial"/>
          <w:color w:val="000000" w:themeColor="text1"/>
        </w:rPr>
        <w:t>15</w:t>
      </w:r>
      <w:r w:rsidR="00E47884">
        <w:rPr>
          <w:rFonts w:ascii="Palatino Linotype" w:eastAsia="Calibri" w:hAnsi="Palatino Linotype" w:cs="Arial"/>
          <w:color w:val="000000" w:themeColor="text1"/>
        </w:rPr>
        <w:t xml:space="preserve">) de </w:t>
      </w:r>
      <w:r w:rsidR="00986A78">
        <w:rPr>
          <w:rFonts w:ascii="Palatino Linotype" w:eastAsia="Calibri" w:hAnsi="Palatino Linotype" w:cs="Arial"/>
          <w:color w:val="000000" w:themeColor="text1"/>
        </w:rPr>
        <w:t>diciembre</w:t>
      </w:r>
      <w:r w:rsidR="00CC63CB" w:rsidRPr="001B3E61">
        <w:rPr>
          <w:rFonts w:ascii="Palatino Linotype" w:eastAsia="Calibri" w:hAnsi="Palatino Linotype" w:cs="Arial"/>
          <w:color w:val="000000" w:themeColor="text1"/>
        </w:rPr>
        <w:t xml:space="preserve"> d</w:t>
      </w:r>
      <w:r w:rsidR="00921375" w:rsidRPr="001B3E61">
        <w:rPr>
          <w:rFonts w:ascii="Palatino Linotype" w:eastAsia="Calibri" w:hAnsi="Palatino Linotype" w:cs="Arial"/>
          <w:color w:val="000000" w:themeColor="text1"/>
        </w:rPr>
        <w:t xml:space="preserve">e dos mil </w:t>
      </w:r>
      <w:r w:rsidR="00AA37A7" w:rsidRPr="001B3E61">
        <w:rPr>
          <w:rFonts w:ascii="Palatino Linotype" w:eastAsia="Calibri" w:hAnsi="Palatino Linotype" w:cs="Arial"/>
          <w:color w:val="000000" w:themeColor="text1"/>
        </w:rPr>
        <w:t>veintidós</w:t>
      </w:r>
      <w:r w:rsidR="00CE035D" w:rsidRPr="001B3E61">
        <w:rPr>
          <w:rFonts w:ascii="Palatino Linotype" w:eastAsia="Calibri" w:hAnsi="Palatino Linotype" w:cs="Arial"/>
          <w:color w:val="000000" w:themeColor="text1"/>
        </w:rPr>
        <w:t xml:space="preserve">, el recurso de revisión </w:t>
      </w:r>
      <w:r w:rsidR="00E95534" w:rsidRPr="001B3E61">
        <w:rPr>
          <w:rFonts w:ascii="Palatino Linotype" w:hAnsi="Palatino Linotype"/>
          <w:color w:val="000000" w:themeColor="text1"/>
        </w:rPr>
        <w:t xml:space="preserve">fue interpuesto el </w:t>
      </w:r>
      <w:r w:rsidR="00986A78">
        <w:rPr>
          <w:rFonts w:ascii="Palatino Linotype" w:hAnsi="Palatino Linotype"/>
          <w:color w:val="000000" w:themeColor="text1"/>
        </w:rPr>
        <w:t>veinticuatro</w:t>
      </w:r>
      <w:r w:rsidR="00CE035D" w:rsidRPr="001B3E61">
        <w:rPr>
          <w:rFonts w:ascii="Palatino Linotype" w:hAnsi="Palatino Linotype"/>
          <w:color w:val="000000" w:themeColor="text1"/>
        </w:rPr>
        <w:t xml:space="preserve"> </w:t>
      </w:r>
      <w:r w:rsidR="00921375" w:rsidRPr="001B3E61">
        <w:rPr>
          <w:rFonts w:ascii="Palatino Linotype" w:hAnsi="Palatino Linotype"/>
          <w:color w:val="000000" w:themeColor="text1"/>
        </w:rPr>
        <w:t>(</w:t>
      </w:r>
      <w:r w:rsidR="00986A78">
        <w:rPr>
          <w:rFonts w:ascii="Palatino Linotype" w:hAnsi="Palatino Linotype"/>
          <w:color w:val="000000" w:themeColor="text1"/>
        </w:rPr>
        <w:t>24</w:t>
      </w:r>
      <w:r w:rsidR="00921375" w:rsidRPr="001B3E61">
        <w:rPr>
          <w:rFonts w:ascii="Palatino Linotype" w:hAnsi="Palatino Linotype"/>
          <w:color w:val="000000" w:themeColor="text1"/>
        </w:rPr>
        <w:t xml:space="preserve">) de </w:t>
      </w:r>
      <w:r w:rsidR="00E47884">
        <w:rPr>
          <w:rFonts w:ascii="Palatino Linotype" w:hAnsi="Palatino Linotype"/>
          <w:color w:val="000000" w:themeColor="text1"/>
        </w:rPr>
        <w:t xml:space="preserve">septiembre </w:t>
      </w:r>
      <w:r w:rsidR="00061A86" w:rsidRPr="001B3E61">
        <w:rPr>
          <w:rFonts w:ascii="Palatino Linotype" w:hAnsi="Palatino Linotype"/>
          <w:color w:val="000000" w:themeColor="text1"/>
        </w:rPr>
        <w:t>de dos mil veintidós</w:t>
      </w:r>
      <w:r w:rsidR="00E95534" w:rsidRPr="001B3E61">
        <w:rPr>
          <w:rFonts w:ascii="Palatino Linotype" w:hAnsi="Palatino Linotype"/>
          <w:color w:val="000000" w:themeColor="text1"/>
        </w:rPr>
        <w:t>, éste</w:t>
      </w:r>
      <w:r w:rsidR="00E95534" w:rsidRPr="001B3E6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B3E61">
        <w:rPr>
          <w:rFonts w:ascii="Palatino Linotype" w:hAnsi="Palatino Linotype" w:cs="Arial"/>
          <w:b/>
          <w:color w:val="000000" w:themeColor="text1"/>
        </w:rPr>
        <w:t xml:space="preserve"> </w:t>
      </w:r>
      <w:r w:rsidR="00E95534" w:rsidRPr="001B3E61">
        <w:rPr>
          <w:rFonts w:ascii="Palatino Linotype" w:hAnsi="Palatino Linotype" w:cs="Arial"/>
          <w:color w:val="000000" w:themeColor="text1"/>
        </w:rPr>
        <w:t>vigente.</w:t>
      </w:r>
    </w:p>
    <w:p w14:paraId="5CB8FFBB" w14:textId="77777777" w:rsidR="00D91544" w:rsidRPr="001B3E6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B3E6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C</w:t>
      </w:r>
      <w:r w:rsidR="00AF6795" w:rsidRPr="001B3E61">
        <w:rPr>
          <w:rFonts w:ascii="Palatino Linotype" w:eastAsia="Calibri" w:hAnsi="Palatino Linotype" w:cs="Arial"/>
          <w:color w:val="000000" w:themeColor="text1"/>
        </w:rPr>
        <w:t>onsecuencia de lo anterior, este</w:t>
      </w:r>
      <w:r w:rsidRPr="001B3E61">
        <w:rPr>
          <w:rFonts w:ascii="Palatino Linotype" w:eastAsia="Calibri" w:hAnsi="Palatino Linotype" w:cs="Arial"/>
          <w:color w:val="000000" w:themeColor="text1"/>
        </w:rPr>
        <w:t xml:space="preserve"> </w:t>
      </w:r>
      <w:r w:rsidR="00AF6795" w:rsidRPr="001B3E61">
        <w:rPr>
          <w:rFonts w:ascii="Palatino Linotype" w:eastAsia="Calibri" w:hAnsi="Palatino Linotype" w:cs="Arial"/>
          <w:color w:val="000000" w:themeColor="text1"/>
        </w:rPr>
        <w:t>Órgano Garante</w:t>
      </w:r>
      <w:r w:rsidRPr="001B3E61">
        <w:rPr>
          <w:rFonts w:ascii="Palatino Linotype" w:eastAsia="Calibri" w:hAnsi="Palatino Linotype" w:cs="Arial"/>
          <w:color w:val="000000" w:themeColor="text1"/>
        </w:rPr>
        <w:t xml:space="preserve"> advierte que </w:t>
      </w:r>
      <w:r w:rsidR="00540208" w:rsidRPr="001B3E61">
        <w:rPr>
          <w:rFonts w:ascii="Palatino Linotype" w:eastAsia="Calibri" w:hAnsi="Palatino Linotype" w:cs="Arial"/>
          <w:color w:val="000000" w:themeColor="text1"/>
        </w:rPr>
        <w:t xml:space="preserve">el escrito contiene las formalidades previstas por el artículo 180 último párrafo de la Ley </w:t>
      </w:r>
      <w:r w:rsidR="004911B6" w:rsidRPr="001B3E61">
        <w:rPr>
          <w:rFonts w:ascii="Palatino Linotype" w:eastAsia="Calibri" w:hAnsi="Palatino Linotype" w:cs="Arial"/>
          <w:color w:val="000000" w:themeColor="text1"/>
        </w:rPr>
        <w:t>de Transparencia y Acceso a la Información Pública del Estado de México y Municipios</w:t>
      </w:r>
      <w:r w:rsidR="00540208" w:rsidRPr="001B3E61">
        <w:rPr>
          <w:rFonts w:ascii="Palatino Linotype" w:eastAsia="Calibri" w:hAnsi="Palatino Linotype" w:cs="Arial"/>
          <w:color w:val="000000" w:themeColor="text1"/>
        </w:rPr>
        <w:t xml:space="preserve">, por lo que es procedente que </w:t>
      </w:r>
      <w:r w:rsidR="004911B6" w:rsidRPr="001B3E61">
        <w:rPr>
          <w:rFonts w:ascii="Palatino Linotype" w:eastAsia="Calibri" w:hAnsi="Palatino Linotype" w:cs="Arial"/>
          <w:color w:val="000000" w:themeColor="text1"/>
        </w:rPr>
        <w:t>e</w:t>
      </w:r>
      <w:r w:rsidR="00540208" w:rsidRPr="001B3E6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34E542D1" w14:textId="38BFA1C3" w:rsidR="00F778B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986A78">
        <w:rPr>
          <w:rFonts w:ascii="Palatino Linotype" w:hAnsi="Palatino Linotype" w:cs="Arial"/>
          <w:color w:val="000000" w:themeColor="text1"/>
        </w:rPr>
        <w:t xml:space="preserve"> del Ayuntamiento de Tianguistenco,</w:t>
      </w:r>
      <w:r w:rsidR="00F778B2">
        <w:rPr>
          <w:rFonts w:ascii="Palatino Linotype" w:hAnsi="Palatino Linotype" w:cs="Arial"/>
          <w:color w:val="000000" w:themeColor="text1"/>
        </w:rPr>
        <w:t xml:space="preserve"> siguiente:</w:t>
      </w:r>
    </w:p>
    <w:p w14:paraId="71226947" w14:textId="77777777" w:rsidR="009A3B2B"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6913F483" w14:textId="0FEB274C" w:rsidR="00986A78" w:rsidRPr="00554960" w:rsidRDefault="00986A78" w:rsidP="00554960">
      <w:pPr>
        <w:pStyle w:val="Prrafodelista"/>
        <w:numPr>
          <w:ilvl w:val="0"/>
          <w:numId w:val="6"/>
        </w:numPr>
        <w:spacing w:line="360" w:lineRule="auto"/>
        <w:ind w:left="567" w:right="49"/>
        <w:jc w:val="both"/>
        <w:rPr>
          <w:rFonts w:ascii="Palatino Linotype" w:hAnsi="Palatino Linotype"/>
          <w:bCs/>
          <w:color w:val="000000"/>
          <w:sz w:val="40"/>
          <w:szCs w:val="22"/>
        </w:rPr>
      </w:pPr>
      <w:r w:rsidRPr="00554960">
        <w:rPr>
          <w:rFonts w:ascii="Palatino Linotype" w:eastAsia="Times New Roman" w:hAnsi="Palatino Linotype" w:cs="Times New Roman"/>
          <w:sz w:val="22"/>
          <w:szCs w:val="14"/>
          <w:lang w:eastAsia="es-MX"/>
        </w:rPr>
        <w:t xml:space="preserve">Informe anual de gobierno correspondientes a los años del 2017 al 2021 reportado al </w:t>
      </w:r>
      <w:r w:rsidR="00554960">
        <w:rPr>
          <w:rFonts w:ascii="Palatino Linotype" w:eastAsia="Times New Roman" w:hAnsi="Palatino Linotype" w:cs="Times New Roman"/>
          <w:sz w:val="22"/>
          <w:szCs w:val="14"/>
          <w:lang w:eastAsia="es-MX"/>
        </w:rPr>
        <w:t>OSFEM;</w:t>
      </w:r>
    </w:p>
    <w:p w14:paraId="432F7771" w14:textId="5D83F281" w:rsidR="00986A78" w:rsidRPr="00554960" w:rsidRDefault="00986A78" w:rsidP="00554960">
      <w:pPr>
        <w:pStyle w:val="Prrafodelista"/>
        <w:numPr>
          <w:ilvl w:val="0"/>
          <w:numId w:val="6"/>
        </w:numPr>
        <w:spacing w:line="360" w:lineRule="auto"/>
        <w:ind w:left="567" w:right="49"/>
        <w:jc w:val="both"/>
        <w:rPr>
          <w:rFonts w:ascii="Palatino Linotype" w:hAnsi="Palatino Linotype"/>
          <w:bCs/>
          <w:color w:val="000000"/>
          <w:sz w:val="40"/>
          <w:szCs w:val="22"/>
        </w:rPr>
      </w:pPr>
      <w:r w:rsidRPr="00554960">
        <w:rPr>
          <w:rFonts w:ascii="Palatino Linotype" w:eastAsia="Times New Roman" w:hAnsi="Palatino Linotype" w:cs="Times New Roman"/>
          <w:sz w:val="22"/>
          <w:szCs w:val="14"/>
          <w:lang w:eastAsia="es-MX"/>
        </w:rPr>
        <w:t xml:space="preserve">Balanza de comprobación los Gastos de Publicidad y Propaganda reportados durante los meses de </w:t>
      </w:r>
      <w:r w:rsidR="00107330">
        <w:rPr>
          <w:rFonts w:ascii="Palatino Linotype" w:eastAsia="Times New Roman" w:hAnsi="Palatino Linotype" w:cs="Times New Roman"/>
          <w:sz w:val="22"/>
          <w:szCs w:val="14"/>
          <w:lang w:eastAsia="es-MX"/>
        </w:rPr>
        <w:t>mayo a diciembre del 2018;</w:t>
      </w:r>
    </w:p>
    <w:p w14:paraId="74725E33" w14:textId="3E6E8BA7" w:rsidR="00986A78" w:rsidRPr="00554960" w:rsidRDefault="00D61435" w:rsidP="00554960">
      <w:pPr>
        <w:pStyle w:val="Prrafodelista"/>
        <w:numPr>
          <w:ilvl w:val="0"/>
          <w:numId w:val="6"/>
        </w:numPr>
        <w:spacing w:line="360" w:lineRule="auto"/>
        <w:ind w:left="567" w:right="49"/>
        <w:jc w:val="both"/>
        <w:rPr>
          <w:rFonts w:ascii="Palatino Linotype" w:hAnsi="Palatino Linotype"/>
          <w:bCs/>
          <w:color w:val="000000"/>
          <w:sz w:val="40"/>
          <w:szCs w:val="22"/>
        </w:rPr>
      </w:pPr>
      <w:r w:rsidRPr="00554960">
        <w:rPr>
          <w:rFonts w:ascii="Palatino Linotype" w:eastAsia="Times New Roman" w:hAnsi="Palatino Linotype" w:cs="Times New Roman"/>
          <w:sz w:val="22"/>
          <w:szCs w:val="14"/>
          <w:lang w:eastAsia="es-MX"/>
        </w:rPr>
        <w:t>D</w:t>
      </w:r>
      <w:r w:rsidR="00986A78" w:rsidRPr="00554960">
        <w:rPr>
          <w:rFonts w:ascii="Palatino Linotype" w:eastAsia="Times New Roman" w:hAnsi="Palatino Linotype" w:cs="Times New Roman"/>
          <w:sz w:val="22"/>
          <w:szCs w:val="14"/>
          <w:lang w:eastAsia="es-MX"/>
        </w:rPr>
        <w:t>isco 6 de los informes mensuales municipales correspondientes a los meses</w:t>
      </w:r>
      <w:r w:rsidR="00107330">
        <w:rPr>
          <w:rFonts w:ascii="Palatino Linotype" w:eastAsia="Times New Roman" w:hAnsi="Palatino Linotype" w:cs="Times New Roman"/>
          <w:sz w:val="22"/>
          <w:szCs w:val="14"/>
          <w:lang w:eastAsia="es-MX"/>
        </w:rPr>
        <w:t xml:space="preserve"> de junio a septiembre del 2018;</w:t>
      </w:r>
    </w:p>
    <w:p w14:paraId="07D93667" w14:textId="31F05731" w:rsidR="00986A78" w:rsidRPr="00554960" w:rsidRDefault="00986A78" w:rsidP="00554960">
      <w:pPr>
        <w:pStyle w:val="Prrafodelista"/>
        <w:numPr>
          <w:ilvl w:val="0"/>
          <w:numId w:val="6"/>
        </w:numPr>
        <w:spacing w:line="360" w:lineRule="auto"/>
        <w:ind w:left="567" w:right="49"/>
        <w:jc w:val="both"/>
        <w:rPr>
          <w:rFonts w:ascii="Palatino Linotype" w:hAnsi="Palatino Linotype"/>
          <w:bCs/>
          <w:color w:val="000000"/>
          <w:sz w:val="40"/>
          <w:szCs w:val="22"/>
        </w:rPr>
      </w:pPr>
      <w:r w:rsidRPr="00554960">
        <w:rPr>
          <w:rFonts w:ascii="Palatino Linotype" w:eastAsia="Times New Roman" w:hAnsi="Palatino Linotype" w:cs="Times New Roman"/>
          <w:sz w:val="22"/>
          <w:szCs w:val="14"/>
          <w:lang w:eastAsia="es-MX"/>
        </w:rPr>
        <w:t>Balanza de comprobación de los apoyos otorgados al Consejo indígena del trueque Tianguistenco o consejo municipal indígena del Trueque en los informes mensuales municipales de los meses de febrero, junio y diciembre en los años del 2017 al 2021</w:t>
      </w:r>
      <w:r w:rsidR="00107330">
        <w:rPr>
          <w:rFonts w:ascii="Palatino Linotype" w:eastAsia="Times New Roman" w:hAnsi="Palatino Linotype" w:cs="Times New Roman"/>
          <w:sz w:val="22"/>
          <w:szCs w:val="14"/>
          <w:lang w:eastAsia="es-MX"/>
        </w:rPr>
        <w:t>;</w:t>
      </w:r>
    </w:p>
    <w:p w14:paraId="718729A3" w14:textId="1D87F3B1" w:rsidR="00986A78" w:rsidRPr="00554960" w:rsidRDefault="00986A78" w:rsidP="00554960">
      <w:pPr>
        <w:pStyle w:val="Prrafodelista"/>
        <w:numPr>
          <w:ilvl w:val="0"/>
          <w:numId w:val="6"/>
        </w:numPr>
        <w:spacing w:line="360" w:lineRule="auto"/>
        <w:ind w:left="567" w:right="49"/>
        <w:jc w:val="both"/>
        <w:rPr>
          <w:rFonts w:ascii="Palatino Linotype" w:hAnsi="Palatino Linotype"/>
          <w:bCs/>
          <w:color w:val="000000"/>
          <w:sz w:val="40"/>
          <w:szCs w:val="22"/>
        </w:rPr>
      </w:pPr>
      <w:r w:rsidRPr="00554960">
        <w:rPr>
          <w:rFonts w:ascii="Palatino Linotype" w:eastAsia="Times New Roman" w:hAnsi="Palatino Linotype" w:cs="Times New Roman"/>
          <w:sz w:val="22"/>
          <w:szCs w:val="14"/>
          <w:lang w:eastAsia="es-MX"/>
        </w:rPr>
        <w:t>Balanza de comprobación de los gastos relacionados con actividades culturales, deportivas y extraordinarias, en los informes mensuales municipale</w:t>
      </w:r>
      <w:r w:rsidR="00107330">
        <w:rPr>
          <w:rFonts w:ascii="Palatino Linotype" w:eastAsia="Times New Roman" w:hAnsi="Palatino Linotype" w:cs="Times New Roman"/>
          <w:sz w:val="22"/>
          <w:szCs w:val="14"/>
          <w:lang w:eastAsia="es-MX"/>
        </w:rPr>
        <w:t>s, en los años del 2017 al 2021; y,</w:t>
      </w:r>
    </w:p>
    <w:p w14:paraId="3B7690D7" w14:textId="3DF151C6" w:rsidR="00986A78" w:rsidRPr="00554960" w:rsidRDefault="00986A78" w:rsidP="00554960">
      <w:pPr>
        <w:pStyle w:val="Prrafodelista"/>
        <w:numPr>
          <w:ilvl w:val="0"/>
          <w:numId w:val="6"/>
        </w:numPr>
        <w:spacing w:line="360" w:lineRule="auto"/>
        <w:ind w:left="567" w:right="49"/>
        <w:jc w:val="both"/>
        <w:rPr>
          <w:rFonts w:ascii="Palatino Linotype" w:hAnsi="Palatino Linotype"/>
          <w:bCs/>
          <w:color w:val="000000"/>
          <w:sz w:val="40"/>
          <w:szCs w:val="22"/>
        </w:rPr>
      </w:pPr>
      <w:r w:rsidRPr="00554960">
        <w:rPr>
          <w:rFonts w:ascii="Palatino Linotype" w:eastAsia="Times New Roman" w:hAnsi="Palatino Linotype" w:cs="Times New Roman"/>
          <w:sz w:val="22"/>
          <w:szCs w:val="14"/>
          <w:lang w:eastAsia="es-MX"/>
        </w:rPr>
        <w:t>Balanza de comprobación de los apoyos otorgados al Consejo indígena del trueque Tianguistenco en los informes trimestrales municipales correspondientes a los meses de enero, febrero, marzo y abril, mayo, junio del 2022.</w:t>
      </w:r>
    </w:p>
    <w:p w14:paraId="621FEA9B" w14:textId="77777777" w:rsidR="00986A78" w:rsidRDefault="00986A78" w:rsidP="00986A78">
      <w:pPr>
        <w:pStyle w:val="Prrafodelista"/>
        <w:spacing w:line="360" w:lineRule="auto"/>
        <w:ind w:right="49"/>
        <w:jc w:val="both"/>
        <w:rPr>
          <w:rFonts w:ascii="Palatino Linotype" w:hAnsi="Palatino Linotype"/>
          <w:bCs/>
          <w:color w:val="000000"/>
          <w:szCs w:val="22"/>
        </w:rPr>
      </w:pPr>
    </w:p>
    <w:p w14:paraId="649423F9" w14:textId="73769BD9" w:rsidR="002F0AA9"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El Sujeto Obligado</w:t>
      </w:r>
      <w:r w:rsidR="002F0AA9">
        <w:rPr>
          <w:rFonts w:ascii="Palatino Linotype" w:hAnsi="Palatino Linotype" w:cs="Arial"/>
          <w:color w:val="000000" w:themeColor="text1"/>
        </w:rPr>
        <w:t xml:space="preserve"> declaró incompetencia para generar, a</w:t>
      </w:r>
      <w:r w:rsidR="00AF196E">
        <w:rPr>
          <w:rFonts w:ascii="Palatino Linotype" w:hAnsi="Palatino Linotype" w:cs="Arial"/>
          <w:color w:val="000000" w:themeColor="text1"/>
        </w:rPr>
        <w:t>d</w:t>
      </w:r>
      <w:r w:rsidR="00554960">
        <w:rPr>
          <w:rFonts w:ascii="Palatino Linotype" w:hAnsi="Palatino Linotype" w:cs="Arial"/>
          <w:color w:val="000000" w:themeColor="text1"/>
        </w:rPr>
        <w:t>ministrar o poseer información.</w:t>
      </w:r>
    </w:p>
    <w:p w14:paraId="5C627664" w14:textId="77777777" w:rsidR="00DF4A75"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16B6BF15" w:rsidR="00CC63CB" w:rsidRPr="00CC63CB"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El Particular se inconformó</w:t>
      </w:r>
      <w:r w:rsidR="00CC63CB">
        <w:rPr>
          <w:rFonts w:ascii="Palatino Linotype" w:eastAsia="Calibri" w:hAnsi="Palatino Linotype" w:cs="Tahoma"/>
          <w:color w:val="000000"/>
          <w:lang w:val="es-ES" w:eastAsia="es-MX"/>
        </w:rPr>
        <w:t xml:space="preserve"> por</w:t>
      </w:r>
      <w:r w:rsidR="00AF196E">
        <w:rPr>
          <w:rFonts w:ascii="Palatino Linotype" w:eastAsia="Calibri" w:hAnsi="Palatino Linotype" w:cs="Tahoma"/>
          <w:color w:val="000000"/>
          <w:lang w:val="es-ES" w:eastAsia="es-MX"/>
        </w:rPr>
        <w:t xml:space="preserve">que no le </w:t>
      </w:r>
      <w:r w:rsidR="00554960">
        <w:rPr>
          <w:rFonts w:ascii="Palatino Linotype" w:eastAsia="Calibri" w:hAnsi="Palatino Linotype" w:cs="Tahoma"/>
          <w:color w:val="000000"/>
          <w:lang w:val="es-ES" w:eastAsia="es-MX"/>
        </w:rPr>
        <w:t>entregaron lo solicitado.</w:t>
      </w:r>
    </w:p>
    <w:p w14:paraId="49E3C58D" w14:textId="77777777" w:rsidR="00CC63CB" w:rsidRPr="00CC63CB" w:rsidRDefault="00CC63CB" w:rsidP="00CC63CB">
      <w:pPr>
        <w:pStyle w:val="Prrafodelista"/>
        <w:rPr>
          <w:rFonts w:ascii="Palatino Linotype" w:eastAsia="Calibri" w:hAnsi="Palatino Linotype" w:cs="Tahoma"/>
          <w:color w:val="000000"/>
          <w:lang w:val="es-ES" w:eastAsia="es-MX"/>
        </w:rPr>
      </w:pPr>
    </w:p>
    <w:p w14:paraId="1C5AB6B5" w14:textId="2B65D975"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lastRenderedPageBreak/>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810109">
        <w:rPr>
          <w:rFonts w:ascii="Palatino Linotype" w:hAnsi="Palatino Linotype" w:cs="Arial"/>
          <w:color w:val="000000" w:themeColor="text1"/>
          <w:szCs w:val="23"/>
        </w:rPr>
        <w:t xml:space="preserve">I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27A7ED3" w14:textId="77777777" w:rsidR="002F0AA9" w:rsidRDefault="002F0AA9" w:rsidP="00E4180B">
      <w:pPr>
        <w:tabs>
          <w:tab w:val="left" w:pos="426"/>
        </w:tabs>
        <w:spacing w:line="360" w:lineRule="auto"/>
        <w:ind w:left="567" w:right="616"/>
        <w:jc w:val="both"/>
        <w:rPr>
          <w:rFonts w:ascii="Palatino Linotype" w:hAnsi="Palatino Linotype"/>
          <w:i/>
          <w:sz w:val="22"/>
          <w:szCs w:val="22"/>
        </w:rPr>
      </w:pPr>
    </w:p>
    <w:p w14:paraId="6A8ABBE7" w14:textId="77777777" w:rsidR="002F0AA9" w:rsidRDefault="002F0AA9" w:rsidP="00E4180B">
      <w:pPr>
        <w:tabs>
          <w:tab w:val="left" w:pos="426"/>
        </w:tabs>
        <w:spacing w:line="360" w:lineRule="auto"/>
        <w:ind w:left="567" w:right="616"/>
        <w:jc w:val="both"/>
        <w:rPr>
          <w:rFonts w:ascii="Palatino Linotype" w:hAnsi="Palatino Linotype"/>
          <w:i/>
          <w:sz w:val="22"/>
          <w:szCs w:val="22"/>
        </w:rPr>
      </w:pPr>
      <w:r w:rsidRPr="002F0AA9">
        <w:rPr>
          <w:rFonts w:ascii="Palatino Linotype" w:hAnsi="Palatino Linotype"/>
          <w:i/>
          <w:sz w:val="22"/>
          <w:szCs w:val="22"/>
        </w:rPr>
        <w:t>I. La negativa a la información solicitada;</w:t>
      </w:r>
    </w:p>
    <w:p w14:paraId="649824E1" w14:textId="67578C25" w:rsidR="00445CA7" w:rsidRPr="00E4180B" w:rsidRDefault="00445CA7" w:rsidP="00E4180B">
      <w:pPr>
        <w:tabs>
          <w:tab w:val="left" w:pos="426"/>
        </w:tabs>
        <w:spacing w:line="360" w:lineRule="auto"/>
        <w:ind w:left="567" w:right="616"/>
        <w:jc w:val="both"/>
        <w:rPr>
          <w:rFonts w:ascii="Palatino Linotype" w:hAnsi="Palatino Linotype"/>
          <w:i/>
          <w:sz w:val="22"/>
          <w:szCs w:val="22"/>
        </w:rPr>
      </w:pPr>
      <w:r w:rsidRPr="00E4180B">
        <w:rPr>
          <w:rFonts w:ascii="Palatino Linotype" w:hAnsi="Palatino Linotype"/>
          <w:i/>
          <w:sz w:val="22"/>
          <w:szCs w:val="22"/>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2"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2"/>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5"/>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0054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w:t>
      </w:r>
      <w:r w:rsidRPr="00A0054B">
        <w:rPr>
          <w:rFonts w:ascii="Palatino Linotype" w:hAnsi="Palatino Linotype" w:cs="Arial"/>
          <w:color w:val="000000"/>
        </w:rPr>
        <w:lastRenderedPageBreak/>
        <w:t xml:space="preserve">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A0054B">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w:t>
      </w:r>
      <w:r w:rsidRPr="00A0054B">
        <w:rPr>
          <w:rFonts w:ascii="Palatino Linotype" w:hAnsi="Palatino Linotype" w:cs="Bookman Old Style"/>
          <w:i/>
          <w:sz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A0054B">
        <w:rPr>
          <w:rFonts w:ascii="Palatino Linotype" w:hAnsi="Palatino Linotype"/>
          <w:lang w:val="es-ES"/>
        </w:rPr>
        <w:lastRenderedPageBreak/>
        <w:t>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w:t>
      </w:r>
      <w:r w:rsidRPr="001636EB">
        <w:rPr>
          <w:rFonts w:ascii="Palatino Linotype" w:hAnsi="Palatino Linotype"/>
          <w:i/>
          <w:sz w:val="22"/>
        </w:rPr>
        <w:lastRenderedPageBreak/>
        <w:t xml:space="preserve">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Amparo en revisión 257/2012. Ruth Corona Muñoz. 6 de diciembre de 2012. Unanimidad de votos. Ponente: Jean Claude </w:t>
      </w:r>
      <w:proofErr w:type="spellStart"/>
      <w:r w:rsidRPr="001636EB">
        <w:rPr>
          <w:rFonts w:ascii="Palatino Linotype" w:hAnsi="Palatino Linotype"/>
          <w:i/>
          <w:sz w:val="22"/>
        </w:rPr>
        <w:t>Tron</w:t>
      </w:r>
      <w:proofErr w:type="spellEnd"/>
      <w:r w:rsidRPr="001636EB">
        <w:rPr>
          <w:rFonts w:ascii="Palatino Linotype" w:hAnsi="Palatino Linotype"/>
          <w:i/>
          <w:sz w:val="22"/>
        </w:rPr>
        <w:t xml:space="preserve"> </w:t>
      </w:r>
      <w:proofErr w:type="spellStart"/>
      <w:r w:rsidRPr="001636EB">
        <w:rPr>
          <w:rFonts w:ascii="Palatino Linotype" w:hAnsi="Palatino Linotype"/>
          <w:i/>
          <w:sz w:val="22"/>
        </w:rPr>
        <w:t>Petit</w:t>
      </w:r>
      <w:proofErr w:type="spellEnd"/>
      <w:r w:rsidRPr="001636EB">
        <w:rPr>
          <w:rFonts w:ascii="Palatino Linotype" w:hAnsi="Palatino Linotype"/>
          <w:i/>
          <w:sz w:val="22"/>
        </w:rPr>
        <w: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lastRenderedPageBreak/>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A0054B">
        <w:rPr>
          <w:rFonts w:ascii="Palatino Linotype" w:hAnsi="Palatino Linotype" w:cs="Arial"/>
          <w:i/>
          <w:sz w:val="22"/>
        </w:rPr>
        <w:lastRenderedPageBreak/>
        <w:t>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 xml:space="preserve">es </w:t>
      </w:r>
      <w:r w:rsidRPr="00A0054B">
        <w:rPr>
          <w:rFonts w:ascii="Palatino Linotype" w:hAnsi="Palatino Linotype"/>
          <w:b/>
          <w:i/>
          <w:sz w:val="22"/>
        </w:rPr>
        <w:lastRenderedPageBreak/>
        <w:t>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702A87DA"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16B7E0D6" w14:textId="11E18FE6" w:rsidR="008E4483" w:rsidRPr="00E4180B" w:rsidRDefault="00E4180B" w:rsidP="001636EB">
      <w:pPr>
        <w:spacing w:line="360" w:lineRule="auto"/>
        <w:ind w:left="567" w:right="822"/>
        <w:jc w:val="both"/>
        <w:rPr>
          <w:rFonts w:ascii="Palatino Linotype" w:eastAsia="MS Mincho" w:hAnsi="Palatino Linotype" w:cs="Arial"/>
          <w:b/>
          <w:i/>
          <w:iCs/>
          <w:sz w:val="20"/>
          <w:szCs w:val="22"/>
        </w:rPr>
      </w:pPr>
      <w:r w:rsidRPr="00E4180B">
        <w:rPr>
          <w:rFonts w:ascii="Palatino Linotype" w:hAnsi="Palatino Linotype"/>
          <w:i/>
          <w:sz w:val="22"/>
        </w:rPr>
        <w:t>I. El Poder Ejecutivo del Estado de México, las dependencias, organismos auxiliares, órganos, entidades, fideicomisos y fondos públicos, así como la Procuraduría General de Justicia;</w:t>
      </w:r>
      <w:r w:rsidR="008E4483" w:rsidRPr="00E4180B">
        <w:rPr>
          <w:rFonts w:ascii="Palatino Linotype" w:eastAsia="MS Mincho" w:hAnsi="Palatino Linotype" w:cs="Arial"/>
          <w:b/>
          <w:i/>
          <w:iCs/>
          <w:sz w:val="20"/>
          <w:szCs w:val="22"/>
        </w:rPr>
        <w:t xml:space="preserve"> </w:t>
      </w:r>
    </w:p>
    <w:p w14:paraId="273927D8" w14:textId="77777777" w:rsidR="008E4483" w:rsidRPr="00A0054B" w:rsidRDefault="008E4483" w:rsidP="001636EB">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lastRenderedPageBreak/>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23DF83ED"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A36398" w:rsidRPr="00A36398">
        <w:rPr>
          <w:rFonts w:ascii="Palatino Linotype" w:eastAsia="Times New Roman" w:hAnsi="Palatino Linotype" w:cs="Arial"/>
          <w:b/>
          <w:color w:val="000000" w:themeColor="text1"/>
        </w:rPr>
        <w:t>e</w:t>
      </w:r>
      <w:r w:rsidR="00A36398">
        <w:rPr>
          <w:rFonts w:ascii="Palatino Linotype" w:eastAsia="Calibri" w:hAnsi="Palatino Linotype" w:cs="Arial"/>
          <w:b/>
          <w:bCs/>
          <w:lang w:val="es-ES"/>
        </w:rPr>
        <w:t>l Poder Legislativo</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A525303" w14:textId="77777777" w:rsidR="001C7F2D" w:rsidRDefault="001C7F2D" w:rsidP="001C7F2D">
      <w:pPr>
        <w:pStyle w:val="Prrafodelista"/>
        <w:rPr>
          <w:rFonts w:ascii="Palatino Linotype" w:hAnsi="Palatino Linotype" w:cs="Arial"/>
        </w:rPr>
      </w:pPr>
    </w:p>
    <w:p w14:paraId="12CB4493" w14:textId="3F72A57C"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w:t>
      </w:r>
      <w:r w:rsidR="002F0AA9">
        <w:rPr>
          <w:rFonts w:ascii="Palatino Linotype" w:hAnsi="Palatino Linotype"/>
          <w:b/>
          <w:color w:val="000000" w:themeColor="text1"/>
        </w:rPr>
        <w:t>a declaración de incompetencia</w:t>
      </w:r>
      <w:bookmarkEnd w:id="31"/>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5CD15BD8" w14:textId="1F68583C" w:rsidR="00402F25" w:rsidRDefault="00402F25" w:rsidP="00333A85">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El particular solicitó</w:t>
      </w:r>
      <w:r w:rsidR="00107330">
        <w:rPr>
          <w:rFonts w:ascii="Palatino Linotype" w:eastAsia="Calibri" w:hAnsi="Palatino Linotype" w:cs="Arial"/>
        </w:rPr>
        <w:t xml:space="preserve">, del Ayuntamiento de Tianguistenco, </w:t>
      </w:r>
      <w:r>
        <w:rPr>
          <w:rFonts w:ascii="Palatino Linotype" w:eastAsia="Calibri" w:hAnsi="Palatino Linotype" w:cs="Arial"/>
        </w:rPr>
        <w:t>la siguiente información:</w:t>
      </w:r>
    </w:p>
    <w:p w14:paraId="00EC1E2E" w14:textId="77777777" w:rsidR="00402F25" w:rsidRDefault="00402F25" w:rsidP="00402F25">
      <w:pPr>
        <w:pStyle w:val="Prrafodelista"/>
        <w:tabs>
          <w:tab w:val="left" w:pos="567"/>
        </w:tabs>
        <w:spacing w:line="360" w:lineRule="auto"/>
        <w:ind w:left="0"/>
        <w:jc w:val="both"/>
        <w:rPr>
          <w:rFonts w:ascii="Palatino Linotype" w:eastAsia="Calibri" w:hAnsi="Palatino Linotype" w:cs="Arial"/>
        </w:rPr>
      </w:pPr>
    </w:p>
    <w:p w14:paraId="6F6C0745" w14:textId="77777777" w:rsidR="00107330" w:rsidRPr="00554960" w:rsidRDefault="00107330" w:rsidP="00107330">
      <w:pPr>
        <w:pStyle w:val="Prrafodelista"/>
        <w:numPr>
          <w:ilvl w:val="0"/>
          <w:numId w:val="6"/>
        </w:numPr>
        <w:spacing w:line="360" w:lineRule="auto"/>
        <w:ind w:left="567" w:right="49"/>
        <w:jc w:val="both"/>
        <w:rPr>
          <w:rFonts w:ascii="Palatino Linotype" w:hAnsi="Palatino Linotype"/>
          <w:bCs/>
          <w:color w:val="000000"/>
          <w:sz w:val="40"/>
          <w:szCs w:val="22"/>
        </w:rPr>
      </w:pPr>
      <w:r w:rsidRPr="00554960">
        <w:rPr>
          <w:rFonts w:ascii="Palatino Linotype" w:eastAsia="Times New Roman" w:hAnsi="Palatino Linotype" w:cs="Times New Roman"/>
          <w:sz w:val="22"/>
          <w:szCs w:val="14"/>
          <w:lang w:eastAsia="es-MX"/>
        </w:rPr>
        <w:t xml:space="preserve">Informe anual de gobierno correspondientes a los años del 2017 al 2021 reportado al </w:t>
      </w:r>
      <w:r>
        <w:rPr>
          <w:rFonts w:ascii="Palatino Linotype" w:eastAsia="Times New Roman" w:hAnsi="Palatino Linotype" w:cs="Times New Roman"/>
          <w:sz w:val="22"/>
          <w:szCs w:val="14"/>
          <w:lang w:eastAsia="es-MX"/>
        </w:rPr>
        <w:t>OSFEM;</w:t>
      </w:r>
    </w:p>
    <w:p w14:paraId="1E5FD36F" w14:textId="77777777" w:rsidR="00107330" w:rsidRPr="00554960" w:rsidRDefault="00107330" w:rsidP="00107330">
      <w:pPr>
        <w:pStyle w:val="Prrafodelista"/>
        <w:numPr>
          <w:ilvl w:val="0"/>
          <w:numId w:val="6"/>
        </w:numPr>
        <w:spacing w:line="360" w:lineRule="auto"/>
        <w:ind w:left="567" w:right="49"/>
        <w:jc w:val="both"/>
        <w:rPr>
          <w:rFonts w:ascii="Palatino Linotype" w:hAnsi="Palatino Linotype"/>
          <w:bCs/>
          <w:color w:val="000000"/>
          <w:sz w:val="40"/>
          <w:szCs w:val="22"/>
        </w:rPr>
      </w:pPr>
      <w:r w:rsidRPr="00554960">
        <w:rPr>
          <w:rFonts w:ascii="Palatino Linotype" w:eastAsia="Times New Roman" w:hAnsi="Palatino Linotype" w:cs="Times New Roman"/>
          <w:sz w:val="22"/>
          <w:szCs w:val="14"/>
          <w:lang w:eastAsia="es-MX"/>
        </w:rPr>
        <w:t xml:space="preserve">Balanza de comprobación los Gastos de Publicidad y Propaganda reportados durante los meses de </w:t>
      </w:r>
      <w:r>
        <w:rPr>
          <w:rFonts w:ascii="Palatino Linotype" w:eastAsia="Times New Roman" w:hAnsi="Palatino Linotype" w:cs="Times New Roman"/>
          <w:sz w:val="22"/>
          <w:szCs w:val="14"/>
          <w:lang w:eastAsia="es-MX"/>
        </w:rPr>
        <w:t>mayo a diciembre del 2018;</w:t>
      </w:r>
    </w:p>
    <w:p w14:paraId="5D3F1C6B" w14:textId="77777777" w:rsidR="00107330" w:rsidRPr="00554960" w:rsidRDefault="00107330" w:rsidP="00107330">
      <w:pPr>
        <w:pStyle w:val="Prrafodelista"/>
        <w:numPr>
          <w:ilvl w:val="0"/>
          <w:numId w:val="6"/>
        </w:numPr>
        <w:spacing w:line="360" w:lineRule="auto"/>
        <w:ind w:left="567" w:right="49"/>
        <w:jc w:val="both"/>
        <w:rPr>
          <w:rFonts w:ascii="Palatino Linotype" w:hAnsi="Palatino Linotype"/>
          <w:bCs/>
          <w:color w:val="000000"/>
          <w:sz w:val="40"/>
          <w:szCs w:val="22"/>
        </w:rPr>
      </w:pPr>
      <w:r w:rsidRPr="00554960">
        <w:rPr>
          <w:rFonts w:ascii="Palatino Linotype" w:eastAsia="Times New Roman" w:hAnsi="Palatino Linotype" w:cs="Times New Roman"/>
          <w:sz w:val="22"/>
          <w:szCs w:val="14"/>
          <w:lang w:eastAsia="es-MX"/>
        </w:rPr>
        <w:t>Disco 6 de los informes mensuales municipales correspondientes a los meses</w:t>
      </w:r>
      <w:r>
        <w:rPr>
          <w:rFonts w:ascii="Palatino Linotype" w:eastAsia="Times New Roman" w:hAnsi="Palatino Linotype" w:cs="Times New Roman"/>
          <w:sz w:val="22"/>
          <w:szCs w:val="14"/>
          <w:lang w:eastAsia="es-MX"/>
        </w:rPr>
        <w:t xml:space="preserve"> de junio a septiembre del 2018;</w:t>
      </w:r>
    </w:p>
    <w:p w14:paraId="59321F91" w14:textId="77777777" w:rsidR="00107330" w:rsidRPr="00554960" w:rsidRDefault="00107330" w:rsidP="00107330">
      <w:pPr>
        <w:pStyle w:val="Prrafodelista"/>
        <w:numPr>
          <w:ilvl w:val="0"/>
          <w:numId w:val="6"/>
        </w:numPr>
        <w:spacing w:line="360" w:lineRule="auto"/>
        <w:ind w:left="567" w:right="49"/>
        <w:jc w:val="both"/>
        <w:rPr>
          <w:rFonts w:ascii="Palatino Linotype" w:hAnsi="Palatino Linotype"/>
          <w:bCs/>
          <w:color w:val="000000"/>
          <w:sz w:val="40"/>
          <w:szCs w:val="22"/>
        </w:rPr>
      </w:pPr>
      <w:r w:rsidRPr="00554960">
        <w:rPr>
          <w:rFonts w:ascii="Palatino Linotype" w:eastAsia="Times New Roman" w:hAnsi="Palatino Linotype" w:cs="Times New Roman"/>
          <w:sz w:val="22"/>
          <w:szCs w:val="14"/>
          <w:lang w:eastAsia="es-MX"/>
        </w:rPr>
        <w:lastRenderedPageBreak/>
        <w:t>Balanza de comprobación de los apoyos otorgados al Consejo indígena del trueque Tianguistenco o consejo municipal indígena del Trueque en los informes mensuales municipales de los meses de febrero, junio y diciembre en los años del 2017 al 2021</w:t>
      </w:r>
      <w:r>
        <w:rPr>
          <w:rFonts w:ascii="Palatino Linotype" w:eastAsia="Times New Roman" w:hAnsi="Palatino Linotype" w:cs="Times New Roman"/>
          <w:sz w:val="22"/>
          <w:szCs w:val="14"/>
          <w:lang w:eastAsia="es-MX"/>
        </w:rPr>
        <w:t>;</w:t>
      </w:r>
    </w:p>
    <w:p w14:paraId="72F1F0B0" w14:textId="77777777" w:rsidR="00107330" w:rsidRPr="00554960" w:rsidRDefault="00107330" w:rsidP="00107330">
      <w:pPr>
        <w:pStyle w:val="Prrafodelista"/>
        <w:numPr>
          <w:ilvl w:val="0"/>
          <w:numId w:val="6"/>
        </w:numPr>
        <w:spacing w:line="360" w:lineRule="auto"/>
        <w:ind w:left="567" w:right="49"/>
        <w:jc w:val="both"/>
        <w:rPr>
          <w:rFonts w:ascii="Palatino Linotype" w:hAnsi="Palatino Linotype"/>
          <w:bCs/>
          <w:color w:val="000000"/>
          <w:sz w:val="40"/>
          <w:szCs w:val="22"/>
        </w:rPr>
      </w:pPr>
      <w:r w:rsidRPr="00554960">
        <w:rPr>
          <w:rFonts w:ascii="Palatino Linotype" w:eastAsia="Times New Roman" w:hAnsi="Palatino Linotype" w:cs="Times New Roman"/>
          <w:sz w:val="22"/>
          <w:szCs w:val="14"/>
          <w:lang w:eastAsia="es-MX"/>
        </w:rPr>
        <w:t>Balanza de comprobación de los gastos relacionados con actividades culturales, deportivas y extraordinarias, en los informes mensuales municipale</w:t>
      </w:r>
      <w:r>
        <w:rPr>
          <w:rFonts w:ascii="Palatino Linotype" w:eastAsia="Times New Roman" w:hAnsi="Palatino Linotype" w:cs="Times New Roman"/>
          <w:sz w:val="22"/>
          <w:szCs w:val="14"/>
          <w:lang w:eastAsia="es-MX"/>
        </w:rPr>
        <w:t>s, en los años del 2017 al 2021; y,</w:t>
      </w:r>
    </w:p>
    <w:p w14:paraId="46AB892C" w14:textId="77777777" w:rsidR="00107330" w:rsidRPr="00554960" w:rsidRDefault="00107330" w:rsidP="00107330">
      <w:pPr>
        <w:pStyle w:val="Prrafodelista"/>
        <w:numPr>
          <w:ilvl w:val="0"/>
          <w:numId w:val="6"/>
        </w:numPr>
        <w:spacing w:line="360" w:lineRule="auto"/>
        <w:ind w:left="567" w:right="49"/>
        <w:jc w:val="both"/>
        <w:rPr>
          <w:rFonts w:ascii="Palatino Linotype" w:hAnsi="Palatino Linotype"/>
          <w:bCs/>
          <w:color w:val="000000"/>
          <w:sz w:val="40"/>
          <w:szCs w:val="22"/>
        </w:rPr>
      </w:pPr>
      <w:r w:rsidRPr="00554960">
        <w:rPr>
          <w:rFonts w:ascii="Palatino Linotype" w:eastAsia="Times New Roman" w:hAnsi="Palatino Linotype" w:cs="Times New Roman"/>
          <w:sz w:val="22"/>
          <w:szCs w:val="14"/>
          <w:lang w:eastAsia="es-MX"/>
        </w:rPr>
        <w:t>Balanza de comprobación de los apoyos otorgados al Consejo indígena del trueque Tianguistenco en los informes trimestrales municipales correspondientes a los meses de enero, febrero, marzo y abril, mayo, junio del 2022.</w:t>
      </w:r>
    </w:p>
    <w:p w14:paraId="52941C83" w14:textId="77777777" w:rsidR="00107330" w:rsidRDefault="00107330" w:rsidP="00107330">
      <w:pPr>
        <w:pStyle w:val="Prrafodelista"/>
        <w:spacing w:line="360" w:lineRule="auto"/>
        <w:ind w:right="49"/>
        <w:jc w:val="both"/>
        <w:rPr>
          <w:rFonts w:ascii="Palatino Linotype" w:hAnsi="Palatino Linotype"/>
          <w:bCs/>
          <w:color w:val="000000"/>
          <w:szCs w:val="22"/>
        </w:rPr>
      </w:pPr>
    </w:p>
    <w:p w14:paraId="010DB5CA" w14:textId="0B17748F" w:rsidR="00107330" w:rsidRDefault="002F0AA9" w:rsidP="00237E5A">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El Sujeto Obligado se declaró incompete</w:t>
      </w:r>
      <w:r w:rsidR="00237E5A">
        <w:rPr>
          <w:rFonts w:ascii="Palatino Linotype" w:eastAsia="MS Mincho" w:hAnsi="Palatino Linotype"/>
        </w:rPr>
        <w:t>n</w:t>
      </w:r>
      <w:r w:rsidR="00107330">
        <w:rPr>
          <w:rFonts w:ascii="Palatino Linotype" w:eastAsia="MS Mincho" w:hAnsi="Palatino Linotype"/>
        </w:rPr>
        <w:t xml:space="preserve">te para contar con información ya que el particular </w:t>
      </w:r>
      <w:r w:rsidR="006F2771">
        <w:rPr>
          <w:rFonts w:ascii="Palatino Linotype" w:eastAsia="MS Mincho" w:hAnsi="Palatino Linotype"/>
        </w:rPr>
        <w:t>requirió información fiscal.</w:t>
      </w:r>
    </w:p>
    <w:p w14:paraId="58B03693" w14:textId="77777777" w:rsidR="00107330" w:rsidRDefault="00107330" w:rsidP="00107330">
      <w:pPr>
        <w:pStyle w:val="Prrafodelista"/>
        <w:spacing w:line="360" w:lineRule="auto"/>
        <w:ind w:left="0"/>
        <w:jc w:val="both"/>
        <w:rPr>
          <w:rFonts w:ascii="Palatino Linotype" w:eastAsia="MS Mincho" w:hAnsi="Palatino Linotype"/>
        </w:rPr>
      </w:pPr>
    </w:p>
    <w:p w14:paraId="0CA7FE90" w14:textId="38B920D5" w:rsidR="00AE05C9" w:rsidRDefault="006F2771" w:rsidP="00AE05C9">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Si bien, el particular en su solicitud añadió la palabra “fiscal”, también lo es que, la información requerida se relaciona con los informes mensuales y trimestrales que tienen que remitir los Ayuntamientos al Órgano Superior de Fiscalización del Estado de M</w:t>
      </w:r>
      <w:r w:rsidR="00823725">
        <w:rPr>
          <w:rFonts w:ascii="Palatino Linotype" w:eastAsia="MS Mincho" w:hAnsi="Palatino Linotype"/>
        </w:rPr>
        <w:t>éxico en cumplimiento a sus obligaciones en materia de fiscalización.</w:t>
      </w:r>
    </w:p>
    <w:p w14:paraId="069AE44A" w14:textId="77777777" w:rsidR="00AE05C9" w:rsidRPr="00AE05C9" w:rsidRDefault="00AE05C9" w:rsidP="00AE05C9">
      <w:pPr>
        <w:pStyle w:val="Prrafodelista"/>
        <w:rPr>
          <w:rFonts w:ascii="Palatino Linotype" w:hAnsi="Palatino Linotype"/>
        </w:rPr>
      </w:pPr>
    </w:p>
    <w:p w14:paraId="61DDD3B8" w14:textId="23DD949C" w:rsidR="00AE05C9" w:rsidRPr="00AE05C9" w:rsidRDefault="00AE05C9" w:rsidP="00AE05C9">
      <w:pPr>
        <w:pStyle w:val="Prrafodelista"/>
        <w:numPr>
          <w:ilvl w:val="0"/>
          <w:numId w:val="1"/>
        </w:numPr>
        <w:spacing w:line="360" w:lineRule="auto"/>
        <w:jc w:val="both"/>
        <w:rPr>
          <w:rFonts w:ascii="Palatino Linotype" w:eastAsia="MS Mincho" w:hAnsi="Palatino Linotype"/>
        </w:rPr>
      </w:pPr>
      <w:r w:rsidRPr="00AE05C9">
        <w:rPr>
          <w:rFonts w:ascii="Palatino Linotype" w:hAnsi="Palatino Linotype"/>
        </w:rPr>
        <w:t xml:space="preserve">En razón de lo anterior, se procedió al análisis del ámbito competencial del </w:t>
      </w:r>
      <w:r w:rsidRPr="00AE05C9">
        <w:rPr>
          <w:rFonts w:ascii="Palatino Linotype" w:hAnsi="Palatino Linotype"/>
          <w:b/>
        </w:rPr>
        <w:t>SUJETO OBLIGADO</w:t>
      </w:r>
      <w:r w:rsidRPr="00AE05C9">
        <w:rPr>
          <w:rFonts w:ascii="Palatino Linotype" w:hAnsi="Palatino Linotype"/>
        </w:rPr>
        <w:t xml:space="preserve">, a fin de determinar si tiene atribuciones </w:t>
      </w:r>
      <w:r w:rsidRPr="00AE05C9">
        <w:rPr>
          <w:rFonts w:ascii="Palatino Linotype" w:hAnsi="Palatino Linotype"/>
          <w:b/>
        </w:rPr>
        <w:t>para generar, poseer o administrar la información solicitada,</w:t>
      </w:r>
      <w:r w:rsidRPr="00AE05C9">
        <w:rPr>
          <w:rFonts w:ascii="Palatino Linotype" w:hAnsi="Palatino Linotype"/>
        </w:rPr>
        <w:t xml:space="preserve"> de lo cual se pudo advertir que, si bien es cierto, no genera la información solicitada por el </w:t>
      </w:r>
      <w:r w:rsidRPr="00AE05C9">
        <w:rPr>
          <w:rFonts w:ascii="Palatino Linotype" w:hAnsi="Palatino Linotype"/>
          <w:b/>
        </w:rPr>
        <w:t xml:space="preserve">RECURRENTE, </w:t>
      </w:r>
      <w:r w:rsidRPr="00AE05C9">
        <w:rPr>
          <w:rFonts w:ascii="Palatino Linotype" w:hAnsi="Palatino Linotype"/>
        </w:rPr>
        <w:t xml:space="preserve">también lo es, que  tiene atribuciones para  poseerla y administrarla, de acuerdo a lo establecido en los artículos; 61 fracciones XXXII y XXXIV de la Constitución Política del Estado Libre y Soberano de México; 94 fracción I y 95 de la Ley Orgánica del Poder Legislativo, del Estado Libre y Soberano de México; 1, 3, 8 fracción I, V, VIII , XI y 47 de la Ley </w:t>
      </w:r>
      <w:r w:rsidRPr="00AE05C9">
        <w:rPr>
          <w:rFonts w:ascii="Palatino Linotype" w:hAnsi="Palatino Linotype"/>
        </w:rPr>
        <w:lastRenderedPageBreak/>
        <w:t xml:space="preserve">de Fiscalización Superior del Estado de México y 2,  del Reglamento Interior del Órgano Superior de Fiscalización del Estado de México, que se citan a continuación: </w:t>
      </w:r>
    </w:p>
    <w:p w14:paraId="16101782" w14:textId="77777777" w:rsidR="00AE05C9" w:rsidRPr="00723810" w:rsidRDefault="00AE05C9" w:rsidP="00AE05C9">
      <w:pPr>
        <w:spacing w:line="360" w:lineRule="auto"/>
        <w:ind w:left="851" w:right="900"/>
        <w:jc w:val="both"/>
        <w:rPr>
          <w:rFonts w:ascii="Palatino Linotype" w:hAnsi="Palatino Linotype"/>
          <w:sz w:val="22"/>
          <w:szCs w:val="22"/>
        </w:rPr>
      </w:pPr>
      <w:r w:rsidRPr="00723810">
        <w:rPr>
          <w:rFonts w:ascii="Palatino Linotype" w:hAnsi="Palatino Linotype"/>
          <w:sz w:val="22"/>
          <w:szCs w:val="22"/>
        </w:rPr>
        <w:t>Constitución Política del Estado Libre y Soberano de México</w:t>
      </w:r>
    </w:p>
    <w:p w14:paraId="02628BA8"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i/>
          <w:sz w:val="22"/>
          <w:szCs w:val="22"/>
        </w:rPr>
        <w:t>“Artículo 61. Son facultades y obligaciones de la legislatura:</w:t>
      </w:r>
    </w:p>
    <w:p w14:paraId="19944CB4"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i/>
          <w:sz w:val="22"/>
          <w:szCs w:val="22"/>
        </w:rPr>
        <w:t>…</w:t>
      </w:r>
    </w:p>
    <w:p w14:paraId="694F505C"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i/>
          <w:sz w:val="22"/>
          <w:szCs w:val="22"/>
        </w:rPr>
        <w:t xml:space="preserve">XXXII. Recibir, revisar, fiscalizar y calificar las cuentas públicas del Estado y de los Municipios, del año anterior, mismas que incluirán, en su caso, la información correspondiente a los Poderes Públicos, organismos autónomos, organismos auxiliares, fideicomisos públicos </w:t>
      </w:r>
      <w:proofErr w:type="spellStart"/>
      <w:r w:rsidRPr="00723810">
        <w:rPr>
          <w:rFonts w:ascii="Palatino Linotype" w:hAnsi="Palatino Linotype"/>
          <w:i/>
          <w:sz w:val="22"/>
          <w:szCs w:val="22"/>
        </w:rPr>
        <w:t>oprivados</w:t>
      </w:r>
      <w:proofErr w:type="spellEnd"/>
      <w:r w:rsidRPr="00723810">
        <w:rPr>
          <w:rFonts w:ascii="Palatino Linotype" w:hAnsi="Palatino Linotype"/>
          <w:i/>
          <w:sz w:val="22"/>
          <w:szCs w:val="22"/>
        </w:rPr>
        <w:t xml:space="preserve"> y demás entes públicos que manejen recursos del Estado y Municipios. </w:t>
      </w:r>
      <w:r w:rsidRPr="00723810">
        <w:rPr>
          <w:rFonts w:ascii="Palatino Linotype" w:hAnsi="Palatino Linotype"/>
          <w:b/>
          <w:i/>
          <w:sz w:val="22"/>
          <w:szCs w:val="22"/>
        </w:rPr>
        <w:t>Para tal efecto, contará con un Órgano Superior de Fiscalización</w:t>
      </w:r>
      <w:r w:rsidRPr="00723810">
        <w:rPr>
          <w:rFonts w:ascii="Palatino Linotype" w:hAnsi="Palatino Linotype"/>
          <w:i/>
          <w:sz w:val="22"/>
          <w:szCs w:val="22"/>
        </w:rPr>
        <w:t>, dotado de autonomía técnica y de gestión en el ejercicio de sus atribuciones y para decidir sobre su organización interna, funcionamiento y resoluciones, en los términos que disponga la legislación aplicable.</w:t>
      </w:r>
    </w:p>
    <w:p w14:paraId="22CAC865"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i/>
          <w:sz w:val="22"/>
          <w:szCs w:val="22"/>
        </w:rPr>
        <w:t>…</w:t>
      </w:r>
    </w:p>
    <w:p w14:paraId="58767E8A" w14:textId="77777777" w:rsidR="00AE05C9" w:rsidRPr="00723810" w:rsidRDefault="00AE05C9" w:rsidP="00AE05C9">
      <w:pPr>
        <w:spacing w:after="240"/>
        <w:ind w:left="851" w:right="900"/>
        <w:jc w:val="both"/>
        <w:rPr>
          <w:rFonts w:ascii="Palatino Linotype" w:hAnsi="Palatino Linotype"/>
          <w:i/>
          <w:sz w:val="22"/>
          <w:szCs w:val="22"/>
        </w:rPr>
      </w:pPr>
      <w:r w:rsidRPr="00723810">
        <w:rPr>
          <w:rFonts w:ascii="Palatino Linotype" w:hAnsi="Palatino Linotype"/>
          <w:i/>
          <w:sz w:val="22"/>
          <w:szCs w:val="22"/>
        </w:rPr>
        <w:t>XXXIV. Fiscalizar la administración de los ingresos y egresos del Estado y de los Municipios, que incluyen a los Poderes Públicos, organismos autónomos, organismos auxiliares, fideicomisos públicos o privados y demás entes que manejen recursos del Estado y Municipios, a través del Órgano Superior de Fiscalización del Estado de México.” (Sic)</w:t>
      </w:r>
    </w:p>
    <w:p w14:paraId="54E168A5" w14:textId="77777777" w:rsidR="00AE05C9" w:rsidRPr="00723810" w:rsidRDefault="00AE05C9" w:rsidP="00AE05C9">
      <w:pPr>
        <w:spacing w:after="240"/>
        <w:ind w:left="851" w:right="900"/>
        <w:jc w:val="both"/>
        <w:rPr>
          <w:rFonts w:ascii="Palatino Linotype" w:hAnsi="Palatino Linotype"/>
          <w:sz w:val="22"/>
          <w:szCs w:val="22"/>
        </w:rPr>
      </w:pPr>
      <w:r w:rsidRPr="00723810">
        <w:rPr>
          <w:rFonts w:ascii="Palatino Linotype" w:hAnsi="Palatino Linotype"/>
          <w:sz w:val="22"/>
          <w:szCs w:val="22"/>
        </w:rPr>
        <w:t>Ley Orgánica del Poder Legislativo, del Estado libre y soberano de México</w:t>
      </w:r>
    </w:p>
    <w:p w14:paraId="66786D16"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i/>
          <w:sz w:val="22"/>
          <w:szCs w:val="22"/>
        </w:rPr>
        <w:t>…</w:t>
      </w:r>
    </w:p>
    <w:p w14:paraId="34FDDB74"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i/>
          <w:sz w:val="22"/>
          <w:szCs w:val="22"/>
        </w:rPr>
        <w:t xml:space="preserve">Artículo 94.- Para el ejercicio de sus funciones, la Legislatura contará con las dependencias siguientes: </w:t>
      </w:r>
    </w:p>
    <w:p w14:paraId="09D8D1A7" w14:textId="77777777" w:rsidR="00AE05C9" w:rsidRPr="00723810" w:rsidRDefault="00AE05C9" w:rsidP="00AE05C9">
      <w:pPr>
        <w:ind w:left="851" w:right="900"/>
        <w:jc w:val="both"/>
        <w:rPr>
          <w:rFonts w:ascii="Palatino Linotype" w:hAnsi="Palatino Linotype"/>
          <w:b/>
          <w:i/>
          <w:sz w:val="22"/>
          <w:szCs w:val="22"/>
          <w:u w:val="single"/>
        </w:rPr>
      </w:pPr>
      <w:r w:rsidRPr="00723810">
        <w:rPr>
          <w:rFonts w:ascii="Palatino Linotype" w:hAnsi="Palatino Linotype"/>
          <w:b/>
          <w:i/>
          <w:sz w:val="22"/>
          <w:szCs w:val="22"/>
          <w:u w:val="single"/>
        </w:rPr>
        <w:t xml:space="preserve">I. </w:t>
      </w:r>
      <w:proofErr w:type="spellStart"/>
      <w:r w:rsidRPr="00723810">
        <w:rPr>
          <w:rFonts w:ascii="Palatino Linotype" w:hAnsi="Palatino Linotype"/>
          <w:b/>
          <w:i/>
          <w:sz w:val="22"/>
          <w:szCs w:val="22"/>
          <w:u w:val="single"/>
        </w:rPr>
        <w:t>Organo</w:t>
      </w:r>
      <w:proofErr w:type="spellEnd"/>
      <w:r w:rsidRPr="00723810">
        <w:rPr>
          <w:rFonts w:ascii="Palatino Linotype" w:hAnsi="Palatino Linotype"/>
          <w:b/>
          <w:i/>
          <w:sz w:val="22"/>
          <w:szCs w:val="22"/>
          <w:u w:val="single"/>
        </w:rPr>
        <w:t xml:space="preserve"> Superior de Fiscalización;</w:t>
      </w:r>
    </w:p>
    <w:p w14:paraId="5DEFA558"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i/>
          <w:sz w:val="22"/>
          <w:szCs w:val="22"/>
        </w:rPr>
        <w:t>…</w:t>
      </w:r>
    </w:p>
    <w:p w14:paraId="4DA70B37" w14:textId="77777777" w:rsidR="00AE05C9" w:rsidRPr="00723810" w:rsidRDefault="00AE05C9" w:rsidP="00AE05C9">
      <w:pPr>
        <w:spacing w:after="240"/>
        <w:ind w:left="851" w:right="900"/>
        <w:jc w:val="both"/>
        <w:rPr>
          <w:rFonts w:ascii="Palatino Linotype" w:hAnsi="Palatino Linotype"/>
          <w:i/>
          <w:sz w:val="22"/>
          <w:szCs w:val="22"/>
        </w:rPr>
      </w:pPr>
      <w:r w:rsidRPr="00723810">
        <w:rPr>
          <w:rFonts w:ascii="Palatino Linotype" w:hAnsi="Palatino Linotype"/>
          <w:i/>
          <w:sz w:val="22"/>
          <w:szCs w:val="22"/>
        </w:rPr>
        <w:t>Artículo 95.- Para el control, fiscalización y revisión del ingreso y del gasto público de los Poderes del Estado, Organismos Autónomos, Organismos Auxiliares y demás entes públicos que manejen recursos del Estado y Municipios, la Legislatura dispondrá del Órgano Superior de Fiscalización, cuya organización y funcionamiento se regirá por lo dispuesto en la Ley de Fiscalización Superior del Estado de México y su Reglamento Interior.” (Sic)</w:t>
      </w:r>
    </w:p>
    <w:p w14:paraId="1C662C8D" w14:textId="77777777" w:rsidR="00AE05C9" w:rsidRPr="00723810" w:rsidRDefault="00AE05C9" w:rsidP="00AE05C9">
      <w:pPr>
        <w:spacing w:after="240"/>
        <w:ind w:left="851" w:right="900"/>
        <w:jc w:val="both"/>
        <w:rPr>
          <w:rFonts w:ascii="Palatino Linotype" w:hAnsi="Palatino Linotype"/>
          <w:sz w:val="22"/>
          <w:szCs w:val="22"/>
        </w:rPr>
      </w:pPr>
      <w:r w:rsidRPr="00723810">
        <w:rPr>
          <w:rFonts w:ascii="Palatino Linotype" w:hAnsi="Palatino Linotype"/>
          <w:sz w:val="22"/>
          <w:szCs w:val="22"/>
        </w:rPr>
        <w:t>Ley de Fiscalización Superior del Estado de México</w:t>
      </w:r>
    </w:p>
    <w:p w14:paraId="16C7E276" w14:textId="77777777" w:rsidR="00AE05C9" w:rsidRPr="00723810" w:rsidRDefault="00AE05C9" w:rsidP="00AE05C9">
      <w:pPr>
        <w:ind w:left="851" w:right="900"/>
        <w:jc w:val="both"/>
      </w:pPr>
      <w:r w:rsidRPr="00723810">
        <w:rPr>
          <w:rFonts w:ascii="Palatino Linotype" w:hAnsi="Palatino Linotype"/>
          <w:i/>
          <w:sz w:val="22"/>
          <w:szCs w:val="22"/>
        </w:rPr>
        <w:t xml:space="preserve">“Artículo 1. La presente Ley es de orden público e interés general y tiene por objeto regular la actuación del Órgano Superior de Fiscalización del Estado de </w:t>
      </w:r>
      <w:r w:rsidRPr="00723810">
        <w:rPr>
          <w:rFonts w:ascii="Palatino Linotype" w:hAnsi="Palatino Linotype"/>
          <w:i/>
          <w:sz w:val="22"/>
          <w:szCs w:val="22"/>
        </w:rPr>
        <w:lastRenderedPageBreak/>
        <w:t>México, como la Entidad Estatal de Fiscalización en términos de la Constitución Política de los Estados Unidos Mexicanos y la Constitución Política del Estado Libre y Soberano de México, competente en materia de revisión y fiscalización de los fondos, cuentas públicas, deuda pública y actos relativos al ejercicio y aplicación de los recursos públicos de las entidades fiscalizables del Estado de México, asimismo, regular su organización, funcionamiento y atribuciones</w:t>
      </w:r>
      <w:r w:rsidRPr="00723810">
        <w:t>.</w:t>
      </w:r>
    </w:p>
    <w:p w14:paraId="0D47760D" w14:textId="77777777" w:rsidR="00AE05C9" w:rsidRPr="00723810" w:rsidRDefault="00AE05C9" w:rsidP="00AE05C9">
      <w:pPr>
        <w:ind w:left="851" w:right="900"/>
        <w:jc w:val="both"/>
        <w:rPr>
          <w:rFonts w:ascii="Palatino Linotype" w:hAnsi="Palatino Linotype"/>
          <w:sz w:val="22"/>
          <w:szCs w:val="22"/>
        </w:rPr>
      </w:pPr>
      <w:r w:rsidRPr="00723810">
        <w:rPr>
          <w:rFonts w:ascii="Palatino Linotype" w:hAnsi="Palatino Linotype"/>
          <w:sz w:val="22"/>
          <w:szCs w:val="22"/>
        </w:rPr>
        <w:t>…</w:t>
      </w:r>
    </w:p>
    <w:p w14:paraId="09889882" w14:textId="77777777" w:rsidR="00AE05C9" w:rsidRPr="00723810" w:rsidRDefault="00AE05C9" w:rsidP="00AE05C9">
      <w:pPr>
        <w:ind w:left="851" w:right="900"/>
        <w:jc w:val="both"/>
        <w:rPr>
          <w:rFonts w:ascii="Palatino Linotype" w:hAnsi="Palatino Linotype"/>
          <w:i/>
          <w:iCs/>
          <w:sz w:val="22"/>
          <w:szCs w:val="22"/>
        </w:rPr>
      </w:pPr>
      <w:r w:rsidRPr="00723810">
        <w:rPr>
          <w:rFonts w:ascii="Palatino Linotype" w:hAnsi="Palatino Linotype"/>
          <w:i/>
          <w:iCs/>
          <w:sz w:val="22"/>
          <w:szCs w:val="22"/>
        </w:rPr>
        <w:t xml:space="preserve">Artículo 3.- La revisión y fiscalización de las cuentas públicas, es facultad de la Legislatura. </w:t>
      </w:r>
    </w:p>
    <w:p w14:paraId="584F6727" w14:textId="77777777" w:rsidR="00AE05C9" w:rsidRPr="00723810" w:rsidRDefault="00AE05C9" w:rsidP="00AE05C9">
      <w:pPr>
        <w:ind w:left="851" w:right="900"/>
        <w:jc w:val="both"/>
        <w:rPr>
          <w:rFonts w:ascii="Palatino Linotype" w:hAnsi="Palatino Linotype"/>
          <w:i/>
          <w:iCs/>
          <w:sz w:val="22"/>
          <w:szCs w:val="22"/>
        </w:rPr>
      </w:pPr>
      <w:r w:rsidRPr="00723810">
        <w:rPr>
          <w:rFonts w:ascii="Palatino Linotype" w:hAnsi="Palatino Linotype"/>
          <w:i/>
          <w:iCs/>
          <w:sz w:val="22"/>
          <w:szCs w:val="22"/>
        </w:rPr>
        <w:t>Para efectos de la fiscalización, se auxiliará del Órgano Superior, dotado de autonomía técnica y de gestión en el ejercicio de sus atribuciones y para decidir sobre su organización interna, funcionamiento y resoluciones, en los términos que disponga la legislación aplicable.</w:t>
      </w:r>
    </w:p>
    <w:p w14:paraId="79351849" w14:textId="77777777" w:rsidR="00AE05C9" w:rsidRPr="00723810" w:rsidRDefault="00AE05C9" w:rsidP="00AE05C9">
      <w:pPr>
        <w:ind w:left="851" w:right="900"/>
        <w:jc w:val="both"/>
        <w:rPr>
          <w:rFonts w:ascii="Palatino Linotype" w:hAnsi="Palatino Linotype"/>
          <w:i/>
          <w:iCs/>
          <w:sz w:val="22"/>
          <w:szCs w:val="22"/>
        </w:rPr>
      </w:pPr>
      <w:r w:rsidRPr="00723810">
        <w:rPr>
          <w:rFonts w:ascii="Palatino Linotype" w:hAnsi="Palatino Linotype"/>
          <w:i/>
          <w:iCs/>
          <w:sz w:val="22"/>
          <w:szCs w:val="22"/>
        </w:rPr>
        <w:t>…</w:t>
      </w:r>
    </w:p>
    <w:p w14:paraId="04F18F8D" w14:textId="77777777" w:rsidR="00AE05C9" w:rsidRPr="00723810" w:rsidRDefault="00AE05C9" w:rsidP="00AE05C9">
      <w:pPr>
        <w:ind w:right="900"/>
        <w:jc w:val="both"/>
        <w:rPr>
          <w:rFonts w:ascii="Palatino Linotype" w:hAnsi="Palatino Linotype"/>
          <w:i/>
          <w:sz w:val="22"/>
          <w:szCs w:val="22"/>
        </w:rPr>
      </w:pPr>
      <w:r w:rsidRPr="00723810">
        <w:rPr>
          <w:rFonts w:ascii="Palatino Linotype" w:hAnsi="Palatino Linotype"/>
          <w:i/>
          <w:sz w:val="22"/>
          <w:szCs w:val="22"/>
        </w:rPr>
        <w:t xml:space="preserve">               Artículo 8.- El </w:t>
      </w:r>
      <w:proofErr w:type="spellStart"/>
      <w:r w:rsidRPr="00723810">
        <w:rPr>
          <w:rFonts w:ascii="Palatino Linotype" w:hAnsi="Palatino Linotype"/>
          <w:i/>
          <w:sz w:val="22"/>
          <w:szCs w:val="22"/>
        </w:rPr>
        <w:t>Organo</w:t>
      </w:r>
      <w:proofErr w:type="spellEnd"/>
      <w:r w:rsidRPr="00723810">
        <w:rPr>
          <w:rFonts w:ascii="Palatino Linotype" w:hAnsi="Palatino Linotype"/>
          <w:i/>
          <w:sz w:val="22"/>
          <w:szCs w:val="22"/>
        </w:rPr>
        <w:t xml:space="preserve"> Superior tendrá las siguientes atribuciones: </w:t>
      </w:r>
    </w:p>
    <w:p w14:paraId="421CBE68"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b/>
          <w:i/>
          <w:sz w:val="22"/>
          <w:szCs w:val="22"/>
          <w:u w:val="single"/>
        </w:rPr>
        <w:t>I</w:t>
      </w:r>
      <w:r w:rsidRPr="00723810">
        <w:rPr>
          <w:rFonts w:ascii="Palatino Linotype" w:hAnsi="Palatino Linotype"/>
          <w:b/>
          <w:bCs/>
          <w:i/>
          <w:sz w:val="22"/>
          <w:szCs w:val="22"/>
          <w:u w:val="single"/>
        </w:rPr>
        <w:t>. Fiscalizar en todo momento los ingresos y egresos</w:t>
      </w:r>
      <w:r w:rsidRPr="00723810">
        <w:rPr>
          <w:rFonts w:ascii="Palatino Linotype" w:hAnsi="Palatino Linotype"/>
          <w:b/>
          <w:i/>
          <w:sz w:val="22"/>
          <w:szCs w:val="22"/>
          <w:u w:val="single"/>
        </w:rPr>
        <w:t xml:space="preserve"> de las entidades fiscalizables </w:t>
      </w:r>
      <w:r w:rsidRPr="00723810">
        <w:rPr>
          <w:rFonts w:ascii="Palatino Linotype" w:hAnsi="Palatino Linotype"/>
          <w:i/>
          <w:sz w:val="22"/>
          <w:szCs w:val="22"/>
        </w:rPr>
        <w:t>a efecto de comprobar que su recaudación, administración, desempeño, niveles de deuda y aplicación se apegue a las disposiciones legales, administrativas, presupuestales, financieras y de planeación aplicables;</w:t>
      </w:r>
    </w:p>
    <w:p w14:paraId="63C17FBC"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b/>
          <w:bCs/>
          <w:i/>
          <w:sz w:val="22"/>
          <w:szCs w:val="22"/>
        </w:rPr>
        <w:t>…</w:t>
      </w:r>
    </w:p>
    <w:p w14:paraId="114E34FA"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i/>
          <w:sz w:val="22"/>
          <w:szCs w:val="22"/>
        </w:rPr>
        <w:t xml:space="preserve">V. Verificar que las entidades fiscalizables que hubieren recaudado, manejado, administrado o ejercido recursos públicos, se hayan conducido </w:t>
      </w:r>
      <w:r w:rsidRPr="00723810">
        <w:rPr>
          <w:rFonts w:ascii="Palatino Linotype" w:hAnsi="Palatino Linotype"/>
          <w:b/>
          <w:bCs/>
          <w:i/>
          <w:sz w:val="22"/>
          <w:szCs w:val="22"/>
        </w:rPr>
        <w:t>conforme a los programas aprobados y montos autorizados</w:t>
      </w:r>
      <w:r w:rsidRPr="00723810">
        <w:rPr>
          <w:rFonts w:ascii="Palatino Linotype" w:hAnsi="Palatino Linotype"/>
          <w:i/>
          <w:sz w:val="22"/>
          <w:szCs w:val="22"/>
        </w:rPr>
        <w:t>; y que los egresos se hayan ejercido con cargo a las partidas correspondientes y con apego a las disposiciones legales, reglamentarias y administrativas aplicables;</w:t>
      </w:r>
    </w:p>
    <w:p w14:paraId="005320F5"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i/>
          <w:sz w:val="22"/>
          <w:szCs w:val="22"/>
        </w:rPr>
        <w:t>…</w:t>
      </w:r>
    </w:p>
    <w:p w14:paraId="10240B15"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i/>
          <w:sz w:val="22"/>
          <w:szCs w:val="22"/>
        </w:rPr>
        <w:t>VIII. Corroborar que las operaciones realizadas por las entidades fiscalizables sean acordes con las leyes de ingresos y presupuestos de egresos del Estado y municipios, y se hayan efectuado con apego a las disposiciones legales aplicables;</w:t>
      </w:r>
    </w:p>
    <w:p w14:paraId="51C9E152"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i/>
          <w:sz w:val="22"/>
          <w:szCs w:val="22"/>
        </w:rPr>
        <w:t>…</w:t>
      </w:r>
    </w:p>
    <w:p w14:paraId="48D5F3F1"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i/>
          <w:sz w:val="22"/>
          <w:szCs w:val="22"/>
        </w:rPr>
        <w:t>XI. Establecer los lineamientos, criterios, procedimientos, métodos y sistemas, así como todas aquellas disposiciones de carácter general para las acciones de control y evaluación, necesarios para la fiscalización de las cuentas públicas y los informes trimestrales;”(Sic)</w:t>
      </w:r>
    </w:p>
    <w:p w14:paraId="52FC38D8"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i/>
          <w:sz w:val="22"/>
          <w:szCs w:val="22"/>
        </w:rPr>
        <w:t>…</w:t>
      </w:r>
    </w:p>
    <w:p w14:paraId="311D9D92"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i/>
          <w:sz w:val="22"/>
          <w:szCs w:val="22"/>
        </w:rPr>
        <w:t>Artículo 47.- Los Presidentes Municipales y los Síndicos estarán obligados a informar al Órgano Superior, a más tardar el 25 de febrero de cada año, el Presupuesto de Egresos Municipal que haya aprobado el Ayuntamiento correspondiente.” (Sic)</w:t>
      </w:r>
    </w:p>
    <w:p w14:paraId="5832C17B" w14:textId="77777777" w:rsidR="00AE05C9" w:rsidRPr="00723810" w:rsidRDefault="00AE05C9" w:rsidP="00AE05C9">
      <w:pPr>
        <w:ind w:left="851" w:right="900"/>
        <w:jc w:val="both"/>
        <w:rPr>
          <w:rFonts w:ascii="Palatino Linotype" w:hAnsi="Palatino Linotype"/>
          <w:i/>
          <w:sz w:val="22"/>
          <w:szCs w:val="22"/>
        </w:rPr>
      </w:pPr>
      <w:r w:rsidRPr="00723810">
        <w:rPr>
          <w:rFonts w:ascii="Palatino Linotype" w:hAnsi="Palatino Linotype"/>
          <w:i/>
          <w:sz w:val="22"/>
          <w:szCs w:val="22"/>
        </w:rPr>
        <w:t>…</w:t>
      </w:r>
    </w:p>
    <w:p w14:paraId="2E35648D" w14:textId="77777777" w:rsidR="00AE05C9" w:rsidRPr="00723810" w:rsidRDefault="00AE05C9" w:rsidP="00AE05C9">
      <w:pPr>
        <w:ind w:left="851" w:right="900"/>
        <w:jc w:val="both"/>
        <w:rPr>
          <w:rFonts w:ascii="Palatino Linotype" w:hAnsi="Palatino Linotype"/>
          <w:i/>
          <w:sz w:val="22"/>
          <w:szCs w:val="22"/>
        </w:rPr>
      </w:pPr>
    </w:p>
    <w:p w14:paraId="515F3908" w14:textId="3970BB38" w:rsidR="00AE05C9" w:rsidRPr="00823725" w:rsidRDefault="00AE05C9" w:rsidP="00AE05C9">
      <w:pPr>
        <w:pStyle w:val="Prrafodelista"/>
        <w:numPr>
          <w:ilvl w:val="0"/>
          <w:numId w:val="1"/>
        </w:numPr>
        <w:spacing w:line="360" w:lineRule="auto"/>
        <w:ind w:right="900"/>
        <w:jc w:val="both"/>
        <w:rPr>
          <w:rFonts w:ascii="Palatino Linotype" w:hAnsi="Palatino Linotype"/>
          <w:szCs w:val="22"/>
        </w:rPr>
      </w:pPr>
      <w:r w:rsidRPr="00823725">
        <w:rPr>
          <w:rFonts w:ascii="Palatino Linotype" w:hAnsi="Palatino Linotype"/>
          <w:szCs w:val="22"/>
        </w:rPr>
        <w:t xml:space="preserve">Asimismo, el Reglamento Interior del Órgano Superior de Fiscalización del Estado de México establece: </w:t>
      </w:r>
    </w:p>
    <w:p w14:paraId="4D1BD081" w14:textId="77777777" w:rsidR="00AE05C9" w:rsidRPr="00723810" w:rsidRDefault="00AE05C9" w:rsidP="00AE05C9">
      <w:pPr>
        <w:ind w:right="900"/>
        <w:jc w:val="both"/>
        <w:rPr>
          <w:rFonts w:ascii="Palatino Linotype" w:hAnsi="Palatino Linotype"/>
          <w:sz w:val="22"/>
          <w:szCs w:val="22"/>
        </w:rPr>
      </w:pPr>
    </w:p>
    <w:p w14:paraId="3F1AD495" w14:textId="77777777" w:rsidR="00AE05C9" w:rsidRPr="00723810" w:rsidRDefault="00AE05C9" w:rsidP="00AE05C9">
      <w:pPr>
        <w:spacing w:after="240"/>
        <w:ind w:left="851" w:right="900"/>
        <w:jc w:val="both"/>
        <w:rPr>
          <w:rFonts w:ascii="Palatino Linotype" w:hAnsi="Palatino Linotype"/>
          <w:i/>
          <w:sz w:val="22"/>
          <w:szCs w:val="22"/>
        </w:rPr>
      </w:pPr>
      <w:r w:rsidRPr="00723810">
        <w:rPr>
          <w:rFonts w:ascii="Palatino Linotype" w:hAnsi="Palatino Linotype"/>
          <w:i/>
          <w:sz w:val="22"/>
          <w:szCs w:val="22"/>
        </w:rPr>
        <w:t xml:space="preserve">“Artículo 2. La fiscalización superior que realiza el Órgano Superior de Fiscalización del Estado de México comprende: recibir, revisar y fiscalizar las cuentas públicas, la aplicación de fondos públicos, la administración de los </w:t>
      </w:r>
      <w:r w:rsidRPr="00723810">
        <w:rPr>
          <w:rFonts w:ascii="Palatino Linotype" w:hAnsi="Palatino Linotype"/>
          <w:b/>
          <w:i/>
          <w:sz w:val="22"/>
          <w:szCs w:val="22"/>
          <w:u w:val="single"/>
        </w:rPr>
        <w:t>ingresos y egresos del Estado y de los municipios</w:t>
      </w:r>
      <w:r w:rsidRPr="00723810">
        <w:rPr>
          <w:rFonts w:ascii="Palatino Linotype" w:hAnsi="Palatino Linotype"/>
          <w:i/>
          <w:sz w:val="22"/>
          <w:szCs w:val="22"/>
        </w:rPr>
        <w:t>; determinar daños o perjuicios que afecten la hacienda o patrimonio público; promover las responsabilidades legales procedentes y las sanciones que correspondan a los servidores públicos y a los particulares vinculados con el ejercicio de recursos públicos.” (Sic)</w:t>
      </w:r>
    </w:p>
    <w:p w14:paraId="035A2B4E" w14:textId="710A7698" w:rsidR="00AE05C9" w:rsidRDefault="00AE05C9" w:rsidP="00AE05C9">
      <w:pPr>
        <w:pStyle w:val="Prrafodelista"/>
        <w:numPr>
          <w:ilvl w:val="0"/>
          <w:numId w:val="1"/>
        </w:numPr>
        <w:spacing w:after="240" w:line="360" w:lineRule="auto"/>
        <w:ind w:right="49"/>
        <w:jc w:val="both"/>
        <w:rPr>
          <w:rFonts w:ascii="Palatino Linotype" w:hAnsi="Palatino Linotype"/>
        </w:rPr>
      </w:pPr>
      <w:r w:rsidRPr="00AE05C9">
        <w:rPr>
          <w:rFonts w:ascii="Palatino Linotype" w:hAnsi="Palatino Linotype"/>
        </w:rPr>
        <w:t xml:space="preserve">De los artículos citados con antelación, se puede concluir que, la Legislatura cuenta con atribuciones, facultades y obligaciones para recibir, revisar, fiscalizar y calificar las cuentas públicas del Estado y de los Municipios, </w:t>
      </w:r>
      <w:r w:rsidRPr="00AE05C9">
        <w:rPr>
          <w:rFonts w:ascii="Palatino Linotype" w:hAnsi="Palatino Linotype"/>
          <w:b/>
        </w:rPr>
        <w:t>fiscalizar la administración de sus ingresos y egresos</w:t>
      </w:r>
      <w:r w:rsidRPr="00AE05C9">
        <w:rPr>
          <w:rFonts w:ascii="Palatino Linotype" w:hAnsi="Palatino Linotype"/>
        </w:rPr>
        <w:t xml:space="preserve">, que para tal efecto se auxiliará del </w:t>
      </w:r>
      <w:r w:rsidRPr="00AE05C9">
        <w:rPr>
          <w:rFonts w:ascii="Palatino Linotype" w:hAnsi="Palatino Linotype"/>
          <w:b/>
        </w:rPr>
        <w:t>Órgano Superior de Fiscalización del Estado de México,</w:t>
      </w:r>
      <w:r w:rsidRPr="00AE05C9">
        <w:rPr>
          <w:rFonts w:ascii="Palatino Linotype" w:hAnsi="Palatino Linotype"/>
        </w:rPr>
        <w:t xml:space="preserve"> el cual, dentro de sus atribuciones está la de fiscalizar los ingresos y egresos de las entidades fiscalizables, su administración y la aplicación de los fondos públicos, entre otras. Además, de que la Legislatura recibirá anualmente para su revisión las cuentas de gastos del Estado</w:t>
      </w:r>
      <w:r w:rsidRPr="00AE05C9">
        <w:rPr>
          <w:rFonts w:ascii="Palatino Linotype" w:hAnsi="Palatino Linotype"/>
          <w:i/>
        </w:rPr>
        <w:t xml:space="preserve"> </w:t>
      </w:r>
      <w:r w:rsidRPr="00AE05C9">
        <w:rPr>
          <w:rFonts w:ascii="Palatino Linotype" w:hAnsi="Palatino Linotype"/>
        </w:rPr>
        <w:t>y de los municipios correspondientes al año inmediato anterior, así como recibir a más tardar en el veinticinco de febrero de cada año el Presupuesto de Egresos Municipal que haya aprobado el Ayuntamiento correspondiente.</w:t>
      </w:r>
    </w:p>
    <w:p w14:paraId="157467AC" w14:textId="77777777" w:rsidR="00AE05C9" w:rsidRDefault="00AE05C9" w:rsidP="00AE05C9">
      <w:pPr>
        <w:pStyle w:val="Prrafodelista"/>
        <w:spacing w:after="240" w:line="360" w:lineRule="auto"/>
        <w:ind w:left="0" w:right="49"/>
        <w:jc w:val="both"/>
        <w:rPr>
          <w:rFonts w:ascii="Palatino Linotype" w:hAnsi="Palatino Linotype"/>
        </w:rPr>
      </w:pPr>
    </w:p>
    <w:p w14:paraId="24DA13E8" w14:textId="71F07C0C" w:rsidR="00AE05C9" w:rsidRPr="00823725" w:rsidRDefault="00AE05C9" w:rsidP="00823725">
      <w:pPr>
        <w:pStyle w:val="Prrafodelista"/>
        <w:numPr>
          <w:ilvl w:val="0"/>
          <w:numId w:val="1"/>
        </w:numPr>
        <w:spacing w:after="240" w:line="360" w:lineRule="auto"/>
        <w:ind w:right="49"/>
        <w:jc w:val="both"/>
        <w:rPr>
          <w:rFonts w:ascii="Palatino Linotype" w:hAnsi="Palatino Linotype"/>
        </w:rPr>
      </w:pPr>
      <w:r w:rsidRPr="00823725">
        <w:rPr>
          <w:noProof/>
          <w:lang w:eastAsia="es-MX"/>
        </w:rPr>
        <mc:AlternateContent>
          <mc:Choice Requires="wps">
            <w:drawing>
              <wp:anchor distT="0" distB="0" distL="114300" distR="114300" simplePos="0" relativeHeight="251659264" behindDoc="0" locked="0" layoutInCell="1" allowOverlap="1" wp14:anchorId="58171053" wp14:editId="07DA1367">
                <wp:simplePos x="0" y="0"/>
                <wp:positionH relativeFrom="margin">
                  <wp:align>right</wp:align>
                </wp:positionH>
                <wp:positionV relativeFrom="paragraph">
                  <wp:posOffset>2648600</wp:posOffset>
                </wp:positionV>
                <wp:extent cx="5358809" cy="3700130"/>
                <wp:effectExtent l="0" t="0" r="32385" b="34290"/>
                <wp:wrapNone/>
                <wp:docPr id="5" name="Conector recto 5"/>
                <wp:cNvGraphicFramePr/>
                <a:graphic xmlns:a="http://schemas.openxmlformats.org/drawingml/2006/main">
                  <a:graphicData uri="http://schemas.microsoft.com/office/word/2010/wordprocessingShape">
                    <wps:wsp>
                      <wps:cNvCnPr/>
                      <wps:spPr>
                        <a:xfrm>
                          <a:off x="0" y="0"/>
                          <a:ext cx="5358809" cy="37001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CADD6D" id="Conector recto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0.75pt,208.55pt" to="792.7pt,4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" strokecolor="black [3213]" strokeweight="1.5pt">
                <w10:wrap anchorx="margin"/>
              </v:line>
            </w:pict>
          </mc:Fallback>
        </mc:AlternateContent>
      </w:r>
      <w:r w:rsidRPr="00823725">
        <w:rPr>
          <w:rFonts w:ascii="Palatino Linotype" w:eastAsia="Palatino Linotype" w:hAnsi="Palatino Linotype" w:cs="Palatino Linotype"/>
        </w:rPr>
        <w:t>Asimismo, dentro de las atribuciones del Órgano Superior de Fiscalización del Estado de México, está la de “</w:t>
      </w:r>
      <w:r w:rsidRPr="00823725">
        <w:rPr>
          <w:rFonts w:ascii="Palatino Linotype" w:hAnsi="Palatino Linotype"/>
          <w:i/>
        </w:rPr>
        <w:t xml:space="preserve">Establecer los lineamientos, criterios, procedimientos, métodos y sistemas, así como todas aquellas disposiciones de carácter general para las acciones de control y evaluación, necesarios para la fiscalización de las cuentas públicas y </w:t>
      </w:r>
      <w:r w:rsidRPr="00823725">
        <w:rPr>
          <w:rFonts w:ascii="Palatino Linotype" w:hAnsi="Palatino Linotype"/>
          <w:b/>
          <w:i/>
        </w:rPr>
        <w:lastRenderedPageBreak/>
        <w:t>los informes trimestrales;</w:t>
      </w:r>
      <w:r w:rsidRPr="00823725">
        <w:rPr>
          <w:rFonts w:ascii="Palatino Linotype" w:hAnsi="Palatino Linotype"/>
          <w:i/>
        </w:rPr>
        <w:t xml:space="preserve">”(Sic); </w:t>
      </w:r>
      <w:r w:rsidRPr="00823725">
        <w:rPr>
          <w:rFonts w:ascii="Palatino Linotype" w:hAnsi="Palatino Linotype" w:cs="Arial"/>
        </w:rPr>
        <w:t xml:space="preserve">Por lo tanto, se puede concluir que el </w:t>
      </w:r>
      <w:r w:rsidRPr="00823725">
        <w:rPr>
          <w:rFonts w:ascii="Palatino Linotype" w:hAnsi="Palatino Linotype" w:cs="Arial"/>
          <w:b/>
        </w:rPr>
        <w:t>SUJETO OBLIGADO</w:t>
      </w:r>
      <w:r w:rsidRPr="00823725">
        <w:rPr>
          <w:rFonts w:ascii="Palatino Linotype" w:hAnsi="Palatino Linotype" w:cs="Arial"/>
        </w:rPr>
        <w:t xml:space="preserve"> efectivamente posee y administra la información solicitada por el </w:t>
      </w:r>
      <w:r w:rsidRPr="00823725">
        <w:rPr>
          <w:rFonts w:ascii="Palatino Linotype" w:hAnsi="Palatino Linotype" w:cs="Arial"/>
          <w:b/>
        </w:rPr>
        <w:t>RECURRENTE</w:t>
      </w:r>
      <w:r w:rsidR="00823725">
        <w:rPr>
          <w:rFonts w:ascii="Palatino Linotype" w:hAnsi="Palatino Linotype" w:cs="Arial"/>
        </w:rPr>
        <w:t xml:space="preserve">, ya que se requirió información contenida en los informes mensuales y trimestrales que emiten los entes fiscalizables al OSFEM. </w:t>
      </w:r>
      <w:r w:rsidRPr="00823725">
        <w:rPr>
          <w:rFonts w:ascii="Palatino Linotype" w:hAnsi="Palatino Linotype" w:cs="Arial"/>
        </w:rPr>
        <w:t xml:space="preserve">En este sentido, conviene mencionar </w:t>
      </w:r>
      <w:r w:rsidR="00823725">
        <w:rPr>
          <w:rFonts w:ascii="Palatino Linotype" w:hAnsi="Palatino Linotype" w:cs="Arial"/>
        </w:rPr>
        <w:t>que el</w:t>
      </w:r>
      <w:r w:rsidRPr="00823725">
        <w:rPr>
          <w:rFonts w:ascii="Palatino Linotype" w:hAnsi="Palatino Linotype" w:cs="Arial"/>
        </w:rPr>
        <w:t xml:space="preserve"> </w:t>
      </w:r>
      <w:r w:rsidRPr="00823725">
        <w:rPr>
          <w:rFonts w:ascii="Palatino Linotype" w:hAnsi="Palatino Linotype" w:cs="Arial"/>
          <w:b/>
        </w:rPr>
        <w:t>SUJETO OBLIGADO</w:t>
      </w:r>
      <w:r w:rsidRPr="00823725">
        <w:rPr>
          <w:rFonts w:ascii="Palatino Linotype" w:hAnsi="Palatino Linotype" w:cs="Arial"/>
        </w:rPr>
        <w:t xml:space="preserve"> </w:t>
      </w:r>
      <w:r w:rsidR="00823725">
        <w:rPr>
          <w:rFonts w:ascii="Palatino Linotype" w:hAnsi="Palatino Linotype" w:cs="Arial"/>
        </w:rPr>
        <w:t>NO</w:t>
      </w:r>
      <w:r w:rsidRPr="00823725">
        <w:rPr>
          <w:rFonts w:ascii="Palatino Linotype" w:hAnsi="Palatino Linotype" w:cs="Arial"/>
        </w:rPr>
        <w:t xml:space="preserve"> </w:t>
      </w:r>
      <w:r w:rsidR="00823725">
        <w:rPr>
          <w:rFonts w:ascii="Palatino Linotype" w:hAnsi="Palatino Linotype" w:cs="Arial"/>
        </w:rPr>
        <w:t>es</w:t>
      </w:r>
      <w:r w:rsidRPr="00823725">
        <w:rPr>
          <w:rFonts w:ascii="Palatino Linotype" w:hAnsi="Palatino Linotype" w:cs="Arial"/>
        </w:rPr>
        <w:t xml:space="preserve"> </w:t>
      </w:r>
      <w:r w:rsidR="00823725">
        <w:rPr>
          <w:rFonts w:ascii="Palatino Linotype" w:hAnsi="Palatino Linotype" w:cs="Arial"/>
        </w:rPr>
        <w:t xml:space="preserve">el encargado de generar la información solicitada </w:t>
      </w:r>
      <w:r w:rsidRPr="00823725">
        <w:rPr>
          <w:rFonts w:ascii="Palatino Linotype" w:hAnsi="Palatino Linotype" w:cs="Arial"/>
        </w:rPr>
        <w:t>en términos de lo dispuesto por el artículo 6, inciso A, fracción I de la Constitución Federal, el 5 de la Constitución del Estado de México, 3 fracción, XI, 4, 12 y último párrafo del artículo 24 de la Ley de Transparencia y Acceso a la Información Pública del Estado de México y Municipios.</w:t>
      </w:r>
    </w:p>
    <w:p w14:paraId="5D8B149E" w14:textId="77777777" w:rsidR="00AE05C9" w:rsidRPr="00AE05C9" w:rsidRDefault="00AE05C9" w:rsidP="00AE05C9">
      <w:pPr>
        <w:pStyle w:val="Prrafodelista"/>
        <w:rPr>
          <w:rFonts w:ascii="Palatino Linotype" w:hAnsi="Palatino Linotype"/>
        </w:rPr>
      </w:pPr>
    </w:p>
    <w:p w14:paraId="5D3A6A85" w14:textId="25C64AEA" w:rsidR="00AE05C9" w:rsidRPr="00AE05C9" w:rsidRDefault="00823725" w:rsidP="00AE05C9">
      <w:pPr>
        <w:pStyle w:val="Prrafodelista"/>
        <w:numPr>
          <w:ilvl w:val="0"/>
          <w:numId w:val="1"/>
        </w:numPr>
        <w:spacing w:after="240" w:line="360" w:lineRule="auto"/>
        <w:ind w:right="49"/>
        <w:jc w:val="both"/>
        <w:rPr>
          <w:rFonts w:ascii="Palatino Linotype" w:hAnsi="Palatino Linotype"/>
        </w:rPr>
      </w:pPr>
      <w:r>
        <w:rPr>
          <w:rFonts w:ascii="Palatino Linotype" w:hAnsi="Palatino Linotype" w:cs="Arial"/>
        </w:rPr>
        <w:t>Además, n</w:t>
      </w:r>
      <w:r w:rsidR="00AE05C9" w:rsidRPr="00AE05C9">
        <w:rPr>
          <w:rFonts w:ascii="Palatino Linotype" w:hAnsi="Palatino Linotype" w:cs="Arial"/>
        </w:rPr>
        <w:t xml:space="preserve">o pasa inadvertido para este Instituto lo dispuesto por el artículo 42 de la </w:t>
      </w:r>
      <w:r w:rsidR="00AE05C9" w:rsidRPr="00AE05C9">
        <w:rPr>
          <w:rFonts w:ascii="Palatino Linotype" w:eastAsia="Calibri" w:hAnsi="Palatino Linotype" w:cs="Arial"/>
          <w:bCs/>
        </w:rPr>
        <w:t xml:space="preserve">Ley de Fiscalización Superior del Estado de México, que establece que la información que proporcionen las entidades fiscalizables, como lo es el </w:t>
      </w:r>
      <w:r w:rsidR="00AE05C9" w:rsidRPr="00823725">
        <w:rPr>
          <w:rFonts w:ascii="Palatino Linotype" w:eastAsia="Calibri" w:hAnsi="Palatino Linotype" w:cs="Arial"/>
          <w:b/>
          <w:bCs/>
        </w:rPr>
        <w:t xml:space="preserve">Ayuntamiento de </w:t>
      </w:r>
      <w:r w:rsidRPr="00823725">
        <w:rPr>
          <w:rFonts w:ascii="Palatino Linotype" w:eastAsia="Calibri" w:hAnsi="Palatino Linotype" w:cs="Arial"/>
          <w:b/>
          <w:bCs/>
        </w:rPr>
        <w:t>Tianguistenco</w:t>
      </w:r>
      <w:r w:rsidR="00AE05C9" w:rsidRPr="00AE05C9">
        <w:rPr>
          <w:rFonts w:ascii="Palatino Linotype" w:eastAsia="Calibri" w:hAnsi="Palatino Linotype" w:cs="Arial"/>
          <w:bCs/>
        </w:rPr>
        <w:t xml:space="preserve">, al Órgano Superior Fiscalización, </w:t>
      </w:r>
      <w:r w:rsidR="00AE05C9" w:rsidRPr="00AE05C9">
        <w:rPr>
          <w:rFonts w:ascii="Palatino Linotype" w:eastAsia="Calibri" w:hAnsi="Palatino Linotype" w:cs="Arial"/>
          <w:b/>
          <w:bCs/>
          <w:u w:val="single"/>
        </w:rPr>
        <w:t>sólo será utilizada para el cumplimiento de las disposiciones previstas en dicha Ley</w:t>
      </w:r>
      <w:r w:rsidR="00AE05C9" w:rsidRPr="00AE05C9">
        <w:rPr>
          <w:rFonts w:ascii="Palatino Linotype" w:eastAsia="Calibri" w:hAnsi="Palatino Linotype" w:cs="Arial"/>
          <w:bCs/>
        </w:rPr>
        <w:t xml:space="preserve">, es decir para la fiscalización, revisión, evaluación y auditorías de sus estados financieros y cuenta pública municipal, para mayor precisión se inserta el artículo referido: </w:t>
      </w:r>
    </w:p>
    <w:p w14:paraId="251555D9" w14:textId="77777777" w:rsidR="00AE05C9" w:rsidRPr="00723810" w:rsidRDefault="00AE05C9" w:rsidP="00AE05C9">
      <w:pPr>
        <w:ind w:left="851" w:right="900"/>
        <w:jc w:val="both"/>
        <w:rPr>
          <w:rFonts w:ascii="Palatino Linotype" w:hAnsi="Palatino Linotype"/>
          <w:i/>
          <w:iCs/>
          <w:sz w:val="22"/>
          <w:szCs w:val="22"/>
        </w:rPr>
      </w:pPr>
      <w:r w:rsidRPr="00723810">
        <w:rPr>
          <w:rFonts w:ascii="Palatino Linotype" w:hAnsi="Palatino Linotype"/>
          <w:i/>
          <w:iCs/>
          <w:sz w:val="22"/>
          <w:szCs w:val="22"/>
        </w:rPr>
        <w:t xml:space="preserve">Artículo 42.- </w:t>
      </w:r>
      <w:r w:rsidRPr="00723810">
        <w:rPr>
          <w:rFonts w:ascii="Palatino Linotype" w:hAnsi="Palatino Linotype"/>
          <w:b/>
          <w:i/>
          <w:iCs/>
          <w:sz w:val="22"/>
          <w:szCs w:val="22"/>
          <w:u w:val="single"/>
        </w:rPr>
        <w:t>La información que proporcionen las entidades fiscalizables al Órgano Superior, sólo será utilizado para el cumplimiento de las disposiciones previstas en esta Ley.</w:t>
      </w:r>
      <w:r w:rsidRPr="00723810">
        <w:rPr>
          <w:rFonts w:ascii="Palatino Linotype" w:hAnsi="Palatino Linotype"/>
          <w:i/>
          <w:iCs/>
          <w:sz w:val="22"/>
          <w:szCs w:val="22"/>
        </w:rPr>
        <w:t xml:space="preserve"> </w:t>
      </w:r>
    </w:p>
    <w:p w14:paraId="3E8B1E07" w14:textId="77777777" w:rsidR="00AE05C9" w:rsidRPr="00723810" w:rsidRDefault="00AE05C9" w:rsidP="00AE05C9">
      <w:pPr>
        <w:ind w:left="851" w:right="900"/>
        <w:jc w:val="both"/>
        <w:rPr>
          <w:rFonts w:ascii="Palatino Linotype" w:hAnsi="Palatino Linotype"/>
          <w:i/>
          <w:iCs/>
          <w:sz w:val="22"/>
          <w:szCs w:val="22"/>
        </w:rPr>
      </w:pPr>
      <w:r w:rsidRPr="00723810">
        <w:rPr>
          <w:rFonts w:ascii="Palatino Linotype" w:hAnsi="Palatino Linotype"/>
          <w:i/>
          <w:iCs/>
          <w:sz w:val="22"/>
          <w:szCs w:val="22"/>
        </w:rPr>
        <w:t xml:space="preserve">El Órgano Superior tendrá acceso a todo tipo de documentos, datos, libros, archivos físicos y electrónicos, así como a la documentación justificativa y comprobatoria y demás información que resulte necesaria para la revisión y fiscalización, sin importar el carácter de confidencial o reservado de la misma, quedando bajo su custodia y responsabilidad dicha información de conformidad con lo que establecen las leyes de la materia, que obren en poder de: </w:t>
      </w:r>
    </w:p>
    <w:p w14:paraId="7A0BD538" w14:textId="77777777" w:rsidR="00AE05C9" w:rsidRPr="00723810" w:rsidRDefault="00AE05C9" w:rsidP="00AE05C9">
      <w:pPr>
        <w:ind w:left="851" w:right="900"/>
        <w:jc w:val="both"/>
        <w:rPr>
          <w:rFonts w:ascii="Palatino Linotype" w:hAnsi="Palatino Linotype"/>
          <w:i/>
          <w:iCs/>
          <w:sz w:val="22"/>
          <w:szCs w:val="22"/>
        </w:rPr>
      </w:pPr>
      <w:r w:rsidRPr="00723810">
        <w:rPr>
          <w:rFonts w:ascii="Palatino Linotype" w:hAnsi="Palatino Linotype"/>
          <w:i/>
          <w:iCs/>
          <w:sz w:val="22"/>
          <w:szCs w:val="22"/>
        </w:rPr>
        <w:t xml:space="preserve">I. Las entidades fiscalizables. </w:t>
      </w:r>
    </w:p>
    <w:p w14:paraId="32FFCE04" w14:textId="77777777" w:rsidR="00AE05C9" w:rsidRPr="00723810" w:rsidRDefault="00AE05C9" w:rsidP="00AE05C9">
      <w:pPr>
        <w:ind w:left="851" w:right="900"/>
        <w:jc w:val="both"/>
        <w:rPr>
          <w:rFonts w:ascii="Palatino Linotype" w:hAnsi="Palatino Linotype"/>
          <w:i/>
          <w:iCs/>
          <w:sz w:val="22"/>
          <w:szCs w:val="22"/>
        </w:rPr>
      </w:pPr>
      <w:r w:rsidRPr="00723810">
        <w:rPr>
          <w:rFonts w:ascii="Palatino Linotype" w:hAnsi="Palatino Linotype"/>
          <w:i/>
          <w:iCs/>
          <w:sz w:val="22"/>
          <w:szCs w:val="22"/>
        </w:rPr>
        <w:lastRenderedPageBreak/>
        <w:t xml:space="preserve">II. Los órganos internos de control. </w:t>
      </w:r>
    </w:p>
    <w:p w14:paraId="1A8F2EEC" w14:textId="77777777" w:rsidR="00AE05C9" w:rsidRPr="00723810" w:rsidRDefault="00AE05C9" w:rsidP="00AE05C9">
      <w:pPr>
        <w:ind w:left="851" w:right="900"/>
        <w:jc w:val="both"/>
        <w:rPr>
          <w:rFonts w:ascii="Palatino Linotype" w:hAnsi="Palatino Linotype"/>
          <w:i/>
          <w:iCs/>
          <w:sz w:val="22"/>
          <w:szCs w:val="22"/>
        </w:rPr>
      </w:pPr>
      <w:r w:rsidRPr="00723810">
        <w:rPr>
          <w:rFonts w:ascii="Palatino Linotype" w:hAnsi="Palatino Linotype"/>
          <w:i/>
          <w:iCs/>
          <w:sz w:val="22"/>
          <w:szCs w:val="22"/>
        </w:rPr>
        <w:t xml:space="preserve">III. Los auditores externos de las entidades fiscalizables. </w:t>
      </w:r>
    </w:p>
    <w:p w14:paraId="0207C172" w14:textId="77777777" w:rsidR="00AE05C9" w:rsidRPr="00723810" w:rsidRDefault="00AE05C9" w:rsidP="00AE05C9">
      <w:pPr>
        <w:ind w:left="851" w:right="900"/>
        <w:jc w:val="both"/>
        <w:rPr>
          <w:rFonts w:ascii="Palatino Linotype" w:hAnsi="Palatino Linotype"/>
          <w:i/>
          <w:iCs/>
          <w:sz w:val="22"/>
          <w:szCs w:val="22"/>
        </w:rPr>
      </w:pPr>
      <w:r w:rsidRPr="00723810">
        <w:rPr>
          <w:rFonts w:ascii="Palatino Linotype" w:hAnsi="Palatino Linotype"/>
          <w:i/>
          <w:iCs/>
          <w:sz w:val="22"/>
          <w:szCs w:val="22"/>
        </w:rPr>
        <w:t xml:space="preserve">IV. Las instituciones de crédito, fideicomisos u otras figuras del sector financiero. V. Las autoridades hacendarias. </w:t>
      </w:r>
    </w:p>
    <w:p w14:paraId="7E94DE3E" w14:textId="77777777" w:rsidR="00AE05C9" w:rsidRPr="00723810" w:rsidRDefault="00AE05C9" w:rsidP="00AE05C9">
      <w:pPr>
        <w:spacing w:before="240" w:after="240"/>
        <w:ind w:left="851" w:right="900"/>
        <w:jc w:val="both"/>
        <w:rPr>
          <w:rFonts w:ascii="Palatino Linotype" w:eastAsia="Calibri" w:hAnsi="Palatino Linotype" w:cs="Arial"/>
          <w:bCs/>
          <w:i/>
          <w:iCs/>
          <w:sz w:val="22"/>
          <w:szCs w:val="22"/>
        </w:rPr>
      </w:pPr>
      <w:r w:rsidRPr="00723810">
        <w:rPr>
          <w:rFonts w:ascii="Palatino Linotype" w:hAnsi="Palatino Linotype"/>
          <w:i/>
          <w:iCs/>
          <w:sz w:val="22"/>
          <w:szCs w:val="22"/>
        </w:rPr>
        <w:t>El Órgano Superior tendrá acceso a la información que las disposiciones legales consideren como de carácter reservado o confidencial cuando esté relacionada directamente con la captación, recaudación, administración, manejo, custodia, ejercicio, aplicación de recursos públicos y la deuda pública, estando obligado a mantener la misma reserva, en términos de las disposiciones jurídicas aplicables.</w:t>
      </w:r>
      <w:r w:rsidRPr="00723810">
        <w:rPr>
          <w:rFonts w:ascii="Palatino Linotype" w:eastAsia="Calibri" w:hAnsi="Palatino Linotype" w:cs="Arial"/>
          <w:bCs/>
          <w:i/>
          <w:iCs/>
          <w:sz w:val="22"/>
          <w:szCs w:val="22"/>
        </w:rPr>
        <w:t xml:space="preserve"> </w:t>
      </w:r>
    </w:p>
    <w:p w14:paraId="1EF4AFC4" w14:textId="7970192E" w:rsidR="00AE05C9" w:rsidRDefault="00AE05C9" w:rsidP="00AE05C9">
      <w:pPr>
        <w:pStyle w:val="Prrafodelista"/>
        <w:numPr>
          <w:ilvl w:val="0"/>
          <w:numId w:val="1"/>
        </w:numPr>
        <w:spacing w:before="240" w:after="240" w:line="360" w:lineRule="auto"/>
        <w:jc w:val="both"/>
        <w:rPr>
          <w:rFonts w:ascii="Palatino Linotype" w:eastAsia="Calibri" w:hAnsi="Palatino Linotype" w:cs="Arial"/>
          <w:bCs/>
        </w:rPr>
      </w:pPr>
      <w:r w:rsidRPr="00AE05C9">
        <w:rPr>
          <w:rFonts w:ascii="Palatino Linotype" w:eastAsia="Calibri" w:hAnsi="Palatino Linotype" w:cs="Arial"/>
          <w:bCs/>
        </w:rPr>
        <w:t>Luego entonces, se</w:t>
      </w:r>
      <w:r w:rsidRPr="00AE05C9">
        <w:rPr>
          <w:rFonts w:ascii="Palatino Linotype" w:eastAsia="Calibri" w:hAnsi="Palatino Linotype" w:cs="Arial"/>
          <w:b/>
        </w:rPr>
        <w:t xml:space="preserve"> </w:t>
      </w:r>
      <w:r w:rsidRPr="00AE05C9">
        <w:rPr>
          <w:rFonts w:ascii="Palatino Linotype" w:eastAsia="Calibri" w:hAnsi="Palatino Linotype" w:cs="Arial"/>
          <w:bCs/>
        </w:rPr>
        <w:t xml:space="preserve">puede concluir que tanto el SUJETO OBLIGADO, como el </w:t>
      </w:r>
      <w:r w:rsidR="00823725" w:rsidRPr="00823725">
        <w:rPr>
          <w:rFonts w:ascii="Palatino Linotype" w:eastAsia="Calibri" w:hAnsi="Palatino Linotype" w:cs="Arial"/>
          <w:b/>
          <w:bCs/>
        </w:rPr>
        <w:t>Ayuntamiento de Tianguistenco</w:t>
      </w:r>
      <w:r w:rsidRPr="00AE05C9">
        <w:rPr>
          <w:rFonts w:ascii="Palatino Linotype" w:eastAsia="Calibri" w:hAnsi="Palatino Linotype" w:cs="Arial"/>
          <w:bCs/>
        </w:rPr>
        <w:t xml:space="preserve">, poseen y administran la información solicitada, no obstante el Órgano Superior de Fiscalización dependiente del Poder Legislativo, </w:t>
      </w:r>
      <w:r w:rsidRPr="001C6C7D">
        <w:rPr>
          <w:rFonts w:ascii="Palatino Linotype" w:eastAsia="Calibri" w:hAnsi="Palatino Linotype" w:cs="Arial"/>
          <w:b/>
          <w:bCs/>
        </w:rPr>
        <w:t>la posee por sus facultades de fiscalización</w:t>
      </w:r>
      <w:r w:rsidRPr="00AE05C9">
        <w:rPr>
          <w:rFonts w:ascii="Palatino Linotype" w:eastAsia="Calibri" w:hAnsi="Palatino Linotype" w:cs="Arial"/>
          <w:bCs/>
        </w:rPr>
        <w:t>, por otra parte el Ayuntamiento no solo la posee y administra, sino que es generador de la misma</w:t>
      </w:r>
      <w:r w:rsidR="00823725">
        <w:rPr>
          <w:rFonts w:ascii="Palatino Linotype" w:eastAsia="Calibri" w:hAnsi="Palatino Linotype" w:cs="Arial"/>
          <w:bCs/>
        </w:rPr>
        <w:t>, por lo tanto es quien tiene la alta responsabilidad de ser el primer respondiente por dicha información</w:t>
      </w:r>
      <w:r w:rsidRPr="00AE05C9">
        <w:rPr>
          <w:rFonts w:ascii="Palatino Linotype" w:eastAsia="Calibri" w:hAnsi="Palatino Linotype" w:cs="Arial"/>
          <w:bCs/>
        </w:rPr>
        <w:t xml:space="preserve">. Por lo que se estima que Sujeto Obligado competente e idóneo para atender la solicitud formulada es el Ayuntamiento de referencia como generador de dichos documentos, quien además proporcionará la información actualizada, verificable y completa sobre su estado financiero, pues además dicha información es una obligación de transparencia que debe cumplir precisamente el </w:t>
      </w:r>
      <w:r w:rsidR="00823725" w:rsidRPr="00823725">
        <w:rPr>
          <w:rFonts w:ascii="Palatino Linotype" w:eastAsia="Calibri" w:hAnsi="Palatino Linotype" w:cs="Arial"/>
          <w:b/>
          <w:bCs/>
        </w:rPr>
        <w:t>Ayuntamiento de Tianguistenco</w:t>
      </w:r>
      <w:r w:rsidRPr="00AE05C9">
        <w:rPr>
          <w:rFonts w:ascii="Palatino Linotype" w:eastAsia="Calibri" w:hAnsi="Palatino Linotype" w:cs="Arial"/>
          <w:bCs/>
        </w:rPr>
        <w:t xml:space="preserve"> en términos de lo dispuest</w:t>
      </w:r>
      <w:r>
        <w:rPr>
          <w:rFonts w:ascii="Palatino Linotype" w:eastAsia="Calibri" w:hAnsi="Palatino Linotype" w:cs="Arial"/>
          <w:bCs/>
        </w:rPr>
        <w:t>o por los siguientes artículos:</w:t>
      </w:r>
    </w:p>
    <w:p w14:paraId="32430E24" w14:textId="77777777" w:rsidR="00AE05C9" w:rsidRPr="0041681F" w:rsidRDefault="00AE05C9" w:rsidP="00FD17F4">
      <w:pPr>
        <w:spacing w:before="240" w:after="240" w:line="360" w:lineRule="auto"/>
        <w:ind w:left="567" w:right="616"/>
        <w:jc w:val="both"/>
        <w:rPr>
          <w:rFonts w:ascii="Palatino Linotype" w:eastAsia="Calibri" w:hAnsi="Palatino Linotype" w:cs="Arial"/>
          <w:bCs/>
          <w:i/>
          <w:sz w:val="22"/>
          <w:szCs w:val="22"/>
        </w:rPr>
      </w:pPr>
      <w:r w:rsidRPr="0041681F">
        <w:rPr>
          <w:rFonts w:ascii="Palatino Linotype" w:eastAsia="Calibri" w:hAnsi="Palatino Linotype" w:cs="Arial"/>
          <w:bCs/>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y funciones u objeto social, según corresponda la información, por lo menos, de los temas, documentos y políticas que a continuación se señalan: </w:t>
      </w:r>
    </w:p>
    <w:p w14:paraId="518244BB" w14:textId="77777777" w:rsidR="00AE05C9" w:rsidRDefault="00AE05C9" w:rsidP="00FD17F4">
      <w:pPr>
        <w:spacing w:line="360" w:lineRule="auto"/>
        <w:ind w:left="567" w:right="616"/>
        <w:jc w:val="both"/>
        <w:rPr>
          <w:rFonts w:ascii="Palatino Linotype" w:eastAsia="Calibri" w:hAnsi="Palatino Linotype" w:cs="Arial"/>
          <w:bCs/>
          <w:i/>
          <w:sz w:val="22"/>
          <w:szCs w:val="22"/>
        </w:rPr>
      </w:pPr>
      <w:r w:rsidRPr="0041681F">
        <w:rPr>
          <w:rFonts w:ascii="Palatino Linotype" w:eastAsia="Calibri" w:hAnsi="Palatino Linotype" w:cs="Arial"/>
          <w:bCs/>
          <w:i/>
          <w:sz w:val="22"/>
          <w:szCs w:val="22"/>
        </w:rPr>
        <w:lastRenderedPageBreak/>
        <w:t xml:space="preserve">XXV. La información financiera sobre el presupuesto asignado, así como los informes del ejercicio trimestral del gasto, en términos de la Ley General de Contabilidad Gubernamental y demás disposiciones jurídicas aplicables.  </w:t>
      </w:r>
    </w:p>
    <w:p w14:paraId="75A966B2" w14:textId="1A6404F2" w:rsidR="00FD17F4" w:rsidRDefault="00FD17F4" w:rsidP="00FD17F4">
      <w:pPr>
        <w:spacing w:line="360" w:lineRule="auto"/>
        <w:ind w:left="567" w:right="616"/>
        <w:jc w:val="both"/>
        <w:rPr>
          <w:rFonts w:ascii="Palatino Linotype" w:eastAsia="Calibri" w:hAnsi="Palatino Linotype" w:cs="Arial"/>
          <w:bCs/>
          <w:i/>
          <w:sz w:val="22"/>
          <w:szCs w:val="22"/>
        </w:rPr>
      </w:pPr>
      <w:r>
        <w:rPr>
          <w:rFonts w:ascii="Palatino Linotype" w:eastAsia="Calibri" w:hAnsi="Palatino Linotype" w:cs="Arial"/>
          <w:bCs/>
          <w:i/>
          <w:sz w:val="22"/>
          <w:szCs w:val="22"/>
        </w:rPr>
        <w:t>…</w:t>
      </w:r>
    </w:p>
    <w:p w14:paraId="0A1E7835" w14:textId="00238951" w:rsidR="00FD17F4" w:rsidRDefault="00FD17F4" w:rsidP="00FD17F4">
      <w:pPr>
        <w:spacing w:line="360" w:lineRule="auto"/>
        <w:ind w:left="567" w:right="616"/>
        <w:jc w:val="both"/>
        <w:rPr>
          <w:rFonts w:ascii="Palatino Linotype" w:hAnsi="Palatino Linotype"/>
          <w:i/>
          <w:sz w:val="22"/>
        </w:rPr>
      </w:pPr>
      <w:r w:rsidRPr="00FD17F4">
        <w:rPr>
          <w:rFonts w:ascii="Palatino Linotype" w:hAnsi="Palatino Linotype"/>
          <w:i/>
          <w:sz w:val="22"/>
        </w:rPr>
        <w:t>XXXIII. Los informes que por disposición legal generen los sujetos obligados;</w:t>
      </w:r>
    </w:p>
    <w:p w14:paraId="57400B2A" w14:textId="2C30E190" w:rsidR="00FD17F4" w:rsidRDefault="00FD17F4" w:rsidP="00FD17F4">
      <w:pPr>
        <w:spacing w:line="360" w:lineRule="auto"/>
        <w:ind w:left="567" w:right="616"/>
        <w:jc w:val="both"/>
        <w:rPr>
          <w:rFonts w:ascii="Palatino Linotype" w:hAnsi="Palatino Linotype"/>
          <w:i/>
          <w:sz w:val="22"/>
        </w:rPr>
      </w:pPr>
      <w:r>
        <w:rPr>
          <w:rFonts w:ascii="Palatino Linotype" w:hAnsi="Palatino Linotype"/>
          <w:i/>
          <w:sz w:val="22"/>
        </w:rPr>
        <w:t>…</w:t>
      </w:r>
    </w:p>
    <w:p w14:paraId="6A4A2E72" w14:textId="2E88903A" w:rsidR="00FD17F4" w:rsidRPr="00FD17F4" w:rsidRDefault="00FD17F4" w:rsidP="00FD17F4">
      <w:pPr>
        <w:spacing w:line="360" w:lineRule="auto"/>
        <w:ind w:left="567" w:right="616"/>
        <w:jc w:val="both"/>
        <w:rPr>
          <w:rFonts w:ascii="Palatino Linotype" w:eastAsia="Calibri" w:hAnsi="Palatino Linotype" w:cs="Arial"/>
          <w:bCs/>
          <w:i/>
          <w:sz w:val="18"/>
          <w:szCs w:val="22"/>
        </w:rPr>
      </w:pPr>
      <w:r w:rsidRPr="00FD17F4">
        <w:rPr>
          <w:rFonts w:ascii="Palatino Linotype" w:hAnsi="Palatino Linotype"/>
          <w:i/>
          <w:sz w:val="22"/>
        </w:rPr>
        <w:t>XXXV. Informes de avances programáticos o presupuestales, balances generales y estado financiero;</w:t>
      </w:r>
    </w:p>
    <w:p w14:paraId="77D7F0F0" w14:textId="77777777" w:rsidR="00AE05C9" w:rsidRDefault="00AE05C9" w:rsidP="00AE05C9">
      <w:pPr>
        <w:pStyle w:val="Prrafodelista"/>
        <w:spacing w:before="240" w:after="240" w:line="360" w:lineRule="auto"/>
        <w:ind w:left="0"/>
        <w:jc w:val="both"/>
        <w:rPr>
          <w:rFonts w:ascii="Palatino Linotype" w:eastAsia="Calibri" w:hAnsi="Palatino Linotype" w:cs="Arial"/>
          <w:bCs/>
        </w:rPr>
      </w:pPr>
    </w:p>
    <w:p w14:paraId="599CAA38" w14:textId="09B7D197" w:rsidR="00AE05C9" w:rsidRDefault="00AE05C9" w:rsidP="00AE05C9">
      <w:pPr>
        <w:pStyle w:val="Prrafodelista"/>
        <w:numPr>
          <w:ilvl w:val="0"/>
          <w:numId w:val="1"/>
        </w:numPr>
        <w:spacing w:before="240" w:after="240" w:line="360" w:lineRule="auto"/>
        <w:jc w:val="both"/>
        <w:rPr>
          <w:rFonts w:ascii="Palatino Linotype" w:eastAsia="Calibri" w:hAnsi="Palatino Linotype" w:cs="Arial"/>
          <w:bCs/>
        </w:rPr>
      </w:pPr>
      <w:r w:rsidRPr="00AE05C9">
        <w:rPr>
          <w:rFonts w:ascii="Palatino Linotype" w:eastAsia="Calibri" w:hAnsi="Palatino Linotype" w:cs="Arial"/>
          <w:bCs/>
        </w:rPr>
        <w:t xml:space="preserve">En este sentido, se reitera que el </w:t>
      </w:r>
      <w:r w:rsidRPr="00FD17F4">
        <w:rPr>
          <w:rFonts w:ascii="Palatino Linotype" w:eastAsia="Calibri" w:hAnsi="Palatino Linotype" w:cs="Arial"/>
          <w:b/>
          <w:bCs/>
        </w:rPr>
        <w:t xml:space="preserve">Ayuntamiento de </w:t>
      </w:r>
      <w:r w:rsidR="00FD17F4" w:rsidRPr="00FD17F4">
        <w:rPr>
          <w:rFonts w:ascii="Palatino Linotype" w:eastAsia="Calibri" w:hAnsi="Palatino Linotype" w:cs="Arial"/>
          <w:b/>
          <w:bCs/>
        </w:rPr>
        <w:t>Tianguistenco</w:t>
      </w:r>
      <w:r w:rsidRPr="00AE05C9">
        <w:rPr>
          <w:rFonts w:ascii="Palatino Linotype" w:eastAsia="Calibri" w:hAnsi="Palatino Linotype" w:cs="Arial"/>
          <w:bCs/>
        </w:rPr>
        <w:t xml:space="preserve">, es el Sujeto Obligado idóneo para entregar dichos documentos, lo anterior además a efecto  de no estimular que los Sujetos obligados se deslinden de sus obligaciones de transparencia, en este caso por el Ayuntamiento citado, así como para evitar que el Poder legislativito se convierta en ventanilla única para atender solicitudes de los entes fiscalizables. Por lo que se dejan a salvo los derechos del RECURRENTE para que pueda realizar la solicitud de información ante el Sujeto Obligado correspondiente. </w:t>
      </w:r>
    </w:p>
    <w:p w14:paraId="1F4E59CE" w14:textId="77777777" w:rsidR="00AE05C9" w:rsidRDefault="00AE05C9" w:rsidP="00AE05C9">
      <w:pPr>
        <w:pStyle w:val="Prrafodelista"/>
        <w:spacing w:before="240" w:after="240" w:line="360" w:lineRule="auto"/>
        <w:ind w:left="0"/>
        <w:jc w:val="both"/>
        <w:rPr>
          <w:rFonts w:ascii="Palatino Linotype" w:eastAsia="Calibri" w:hAnsi="Palatino Linotype" w:cs="Arial"/>
          <w:bCs/>
        </w:rPr>
      </w:pPr>
    </w:p>
    <w:p w14:paraId="54E077C3" w14:textId="5DDFB33F" w:rsidR="004A2787" w:rsidRPr="007863F8" w:rsidRDefault="004A2787" w:rsidP="007863F8">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Tal y como se aprecia, el Sujeto Obligado declaró su incompetencia</w:t>
      </w:r>
      <w:r w:rsidR="00FD17F4">
        <w:rPr>
          <w:rFonts w:ascii="Palatino Linotype" w:eastAsia="MS Mincho" w:hAnsi="Palatino Linotype"/>
        </w:rPr>
        <w:t xml:space="preserve"> para contar con la información</w:t>
      </w:r>
      <w:r>
        <w:rPr>
          <w:rFonts w:ascii="Palatino Linotype" w:eastAsia="MS Mincho" w:hAnsi="Palatino Linotype"/>
        </w:rPr>
        <w:t>.</w:t>
      </w:r>
      <w:r w:rsidR="007863F8">
        <w:rPr>
          <w:rFonts w:ascii="Palatino Linotype" w:eastAsia="MS Mincho" w:hAnsi="Palatino Linotype"/>
        </w:rPr>
        <w:t xml:space="preserve"> E</w:t>
      </w:r>
      <w:r w:rsidRPr="007863F8">
        <w:rPr>
          <w:rFonts w:ascii="Palatino Linotype" w:eastAsia="MS Mincho" w:hAnsi="Palatino Linotype"/>
        </w:rPr>
        <w:t xml:space="preserve">s necesario mencionar que el acceso a la información es un derecho humano constitucional y convencionalmente reconocido y para tal efecto </w:t>
      </w:r>
      <w:r w:rsidRPr="007863F8">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7863F8">
        <w:rPr>
          <w:rFonts w:ascii="Palatino Linotype" w:eastAsia="Calibri" w:hAnsi="Palatino Linotype"/>
          <w:i/>
          <w:lang w:val="es-ES"/>
        </w:rPr>
        <w:t xml:space="preserve">en el ámbito de sus atribuciones, de promover, respetar, proteger y </w:t>
      </w:r>
      <w:r w:rsidRPr="007863F8">
        <w:rPr>
          <w:rFonts w:ascii="Palatino Linotype" w:eastAsia="Calibri" w:hAnsi="Palatino Linotype"/>
          <w:b/>
          <w:i/>
          <w:lang w:val="es-ES"/>
        </w:rPr>
        <w:t>garantizar</w:t>
      </w:r>
      <w:r w:rsidRPr="007863F8">
        <w:rPr>
          <w:rFonts w:ascii="Palatino Linotype" w:eastAsia="Calibri" w:hAnsi="Palatino Linotype"/>
          <w:i/>
          <w:lang w:val="es-ES"/>
        </w:rPr>
        <w:t xml:space="preserve"> los derechos humanos. </w:t>
      </w:r>
      <w:r w:rsidRPr="007863F8">
        <w:rPr>
          <w:rFonts w:ascii="Palatino Linotype" w:eastAsia="Calibri" w:hAnsi="Palatino Linotype"/>
          <w:b/>
          <w:i/>
          <w:lang w:val="es-ES"/>
        </w:rPr>
        <w:t xml:space="preserve">En cuanto al derecho de acceso a la información, la Ley de Transparencia y Acceso a la </w:t>
      </w:r>
      <w:r w:rsidRPr="007863F8">
        <w:rPr>
          <w:rFonts w:ascii="Palatino Linotype" w:eastAsia="Calibri" w:hAnsi="Palatino Linotype"/>
          <w:b/>
          <w:i/>
          <w:lang w:val="es-ES"/>
        </w:rPr>
        <w:lastRenderedPageBreak/>
        <w:t>Información Pública del Estado de México y Municipios prevé establece que e</w:t>
      </w:r>
      <w:r w:rsidRPr="007863F8">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6"/>
      </w:r>
      <w:r w:rsidRPr="007863F8">
        <w:rPr>
          <w:rFonts w:ascii="Palatino Linotype" w:hAnsi="Palatino Linotype"/>
          <w:i/>
        </w:rPr>
        <w:t xml:space="preserve">, </w:t>
      </w:r>
      <w:r w:rsidRPr="007863F8">
        <w:rPr>
          <w:rFonts w:ascii="Palatino Linotype" w:hAnsi="Palatino Linotype"/>
        </w:rPr>
        <w:t>asimismo establece</w:t>
      </w:r>
      <w:r w:rsidRPr="007863F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25F5C5D" w14:textId="77777777" w:rsidR="004A2787" w:rsidRPr="000E63C8" w:rsidRDefault="004A2787" w:rsidP="004A2787">
      <w:pPr>
        <w:pStyle w:val="Prrafodelista"/>
        <w:rPr>
          <w:rFonts w:ascii="Palatino Linotype" w:eastAsia="Calibri" w:hAnsi="Palatino Linotype" w:cs="Arial"/>
        </w:rPr>
      </w:pPr>
    </w:p>
    <w:p w14:paraId="5F674489" w14:textId="77777777" w:rsidR="004A2787" w:rsidRPr="00C074D9" w:rsidRDefault="004A2787" w:rsidP="004A2787">
      <w:pPr>
        <w:pStyle w:val="Prrafodelista"/>
        <w:numPr>
          <w:ilvl w:val="0"/>
          <w:numId w:val="1"/>
        </w:numPr>
        <w:spacing w:line="360" w:lineRule="auto"/>
        <w:jc w:val="both"/>
        <w:rPr>
          <w:rFonts w:ascii="Palatino Linotype" w:eastAsia="Calibri" w:hAnsi="Palatino Linotype" w:cs="Arial"/>
        </w:rPr>
      </w:pPr>
      <w:r w:rsidRPr="000E63C8">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w:t>
      </w:r>
      <w:r w:rsidRPr="00C074D9">
        <w:rPr>
          <w:rFonts w:ascii="Palatino Linotype" w:hAnsi="Palatino Linotype"/>
        </w:rPr>
        <w:t>diario desempeñan.</w:t>
      </w:r>
    </w:p>
    <w:p w14:paraId="17BD1310" w14:textId="77777777" w:rsidR="004A2787" w:rsidRPr="00C074D9" w:rsidRDefault="004A2787" w:rsidP="004A2787">
      <w:pPr>
        <w:pStyle w:val="Prrafodelista"/>
        <w:rPr>
          <w:rFonts w:ascii="Palatino Linotype" w:hAnsi="Palatino Linotype"/>
        </w:rPr>
      </w:pPr>
    </w:p>
    <w:p w14:paraId="4B9117BE" w14:textId="77777777" w:rsidR="004A2787" w:rsidRPr="00C074D9" w:rsidRDefault="004A2787" w:rsidP="004A2787">
      <w:pPr>
        <w:pStyle w:val="Prrafodelista"/>
        <w:numPr>
          <w:ilvl w:val="0"/>
          <w:numId w:val="1"/>
        </w:numPr>
        <w:spacing w:line="360" w:lineRule="auto"/>
        <w:jc w:val="both"/>
        <w:rPr>
          <w:rFonts w:ascii="Palatino Linotype" w:eastAsia="Calibri" w:hAnsi="Palatino Linotype" w:cs="Arial"/>
        </w:rPr>
      </w:pPr>
      <w:r w:rsidRPr="00C074D9">
        <w:rPr>
          <w:rFonts w:ascii="Palatino Linotype" w:hAnsi="Palatino Linotype"/>
        </w:rPr>
        <w:t xml:space="preserve">Es así que, su obligación es </w:t>
      </w:r>
      <w:r w:rsidRPr="00C074D9">
        <w:rPr>
          <w:rFonts w:ascii="Palatino Linotype" w:hAnsi="Palatino Linotype"/>
          <w:i/>
        </w:rPr>
        <w:t>realizar, con efectividad, los trámites internos necesarios para la atención de las solicitudes de información</w:t>
      </w:r>
      <w:r w:rsidRPr="00C074D9">
        <w:rPr>
          <w:rStyle w:val="Refdenotaalpie"/>
          <w:rFonts w:ascii="Palatino Linotype" w:hAnsi="Palatino Linotype"/>
        </w:rPr>
        <w:footnoteReference w:id="7"/>
      </w:r>
      <w:r w:rsidRPr="00C074D9">
        <w:rPr>
          <w:rFonts w:ascii="Palatino Linotype" w:hAnsi="Palatino Linotype"/>
        </w:rPr>
        <w:t>, es decir, deben otorgar respuestas concisas, contundentes y sobre todo que den la certeza de los actos que realizan.</w:t>
      </w:r>
    </w:p>
    <w:p w14:paraId="1848A014" w14:textId="77777777" w:rsidR="004A2787" w:rsidRPr="00C074D9" w:rsidRDefault="004A2787" w:rsidP="004A2787">
      <w:pPr>
        <w:pStyle w:val="Prrafodelista"/>
        <w:spacing w:line="360" w:lineRule="auto"/>
        <w:ind w:left="0"/>
        <w:jc w:val="both"/>
        <w:rPr>
          <w:rFonts w:ascii="Palatino Linotype" w:eastAsia="Calibri" w:hAnsi="Palatino Linotype" w:cs="Arial"/>
        </w:rPr>
      </w:pPr>
    </w:p>
    <w:p w14:paraId="3531E0C1" w14:textId="77777777" w:rsidR="004A2787" w:rsidRPr="00C074D9" w:rsidRDefault="004A2787" w:rsidP="004A2787">
      <w:pPr>
        <w:pStyle w:val="Prrafodelista"/>
        <w:numPr>
          <w:ilvl w:val="0"/>
          <w:numId w:val="1"/>
        </w:numPr>
        <w:spacing w:line="360" w:lineRule="auto"/>
        <w:jc w:val="both"/>
        <w:rPr>
          <w:rFonts w:ascii="Palatino Linotype" w:eastAsia="Calibri" w:hAnsi="Palatino Linotype" w:cs="Arial"/>
        </w:rPr>
      </w:pPr>
      <w:r>
        <w:rPr>
          <w:rFonts w:ascii="Palatino Linotype" w:hAnsi="Palatino Linotype" w:cs="Arial"/>
          <w:bCs/>
        </w:rPr>
        <w:t>Dicho lo anterior, e</w:t>
      </w:r>
      <w:r w:rsidRPr="00C074D9">
        <w:rPr>
          <w:rFonts w:ascii="Palatino Linotype" w:hAnsi="Palatino Linotype" w:cs="Arial"/>
          <w:bCs/>
        </w:rPr>
        <w:t>s necesario traer a colación el artículo 167 de la Ley de Transparencia y Acceso a la Información Pública del Estado de México y Municipios, el cual establece lo siguiente:</w:t>
      </w:r>
    </w:p>
    <w:p w14:paraId="55881C83" w14:textId="77777777" w:rsidR="004A2787" w:rsidRDefault="004A2787" w:rsidP="004A2787">
      <w:pPr>
        <w:pStyle w:val="Prrafodelista"/>
        <w:spacing w:line="360" w:lineRule="auto"/>
        <w:ind w:left="0"/>
        <w:jc w:val="both"/>
        <w:rPr>
          <w:rFonts w:ascii="Palatino Linotype" w:eastAsia="Calibri" w:hAnsi="Palatino Linotype" w:cs="Arial"/>
          <w:highlight w:val="cyan"/>
        </w:rPr>
      </w:pPr>
    </w:p>
    <w:p w14:paraId="61BAA39B" w14:textId="77777777" w:rsidR="004A2787" w:rsidRPr="00C074D9" w:rsidRDefault="004A2787" w:rsidP="004A2787">
      <w:pPr>
        <w:autoSpaceDE w:val="0"/>
        <w:autoSpaceDN w:val="0"/>
        <w:adjustRightInd w:val="0"/>
        <w:spacing w:line="360" w:lineRule="auto"/>
        <w:ind w:left="567" w:right="567"/>
        <w:jc w:val="both"/>
        <w:rPr>
          <w:rFonts w:ascii="Palatino Linotype" w:hAnsi="Palatino Linotype" w:cs="Bookman Old Style"/>
          <w:i/>
          <w:sz w:val="22"/>
          <w:szCs w:val="20"/>
        </w:rPr>
      </w:pPr>
      <w:r w:rsidRPr="00C074D9">
        <w:rPr>
          <w:rFonts w:ascii="Palatino Linotype" w:hAnsi="Palatino Linotype" w:cs="Bookman Old Style,Bold"/>
          <w:b/>
          <w:bCs/>
          <w:i/>
          <w:sz w:val="22"/>
          <w:szCs w:val="20"/>
        </w:rPr>
        <w:t xml:space="preserve">Artículo 167. </w:t>
      </w:r>
      <w:r w:rsidRPr="00C074D9">
        <w:rPr>
          <w:rFonts w:ascii="Palatino Linotype" w:hAnsi="Palatino Linotype" w:cs="Bookman Old Style"/>
          <w:i/>
          <w:sz w:val="22"/>
          <w:szCs w:val="20"/>
        </w:rPr>
        <w:t xml:space="preserve">Cuando las </w:t>
      </w:r>
      <w:r w:rsidRPr="00C074D9">
        <w:rPr>
          <w:rFonts w:ascii="Palatino Linotype" w:hAnsi="Palatino Linotype" w:cs="Bookman Old Style"/>
          <w:b/>
          <w:i/>
          <w:sz w:val="22"/>
          <w:szCs w:val="20"/>
        </w:rPr>
        <w:t>unidades de transparencia determinen la notoria incompetencia por parte de los sujetos obligado</w:t>
      </w:r>
      <w:r w:rsidRPr="00C074D9">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C074D9">
        <w:rPr>
          <w:rFonts w:ascii="Palatino Linotype" w:hAnsi="Palatino Linotype" w:cs="Bookman Old Style"/>
          <w:b/>
          <w:i/>
          <w:sz w:val="22"/>
          <w:szCs w:val="20"/>
          <w:u w:val="single"/>
        </w:rPr>
        <w:t>tres días hábiles posteriores a la recepción de la solicitud</w:t>
      </w:r>
      <w:r w:rsidRPr="00C074D9">
        <w:rPr>
          <w:rFonts w:ascii="Palatino Linotype" w:hAnsi="Palatino Linotype" w:cs="Bookman Old Style"/>
          <w:i/>
          <w:sz w:val="22"/>
          <w:szCs w:val="20"/>
        </w:rPr>
        <w:t xml:space="preserve"> y, en su caso orientar al solicitante, el o los sujetos obligados competentes. </w:t>
      </w:r>
    </w:p>
    <w:p w14:paraId="50235F3A" w14:textId="77777777" w:rsidR="004A2787" w:rsidRPr="00C074D9" w:rsidRDefault="004A2787" w:rsidP="004A2787">
      <w:pPr>
        <w:pStyle w:val="Prrafodelista"/>
        <w:spacing w:line="360" w:lineRule="auto"/>
        <w:ind w:left="0"/>
        <w:jc w:val="both"/>
        <w:rPr>
          <w:rFonts w:ascii="Palatino Linotype" w:eastAsia="Calibri" w:hAnsi="Palatino Linotype" w:cs="Arial"/>
        </w:rPr>
      </w:pPr>
    </w:p>
    <w:p w14:paraId="78091FD0" w14:textId="77777777" w:rsidR="004A2787" w:rsidRPr="00C074D9" w:rsidRDefault="004A2787" w:rsidP="004A2787">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C074D9">
        <w:rPr>
          <w:rFonts w:ascii="Palatino Linotype" w:eastAsia="Calibri" w:hAnsi="Palatino Linotype" w:cs="Arial"/>
        </w:rPr>
        <w:t xml:space="preserve">Tal y como se aprecia, los Sujetos Obligados al detectar qué una solicitud de acceso a la información </w:t>
      </w:r>
      <w:r w:rsidRPr="00C074D9">
        <w:rPr>
          <w:rFonts w:ascii="Palatino Linotype" w:eastAsia="Calibri" w:hAnsi="Palatino Linotype" w:cs="Arial"/>
          <w:b/>
        </w:rPr>
        <w:t>NO</w:t>
      </w:r>
      <w:r w:rsidRPr="00C074D9">
        <w:rPr>
          <w:rFonts w:ascii="Palatino Linotype" w:eastAsia="Calibri" w:hAnsi="Palatino Linotype" w:cs="Arial"/>
        </w:rPr>
        <w:t xml:space="preserve"> es de su competencia, dentro de los 3 días posteriores a su recepción, deberán de comunicar tal situación al recurrente </w:t>
      </w:r>
      <w:r w:rsidRPr="00C074D9">
        <w:rPr>
          <w:rFonts w:ascii="Palatino Linotype" w:eastAsia="Calibri" w:hAnsi="Palatino Linotype" w:cs="Arial"/>
          <w:u w:val="single"/>
        </w:rPr>
        <w:t>y, en su caso</w:t>
      </w:r>
      <w:r w:rsidRPr="00C074D9">
        <w:rPr>
          <w:rFonts w:ascii="Palatino Linotype" w:eastAsia="Calibri" w:hAnsi="Palatino Linotype" w:cs="Arial"/>
        </w:rPr>
        <w:t xml:space="preserve"> orientarlo al Sujeto Obligado correspondiente.</w:t>
      </w:r>
    </w:p>
    <w:p w14:paraId="11167669" w14:textId="77777777" w:rsidR="004A2787" w:rsidRPr="00606682" w:rsidRDefault="004A2787" w:rsidP="004A2787">
      <w:pPr>
        <w:pStyle w:val="Prrafodelista"/>
        <w:spacing w:before="100" w:beforeAutospacing="1" w:after="100" w:afterAutospacing="1" w:line="360" w:lineRule="auto"/>
        <w:ind w:left="0"/>
        <w:jc w:val="both"/>
        <w:rPr>
          <w:rFonts w:ascii="Palatino Linotype" w:eastAsia="Calibri" w:hAnsi="Palatino Linotype" w:cs="Arial"/>
        </w:rPr>
      </w:pPr>
    </w:p>
    <w:p w14:paraId="56A6ABCE" w14:textId="4DAE8F9F" w:rsidR="00326CC6" w:rsidRDefault="004A2787" w:rsidP="004A2787">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606682">
        <w:rPr>
          <w:rFonts w:ascii="Palatino Linotype" w:eastAsia="Calibri" w:hAnsi="Palatino Linotype" w:cs="Arial"/>
        </w:rPr>
        <w:t xml:space="preserve">En el presente asunto en particular, </w:t>
      </w:r>
      <w:r w:rsidR="00326CC6">
        <w:rPr>
          <w:rFonts w:ascii="Palatino Linotype" w:eastAsia="Calibri" w:hAnsi="Palatino Linotype" w:cs="Arial"/>
        </w:rPr>
        <w:t>el Sujeto Obligado se declaró incompetente, aunque si bien no orientó correctamente al particular ante el Sujeto Obligado idóneo, lo cierto es que el Poder Legislativo resulta incompetente para proporcionar la información requerida.</w:t>
      </w:r>
    </w:p>
    <w:p w14:paraId="2567AC00" w14:textId="77777777" w:rsidR="00326CC6" w:rsidRDefault="00326CC6" w:rsidP="00326CC6">
      <w:pPr>
        <w:pStyle w:val="Prrafodelista"/>
        <w:rPr>
          <w:rFonts w:ascii="Palatino Linotype" w:eastAsia="Calibri" w:hAnsi="Palatino Linotype" w:cs="Arial"/>
        </w:rPr>
      </w:pPr>
    </w:p>
    <w:p w14:paraId="23328A67" w14:textId="1243249E" w:rsidR="00326CC6" w:rsidRPr="009B54C6" w:rsidRDefault="00326CC6" w:rsidP="00326CC6">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9B54C6">
        <w:rPr>
          <w:rFonts w:ascii="Palatino Linotype" w:eastAsia="MS Gothic" w:hAnsi="Palatino Linotype"/>
          <w:szCs w:val="26"/>
        </w:rPr>
        <w:t>En</w:t>
      </w:r>
      <w:r w:rsidRPr="009B54C6">
        <w:rPr>
          <w:rFonts w:ascii="Palatino Linotype" w:hAnsi="Palatino Linotype"/>
          <w:lang w:val="es-ES"/>
        </w:rPr>
        <w:t xml:space="preserve"> ese sentido, </w:t>
      </w:r>
      <w:r w:rsidRPr="009B54C6">
        <w:rPr>
          <w:rFonts w:ascii="Palatino Linotype" w:hAnsi="Palatino Linotype"/>
          <w:lang w:eastAsia="en-US"/>
        </w:rPr>
        <w:t xml:space="preserve">al haber existido un pronunciamiento es que </w:t>
      </w:r>
      <w:r w:rsidRPr="009B54C6">
        <w:rPr>
          <w:rFonts w:ascii="Palatino Linotype" w:hAnsi="Palatino Linotype"/>
          <w:lang w:val="es-ES"/>
        </w:rPr>
        <w:t>debemos</w:t>
      </w:r>
      <w:r w:rsidRPr="009B54C6">
        <w:rPr>
          <w:rFonts w:ascii="Palatino Linotype" w:hAnsi="Palatino Linotype"/>
          <w:i/>
          <w:lang w:val="es-ES"/>
        </w:rPr>
        <w:t xml:space="preserve"> </w:t>
      </w:r>
      <w:r w:rsidRPr="009B54C6">
        <w:rPr>
          <w:rFonts w:ascii="Palatino Linotype" w:hAnsi="Palatino Linotype" w:cs="Arial"/>
          <w:szCs w:val="20"/>
        </w:rPr>
        <w:t>hacer referencia a l</w:t>
      </w:r>
      <w:r w:rsidRPr="009B54C6">
        <w:rPr>
          <w:rFonts w:ascii="Palatino Linotype" w:hAnsi="Palatino Linotype"/>
        </w:rPr>
        <w:t>a presunción de veracidad</w:t>
      </w:r>
      <w:r w:rsidRPr="009B54C6">
        <w:rPr>
          <w:rStyle w:val="Refdenotaalpie"/>
        </w:rPr>
        <w:footnoteReference w:id="8"/>
      </w:r>
      <w:r w:rsidRPr="009B54C6">
        <w:rPr>
          <w:rFonts w:ascii="Palatino Linotype" w:hAnsi="Palatino Linotype"/>
        </w:rPr>
        <w:t xml:space="preserve"> supone una declaración </w:t>
      </w:r>
      <w:proofErr w:type="spellStart"/>
      <w:r w:rsidRPr="009B54C6">
        <w:rPr>
          <w:rFonts w:ascii="Palatino Linotype" w:hAnsi="Palatino Linotype"/>
          <w:i/>
        </w:rPr>
        <w:t>iurus</w:t>
      </w:r>
      <w:proofErr w:type="spellEnd"/>
      <w:r w:rsidRPr="009B54C6">
        <w:rPr>
          <w:rFonts w:ascii="Palatino Linotype" w:hAnsi="Palatino Linotype"/>
          <w:i/>
        </w:rPr>
        <w:t xml:space="preserve"> tantum</w:t>
      </w:r>
      <w:r w:rsidRPr="009B54C6">
        <w:rPr>
          <w:rFonts w:ascii="Palatino Linotype" w:hAnsi="Palatino Linotype"/>
        </w:rPr>
        <w:t xml:space="preserve"> ya que </w:t>
      </w:r>
      <w:r w:rsidRPr="009B54C6">
        <w:rPr>
          <w:rFonts w:ascii="Palatino Linotype" w:hAnsi="Palatino Linotype"/>
        </w:rPr>
        <w:lastRenderedPageBreak/>
        <w:t>admite prueba en contra, por lo que este Órgano no está facultado para pronunciarse sobre la veracidad de la información entregada.</w:t>
      </w:r>
    </w:p>
    <w:p w14:paraId="64F4511B" w14:textId="77777777" w:rsidR="00326CC6" w:rsidRPr="00804F21" w:rsidRDefault="00326CC6" w:rsidP="00326CC6">
      <w:pPr>
        <w:pStyle w:val="Prrafodelista"/>
        <w:rPr>
          <w:rFonts w:ascii="Palatino Linotype" w:hAnsi="Palatino Linotype"/>
        </w:rPr>
      </w:pPr>
    </w:p>
    <w:p w14:paraId="0BD861C9" w14:textId="77777777" w:rsidR="00326CC6" w:rsidRPr="00804F21" w:rsidRDefault="00326CC6" w:rsidP="00326CC6">
      <w:pPr>
        <w:pStyle w:val="Prrafodelista"/>
        <w:numPr>
          <w:ilvl w:val="0"/>
          <w:numId w:val="1"/>
        </w:numPr>
        <w:spacing w:line="360" w:lineRule="auto"/>
        <w:jc w:val="both"/>
        <w:rPr>
          <w:rFonts w:ascii="Palatino Linotype" w:hAnsi="Palatino Linotype"/>
        </w:rPr>
      </w:pPr>
      <w:r w:rsidRPr="00804F21">
        <w:rPr>
          <w:rFonts w:ascii="Palatino Linotype" w:hAnsi="Palatino Linotype"/>
        </w:rPr>
        <w:t>Sirve de apoyo a lo anterior por analogía el criterio 31-10 emitido por el entonces Instituto Federal de Acceso a la Información y Protección de Datos, que a la letra dice:</w:t>
      </w:r>
    </w:p>
    <w:p w14:paraId="072C21DB" w14:textId="77777777" w:rsidR="00326CC6" w:rsidRPr="00804F21" w:rsidRDefault="00326CC6" w:rsidP="00326CC6">
      <w:pPr>
        <w:pStyle w:val="Prrafodelista"/>
        <w:rPr>
          <w:rFonts w:ascii="Palatino Linotype" w:hAnsi="Palatino Linotype"/>
        </w:rPr>
      </w:pPr>
    </w:p>
    <w:p w14:paraId="431B8D20" w14:textId="77777777" w:rsidR="00326CC6" w:rsidRPr="00804F21" w:rsidRDefault="00326CC6" w:rsidP="00326CC6">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301D1CE" w14:textId="77777777" w:rsidR="00326CC6" w:rsidRPr="00326CC6" w:rsidRDefault="00326CC6" w:rsidP="00326CC6">
      <w:pPr>
        <w:pStyle w:val="Prrafodelista"/>
        <w:numPr>
          <w:ilvl w:val="0"/>
          <w:numId w:val="1"/>
        </w:numPr>
        <w:shd w:val="clear" w:color="auto" w:fill="FFFFFF"/>
        <w:spacing w:before="240" w:after="240" w:line="360" w:lineRule="auto"/>
        <w:jc w:val="both"/>
        <w:rPr>
          <w:rFonts w:ascii="Palatino Linotype" w:hAnsi="Palatino Linotype" w:cs="Arial"/>
        </w:rPr>
      </w:pPr>
      <w:r w:rsidRPr="009B54C6">
        <w:rPr>
          <w:rFonts w:ascii="Palatino Linotype" w:hAnsi="Palatino Linotype" w:cs="Arial"/>
          <w:color w:val="000000"/>
        </w:rPr>
        <w:t xml:space="preserve">Este Órgano Garante carece de facultades para dudar de la veracidad sobre la información proporcionada por el Sujeto Obligado, en consecuencia, debe </w:t>
      </w:r>
      <w:r w:rsidRPr="009B54C6">
        <w:rPr>
          <w:rFonts w:ascii="Palatino Linotype" w:hAnsi="Palatino Linotype" w:cs="Arial"/>
          <w:color w:val="000000"/>
        </w:rPr>
        <w:lastRenderedPageBreak/>
        <w:t>declarar</w:t>
      </w:r>
      <w:r>
        <w:rPr>
          <w:rFonts w:ascii="Palatino Linotype" w:hAnsi="Palatino Linotype" w:cs="Arial"/>
          <w:color w:val="000000"/>
        </w:rPr>
        <w:t>se atendido dicho requerimiento y, al no existir otro requerimiento, es necesario CONFIRMAR la respuesta otorgada.</w:t>
      </w:r>
    </w:p>
    <w:p w14:paraId="7CD7182C" w14:textId="77777777" w:rsidR="00326CC6" w:rsidRPr="00326CC6" w:rsidRDefault="00326CC6" w:rsidP="00326CC6">
      <w:pPr>
        <w:pStyle w:val="Prrafodelista"/>
        <w:shd w:val="clear" w:color="auto" w:fill="FFFFFF"/>
        <w:spacing w:before="240" w:after="240" w:line="360" w:lineRule="auto"/>
        <w:ind w:left="0"/>
        <w:jc w:val="both"/>
        <w:rPr>
          <w:rFonts w:ascii="Palatino Linotype" w:hAnsi="Palatino Linotype" w:cs="Arial"/>
        </w:rPr>
      </w:pPr>
    </w:p>
    <w:p w14:paraId="34E08D01" w14:textId="463F1360" w:rsidR="00326CC6" w:rsidRPr="009B54C6" w:rsidRDefault="00326CC6" w:rsidP="00326CC6">
      <w:pPr>
        <w:pStyle w:val="Prrafodelista"/>
        <w:numPr>
          <w:ilvl w:val="0"/>
          <w:numId w:val="1"/>
        </w:numPr>
        <w:shd w:val="clear" w:color="auto" w:fill="FFFFFF"/>
        <w:spacing w:before="240" w:after="240" w:line="360" w:lineRule="auto"/>
        <w:jc w:val="both"/>
        <w:rPr>
          <w:rFonts w:ascii="Palatino Linotype" w:hAnsi="Palatino Linotype" w:cs="Arial"/>
        </w:rPr>
      </w:pPr>
      <w:r>
        <w:rPr>
          <w:rFonts w:ascii="Palatino Linotype" w:hAnsi="Palatino Linotype" w:cs="Arial"/>
          <w:color w:val="000000"/>
        </w:rPr>
        <w:t>Por último y no menos importante, es necesario hacer de conocimiento al particular que se dejan a salvo los derechos del particular para que, si así lo desea promueva una nueva solicitud ante el Sujeto Obligado idóneo para atender sus requerimientos.</w:t>
      </w:r>
    </w:p>
    <w:p w14:paraId="6C6A1534" w14:textId="77777777" w:rsidR="00326CC6" w:rsidRDefault="00326CC6" w:rsidP="00326CC6">
      <w:pPr>
        <w:pStyle w:val="Prrafodelista"/>
        <w:rPr>
          <w:rFonts w:ascii="Palatino Linotype" w:eastAsia="Calibri" w:hAnsi="Palatino Linotype" w:cs="Arial"/>
        </w:rPr>
      </w:pPr>
    </w:p>
    <w:p w14:paraId="278A67F8" w14:textId="338B0ED5" w:rsidR="001C4F63" w:rsidRPr="00D3247A"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62D81D13" w14:textId="77777777" w:rsidR="00D3247A" w:rsidRPr="00D3247A" w:rsidRDefault="00D3247A" w:rsidP="00D3247A">
      <w:pPr>
        <w:pStyle w:val="Prrafodelista"/>
        <w:rPr>
          <w:rFonts w:ascii="Palatino Linotype" w:hAnsi="Palatino Linotype" w:cs="Arial"/>
        </w:rPr>
      </w:pPr>
    </w:p>
    <w:p w14:paraId="18C7D92B" w14:textId="77777777" w:rsidR="009959DB" w:rsidRPr="00A0054B"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A0054B">
        <w:rPr>
          <w:b/>
          <w:color w:val="000000" w:themeColor="text1"/>
          <w:szCs w:val="24"/>
        </w:rPr>
        <w:t>R E S O L U T I V O S</w:t>
      </w:r>
      <w:bookmarkEnd w:id="23"/>
      <w:bookmarkEnd w:id="24"/>
      <w:bookmarkEnd w:id="32"/>
      <w:bookmarkEnd w:id="33"/>
      <w:bookmarkEnd w:id="34"/>
    </w:p>
    <w:p w14:paraId="0A2518D0" w14:textId="77777777" w:rsidR="00326CC6" w:rsidRDefault="00326CC6" w:rsidP="00C20A03">
      <w:pPr>
        <w:spacing w:line="360" w:lineRule="auto"/>
        <w:jc w:val="both"/>
        <w:rPr>
          <w:rFonts w:ascii="Palatino Linotype" w:eastAsia="Times New Roman" w:hAnsi="Palatino Linotype" w:cs="Arial"/>
          <w:b/>
        </w:rPr>
      </w:pPr>
      <w:bookmarkStart w:id="35" w:name="_Toc450120669"/>
      <w:bookmarkStart w:id="36" w:name="_Toc460947011"/>
    </w:p>
    <w:p w14:paraId="01603FEB" w14:textId="7F821899" w:rsidR="00326CC6" w:rsidRPr="00240E9E" w:rsidRDefault="00326CC6" w:rsidP="00326CC6">
      <w:pPr>
        <w:spacing w:line="360" w:lineRule="auto"/>
        <w:jc w:val="both"/>
        <w:rPr>
          <w:rFonts w:ascii="Palatino Linotype" w:hAnsi="Palatino Linotype"/>
        </w:rPr>
      </w:pPr>
      <w:r w:rsidRPr="00240E9E">
        <w:rPr>
          <w:rFonts w:ascii="Palatino Linotype" w:hAnsi="Palatino Linotype" w:cs="Arial"/>
          <w:b/>
        </w:rPr>
        <w:t xml:space="preserve">PRIMERO. </w:t>
      </w:r>
      <w:r w:rsidRPr="00240E9E">
        <w:rPr>
          <w:rFonts w:ascii="Palatino Linotype" w:hAnsi="Palatino Linotype" w:cs="Arial"/>
        </w:rPr>
        <w:t>Resultan infundadas las</w:t>
      </w:r>
      <w:r w:rsidRPr="00240E9E">
        <w:rPr>
          <w:rFonts w:ascii="Palatino Linotype" w:hAnsi="Palatino Linotype" w:cs="Arial"/>
          <w:b/>
        </w:rPr>
        <w:t xml:space="preserve"> </w:t>
      </w:r>
      <w:r w:rsidRPr="00240E9E">
        <w:rPr>
          <w:rFonts w:ascii="Palatino Linotype" w:hAnsi="Palatino Linotype" w:cs="Arial"/>
          <w:lang w:val="es-ES"/>
        </w:rPr>
        <w:t xml:space="preserve">razones o motivos de inconformidad hechos valer </w:t>
      </w:r>
      <w:r w:rsidRPr="00240E9E">
        <w:rPr>
          <w:rFonts w:ascii="Palatino Linotype" w:eastAsia="Calibri" w:hAnsi="Palatino Linotype" w:cs="Arial"/>
          <w:lang w:val="es-ES"/>
        </w:rPr>
        <w:t xml:space="preserve">en el recurso de revisión </w:t>
      </w:r>
      <w:r w:rsidR="00845A71" w:rsidRPr="00240E9E">
        <w:rPr>
          <w:rFonts w:ascii="Palatino Linotype" w:eastAsia="Calibri" w:hAnsi="Palatino Linotype" w:cs="Arial"/>
          <w:b/>
          <w:lang w:val="es-ES"/>
        </w:rPr>
        <w:t>16918</w:t>
      </w:r>
      <w:r w:rsidR="00845A71" w:rsidRPr="00240E9E">
        <w:rPr>
          <w:rFonts w:ascii="Palatino Linotype" w:hAnsi="Palatino Linotype"/>
          <w:b/>
          <w:szCs w:val="22"/>
        </w:rPr>
        <w:t>/INFOEM/IP/RR/2022</w:t>
      </w:r>
      <w:r w:rsidR="00845A71" w:rsidRPr="00240E9E">
        <w:rPr>
          <w:rFonts w:ascii="Palatino Linotype" w:eastAsia="Times New Roman" w:hAnsi="Palatino Linotype" w:cs="Times New Roman"/>
          <w:b/>
        </w:rPr>
        <w:t xml:space="preserve"> </w:t>
      </w:r>
      <w:r w:rsidRPr="00240E9E">
        <w:rPr>
          <w:rFonts w:ascii="Palatino Linotype" w:hAnsi="Palatino Linotype"/>
        </w:rPr>
        <w:t>en términos del</w:t>
      </w:r>
      <w:r w:rsidRPr="00240E9E">
        <w:rPr>
          <w:rFonts w:ascii="Palatino Linotype" w:hAnsi="Palatino Linotype"/>
          <w:b/>
          <w:bCs/>
        </w:rPr>
        <w:t xml:space="preserve"> Considerando</w:t>
      </w:r>
      <w:r w:rsidRPr="00240E9E">
        <w:rPr>
          <w:rFonts w:ascii="Palatino Linotype" w:hAnsi="Palatino Linotype"/>
        </w:rPr>
        <w:t xml:space="preserve"> </w:t>
      </w:r>
      <w:r w:rsidRPr="00240E9E">
        <w:rPr>
          <w:rFonts w:ascii="Palatino Linotype" w:hAnsi="Palatino Linotype"/>
          <w:b/>
        </w:rPr>
        <w:t>CUARTO</w:t>
      </w:r>
      <w:r w:rsidRPr="00240E9E">
        <w:rPr>
          <w:rFonts w:ascii="Palatino Linotype" w:hAnsi="Palatino Linotype"/>
        </w:rPr>
        <w:t xml:space="preserve"> de la presente resolución.</w:t>
      </w:r>
    </w:p>
    <w:p w14:paraId="6480BABD" w14:textId="77777777" w:rsidR="00326CC6" w:rsidRPr="00240E9E" w:rsidRDefault="00326CC6" w:rsidP="00326CC6">
      <w:pPr>
        <w:spacing w:line="360" w:lineRule="auto"/>
        <w:contextualSpacing/>
        <w:jc w:val="both"/>
        <w:rPr>
          <w:rFonts w:ascii="Palatino Linotype" w:eastAsia="Calibri" w:hAnsi="Palatino Linotype" w:cs="Arial"/>
          <w:b/>
          <w:bCs/>
          <w:lang w:val="es-ES"/>
        </w:rPr>
      </w:pPr>
    </w:p>
    <w:p w14:paraId="3988D07C" w14:textId="5ED8A94D" w:rsidR="00326CC6" w:rsidRPr="00240E9E" w:rsidRDefault="00326CC6" w:rsidP="00326CC6">
      <w:pPr>
        <w:spacing w:line="360" w:lineRule="auto"/>
        <w:contextualSpacing/>
        <w:jc w:val="both"/>
        <w:rPr>
          <w:rFonts w:ascii="Palatino Linotype" w:eastAsia="Calibri" w:hAnsi="Palatino Linotype" w:cs="Arial"/>
        </w:rPr>
      </w:pPr>
      <w:r w:rsidRPr="00240E9E">
        <w:rPr>
          <w:rFonts w:ascii="Palatino Linotype" w:eastAsia="Calibri" w:hAnsi="Palatino Linotype" w:cs="Arial"/>
          <w:b/>
          <w:bCs/>
          <w:lang w:val="es-ES"/>
        </w:rPr>
        <w:t xml:space="preserve">SEGUNDO. </w:t>
      </w:r>
      <w:r w:rsidRPr="00240E9E">
        <w:rPr>
          <w:rFonts w:ascii="Palatino Linotype" w:eastAsia="Calibri" w:hAnsi="Palatino Linotype" w:cs="Arial"/>
          <w:lang w:val="es-ES"/>
        </w:rPr>
        <w:t xml:space="preserve">Se </w:t>
      </w:r>
      <w:r w:rsidRPr="00240E9E">
        <w:rPr>
          <w:rFonts w:ascii="Palatino Linotype" w:eastAsia="Calibri" w:hAnsi="Palatino Linotype" w:cs="Arial"/>
          <w:b/>
          <w:lang w:val="es-ES"/>
        </w:rPr>
        <w:t>CONFIRMA</w:t>
      </w:r>
      <w:r w:rsidRPr="00240E9E">
        <w:rPr>
          <w:rFonts w:ascii="Palatino Linotype" w:eastAsia="Calibri" w:hAnsi="Palatino Linotype" w:cs="Arial"/>
          <w:lang w:val="es-ES"/>
        </w:rPr>
        <w:t xml:space="preserve"> la respuesta emitida por el </w:t>
      </w:r>
      <w:r w:rsidR="00845A71" w:rsidRPr="00240E9E">
        <w:rPr>
          <w:rFonts w:ascii="Palatino Linotype" w:eastAsia="Calibri" w:hAnsi="Palatino Linotype" w:cs="Arial"/>
          <w:b/>
          <w:bCs/>
          <w:lang w:val="es-ES"/>
        </w:rPr>
        <w:t>Poder Legislativo</w:t>
      </w:r>
      <w:r w:rsidRPr="00240E9E">
        <w:rPr>
          <w:rFonts w:ascii="Palatino Linotype" w:eastAsia="Calibri" w:hAnsi="Palatino Linotype" w:cs="Arial"/>
          <w:bCs/>
        </w:rPr>
        <w:t xml:space="preserve"> a la solicitud </w:t>
      </w:r>
      <w:bookmarkStart w:id="37" w:name="_Toc460947013"/>
      <w:r w:rsidR="00845A71" w:rsidRPr="00240E9E">
        <w:rPr>
          <w:rFonts w:ascii="Palatino Linotype" w:hAnsi="Palatino Linotype"/>
          <w:b/>
          <w:bCs/>
          <w:color w:val="000000" w:themeColor="text1"/>
        </w:rPr>
        <w:t>00699/PLEGISLA/IP/2022</w:t>
      </w:r>
      <w:r w:rsidRPr="00240E9E">
        <w:rPr>
          <w:rFonts w:ascii="Palatino Linotype" w:eastAsia="Calibri" w:hAnsi="Palatino Linotype" w:cs="Arial"/>
        </w:rPr>
        <w:t>.</w:t>
      </w:r>
    </w:p>
    <w:p w14:paraId="50B2F299" w14:textId="77777777" w:rsidR="00326CC6" w:rsidRPr="00240E9E" w:rsidRDefault="00326CC6" w:rsidP="00326CC6">
      <w:pPr>
        <w:tabs>
          <w:tab w:val="left" w:pos="993"/>
        </w:tabs>
        <w:spacing w:line="360" w:lineRule="auto"/>
        <w:ind w:right="567"/>
        <w:jc w:val="both"/>
        <w:rPr>
          <w:rFonts w:ascii="Palatino Linotype" w:eastAsia="Calibri" w:hAnsi="Palatino Linotype" w:cs="Arial"/>
        </w:rPr>
      </w:pPr>
    </w:p>
    <w:p w14:paraId="7C11B158" w14:textId="77777777" w:rsidR="00326CC6" w:rsidRPr="00240E9E" w:rsidRDefault="00326CC6" w:rsidP="00326CC6">
      <w:pPr>
        <w:tabs>
          <w:tab w:val="left" w:pos="8080"/>
        </w:tabs>
        <w:spacing w:line="360" w:lineRule="auto"/>
        <w:ind w:right="49"/>
        <w:contextualSpacing/>
        <w:jc w:val="both"/>
        <w:rPr>
          <w:rFonts w:ascii="Palatino Linotype" w:eastAsia="Palatino Linotype" w:hAnsi="Palatino Linotype" w:cs="Palatino Linotype"/>
          <w:b/>
        </w:rPr>
      </w:pPr>
      <w:r w:rsidRPr="00240E9E">
        <w:rPr>
          <w:rFonts w:ascii="Palatino Linotype" w:eastAsia="MS Mincho" w:hAnsi="Palatino Linotype"/>
          <w:b/>
          <w:color w:val="000000"/>
        </w:rPr>
        <w:t>TERCERO.</w:t>
      </w:r>
      <w:r w:rsidRPr="00240E9E">
        <w:rPr>
          <w:rFonts w:ascii="Palatino Linotype" w:eastAsia="MS Mincho" w:hAnsi="Palatino Linotype"/>
          <w:color w:val="000000"/>
        </w:rPr>
        <w:t xml:space="preserve"> </w:t>
      </w:r>
      <w:bookmarkEnd w:id="37"/>
      <w:r w:rsidRPr="00240E9E">
        <w:rPr>
          <w:rFonts w:ascii="Palatino Linotype" w:eastAsia="Palatino Linotype" w:hAnsi="Palatino Linotype" w:cs="Palatino Linotype"/>
          <w:b/>
        </w:rPr>
        <w:t xml:space="preserve">Notifíquese, </w:t>
      </w:r>
      <w:r w:rsidRPr="00240E9E">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240E9E">
        <w:rPr>
          <w:rFonts w:ascii="Palatino Linotype" w:eastAsia="Palatino Linotype" w:hAnsi="Palatino Linotype" w:cs="Palatino Linotype"/>
          <w:b/>
        </w:rPr>
        <w:t>SUJETO OBLIGADO.</w:t>
      </w:r>
    </w:p>
    <w:p w14:paraId="4DCD6E09" w14:textId="77777777" w:rsidR="00326CC6" w:rsidRPr="00240E9E" w:rsidRDefault="00326CC6" w:rsidP="00326CC6">
      <w:pPr>
        <w:tabs>
          <w:tab w:val="left" w:pos="8080"/>
        </w:tabs>
        <w:spacing w:line="360" w:lineRule="auto"/>
        <w:ind w:right="49"/>
        <w:contextualSpacing/>
        <w:jc w:val="both"/>
        <w:rPr>
          <w:rFonts w:ascii="Palatino Linotype" w:eastAsia="Palatino Linotype" w:hAnsi="Palatino Linotype" w:cs="Palatino Linotype"/>
          <w:b/>
        </w:rPr>
      </w:pPr>
    </w:p>
    <w:p w14:paraId="5D032CDB" w14:textId="77777777" w:rsidR="00326CC6" w:rsidRPr="00D91200" w:rsidRDefault="00326CC6" w:rsidP="00326CC6">
      <w:pPr>
        <w:shd w:val="clear" w:color="auto" w:fill="FFFFFF"/>
        <w:spacing w:line="360" w:lineRule="auto"/>
        <w:jc w:val="both"/>
        <w:rPr>
          <w:rFonts w:ascii="Palatino Linotype" w:hAnsi="Palatino Linotype"/>
        </w:rPr>
      </w:pPr>
      <w:r w:rsidRPr="00240E9E">
        <w:rPr>
          <w:rFonts w:ascii="Palatino Linotype" w:hAnsi="Palatino Linotype" w:cs="Arial"/>
          <w:b/>
        </w:rPr>
        <w:lastRenderedPageBreak/>
        <w:t xml:space="preserve">CUARTO. </w:t>
      </w:r>
      <w:r w:rsidRPr="00240E9E">
        <w:rPr>
          <w:rFonts w:ascii="Palatino Linotype" w:hAnsi="Palatino Linotype"/>
          <w:b/>
          <w:bCs/>
          <w:color w:val="222222"/>
          <w:lang w:val="es-ES"/>
        </w:rPr>
        <w:t>Notifíquese al</w:t>
      </w:r>
      <w:r w:rsidRPr="00240E9E">
        <w:rPr>
          <w:rFonts w:ascii="Palatino Linotype" w:hAnsi="Palatino Linotype"/>
          <w:b/>
        </w:rPr>
        <w:t xml:space="preserve"> RECURRENTE</w:t>
      </w:r>
      <w:r w:rsidRPr="00240E9E">
        <w:rPr>
          <w:rFonts w:ascii="Palatino Linotype" w:hAnsi="Palatino Linotype"/>
        </w:rPr>
        <w:t xml:space="preserve"> la presente resolución, </w:t>
      </w:r>
      <w:r w:rsidRPr="00240E9E">
        <w:rPr>
          <w:rFonts w:ascii="Palatino Linotype" w:eastAsia="Palatino Linotype" w:hAnsi="Palatino Linotype" w:cs="Palatino Linotype"/>
        </w:rPr>
        <w:t>vía Sistema de Acceso a la Información Mexiquense (SAIMEX).</w:t>
      </w:r>
      <w:bookmarkStart w:id="38" w:name="_GoBack"/>
      <w:bookmarkEnd w:id="38"/>
    </w:p>
    <w:p w14:paraId="5DDCA260" w14:textId="77777777" w:rsidR="00326CC6" w:rsidRPr="00D91200" w:rsidRDefault="00326CC6" w:rsidP="00326CC6">
      <w:pPr>
        <w:shd w:val="clear" w:color="auto" w:fill="FFFFFF"/>
        <w:spacing w:line="360" w:lineRule="auto"/>
        <w:jc w:val="both"/>
        <w:rPr>
          <w:rFonts w:ascii="Palatino Linotype" w:hAnsi="Palatino Linotype"/>
        </w:rPr>
      </w:pPr>
    </w:p>
    <w:p w14:paraId="744E2E63" w14:textId="77777777" w:rsidR="00326CC6" w:rsidRPr="00D91200" w:rsidRDefault="00326CC6" w:rsidP="00326CC6">
      <w:pPr>
        <w:spacing w:line="360" w:lineRule="auto"/>
        <w:jc w:val="both"/>
        <w:rPr>
          <w:rFonts w:ascii="Palatino Linotype" w:eastAsia="MS Mincho" w:hAnsi="Palatino Linotype"/>
          <w:lang w:val="es-ES"/>
        </w:rPr>
      </w:pPr>
      <w:r w:rsidRPr="00D91200">
        <w:rPr>
          <w:rFonts w:ascii="Palatino Linotype" w:eastAsia="MS Mincho" w:hAnsi="Palatino Linotype"/>
          <w:b/>
        </w:rPr>
        <w:t>QUINTO.</w:t>
      </w:r>
      <w:r w:rsidRPr="00D91200">
        <w:rPr>
          <w:rFonts w:ascii="Palatino Linotype" w:eastAsia="MS Mincho" w:hAnsi="Palatino Linotype"/>
        </w:rPr>
        <w:t xml:space="preserve"> </w:t>
      </w:r>
      <w:r w:rsidRPr="00D91200">
        <w:rPr>
          <w:rFonts w:ascii="Palatino Linotype" w:eastAsia="MS Mincho" w:hAnsi="Palatino Linotype"/>
          <w:lang w:val="es-ES"/>
        </w:rPr>
        <w:t xml:space="preserve">Se hace del conocimiento del </w:t>
      </w:r>
      <w:r w:rsidRPr="00D91200">
        <w:rPr>
          <w:rFonts w:ascii="Palatino Linotype" w:eastAsia="MS Mincho" w:hAnsi="Palatino Linotype"/>
          <w:b/>
          <w:lang w:val="es-ES"/>
        </w:rPr>
        <w:t>RECURRENTE</w:t>
      </w:r>
      <w:r w:rsidRPr="00D91200">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91200">
        <w:rPr>
          <w:rFonts w:ascii="Palatino Linotype" w:eastAsia="MS Mincho" w:hAnsi="Palatino Linotype"/>
          <w:bCs/>
          <w:lang w:val="es-ES"/>
        </w:rPr>
        <w:t>vía juicio de amparo</w:t>
      </w:r>
      <w:r w:rsidRPr="00D91200">
        <w:rPr>
          <w:rFonts w:ascii="Palatino Linotype" w:eastAsia="MS Mincho" w:hAnsi="Palatino Linotype"/>
          <w:lang w:val="es-ES"/>
        </w:rPr>
        <w:t xml:space="preserve"> en los términos de las leyes aplicables.</w:t>
      </w:r>
    </w:p>
    <w:bookmarkEnd w:id="35"/>
    <w:bookmarkEnd w:id="36"/>
    <w:p w14:paraId="741A6E3B" w14:textId="6740ACF1" w:rsidR="00962716" w:rsidRPr="00624AAD" w:rsidRDefault="003E1B5B" w:rsidP="00962716">
      <w:pPr>
        <w:spacing w:before="240" w:after="240" w:line="360" w:lineRule="auto"/>
        <w:ind w:firstLine="1"/>
        <w:jc w:val="both"/>
        <w:rPr>
          <w:rFonts w:ascii="Palatino Linotype" w:hAnsi="Palatino Linotype"/>
        </w:rPr>
      </w:pPr>
      <w:r>
        <w:rPr>
          <w:rFonts w:ascii="Palatino Linotype" w:hAnsi="Palatino Linotype"/>
        </w:rPr>
        <w:t>ASÍ LO RESUELVE, POR MAYORÍA</w:t>
      </w:r>
      <w:r w:rsidR="00962716" w:rsidRPr="00A0054B">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rPr>
        <w:t xml:space="preserve"> EMITIENDO VOTO DISIDENTE CONCURRENTE</w:t>
      </w:r>
      <w:r w:rsidR="00962716" w:rsidRPr="00A0054B">
        <w:rPr>
          <w:rFonts w:ascii="Palatino Linotype" w:hAnsi="Palatino Linotype"/>
        </w:rPr>
        <w:t>;</w:t>
      </w:r>
      <w:r w:rsidR="00B67B71">
        <w:rPr>
          <w:rFonts w:ascii="Palatino Linotype" w:hAnsi="Palatino Linotype"/>
        </w:rPr>
        <w:t xml:space="preserve"> Y GUADALUPE RAMÍREZ PEÑA</w:t>
      </w:r>
      <w:r>
        <w:rPr>
          <w:rFonts w:ascii="Palatino Linotype" w:hAnsi="Palatino Linotype"/>
        </w:rPr>
        <w:t xml:space="preserve"> EMITIENDO VOTO DISIDENTE CONCURRENTE</w:t>
      </w:r>
      <w:r w:rsidR="00B67B71">
        <w:rPr>
          <w:rFonts w:ascii="Palatino Linotype" w:hAnsi="Palatino Linotype"/>
        </w:rPr>
        <w:t xml:space="preserve"> EN LA </w:t>
      </w:r>
      <w:r w:rsidR="007F0D1B">
        <w:rPr>
          <w:rFonts w:ascii="Palatino Linotype" w:hAnsi="Palatino Linotype"/>
        </w:rPr>
        <w:t xml:space="preserve">DÉCIMA </w:t>
      </w:r>
      <w:r w:rsidR="00A36398">
        <w:rPr>
          <w:rFonts w:ascii="Palatino Linotype" w:hAnsi="Palatino Linotype"/>
        </w:rPr>
        <w:t>SEXTA</w:t>
      </w:r>
      <w:r w:rsidR="000A76EC">
        <w:rPr>
          <w:rFonts w:ascii="Palatino Linotype" w:hAnsi="Palatino Linotype"/>
        </w:rPr>
        <w:t xml:space="preserve"> </w:t>
      </w:r>
      <w:r w:rsidR="000544CE">
        <w:rPr>
          <w:rFonts w:ascii="Palatino Linotype" w:hAnsi="Palatino Linotype"/>
        </w:rPr>
        <w:t>SESIÓN</w:t>
      </w:r>
      <w:r w:rsidR="00962716" w:rsidRPr="00A0054B">
        <w:rPr>
          <w:rFonts w:ascii="Palatino Linotype" w:hAnsi="Palatino Linotype"/>
        </w:rPr>
        <w:t xml:space="preserve"> ORDINARIA CELEBRADA EL </w:t>
      </w:r>
      <w:r w:rsidR="001C6C7D">
        <w:rPr>
          <w:rFonts w:ascii="Palatino Linotype" w:hAnsi="Palatino Linotype"/>
        </w:rPr>
        <w:t>CUATRO</w:t>
      </w:r>
      <w:r w:rsidR="00962716" w:rsidRPr="00A0054B">
        <w:rPr>
          <w:rFonts w:ascii="Palatino Linotype" w:hAnsi="Palatino Linotype"/>
        </w:rPr>
        <w:t xml:space="preserve"> </w:t>
      </w:r>
      <w:r w:rsidR="00352230">
        <w:rPr>
          <w:rFonts w:ascii="Palatino Linotype" w:hAnsi="Palatino Linotype"/>
        </w:rPr>
        <w:t xml:space="preserve">(04) </w:t>
      </w:r>
      <w:r w:rsidR="00962716" w:rsidRPr="00A0054B">
        <w:rPr>
          <w:rFonts w:ascii="Palatino Linotype" w:hAnsi="Palatino Linotype"/>
        </w:rPr>
        <w:t xml:space="preserve">DE </w:t>
      </w:r>
      <w:r w:rsidR="00A36398">
        <w:rPr>
          <w:rFonts w:ascii="Palatino Linotype" w:hAnsi="Palatino Linotype"/>
        </w:rPr>
        <w:t>MAYO</w:t>
      </w:r>
      <w:r w:rsidR="00B67B71">
        <w:rPr>
          <w:rFonts w:ascii="Palatino Linotype" w:hAnsi="Palatino Linotype"/>
        </w:rPr>
        <w:t xml:space="preserve"> </w:t>
      </w:r>
      <w:r w:rsidR="00962716" w:rsidRPr="00A0054B">
        <w:rPr>
          <w:rFonts w:ascii="Palatino Linotype" w:hAnsi="Palatino Linotype"/>
        </w:rPr>
        <w:t>DE DOS MIL VEINTI</w:t>
      </w:r>
      <w:r w:rsidR="00E43304">
        <w:rPr>
          <w:rFonts w:ascii="Palatino Linotype" w:hAnsi="Palatino Linotype"/>
        </w:rPr>
        <w:t>TRÉS</w:t>
      </w:r>
      <w:r w:rsidR="00962716" w:rsidRPr="00A0054B">
        <w:rPr>
          <w:rFonts w:ascii="Palatino Linotype" w:hAnsi="Palatino Linotype"/>
        </w:rPr>
        <w:t>, ANTE EL SECRETARIO TÉCNICO DEL PLENO ALEXIS TAPIA RAMÍREZ</w:t>
      </w:r>
      <w:r w:rsidR="00D3247A">
        <w:rPr>
          <w:rFonts w:ascii="Palatino Linotype" w:hAnsi="Palatino Linotype"/>
        </w:rPr>
        <w:t>.</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E6A45" w14:textId="77777777" w:rsidR="008B35EA" w:rsidRDefault="008B35EA" w:rsidP="00587366">
      <w:r>
        <w:separator/>
      </w:r>
    </w:p>
  </w:endnote>
  <w:endnote w:type="continuationSeparator" w:id="0">
    <w:p w14:paraId="25C032B6" w14:textId="77777777" w:rsidR="008B35EA" w:rsidRDefault="008B35E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986A78" w:rsidRPr="00883450" w:rsidRDefault="00986A7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40E9E">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40E9E">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47B193F0" w:rsidR="00986A78" w:rsidRDefault="00986A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986A78" w:rsidRPr="00883450" w:rsidRDefault="00986A7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23333" w:rsidRPr="0022333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23333" w:rsidRPr="00223333">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0A9A2B26" w:rsidR="00986A78" w:rsidRPr="00883450" w:rsidRDefault="00986A7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FD10F" w14:textId="77777777" w:rsidR="008B35EA" w:rsidRDefault="008B35EA" w:rsidP="00587366">
      <w:r>
        <w:separator/>
      </w:r>
    </w:p>
  </w:footnote>
  <w:footnote w:type="continuationSeparator" w:id="0">
    <w:p w14:paraId="6ED06B81" w14:textId="77777777" w:rsidR="008B35EA" w:rsidRDefault="008B35EA" w:rsidP="00587366">
      <w:r>
        <w:continuationSeparator/>
      </w:r>
    </w:p>
  </w:footnote>
  <w:footnote w:id="1">
    <w:p w14:paraId="32D56466" w14:textId="77777777" w:rsidR="00986A78" w:rsidRDefault="00986A78" w:rsidP="008E4483">
      <w:pPr>
        <w:pStyle w:val="Textonotapie"/>
      </w:pPr>
      <w:r>
        <w:rPr>
          <w:rStyle w:val="Refdenotaalpie"/>
        </w:rPr>
        <w:footnoteRef/>
      </w:r>
      <w:r>
        <w:t xml:space="preserve"> Convención Americana sobre Derechos Humanos. Artículo 13.</w:t>
      </w:r>
    </w:p>
  </w:footnote>
  <w:footnote w:id="2">
    <w:p w14:paraId="3F7967D5" w14:textId="77777777" w:rsidR="00986A78" w:rsidRDefault="00986A78"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986A78" w:rsidRDefault="00986A78"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986A78" w:rsidRDefault="00986A78"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986A78" w:rsidRDefault="00986A78"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986A78" w:rsidRDefault="00986A78" w:rsidP="008E4483">
      <w:pPr>
        <w:pStyle w:val="Textonotapie"/>
      </w:pPr>
      <w:r>
        <w:t>II. Eficacia: Obligación del Instituto para tutelar, de manera efectiva, el derecho de acceso a la información;</w:t>
      </w:r>
    </w:p>
    <w:p w14:paraId="707D8AAF" w14:textId="77777777" w:rsidR="00986A78" w:rsidRDefault="00986A78" w:rsidP="008E4483">
      <w:pPr>
        <w:pStyle w:val="Textonotapie"/>
      </w:pPr>
      <w:r>
        <w:t xml:space="preserve">… </w:t>
      </w:r>
    </w:p>
  </w:footnote>
  <w:footnote w:id="6">
    <w:p w14:paraId="5DC62249" w14:textId="77777777" w:rsidR="00986A78" w:rsidRDefault="00986A78" w:rsidP="004A2787">
      <w:pPr>
        <w:pStyle w:val="Textonotapie"/>
      </w:pPr>
      <w:r>
        <w:rPr>
          <w:rStyle w:val="Refdenotaalpie"/>
        </w:rPr>
        <w:footnoteRef/>
      </w:r>
      <w:r>
        <w:t xml:space="preserve"> Artículo 150. Ley de Transparencia y Acceso a la Información Pública del Estado de México y Municipios.</w:t>
      </w:r>
    </w:p>
    <w:p w14:paraId="151E3991" w14:textId="77777777" w:rsidR="00986A78" w:rsidRDefault="00986A78" w:rsidP="004A2787">
      <w:pPr>
        <w:pStyle w:val="Textonotapie"/>
      </w:pPr>
      <w:r>
        <w:t>Artículo 151. Ibídem.</w:t>
      </w:r>
    </w:p>
  </w:footnote>
  <w:footnote w:id="7">
    <w:p w14:paraId="43932A7F" w14:textId="77777777" w:rsidR="00986A78" w:rsidRDefault="00986A78" w:rsidP="004A2787">
      <w:pPr>
        <w:pStyle w:val="Textonotapie"/>
      </w:pPr>
      <w:r>
        <w:rPr>
          <w:rStyle w:val="Refdenotaalpie"/>
        </w:rPr>
        <w:footnoteRef/>
      </w:r>
      <w:r>
        <w:t xml:space="preserve"> Fracción IV. Artículo 53. Ibídem.</w:t>
      </w:r>
    </w:p>
  </w:footnote>
  <w:footnote w:id="8">
    <w:p w14:paraId="47DA82C2" w14:textId="77777777" w:rsidR="00326CC6" w:rsidRPr="00952F10" w:rsidRDefault="00326CC6" w:rsidP="00326CC6">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24D72BCA" w14:textId="77777777" w:rsidR="00326CC6" w:rsidRDefault="00326CC6" w:rsidP="00326CC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986A78" w:rsidRPr="00025127" w14:paraId="07F2896E" w14:textId="77777777" w:rsidTr="00FA0F09">
      <w:trPr>
        <w:trHeight w:val="138"/>
        <w:jc w:val="right"/>
      </w:trPr>
      <w:tc>
        <w:tcPr>
          <w:tcW w:w="3260" w:type="dxa"/>
          <w:vAlign w:val="center"/>
        </w:tcPr>
        <w:p w14:paraId="4A5B1974" w14:textId="44CA9AFE" w:rsidR="00986A78" w:rsidRPr="00025127" w:rsidRDefault="00986A7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029289B" w:rsidR="00986A78" w:rsidRPr="00025127" w:rsidRDefault="00986A78" w:rsidP="00755146">
          <w:pPr>
            <w:pStyle w:val="Encabezado"/>
            <w:jc w:val="both"/>
            <w:rPr>
              <w:rFonts w:ascii="Palatino Linotype" w:hAnsi="Palatino Linotype"/>
              <w:b/>
              <w:sz w:val="22"/>
              <w:szCs w:val="22"/>
            </w:rPr>
          </w:pPr>
          <w:r w:rsidRPr="001E50B9">
            <w:rPr>
              <w:rFonts w:ascii="Palatino Linotype" w:eastAsia="Calibri" w:hAnsi="Palatino Linotype" w:cs="Arial"/>
              <w:b/>
              <w:sz w:val="22"/>
              <w:lang w:val="es-ES"/>
            </w:rPr>
            <w:t>1</w:t>
          </w:r>
          <w:r>
            <w:rPr>
              <w:rFonts w:ascii="Palatino Linotype" w:eastAsia="Calibri" w:hAnsi="Palatino Linotype" w:cs="Arial"/>
              <w:b/>
              <w:sz w:val="22"/>
              <w:lang w:val="es-ES"/>
            </w:rPr>
            <w:t>6918</w:t>
          </w:r>
          <w:r w:rsidRPr="001E50B9">
            <w:rPr>
              <w:rFonts w:ascii="Palatino Linotype" w:hAnsi="Palatino Linotype"/>
              <w:b/>
              <w:sz w:val="22"/>
              <w:szCs w:val="22"/>
            </w:rPr>
            <w:t>/INFOEM/IP/RR/2022</w:t>
          </w:r>
        </w:p>
      </w:tc>
    </w:tr>
    <w:tr w:rsidR="00986A78" w:rsidRPr="00025127" w14:paraId="1B5D8690" w14:textId="77777777" w:rsidTr="00FA0F09">
      <w:trPr>
        <w:trHeight w:val="233"/>
        <w:jc w:val="right"/>
      </w:trPr>
      <w:tc>
        <w:tcPr>
          <w:tcW w:w="3260" w:type="dxa"/>
          <w:vAlign w:val="center"/>
        </w:tcPr>
        <w:p w14:paraId="3903F2C6" w14:textId="22D569F8" w:rsidR="00986A78" w:rsidRPr="00025127" w:rsidRDefault="00986A78"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5F1F984" w:rsidR="00986A78" w:rsidRPr="00025127" w:rsidRDefault="00986A78" w:rsidP="00FD2865">
          <w:pPr>
            <w:pStyle w:val="Encabezado"/>
            <w:jc w:val="both"/>
            <w:rPr>
              <w:rFonts w:ascii="Palatino Linotype" w:hAnsi="Palatino Linotype"/>
              <w:b/>
              <w:sz w:val="22"/>
              <w:szCs w:val="22"/>
            </w:rPr>
          </w:pPr>
          <w:r>
            <w:rPr>
              <w:rFonts w:ascii="Palatino Linotype" w:eastAsia="Calibri" w:hAnsi="Palatino Linotype" w:cs="Arial"/>
              <w:b/>
              <w:bCs/>
              <w:lang w:val="es-ES"/>
            </w:rPr>
            <w:t>Poder Legislativo</w:t>
          </w:r>
        </w:p>
      </w:tc>
    </w:tr>
    <w:tr w:rsidR="00986A78" w:rsidRPr="00025127" w14:paraId="095EB01B" w14:textId="77777777" w:rsidTr="00FA0F09">
      <w:trPr>
        <w:trHeight w:val="321"/>
        <w:jc w:val="right"/>
      </w:trPr>
      <w:tc>
        <w:tcPr>
          <w:tcW w:w="3260" w:type="dxa"/>
          <w:vAlign w:val="center"/>
        </w:tcPr>
        <w:p w14:paraId="6E000A51" w14:textId="05E1861A" w:rsidR="00986A78" w:rsidRPr="00025127" w:rsidRDefault="00986A7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986A78" w:rsidRPr="00025127" w:rsidRDefault="00986A7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986A78" w:rsidRDefault="00986A78"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986A78" w:rsidRDefault="008B35E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986A7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86A78" w:rsidRPr="00025127" w14:paraId="0A3256F2" w14:textId="77777777" w:rsidTr="006E6B65">
      <w:trPr>
        <w:trHeight w:val="138"/>
        <w:jc w:val="right"/>
      </w:trPr>
      <w:tc>
        <w:tcPr>
          <w:tcW w:w="3261" w:type="dxa"/>
          <w:vAlign w:val="center"/>
        </w:tcPr>
        <w:p w14:paraId="3D80769D" w14:textId="316F11F8" w:rsidR="00986A78" w:rsidRPr="00743FFA" w:rsidRDefault="00986A78"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013BBEF9" w:rsidR="00986A78" w:rsidRPr="00743FFA" w:rsidRDefault="00986A78" w:rsidP="00A36398">
          <w:pPr>
            <w:pStyle w:val="Encabezado"/>
            <w:rPr>
              <w:rFonts w:ascii="Palatino Linotype" w:hAnsi="Palatino Linotype"/>
              <w:b/>
              <w:sz w:val="22"/>
              <w:szCs w:val="22"/>
            </w:rPr>
          </w:pPr>
          <w:r w:rsidRPr="001E50B9">
            <w:rPr>
              <w:rFonts w:ascii="Palatino Linotype" w:eastAsia="Calibri" w:hAnsi="Palatino Linotype" w:cs="Arial"/>
              <w:b/>
              <w:sz w:val="22"/>
              <w:lang w:val="es-ES"/>
            </w:rPr>
            <w:t>1</w:t>
          </w:r>
          <w:r>
            <w:rPr>
              <w:rFonts w:ascii="Palatino Linotype" w:eastAsia="Calibri" w:hAnsi="Palatino Linotype" w:cs="Arial"/>
              <w:b/>
              <w:sz w:val="22"/>
              <w:lang w:val="es-ES"/>
            </w:rPr>
            <w:t>6918</w:t>
          </w:r>
          <w:r w:rsidRPr="001E50B9">
            <w:rPr>
              <w:rFonts w:ascii="Palatino Linotype" w:hAnsi="Palatino Linotype"/>
              <w:b/>
              <w:sz w:val="22"/>
              <w:szCs w:val="22"/>
            </w:rPr>
            <w:t>/INFOEM/IP/RR/2022</w:t>
          </w:r>
        </w:p>
      </w:tc>
    </w:tr>
    <w:tr w:rsidR="00986A78" w:rsidRPr="00025127" w14:paraId="128C8B3C" w14:textId="77777777" w:rsidTr="006E6B65">
      <w:trPr>
        <w:trHeight w:val="233"/>
        <w:jc w:val="right"/>
      </w:trPr>
      <w:tc>
        <w:tcPr>
          <w:tcW w:w="3261" w:type="dxa"/>
          <w:vAlign w:val="center"/>
        </w:tcPr>
        <w:p w14:paraId="483E3371" w14:textId="66B1BC74" w:rsidR="00986A78" w:rsidRPr="00743FFA" w:rsidRDefault="00986A78"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4B9499D4" w:rsidR="00986A78" w:rsidRPr="00743FFA" w:rsidRDefault="00223333" w:rsidP="001E50B9">
          <w:pPr>
            <w:pStyle w:val="Encabezado"/>
            <w:rPr>
              <w:rFonts w:ascii="Palatino Linotype" w:hAnsi="Palatino Linotype"/>
              <w:b/>
              <w:sz w:val="22"/>
              <w:szCs w:val="22"/>
            </w:rPr>
          </w:pPr>
          <w:r>
            <w:rPr>
              <w:rFonts w:ascii="Palatino Linotype" w:hAnsi="Palatino Linotype"/>
              <w:b/>
              <w:sz w:val="22"/>
              <w:szCs w:val="22"/>
            </w:rPr>
            <w:t>XXXXXXX</w:t>
          </w:r>
          <w:r w:rsidR="00986A78">
            <w:rPr>
              <w:rFonts w:ascii="Palatino Linotype" w:hAnsi="Palatino Linotype"/>
              <w:b/>
              <w:sz w:val="22"/>
              <w:szCs w:val="22"/>
            </w:rPr>
            <w:t xml:space="preserve"> </w:t>
          </w:r>
        </w:p>
      </w:tc>
    </w:tr>
    <w:tr w:rsidR="00986A78" w:rsidRPr="00025127" w14:paraId="41BE0704" w14:textId="77777777" w:rsidTr="006E6B65">
      <w:trPr>
        <w:trHeight w:val="321"/>
        <w:jc w:val="right"/>
      </w:trPr>
      <w:tc>
        <w:tcPr>
          <w:tcW w:w="3261" w:type="dxa"/>
          <w:vAlign w:val="center"/>
        </w:tcPr>
        <w:p w14:paraId="34C64148" w14:textId="10C6C8A9" w:rsidR="00986A78" w:rsidRPr="00743FFA" w:rsidRDefault="00986A78"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0F3690F1" w:rsidR="00986A78" w:rsidRPr="00743FFA" w:rsidRDefault="00986A78" w:rsidP="00A36398">
          <w:pPr>
            <w:pStyle w:val="Encabezado"/>
            <w:jc w:val="both"/>
            <w:rPr>
              <w:rFonts w:ascii="Palatino Linotype" w:hAnsi="Palatino Linotype"/>
              <w:b/>
              <w:sz w:val="22"/>
              <w:szCs w:val="22"/>
            </w:rPr>
          </w:pPr>
          <w:r>
            <w:rPr>
              <w:rFonts w:ascii="Palatino Linotype" w:eastAsia="Calibri" w:hAnsi="Palatino Linotype" w:cs="Arial"/>
              <w:b/>
              <w:bCs/>
              <w:lang w:val="es-ES"/>
            </w:rPr>
            <w:t>Poder Legislativo</w:t>
          </w:r>
        </w:p>
      </w:tc>
    </w:tr>
    <w:tr w:rsidR="00986A78" w:rsidRPr="00025127" w14:paraId="0C8B6193" w14:textId="77777777" w:rsidTr="006E6B65">
      <w:trPr>
        <w:trHeight w:val="321"/>
        <w:jc w:val="right"/>
      </w:trPr>
      <w:tc>
        <w:tcPr>
          <w:tcW w:w="3261" w:type="dxa"/>
          <w:vAlign w:val="center"/>
        </w:tcPr>
        <w:p w14:paraId="321FFAFF" w14:textId="0E8C2CE7" w:rsidR="00986A78" w:rsidRPr="00743FFA" w:rsidRDefault="00986A78"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986A78" w:rsidRPr="00743FFA" w:rsidRDefault="00986A78"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986A78" w:rsidRDefault="00986A7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032750B"/>
    <w:multiLevelType w:val="hybridMultilevel"/>
    <w:tmpl w:val="F08CEC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5">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2">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10"/>
  </w:num>
  <w:num w:numId="2">
    <w:abstractNumId w:val="18"/>
  </w:num>
  <w:num w:numId="3">
    <w:abstractNumId w:val="0"/>
  </w:num>
  <w:num w:numId="4">
    <w:abstractNumId w:val="10"/>
  </w:num>
  <w:num w:numId="5">
    <w:abstractNumId w:val="3"/>
  </w:num>
  <w:num w:numId="6">
    <w:abstractNumId w:val="12"/>
  </w:num>
  <w:num w:numId="7">
    <w:abstractNumId w:val="22"/>
  </w:num>
  <w:num w:numId="8">
    <w:abstractNumId w:val="11"/>
  </w:num>
  <w:num w:numId="9">
    <w:abstractNumId w:val="21"/>
  </w:num>
  <w:num w:numId="10">
    <w:abstractNumId w:val="26"/>
  </w:num>
  <w:num w:numId="11">
    <w:abstractNumId w:val="19"/>
  </w:num>
  <w:num w:numId="12">
    <w:abstractNumId w:val="27"/>
  </w:num>
  <w:num w:numId="13">
    <w:abstractNumId w:val="16"/>
  </w:num>
  <w:num w:numId="14">
    <w:abstractNumId w:val="5"/>
  </w:num>
  <w:num w:numId="15">
    <w:abstractNumId w:val="14"/>
  </w:num>
  <w:num w:numId="16">
    <w:abstractNumId w:val="4"/>
  </w:num>
  <w:num w:numId="17">
    <w:abstractNumId w:val="24"/>
  </w:num>
  <w:num w:numId="18">
    <w:abstractNumId w:val="17"/>
  </w:num>
  <w:num w:numId="19">
    <w:abstractNumId w:val="8"/>
  </w:num>
  <w:num w:numId="20">
    <w:abstractNumId w:val="9"/>
  </w:num>
  <w:num w:numId="21">
    <w:abstractNumId w:val="10"/>
  </w:num>
  <w:num w:numId="22">
    <w:abstractNumId w:val="6"/>
  </w:num>
  <w:num w:numId="2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8"/>
  </w:num>
  <w:num w:numId="26">
    <w:abstractNumId w:val="15"/>
  </w:num>
  <w:num w:numId="27">
    <w:abstractNumId w:val="20"/>
  </w:num>
  <w:num w:numId="28">
    <w:abstractNumId w:val="25"/>
  </w:num>
  <w:num w:numId="29">
    <w:abstractNumId w:val="1"/>
  </w:num>
  <w:num w:numId="30">
    <w:abstractNumId w:val="23"/>
  </w:num>
  <w:num w:numId="31">
    <w:abstractNumId w:val="13"/>
  </w:num>
  <w:num w:numId="3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522B"/>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330"/>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6C7D"/>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333"/>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0E9E"/>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43B"/>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6CC6"/>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30"/>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1B5B"/>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5D"/>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3725"/>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5EA"/>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1D7"/>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5C9"/>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2A8"/>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CF962-F79F-458B-A158-97FC6C85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37</Pages>
  <Words>8802</Words>
  <Characters>48415</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2023-04-26T15:52:00Z</dcterms:created>
  <dcterms:modified xsi:type="dcterms:W3CDTF">2023-05-12T00:30:00Z</dcterms:modified>
</cp:coreProperties>
</file>