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D01" w:rsidRPr="004008BC" w:rsidRDefault="00A1353F">
      <w:pPr>
        <w:spacing w:after="280" w:line="360" w:lineRule="auto"/>
        <w:jc w:val="both"/>
        <w:rPr>
          <w:rFonts w:ascii="Palatino Linotype" w:eastAsia="Palatino Linotype" w:hAnsi="Palatino Linotype" w:cs="Palatino Linotype"/>
          <w:b/>
          <w:sz w:val="28"/>
          <w:szCs w:val="28"/>
        </w:rPr>
      </w:pPr>
      <w:bookmarkStart w:id="0" w:name="_GoBack"/>
      <w:bookmarkEnd w:id="0"/>
      <w:r w:rsidRPr="004008B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0C62F1" w:rsidRPr="004008BC">
        <w:rPr>
          <w:rFonts w:ascii="Palatino Linotype" w:eastAsia="Palatino Linotype" w:hAnsi="Palatino Linotype" w:cs="Palatino Linotype"/>
        </w:rPr>
        <w:t>diez</w:t>
      </w:r>
      <w:r w:rsidRPr="004008BC">
        <w:rPr>
          <w:rFonts w:ascii="Palatino Linotype" w:eastAsia="Palatino Linotype" w:hAnsi="Palatino Linotype" w:cs="Palatino Linotype"/>
        </w:rPr>
        <w:t xml:space="preserve"> de </w:t>
      </w:r>
      <w:r w:rsidR="008C33BF" w:rsidRPr="004008BC">
        <w:rPr>
          <w:rFonts w:ascii="Palatino Linotype" w:eastAsia="Palatino Linotype" w:hAnsi="Palatino Linotype" w:cs="Palatino Linotype"/>
        </w:rPr>
        <w:t>mayo</w:t>
      </w:r>
      <w:r w:rsidRPr="004008BC">
        <w:rPr>
          <w:rFonts w:ascii="Palatino Linotype" w:eastAsia="Palatino Linotype" w:hAnsi="Palatino Linotype" w:cs="Palatino Linotype"/>
        </w:rPr>
        <w:t xml:space="preserve"> de dos mil veintitrés. </w:t>
      </w:r>
    </w:p>
    <w:p w:rsidR="00924D01" w:rsidRPr="004008BC" w:rsidRDefault="00A1353F">
      <w:pPr>
        <w:spacing w:after="280"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b/>
          <w:sz w:val="28"/>
          <w:szCs w:val="28"/>
        </w:rPr>
        <w:t>VISTO</w:t>
      </w:r>
      <w:r w:rsidRPr="004008BC">
        <w:rPr>
          <w:rFonts w:ascii="Palatino Linotype" w:eastAsia="Palatino Linotype" w:hAnsi="Palatino Linotype" w:cs="Palatino Linotype"/>
        </w:rPr>
        <w:t xml:space="preserve"> el expediente formado con motivo de los Recursos de Revisión números </w:t>
      </w:r>
      <w:r w:rsidRPr="004008BC">
        <w:rPr>
          <w:rFonts w:ascii="Palatino Linotype" w:eastAsia="Palatino Linotype" w:hAnsi="Palatino Linotype" w:cs="Palatino Linotype"/>
          <w:b/>
        </w:rPr>
        <w:t xml:space="preserve">15077/INFOEM/IP/RR/2022 y 15079/INFOEM/IP/RR/2022 </w:t>
      </w:r>
      <w:r w:rsidRPr="004008BC">
        <w:rPr>
          <w:rFonts w:ascii="Palatino Linotype" w:eastAsia="Palatino Linotype" w:hAnsi="Palatino Linotype" w:cs="Palatino Linotype"/>
        </w:rPr>
        <w:t>promovidos por un particular de forma anónima</w:t>
      </w:r>
      <w:r w:rsidRPr="004008BC">
        <w:rPr>
          <w:rFonts w:ascii="Palatino Linotype" w:eastAsia="Palatino Linotype" w:hAnsi="Palatino Linotype" w:cs="Palatino Linotype"/>
          <w:b/>
        </w:rPr>
        <w:t xml:space="preserve">, </w:t>
      </w:r>
      <w:r w:rsidRPr="004008BC">
        <w:rPr>
          <w:rFonts w:ascii="Palatino Linotype" w:eastAsia="Palatino Linotype" w:hAnsi="Palatino Linotype" w:cs="Palatino Linotype"/>
        </w:rPr>
        <w:t xml:space="preserve">a quien en lo sucesivo se le denominara como </w:t>
      </w:r>
      <w:r w:rsidRPr="004008BC">
        <w:rPr>
          <w:rFonts w:ascii="Palatino Linotype" w:eastAsia="Palatino Linotype" w:hAnsi="Palatino Linotype" w:cs="Palatino Linotype"/>
          <w:b/>
        </w:rPr>
        <w:t>EL RECURRENTE,</w:t>
      </w:r>
      <w:r w:rsidRPr="004008BC">
        <w:rPr>
          <w:rFonts w:ascii="Palatino Linotype" w:eastAsia="Palatino Linotype" w:hAnsi="Palatino Linotype" w:cs="Palatino Linotype"/>
        </w:rPr>
        <w:t xml:space="preserve"> en contra de las respuestas de la Secretaría de Finanzas</w:t>
      </w:r>
      <w:r w:rsidRPr="004008BC">
        <w:rPr>
          <w:rFonts w:ascii="Palatino Linotype" w:eastAsia="Palatino Linotype" w:hAnsi="Palatino Linotype" w:cs="Palatino Linotype"/>
          <w:b/>
        </w:rPr>
        <w:t xml:space="preserve">, </w:t>
      </w:r>
      <w:r w:rsidRPr="004008BC">
        <w:rPr>
          <w:rFonts w:ascii="Palatino Linotype" w:eastAsia="Palatino Linotype" w:hAnsi="Palatino Linotype" w:cs="Palatino Linotype"/>
        </w:rPr>
        <w:t xml:space="preserve">al cual en lo subsecuente se le denominará </w:t>
      </w:r>
      <w:r w:rsidRPr="004008BC">
        <w:rPr>
          <w:rFonts w:ascii="Palatino Linotype" w:eastAsia="Palatino Linotype" w:hAnsi="Palatino Linotype" w:cs="Palatino Linotype"/>
          <w:b/>
        </w:rPr>
        <w:t xml:space="preserve">EL SUJETO OBLIGADO, </w:t>
      </w:r>
      <w:r w:rsidRPr="004008BC">
        <w:rPr>
          <w:rFonts w:ascii="Palatino Linotype" w:eastAsia="Palatino Linotype" w:hAnsi="Palatino Linotype" w:cs="Palatino Linotype"/>
        </w:rPr>
        <w:t>se procede a dictar la presente resolución con base en lo siguiente:</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jc w:val="center"/>
        <w:rPr>
          <w:rFonts w:ascii="Palatino Linotype" w:eastAsia="Palatino Linotype" w:hAnsi="Palatino Linotype" w:cs="Palatino Linotype"/>
          <w:b/>
        </w:rPr>
      </w:pPr>
      <w:r w:rsidRPr="004008BC">
        <w:rPr>
          <w:rFonts w:ascii="Palatino Linotype" w:eastAsia="Palatino Linotype" w:hAnsi="Palatino Linotype" w:cs="Palatino Linotype"/>
          <w:b/>
          <w:sz w:val="28"/>
          <w:szCs w:val="28"/>
        </w:rPr>
        <w:t>A N T E C E D E N T E S</w:t>
      </w:r>
    </w:p>
    <w:p w:rsidR="00924D01" w:rsidRPr="004008BC" w:rsidRDefault="00924D01">
      <w:pPr>
        <w:rPr>
          <w:rFonts w:ascii="Palatino Linotype" w:eastAsia="Palatino Linotype" w:hAnsi="Palatino Linotype" w:cs="Palatino Linotype"/>
          <w:b/>
        </w:rPr>
      </w:pPr>
    </w:p>
    <w:p w:rsidR="00924D01" w:rsidRPr="004008BC" w:rsidRDefault="00A1353F">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4008BC">
        <w:rPr>
          <w:rFonts w:ascii="Palatino Linotype" w:eastAsia="Palatino Linotype" w:hAnsi="Palatino Linotype" w:cs="Palatino Linotype"/>
          <w:b/>
          <w:sz w:val="28"/>
          <w:szCs w:val="28"/>
        </w:rPr>
        <w:t>I.</w:t>
      </w:r>
      <w:r w:rsidRPr="004008BC">
        <w:rPr>
          <w:rFonts w:ascii="Palatino Linotype" w:eastAsia="Palatino Linotype" w:hAnsi="Palatino Linotype" w:cs="Palatino Linotype"/>
          <w:b/>
        </w:rPr>
        <w:t xml:space="preserve"> </w:t>
      </w:r>
      <w:r w:rsidRPr="004008BC">
        <w:rPr>
          <w:rFonts w:ascii="Palatino Linotype" w:eastAsia="Palatino Linotype" w:hAnsi="Palatino Linotype" w:cs="Palatino Linotype"/>
          <w:b/>
          <w:sz w:val="28"/>
          <w:szCs w:val="28"/>
        </w:rPr>
        <w:t>De la Solicitud de Información</w:t>
      </w: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El </w:t>
      </w:r>
      <w:r w:rsidRPr="004008BC">
        <w:rPr>
          <w:rFonts w:ascii="Palatino Linotype" w:eastAsia="Palatino Linotype" w:hAnsi="Palatino Linotype" w:cs="Palatino Linotype"/>
          <w:b/>
        </w:rPr>
        <w:t>diecisiete de agosto de dos mil veintidós</w:t>
      </w:r>
      <w:r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b/>
        </w:rPr>
        <w:t>EL RECURRENTE</w:t>
      </w:r>
      <w:r w:rsidRPr="004008BC">
        <w:rPr>
          <w:rFonts w:ascii="Palatino Linotype" w:eastAsia="Palatino Linotype" w:hAnsi="Palatino Linotype" w:cs="Palatino Linotype"/>
        </w:rPr>
        <w:t xml:space="preserve"> presentó a través del Sistema de Acceso a la Información Mexiquense, en lo subsecuente </w:t>
      </w:r>
      <w:r w:rsidRPr="004008BC">
        <w:rPr>
          <w:rFonts w:ascii="Palatino Linotype" w:eastAsia="Palatino Linotype" w:hAnsi="Palatino Linotype" w:cs="Palatino Linotype"/>
          <w:b/>
        </w:rPr>
        <w:t>EL SAIMEX</w:t>
      </w:r>
      <w:r w:rsidRPr="004008BC">
        <w:rPr>
          <w:rFonts w:ascii="Palatino Linotype" w:eastAsia="Palatino Linotype" w:hAnsi="Palatino Linotype" w:cs="Palatino Linotype"/>
        </w:rPr>
        <w:t xml:space="preserve"> ante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las solicitudes de Acceso a la Información Pública, a las cuales se le asignaron los números de expediente </w:t>
      </w:r>
      <w:r w:rsidRPr="004008BC">
        <w:rPr>
          <w:rFonts w:ascii="Palatino Linotype" w:eastAsia="Palatino Linotype" w:hAnsi="Palatino Linotype" w:cs="Palatino Linotype"/>
          <w:b/>
        </w:rPr>
        <w:t xml:space="preserve">00378/SF/IP/2022 y 00380/SF/IP/2022 </w:t>
      </w:r>
      <w:r w:rsidRPr="004008BC">
        <w:rPr>
          <w:rFonts w:ascii="Palatino Linotype" w:eastAsia="Palatino Linotype" w:hAnsi="Palatino Linotype" w:cs="Palatino Linotype"/>
        </w:rPr>
        <w:t>mediante las cuales el particular requirió, lo siguiente:</w:t>
      </w:r>
    </w:p>
    <w:p w:rsidR="00924D01" w:rsidRPr="004008BC" w:rsidRDefault="00924D01">
      <w:pPr>
        <w:spacing w:line="360" w:lineRule="auto"/>
        <w:jc w:val="both"/>
        <w:rPr>
          <w:rFonts w:ascii="Palatino Linotype" w:eastAsia="Palatino Linotype" w:hAnsi="Palatino Linotype" w:cs="Palatino Linotype"/>
        </w:rPr>
      </w:pPr>
      <w:bookmarkStart w:id="2" w:name="_heading=h.ck4h1jecfd32" w:colFirst="0" w:colLast="0"/>
      <w:bookmarkEnd w:id="2"/>
    </w:p>
    <w:tbl>
      <w:tblPr>
        <w:tblStyle w:val="affffffff1"/>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5640"/>
      </w:tblGrid>
      <w:tr w:rsidR="00924D01" w:rsidRPr="004008BC">
        <w:tc>
          <w:tcPr>
            <w:tcW w:w="3465" w:type="dxa"/>
            <w:shd w:val="clear" w:color="auto" w:fill="auto"/>
            <w:tcMar>
              <w:top w:w="100" w:type="dxa"/>
              <w:left w:w="100" w:type="dxa"/>
              <w:bottom w:w="100" w:type="dxa"/>
              <w:right w:w="100" w:type="dxa"/>
            </w:tcMar>
          </w:tcPr>
          <w:p w:rsidR="00924D01" w:rsidRPr="004008BC" w:rsidRDefault="00A1353F">
            <w:pPr>
              <w:widowControl w:val="0"/>
              <w:pBdr>
                <w:top w:val="nil"/>
                <w:left w:val="nil"/>
                <w:bottom w:val="nil"/>
                <w:right w:val="nil"/>
                <w:between w:val="nil"/>
              </w:pBdr>
              <w:jc w:val="center"/>
              <w:rPr>
                <w:rFonts w:ascii="Palatino Linotype" w:eastAsia="Palatino Linotype" w:hAnsi="Palatino Linotype" w:cs="Palatino Linotype"/>
                <w:b/>
                <w:u w:val="single"/>
              </w:rPr>
            </w:pPr>
            <w:r w:rsidRPr="004008BC">
              <w:rPr>
                <w:rFonts w:ascii="Palatino Linotype" w:eastAsia="Palatino Linotype" w:hAnsi="Palatino Linotype" w:cs="Palatino Linotype"/>
                <w:b/>
                <w:u w:val="single"/>
              </w:rPr>
              <w:lastRenderedPageBreak/>
              <w:t>Número de Folio de la Solicitud</w:t>
            </w:r>
          </w:p>
        </w:tc>
        <w:tc>
          <w:tcPr>
            <w:tcW w:w="5640" w:type="dxa"/>
            <w:shd w:val="clear" w:color="auto" w:fill="auto"/>
            <w:tcMar>
              <w:top w:w="100" w:type="dxa"/>
              <w:left w:w="100" w:type="dxa"/>
              <w:bottom w:w="100" w:type="dxa"/>
              <w:right w:w="100" w:type="dxa"/>
            </w:tcMar>
          </w:tcPr>
          <w:p w:rsidR="00924D01" w:rsidRPr="004008BC" w:rsidRDefault="00A1353F">
            <w:pPr>
              <w:widowControl w:val="0"/>
              <w:pBdr>
                <w:top w:val="nil"/>
                <w:left w:val="nil"/>
                <w:bottom w:val="nil"/>
                <w:right w:val="nil"/>
                <w:between w:val="nil"/>
              </w:pBdr>
              <w:jc w:val="center"/>
              <w:rPr>
                <w:rFonts w:ascii="Palatino Linotype" w:eastAsia="Palatino Linotype" w:hAnsi="Palatino Linotype" w:cs="Palatino Linotype"/>
                <w:b/>
                <w:u w:val="single"/>
              </w:rPr>
            </w:pPr>
            <w:r w:rsidRPr="004008BC">
              <w:rPr>
                <w:rFonts w:ascii="Palatino Linotype" w:eastAsia="Palatino Linotype" w:hAnsi="Palatino Linotype" w:cs="Palatino Linotype"/>
                <w:b/>
                <w:u w:val="single"/>
              </w:rPr>
              <w:t xml:space="preserve">Solicitud </w:t>
            </w:r>
          </w:p>
        </w:tc>
      </w:tr>
      <w:tr w:rsidR="00924D01" w:rsidRPr="004008BC">
        <w:tc>
          <w:tcPr>
            <w:tcW w:w="3465" w:type="dxa"/>
            <w:shd w:val="clear" w:color="auto" w:fill="auto"/>
            <w:tcMar>
              <w:top w:w="100" w:type="dxa"/>
              <w:left w:w="100" w:type="dxa"/>
              <w:bottom w:w="100" w:type="dxa"/>
              <w:right w:w="100" w:type="dxa"/>
            </w:tcMar>
          </w:tcPr>
          <w:p w:rsidR="00924D01" w:rsidRPr="004008BC" w:rsidRDefault="00A1353F">
            <w:pPr>
              <w:spacing w:line="360" w:lineRule="auto"/>
              <w:jc w:val="both"/>
              <w:rPr>
                <w:rFonts w:ascii="Palatino Linotype" w:eastAsia="Palatino Linotype" w:hAnsi="Palatino Linotype" w:cs="Palatino Linotype"/>
                <w:sz w:val="20"/>
                <w:szCs w:val="20"/>
              </w:rPr>
            </w:pPr>
            <w:r w:rsidRPr="004008BC">
              <w:rPr>
                <w:rFonts w:ascii="Palatino Linotype" w:eastAsia="Palatino Linotype" w:hAnsi="Palatino Linotype" w:cs="Palatino Linotype"/>
                <w:b/>
                <w:sz w:val="24"/>
                <w:szCs w:val="24"/>
              </w:rPr>
              <w:t>00378/SF/IP/2022</w:t>
            </w:r>
          </w:p>
        </w:tc>
        <w:tc>
          <w:tcPr>
            <w:tcW w:w="5640" w:type="dxa"/>
            <w:shd w:val="clear" w:color="auto" w:fill="auto"/>
            <w:tcMar>
              <w:top w:w="100" w:type="dxa"/>
              <w:left w:w="100" w:type="dxa"/>
              <w:bottom w:w="100" w:type="dxa"/>
              <w:right w:w="100" w:type="dxa"/>
            </w:tcMar>
          </w:tcPr>
          <w:p w:rsidR="00924D01" w:rsidRPr="004008BC" w:rsidRDefault="00A1353F">
            <w:pPr>
              <w:widowControl w:val="0"/>
              <w:pBdr>
                <w:top w:val="nil"/>
                <w:left w:val="nil"/>
                <w:bottom w:val="nil"/>
                <w:right w:val="nil"/>
                <w:between w:val="nil"/>
              </w:pBdr>
              <w:jc w:val="both"/>
              <w:rPr>
                <w:rFonts w:ascii="Palatino Linotype" w:eastAsia="Palatino Linotype" w:hAnsi="Palatino Linotype" w:cs="Palatino Linotype"/>
                <w:i/>
              </w:rPr>
            </w:pPr>
            <w:r w:rsidRPr="004008BC">
              <w:rPr>
                <w:rFonts w:ascii="Palatino Linotype" w:eastAsia="Palatino Linotype" w:hAnsi="Palatino Linotype" w:cs="Palatino Linotype"/>
                <w:i/>
              </w:rPr>
              <w:t>“Contrato o documento de los años 2014 a 2017 en versión publica, donde conste tipo de licitación o procedimiento que se llevo a cabo para la contratación de las empresas: a) Interacción Biomédica S.A. de C.V. b) Grupo FEGAMA S.A. de C.V. c) KHELA Asociados S.A de C.V. d) Comercializadore El Chuac S.A de C.V. e) AFAME S.A de C.V. f) Gaudium Crecimiento S.A de C.V. g) Visión Creativa de imágenes e Ideas S.A de C.V.” (Sic)</w:t>
            </w:r>
          </w:p>
        </w:tc>
      </w:tr>
      <w:tr w:rsidR="00924D01" w:rsidRPr="004008BC">
        <w:tc>
          <w:tcPr>
            <w:tcW w:w="3465" w:type="dxa"/>
            <w:shd w:val="clear" w:color="auto" w:fill="auto"/>
            <w:tcMar>
              <w:top w:w="100" w:type="dxa"/>
              <w:left w:w="100" w:type="dxa"/>
              <w:bottom w:w="100" w:type="dxa"/>
              <w:right w:w="100" w:type="dxa"/>
            </w:tcMar>
          </w:tcPr>
          <w:p w:rsidR="00924D01" w:rsidRPr="004008BC" w:rsidRDefault="00A1353F">
            <w:pPr>
              <w:spacing w:line="360" w:lineRule="auto"/>
              <w:jc w:val="both"/>
              <w:rPr>
                <w:rFonts w:ascii="Palatino Linotype" w:eastAsia="Palatino Linotype" w:hAnsi="Palatino Linotype" w:cs="Palatino Linotype"/>
                <w:b/>
                <w:sz w:val="24"/>
                <w:szCs w:val="24"/>
              </w:rPr>
            </w:pPr>
            <w:r w:rsidRPr="004008BC">
              <w:rPr>
                <w:rFonts w:ascii="Palatino Linotype" w:eastAsia="Palatino Linotype" w:hAnsi="Palatino Linotype" w:cs="Palatino Linotype"/>
                <w:b/>
                <w:sz w:val="24"/>
                <w:szCs w:val="24"/>
              </w:rPr>
              <w:t>00380/SF/IP/2022</w:t>
            </w:r>
          </w:p>
        </w:tc>
        <w:tc>
          <w:tcPr>
            <w:tcW w:w="5640" w:type="dxa"/>
            <w:shd w:val="clear" w:color="auto" w:fill="auto"/>
            <w:tcMar>
              <w:top w:w="100" w:type="dxa"/>
              <w:left w:w="100" w:type="dxa"/>
              <w:bottom w:w="100" w:type="dxa"/>
              <w:right w:w="100" w:type="dxa"/>
            </w:tcMar>
          </w:tcPr>
          <w:p w:rsidR="00924D01" w:rsidRPr="004008BC" w:rsidRDefault="00A1353F">
            <w:pPr>
              <w:widowControl w:val="0"/>
              <w:pBdr>
                <w:top w:val="nil"/>
                <w:left w:val="nil"/>
                <w:bottom w:val="nil"/>
                <w:right w:val="nil"/>
                <w:between w:val="nil"/>
              </w:pBdr>
              <w:jc w:val="both"/>
              <w:rPr>
                <w:rFonts w:ascii="Palatino Linotype" w:eastAsia="Palatino Linotype" w:hAnsi="Palatino Linotype" w:cs="Palatino Linotype"/>
                <w:i/>
              </w:rPr>
            </w:pPr>
            <w:r w:rsidRPr="004008BC">
              <w:rPr>
                <w:rFonts w:ascii="Palatino Linotype" w:eastAsia="Palatino Linotype" w:hAnsi="Palatino Linotype" w:cs="Palatino Linotype"/>
                <w:i/>
              </w:rPr>
              <w:t>“Solicito del periodo de 2014 a 2017 documento donde conste la Opinión de Cumplimiento de Obligaciones Fiscales para participar como proveedores de cualquier autoridad, ente público, entidad órgano, u organismo de los Poderes Legislativo, Ejecutivo, Judicial de la Federación, de las Entidades Federativas, de los Municipios, entre otros, expedida por el SAT de conformidad con el artículo 32-D del Código Fiscal de la Federación, de las siguientes empresas (en versión pública de ser necesario): a) Interacción Biomédica S.A. de C.V. b) Grupo FEGAMA S.A. de C.V. c) KHELA Asociados S.A de C.V. d) Comercializadore El Chuac S.A de C.V. e) AFAME S.A de C.V. f) Gaudium Crecimiento S.A de C.V. g) Visión Creativa de imágenes e Ideas S.A de C.V.” (Sic)</w:t>
            </w:r>
          </w:p>
        </w:tc>
      </w:tr>
    </w:tbl>
    <w:p w:rsidR="00924D01" w:rsidRPr="004008BC" w:rsidRDefault="00924D01">
      <w:pPr>
        <w:ind w:right="899"/>
        <w:jc w:val="both"/>
        <w:rPr>
          <w:rFonts w:ascii="Palatino Linotype" w:eastAsia="Palatino Linotype" w:hAnsi="Palatino Linotype" w:cs="Palatino Linotype"/>
          <w:sz w:val="22"/>
          <w:szCs w:val="22"/>
        </w:rPr>
      </w:pPr>
    </w:p>
    <w:p w:rsidR="00924D01" w:rsidRPr="004008BC" w:rsidRDefault="00A1353F">
      <w:pPr>
        <w:widowControl w:val="0"/>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rPr>
        <w:t xml:space="preserve">MODALIDAD DE ENTREGA: </w:t>
      </w:r>
      <w:r w:rsidRPr="004008BC">
        <w:rPr>
          <w:rFonts w:ascii="Palatino Linotype" w:eastAsia="Palatino Linotype" w:hAnsi="Palatino Linotype" w:cs="Palatino Linotype"/>
        </w:rPr>
        <w:t xml:space="preserve">Vía </w:t>
      </w:r>
      <w:r w:rsidRPr="004008BC">
        <w:rPr>
          <w:rFonts w:ascii="Palatino Linotype" w:eastAsia="Palatino Linotype" w:hAnsi="Palatino Linotype" w:cs="Palatino Linotype"/>
          <w:b/>
        </w:rPr>
        <w:t xml:space="preserve">SAIMEX </w:t>
      </w:r>
    </w:p>
    <w:p w:rsidR="00924D01" w:rsidRPr="004008BC" w:rsidRDefault="00924D01">
      <w:pPr>
        <w:widowControl w:val="0"/>
        <w:spacing w:line="360" w:lineRule="auto"/>
        <w:jc w:val="both"/>
        <w:rPr>
          <w:rFonts w:ascii="Palatino Linotype" w:eastAsia="Palatino Linotype" w:hAnsi="Palatino Linotype" w:cs="Palatino Linotype"/>
          <w:b/>
        </w:rPr>
      </w:pPr>
    </w:p>
    <w:p w:rsidR="00924D01" w:rsidRPr="004008BC" w:rsidRDefault="00A1353F">
      <w:pPr>
        <w:spacing w:line="360" w:lineRule="auto"/>
        <w:jc w:val="both"/>
        <w:rPr>
          <w:rFonts w:ascii="Palatino Linotype" w:eastAsia="Palatino Linotype" w:hAnsi="Palatino Linotype" w:cs="Palatino Linotype"/>
          <w:b/>
          <w:sz w:val="28"/>
          <w:szCs w:val="28"/>
        </w:rPr>
      </w:pPr>
      <w:r w:rsidRPr="004008BC">
        <w:rPr>
          <w:rFonts w:ascii="Palatino Linotype" w:eastAsia="Palatino Linotype" w:hAnsi="Palatino Linotype" w:cs="Palatino Linotype"/>
          <w:b/>
          <w:sz w:val="28"/>
          <w:szCs w:val="28"/>
        </w:rPr>
        <w:t>II. Turno de requerimiento del Sujeto Obligado</w:t>
      </w: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De las constancias que obran en los expedientes electrónicos del SAIMEX se advierte en fecha siete de septiembre de dos mil veintidós el turno realizado por el Titular de la Unidad de Transparencia a los servidores públicos habilitados que estimó </w:t>
      </w:r>
      <w:r w:rsidRPr="004008BC">
        <w:rPr>
          <w:rFonts w:ascii="Palatino Linotype" w:eastAsia="Palatino Linotype" w:hAnsi="Palatino Linotype" w:cs="Palatino Linotype"/>
        </w:rPr>
        <w:lastRenderedPageBreak/>
        <w:t xml:space="preserve">competentes, en términos de lo establecido por el artículo 162 de la Ley de Transparencia y Acceso a la Información Pública del Estado de México y Municipios. </w:t>
      </w:r>
    </w:p>
    <w:p w:rsidR="00924D01" w:rsidRPr="004008BC" w:rsidRDefault="00924D01">
      <w:pPr>
        <w:widowControl w:val="0"/>
        <w:jc w:val="both"/>
        <w:rPr>
          <w:rFonts w:ascii="Palatino Linotype" w:eastAsia="Palatino Linotype" w:hAnsi="Palatino Linotype" w:cs="Palatino Linotype"/>
          <w:b/>
        </w:rPr>
      </w:pPr>
    </w:p>
    <w:p w:rsidR="00C9304B" w:rsidRPr="004008BC" w:rsidRDefault="00C9304B">
      <w:pPr>
        <w:widowControl w:val="0"/>
        <w:jc w:val="both"/>
        <w:rPr>
          <w:rFonts w:ascii="Palatino Linotype" w:eastAsia="Palatino Linotype" w:hAnsi="Palatino Linotype" w:cs="Palatino Linotype"/>
          <w:b/>
        </w:rPr>
      </w:pPr>
    </w:p>
    <w:p w:rsidR="00924D01" w:rsidRPr="004008BC" w:rsidRDefault="00A1353F">
      <w:pPr>
        <w:widowControl w:val="0"/>
        <w:spacing w:line="360" w:lineRule="auto"/>
        <w:jc w:val="both"/>
        <w:rPr>
          <w:rFonts w:ascii="Palatino Linotype" w:eastAsia="Palatino Linotype" w:hAnsi="Palatino Linotype" w:cs="Palatino Linotype"/>
          <w:b/>
          <w:sz w:val="28"/>
          <w:szCs w:val="28"/>
        </w:rPr>
      </w:pPr>
      <w:r w:rsidRPr="004008BC">
        <w:rPr>
          <w:rFonts w:ascii="Palatino Linotype" w:eastAsia="Palatino Linotype" w:hAnsi="Palatino Linotype" w:cs="Palatino Linotype"/>
          <w:b/>
          <w:sz w:val="28"/>
          <w:szCs w:val="28"/>
        </w:rPr>
        <w:t>III. Respuesta del Sujeto Obligado</w:t>
      </w:r>
    </w:p>
    <w:p w:rsidR="00924D01" w:rsidRPr="004008BC" w:rsidRDefault="00A1353F">
      <w:pPr>
        <w:widowControl w:val="0"/>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El </w:t>
      </w:r>
      <w:r w:rsidRPr="004008BC">
        <w:rPr>
          <w:rFonts w:ascii="Palatino Linotype" w:eastAsia="Palatino Linotype" w:hAnsi="Palatino Linotype" w:cs="Palatino Linotype"/>
          <w:b/>
        </w:rPr>
        <w:t>siete de septiembre de dos mil veintidós</w:t>
      </w:r>
      <w:r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dio respuesta a las solicitudes de información en el tenor siguiente: </w:t>
      </w:r>
    </w:p>
    <w:tbl>
      <w:tblPr>
        <w:tblStyle w:val="affffffff2"/>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3"/>
        <w:gridCol w:w="6962"/>
      </w:tblGrid>
      <w:tr w:rsidR="00924D01" w:rsidRPr="004008BC" w:rsidTr="00920C50">
        <w:tc>
          <w:tcPr>
            <w:tcW w:w="2143" w:type="dxa"/>
            <w:shd w:val="clear" w:color="auto" w:fill="auto"/>
            <w:tcMar>
              <w:top w:w="100" w:type="dxa"/>
              <w:left w:w="100" w:type="dxa"/>
              <w:bottom w:w="100" w:type="dxa"/>
              <w:right w:w="100" w:type="dxa"/>
            </w:tcMar>
          </w:tcPr>
          <w:p w:rsidR="00924D01" w:rsidRPr="004008BC" w:rsidRDefault="00A1353F">
            <w:pPr>
              <w:widowControl w:val="0"/>
              <w:jc w:val="center"/>
              <w:rPr>
                <w:rFonts w:ascii="Palatino Linotype" w:eastAsia="Palatino Linotype" w:hAnsi="Palatino Linotype" w:cs="Palatino Linotype"/>
                <w:b/>
                <w:u w:val="single"/>
              </w:rPr>
            </w:pPr>
            <w:r w:rsidRPr="004008BC">
              <w:rPr>
                <w:rFonts w:ascii="Palatino Linotype" w:eastAsia="Palatino Linotype" w:hAnsi="Palatino Linotype" w:cs="Palatino Linotype"/>
                <w:b/>
                <w:u w:val="single"/>
              </w:rPr>
              <w:t>Número de Folio de la Solicitud</w:t>
            </w:r>
          </w:p>
        </w:tc>
        <w:tc>
          <w:tcPr>
            <w:tcW w:w="6962" w:type="dxa"/>
            <w:shd w:val="clear" w:color="auto" w:fill="auto"/>
            <w:tcMar>
              <w:top w:w="100" w:type="dxa"/>
              <w:left w:w="100" w:type="dxa"/>
              <w:bottom w:w="100" w:type="dxa"/>
              <w:right w:w="100" w:type="dxa"/>
            </w:tcMar>
          </w:tcPr>
          <w:p w:rsidR="00924D01" w:rsidRPr="004008BC" w:rsidRDefault="00A1353F">
            <w:pPr>
              <w:widowControl w:val="0"/>
              <w:jc w:val="center"/>
              <w:rPr>
                <w:rFonts w:ascii="Palatino Linotype" w:eastAsia="Palatino Linotype" w:hAnsi="Palatino Linotype" w:cs="Palatino Linotype"/>
                <w:b/>
                <w:u w:val="single"/>
              </w:rPr>
            </w:pPr>
            <w:r w:rsidRPr="004008BC">
              <w:rPr>
                <w:rFonts w:ascii="Palatino Linotype" w:eastAsia="Palatino Linotype" w:hAnsi="Palatino Linotype" w:cs="Palatino Linotype"/>
                <w:b/>
                <w:u w:val="single"/>
              </w:rPr>
              <w:t xml:space="preserve">Respuesta </w:t>
            </w:r>
          </w:p>
        </w:tc>
      </w:tr>
      <w:tr w:rsidR="00924D01" w:rsidRPr="004008BC" w:rsidTr="00920C50">
        <w:trPr>
          <w:trHeight w:val="825"/>
        </w:trPr>
        <w:tc>
          <w:tcPr>
            <w:tcW w:w="2143" w:type="dxa"/>
            <w:shd w:val="clear" w:color="auto" w:fill="auto"/>
            <w:tcMar>
              <w:top w:w="100" w:type="dxa"/>
              <w:left w:w="100" w:type="dxa"/>
              <w:bottom w:w="100" w:type="dxa"/>
              <w:right w:w="100" w:type="dxa"/>
            </w:tcMar>
          </w:tcPr>
          <w:p w:rsidR="00924D01" w:rsidRPr="004008BC" w:rsidRDefault="00A1353F">
            <w:pPr>
              <w:spacing w:line="360" w:lineRule="auto"/>
              <w:jc w:val="both"/>
              <w:rPr>
                <w:rFonts w:ascii="Palatino Linotype" w:eastAsia="Palatino Linotype" w:hAnsi="Palatino Linotype" w:cs="Palatino Linotype"/>
                <w:sz w:val="20"/>
                <w:szCs w:val="20"/>
              </w:rPr>
            </w:pPr>
            <w:r w:rsidRPr="004008BC">
              <w:rPr>
                <w:rFonts w:ascii="Palatino Linotype" w:eastAsia="Palatino Linotype" w:hAnsi="Palatino Linotype" w:cs="Palatino Linotype"/>
                <w:b/>
                <w:sz w:val="24"/>
                <w:szCs w:val="24"/>
              </w:rPr>
              <w:t>00378/SF/IP/2022</w:t>
            </w:r>
          </w:p>
        </w:tc>
        <w:tc>
          <w:tcPr>
            <w:tcW w:w="6962" w:type="dxa"/>
            <w:shd w:val="clear" w:color="auto" w:fill="auto"/>
            <w:tcMar>
              <w:top w:w="100" w:type="dxa"/>
              <w:left w:w="100" w:type="dxa"/>
              <w:bottom w:w="100" w:type="dxa"/>
              <w:right w:w="100" w:type="dxa"/>
            </w:tcMar>
          </w:tcPr>
          <w:p w:rsidR="00924D01" w:rsidRPr="004008BC" w:rsidRDefault="00A1353F">
            <w:pPr>
              <w:widowControl w:val="0"/>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rPr>
              <w:t>“</w:t>
            </w:r>
            <w:r w:rsidRPr="004008B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24D01" w:rsidRPr="004008BC" w:rsidRDefault="00A1353F">
            <w:pPr>
              <w:widowControl w:val="0"/>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Sobre el particular, sírvase encontrar en archivo adjunto copia del oficio de notificación número 20700004S/UT-1542/2022 mediante el cual se detalla lo referente a su solicitud.”(Sic)</w:t>
            </w:r>
          </w:p>
          <w:p w:rsidR="00924D01" w:rsidRPr="004008BC" w:rsidRDefault="00924D01">
            <w:pPr>
              <w:widowControl w:val="0"/>
              <w:spacing w:line="276" w:lineRule="auto"/>
              <w:jc w:val="both"/>
              <w:rPr>
                <w:rFonts w:ascii="Palatino Linotype" w:eastAsia="Palatino Linotype" w:hAnsi="Palatino Linotype" w:cs="Palatino Linotype"/>
              </w:rPr>
            </w:pPr>
          </w:p>
          <w:p w:rsidR="00924D01" w:rsidRPr="004008BC" w:rsidRDefault="00A1353F">
            <w:pPr>
              <w:widowControl w:val="0"/>
              <w:spacing w:line="276"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Adjuntando los documentos que se describen a continuación:</w:t>
            </w:r>
          </w:p>
          <w:p w:rsidR="00924D01" w:rsidRPr="004008BC" w:rsidRDefault="00A1353F" w:rsidP="005A35C8">
            <w:pPr>
              <w:widowControl w:val="0"/>
              <w:numPr>
                <w:ilvl w:val="0"/>
                <w:numId w:val="1"/>
              </w:numPr>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378 DGRM.pdf: </w:t>
            </w:r>
            <w:r w:rsidRPr="004008BC">
              <w:rPr>
                <w:rFonts w:ascii="Palatino Linotype" w:eastAsia="Palatino Linotype" w:hAnsi="Palatino Linotype" w:cs="Palatino Linotype"/>
              </w:rPr>
              <w:t xml:space="preserve">Oficio emitido por el Servidor Público Habilitado de la Dirección General de Recursos Materiales, en donde proporciona el link </w:t>
            </w:r>
            <w:hyperlink r:id="rId9">
              <w:r w:rsidRPr="004008BC">
                <w:rPr>
                  <w:rFonts w:ascii="Palatino Linotype" w:eastAsia="Palatino Linotype" w:hAnsi="Palatino Linotype" w:cs="Palatino Linotype"/>
                  <w:color w:val="1155CC"/>
                  <w:u w:val="single"/>
                </w:rPr>
                <w:t>https://ipomex2.ipomex.org.mx/ipo/lgt/indice/finanzas/.web</w:t>
              </w:r>
            </w:hyperlink>
            <w:r w:rsidRPr="004008BC">
              <w:rPr>
                <w:rFonts w:ascii="Palatino Linotype" w:eastAsia="Palatino Linotype" w:hAnsi="Palatino Linotype" w:cs="Palatino Linotype"/>
              </w:rPr>
              <w:t xml:space="preserve"> </w:t>
            </w:r>
            <w:r w:rsidR="005A35C8" w:rsidRPr="004008BC">
              <w:rPr>
                <w:rFonts w:ascii="Palatino Linotype" w:eastAsia="Palatino Linotype" w:hAnsi="Palatino Linotype" w:cs="Palatino Linotype"/>
              </w:rPr>
              <w:t>para acceder a la información solicitada. Indicando la fracción XXIX A, Procesos de licitación y contratación.</w:t>
            </w:r>
          </w:p>
          <w:p w:rsidR="00924D01" w:rsidRPr="004008BC" w:rsidRDefault="00A1353F">
            <w:pPr>
              <w:widowControl w:val="0"/>
              <w:numPr>
                <w:ilvl w:val="0"/>
                <w:numId w:val="1"/>
              </w:numPr>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378 Coordinación Administrativa.pdf: </w:t>
            </w:r>
            <w:r w:rsidRPr="004008BC">
              <w:rPr>
                <w:rFonts w:ascii="Palatino Linotype" w:eastAsia="Palatino Linotype" w:hAnsi="Palatino Linotype" w:cs="Palatino Linotype"/>
              </w:rPr>
              <w:t>Oficio signado por la Servidora Pública Habilitada suplente de la Coordinación Administrativa, quien expone que no cuenta con información relacionada con la solicitud.</w:t>
            </w:r>
          </w:p>
          <w:p w:rsidR="00924D01" w:rsidRPr="004008BC" w:rsidRDefault="00A1353F" w:rsidP="008C33BF">
            <w:pPr>
              <w:widowControl w:val="0"/>
              <w:numPr>
                <w:ilvl w:val="0"/>
                <w:numId w:val="1"/>
              </w:numPr>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UIPPE 378.pdf: </w:t>
            </w:r>
            <w:r w:rsidRPr="004008BC">
              <w:rPr>
                <w:rFonts w:ascii="Palatino Linotype" w:eastAsia="Palatino Linotype" w:hAnsi="Palatino Linotype" w:cs="Palatino Linotype"/>
              </w:rPr>
              <w:t xml:space="preserve">Oficio mediante </w:t>
            </w:r>
            <w:r w:rsidR="008C33BF" w:rsidRPr="004008BC">
              <w:rPr>
                <w:rFonts w:ascii="Palatino Linotype" w:eastAsia="Palatino Linotype" w:hAnsi="Palatino Linotype" w:cs="Palatino Linotype"/>
              </w:rPr>
              <w:t>el</w:t>
            </w:r>
            <w:r w:rsidRPr="004008BC">
              <w:rPr>
                <w:rFonts w:ascii="Palatino Linotype" w:eastAsia="Palatino Linotype" w:hAnsi="Palatino Linotype" w:cs="Palatino Linotype"/>
              </w:rPr>
              <w:t xml:space="preserve"> cual, el Jefe de la UIPPE y </w:t>
            </w:r>
            <w:r w:rsidRPr="004008BC">
              <w:rPr>
                <w:rFonts w:ascii="Palatino Linotype" w:eastAsia="Palatino Linotype" w:hAnsi="Palatino Linotype" w:cs="Palatino Linotype"/>
              </w:rPr>
              <w:lastRenderedPageBreak/>
              <w:t>Titular de la Unidad de Transparencia de la Secretaría de Finanzas da respuesta formal al solicitante ahora RECURRENTE.</w:t>
            </w:r>
          </w:p>
        </w:tc>
      </w:tr>
      <w:tr w:rsidR="00924D01" w:rsidRPr="004008BC" w:rsidTr="00920C50">
        <w:tc>
          <w:tcPr>
            <w:tcW w:w="2143" w:type="dxa"/>
            <w:shd w:val="clear" w:color="auto" w:fill="auto"/>
            <w:tcMar>
              <w:top w:w="100" w:type="dxa"/>
              <w:left w:w="100" w:type="dxa"/>
              <w:bottom w:w="100" w:type="dxa"/>
              <w:right w:w="100" w:type="dxa"/>
            </w:tcMar>
          </w:tcPr>
          <w:p w:rsidR="00924D01" w:rsidRPr="004008BC" w:rsidRDefault="00A1353F">
            <w:pPr>
              <w:spacing w:line="360" w:lineRule="auto"/>
              <w:jc w:val="both"/>
              <w:rPr>
                <w:rFonts w:ascii="Palatino Linotype" w:eastAsia="Palatino Linotype" w:hAnsi="Palatino Linotype" w:cs="Palatino Linotype"/>
                <w:b/>
                <w:sz w:val="24"/>
                <w:szCs w:val="24"/>
              </w:rPr>
            </w:pPr>
            <w:r w:rsidRPr="004008BC">
              <w:rPr>
                <w:rFonts w:ascii="Palatino Linotype" w:eastAsia="Palatino Linotype" w:hAnsi="Palatino Linotype" w:cs="Palatino Linotype"/>
                <w:b/>
                <w:sz w:val="24"/>
                <w:szCs w:val="24"/>
              </w:rPr>
              <w:lastRenderedPageBreak/>
              <w:t>00380/SF/IP/2022</w:t>
            </w:r>
          </w:p>
        </w:tc>
        <w:tc>
          <w:tcPr>
            <w:tcW w:w="6962" w:type="dxa"/>
            <w:shd w:val="clear" w:color="auto" w:fill="auto"/>
            <w:tcMar>
              <w:top w:w="100" w:type="dxa"/>
              <w:left w:w="100" w:type="dxa"/>
              <w:bottom w:w="100" w:type="dxa"/>
              <w:right w:w="100" w:type="dxa"/>
            </w:tcMar>
          </w:tcPr>
          <w:p w:rsidR="00924D01" w:rsidRPr="004008BC" w:rsidRDefault="00A1353F">
            <w:pPr>
              <w:widowControl w:val="0"/>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rPr>
              <w:t>“</w:t>
            </w:r>
            <w:r w:rsidRPr="004008B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24D01" w:rsidRPr="004008BC" w:rsidRDefault="00A1353F">
            <w:pPr>
              <w:widowControl w:val="0"/>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Sobre el particular, sírvase encontrar en archivo adjunto copia del oficio de notificación número 20700004S/UT-1544/2022 mediante el cual se detalla lo referente a su solicitud.”(Sic)</w:t>
            </w:r>
          </w:p>
          <w:p w:rsidR="00924D01" w:rsidRPr="004008BC" w:rsidRDefault="00924D01">
            <w:pPr>
              <w:widowControl w:val="0"/>
              <w:spacing w:line="276" w:lineRule="auto"/>
              <w:jc w:val="both"/>
              <w:rPr>
                <w:rFonts w:ascii="Palatino Linotype" w:eastAsia="Palatino Linotype" w:hAnsi="Palatino Linotype" w:cs="Palatino Linotype"/>
                <w:i/>
              </w:rPr>
            </w:pPr>
          </w:p>
          <w:p w:rsidR="00924D01" w:rsidRPr="004008BC" w:rsidRDefault="00A1353F">
            <w:pPr>
              <w:widowControl w:val="0"/>
              <w:spacing w:line="276"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Adjuntando los documentos que se describen a continuación:</w:t>
            </w:r>
          </w:p>
          <w:p w:rsidR="00924D01" w:rsidRPr="004008BC" w:rsidRDefault="00A1353F">
            <w:pPr>
              <w:widowControl w:val="0"/>
              <w:numPr>
                <w:ilvl w:val="0"/>
                <w:numId w:val="1"/>
              </w:numPr>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380 DGRM.pdf: </w:t>
            </w:r>
            <w:r w:rsidRPr="004008BC">
              <w:rPr>
                <w:rFonts w:ascii="Palatino Linotype" w:eastAsia="Palatino Linotype" w:hAnsi="Palatino Linotype" w:cs="Palatino Linotype"/>
              </w:rPr>
              <w:t>Oficio emitido por el Servidor Público Habilitado de la Dirección General de Recursos Materiales, en donde sostiene que no se cuenta con información relacionada con la petición referida.</w:t>
            </w:r>
          </w:p>
          <w:p w:rsidR="00924D01" w:rsidRPr="004008BC" w:rsidRDefault="00A1353F">
            <w:pPr>
              <w:widowControl w:val="0"/>
              <w:numPr>
                <w:ilvl w:val="0"/>
                <w:numId w:val="1"/>
              </w:numPr>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UIPPE 380.pdf: </w:t>
            </w:r>
            <w:r w:rsidRPr="004008BC">
              <w:rPr>
                <w:rFonts w:ascii="Palatino Linotype" w:eastAsia="Palatino Linotype" w:hAnsi="Palatino Linotype" w:cs="Palatino Linotype"/>
              </w:rPr>
              <w:t>Oficio que contiene la respuesta formal por parte del Jefe de la UIPPE y Titular de la Unidad de Transparencia de la Secretaría de Finanzas.</w:t>
            </w:r>
          </w:p>
        </w:tc>
      </w:tr>
    </w:tbl>
    <w:p w:rsidR="00924D01" w:rsidRPr="004008BC" w:rsidRDefault="00924D01">
      <w:pPr>
        <w:widowControl w:val="0"/>
        <w:spacing w:line="360" w:lineRule="auto"/>
        <w:jc w:val="both"/>
        <w:rPr>
          <w:rFonts w:ascii="Palatino Linotype" w:eastAsia="Palatino Linotype" w:hAnsi="Palatino Linotype" w:cs="Palatino Linotype"/>
        </w:rPr>
      </w:pPr>
    </w:p>
    <w:p w:rsidR="00924D01" w:rsidRPr="004008BC" w:rsidRDefault="00A1353F">
      <w:pPr>
        <w:widowControl w:val="0"/>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sz w:val="28"/>
          <w:szCs w:val="28"/>
        </w:rPr>
        <w:t>IV. Del Recurso de Revisión</w:t>
      </w:r>
      <w:r w:rsidRPr="004008BC">
        <w:rPr>
          <w:rFonts w:ascii="Palatino Linotype" w:eastAsia="Palatino Linotype" w:hAnsi="Palatino Linotype" w:cs="Palatino Linotype"/>
          <w:b/>
        </w:rPr>
        <w:t>.</w:t>
      </w:r>
    </w:p>
    <w:p w:rsidR="00924D01" w:rsidRPr="004008BC" w:rsidRDefault="00A1353F">
      <w:pPr>
        <w:widowControl w:val="0"/>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Inconforme por las respuestas del</w:t>
      </w:r>
      <w:r w:rsidRPr="004008BC">
        <w:rPr>
          <w:rFonts w:ascii="Palatino Linotype" w:eastAsia="Palatino Linotype" w:hAnsi="Palatino Linotype" w:cs="Palatino Linotype"/>
          <w:b/>
        </w:rPr>
        <w:t xml:space="preserve"> SUJETO OBLIGADO</w:t>
      </w:r>
      <w:r w:rsidRPr="004008BC">
        <w:rPr>
          <w:rFonts w:ascii="Palatino Linotype" w:eastAsia="Palatino Linotype" w:hAnsi="Palatino Linotype" w:cs="Palatino Linotype"/>
        </w:rPr>
        <w:t xml:space="preserve">, el </w:t>
      </w:r>
      <w:r w:rsidRPr="004008BC">
        <w:rPr>
          <w:rFonts w:ascii="Palatino Linotype" w:eastAsia="Palatino Linotype" w:hAnsi="Palatino Linotype" w:cs="Palatino Linotype"/>
          <w:b/>
        </w:rPr>
        <w:t>veintiséis de septiembre de dos mil veintidós</w:t>
      </w:r>
      <w:r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b/>
        </w:rPr>
        <w:t xml:space="preserve">EL RECURRENTE </w:t>
      </w:r>
      <w:r w:rsidRPr="004008BC">
        <w:rPr>
          <w:rFonts w:ascii="Palatino Linotype" w:eastAsia="Palatino Linotype" w:hAnsi="Palatino Linotype" w:cs="Palatino Linotype"/>
        </w:rPr>
        <w:t xml:space="preserve">interpuso los Recursos de Revisión, los cuales fueron registrados en </w:t>
      </w:r>
      <w:r w:rsidRPr="004008BC">
        <w:rPr>
          <w:rFonts w:ascii="Palatino Linotype" w:eastAsia="Palatino Linotype" w:hAnsi="Palatino Linotype" w:cs="Palatino Linotype"/>
          <w:b/>
        </w:rPr>
        <w:t>EL SAIMEX</w:t>
      </w:r>
      <w:r w:rsidRPr="004008BC">
        <w:rPr>
          <w:rFonts w:ascii="Palatino Linotype" w:eastAsia="Palatino Linotype" w:hAnsi="Palatino Linotype" w:cs="Palatino Linotype"/>
        </w:rPr>
        <w:t xml:space="preserve"> y se les asignaron los números de expediente</w:t>
      </w:r>
      <w:r w:rsidR="001B1DB2" w:rsidRPr="004008BC">
        <w:rPr>
          <w:rFonts w:ascii="Palatino Linotype" w:eastAsia="Palatino Linotype" w:hAnsi="Palatino Linotype" w:cs="Palatino Linotype"/>
        </w:rPr>
        <w:t>s</w:t>
      </w:r>
      <w:r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b/>
        </w:rPr>
        <w:t>15077/INFOEM/IP/RR/2022 y 15079/INFOEM/IP/RR/2022</w:t>
      </w:r>
      <w:r w:rsidR="001B1DB2" w:rsidRPr="004008BC">
        <w:rPr>
          <w:rFonts w:ascii="Palatino Linotype" w:eastAsia="Palatino Linotype" w:hAnsi="Palatino Linotype" w:cs="Palatino Linotype"/>
          <w:b/>
        </w:rPr>
        <w:t xml:space="preserve"> </w:t>
      </w:r>
      <w:r w:rsidR="001B1DB2" w:rsidRPr="004008BC">
        <w:rPr>
          <w:rFonts w:ascii="Palatino Linotype" w:eastAsia="Palatino Linotype" w:hAnsi="Palatino Linotype" w:cs="Palatino Linotype"/>
        </w:rPr>
        <w:t>respectivamente</w:t>
      </w:r>
      <w:r w:rsidRPr="004008BC">
        <w:rPr>
          <w:rFonts w:ascii="Palatino Linotype" w:eastAsia="Palatino Linotype" w:hAnsi="Palatino Linotype" w:cs="Palatino Linotype"/>
          <w:b/>
        </w:rPr>
        <w:t xml:space="preserve">, </w:t>
      </w:r>
      <w:r w:rsidRPr="004008BC">
        <w:rPr>
          <w:rFonts w:ascii="Palatino Linotype" w:eastAsia="Palatino Linotype" w:hAnsi="Palatino Linotype" w:cs="Palatino Linotype"/>
        </w:rPr>
        <w:t xml:space="preserve">donde los motivos de agravio </w:t>
      </w:r>
      <w:r w:rsidR="00F2056B" w:rsidRPr="004008BC">
        <w:rPr>
          <w:rFonts w:ascii="Palatino Linotype" w:eastAsia="Palatino Linotype" w:hAnsi="Palatino Linotype" w:cs="Palatino Linotype"/>
        </w:rPr>
        <w:t xml:space="preserve">en ambos </w:t>
      </w:r>
      <w:r w:rsidRPr="004008BC">
        <w:rPr>
          <w:rFonts w:ascii="Palatino Linotype" w:eastAsia="Palatino Linotype" w:hAnsi="Palatino Linotype" w:cs="Palatino Linotype"/>
        </w:rPr>
        <w:t xml:space="preserve">fueron los siguientes: </w:t>
      </w:r>
    </w:p>
    <w:p w:rsidR="004008BC" w:rsidRPr="004008BC" w:rsidRDefault="004008BC">
      <w:pPr>
        <w:widowControl w:val="0"/>
        <w:spacing w:line="360" w:lineRule="auto"/>
        <w:jc w:val="both"/>
        <w:rPr>
          <w:rFonts w:ascii="Palatino Linotype" w:eastAsia="Palatino Linotype" w:hAnsi="Palatino Linotype" w:cs="Palatino Linotype"/>
        </w:rPr>
      </w:pPr>
    </w:p>
    <w:p w:rsidR="00924D01" w:rsidRPr="004008BC" w:rsidRDefault="00A1353F">
      <w:pPr>
        <w:widowControl w:val="0"/>
        <w:rPr>
          <w:rFonts w:ascii="Palatino Linotype" w:eastAsia="Palatino Linotype" w:hAnsi="Palatino Linotype" w:cs="Palatino Linotype"/>
          <w:b/>
          <w:u w:val="single"/>
        </w:rPr>
      </w:pPr>
      <w:r w:rsidRPr="004008BC">
        <w:rPr>
          <w:rFonts w:ascii="Palatino Linotype" w:eastAsia="Palatino Linotype" w:hAnsi="Palatino Linotype" w:cs="Palatino Linotype"/>
          <w:b/>
          <w:u w:val="single"/>
        </w:rPr>
        <w:lastRenderedPageBreak/>
        <w:t xml:space="preserve">Acto impugnado: </w:t>
      </w:r>
    </w:p>
    <w:p w:rsidR="00924D01" w:rsidRPr="004008BC" w:rsidRDefault="00A1353F">
      <w:pPr>
        <w:widowControl w:val="0"/>
        <w:ind w:left="850" w:right="899"/>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“La respuesta.” (Sic)</w:t>
      </w:r>
    </w:p>
    <w:p w:rsidR="00924D01" w:rsidRPr="004008BC" w:rsidRDefault="00924D01">
      <w:pPr>
        <w:widowControl w:val="0"/>
        <w:ind w:left="850" w:right="899"/>
        <w:rPr>
          <w:rFonts w:ascii="Palatino Linotype" w:eastAsia="Palatino Linotype" w:hAnsi="Palatino Linotype" w:cs="Palatino Linotype"/>
          <w:i/>
          <w:sz w:val="22"/>
          <w:szCs w:val="22"/>
        </w:rPr>
      </w:pPr>
    </w:p>
    <w:p w:rsidR="00924D01" w:rsidRPr="004008BC" w:rsidRDefault="00A1353F">
      <w:pPr>
        <w:widowControl w:val="0"/>
        <w:rPr>
          <w:rFonts w:ascii="Palatino Linotype" w:eastAsia="Palatino Linotype" w:hAnsi="Palatino Linotype" w:cs="Palatino Linotype"/>
          <w:b/>
          <w:u w:val="single"/>
        </w:rPr>
      </w:pPr>
      <w:r w:rsidRPr="004008BC">
        <w:rPr>
          <w:rFonts w:ascii="Palatino Linotype" w:eastAsia="Palatino Linotype" w:hAnsi="Palatino Linotype" w:cs="Palatino Linotype"/>
          <w:b/>
          <w:u w:val="single"/>
        </w:rPr>
        <w:t xml:space="preserve">Razones o motivos de Inconformidad: </w:t>
      </w:r>
    </w:p>
    <w:p w:rsidR="00924D01" w:rsidRPr="004008BC" w:rsidRDefault="00A1353F">
      <w:pPr>
        <w:widowControl w:val="0"/>
        <w:rPr>
          <w:rFonts w:ascii="Palatino Linotype" w:eastAsia="Palatino Linotype" w:hAnsi="Palatino Linotype" w:cs="Palatino Linotype"/>
          <w:b/>
          <w:u w:val="single"/>
        </w:rPr>
      </w:pPr>
      <w:r w:rsidRPr="004008BC">
        <w:rPr>
          <w:rFonts w:ascii="Palatino Linotype" w:eastAsia="Palatino Linotype" w:hAnsi="Palatino Linotype" w:cs="Palatino Linotype"/>
          <w:b/>
          <w:u w:val="single"/>
        </w:rPr>
        <w:t xml:space="preserve"> </w:t>
      </w:r>
    </w:p>
    <w:p w:rsidR="00924D01" w:rsidRPr="004008BC" w:rsidRDefault="00A1353F">
      <w:pPr>
        <w:widowControl w:val="0"/>
        <w:ind w:left="850" w:right="899"/>
        <w:jc w:val="both"/>
        <w:rPr>
          <w:rFonts w:ascii="Palatino Linotype" w:eastAsia="Palatino Linotype" w:hAnsi="Palatino Linotype" w:cs="Palatino Linotype"/>
        </w:rPr>
      </w:pPr>
      <w:r w:rsidRPr="004008BC">
        <w:rPr>
          <w:rFonts w:ascii="Palatino Linotype" w:eastAsia="Palatino Linotype" w:hAnsi="Palatino Linotype" w:cs="Palatino Linotype"/>
          <w:i/>
          <w:sz w:val="22"/>
          <w:szCs w:val="22"/>
        </w:rPr>
        <w:t>“La respuesta.” (Sic)</w:t>
      </w:r>
    </w:p>
    <w:p w:rsidR="00924D01" w:rsidRPr="004008BC" w:rsidRDefault="00924D01">
      <w:pPr>
        <w:widowControl w:val="0"/>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b/>
          <w:sz w:val="28"/>
          <w:szCs w:val="28"/>
        </w:rPr>
      </w:pPr>
      <w:r w:rsidRPr="004008BC">
        <w:rPr>
          <w:rFonts w:ascii="Palatino Linotype" w:eastAsia="Palatino Linotype" w:hAnsi="Palatino Linotype" w:cs="Palatino Linotype"/>
          <w:b/>
          <w:sz w:val="28"/>
          <w:szCs w:val="28"/>
        </w:rPr>
        <w:t xml:space="preserve">V. Del turno del Recurso de Revisión. </w:t>
      </w: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El </w:t>
      </w:r>
      <w:r w:rsidRPr="004008BC">
        <w:rPr>
          <w:rFonts w:ascii="Palatino Linotype" w:eastAsia="Palatino Linotype" w:hAnsi="Palatino Linotype" w:cs="Palatino Linotype"/>
          <w:b/>
        </w:rPr>
        <w:t>veintiséis de septiembre de dos mil veintidós</w:t>
      </w:r>
      <w:r w:rsidRPr="004008BC">
        <w:rPr>
          <w:rFonts w:ascii="Palatino Linotype" w:eastAsia="Palatino Linotype" w:hAnsi="Palatino Linotype" w:cs="Palatino Linotype"/>
        </w:rPr>
        <w:t xml:space="preserve">, los recursos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Comisionados de este Instituto, </w:t>
      </w:r>
      <w:r w:rsidR="00C70DA4" w:rsidRPr="004008BC">
        <w:rPr>
          <w:rFonts w:ascii="Palatino Linotype" w:eastAsia="Palatino Linotype" w:hAnsi="Palatino Linotype" w:cs="Palatino Linotype"/>
        </w:rPr>
        <w:t xml:space="preserve">de tal forma que el Recurso </w:t>
      </w:r>
      <w:r w:rsidR="00C70DA4" w:rsidRPr="004008BC">
        <w:rPr>
          <w:rFonts w:ascii="Palatino Linotype" w:eastAsia="Palatino Linotype" w:hAnsi="Palatino Linotype" w:cs="Palatino Linotype"/>
          <w:b/>
        </w:rPr>
        <w:t>15077/INFOEM/IP/RR/2022</w:t>
      </w:r>
      <w:r w:rsidR="00C70DA4" w:rsidRPr="004008BC">
        <w:rPr>
          <w:rFonts w:ascii="Palatino Linotype" w:eastAsia="Palatino Linotype" w:hAnsi="Palatino Linotype" w:cs="Palatino Linotype"/>
        </w:rPr>
        <w:t xml:space="preserve"> fue turnado a la Comisionada Sharon Cristina Morales Martínez y el diverso </w:t>
      </w:r>
      <w:r w:rsidR="009F1E0C">
        <w:rPr>
          <w:rFonts w:ascii="Palatino Linotype" w:eastAsia="Palatino Linotype" w:hAnsi="Palatino Linotype" w:cs="Palatino Linotype"/>
          <w:b/>
        </w:rPr>
        <w:t>15079</w:t>
      </w:r>
      <w:r w:rsidR="00C70DA4" w:rsidRPr="004008BC">
        <w:rPr>
          <w:rFonts w:ascii="Palatino Linotype" w:eastAsia="Palatino Linotype" w:hAnsi="Palatino Linotype" w:cs="Palatino Linotype"/>
          <w:b/>
        </w:rPr>
        <w:t xml:space="preserve">/INFOEM/IP/RR/2022 </w:t>
      </w:r>
      <w:r w:rsidRPr="004008BC">
        <w:rPr>
          <w:rFonts w:ascii="Palatino Linotype" w:eastAsia="Palatino Linotype" w:hAnsi="Palatino Linotype" w:cs="Palatino Linotype"/>
        </w:rPr>
        <w:t>a</w:t>
      </w:r>
      <w:r w:rsidR="00C70DA4" w:rsidRPr="004008BC">
        <w:rPr>
          <w:rFonts w:ascii="Palatino Linotype" w:eastAsia="Palatino Linotype" w:hAnsi="Palatino Linotype" w:cs="Palatino Linotype"/>
        </w:rPr>
        <w:t xml:space="preserve"> la Comisionada Guadalupe Ramírez Peña, a </w:t>
      </w:r>
      <w:r w:rsidRPr="004008BC">
        <w:rPr>
          <w:rFonts w:ascii="Palatino Linotype" w:eastAsia="Palatino Linotype" w:hAnsi="Palatino Linotype" w:cs="Palatino Linotype"/>
        </w:rPr>
        <w:t xml:space="preserve">efecto de decretar </w:t>
      </w:r>
      <w:r w:rsidR="00C70DA4" w:rsidRPr="004008BC">
        <w:rPr>
          <w:rFonts w:ascii="Palatino Linotype" w:eastAsia="Palatino Linotype" w:hAnsi="Palatino Linotype" w:cs="Palatino Linotype"/>
        </w:rPr>
        <w:t>la</w:t>
      </w:r>
      <w:r w:rsidRPr="004008BC">
        <w:rPr>
          <w:rFonts w:ascii="Palatino Linotype" w:eastAsia="Palatino Linotype" w:hAnsi="Palatino Linotype" w:cs="Palatino Linotype"/>
        </w:rPr>
        <w:t xml:space="preserve"> admisión o desechamiento</w:t>
      </w:r>
      <w:r w:rsidR="00C70DA4" w:rsidRPr="004008BC">
        <w:rPr>
          <w:rFonts w:ascii="Palatino Linotype" w:eastAsia="Palatino Linotype" w:hAnsi="Palatino Linotype" w:cs="Palatino Linotype"/>
        </w:rPr>
        <w:t xml:space="preserve"> de los mismos</w:t>
      </w:r>
      <w:r w:rsidRPr="004008BC">
        <w:rPr>
          <w:rFonts w:ascii="Palatino Linotype" w:eastAsia="Palatino Linotype" w:hAnsi="Palatino Linotype" w:cs="Palatino Linotype"/>
        </w:rPr>
        <w:t>.</w:t>
      </w:r>
    </w:p>
    <w:p w:rsidR="00924D01" w:rsidRPr="004008BC" w:rsidRDefault="00924D01">
      <w:pPr>
        <w:tabs>
          <w:tab w:val="center" w:pos="4252"/>
          <w:tab w:val="right" w:pos="8504"/>
        </w:tabs>
        <w:spacing w:line="360" w:lineRule="auto"/>
        <w:jc w:val="both"/>
        <w:rPr>
          <w:rFonts w:ascii="Palatino Linotype" w:eastAsia="Palatino Linotype" w:hAnsi="Palatino Linotype" w:cs="Palatino Linotype"/>
          <w:b/>
        </w:rPr>
      </w:pPr>
    </w:p>
    <w:p w:rsidR="00924D01" w:rsidRPr="004008BC" w:rsidRDefault="00A1353F">
      <w:pPr>
        <w:tabs>
          <w:tab w:val="center" w:pos="4252"/>
          <w:tab w:val="right" w:pos="8504"/>
        </w:tabs>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rPr>
        <w:t>a) Admisión del Recurso de Revisión</w:t>
      </w:r>
    </w:p>
    <w:p w:rsidR="00924D01" w:rsidRPr="004008BC" w:rsidRDefault="00A1353F">
      <w:pPr>
        <w:tabs>
          <w:tab w:val="center" w:pos="4252"/>
          <w:tab w:val="right" w:pos="8504"/>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De las constancias que obran en el expediente electrónico del</w:t>
      </w:r>
      <w:r w:rsidRPr="004008BC">
        <w:rPr>
          <w:rFonts w:ascii="Palatino Linotype" w:eastAsia="Palatino Linotype" w:hAnsi="Palatino Linotype" w:cs="Palatino Linotype"/>
          <w:b/>
        </w:rPr>
        <w:t xml:space="preserve"> SAIMEX</w:t>
      </w:r>
      <w:r w:rsidRPr="004008BC">
        <w:rPr>
          <w:rFonts w:ascii="Palatino Linotype" w:eastAsia="Palatino Linotype" w:hAnsi="Palatino Linotype" w:cs="Palatino Linotype"/>
        </w:rPr>
        <w:t xml:space="preserve">, se advierte que en fechas </w:t>
      </w:r>
      <w:r w:rsidRPr="004008BC">
        <w:rPr>
          <w:rFonts w:ascii="Palatino Linotype" w:eastAsia="Palatino Linotype" w:hAnsi="Palatino Linotype" w:cs="Palatino Linotype"/>
          <w:b/>
        </w:rPr>
        <w:t xml:space="preserve">veintisiete, y veintinueve de septiembre de </w:t>
      </w:r>
      <w:r w:rsidR="00F2056B" w:rsidRPr="004008BC">
        <w:rPr>
          <w:rFonts w:ascii="Palatino Linotype" w:eastAsia="Palatino Linotype" w:hAnsi="Palatino Linotype" w:cs="Palatino Linotype"/>
          <w:b/>
        </w:rPr>
        <w:t>esa misma anualidad</w:t>
      </w:r>
      <w:r w:rsidRPr="004008BC">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4008BC">
        <w:rPr>
          <w:rFonts w:ascii="Palatino Linotype" w:eastAsia="Palatino Linotype" w:hAnsi="Palatino Linotype" w:cs="Palatino Linotype"/>
          <w:b/>
        </w:rPr>
        <w:t xml:space="preserve">EL RECURRENTE </w:t>
      </w:r>
      <w:r w:rsidRPr="004008BC">
        <w:rPr>
          <w:rFonts w:ascii="Palatino Linotype" w:eastAsia="Palatino Linotype" w:hAnsi="Palatino Linotype" w:cs="Palatino Linotype"/>
        </w:rPr>
        <w:t xml:space="preserve">manifestara lo que a su derecho conviniera, a efecto de presentar pruebas y alegatos; </w:t>
      </w:r>
      <w:r w:rsidRPr="004008BC">
        <w:rPr>
          <w:rFonts w:ascii="Palatino Linotype" w:eastAsia="Palatino Linotype" w:hAnsi="Palatino Linotype" w:cs="Palatino Linotype"/>
        </w:rPr>
        <w:lastRenderedPageBreak/>
        <w:t xml:space="preserve">así como, para que </w:t>
      </w:r>
      <w:r w:rsidRPr="004008BC">
        <w:rPr>
          <w:rFonts w:ascii="Palatino Linotype" w:eastAsia="Palatino Linotype" w:hAnsi="Palatino Linotype" w:cs="Palatino Linotype"/>
          <w:b/>
        </w:rPr>
        <w:t xml:space="preserve">EL SUJETO OBLIGADO </w:t>
      </w:r>
      <w:r w:rsidRPr="004008BC">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rsidR="00924D01" w:rsidRPr="004008BC" w:rsidRDefault="00924D01">
      <w:pPr>
        <w:tabs>
          <w:tab w:val="center" w:pos="4252"/>
          <w:tab w:val="right" w:pos="8504"/>
        </w:tabs>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rPr>
        <w:t>b) Informe Justificado</w:t>
      </w:r>
    </w:p>
    <w:p w:rsidR="00924D01" w:rsidRPr="004008BC" w:rsidRDefault="00A1353F">
      <w:pPr>
        <w:widowControl w:val="0"/>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Conforme a las constancias que obran en el expediente del </w:t>
      </w:r>
      <w:r w:rsidRPr="004008BC">
        <w:rPr>
          <w:rFonts w:ascii="Palatino Linotype" w:eastAsia="Palatino Linotype" w:hAnsi="Palatino Linotype" w:cs="Palatino Linotype"/>
          <w:b/>
        </w:rPr>
        <w:t>SAIMEX,</w:t>
      </w:r>
      <w:r w:rsidRPr="004008BC">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4008BC">
        <w:rPr>
          <w:rFonts w:ascii="Palatino Linotype" w:eastAsia="Palatino Linotype" w:hAnsi="Palatino Linotype" w:cs="Palatino Linotype"/>
          <w:b/>
        </w:rPr>
        <w:t>RECURRENTE</w:t>
      </w:r>
      <w:r w:rsidRPr="004008BC">
        <w:rPr>
          <w:rFonts w:ascii="Palatino Linotype" w:eastAsia="Palatino Linotype" w:hAnsi="Palatino Linotype" w:cs="Palatino Linotype"/>
        </w:rPr>
        <w:t xml:space="preserve">, no realizó las manifestaciones que conforme a derecho le corresponden. </w:t>
      </w:r>
    </w:p>
    <w:p w:rsidR="00924D01" w:rsidRPr="004008BC" w:rsidRDefault="00924D01">
      <w:pPr>
        <w:widowControl w:val="0"/>
        <w:tabs>
          <w:tab w:val="left" w:pos="0"/>
        </w:tabs>
        <w:spacing w:line="360" w:lineRule="auto"/>
        <w:jc w:val="both"/>
        <w:rPr>
          <w:rFonts w:ascii="Palatino Linotype" w:eastAsia="Palatino Linotype" w:hAnsi="Palatino Linotype" w:cs="Palatino Linotype"/>
        </w:rPr>
      </w:pPr>
    </w:p>
    <w:p w:rsidR="00924D01" w:rsidRPr="004008BC" w:rsidRDefault="00A1353F">
      <w:pPr>
        <w:widowControl w:val="0"/>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Por su parte </w:t>
      </w:r>
      <w:r w:rsidRPr="004008BC">
        <w:rPr>
          <w:rFonts w:ascii="Palatino Linotype" w:eastAsia="Palatino Linotype" w:hAnsi="Palatino Linotype" w:cs="Palatino Linotype"/>
          <w:b/>
        </w:rPr>
        <w:t xml:space="preserve">EL SUJETO OBLIGADO </w:t>
      </w:r>
      <w:r w:rsidRPr="004008BC">
        <w:rPr>
          <w:rFonts w:ascii="Palatino Linotype" w:eastAsia="Palatino Linotype" w:hAnsi="Palatino Linotype" w:cs="Palatino Linotype"/>
        </w:rPr>
        <w:t>rindió sus Informes Justificados, los cuales fueron puestos a disposición del particular para que en el término de tres días hábiles pudiera realizar las manifestaciones que así le conviniera.</w:t>
      </w:r>
    </w:p>
    <w:p w:rsidR="00775A98" w:rsidRPr="004008BC" w:rsidRDefault="00775A98">
      <w:pPr>
        <w:widowControl w:val="0"/>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Respecto del Recurso de Revisión número 15077/INFOEM/IP/RR/2022, fueron recibidos los siguientes:</w:t>
      </w:r>
    </w:p>
    <w:p w:rsidR="00924D01" w:rsidRPr="004008BC" w:rsidRDefault="00A1353F">
      <w:pPr>
        <w:widowControl w:val="0"/>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noProof/>
        </w:rPr>
        <w:drawing>
          <wp:inline distT="114300" distB="114300" distL="114300" distR="114300">
            <wp:extent cx="5543628" cy="2094808"/>
            <wp:effectExtent l="0" t="0" r="0" b="1270"/>
            <wp:docPr id="1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l="29210" t="24722" r="29204" b="48287"/>
                    <a:stretch/>
                  </pic:blipFill>
                  <pic:spPr bwMode="auto">
                    <a:xfrm>
                      <a:off x="0" y="0"/>
                      <a:ext cx="5544503" cy="2095139"/>
                    </a:xfrm>
                    <a:prstGeom prst="rect">
                      <a:avLst/>
                    </a:prstGeom>
                    <a:ln>
                      <a:noFill/>
                    </a:ln>
                    <a:extLst>
                      <a:ext uri="{53640926-AAD7-44D8-BBD7-CCE9431645EC}">
                        <a14:shadowObscured xmlns:a14="http://schemas.microsoft.com/office/drawing/2010/main"/>
                      </a:ext>
                    </a:extLst>
                  </pic:spPr>
                </pic:pic>
              </a:graphicData>
            </a:graphic>
          </wp:inline>
        </w:drawing>
      </w:r>
    </w:p>
    <w:p w:rsidR="00775A98" w:rsidRPr="004008BC" w:rsidRDefault="00775A98">
      <w:pPr>
        <w:widowControl w:val="0"/>
        <w:tabs>
          <w:tab w:val="left" w:pos="0"/>
        </w:tabs>
        <w:spacing w:line="360" w:lineRule="auto"/>
        <w:jc w:val="both"/>
        <w:rPr>
          <w:rFonts w:ascii="Palatino Linotype" w:eastAsia="Palatino Linotype" w:hAnsi="Palatino Linotype" w:cs="Palatino Linotype"/>
        </w:rPr>
      </w:pPr>
    </w:p>
    <w:p w:rsidR="00775A98" w:rsidRPr="004008BC" w:rsidRDefault="00775A98" w:rsidP="005A35C8">
      <w:pPr>
        <w:pStyle w:val="Prrafodelista"/>
        <w:widowControl w:val="0"/>
        <w:numPr>
          <w:ilvl w:val="0"/>
          <w:numId w:val="10"/>
        </w:numPr>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RR 15077-2022 Informe Justifcado.pdf: Este archivo contiene el Informe Justificado signado por el Titular de la Secretaria de Finanzas, en donde se </w:t>
      </w:r>
      <w:r w:rsidR="00440166" w:rsidRPr="004008BC">
        <w:rPr>
          <w:rFonts w:ascii="Palatino Linotype" w:eastAsia="Palatino Linotype" w:hAnsi="Palatino Linotype" w:cs="Palatino Linotype"/>
        </w:rPr>
        <w:t>ratifica la</w:t>
      </w:r>
      <w:r w:rsidRPr="004008BC">
        <w:rPr>
          <w:rFonts w:ascii="Palatino Linotype" w:eastAsia="Palatino Linotype" w:hAnsi="Palatino Linotype" w:cs="Palatino Linotype"/>
        </w:rPr>
        <w:t xml:space="preserve"> respuesta que fue otorgada al solicitante.</w:t>
      </w:r>
    </w:p>
    <w:p w:rsidR="00775A98" w:rsidRPr="004008BC" w:rsidRDefault="00775A98" w:rsidP="005A35C8">
      <w:pPr>
        <w:pStyle w:val="Prrafodelista"/>
        <w:widowControl w:val="0"/>
        <w:numPr>
          <w:ilvl w:val="0"/>
          <w:numId w:val="10"/>
        </w:numPr>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RR 15077-2022 DGRM.pdf: </w:t>
      </w:r>
      <w:r w:rsidR="005A35C8" w:rsidRPr="004008BC">
        <w:rPr>
          <w:rFonts w:ascii="Palatino Linotype" w:eastAsia="Palatino Linotype" w:hAnsi="Palatino Linotype" w:cs="Palatino Linotype"/>
        </w:rPr>
        <w:t>Contiene el oficio 20706005000200S</w:t>
      </w:r>
      <w:r w:rsidR="00C70DA4" w:rsidRPr="004008BC">
        <w:rPr>
          <w:rFonts w:ascii="Palatino Linotype" w:eastAsia="Palatino Linotype" w:hAnsi="Palatino Linotype" w:cs="Palatino Linotype"/>
        </w:rPr>
        <w:t>-0422/2022</w:t>
      </w:r>
      <w:r w:rsidR="005A35C8" w:rsidRPr="004008BC">
        <w:rPr>
          <w:rFonts w:ascii="Palatino Linotype" w:eastAsia="Palatino Linotype" w:hAnsi="Palatino Linotype" w:cs="Palatino Linotype"/>
        </w:rPr>
        <w:t>, firmado por el Servidor Público Habilitado de la Dirección General de Recursos Materiales, en donde ratifica la respuesta dada con anterioridad.</w:t>
      </w:r>
    </w:p>
    <w:p w:rsidR="005A35C8" w:rsidRPr="004008BC" w:rsidRDefault="005A35C8" w:rsidP="005A35C8">
      <w:pPr>
        <w:pStyle w:val="Prrafodelista"/>
        <w:widowControl w:val="0"/>
        <w:numPr>
          <w:ilvl w:val="0"/>
          <w:numId w:val="10"/>
        </w:numPr>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RR 15077-2022 Coord Adva.pdf: Se visualiza el oficio 20700002000100S/IP/093/2022, suscrito por el Servidor Público Habilitado suplente de la Coordinación Administrativa, en donde ratifica la respuesta dada con anterioridad.</w:t>
      </w:r>
    </w:p>
    <w:p w:rsidR="005A35C8" w:rsidRPr="004008BC" w:rsidRDefault="00F2056B" w:rsidP="005A35C8">
      <w:pPr>
        <w:widowControl w:val="0"/>
        <w:tabs>
          <w:tab w:val="left" w:pos="0"/>
        </w:tabs>
        <w:spacing w:line="360" w:lineRule="auto"/>
        <w:jc w:val="both"/>
        <w:rPr>
          <w:rFonts w:ascii="Palatino Linotype" w:eastAsia="Palatino Linotype" w:hAnsi="Palatino Linotype" w:cs="Palatino Linotype"/>
        </w:rPr>
      </w:pPr>
      <w:r w:rsidRPr="004008BC">
        <w:rPr>
          <w:noProof/>
        </w:rPr>
        <w:drawing>
          <wp:inline distT="0" distB="0" distL="0" distR="0" wp14:anchorId="6498A389" wp14:editId="7F7FAAC0">
            <wp:extent cx="5405755" cy="1845425"/>
            <wp:effectExtent l="0" t="0" r="444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883" t="39759" r="8234" b="32397"/>
                    <a:stretch/>
                  </pic:blipFill>
                  <pic:spPr bwMode="auto">
                    <a:xfrm>
                      <a:off x="0" y="0"/>
                      <a:ext cx="5434599" cy="1855272"/>
                    </a:xfrm>
                    <a:prstGeom prst="rect">
                      <a:avLst/>
                    </a:prstGeom>
                    <a:ln>
                      <a:noFill/>
                    </a:ln>
                    <a:extLst>
                      <a:ext uri="{53640926-AAD7-44D8-BBD7-CCE9431645EC}">
                        <a14:shadowObscured xmlns:a14="http://schemas.microsoft.com/office/drawing/2010/main"/>
                      </a:ext>
                    </a:extLst>
                  </pic:spPr>
                </pic:pic>
              </a:graphicData>
            </a:graphic>
          </wp:inline>
        </w:drawing>
      </w:r>
    </w:p>
    <w:p w:rsidR="005A35C8" w:rsidRPr="004008BC" w:rsidRDefault="005A35C8" w:rsidP="005A35C8">
      <w:pPr>
        <w:pStyle w:val="Prrafodelista"/>
        <w:widowControl w:val="0"/>
        <w:numPr>
          <w:ilvl w:val="0"/>
          <w:numId w:val="10"/>
        </w:numPr>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RR 15079-2022 Informe Justifcado.pdf: Este archivo contiene el Informe Justificado signado por el Titular de la Secretaria de Finanzas, en donde se </w:t>
      </w:r>
      <w:r w:rsidR="00440166" w:rsidRPr="004008BC">
        <w:rPr>
          <w:rFonts w:ascii="Palatino Linotype" w:eastAsia="Palatino Linotype" w:hAnsi="Palatino Linotype" w:cs="Palatino Linotype"/>
        </w:rPr>
        <w:t>ratifica la</w:t>
      </w:r>
      <w:r w:rsidRPr="004008BC">
        <w:rPr>
          <w:rFonts w:ascii="Palatino Linotype" w:eastAsia="Palatino Linotype" w:hAnsi="Palatino Linotype" w:cs="Palatino Linotype"/>
        </w:rPr>
        <w:t xml:space="preserve"> respuesta que fue otorgada al solicitante.</w:t>
      </w:r>
    </w:p>
    <w:p w:rsidR="005A35C8" w:rsidRPr="004008BC" w:rsidRDefault="005A35C8" w:rsidP="005A35C8">
      <w:pPr>
        <w:pStyle w:val="Prrafodelista"/>
        <w:widowControl w:val="0"/>
        <w:numPr>
          <w:ilvl w:val="0"/>
          <w:numId w:val="10"/>
        </w:numPr>
        <w:tabs>
          <w:tab w:val="left" w:pos="0"/>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RR 1507</w:t>
      </w:r>
      <w:r w:rsidR="00C70DA4" w:rsidRPr="004008BC">
        <w:rPr>
          <w:rFonts w:ascii="Palatino Linotype" w:eastAsia="Palatino Linotype" w:hAnsi="Palatino Linotype" w:cs="Palatino Linotype"/>
        </w:rPr>
        <w:t>9</w:t>
      </w:r>
      <w:r w:rsidRPr="004008BC">
        <w:rPr>
          <w:rFonts w:ascii="Palatino Linotype" w:eastAsia="Palatino Linotype" w:hAnsi="Palatino Linotype" w:cs="Palatino Linotype"/>
        </w:rPr>
        <w:t>-2022 DGRM.pdf: Contiene el oficio 20706005000200S</w:t>
      </w:r>
      <w:r w:rsidR="00C70DA4" w:rsidRPr="004008BC">
        <w:rPr>
          <w:rFonts w:ascii="Palatino Linotype" w:eastAsia="Palatino Linotype" w:hAnsi="Palatino Linotype" w:cs="Palatino Linotype"/>
        </w:rPr>
        <w:t>-0423/2022</w:t>
      </w:r>
      <w:r w:rsidRPr="004008BC">
        <w:rPr>
          <w:rFonts w:ascii="Palatino Linotype" w:eastAsia="Palatino Linotype" w:hAnsi="Palatino Linotype" w:cs="Palatino Linotype"/>
        </w:rPr>
        <w:t>, firmado por el Servidor Público Habilitado de la Dirección General de Recursos Materiales, en donde ratifica la respuesta dada con anterioridad.</w:t>
      </w:r>
    </w:p>
    <w:p w:rsidR="00924D01" w:rsidRPr="004008BC" w:rsidRDefault="00A1353F">
      <w:pPr>
        <w:widowControl w:val="0"/>
        <w:tabs>
          <w:tab w:val="left" w:pos="0"/>
        </w:tabs>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sz w:val="28"/>
          <w:szCs w:val="28"/>
        </w:rPr>
        <w:lastRenderedPageBreak/>
        <w:t xml:space="preserve">c) </w:t>
      </w:r>
      <w:r w:rsidRPr="004008BC">
        <w:rPr>
          <w:rFonts w:ascii="Palatino Linotype" w:eastAsia="Palatino Linotype" w:hAnsi="Palatino Linotype" w:cs="Palatino Linotype"/>
          <w:b/>
        </w:rPr>
        <w:t xml:space="preserve">Acumulación </w:t>
      </w: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Por economía procesal y con la finalidad de evitar resoluciones contradictorias, en la </w:t>
      </w:r>
      <w:r w:rsidRPr="004008BC">
        <w:rPr>
          <w:rFonts w:ascii="Palatino Linotype" w:eastAsia="Palatino Linotype" w:hAnsi="Palatino Linotype" w:cs="Palatino Linotype"/>
          <w:b/>
        </w:rPr>
        <w:t>Trigésima Sexta Sesión Ordinaria celebrada el cinco de octubre de dos mil veintidós</w:t>
      </w:r>
      <w:r w:rsidRPr="004008BC">
        <w:rPr>
          <w:rFonts w:ascii="Palatino Linotype" w:eastAsia="Palatino Linotype" w:hAnsi="Palatino Linotype" w:cs="Palatino Linotype"/>
        </w:rPr>
        <w:t xml:space="preserve">, el Pleno de este Instituto determinó acumular el Recurso de Revisión </w:t>
      </w:r>
      <w:r w:rsidRPr="004008BC">
        <w:rPr>
          <w:rFonts w:ascii="Palatino Linotype" w:eastAsia="Palatino Linotype" w:hAnsi="Palatino Linotype" w:cs="Palatino Linotype"/>
          <w:b/>
        </w:rPr>
        <w:t>15079/INFOEM/IP/RR/2022</w:t>
      </w:r>
      <w:r w:rsidRPr="004008BC">
        <w:rPr>
          <w:rFonts w:ascii="Palatino Linotype" w:eastAsia="Palatino Linotype" w:hAnsi="Palatino Linotype" w:cs="Palatino Linotype"/>
        </w:rPr>
        <w:t xml:space="preserve"> al </w:t>
      </w:r>
      <w:r w:rsidRPr="004008BC">
        <w:rPr>
          <w:rFonts w:ascii="Palatino Linotype" w:eastAsia="Palatino Linotype" w:hAnsi="Palatino Linotype" w:cs="Palatino Linotype"/>
          <w:b/>
        </w:rPr>
        <w:t>15077/INFOEM/IP/RR/2022</w:t>
      </w:r>
      <w:r w:rsidRPr="004008BC">
        <w:rPr>
          <w:rFonts w:ascii="Palatino Linotype" w:eastAsia="Palatino Linotype" w:hAnsi="Palatino Linotype" w:cs="Palatino Linotype"/>
          <w:b/>
          <w:sz w:val="22"/>
          <w:szCs w:val="22"/>
        </w:rPr>
        <w:t xml:space="preserve">, </w:t>
      </w:r>
      <w:r w:rsidRPr="004008BC">
        <w:rPr>
          <w:rFonts w:ascii="Palatino Linotype" w:eastAsia="Palatino Linotype" w:hAnsi="Palatino Linotype" w:cs="Palatino Linotype"/>
          <w:sz w:val="22"/>
          <w:szCs w:val="22"/>
        </w:rPr>
        <w:t>por ser éste último el más antiguo,</w:t>
      </w:r>
      <w:r w:rsidRPr="004008BC">
        <w:rPr>
          <w:rFonts w:ascii="Palatino Linotype" w:eastAsia="Palatino Linotype" w:hAnsi="Palatino Linotype" w:cs="Palatino Linotype"/>
          <w:b/>
          <w:sz w:val="22"/>
          <w:szCs w:val="22"/>
        </w:rPr>
        <w:t xml:space="preserve"> </w:t>
      </w:r>
      <w:r w:rsidRPr="004008BC">
        <w:rPr>
          <w:rFonts w:ascii="Palatino Linotype" w:eastAsia="Palatino Linotype" w:hAnsi="Palatino Linotype" w:cs="Palatino Linotype"/>
        </w:rPr>
        <w:t xml:space="preserve">quedando la elaboración del proyecto de resolución a cargo de la Comisionada Sharon Cristina Morales Martínez. </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rPr>
        <w:t xml:space="preserve">d) Ampliación del Recurso de Revisión </w:t>
      </w: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El </w:t>
      </w:r>
      <w:r w:rsidR="00A53DCD" w:rsidRPr="004008BC">
        <w:rPr>
          <w:rFonts w:ascii="Palatino Linotype" w:eastAsia="Palatino Linotype" w:hAnsi="Palatino Linotype" w:cs="Palatino Linotype"/>
          <w:b/>
        </w:rPr>
        <w:t>catorce de noviemb</w:t>
      </w:r>
      <w:r w:rsidRPr="004008BC">
        <w:rPr>
          <w:rFonts w:ascii="Palatino Linotype" w:eastAsia="Palatino Linotype" w:hAnsi="Palatino Linotype" w:cs="Palatino Linotype"/>
          <w:b/>
        </w:rPr>
        <w:t>re de dos mil veintidós</w:t>
      </w:r>
      <w:r w:rsidRPr="004008B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F754E9" w:rsidRPr="004008BC" w:rsidRDefault="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lastRenderedPageBreak/>
        <w:t xml:space="preserve">Por ello, es menester precisar </w:t>
      </w:r>
      <w:r w:rsidR="00440166" w:rsidRPr="004008BC">
        <w:rPr>
          <w:rFonts w:ascii="Palatino Linotype" w:eastAsia="Palatino Linotype" w:hAnsi="Palatino Linotype" w:cs="Palatino Linotype"/>
        </w:rPr>
        <w:t>que,</w:t>
      </w:r>
      <w:r w:rsidRPr="004008BC">
        <w:rPr>
          <w:rFonts w:ascii="Palatino Linotype" w:eastAsia="Palatino Linotype" w:hAnsi="Palatino Linotype" w:cs="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numPr>
          <w:ilvl w:val="0"/>
          <w:numId w:val="2"/>
        </w:num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F754E9" w:rsidRPr="004008BC" w:rsidRDefault="00F754E9" w:rsidP="00F754E9">
      <w:pPr>
        <w:spacing w:line="360" w:lineRule="auto"/>
        <w:ind w:left="927"/>
        <w:jc w:val="both"/>
        <w:rPr>
          <w:rFonts w:ascii="Palatino Linotype" w:eastAsia="Palatino Linotype" w:hAnsi="Palatino Linotype" w:cs="Palatino Linotype"/>
        </w:rPr>
      </w:pPr>
    </w:p>
    <w:p w:rsidR="00F754E9" w:rsidRPr="004008BC" w:rsidRDefault="00F754E9" w:rsidP="00F754E9">
      <w:pPr>
        <w:numPr>
          <w:ilvl w:val="0"/>
          <w:numId w:val="2"/>
        </w:num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Actividad Procesal del interesado. Acciones u omisiones del interesado.</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numPr>
          <w:ilvl w:val="0"/>
          <w:numId w:val="2"/>
        </w:num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Conducta de la Autoridad: Las Acciones u omisiones realizadas en el procedimiento. Así como si la autoridad actuó con la debida diligencia.</w:t>
      </w:r>
    </w:p>
    <w:p w:rsidR="00F754E9" w:rsidRPr="004008BC" w:rsidRDefault="00F754E9" w:rsidP="00F754E9">
      <w:pPr>
        <w:spacing w:line="360" w:lineRule="auto"/>
        <w:ind w:left="708"/>
        <w:rPr>
          <w:rFonts w:ascii="Palatino Linotype" w:eastAsia="Palatino Linotype" w:hAnsi="Palatino Linotype" w:cs="Palatino Linotype"/>
        </w:rPr>
      </w:pPr>
    </w:p>
    <w:p w:rsidR="00F754E9" w:rsidRPr="004008BC" w:rsidRDefault="00F754E9" w:rsidP="00F754E9">
      <w:pPr>
        <w:spacing w:line="360" w:lineRule="auto"/>
        <w:ind w:left="567"/>
        <w:jc w:val="both"/>
        <w:rPr>
          <w:rFonts w:ascii="Palatino Linotype" w:eastAsia="Palatino Linotype" w:hAnsi="Palatino Linotype" w:cs="Palatino Linotype"/>
        </w:rPr>
      </w:pPr>
      <w:r w:rsidRPr="004008BC">
        <w:rPr>
          <w:rFonts w:ascii="Palatino Linotype" w:eastAsia="Palatino Linotype" w:hAnsi="Palatino Linotype" w:cs="Palatino Linotype"/>
        </w:rPr>
        <w:t>d) La afectación generada en la situación jurídica de la persona involucrada en el proceso: Violación a sus derechos humanos.</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008B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008BC">
        <w:rPr>
          <w:rFonts w:ascii="Palatino Linotype" w:eastAsia="Palatino Linotype" w:hAnsi="Palatino Linotype" w:cs="Palatino Linotype"/>
        </w:rPr>
        <w:t>, visible en la Gaceta del Seminario Judicial de la Federación con el registro digital 205635.</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F754E9" w:rsidRPr="004008BC" w:rsidRDefault="00F754E9" w:rsidP="00F754E9">
      <w:pPr>
        <w:spacing w:line="360" w:lineRule="auto"/>
        <w:jc w:val="both"/>
        <w:rPr>
          <w:rFonts w:ascii="Palatino Linotype" w:eastAsia="Palatino Linotype" w:hAnsi="Palatino Linotype" w:cs="Palatino Linotype"/>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i/>
        </w:rPr>
        <w:t>“PLAZO RAZONABLE PARA RESOLVER. DIMENSIÓN Y EFECTOS DE ESTE CONCEPTO CUANDO SE ADUCE EXCESIVA CARGA DE TRABAJO.”</w:t>
      </w:r>
      <w:r w:rsidRPr="004008BC">
        <w:rPr>
          <w:rFonts w:ascii="Palatino Linotype" w:eastAsia="Palatino Linotype" w:hAnsi="Palatino Linotype" w:cs="Palatino Linotype"/>
        </w:rPr>
        <w:t xml:space="preserve"> consultable en el Seminario Judicial de la Federación y su gaceta, con el registro digital 2002351.</w:t>
      </w:r>
    </w:p>
    <w:p w:rsidR="00F754E9" w:rsidRPr="004008BC" w:rsidRDefault="00F754E9" w:rsidP="00F754E9">
      <w:pPr>
        <w:spacing w:line="360" w:lineRule="auto"/>
        <w:jc w:val="both"/>
        <w:rPr>
          <w:rFonts w:ascii="Palatino Linotype" w:eastAsia="Palatino Linotype" w:hAnsi="Palatino Linotype" w:cs="Palatino Linotype"/>
          <w:b/>
        </w:rPr>
      </w:pPr>
    </w:p>
    <w:p w:rsidR="00F754E9" w:rsidRPr="004008BC" w:rsidRDefault="00F754E9" w:rsidP="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4008BC">
        <w:rPr>
          <w:rFonts w:ascii="Palatino Linotype" w:eastAsia="Palatino Linotype" w:hAnsi="Palatino Linotype" w:cs="Palatino Linotype"/>
        </w:rPr>
        <w:t>, visible en el Seminario Judicial de la Federación y su gaceta, con el registro digital 2002350, y</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rPr>
        <w:t>e) Cierre de Instrucción</w:t>
      </w: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Por lo que, una vez analizado el estado procesal que guardaba el expediente, el </w:t>
      </w:r>
      <w:r w:rsidR="004008BC" w:rsidRPr="004008BC">
        <w:rPr>
          <w:rFonts w:ascii="Palatino Linotype" w:eastAsia="Palatino Linotype" w:hAnsi="Palatino Linotype" w:cs="Palatino Linotype"/>
          <w:b/>
        </w:rPr>
        <w:t xml:space="preserve">nueve </w:t>
      </w:r>
      <w:r w:rsidRPr="004008BC">
        <w:rPr>
          <w:rFonts w:ascii="Palatino Linotype" w:eastAsia="Palatino Linotype" w:hAnsi="Palatino Linotype" w:cs="Palatino Linotype"/>
          <w:b/>
        </w:rPr>
        <w:t xml:space="preserve">de </w:t>
      </w:r>
      <w:r w:rsidR="00A53DCD" w:rsidRPr="004008BC">
        <w:rPr>
          <w:rFonts w:ascii="Palatino Linotype" w:eastAsia="Palatino Linotype" w:hAnsi="Palatino Linotype" w:cs="Palatino Linotype"/>
          <w:b/>
        </w:rPr>
        <w:t>mayo</w:t>
      </w:r>
      <w:r w:rsidRPr="004008BC">
        <w:rPr>
          <w:rFonts w:ascii="Palatino Linotype" w:eastAsia="Palatino Linotype" w:hAnsi="Palatino Linotype" w:cs="Palatino Linotype"/>
          <w:b/>
        </w:rPr>
        <w:t xml:space="preserve"> de dos mil veintitrés</w:t>
      </w:r>
      <w:r w:rsidRPr="004008BC">
        <w:rPr>
          <w:rFonts w:ascii="Palatino Linotype" w:eastAsia="Palatino Linotype" w:hAnsi="Palatino Linotype" w:cs="Palatino Linotype"/>
        </w:rPr>
        <w:t xml:space="preserve">, la </w:t>
      </w:r>
      <w:r w:rsidRPr="004008BC">
        <w:rPr>
          <w:rFonts w:ascii="Palatino Linotype" w:eastAsia="Palatino Linotype" w:hAnsi="Palatino Linotype" w:cs="Palatino Linotype"/>
          <w:b/>
        </w:rPr>
        <w:t xml:space="preserve">Comisionada Sharon Christina Morales Martínez </w:t>
      </w:r>
      <w:r w:rsidRPr="004008BC">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jc w:val="center"/>
        <w:rPr>
          <w:rFonts w:ascii="Palatino Linotype" w:eastAsia="Palatino Linotype" w:hAnsi="Palatino Linotype" w:cs="Palatino Linotype"/>
          <w:b/>
          <w:sz w:val="28"/>
          <w:szCs w:val="28"/>
        </w:rPr>
      </w:pPr>
      <w:r w:rsidRPr="004008BC">
        <w:rPr>
          <w:rFonts w:ascii="Palatino Linotype" w:eastAsia="Palatino Linotype" w:hAnsi="Palatino Linotype" w:cs="Palatino Linotype"/>
          <w:b/>
          <w:sz w:val="28"/>
          <w:szCs w:val="28"/>
        </w:rPr>
        <w:t>CONSIDERANDO</w:t>
      </w:r>
    </w:p>
    <w:p w:rsidR="00924D01" w:rsidRPr="004008BC" w:rsidRDefault="00924D01">
      <w:pPr>
        <w:jc w:val="center"/>
        <w:rPr>
          <w:rFonts w:ascii="Palatino Linotype" w:eastAsia="Palatino Linotype" w:hAnsi="Palatino Linotype" w:cs="Palatino Linotype"/>
          <w:b/>
          <w:sz w:val="28"/>
          <w:szCs w:val="28"/>
        </w:rPr>
      </w:pPr>
    </w:p>
    <w:p w:rsidR="00924D01" w:rsidRPr="004008BC" w:rsidRDefault="00A1353F">
      <w:pPr>
        <w:widowControl w:val="0"/>
        <w:tabs>
          <w:tab w:val="left" w:pos="1701"/>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b/>
          <w:sz w:val="28"/>
          <w:szCs w:val="28"/>
        </w:rPr>
        <w:t>PRIMERO.</w:t>
      </w:r>
      <w:r w:rsidRPr="004008BC">
        <w:rPr>
          <w:rFonts w:ascii="Palatino Linotype" w:eastAsia="Palatino Linotype" w:hAnsi="Palatino Linotype" w:cs="Palatino Linotype"/>
          <w:b/>
        </w:rPr>
        <w:t xml:space="preserve"> Competencia</w:t>
      </w:r>
      <w:r w:rsidRPr="004008BC">
        <w:rPr>
          <w:rFonts w:ascii="Palatino Linotype" w:eastAsia="Palatino Linotype" w:hAnsi="Palatino Linotype" w:cs="Palatino Linotype"/>
        </w:rPr>
        <w:t>.</w:t>
      </w:r>
      <w:r w:rsidRPr="004008BC">
        <w:rPr>
          <w:rFonts w:ascii="Palatino Linotype" w:eastAsia="Palatino Linotype" w:hAnsi="Palatino Linotype" w:cs="Palatino Linotype"/>
          <w:b/>
        </w:rPr>
        <w:t xml:space="preserve"> </w:t>
      </w:r>
    </w:p>
    <w:p w:rsidR="00924D01" w:rsidRPr="004008BC" w:rsidRDefault="00A1353F">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4008B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w:t>
      </w:r>
      <w:r w:rsidRPr="004008BC">
        <w:rPr>
          <w:rFonts w:ascii="Palatino Linotype" w:eastAsia="Palatino Linotype" w:hAnsi="Palatino Linotype" w:cs="Palatino Linotype"/>
        </w:rPr>
        <w:lastRenderedPageBreak/>
        <w:t>Pública del Estado de México y Municipios; y 9, fracciones I y XX</w:t>
      </w:r>
      <w:r w:rsidR="00136365" w:rsidRPr="004008BC">
        <w:rPr>
          <w:rFonts w:ascii="Palatino Linotype" w:eastAsia="Palatino Linotype" w:hAnsi="Palatino Linotype" w:cs="Palatino Linotype"/>
        </w:rPr>
        <w:t>III</w:t>
      </w:r>
      <w:r w:rsidRPr="004008BC">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924D01" w:rsidRPr="004008BC" w:rsidRDefault="00924D01">
      <w:pPr>
        <w:widowControl w:val="0"/>
        <w:tabs>
          <w:tab w:val="left" w:pos="1701"/>
          <w:tab w:val="left" w:pos="2977"/>
        </w:tabs>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sz w:val="28"/>
          <w:szCs w:val="28"/>
        </w:rPr>
        <w:t>SEGUNDO</w:t>
      </w:r>
      <w:r w:rsidRPr="004008BC">
        <w:rPr>
          <w:rFonts w:ascii="Palatino Linotype" w:eastAsia="Palatino Linotype" w:hAnsi="Palatino Linotype" w:cs="Palatino Linotype"/>
          <w:b/>
        </w:rPr>
        <w:t xml:space="preserve">. Interés. </w:t>
      </w:r>
    </w:p>
    <w:p w:rsidR="00924D01" w:rsidRPr="004008BC" w:rsidRDefault="00A1353F">
      <w:pPr>
        <w:spacing w:line="360" w:lineRule="auto"/>
        <w:jc w:val="both"/>
        <w:rPr>
          <w:rFonts w:ascii="Palatino Linotype" w:eastAsia="Palatino Linotype" w:hAnsi="Palatino Linotype" w:cs="Palatino Linotype"/>
          <w:b/>
          <w:color w:val="000000"/>
        </w:rPr>
      </w:pPr>
      <w:r w:rsidRPr="004008BC">
        <w:rPr>
          <w:rFonts w:ascii="Palatino Linotype" w:eastAsia="Palatino Linotype" w:hAnsi="Palatino Linotype" w:cs="Palatino Linotype"/>
          <w:color w:val="000000"/>
        </w:rPr>
        <w:t>Los Recursos de Revisión materia del presente estudio fueron interpuestos por parte legítima, en atención a que se present</w:t>
      </w:r>
      <w:r w:rsidRPr="004008BC">
        <w:rPr>
          <w:rFonts w:ascii="Palatino Linotype" w:eastAsia="Palatino Linotype" w:hAnsi="Palatino Linotype" w:cs="Palatino Linotype"/>
        </w:rPr>
        <w:t>aron</w:t>
      </w:r>
      <w:r w:rsidRPr="004008BC">
        <w:rPr>
          <w:rFonts w:ascii="Palatino Linotype" w:eastAsia="Palatino Linotype" w:hAnsi="Palatino Linotype" w:cs="Palatino Linotype"/>
          <w:color w:val="000000"/>
        </w:rPr>
        <w:t xml:space="preserve"> por </w:t>
      </w:r>
      <w:r w:rsidRPr="004008BC">
        <w:rPr>
          <w:rFonts w:ascii="Palatino Linotype" w:eastAsia="Palatino Linotype" w:hAnsi="Palatino Linotype" w:cs="Palatino Linotype"/>
          <w:b/>
          <w:color w:val="000000"/>
        </w:rPr>
        <w:t>EL RECURRENTE,</w:t>
      </w:r>
      <w:r w:rsidRPr="004008BC">
        <w:rPr>
          <w:rFonts w:ascii="Palatino Linotype" w:eastAsia="Palatino Linotype" w:hAnsi="Palatino Linotype" w:cs="Palatino Linotype"/>
          <w:color w:val="000000"/>
        </w:rPr>
        <w:t xml:space="preserve"> quien es la misma persona que formuló la solicitud de Acceso a la Información Pública al </w:t>
      </w:r>
      <w:r w:rsidRPr="004008BC">
        <w:rPr>
          <w:rFonts w:ascii="Palatino Linotype" w:eastAsia="Palatino Linotype" w:hAnsi="Palatino Linotype" w:cs="Palatino Linotype"/>
          <w:b/>
          <w:color w:val="000000"/>
        </w:rPr>
        <w:t xml:space="preserve">SUJETO OBLIGADO, </w:t>
      </w:r>
      <w:r w:rsidRPr="004008BC">
        <w:rPr>
          <w:rFonts w:ascii="Palatino Linotype" w:eastAsia="Palatino Linotype" w:hAnsi="Palatino Linotype" w:cs="Palatino Linotype"/>
          <w:color w:val="000000"/>
        </w:rPr>
        <w:t xml:space="preserve">pues para ello, es necesario que el particular ingrese al </w:t>
      </w:r>
      <w:r w:rsidRPr="004008BC">
        <w:rPr>
          <w:rFonts w:ascii="Palatino Linotype" w:eastAsia="Palatino Linotype" w:hAnsi="Palatino Linotype" w:cs="Palatino Linotype"/>
          <w:b/>
          <w:color w:val="000000"/>
        </w:rPr>
        <w:t xml:space="preserve">SAIMEX </w:t>
      </w:r>
      <w:r w:rsidRPr="004008BC">
        <w:rPr>
          <w:rFonts w:ascii="Palatino Linotype" w:eastAsia="Palatino Linotype" w:hAnsi="Palatino Linotype" w:cs="Palatino Linotype"/>
          <w:color w:val="000000"/>
        </w:rPr>
        <w:t>mediante la utilización de su clave de usuario y contraseña.</w:t>
      </w:r>
    </w:p>
    <w:p w:rsidR="00924D01" w:rsidRPr="004008BC" w:rsidRDefault="00924D01">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924D01" w:rsidRPr="004008BC" w:rsidRDefault="00A1353F">
      <w:pPr>
        <w:tabs>
          <w:tab w:val="center" w:pos="4252"/>
          <w:tab w:val="right" w:pos="8504"/>
        </w:tabs>
        <w:spacing w:line="360" w:lineRule="auto"/>
        <w:ind w:left="-57"/>
        <w:jc w:val="both"/>
        <w:rPr>
          <w:rFonts w:ascii="Palatino Linotype" w:eastAsia="Palatino Linotype" w:hAnsi="Palatino Linotype" w:cs="Palatino Linotype"/>
        </w:rPr>
      </w:pPr>
      <w:r w:rsidRPr="004008BC">
        <w:rPr>
          <w:rFonts w:ascii="Palatino Linotype" w:eastAsia="Palatino Linotype" w:hAnsi="Palatino Linotype" w:cs="Palatino Linotype"/>
          <w:b/>
          <w:sz w:val="28"/>
          <w:szCs w:val="28"/>
        </w:rPr>
        <w:t>TERCERO.</w:t>
      </w:r>
      <w:r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b/>
        </w:rPr>
        <w:t>Justificación de la Acumulación de los Recursos.</w:t>
      </w:r>
      <w:r w:rsidRPr="004008BC">
        <w:rPr>
          <w:rFonts w:ascii="Palatino Linotype" w:eastAsia="Palatino Linotype" w:hAnsi="Palatino Linotype" w:cs="Palatino Linotype"/>
        </w:rPr>
        <w:t xml:space="preserve"> </w:t>
      </w:r>
    </w:p>
    <w:p w:rsidR="00924D01" w:rsidRPr="004008BC" w:rsidRDefault="00A1353F">
      <w:pPr>
        <w:tabs>
          <w:tab w:val="center" w:pos="4252"/>
          <w:tab w:val="right" w:pos="8504"/>
        </w:tabs>
        <w:spacing w:line="360" w:lineRule="auto"/>
        <w:ind w:left="-57"/>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De las constancias que obran en los expedientes acumulados, se advierte que en los Recursos de Revisión número </w:t>
      </w:r>
      <w:r w:rsidRPr="004008BC">
        <w:rPr>
          <w:rFonts w:ascii="Palatino Linotype" w:eastAsia="Palatino Linotype" w:hAnsi="Palatino Linotype" w:cs="Palatino Linotype"/>
          <w:b/>
        </w:rPr>
        <w:t>15077/INFOEM/IP/RR/2022 y 15079/INFOEM/IP/RR/2022</w:t>
      </w:r>
      <w:r w:rsidRPr="004008BC">
        <w:rPr>
          <w:rFonts w:ascii="Palatino Linotype" w:eastAsia="Palatino Linotype" w:hAnsi="Palatino Linotype" w:cs="Palatino Linotype"/>
        </w:rPr>
        <w:t xml:space="preserve"> fueron presentados por el mismo </w:t>
      </w:r>
      <w:r w:rsidRPr="004008BC">
        <w:rPr>
          <w:rFonts w:ascii="Palatino Linotype" w:eastAsia="Palatino Linotype" w:hAnsi="Palatino Linotype" w:cs="Palatino Linotype"/>
          <w:b/>
        </w:rPr>
        <w:t>RECURRENTE</w:t>
      </w:r>
      <w:r w:rsidRPr="004008BC">
        <w:rPr>
          <w:rFonts w:ascii="Palatino Linotype" w:eastAsia="Palatino Linotype" w:hAnsi="Palatino Linotype" w:cs="Palatino Linotype"/>
        </w:rPr>
        <w:t xml:space="preserve"> respecto de los actos u omisiones del mismo </w:t>
      </w:r>
      <w:r w:rsidRPr="004008BC">
        <w:rPr>
          <w:rFonts w:ascii="Palatino Linotype" w:eastAsia="Palatino Linotype" w:hAnsi="Palatino Linotype" w:cs="Palatino Linotype"/>
          <w:b/>
        </w:rPr>
        <w:t>SUJETO OBLIGADO</w:t>
      </w:r>
      <w:r w:rsidRPr="004008BC">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924D01" w:rsidRPr="004008BC" w:rsidRDefault="00924D01">
      <w:pPr>
        <w:tabs>
          <w:tab w:val="left" w:pos="8222"/>
        </w:tabs>
        <w:ind w:left="851" w:right="1134"/>
        <w:jc w:val="center"/>
        <w:rPr>
          <w:rFonts w:ascii="Palatino Linotype" w:eastAsia="Palatino Linotype" w:hAnsi="Palatino Linotype" w:cs="Palatino Linotype"/>
          <w:b/>
          <w:i/>
          <w:sz w:val="22"/>
          <w:szCs w:val="22"/>
        </w:rPr>
      </w:pPr>
    </w:p>
    <w:p w:rsidR="00924D01" w:rsidRPr="004008BC" w:rsidRDefault="00A1353F">
      <w:pPr>
        <w:tabs>
          <w:tab w:val="left" w:pos="8222"/>
        </w:tabs>
        <w:ind w:left="851" w:right="1134"/>
        <w:jc w:val="center"/>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“Código de Procedimientos Administrativos del Estado de México</w:t>
      </w:r>
    </w:p>
    <w:p w:rsidR="00924D01" w:rsidRPr="004008BC" w:rsidRDefault="00A1353F">
      <w:pPr>
        <w:tabs>
          <w:tab w:val="left" w:pos="8222"/>
        </w:tabs>
        <w:ind w:left="851" w:right="1134"/>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r w:rsidRPr="004008BC">
        <w:rPr>
          <w:rFonts w:ascii="Palatino Linotype" w:eastAsia="Palatino Linotype" w:hAnsi="Palatino Linotype" w:cs="Palatino Linotype"/>
          <w:b/>
          <w:i/>
          <w:sz w:val="22"/>
          <w:szCs w:val="22"/>
        </w:rPr>
        <w:t>Artículo 18</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 xml:space="preserve">La autoridad administrativa o el Tribunal </w:t>
      </w:r>
      <w:r w:rsidRPr="004008BC">
        <w:rPr>
          <w:rFonts w:ascii="Palatino Linotype" w:eastAsia="Palatino Linotype" w:hAnsi="Palatino Linotype" w:cs="Palatino Linotype"/>
          <w:b/>
          <w:i/>
          <w:sz w:val="22"/>
          <w:szCs w:val="22"/>
          <w:u w:val="single"/>
        </w:rPr>
        <w:t>acordarán la acumulación de los expedientes</w:t>
      </w:r>
      <w:r w:rsidRPr="004008BC">
        <w:rPr>
          <w:rFonts w:ascii="Palatino Linotype" w:eastAsia="Palatino Linotype" w:hAnsi="Palatino Linotype" w:cs="Palatino Linotype"/>
          <w:b/>
          <w:i/>
          <w:sz w:val="22"/>
          <w:szCs w:val="22"/>
        </w:rPr>
        <w:t xml:space="preserve"> del procedimiento y proceso administrativo que ante ellos se sigan, de oficio</w:t>
      </w:r>
      <w:r w:rsidRPr="004008BC">
        <w:rPr>
          <w:rFonts w:ascii="Palatino Linotype" w:eastAsia="Palatino Linotype" w:hAnsi="Palatino Linotype" w:cs="Palatino Linotype"/>
          <w:i/>
          <w:sz w:val="22"/>
          <w:szCs w:val="22"/>
        </w:rPr>
        <w:t xml:space="preserve"> o a petición de parte, </w:t>
      </w:r>
      <w:r w:rsidRPr="004008BC">
        <w:rPr>
          <w:rFonts w:ascii="Palatino Linotype" w:eastAsia="Palatino Linotype" w:hAnsi="Palatino Linotype" w:cs="Palatino Linotype"/>
          <w:b/>
          <w:i/>
          <w:sz w:val="22"/>
          <w:szCs w:val="22"/>
          <w:u w:val="single"/>
        </w:rPr>
        <w:t>cuando las partes</w:t>
      </w:r>
      <w:r w:rsidRPr="004008BC">
        <w:rPr>
          <w:rFonts w:ascii="Palatino Linotype" w:eastAsia="Palatino Linotype" w:hAnsi="Palatino Linotype" w:cs="Palatino Linotype"/>
          <w:i/>
          <w:sz w:val="22"/>
          <w:szCs w:val="22"/>
        </w:rPr>
        <w:t xml:space="preserve"> o los actos administrativos </w:t>
      </w:r>
      <w:r w:rsidRPr="004008BC">
        <w:rPr>
          <w:rFonts w:ascii="Palatino Linotype" w:eastAsia="Palatino Linotype" w:hAnsi="Palatino Linotype" w:cs="Palatino Linotype"/>
          <w:b/>
          <w:i/>
          <w:sz w:val="22"/>
          <w:szCs w:val="22"/>
          <w:u w:val="single"/>
        </w:rPr>
        <w:t>sean iguales</w:t>
      </w:r>
      <w:r w:rsidRPr="004008BC">
        <w:rPr>
          <w:rFonts w:ascii="Palatino Linotype" w:eastAsia="Palatino Linotype" w:hAnsi="Palatino Linotype" w:cs="Palatino Linotype"/>
          <w:i/>
          <w:sz w:val="22"/>
          <w:szCs w:val="22"/>
        </w:rPr>
        <w:t xml:space="preserve">, se trate de actos conexos o </w:t>
      </w:r>
      <w:r w:rsidRPr="004008BC">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4008BC">
        <w:rPr>
          <w:rFonts w:ascii="Palatino Linotype" w:eastAsia="Palatino Linotype" w:hAnsi="Palatino Linotype" w:cs="Palatino Linotype"/>
          <w:i/>
          <w:sz w:val="22"/>
          <w:szCs w:val="22"/>
        </w:rPr>
        <w:t>. La misma regla se aplicará, en lo conducente, para la separación de los expedientes.”</w:t>
      </w:r>
    </w:p>
    <w:p w:rsidR="00924D01" w:rsidRPr="004008BC" w:rsidRDefault="00A1353F">
      <w:pPr>
        <w:tabs>
          <w:tab w:val="left" w:pos="8222"/>
        </w:tabs>
        <w:ind w:left="851" w:right="1134"/>
        <w:jc w:val="center"/>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 xml:space="preserve">Ley de Transparencia y Acceso a la Información Pública del Estado de México y Municipios </w:t>
      </w:r>
    </w:p>
    <w:p w:rsidR="00924D01" w:rsidRPr="004008BC" w:rsidRDefault="00A1353F">
      <w:pPr>
        <w:tabs>
          <w:tab w:val="left" w:pos="8222"/>
        </w:tabs>
        <w:ind w:left="851" w:right="1134"/>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r w:rsidRPr="004008BC">
        <w:rPr>
          <w:rFonts w:ascii="Palatino Linotype" w:eastAsia="Palatino Linotype" w:hAnsi="Palatino Linotype" w:cs="Palatino Linotype"/>
          <w:b/>
          <w:i/>
          <w:sz w:val="22"/>
          <w:szCs w:val="22"/>
        </w:rPr>
        <w:t xml:space="preserve">Artículo 195. </w:t>
      </w:r>
      <w:r w:rsidRPr="004008BC">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rsidR="00924D01" w:rsidRPr="004008BC" w:rsidRDefault="00A1353F">
      <w:pPr>
        <w:tabs>
          <w:tab w:val="left" w:pos="8222"/>
        </w:tabs>
        <w:ind w:left="851" w:right="1134"/>
        <w:jc w:val="both"/>
        <w:rPr>
          <w:rFonts w:ascii="Palatino Linotype" w:eastAsia="Palatino Linotype" w:hAnsi="Palatino Linotype" w:cs="Palatino Linotype"/>
          <w:sz w:val="22"/>
          <w:szCs w:val="22"/>
        </w:rPr>
      </w:pPr>
      <w:r w:rsidRPr="004008BC">
        <w:rPr>
          <w:rFonts w:ascii="Palatino Linotype" w:eastAsia="Palatino Linotype" w:hAnsi="Palatino Linotype" w:cs="Palatino Linotype"/>
          <w:sz w:val="22"/>
          <w:szCs w:val="22"/>
        </w:rPr>
        <w:t>(Énfasis añadido)</w:t>
      </w:r>
    </w:p>
    <w:p w:rsidR="00924D01" w:rsidRPr="004008BC" w:rsidRDefault="00924D01">
      <w:pPr>
        <w:jc w:val="both"/>
        <w:rPr>
          <w:rFonts w:ascii="Palatino Linotype" w:eastAsia="Palatino Linotype" w:hAnsi="Palatino Linotype" w:cs="Palatino Linotype"/>
          <w:b/>
        </w:rPr>
      </w:pPr>
    </w:p>
    <w:p w:rsidR="00924D01" w:rsidRPr="004008BC" w:rsidRDefault="00A1353F">
      <w:pPr>
        <w:tabs>
          <w:tab w:val="center" w:pos="4252"/>
          <w:tab w:val="right" w:pos="8504"/>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De lo dispuesto en los numerales citados en el párrafo que antecede, dicha acumulación procede cuando:</w:t>
      </w:r>
    </w:p>
    <w:p w:rsidR="00924D01" w:rsidRPr="004008BC" w:rsidRDefault="00A1353F">
      <w:pPr>
        <w:numPr>
          <w:ilvl w:val="0"/>
          <w:numId w:val="3"/>
        </w:numPr>
        <w:tabs>
          <w:tab w:val="center" w:pos="4252"/>
          <w:tab w:val="right" w:pos="8504"/>
        </w:tabs>
        <w:spacing w:line="360" w:lineRule="auto"/>
        <w:jc w:val="both"/>
      </w:pPr>
      <w:r w:rsidRPr="004008BC">
        <w:rPr>
          <w:rFonts w:ascii="Palatino Linotype" w:eastAsia="Palatino Linotype" w:hAnsi="Palatino Linotype" w:cs="Palatino Linotype"/>
        </w:rPr>
        <w:t>El solicitante y la información referida sean las mismas;</w:t>
      </w:r>
    </w:p>
    <w:p w:rsidR="00924D01" w:rsidRPr="004008BC" w:rsidRDefault="00A1353F">
      <w:pPr>
        <w:numPr>
          <w:ilvl w:val="0"/>
          <w:numId w:val="3"/>
        </w:numPr>
        <w:tabs>
          <w:tab w:val="center" w:pos="4252"/>
          <w:tab w:val="right" w:pos="8504"/>
        </w:tabs>
        <w:spacing w:line="360" w:lineRule="auto"/>
        <w:jc w:val="both"/>
      </w:pPr>
      <w:r w:rsidRPr="004008BC">
        <w:rPr>
          <w:rFonts w:ascii="Palatino Linotype" w:eastAsia="Palatino Linotype" w:hAnsi="Palatino Linotype" w:cs="Palatino Linotype"/>
        </w:rPr>
        <w:t>Las partes o los actos impugnados sean iguales;</w:t>
      </w:r>
    </w:p>
    <w:p w:rsidR="00924D01" w:rsidRPr="004008BC" w:rsidRDefault="00A1353F">
      <w:pPr>
        <w:numPr>
          <w:ilvl w:val="0"/>
          <w:numId w:val="3"/>
        </w:numPr>
        <w:tabs>
          <w:tab w:val="center" w:pos="4252"/>
          <w:tab w:val="right" w:pos="8504"/>
        </w:tabs>
        <w:spacing w:line="360" w:lineRule="auto"/>
        <w:jc w:val="both"/>
      </w:pPr>
      <w:r w:rsidRPr="004008BC">
        <w:rPr>
          <w:rFonts w:ascii="Palatino Linotype" w:eastAsia="Palatino Linotype" w:hAnsi="Palatino Linotype" w:cs="Palatino Linotype"/>
        </w:rPr>
        <w:t>Cuando se trate del mismo solicitante, el mismo Sujeto Obligado, y</w:t>
      </w:r>
    </w:p>
    <w:p w:rsidR="00924D01" w:rsidRPr="004008BC" w:rsidRDefault="00A1353F">
      <w:pPr>
        <w:numPr>
          <w:ilvl w:val="0"/>
          <w:numId w:val="3"/>
        </w:numPr>
        <w:tabs>
          <w:tab w:val="center" w:pos="4252"/>
          <w:tab w:val="right" w:pos="8504"/>
        </w:tabs>
        <w:spacing w:line="360" w:lineRule="auto"/>
        <w:ind w:left="357"/>
        <w:jc w:val="both"/>
      </w:pPr>
      <w:r w:rsidRPr="004008BC">
        <w:rPr>
          <w:rFonts w:ascii="Palatino Linotype" w:eastAsia="Palatino Linotype" w:hAnsi="Palatino Linotype" w:cs="Palatino Linotype"/>
        </w:rPr>
        <w:t>Aun tratándose de solicitudes diversas, resulte conveniente la resolución unificada de los asuntos</w:t>
      </w:r>
      <w:r w:rsidRPr="004008BC">
        <w:rPr>
          <w:rFonts w:ascii="Palatino Linotype" w:eastAsia="Palatino Linotype" w:hAnsi="Palatino Linotype" w:cs="Palatino Linotype"/>
          <w:i/>
        </w:rPr>
        <w:t>.</w:t>
      </w:r>
    </w:p>
    <w:p w:rsidR="004008BC" w:rsidRPr="004008BC" w:rsidRDefault="004008BC" w:rsidP="004008BC">
      <w:pPr>
        <w:tabs>
          <w:tab w:val="center" w:pos="4252"/>
          <w:tab w:val="right" w:pos="8504"/>
        </w:tabs>
        <w:spacing w:line="360" w:lineRule="auto"/>
        <w:ind w:left="357"/>
        <w:jc w:val="both"/>
      </w:pPr>
    </w:p>
    <w:p w:rsidR="00924D01" w:rsidRPr="004008BC" w:rsidRDefault="00924D01">
      <w:pPr>
        <w:widowControl w:val="0"/>
        <w:spacing w:line="360" w:lineRule="auto"/>
        <w:jc w:val="both"/>
        <w:rPr>
          <w:rFonts w:ascii="Palatino Linotype" w:eastAsia="Palatino Linotype" w:hAnsi="Palatino Linotype" w:cs="Palatino Linotype"/>
        </w:rPr>
      </w:pPr>
    </w:p>
    <w:p w:rsidR="00924D01" w:rsidRPr="004008BC" w:rsidRDefault="00A1353F">
      <w:pPr>
        <w:widowControl w:val="0"/>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De tal suerte que, como se mencionó anteriormente, los Recursos de Revisión que nos ocupa</w:t>
      </w:r>
      <w:r w:rsidR="00D93EAD" w:rsidRPr="004008BC">
        <w:rPr>
          <w:rFonts w:ascii="Palatino Linotype" w:eastAsia="Palatino Linotype" w:hAnsi="Palatino Linotype" w:cs="Palatino Linotype"/>
        </w:rPr>
        <w:t>n,</w:t>
      </w:r>
      <w:r w:rsidRPr="004008BC">
        <w:rPr>
          <w:rFonts w:ascii="Palatino Linotype" w:eastAsia="Palatino Linotype" w:hAnsi="Palatino Linotype" w:cs="Palatino Linotype"/>
        </w:rPr>
        <w:t xml:space="preserve"> fueron interpuestos por el mismo </w:t>
      </w:r>
      <w:r w:rsidRPr="004008BC">
        <w:rPr>
          <w:rFonts w:ascii="Palatino Linotype" w:eastAsia="Palatino Linotype" w:hAnsi="Palatino Linotype" w:cs="Palatino Linotype"/>
          <w:b/>
        </w:rPr>
        <w:t>RECURRENTE</w:t>
      </w:r>
      <w:r w:rsidR="00D93EAD" w:rsidRPr="004008BC">
        <w:rPr>
          <w:rFonts w:ascii="Palatino Linotype" w:eastAsia="Palatino Linotype" w:hAnsi="Palatino Linotype" w:cs="Palatino Linotype"/>
          <w:b/>
        </w:rPr>
        <w:t>,</w:t>
      </w:r>
      <w:r w:rsidRPr="004008BC">
        <w:rPr>
          <w:rFonts w:ascii="Palatino Linotype" w:eastAsia="Palatino Linotype" w:hAnsi="Palatino Linotype" w:cs="Palatino Linotype"/>
        </w:rPr>
        <w:t xml:space="preserve"> ante el mismo </w:t>
      </w:r>
      <w:r w:rsidRPr="004008BC">
        <w:rPr>
          <w:rFonts w:ascii="Palatino Linotype" w:eastAsia="Palatino Linotype" w:hAnsi="Palatino Linotype" w:cs="Palatino Linotype"/>
          <w:b/>
        </w:rPr>
        <w:t>SUJETO OBLIGADO</w:t>
      </w:r>
      <w:r w:rsidRPr="004008BC">
        <w:rPr>
          <w:rFonts w:ascii="Palatino Linotype" w:eastAsia="Palatino Linotype" w:hAnsi="Palatino Linotype" w:cs="Palatino Linotype"/>
        </w:rPr>
        <w:t xml:space="preserve">, por lo que, resulta conveniente la resolución conjunta por economía procesal y con el fin de no emitir resoluciones contradictorias entre sí, en caso de </w:t>
      </w:r>
      <w:r w:rsidRPr="004008BC">
        <w:rPr>
          <w:rFonts w:ascii="Palatino Linotype" w:eastAsia="Palatino Linotype" w:hAnsi="Palatino Linotype" w:cs="Palatino Linotype"/>
        </w:rPr>
        <w:lastRenderedPageBreak/>
        <w:t>resolverlos en forma separada por Ponentes diferentes.</w:t>
      </w:r>
    </w:p>
    <w:p w:rsidR="00C9304B" w:rsidRPr="004008BC" w:rsidRDefault="00C9304B">
      <w:pPr>
        <w:widowControl w:val="0"/>
        <w:spacing w:line="360" w:lineRule="auto"/>
        <w:jc w:val="both"/>
        <w:rPr>
          <w:rFonts w:ascii="Palatino Linotype" w:eastAsia="Palatino Linotype" w:hAnsi="Palatino Linotype" w:cs="Palatino Linotype"/>
        </w:rPr>
      </w:pPr>
    </w:p>
    <w:p w:rsidR="00924D01" w:rsidRPr="004008BC" w:rsidRDefault="00A1353F">
      <w:pPr>
        <w:tabs>
          <w:tab w:val="center" w:pos="4252"/>
          <w:tab w:val="right" w:pos="8504"/>
        </w:tabs>
        <w:spacing w:line="360" w:lineRule="auto"/>
        <w:ind w:left="-57"/>
        <w:jc w:val="both"/>
        <w:rPr>
          <w:rFonts w:ascii="Palatino Linotype" w:eastAsia="Palatino Linotype" w:hAnsi="Palatino Linotype" w:cs="Palatino Linotype"/>
          <w:color w:val="000000"/>
        </w:rPr>
      </w:pPr>
      <w:r w:rsidRPr="004008BC">
        <w:rPr>
          <w:rFonts w:ascii="Palatino Linotype" w:eastAsia="Palatino Linotype" w:hAnsi="Palatino Linotype" w:cs="Palatino Linotype"/>
          <w:b/>
          <w:sz w:val="26"/>
          <w:szCs w:val="26"/>
        </w:rPr>
        <w:t>CUARTO.</w:t>
      </w:r>
      <w:r w:rsidRPr="004008BC">
        <w:rPr>
          <w:rFonts w:ascii="Palatino Linotype" w:eastAsia="Palatino Linotype" w:hAnsi="Palatino Linotype" w:cs="Palatino Linotype"/>
          <w:b/>
        </w:rPr>
        <w:t xml:space="preserve"> </w:t>
      </w:r>
      <w:r w:rsidRPr="004008BC">
        <w:rPr>
          <w:rFonts w:ascii="Palatino Linotype" w:eastAsia="Palatino Linotype" w:hAnsi="Palatino Linotype" w:cs="Palatino Linotype"/>
          <w:b/>
          <w:color w:val="000000"/>
        </w:rPr>
        <w:t>Oportunidad</w:t>
      </w:r>
      <w:r w:rsidRPr="004008BC">
        <w:rPr>
          <w:rFonts w:ascii="Palatino Linotype" w:eastAsia="Palatino Linotype" w:hAnsi="Palatino Linotype" w:cs="Palatino Linotype"/>
          <w:color w:val="000000"/>
        </w:rPr>
        <w:t xml:space="preserve">. </w:t>
      </w:r>
    </w:p>
    <w:p w:rsidR="00924D01" w:rsidRPr="004008BC" w:rsidRDefault="00A1353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008BC">
        <w:rPr>
          <w:rFonts w:ascii="Palatino Linotype" w:eastAsia="Palatino Linotype" w:hAnsi="Palatino Linotype" w:cs="Palatino Linotype"/>
        </w:rPr>
        <w:t>Los</w:t>
      </w:r>
      <w:r w:rsidRPr="004008BC">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4008BC">
        <w:rPr>
          <w:rFonts w:ascii="Palatino Linotype" w:eastAsia="Palatino Linotype" w:hAnsi="Palatino Linotype" w:cs="Palatino Linotype"/>
          <w:b/>
        </w:rPr>
        <w:t xml:space="preserve">EL RECURRENTE </w:t>
      </w:r>
      <w:r w:rsidRPr="004008BC">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rsidR="00924D01" w:rsidRPr="004008BC" w:rsidRDefault="00924D01">
      <w:pPr>
        <w:ind w:left="720" w:right="709"/>
        <w:jc w:val="both"/>
        <w:rPr>
          <w:rFonts w:ascii="Palatino Linotype" w:eastAsia="Palatino Linotype" w:hAnsi="Palatino Linotype" w:cs="Palatino Linotype"/>
          <w:i/>
          <w:sz w:val="22"/>
          <w:szCs w:val="22"/>
        </w:rPr>
      </w:pP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r w:rsidRPr="004008BC">
        <w:rPr>
          <w:rFonts w:ascii="Palatino Linotype" w:eastAsia="Palatino Linotype" w:hAnsi="Palatino Linotype" w:cs="Palatino Linotype"/>
          <w:b/>
          <w:i/>
          <w:sz w:val="22"/>
          <w:szCs w:val="22"/>
        </w:rPr>
        <w:t>Artículo 178.</w:t>
      </w:r>
      <w:r w:rsidRPr="004008B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24D01" w:rsidRPr="004008BC" w:rsidRDefault="00924D01">
      <w:pPr>
        <w:ind w:left="851" w:right="899"/>
        <w:jc w:val="both"/>
        <w:rPr>
          <w:rFonts w:ascii="Palatino Linotype" w:eastAsia="Palatino Linotype" w:hAnsi="Palatino Linotype" w:cs="Palatino Linotype"/>
          <w:i/>
          <w:sz w:val="22"/>
          <w:szCs w:val="22"/>
        </w:rPr>
      </w:pP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24D01" w:rsidRPr="004008BC" w:rsidRDefault="00924D01">
      <w:pPr>
        <w:ind w:left="851" w:right="899"/>
        <w:jc w:val="both"/>
        <w:rPr>
          <w:rFonts w:ascii="Palatino Linotype" w:eastAsia="Palatino Linotype" w:hAnsi="Palatino Linotype" w:cs="Palatino Linotype"/>
          <w:i/>
          <w:sz w:val="22"/>
          <w:szCs w:val="22"/>
        </w:rPr>
      </w:pP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924D01" w:rsidRPr="004008BC" w:rsidRDefault="00924D01">
      <w:pPr>
        <w:ind w:left="720" w:right="709"/>
        <w:jc w:val="both"/>
        <w:rPr>
          <w:rFonts w:ascii="Palatino Linotype" w:eastAsia="Palatino Linotype" w:hAnsi="Palatino Linotype" w:cs="Palatino Linotype"/>
          <w:i/>
          <w:sz w:val="22"/>
          <w:szCs w:val="22"/>
        </w:rPr>
      </w:pPr>
    </w:p>
    <w:p w:rsidR="00924D01" w:rsidRPr="004008BC" w:rsidRDefault="00A1353F">
      <w:pPr>
        <w:spacing w:line="360" w:lineRule="auto"/>
        <w:jc w:val="both"/>
        <w:rPr>
          <w:rFonts w:ascii="Palatino Linotype" w:eastAsia="Palatino Linotype" w:hAnsi="Palatino Linotype" w:cs="Palatino Linotype"/>
        </w:rPr>
      </w:pPr>
      <w:bookmarkStart w:id="4" w:name="_heading=h.2et92p0" w:colFirst="0" w:colLast="0"/>
      <w:bookmarkEnd w:id="4"/>
      <w:r w:rsidRPr="004008BC">
        <w:rPr>
          <w:rFonts w:ascii="Palatino Linotype" w:eastAsia="Palatino Linotype" w:hAnsi="Palatino Linotype" w:cs="Palatino Linotype"/>
        </w:rPr>
        <w:t xml:space="preserve">En esa tesitura, atendiendo a que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notificó las respuestas </w:t>
      </w:r>
      <w:r w:rsidR="00DA6161" w:rsidRPr="004008BC">
        <w:rPr>
          <w:rFonts w:ascii="Palatino Linotype" w:eastAsia="Palatino Linotype" w:hAnsi="Palatino Linotype" w:cs="Palatino Linotype"/>
        </w:rPr>
        <w:t>a cada una de las</w:t>
      </w:r>
      <w:r w:rsidRPr="004008BC">
        <w:rPr>
          <w:rFonts w:ascii="Palatino Linotype" w:eastAsia="Palatino Linotype" w:hAnsi="Palatino Linotype" w:cs="Palatino Linotype"/>
        </w:rPr>
        <w:t xml:space="preserve"> solicitudes de Acceso a la Información Pública el </w:t>
      </w:r>
      <w:r w:rsidRPr="004008BC">
        <w:rPr>
          <w:rFonts w:ascii="Palatino Linotype" w:eastAsia="Palatino Linotype" w:hAnsi="Palatino Linotype" w:cs="Palatino Linotype"/>
          <w:b/>
        </w:rPr>
        <w:t>siete de septiembre de dos mil veintidós</w:t>
      </w:r>
      <w:r w:rsidRPr="004008BC">
        <w:rPr>
          <w:rFonts w:ascii="Palatino Linotype" w:eastAsia="Palatino Linotype" w:hAnsi="Palatino Linotype" w:cs="Palatino Linotype"/>
        </w:rPr>
        <w:t xml:space="preserve">; así, el plazo de quince días hábiles que el artículo 178 de la Ley de la materia otorga a </w:t>
      </w:r>
      <w:r w:rsidRPr="004008BC">
        <w:rPr>
          <w:rFonts w:ascii="Palatino Linotype" w:eastAsia="Palatino Linotype" w:hAnsi="Palatino Linotype" w:cs="Palatino Linotype"/>
          <w:b/>
        </w:rPr>
        <w:t xml:space="preserve">EL RECURRENTE </w:t>
      </w:r>
      <w:r w:rsidRPr="004008BC">
        <w:rPr>
          <w:rFonts w:ascii="Palatino Linotype" w:eastAsia="Palatino Linotype" w:hAnsi="Palatino Linotype" w:cs="Palatino Linotype"/>
        </w:rPr>
        <w:t xml:space="preserve">para presentar el respectivo Recurso de Revisión, transcurrió del </w:t>
      </w:r>
      <w:r w:rsidRPr="004008BC">
        <w:rPr>
          <w:rFonts w:ascii="Palatino Linotype" w:eastAsia="Palatino Linotype" w:hAnsi="Palatino Linotype" w:cs="Palatino Linotype"/>
          <w:b/>
        </w:rPr>
        <w:t>ocho al veintinueve de septiembre de dos mil veintidós.</w:t>
      </w:r>
      <w:r w:rsidRPr="004008BC">
        <w:rPr>
          <w:rFonts w:ascii="Palatino Linotype" w:eastAsia="Palatino Linotype" w:hAnsi="Palatino Linotype" w:cs="Palatino Linotype"/>
        </w:rPr>
        <w:t xml:space="preserve"> Sin contemplar en el cómputo los días diez, once, diecisiete, dieciocho, veinticuatro y veinticinco de septiembre de dos mil veintidós por corresponder a sábados y </w:t>
      </w:r>
      <w:r w:rsidRPr="004008BC">
        <w:rPr>
          <w:rFonts w:ascii="Palatino Linotype" w:eastAsia="Palatino Linotype" w:hAnsi="Palatino Linotype" w:cs="Palatino Linotype"/>
        </w:rPr>
        <w:lastRenderedPageBreak/>
        <w:t xml:space="preserve">domingos, considerados como días inhábiles, en términos del artículo 3, fracción X de la Ley de Transparencia y Acceso a la Información Pública del Estado de México y Municipios. </w:t>
      </w:r>
    </w:p>
    <w:p w:rsidR="00924D01" w:rsidRPr="004008BC" w:rsidRDefault="00924D01">
      <w:pPr>
        <w:spacing w:line="360" w:lineRule="auto"/>
        <w:jc w:val="both"/>
        <w:rPr>
          <w:rFonts w:ascii="Palatino Linotype" w:eastAsia="Palatino Linotype" w:hAnsi="Palatino Linotype" w:cs="Palatino Linotype"/>
        </w:rPr>
      </w:pPr>
      <w:bookmarkStart w:id="5" w:name="_heading=h.h0ttltmjqw5e" w:colFirst="0" w:colLast="0"/>
      <w:bookmarkEnd w:id="5"/>
    </w:p>
    <w:p w:rsidR="00924D01" w:rsidRPr="004008BC" w:rsidRDefault="00A1353F">
      <w:pPr>
        <w:spacing w:line="360" w:lineRule="auto"/>
        <w:jc w:val="both"/>
        <w:rPr>
          <w:rFonts w:ascii="Palatino Linotype" w:eastAsia="Palatino Linotype" w:hAnsi="Palatino Linotype" w:cs="Palatino Linotype"/>
        </w:rPr>
      </w:pPr>
      <w:bookmarkStart w:id="6" w:name="_heading=h.mt4h9iil4wqj" w:colFirst="0" w:colLast="0"/>
      <w:bookmarkEnd w:id="6"/>
      <w:r w:rsidRPr="004008BC">
        <w:rPr>
          <w:rFonts w:ascii="Palatino Linotype" w:eastAsia="Palatino Linotype" w:hAnsi="Palatino Linotype" w:cs="Palatino Linotype"/>
        </w:rPr>
        <w:t xml:space="preserve">Además del dieciséis de septiembre </w:t>
      </w:r>
      <w:r w:rsidR="004008BC" w:rsidRPr="004008BC">
        <w:rPr>
          <w:rFonts w:ascii="Palatino Linotype" w:eastAsia="Palatino Linotype" w:hAnsi="Palatino Linotype" w:cs="Palatino Linotype"/>
        </w:rPr>
        <w:t>de dos mil veintidós</w:t>
      </w:r>
      <w:r w:rsidRPr="004008BC">
        <w:rPr>
          <w:rFonts w:ascii="Palatino Linotype" w:eastAsia="Palatino Linotype" w:hAnsi="Palatino Linotype" w:cs="Palatino Linotype"/>
        </w:rPr>
        <w:t>,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4008BC">
        <w:rPr>
          <w:rFonts w:ascii="Palatino Linotype" w:eastAsia="Palatino Linotype" w:hAnsi="Palatino Linotype" w:cs="Palatino Linotype"/>
          <w:vertAlign w:val="superscript"/>
        </w:rPr>
        <w:footnoteReference w:id="1"/>
      </w:r>
      <w:r w:rsidRPr="004008BC">
        <w:rPr>
          <w:rFonts w:ascii="Palatino Linotype" w:eastAsia="Palatino Linotype" w:hAnsi="Palatino Linotype" w:cs="Palatino Linotype"/>
        </w:rPr>
        <w:t>.</w:t>
      </w:r>
    </w:p>
    <w:p w:rsidR="00924D01" w:rsidRPr="004008BC" w:rsidRDefault="00924D01">
      <w:pPr>
        <w:spacing w:line="360" w:lineRule="auto"/>
        <w:jc w:val="both"/>
        <w:rPr>
          <w:rFonts w:ascii="Palatino Linotype" w:eastAsia="Palatino Linotype" w:hAnsi="Palatino Linotype" w:cs="Palatino Linotype"/>
        </w:rPr>
      </w:pPr>
      <w:bookmarkStart w:id="7" w:name="_heading=h.pams53xt1pwn" w:colFirst="0" w:colLast="0"/>
      <w:bookmarkEnd w:id="7"/>
    </w:p>
    <w:p w:rsidR="00924D01" w:rsidRPr="004008BC" w:rsidRDefault="00A1353F" w:rsidP="00C9304B">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En ese tenor se advierte que </w:t>
      </w:r>
      <w:r w:rsidRPr="004008BC">
        <w:rPr>
          <w:rFonts w:ascii="Palatino Linotype" w:eastAsia="Palatino Linotype" w:hAnsi="Palatino Linotype" w:cs="Palatino Linotype"/>
          <w:b/>
        </w:rPr>
        <w:t>EL RECURRENTE</w:t>
      </w:r>
      <w:r w:rsidRPr="004008BC">
        <w:rPr>
          <w:rFonts w:ascii="Palatino Linotype" w:eastAsia="Palatino Linotype" w:hAnsi="Palatino Linotype" w:cs="Palatino Linotype"/>
        </w:rPr>
        <w:t xml:space="preserve"> presentó los medios de impugnación </w:t>
      </w:r>
      <w:r w:rsidR="00136365" w:rsidRPr="004008BC">
        <w:rPr>
          <w:rFonts w:ascii="Palatino Linotype" w:eastAsia="Palatino Linotype" w:hAnsi="Palatino Linotype" w:cs="Palatino Linotype"/>
        </w:rPr>
        <w:t>el</w:t>
      </w:r>
      <w:r w:rsidRPr="004008BC">
        <w:rPr>
          <w:rFonts w:ascii="Palatino Linotype" w:eastAsia="Palatino Linotype" w:hAnsi="Palatino Linotype" w:cs="Palatino Linotype"/>
        </w:rPr>
        <w:t xml:space="preserve"> veintiséis de septiembre de dos mil veintidós</w:t>
      </w:r>
      <w:r w:rsidR="0015251D" w:rsidRPr="004008BC">
        <w:rPr>
          <w:rFonts w:ascii="Palatino Linotype" w:eastAsia="Palatino Linotype" w:hAnsi="Palatino Linotype" w:cs="Palatino Linotype"/>
        </w:rPr>
        <w:t>;</w:t>
      </w:r>
      <w:r w:rsidR="00136365"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rPr>
        <w:t xml:space="preserve">en consecuencia, los Recursos de Revisión de mérito se encuentran dentro del plazo dispuesto en el artículo 178, de la Ley de Transparencia y Acceso a la Información Pública del Estado de México y Municipios. </w:t>
      </w:r>
    </w:p>
    <w:p w:rsidR="00C9304B" w:rsidRPr="004008BC" w:rsidRDefault="00C9304B" w:rsidP="00C9304B">
      <w:pPr>
        <w:spacing w:line="360" w:lineRule="auto"/>
        <w:jc w:val="both"/>
        <w:rPr>
          <w:rFonts w:ascii="Palatino Linotype" w:eastAsia="Palatino Linotype" w:hAnsi="Palatino Linotype" w:cs="Palatino Linotype"/>
        </w:rPr>
      </w:pPr>
    </w:p>
    <w:p w:rsidR="00924D01" w:rsidRPr="004008BC" w:rsidRDefault="00A1353F" w:rsidP="00C9304B">
      <w:pPr>
        <w:spacing w:line="360" w:lineRule="auto"/>
        <w:ind w:right="49"/>
        <w:jc w:val="both"/>
        <w:rPr>
          <w:rFonts w:ascii="Palatino Linotype" w:eastAsia="Palatino Linotype" w:hAnsi="Palatino Linotype" w:cs="Palatino Linotype"/>
          <w:b/>
        </w:rPr>
      </w:pPr>
      <w:r w:rsidRPr="004008BC">
        <w:rPr>
          <w:rFonts w:ascii="Palatino Linotype" w:eastAsia="Palatino Linotype" w:hAnsi="Palatino Linotype" w:cs="Palatino Linotype"/>
          <w:b/>
          <w:sz w:val="28"/>
          <w:szCs w:val="28"/>
        </w:rPr>
        <w:t>QUINTO</w:t>
      </w:r>
      <w:r w:rsidRPr="004008BC">
        <w:rPr>
          <w:rFonts w:ascii="Palatino Linotype" w:eastAsia="Palatino Linotype" w:hAnsi="Palatino Linotype" w:cs="Palatino Linotype"/>
          <w:b/>
        </w:rPr>
        <w:t xml:space="preserve">. Procedibilidad. </w:t>
      </w:r>
    </w:p>
    <w:p w:rsidR="00924D01" w:rsidRPr="004008BC" w:rsidRDefault="00A1353F">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Este Órgano Garante considera importante precisar que conforme al artículo 180, fracción II, último párrafo de la Ley de Transparencia y Acceso a la Información Pública del Estado de México y Municipios, cuando las solicitudes se presenten de </w:t>
      </w:r>
      <w:r w:rsidRPr="004008BC">
        <w:rPr>
          <w:rFonts w:ascii="Palatino Linotype" w:eastAsia="Palatino Linotype" w:hAnsi="Palatino Linotype" w:cs="Palatino Linotype"/>
        </w:rPr>
        <w:lastRenderedPageBreak/>
        <w:t xml:space="preserve">manera electrónica no es requisito indispensable el proporcionar el nombre, tal como se muestra a continuación: </w:t>
      </w:r>
    </w:p>
    <w:p w:rsidR="00924D01" w:rsidRPr="004008BC" w:rsidRDefault="00924D01">
      <w:pPr>
        <w:spacing w:line="360" w:lineRule="auto"/>
        <w:ind w:right="49"/>
        <w:jc w:val="both"/>
        <w:rPr>
          <w:rFonts w:ascii="Palatino Linotype" w:eastAsia="Palatino Linotype" w:hAnsi="Palatino Linotype" w:cs="Palatino Linotype"/>
        </w:rPr>
      </w:pPr>
    </w:p>
    <w:p w:rsidR="00924D01" w:rsidRPr="004008BC" w:rsidRDefault="00A1353F">
      <w:pPr>
        <w:tabs>
          <w:tab w:val="left" w:pos="851"/>
        </w:tabs>
        <w:ind w:left="851" w:right="901"/>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 xml:space="preserve">“Artículo 180. </w:t>
      </w:r>
      <w:r w:rsidRPr="004008BC">
        <w:rPr>
          <w:rFonts w:ascii="Palatino Linotype" w:eastAsia="Palatino Linotype" w:hAnsi="Palatino Linotype" w:cs="Palatino Linotype"/>
          <w:i/>
          <w:sz w:val="22"/>
          <w:szCs w:val="22"/>
        </w:rPr>
        <w:t>El Recurso de Revisión contendrá:</w:t>
      </w:r>
      <w:r w:rsidRPr="004008BC">
        <w:rPr>
          <w:rFonts w:ascii="Palatino Linotype" w:eastAsia="Palatino Linotype" w:hAnsi="Palatino Linotype" w:cs="Palatino Linotype"/>
          <w:b/>
          <w:i/>
          <w:sz w:val="22"/>
          <w:szCs w:val="22"/>
        </w:rPr>
        <w:t xml:space="preserve"> </w:t>
      </w:r>
    </w:p>
    <w:p w:rsidR="00924D01" w:rsidRPr="004008BC" w:rsidRDefault="00A1353F">
      <w:pPr>
        <w:tabs>
          <w:tab w:val="left" w:pos="851"/>
        </w:tabs>
        <w:ind w:left="851" w:right="901"/>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w:t>
      </w:r>
    </w:p>
    <w:p w:rsidR="00924D01" w:rsidRPr="004008BC" w:rsidRDefault="00A1353F">
      <w:pPr>
        <w:tabs>
          <w:tab w:val="left" w:pos="851"/>
        </w:tabs>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 xml:space="preserve">II. El nombre del solicitante </w:t>
      </w:r>
      <w:r w:rsidRPr="004008BC">
        <w:rPr>
          <w:rFonts w:ascii="Palatino Linotype" w:eastAsia="Palatino Linotype" w:hAnsi="Palatino Linotype" w:cs="Palatino Linotype"/>
          <w:b/>
          <w:i/>
          <w:color w:val="222222"/>
          <w:sz w:val="22"/>
          <w:szCs w:val="22"/>
        </w:rPr>
        <w:t>que</w:t>
      </w:r>
      <w:r w:rsidRPr="004008BC">
        <w:rPr>
          <w:rFonts w:ascii="Palatino Linotype" w:eastAsia="Palatino Linotype" w:hAnsi="Palatino Linotype" w:cs="Palatino Linotype"/>
          <w:b/>
          <w:i/>
          <w:sz w:val="22"/>
          <w:szCs w:val="22"/>
        </w:rPr>
        <w:t xml:space="preserve"> recurre </w:t>
      </w:r>
      <w:r w:rsidRPr="004008BC">
        <w:rPr>
          <w:rFonts w:ascii="Palatino Linotype" w:eastAsia="Palatino Linotype" w:hAnsi="Palatino Linotype" w:cs="Palatino Linotype"/>
          <w:i/>
          <w:sz w:val="22"/>
          <w:szCs w:val="22"/>
        </w:rPr>
        <w:t>o de su representante y, en su caso, …</w:t>
      </w:r>
    </w:p>
    <w:p w:rsidR="00924D01" w:rsidRPr="004008BC" w:rsidRDefault="00A1353F">
      <w:pPr>
        <w:tabs>
          <w:tab w:val="left" w:pos="851"/>
        </w:tabs>
        <w:ind w:left="851" w:right="901"/>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 xml:space="preserve">En caso de </w:t>
      </w:r>
      <w:r w:rsidRPr="004008BC">
        <w:rPr>
          <w:rFonts w:ascii="Palatino Linotype" w:eastAsia="Palatino Linotype" w:hAnsi="Palatino Linotype" w:cs="Palatino Linotype"/>
          <w:b/>
          <w:i/>
          <w:color w:val="222222"/>
          <w:sz w:val="22"/>
          <w:szCs w:val="22"/>
        </w:rPr>
        <w:t>que</w:t>
      </w:r>
      <w:r w:rsidRPr="004008BC">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4008BC">
        <w:rPr>
          <w:rFonts w:ascii="Palatino Linotype" w:eastAsia="Palatino Linotype" w:hAnsi="Palatino Linotype" w:cs="Palatino Linotype"/>
          <w:i/>
          <w:sz w:val="22"/>
          <w:szCs w:val="22"/>
        </w:rPr>
        <w:t>, IV, VII y VIII.</w:t>
      </w:r>
      <w:r w:rsidRPr="004008BC">
        <w:rPr>
          <w:rFonts w:ascii="Palatino Linotype" w:eastAsia="Palatino Linotype" w:hAnsi="Palatino Linotype" w:cs="Palatino Linotype"/>
          <w:b/>
          <w:i/>
          <w:sz w:val="22"/>
          <w:szCs w:val="22"/>
        </w:rPr>
        <w:t>”</w:t>
      </w:r>
    </w:p>
    <w:p w:rsidR="00924D01" w:rsidRPr="004008BC" w:rsidRDefault="00A1353F">
      <w:pPr>
        <w:tabs>
          <w:tab w:val="left" w:pos="851"/>
        </w:tabs>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(Énfasis añadido)</w:t>
      </w:r>
    </w:p>
    <w:p w:rsidR="00924D01" w:rsidRPr="004008BC" w:rsidRDefault="00924D01">
      <w:pPr>
        <w:tabs>
          <w:tab w:val="left" w:pos="851"/>
        </w:tabs>
        <w:ind w:right="901"/>
        <w:jc w:val="both"/>
        <w:rPr>
          <w:rFonts w:ascii="Palatino Linotype" w:eastAsia="Palatino Linotype" w:hAnsi="Palatino Linotype" w:cs="Palatino Linotype"/>
          <w:i/>
          <w:sz w:val="22"/>
          <w:szCs w:val="22"/>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4008BC">
        <w:rPr>
          <w:rFonts w:ascii="Palatino Linotype" w:eastAsia="Palatino Linotype" w:hAnsi="Palatino Linotype" w:cs="Palatino Linotype"/>
          <w:b/>
        </w:rPr>
        <w:t>;</w:t>
      </w:r>
      <w:r w:rsidRPr="004008BC">
        <w:rPr>
          <w:rFonts w:ascii="Palatino Linotype" w:eastAsia="Palatino Linotype" w:hAnsi="Palatino Linotype" w:cs="Palatino Linotype"/>
        </w:rPr>
        <w:t xml:space="preserve"> por lo que, en el presente caso, al haber sido presentado el Recurso de Revisión vía </w:t>
      </w:r>
      <w:r w:rsidRPr="004008BC">
        <w:rPr>
          <w:rFonts w:ascii="Palatino Linotype" w:eastAsia="Palatino Linotype" w:hAnsi="Palatino Linotype" w:cs="Palatino Linotype"/>
          <w:b/>
        </w:rPr>
        <w:t>SAIMEX</w:t>
      </w:r>
      <w:r w:rsidRPr="004008BC">
        <w:rPr>
          <w:rFonts w:ascii="Palatino Linotype" w:eastAsia="Palatino Linotype" w:hAnsi="Palatino Linotype" w:cs="Palatino Linotype"/>
        </w:rPr>
        <w:t>, dicho requisito resulta innecesario.</w:t>
      </w:r>
    </w:p>
    <w:p w:rsidR="00924D01" w:rsidRPr="004008BC" w:rsidRDefault="00924D01">
      <w:pPr>
        <w:spacing w:line="360" w:lineRule="auto"/>
        <w:jc w:val="both"/>
        <w:rPr>
          <w:rFonts w:ascii="Palatino Linotype" w:eastAsia="Palatino Linotype" w:hAnsi="Palatino Linotype" w:cs="Palatino Linotype"/>
          <w:b/>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4008BC">
        <w:rPr>
          <w:rFonts w:ascii="Palatino Linotype" w:eastAsia="Palatino Linotype" w:hAnsi="Palatino Linotype" w:cs="Palatino Linotype"/>
          <w:b/>
          <w:u w:val="single"/>
        </w:rPr>
        <w:t xml:space="preserve">el nombre no es un requisito </w:t>
      </w:r>
      <w:r w:rsidRPr="004008BC">
        <w:rPr>
          <w:rFonts w:ascii="Palatino Linotype" w:eastAsia="Palatino Linotype" w:hAnsi="Palatino Linotype" w:cs="Palatino Linotype"/>
          <w:b/>
          <w:i/>
          <w:u w:val="single"/>
        </w:rPr>
        <w:t>sine qua non</w:t>
      </w:r>
      <w:r w:rsidRPr="004008BC">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sz w:val="22"/>
          <w:szCs w:val="22"/>
        </w:rPr>
      </w:pPr>
      <w:r w:rsidRPr="004008BC">
        <w:rPr>
          <w:rFonts w:ascii="Palatino Linotype" w:eastAsia="Palatino Linotype" w:hAnsi="Palatino Linotype" w:cs="Palatino Linotype"/>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924D01" w:rsidRPr="004008BC" w:rsidRDefault="00924D01">
      <w:pPr>
        <w:tabs>
          <w:tab w:val="left" w:pos="851"/>
        </w:tabs>
        <w:ind w:left="851" w:right="901"/>
        <w:jc w:val="both"/>
        <w:rPr>
          <w:rFonts w:ascii="Palatino Linotype" w:eastAsia="Palatino Linotype" w:hAnsi="Palatino Linotype" w:cs="Palatino Linotype"/>
          <w:sz w:val="22"/>
          <w:szCs w:val="22"/>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Asimismo, se estima que el requisito relativo al nombre de </w:t>
      </w:r>
      <w:r w:rsidRPr="004008BC">
        <w:rPr>
          <w:rFonts w:ascii="Palatino Linotype" w:eastAsia="Palatino Linotype" w:hAnsi="Palatino Linotype" w:cs="Palatino Linotype"/>
          <w:b/>
        </w:rPr>
        <w:t>EL RECURRENTE</w:t>
      </w:r>
      <w:r w:rsidRPr="004008BC">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008BC">
        <w:rPr>
          <w:rFonts w:ascii="Palatino Linotype" w:eastAsia="Palatino Linotype" w:hAnsi="Palatino Linotype" w:cs="Palatino Linotype"/>
          <w:b/>
        </w:rPr>
        <w:t xml:space="preserve">EL RECURRENTE </w:t>
      </w:r>
      <w:r w:rsidRPr="004008BC">
        <w:rPr>
          <w:rFonts w:ascii="Palatino Linotype" w:eastAsia="Palatino Linotype" w:hAnsi="Palatino Linotype" w:cs="Palatino Linotype"/>
        </w:rPr>
        <w:t xml:space="preserve"> es la misma persona que realizó la solicitud de Acceso a la Información Pública que ahora se impugna.</w:t>
      </w:r>
    </w:p>
    <w:p w:rsidR="00924D01" w:rsidRPr="004008BC" w:rsidRDefault="00924D01">
      <w:pPr>
        <w:tabs>
          <w:tab w:val="left" w:pos="851"/>
        </w:tabs>
        <w:ind w:left="851" w:right="901"/>
        <w:jc w:val="both"/>
        <w:rPr>
          <w:rFonts w:ascii="Palatino Linotype" w:eastAsia="Palatino Linotype" w:hAnsi="Palatino Linotype" w:cs="Palatino Linotype"/>
          <w:sz w:val="22"/>
          <w:szCs w:val="22"/>
        </w:rPr>
      </w:pPr>
    </w:p>
    <w:p w:rsidR="00924D01" w:rsidRPr="004008BC" w:rsidRDefault="004008BC">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Por lo que,</w:t>
      </w:r>
      <w:r w:rsidR="00A1353F" w:rsidRPr="004008BC">
        <w:rPr>
          <w:rFonts w:ascii="Palatino Linotype" w:eastAsia="Palatino Linotype" w:hAnsi="Palatino Linotype" w:cs="Palatino Linotype"/>
        </w:rPr>
        <w:t xml:space="preserve">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w:t>
      </w:r>
      <w:r w:rsidR="00A1353F" w:rsidRPr="004008BC">
        <w:rPr>
          <w:rFonts w:ascii="Palatino Linotype" w:eastAsia="Palatino Linotype" w:hAnsi="Palatino Linotype" w:cs="Palatino Linotype"/>
        </w:rPr>
        <w:lastRenderedPageBreak/>
        <w:t xml:space="preserve">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924D01" w:rsidRPr="004008BC" w:rsidRDefault="00924D01">
      <w:pPr>
        <w:spacing w:line="360" w:lineRule="auto"/>
        <w:jc w:val="both"/>
        <w:rPr>
          <w:rFonts w:ascii="Palatino Linotype" w:eastAsia="Palatino Linotype" w:hAnsi="Palatino Linotype" w:cs="Palatino Linotype"/>
          <w:b/>
          <w:sz w:val="28"/>
          <w:szCs w:val="28"/>
        </w:rPr>
      </w:pPr>
    </w:p>
    <w:p w:rsidR="00924D01" w:rsidRPr="004008BC" w:rsidRDefault="00A1353F">
      <w:pPr>
        <w:spacing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sz w:val="28"/>
          <w:szCs w:val="28"/>
        </w:rPr>
        <w:t>SEXTO</w:t>
      </w:r>
      <w:r w:rsidRPr="004008BC">
        <w:rPr>
          <w:rFonts w:ascii="Palatino Linotype" w:eastAsia="Palatino Linotype" w:hAnsi="Palatino Linotype" w:cs="Palatino Linotype"/>
          <w:b/>
        </w:rPr>
        <w:t xml:space="preserve">. Estudio y resolución del asunto. </w:t>
      </w:r>
    </w:p>
    <w:p w:rsidR="00E32B19" w:rsidRPr="004008BC" w:rsidRDefault="00C52609" w:rsidP="005F3021">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Para efecto de analizar los recursos acumulados, </w:t>
      </w:r>
      <w:r w:rsidR="0015251D" w:rsidRPr="004008BC">
        <w:rPr>
          <w:rFonts w:ascii="Palatino Linotype" w:eastAsia="Palatino Linotype" w:hAnsi="Palatino Linotype" w:cs="Palatino Linotype"/>
        </w:rPr>
        <w:t>p</w:t>
      </w:r>
      <w:r w:rsidRPr="004008BC">
        <w:rPr>
          <w:rFonts w:ascii="Palatino Linotype" w:eastAsia="Palatino Linotype" w:hAnsi="Palatino Linotype" w:cs="Palatino Linotype"/>
        </w:rPr>
        <w:t xml:space="preserve">rimeramente, </w:t>
      </w:r>
      <w:r w:rsidR="00A1353F" w:rsidRPr="004008BC">
        <w:rPr>
          <w:rFonts w:ascii="Palatino Linotype" w:eastAsia="Palatino Linotype" w:hAnsi="Palatino Linotype" w:cs="Palatino Linotype"/>
        </w:rPr>
        <w:t xml:space="preserve">es conveniente recordar </w:t>
      </w:r>
      <w:r w:rsidR="007C40E2" w:rsidRPr="004008BC">
        <w:rPr>
          <w:rFonts w:ascii="Palatino Linotype" w:eastAsia="Palatino Linotype" w:hAnsi="Palatino Linotype" w:cs="Palatino Linotype"/>
        </w:rPr>
        <w:t>lo que</w:t>
      </w:r>
      <w:r w:rsidR="00A1353F" w:rsidRPr="004008BC">
        <w:rPr>
          <w:rFonts w:ascii="Palatino Linotype" w:eastAsia="Palatino Linotype" w:hAnsi="Palatino Linotype" w:cs="Palatino Linotype"/>
        </w:rPr>
        <w:t xml:space="preserve"> el particular solicitó del </w:t>
      </w:r>
      <w:r w:rsidR="00A1353F" w:rsidRPr="004008BC">
        <w:rPr>
          <w:rFonts w:ascii="Palatino Linotype" w:eastAsia="Palatino Linotype" w:hAnsi="Palatino Linotype" w:cs="Palatino Linotype"/>
          <w:b/>
        </w:rPr>
        <w:t>SUJETO OBLIGADO</w:t>
      </w:r>
      <w:r w:rsidR="005F3021" w:rsidRPr="004008BC">
        <w:rPr>
          <w:rFonts w:ascii="Palatino Linotype" w:eastAsia="Palatino Linotype" w:hAnsi="Palatino Linotype" w:cs="Palatino Linotype"/>
        </w:rPr>
        <w:t>, la cual</w:t>
      </w:r>
      <w:r w:rsidR="00E32B19" w:rsidRPr="004008BC">
        <w:rPr>
          <w:rFonts w:ascii="Palatino Linotype" w:eastAsia="Palatino Linotype" w:hAnsi="Palatino Linotype" w:cs="Palatino Linotype"/>
        </w:rPr>
        <w:t xml:space="preserve"> versa sobre:</w:t>
      </w:r>
    </w:p>
    <w:p w:rsidR="00C9304B" w:rsidRPr="004008BC" w:rsidRDefault="00C9304B" w:rsidP="005F3021">
      <w:pPr>
        <w:spacing w:line="360" w:lineRule="auto"/>
        <w:ind w:right="49"/>
        <w:jc w:val="both"/>
        <w:rPr>
          <w:rFonts w:ascii="Palatino Linotype" w:eastAsia="Palatino Linotype" w:hAnsi="Palatino Linotype" w:cs="Palatino Linotype"/>
        </w:rPr>
      </w:pPr>
    </w:p>
    <w:p w:rsidR="00E32B19" w:rsidRPr="004008BC" w:rsidRDefault="00E32B19" w:rsidP="00CB0DF1">
      <w:pPr>
        <w:numPr>
          <w:ilvl w:val="0"/>
          <w:numId w:val="5"/>
        </w:numPr>
        <w:spacing w:line="360" w:lineRule="auto"/>
        <w:ind w:left="284"/>
        <w:jc w:val="both"/>
        <w:rPr>
          <w:rFonts w:ascii="Palatino Linotype" w:eastAsia="Palatino Linotype" w:hAnsi="Palatino Linotype" w:cs="Palatino Linotype"/>
        </w:rPr>
      </w:pPr>
      <w:r w:rsidRPr="004008BC">
        <w:rPr>
          <w:rFonts w:ascii="Palatino Linotype" w:eastAsia="Palatino Linotype" w:hAnsi="Palatino Linotype" w:cs="Palatino Linotype"/>
        </w:rPr>
        <w:t>Contrato o documento de los años 2014 a 2017 en versión publica, donde conste tipo de licitación o procedimiento que se llevó a cabo para la contratación de las empresas: a) Interacción Biomédica S.A. de C.V. b) Grupo FEGAMA S.A. de C.V. c) KHELA Asociados S.A de C.V. d) Comercializadore El Chuac S.A de C.V. e) AFAME S.A de C.V. f) Gaudium Crecimiento S.A de C.V. g) Visión Creativa de imágenes e Ideas S.A de C.V.</w:t>
      </w:r>
    </w:p>
    <w:p w:rsidR="00E32B19" w:rsidRPr="004008BC" w:rsidRDefault="00E32B19" w:rsidP="00CB0DF1">
      <w:pPr>
        <w:numPr>
          <w:ilvl w:val="0"/>
          <w:numId w:val="5"/>
        </w:numPr>
        <w:spacing w:line="360" w:lineRule="auto"/>
        <w:ind w:left="426"/>
        <w:jc w:val="both"/>
        <w:rPr>
          <w:rFonts w:ascii="Palatino Linotype" w:eastAsia="Palatino Linotype" w:hAnsi="Palatino Linotype" w:cs="Palatino Linotype"/>
        </w:rPr>
      </w:pPr>
      <w:r w:rsidRPr="004008BC">
        <w:rPr>
          <w:rFonts w:ascii="Palatino Linotype" w:eastAsia="Palatino Linotype" w:hAnsi="Palatino Linotype" w:cs="Palatino Linotype"/>
        </w:rPr>
        <w:t>Del periodo de 2014 a 2017</w:t>
      </w:r>
      <w:r w:rsidR="00C9304B" w:rsidRPr="004008BC">
        <w:rPr>
          <w:rFonts w:ascii="Palatino Linotype" w:eastAsia="Palatino Linotype" w:hAnsi="Palatino Linotype" w:cs="Palatino Linotype"/>
        </w:rPr>
        <w:t>,</w:t>
      </w:r>
      <w:r w:rsidRPr="004008BC">
        <w:rPr>
          <w:rFonts w:ascii="Palatino Linotype" w:eastAsia="Palatino Linotype" w:hAnsi="Palatino Linotype" w:cs="Palatino Linotype"/>
        </w:rPr>
        <w:t xml:space="preserve"> documento donde conste la Opinión de Cumplimiento de Obligaciones Fiscales para que las empresas de referencia participen como proveedores, expedida por el SAT.</w:t>
      </w:r>
    </w:p>
    <w:p w:rsidR="00E32B19" w:rsidRPr="004008BC" w:rsidRDefault="00E32B19">
      <w:pPr>
        <w:tabs>
          <w:tab w:val="left" w:pos="709"/>
        </w:tabs>
        <w:spacing w:line="360" w:lineRule="auto"/>
        <w:jc w:val="both"/>
        <w:rPr>
          <w:rFonts w:ascii="Palatino Linotype" w:eastAsia="Palatino Linotype" w:hAnsi="Palatino Linotype" w:cs="Palatino Linotype"/>
        </w:rPr>
      </w:pPr>
    </w:p>
    <w:p w:rsidR="00E32B19" w:rsidRPr="004008BC" w:rsidRDefault="00E32B19">
      <w:pPr>
        <w:tabs>
          <w:tab w:val="left" w:pos="709"/>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Respecto de la solicitud contenida en el inciso A), en la respuesta </w:t>
      </w:r>
      <w:r w:rsidR="005F3021" w:rsidRPr="004008BC">
        <w:rPr>
          <w:rFonts w:ascii="Palatino Linotype" w:eastAsia="Palatino Linotype" w:hAnsi="Palatino Linotype" w:cs="Palatino Linotype"/>
        </w:rPr>
        <w:t xml:space="preserve">del </w:t>
      </w:r>
      <w:r w:rsidR="005F3021" w:rsidRPr="004008BC">
        <w:rPr>
          <w:rFonts w:ascii="Palatino Linotype" w:eastAsia="Palatino Linotype" w:hAnsi="Palatino Linotype" w:cs="Palatino Linotype"/>
          <w:b/>
        </w:rPr>
        <w:t>SUJETO HABILITADO</w:t>
      </w:r>
      <w:r w:rsidR="005F3021" w:rsidRPr="004008BC">
        <w:rPr>
          <w:rFonts w:ascii="Palatino Linotype" w:eastAsia="Palatino Linotype" w:hAnsi="Palatino Linotype" w:cs="Palatino Linotype"/>
        </w:rPr>
        <w:t xml:space="preserve"> esencialmente, </w:t>
      </w:r>
      <w:r w:rsidRPr="004008BC">
        <w:rPr>
          <w:rFonts w:ascii="Palatino Linotype" w:eastAsia="Palatino Linotype" w:hAnsi="Palatino Linotype" w:cs="Palatino Linotype"/>
        </w:rPr>
        <w:t>l</w:t>
      </w:r>
      <w:r w:rsidR="005F3021" w:rsidRPr="004008BC">
        <w:rPr>
          <w:rFonts w:ascii="Palatino Linotype" w:eastAsia="Palatino Linotype" w:hAnsi="Palatino Linotype" w:cs="Palatino Linotype"/>
        </w:rPr>
        <w:t xml:space="preserve">e indicó una liga de acceso al sistema de IPOMEX, para </w:t>
      </w:r>
      <w:r w:rsidR="005F3021" w:rsidRPr="004008BC">
        <w:rPr>
          <w:rFonts w:ascii="Palatino Linotype" w:eastAsia="Palatino Linotype" w:hAnsi="Palatino Linotype" w:cs="Palatino Linotype"/>
        </w:rPr>
        <w:lastRenderedPageBreak/>
        <w:t xml:space="preserve">disponer de la información y, respecto del inciso B) el </w:t>
      </w:r>
      <w:r w:rsidR="005F3021" w:rsidRPr="004008BC">
        <w:rPr>
          <w:rFonts w:ascii="Palatino Linotype" w:eastAsia="Palatino Linotype" w:hAnsi="Palatino Linotype" w:cs="Palatino Linotype"/>
          <w:b/>
        </w:rPr>
        <w:t>SUJETO OBLIGADO</w:t>
      </w:r>
      <w:r w:rsidR="005F3021" w:rsidRPr="004008BC">
        <w:rPr>
          <w:rFonts w:ascii="Palatino Linotype" w:eastAsia="Palatino Linotype" w:hAnsi="Palatino Linotype" w:cs="Palatino Linotype"/>
        </w:rPr>
        <w:t xml:space="preserve"> contestó que no </w:t>
      </w:r>
      <w:r w:rsidR="00C9304B" w:rsidRPr="004008BC">
        <w:rPr>
          <w:rFonts w:ascii="Palatino Linotype" w:eastAsia="Palatino Linotype" w:hAnsi="Palatino Linotype" w:cs="Palatino Linotype"/>
        </w:rPr>
        <w:t xml:space="preserve">contaba </w:t>
      </w:r>
      <w:r w:rsidR="005F3021" w:rsidRPr="004008BC">
        <w:rPr>
          <w:rFonts w:ascii="Palatino Linotype" w:eastAsia="Palatino Linotype" w:hAnsi="Palatino Linotype" w:cs="Palatino Linotype"/>
        </w:rPr>
        <w:t>con la información solicitada.</w:t>
      </w:r>
    </w:p>
    <w:p w:rsidR="005F3021" w:rsidRPr="004008BC" w:rsidRDefault="005F3021">
      <w:pPr>
        <w:tabs>
          <w:tab w:val="left" w:pos="709"/>
        </w:tabs>
        <w:spacing w:line="360" w:lineRule="auto"/>
        <w:jc w:val="both"/>
        <w:rPr>
          <w:rFonts w:ascii="Palatino Linotype" w:eastAsia="Palatino Linotype" w:hAnsi="Palatino Linotype" w:cs="Palatino Linotype"/>
        </w:rPr>
      </w:pPr>
    </w:p>
    <w:p w:rsidR="008B52E4" w:rsidRPr="004008BC" w:rsidRDefault="00A1353F">
      <w:pPr>
        <w:tabs>
          <w:tab w:val="left" w:pos="709"/>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Inconforme con la</w:t>
      </w:r>
      <w:r w:rsidR="007C40E2" w:rsidRPr="004008BC">
        <w:rPr>
          <w:rFonts w:ascii="Palatino Linotype" w:eastAsia="Palatino Linotype" w:hAnsi="Palatino Linotype" w:cs="Palatino Linotype"/>
        </w:rPr>
        <w:t>s</w:t>
      </w:r>
      <w:r w:rsidRPr="004008BC">
        <w:rPr>
          <w:rFonts w:ascii="Palatino Linotype" w:eastAsia="Palatino Linotype" w:hAnsi="Palatino Linotype" w:cs="Palatino Linotype"/>
        </w:rPr>
        <w:t xml:space="preserve"> respuesta</w:t>
      </w:r>
      <w:r w:rsidR="007C40E2" w:rsidRPr="004008BC">
        <w:rPr>
          <w:rFonts w:ascii="Palatino Linotype" w:eastAsia="Palatino Linotype" w:hAnsi="Palatino Linotype" w:cs="Palatino Linotype"/>
        </w:rPr>
        <w:t>s</w:t>
      </w:r>
      <w:r w:rsidRPr="004008BC">
        <w:rPr>
          <w:rFonts w:ascii="Palatino Linotype" w:eastAsia="Palatino Linotype" w:hAnsi="Palatino Linotype" w:cs="Palatino Linotype"/>
        </w:rPr>
        <w:t xml:space="preserve">, el particular presentó </w:t>
      </w:r>
      <w:r w:rsidR="007C40E2" w:rsidRPr="004008BC">
        <w:rPr>
          <w:rFonts w:ascii="Palatino Linotype" w:eastAsia="Palatino Linotype" w:hAnsi="Palatino Linotype" w:cs="Palatino Linotype"/>
        </w:rPr>
        <w:t>los recursos</w:t>
      </w:r>
      <w:r w:rsidR="00C904F3" w:rsidRPr="004008BC">
        <w:rPr>
          <w:rFonts w:ascii="Palatino Linotype" w:eastAsia="Palatino Linotype" w:hAnsi="Palatino Linotype" w:cs="Palatino Linotype"/>
        </w:rPr>
        <w:t xml:space="preserve"> en estudio, en el que se duele categóricamente </w:t>
      </w:r>
      <w:r w:rsidRPr="004008BC">
        <w:rPr>
          <w:rFonts w:ascii="Palatino Linotype" w:eastAsia="Palatino Linotype" w:hAnsi="Palatino Linotype" w:cs="Palatino Linotype"/>
        </w:rPr>
        <w:t xml:space="preserve">de </w:t>
      </w:r>
      <w:r w:rsidR="00952CCD" w:rsidRPr="004008BC">
        <w:rPr>
          <w:rFonts w:ascii="Palatino Linotype" w:eastAsia="Palatino Linotype" w:hAnsi="Palatino Linotype" w:cs="Palatino Linotype"/>
        </w:rPr>
        <w:t>la respuesta.</w:t>
      </w:r>
      <w:r w:rsidRPr="004008BC">
        <w:rPr>
          <w:rFonts w:ascii="Palatino Linotype" w:eastAsia="Palatino Linotype" w:hAnsi="Palatino Linotype" w:cs="Palatino Linotype"/>
        </w:rPr>
        <w:t xml:space="preserve"> </w:t>
      </w:r>
    </w:p>
    <w:p w:rsidR="00924D01" w:rsidRPr="00440166" w:rsidRDefault="00A1353F">
      <w:pPr>
        <w:tabs>
          <w:tab w:val="left" w:pos="2422"/>
        </w:tabs>
        <w:spacing w:before="280" w:after="280"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Lo cual en consecuencia actualiza las hipótesis de procedibilidad previstas en la </w:t>
      </w:r>
      <w:r w:rsidRPr="00440166">
        <w:rPr>
          <w:rFonts w:ascii="Palatino Linotype" w:eastAsia="Palatino Linotype" w:hAnsi="Palatino Linotype" w:cs="Palatino Linotype"/>
        </w:rPr>
        <w:t>fracci</w:t>
      </w:r>
      <w:r w:rsidR="00F131E0" w:rsidRPr="00440166">
        <w:rPr>
          <w:rFonts w:ascii="Palatino Linotype" w:eastAsia="Palatino Linotype" w:hAnsi="Palatino Linotype" w:cs="Palatino Linotype"/>
        </w:rPr>
        <w:t>ón</w:t>
      </w:r>
      <w:r w:rsidRPr="00440166">
        <w:rPr>
          <w:rFonts w:ascii="Palatino Linotype" w:eastAsia="Palatino Linotype" w:hAnsi="Palatino Linotype" w:cs="Palatino Linotype"/>
        </w:rPr>
        <w:t xml:space="preserve"> I, del artículo 179 de la Ley de la materia, el cual a la letra dice:</w:t>
      </w:r>
    </w:p>
    <w:p w:rsidR="00924D01" w:rsidRPr="00440166" w:rsidRDefault="00A1353F">
      <w:pPr>
        <w:ind w:left="851" w:right="901"/>
        <w:jc w:val="both"/>
        <w:rPr>
          <w:rFonts w:ascii="Palatino Linotype" w:eastAsia="Palatino Linotype" w:hAnsi="Palatino Linotype" w:cs="Palatino Linotype"/>
          <w:i/>
          <w:sz w:val="22"/>
          <w:szCs w:val="22"/>
        </w:rPr>
      </w:pPr>
      <w:r w:rsidRPr="00440166">
        <w:rPr>
          <w:rFonts w:ascii="Palatino Linotype" w:eastAsia="Palatino Linotype" w:hAnsi="Palatino Linotype" w:cs="Palatino Linotype"/>
          <w:i/>
          <w:sz w:val="22"/>
          <w:szCs w:val="22"/>
        </w:rPr>
        <w:t>“</w:t>
      </w:r>
      <w:r w:rsidRPr="00440166">
        <w:rPr>
          <w:rFonts w:ascii="Palatino Linotype" w:eastAsia="Palatino Linotype" w:hAnsi="Palatino Linotype" w:cs="Palatino Linotype"/>
          <w:b/>
          <w:i/>
          <w:sz w:val="22"/>
          <w:szCs w:val="22"/>
        </w:rPr>
        <w:t>Artículo 179.</w:t>
      </w:r>
      <w:r w:rsidRPr="0044016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924D01" w:rsidRPr="00440166" w:rsidRDefault="00A1353F">
      <w:pPr>
        <w:ind w:left="851" w:right="901"/>
        <w:jc w:val="both"/>
        <w:rPr>
          <w:rFonts w:ascii="Palatino Linotype" w:eastAsia="Palatino Linotype" w:hAnsi="Palatino Linotype" w:cs="Palatino Linotype"/>
          <w:b/>
          <w:i/>
          <w:sz w:val="22"/>
          <w:szCs w:val="22"/>
        </w:rPr>
      </w:pPr>
      <w:r w:rsidRPr="00440166">
        <w:rPr>
          <w:rFonts w:ascii="Palatino Linotype" w:eastAsia="Palatino Linotype" w:hAnsi="Palatino Linotype" w:cs="Palatino Linotype"/>
          <w:b/>
          <w:i/>
          <w:sz w:val="22"/>
          <w:szCs w:val="22"/>
        </w:rPr>
        <w:t>I. La negativa a la información solicitada;</w:t>
      </w:r>
    </w:p>
    <w:p w:rsidR="00924D01" w:rsidRPr="00440166" w:rsidRDefault="00A1353F">
      <w:pPr>
        <w:ind w:left="851" w:right="901"/>
        <w:jc w:val="both"/>
        <w:rPr>
          <w:rFonts w:ascii="Palatino Linotype" w:eastAsia="Palatino Linotype" w:hAnsi="Palatino Linotype" w:cs="Palatino Linotype"/>
          <w:i/>
          <w:sz w:val="22"/>
          <w:szCs w:val="22"/>
        </w:rPr>
      </w:pPr>
      <w:r w:rsidRPr="00440166">
        <w:rPr>
          <w:rFonts w:ascii="Palatino Linotype" w:eastAsia="Palatino Linotype" w:hAnsi="Palatino Linotype" w:cs="Palatino Linotype"/>
          <w:i/>
          <w:sz w:val="22"/>
          <w:szCs w:val="22"/>
        </w:rPr>
        <w:t>II. La clasificación de la información;</w:t>
      </w:r>
    </w:p>
    <w:p w:rsidR="00924D01" w:rsidRPr="004008BC" w:rsidRDefault="00A1353F">
      <w:pPr>
        <w:ind w:left="851" w:right="901"/>
        <w:jc w:val="both"/>
        <w:rPr>
          <w:rFonts w:ascii="Palatino Linotype" w:eastAsia="Palatino Linotype" w:hAnsi="Palatino Linotype" w:cs="Palatino Linotype"/>
          <w:i/>
          <w:sz w:val="22"/>
          <w:szCs w:val="22"/>
        </w:rPr>
      </w:pPr>
      <w:r w:rsidRPr="00440166">
        <w:rPr>
          <w:rFonts w:ascii="Palatino Linotype" w:eastAsia="Palatino Linotype" w:hAnsi="Palatino Linotype" w:cs="Palatino Linotype"/>
          <w:i/>
          <w:sz w:val="22"/>
          <w:szCs w:val="22"/>
        </w:rPr>
        <w:t>III. La declaración de inexistencia de la información</w:t>
      </w:r>
      <w:r w:rsidRPr="004008BC">
        <w:rPr>
          <w:rFonts w:ascii="Palatino Linotype" w:eastAsia="Palatino Linotype" w:hAnsi="Palatino Linotype" w:cs="Palatino Linotype"/>
          <w:i/>
          <w:sz w:val="22"/>
          <w:szCs w:val="22"/>
        </w:rPr>
        <w:t>;</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IV. La declaración de incompetencia por el sujeto obligado;</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V. La entrega de información incompleta;</w:t>
      </w:r>
    </w:p>
    <w:p w:rsidR="00924D01" w:rsidRPr="00D230AD" w:rsidRDefault="00A1353F">
      <w:pPr>
        <w:ind w:left="851" w:right="901"/>
        <w:jc w:val="both"/>
        <w:rPr>
          <w:rFonts w:ascii="Palatino Linotype" w:eastAsia="Palatino Linotype" w:hAnsi="Palatino Linotype" w:cs="Palatino Linotype"/>
          <w:i/>
          <w:sz w:val="22"/>
          <w:szCs w:val="22"/>
        </w:rPr>
      </w:pPr>
      <w:r w:rsidRPr="00D230AD">
        <w:rPr>
          <w:rFonts w:ascii="Palatino Linotype" w:eastAsia="Palatino Linotype" w:hAnsi="Palatino Linotype" w:cs="Palatino Linotype"/>
          <w:i/>
          <w:sz w:val="22"/>
          <w:szCs w:val="22"/>
        </w:rPr>
        <w:t>VI. La entrega de información que no corresponda con lo solicitado;</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VII. La falta de respuesta a una solicitud de acceso a la información;</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VIII. La notificación, entrega o puesta a disposición de información en</w:t>
      </w:r>
      <w:r w:rsidR="00FE0764"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una modalidad o formato distinto al solicitado;</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IX. La entrega o puesta a disposición de información en un formato</w:t>
      </w:r>
      <w:r w:rsidR="00FE0764"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incomprensible y/o no accesible para el solicitante;</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 Los costos o tiempos de entrega de la información;</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 La falta de trámite a una solicitud;</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XII. La negativa a permitir la consulta directa de la información;</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XIII. La falta, deficiencia o insuficiencia de la fundamentación y/o</w:t>
      </w:r>
      <w:r w:rsidR="00FE0764"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motivación en la respuesta; y</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XIV. La orientación a un trámite específico.;</w:t>
      </w:r>
    </w:p>
    <w:p w:rsidR="00924D01" w:rsidRPr="004008BC" w:rsidRDefault="00A1353F">
      <w:pPr>
        <w:ind w:left="851"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w:t>
      </w:r>
      <w:r w:rsidRPr="004008BC">
        <w:rPr>
          <w:rFonts w:ascii="Palatino Linotype" w:eastAsia="Palatino Linotype" w:hAnsi="Palatino Linotype" w:cs="Palatino Linotype"/>
          <w:i/>
          <w:sz w:val="22"/>
          <w:szCs w:val="22"/>
        </w:rPr>
        <w:t>”</w:t>
      </w:r>
    </w:p>
    <w:p w:rsidR="00924D01" w:rsidRPr="004008BC" w:rsidRDefault="00A1353F">
      <w:pPr>
        <w:ind w:left="851" w:right="901"/>
        <w:jc w:val="both"/>
        <w:rPr>
          <w:rFonts w:ascii="Palatino Linotype" w:eastAsia="Palatino Linotype" w:hAnsi="Palatino Linotype" w:cs="Palatino Linotype"/>
        </w:rPr>
      </w:pPr>
      <w:r w:rsidRPr="004008BC">
        <w:rPr>
          <w:rFonts w:ascii="Palatino Linotype" w:eastAsia="Palatino Linotype" w:hAnsi="Palatino Linotype" w:cs="Palatino Linotype"/>
          <w:i/>
          <w:sz w:val="22"/>
          <w:szCs w:val="22"/>
        </w:rPr>
        <w:t>(Énfasis añadido)</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tabs>
          <w:tab w:val="left" w:pos="709"/>
        </w:tabs>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lastRenderedPageBreak/>
        <w:t>Una vez señalado lo anterior</w:t>
      </w:r>
      <w:r w:rsidR="0082722A" w:rsidRPr="004008BC">
        <w:rPr>
          <w:rFonts w:ascii="Palatino Linotype" w:eastAsia="Palatino Linotype" w:hAnsi="Palatino Linotype" w:cs="Palatino Linotype"/>
        </w:rPr>
        <w:t>,</w:t>
      </w:r>
      <w:r w:rsidRPr="004008BC">
        <w:rPr>
          <w:rFonts w:ascii="Palatino Linotype" w:eastAsia="Palatino Linotype" w:hAnsi="Palatino Linotype" w:cs="Palatino Linotype"/>
        </w:rPr>
        <w:t xml:space="preserve"> es conveniente mencionar que, la Ley de Transparencia y Acceso a la Información Pública del Estado de México y Municipios que en su artículo 4, refiere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24D01" w:rsidRPr="004008BC" w:rsidRDefault="00A1353F">
      <w:pPr>
        <w:spacing w:before="240"/>
        <w:ind w:left="709" w:right="76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r w:rsidRPr="004008BC">
        <w:rPr>
          <w:rFonts w:ascii="Palatino Linotype" w:eastAsia="Palatino Linotype" w:hAnsi="Palatino Linotype" w:cs="Palatino Linotype"/>
          <w:b/>
          <w:i/>
          <w:sz w:val="22"/>
          <w:szCs w:val="22"/>
        </w:rPr>
        <w:t>Artículo 4</w:t>
      </w:r>
      <w:r w:rsidRPr="004008B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24D01" w:rsidRPr="004008BC" w:rsidRDefault="00A1353F">
      <w:pPr>
        <w:ind w:left="709" w:right="76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008B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24D01" w:rsidRPr="004008BC" w:rsidRDefault="00A1353F">
      <w:pPr>
        <w:ind w:left="709" w:right="76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008BC">
        <w:rPr>
          <w:rFonts w:ascii="Palatino Linotype" w:eastAsia="Palatino Linotype" w:hAnsi="Palatino Linotype" w:cs="Palatino Linotype"/>
          <w:i/>
          <w:sz w:val="22"/>
          <w:szCs w:val="22"/>
        </w:rPr>
        <w:t>.”(Sic)</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sidRPr="004008BC">
        <w:rPr>
          <w:rFonts w:ascii="Palatino Linotype" w:eastAsia="Palatino Linotype" w:hAnsi="Palatino Linotype" w:cs="Palatino Linotype"/>
        </w:rPr>
        <w:lastRenderedPageBreak/>
        <w:t>solicitante; como así lo establece el artículo 12 de la Ley de Transparencia y Acceso a la Información Pública del Estado de México y Municipios, que a la letra dice:</w:t>
      </w:r>
    </w:p>
    <w:p w:rsidR="00924D01" w:rsidRPr="004008BC" w:rsidRDefault="00A1353F">
      <w:pPr>
        <w:ind w:left="567" w:right="758"/>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“Artículo 12.-</w:t>
      </w:r>
      <w:r w:rsidRPr="004008B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924D01" w:rsidRPr="004008BC" w:rsidRDefault="00924D01">
      <w:pPr>
        <w:ind w:left="567" w:right="758"/>
        <w:jc w:val="both"/>
        <w:rPr>
          <w:rFonts w:ascii="Palatino Linotype" w:eastAsia="Palatino Linotype" w:hAnsi="Palatino Linotype" w:cs="Palatino Linotype"/>
          <w:i/>
          <w:sz w:val="22"/>
          <w:szCs w:val="22"/>
        </w:rPr>
      </w:pPr>
    </w:p>
    <w:p w:rsidR="00924D01" w:rsidRPr="004008BC" w:rsidRDefault="00A1353F">
      <w:pPr>
        <w:ind w:left="567" w:right="758"/>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924D01" w:rsidRPr="004008BC" w:rsidRDefault="00924D01">
      <w:pPr>
        <w:spacing w:line="360" w:lineRule="auto"/>
        <w:ind w:right="-93"/>
        <w:jc w:val="both"/>
        <w:rPr>
          <w:rFonts w:ascii="Palatino Linotype" w:eastAsia="Palatino Linotype" w:hAnsi="Palatino Linotype" w:cs="Palatino Linotype"/>
        </w:rPr>
      </w:pPr>
    </w:p>
    <w:p w:rsidR="00924D01" w:rsidRDefault="00A1353F">
      <w:pPr>
        <w:spacing w:line="360" w:lineRule="auto"/>
        <w:ind w:right="-93"/>
        <w:jc w:val="both"/>
        <w:rPr>
          <w:rFonts w:ascii="Palatino Linotype" w:eastAsia="Palatino Linotype" w:hAnsi="Palatino Linotype" w:cs="Palatino Linotype"/>
        </w:rPr>
      </w:pPr>
      <w:r w:rsidRPr="004008BC">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F131E0" w:rsidRPr="004008BC" w:rsidRDefault="00F131E0">
      <w:pPr>
        <w:spacing w:line="360" w:lineRule="auto"/>
        <w:ind w:right="-93"/>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Siempre y cuando no se trate de información reservada o clasificada, que el difundirla ponga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24D01" w:rsidRPr="004008BC" w:rsidRDefault="00924D01">
      <w:pPr>
        <w:spacing w:line="360" w:lineRule="auto"/>
        <w:ind w:right="49"/>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r w:rsidRPr="004008BC">
        <w:rPr>
          <w:rFonts w:ascii="Palatino Linotype" w:eastAsia="Palatino Linotype" w:hAnsi="Palatino Linotype" w:cs="Palatino Linotype"/>
          <w:b/>
          <w:i/>
          <w:sz w:val="22"/>
          <w:szCs w:val="22"/>
        </w:rPr>
        <w:t xml:space="preserve">Artículo 3. </w:t>
      </w:r>
      <w:r w:rsidRPr="004008BC">
        <w:rPr>
          <w:rFonts w:ascii="Palatino Linotype" w:eastAsia="Palatino Linotype" w:hAnsi="Palatino Linotype" w:cs="Palatino Linotype"/>
          <w:i/>
          <w:sz w:val="22"/>
          <w:szCs w:val="22"/>
        </w:rPr>
        <w:t>Para los efectos de la presente Ley se entenderá por:</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XI. Documento:</w:t>
      </w:r>
      <w:r w:rsidRPr="004008BC">
        <w:rPr>
          <w:rFonts w:ascii="Palatino Linotype" w:eastAsia="Palatino Linotype" w:hAnsi="Palatino Linotype" w:cs="Palatino Linotype"/>
          <w:i/>
          <w:sz w:val="22"/>
          <w:szCs w:val="22"/>
        </w:rPr>
        <w:t xml:space="preserve"> Los expedientes, reportes, estudios, actas</w:t>
      </w:r>
      <w:r w:rsidRPr="004008BC">
        <w:rPr>
          <w:rFonts w:ascii="Palatino Linotype" w:eastAsia="Palatino Linotype" w:hAnsi="Palatino Linotype" w:cs="Palatino Linotype"/>
          <w:b/>
          <w:i/>
          <w:sz w:val="22"/>
          <w:szCs w:val="22"/>
        </w:rPr>
        <w:t>,</w:t>
      </w:r>
      <w:r w:rsidRPr="004008B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924D01" w:rsidRPr="004008BC" w:rsidRDefault="00924D01">
      <w:pPr>
        <w:ind w:left="851" w:right="899"/>
        <w:jc w:val="both"/>
        <w:rPr>
          <w:rFonts w:ascii="Palatino Linotype" w:eastAsia="Palatino Linotype" w:hAnsi="Palatino Linotype" w:cs="Palatino Linotype"/>
          <w:sz w:val="22"/>
          <w:szCs w:val="22"/>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24D01" w:rsidRPr="004008BC" w:rsidRDefault="00924D01">
      <w:pPr>
        <w:ind w:left="851" w:right="899"/>
        <w:jc w:val="both"/>
        <w:rPr>
          <w:rFonts w:ascii="Palatino Linotype" w:eastAsia="Palatino Linotype" w:hAnsi="Palatino Linotype" w:cs="Palatino Linotype"/>
        </w:rPr>
      </w:pPr>
    </w:p>
    <w:p w:rsidR="00924D01" w:rsidRPr="004008BC" w:rsidRDefault="00A1353F">
      <w:pPr>
        <w:ind w:left="851" w:right="899"/>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sz w:val="22"/>
          <w:szCs w:val="22"/>
        </w:rPr>
        <w:t>“</w:t>
      </w:r>
      <w:r w:rsidRPr="004008BC">
        <w:rPr>
          <w:rFonts w:ascii="Palatino Linotype" w:eastAsia="Palatino Linotype" w:hAnsi="Palatino Linotype" w:cs="Palatino Linotype"/>
          <w:b/>
          <w:i/>
          <w:sz w:val="22"/>
          <w:szCs w:val="22"/>
        </w:rPr>
        <w:t>CRITERIO 0002-11</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008B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En consecuencia el acceso a la información se refiere a que se cumplan cualquiera de los siguientes tres supuestos:</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924D01" w:rsidRPr="004008BC" w:rsidRDefault="00A1353F">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rsidR="00924D01" w:rsidRPr="004008BC" w:rsidRDefault="00924D01">
      <w:pPr>
        <w:spacing w:line="360" w:lineRule="auto"/>
        <w:jc w:val="both"/>
        <w:rPr>
          <w:rFonts w:ascii="Palatino Linotype" w:eastAsia="Palatino Linotype" w:hAnsi="Palatino Linotype" w:cs="Palatino Linotype"/>
        </w:rPr>
      </w:pPr>
    </w:p>
    <w:p w:rsidR="0082722A" w:rsidRPr="004008BC" w:rsidRDefault="00FE0764">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Atendiendo a lo anterior, el </w:t>
      </w:r>
      <w:r w:rsidRPr="00F131E0">
        <w:rPr>
          <w:rFonts w:ascii="Palatino Linotype" w:eastAsia="Palatino Linotype" w:hAnsi="Palatino Linotype" w:cs="Palatino Linotype"/>
          <w:b/>
        </w:rPr>
        <w:t>SUJETO OBLIGADO</w:t>
      </w:r>
      <w:r w:rsidRPr="004008BC">
        <w:rPr>
          <w:rFonts w:ascii="Palatino Linotype" w:eastAsia="Palatino Linotype" w:hAnsi="Palatino Linotype" w:cs="Palatino Linotype"/>
        </w:rPr>
        <w:t xml:space="preserve"> debe hacer pública la información y cuidar las reservas atinentes en términos de la Ley de la </w:t>
      </w:r>
      <w:r w:rsidR="00E32B19" w:rsidRPr="004008BC">
        <w:rPr>
          <w:rFonts w:ascii="Palatino Linotype" w:eastAsia="Palatino Linotype" w:hAnsi="Palatino Linotype" w:cs="Palatino Linotype"/>
        </w:rPr>
        <w:t>M</w:t>
      </w:r>
      <w:r w:rsidRPr="004008BC">
        <w:rPr>
          <w:rFonts w:ascii="Palatino Linotype" w:eastAsia="Palatino Linotype" w:hAnsi="Palatino Linotype" w:cs="Palatino Linotype"/>
        </w:rPr>
        <w:t xml:space="preserve">ateria cuando así corresponda. </w:t>
      </w:r>
    </w:p>
    <w:p w:rsidR="00F754E9" w:rsidRPr="004008BC" w:rsidRDefault="00F754E9">
      <w:pPr>
        <w:spacing w:line="360" w:lineRule="auto"/>
        <w:jc w:val="both"/>
        <w:rPr>
          <w:rFonts w:ascii="Palatino Linotype" w:eastAsia="Palatino Linotype" w:hAnsi="Palatino Linotype" w:cs="Palatino Linotype"/>
        </w:rPr>
      </w:pPr>
    </w:p>
    <w:p w:rsidR="007C40E2" w:rsidRPr="004008BC" w:rsidRDefault="00F754E9">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lastRenderedPageBreak/>
        <w:t xml:space="preserve">En ese sentido, los Sujetos Obligados deben cumplir con </w:t>
      </w:r>
      <w:r w:rsidR="00DB38D9" w:rsidRPr="004008BC">
        <w:rPr>
          <w:rFonts w:ascii="Palatino Linotype" w:eastAsia="Palatino Linotype" w:hAnsi="Palatino Linotype" w:cs="Palatino Linotype"/>
        </w:rPr>
        <w:t xml:space="preserve">el listado de </w:t>
      </w:r>
      <w:r w:rsidRPr="004008BC">
        <w:rPr>
          <w:rFonts w:ascii="Palatino Linotype" w:eastAsia="Palatino Linotype" w:hAnsi="Palatino Linotype" w:cs="Palatino Linotype"/>
        </w:rPr>
        <w:t>las obligaciones de transparencia</w:t>
      </w:r>
      <w:r w:rsidR="00DB38D9" w:rsidRPr="004008BC">
        <w:rPr>
          <w:rFonts w:ascii="Palatino Linotype" w:eastAsia="Palatino Linotype" w:hAnsi="Palatino Linotype" w:cs="Palatino Linotype"/>
        </w:rPr>
        <w:t xml:space="preserve"> contenidas con el </w:t>
      </w:r>
      <w:r w:rsidR="00440166" w:rsidRPr="004008BC">
        <w:rPr>
          <w:rFonts w:ascii="Palatino Linotype" w:eastAsia="Palatino Linotype" w:hAnsi="Palatino Linotype" w:cs="Palatino Linotype"/>
        </w:rPr>
        <w:t>artículo 92</w:t>
      </w:r>
      <w:r w:rsidR="00DB38D9" w:rsidRPr="004008BC">
        <w:rPr>
          <w:rFonts w:ascii="Palatino Linotype" w:eastAsia="Palatino Linotype" w:hAnsi="Palatino Linotype" w:cs="Palatino Linotype"/>
        </w:rPr>
        <w:t xml:space="preserve"> </w:t>
      </w:r>
      <w:r w:rsidR="007C40E2" w:rsidRPr="004008BC">
        <w:rPr>
          <w:rFonts w:ascii="Palatino Linotype" w:eastAsia="Palatino Linotype" w:hAnsi="Palatino Linotype" w:cs="Palatino Linotype"/>
        </w:rPr>
        <w:t xml:space="preserve">de la Ley de Materia, </w:t>
      </w:r>
      <w:r w:rsidR="00DB38D9" w:rsidRPr="004008BC">
        <w:rPr>
          <w:rFonts w:ascii="Palatino Linotype" w:eastAsia="Palatino Linotype" w:hAnsi="Palatino Linotype" w:cs="Palatino Linotype"/>
        </w:rPr>
        <w:t>que en el caso particular se destaca la fracción XXIX, la cual dispone</w:t>
      </w:r>
      <w:r w:rsidR="007C40E2" w:rsidRPr="004008BC">
        <w:rPr>
          <w:rFonts w:ascii="Palatino Linotype" w:eastAsia="Palatino Linotype" w:hAnsi="Palatino Linotype" w:cs="Palatino Linotype"/>
        </w:rPr>
        <w:t>:</w:t>
      </w:r>
    </w:p>
    <w:p w:rsidR="00DA6A83" w:rsidRPr="004008BC" w:rsidRDefault="007C40E2" w:rsidP="007C40E2">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Artículo 92.</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Los sujetos obligados deberán poner a disposición del público de manera permanente y actualizada</w:t>
      </w:r>
      <w:r w:rsidRPr="004008BC">
        <w:rPr>
          <w:rFonts w:ascii="Palatino Linotype" w:eastAsia="Palatino Linotype" w:hAnsi="Palatino Linotype" w:cs="Palatino Linotype"/>
          <w:i/>
          <w:sz w:val="22"/>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C40E2" w:rsidRPr="004008BC" w:rsidRDefault="007C40E2" w:rsidP="007C40E2">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w:t>
      </w:r>
    </w:p>
    <w:p w:rsidR="007C40E2" w:rsidRPr="004008BC" w:rsidRDefault="007C40E2" w:rsidP="007C40E2">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XXIX. La información sobre los </w:t>
      </w:r>
      <w:r w:rsidRPr="004008BC">
        <w:rPr>
          <w:rFonts w:ascii="Palatino Linotype" w:eastAsia="Palatino Linotype" w:hAnsi="Palatino Linotype" w:cs="Palatino Linotype"/>
          <w:b/>
          <w:i/>
          <w:sz w:val="22"/>
          <w:szCs w:val="22"/>
        </w:rPr>
        <w:t>procesos y resultados sobre procedimientos de adjudicación directa,</w:t>
      </w:r>
      <w:r w:rsidRPr="004008BC">
        <w:rPr>
          <w:b/>
          <w:i/>
          <w:sz w:val="22"/>
          <w:szCs w:val="22"/>
        </w:rPr>
        <w:t xml:space="preserve"> </w:t>
      </w:r>
      <w:r w:rsidRPr="004008BC">
        <w:rPr>
          <w:rFonts w:ascii="Palatino Linotype" w:eastAsia="Palatino Linotype" w:hAnsi="Palatino Linotype" w:cs="Palatino Linotype"/>
          <w:b/>
          <w:i/>
          <w:sz w:val="22"/>
          <w:szCs w:val="22"/>
        </w:rPr>
        <w:t xml:space="preserve">invitación restringida y licitación de cualquier naturaleza, incluyendo la versión pública del expediente respectivo y de los contratos celebrados, </w:t>
      </w:r>
      <w:r w:rsidR="00AD4F4F" w:rsidRPr="004008BC">
        <w:rPr>
          <w:rFonts w:ascii="Palatino Linotype" w:eastAsia="Palatino Linotype" w:hAnsi="Palatino Linotype" w:cs="Palatino Linotype"/>
          <w:b/>
          <w:i/>
          <w:sz w:val="22"/>
          <w:szCs w:val="22"/>
        </w:rPr>
        <w:t>(…).</w:t>
      </w:r>
      <w:r w:rsidRPr="004008BC">
        <w:rPr>
          <w:rFonts w:ascii="Palatino Linotype" w:eastAsia="Palatino Linotype" w:hAnsi="Palatino Linotype" w:cs="Palatino Linotype"/>
          <w:b/>
          <w:i/>
          <w:sz w:val="22"/>
          <w:szCs w:val="22"/>
        </w:rPr>
        <w:cr/>
      </w:r>
    </w:p>
    <w:p w:rsidR="00AD4F4F" w:rsidRPr="004008BC" w:rsidRDefault="00AD4F4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Por su parte, e</w:t>
      </w:r>
      <w:r w:rsidR="007C40E2" w:rsidRPr="004008BC">
        <w:rPr>
          <w:rFonts w:ascii="Palatino Linotype" w:eastAsia="Palatino Linotype" w:hAnsi="Palatino Linotype" w:cs="Palatino Linotype"/>
        </w:rPr>
        <w:t>l Código Fiscal de</w:t>
      </w:r>
      <w:r w:rsidRPr="004008BC">
        <w:rPr>
          <w:rFonts w:ascii="Palatino Linotype" w:eastAsia="Palatino Linotype" w:hAnsi="Palatino Linotype" w:cs="Palatino Linotype"/>
        </w:rPr>
        <w:t xml:space="preserve"> la Federación en su artículo 32-D, párrafo séptimo señala:</w:t>
      </w:r>
    </w:p>
    <w:p w:rsidR="00AD4F4F" w:rsidRPr="004008BC" w:rsidRDefault="00AD4F4F" w:rsidP="00AD4F4F">
      <w:pPr>
        <w:ind w:left="851" w:right="899"/>
        <w:jc w:val="both"/>
        <w:rPr>
          <w:rFonts w:ascii="Palatino Linotype" w:eastAsia="Palatino Linotype" w:hAnsi="Palatino Linotype" w:cs="Palatino Linotype"/>
          <w:b/>
          <w:i/>
          <w:sz w:val="22"/>
          <w:szCs w:val="22"/>
        </w:rPr>
      </w:pPr>
      <w:r w:rsidRPr="004008BC">
        <w:rPr>
          <w:rFonts w:ascii="Palatino Linotype" w:hAnsi="Palatino Linotype"/>
          <w:b/>
          <w:i/>
          <w:sz w:val="22"/>
          <w:szCs w:val="22"/>
        </w:rPr>
        <w:t xml:space="preserve">Los proveedores a quienes se adjudique el contrato, para poder subcontratar, deberán solicitar y entregar a la contratante la </w:t>
      </w:r>
      <w:r w:rsidRPr="004008BC">
        <w:rPr>
          <w:rFonts w:ascii="Palatino Linotype" w:hAnsi="Palatino Linotype"/>
          <w:b/>
          <w:i/>
          <w:sz w:val="22"/>
          <w:szCs w:val="22"/>
          <w:u w:val="single"/>
        </w:rPr>
        <w:t>constancia de cumplimiento de las obligaciones fiscales</w:t>
      </w:r>
      <w:r w:rsidRPr="004008BC">
        <w:rPr>
          <w:rFonts w:ascii="Palatino Linotype" w:hAnsi="Palatino Linotype"/>
          <w:b/>
          <w:i/>
          <w:sz w:val="22"/>
          <w:szCs w:val="22"/>
        </w:rPr>
        <w:t xml:space="preserve"> del subcontratante</w:t>
      </w:r>
      <w:r w:rsidRPr="004008BC">
        <w:rPr>
          <w:rFonts w:ascii="Palatino Linotype" w:hAnsi="Palatino Linotype"/>
          <w:i/>
          <w:sz w:val="22"/>
          <w:szCs w:val="22"/>
        </w:rPr>
        <w:t>, que se obtiene a través de la página de Internet del Servicio de Administración Tributaria.</w:t>
      </w:r>
    </w:p>
    <w:p w:rsidR="007C40E2" w:rsidRPr="004008BC" w:rsidRDefault="007C40E2">
      <w:pPr>
        <w:spacing w:line="360" w:lineRule="auto"/>
        <w:jc w:val="both"/>
        <w:rPr>
          <w:rFonts w:ascii="Palatino Linotype" w:eastAsia="Palatino Linotype" w:hAnsi="Palatino Linotype" w:cs="Palatino Linotype"/>
        </w:rPr>
      </w:pPr>
    </w:p>
    <w:p w:rsidR="005F3021" w:rsidRPr="004008BC" w:rsidRDefault="005F3021" w:rsidP="005F3021">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De la revisión a los preceptos legales señalados anteriormente y atendiendo a lo solicitado por el </w:t>
      </w:r>
      <w:r w:rsidRPr="004008BC">
        <w:rPr>
          <w:rFonts w:ascii="Palatino Linotype" w:eastAsia="Palatino Linotype" w:hAnsi="Palatino Linotype" w:cs="Palatino Linotype"/>
          <w:b/>
        </w:rPr>
        <w:t>RECURRENTE</w:t>
      </w:r>
      <w:r w:rsidRPr="004008BC">
        <w:rPr>
          <w:rFonts w:ascii="Palatino Linotype" w:eastAsia="Palatino Linotype" w:hAnsi="Palatino Linotype" w:cs="Palatino Linotype"/>
        </w:rPr>
        <w:t>, se procede al análisis de la respuesta, siendo ésta el motivo de inconformidad</w:t>
      </w:r>
      <w:r w:rsidR="00215F2D" w:rsidRPr="004008BC">
        <w:rPr>
          <w:rFonts w:ascii="Palatino Linotype" w:eastAsia="Palatino Linotype" w:hAnsi="Palatino Linotype" w:cs="Palatino Linotype"/>
        </w:rPr>
        <w:t xml:space="preserve"> en ambos recursos acumulados</w:t>
      </w:r>
      <w:r w:rsidRPr="004008BC">
        <w:rPr>
          <w:rFonts w:ascii="Palatino Linotype" w:eastAsia="Palatino Linotype" w:hAnsi="Palatino Linotype" w:cs="Palatino Linotype"/>
        </w:rPr>
        <w:t>.</w:t>
      </w:r>
    </w:p>
    <w:p w:rsidR="00215F2D" w:rsidRPr="004008BC" w:rsidRDefault="00215F2D" w:rsidP="005F3021">
      <w:pPr>
        <w:spacing w:line="360" w:lineRule="auto"/>
        <w:jc w:val="both"/>
        <w:rPr>
          <w:rFonts w:ascii="Palatino Linotype" w:eastAsia="Palatino Linotype" w:hAnsi="Palatino Linotype" w:cs="Palatino Linotype"/>
        </w:rPr>
      </w:pPr>
    </w:p>
    <w:p w:rsidR="00215F2D" w:rsidRPr="004008BC" w:rsidRDefault="00215F2D" w:rsidP="005F3021">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Primeramente, respecto de la solicitud identificada con el número de folio 00378/SF/IP/2022, el </w:t>
      </w:r>
      <w:r w:rsidRPr="004008BC">
        <w:rPr>
          <w:rFonts w:ascii="Palatino Linotype" w:eastAsia="Palatino Linotype" w:hAnsi="Palatino Linotype" w:cs="Palatino Linotype"/>
          <w:b/>
        </w:rPr>
        <w:t>RECURRENTE</w:t>
      </w:r>
      <w:r w:rsidRPr="004008BC">
        <w:rPr>
          <w:rFonts w:ascii="Palatino Linotype" w:eastAsia="Palatino Linotype" w:hAnsi="Palatino Linotype" w:cs="Palatino Linotype"/>
        </w:rPr>
        <w:t xml:space="preserve"> solicitó:</w:t>
      </w:r>
    </w:p>
    <w:p w:rsidR="00E32B19" w:rsidRPr="004008BC" w:rsidRDefault="00215F2D" w:rsidP="00215F2D">
      <w:pPr>
        <w:ind w:left="851" w:right="899"/>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“Contrato o documento de los años 2014 a 2017 en versión publica, donde conste tipo de licitación o procedimiento que se </w:t>
      </w:r>
      <w:r w:rsidR="00440166" w:rsidRPr="004008BC">
        <w:rPr>
          <w:rFonts w:ascii="Palatino Linotype" w:eastAsia="Palatino Linotype" w:hAnsi="Palatino Linotype" w:cs="Palatino Linotype"/>
          <w:i/>
        </w:rPr>
        <w:t>llevó</w:t>
      </w:r>
      <w:r w:rsidRPr="004008BC">
        <w:rPr>
          <w:rFonts w:ascii="Palatino Linotype" w:eastAsia="Palatino Linotype" w:hAnsi="Palatino Linotype" w:cs="Palatino Linotype"/>
          <w:i/>
        </w:rPr>
        <w:t xml:space="preserve"> a cabo para la </w:t>
      </w:r>
      <w:r w:rsidRPr="004008BC">
        <w:rPr>
          <w:rFonts w:ascii="Palatino Linotype" w:eastAsia="Palatino Linotype" w:hAnsi="Palatino Linotype" w:cs="Palatino Linotype"/>
          <w:i/>
        </w:rPr>
        <w:lastRenderedPageBreak/>
        <w:t>contratación de las empresas: a) Interacción Biomédica S.A. de C.V. b) Grupo FEGAMA S.A. de C.V. c) KHELA Asociados S.A de C.V. d) Comercializadore El Chuac S.A de C.V. e) AFAME S.A de C.V. f) Gaudium Crecimiento S.A de C.V. g) Visión Creativa de imágenes e Ideas S.A de C.V.” (Sic)</w:t>
      </w:r>
    </w:p>
    <w:p w:rsidR="00215F2D" w:rsidRPr="004008BC" w:rsidRDefault="00215F2D" w:rsidP="00215F2D">
      <w:pPr>
        <w:ind w:left="851" w:right="899"/>
        <w:jc w:val="both"/>
        <w:rPr>
          <w:rFonts w:ascii="Palatino Linotype" w:eastAsia="Palatino Linotype" w:hAnsi="Palatino Linotype" w:cs="Palatino Linotype"/>
        </w:rPr>
      </w:pPr>
    </w:p>
    <w:p w:rsidR="00E32B19" w:rsidRPr="004008BC" w:rsidRDefault="00E32B19" w:rsidP="00E32B19">
      <w:pPr>
        <w:spacing w:line="360" w:lineRule="auto"/>
        <w:ind w:right="49"/>
        <w:jc w:val="both"/>
        <w:rPr>
          <w:rFonts w:ascii="Palatino Linotype" w:eastAsia="Palatino Linotype" w:hAnsi="Palatino Linotype" w:cs="Palatino Linotype"/>
        </w:rPr>
      </w:pPr>
      <w:bookmarkStart w:id="8" w:name="_heading=h.eccwy3be8vjo" w:colFirst="0" w:colLast="0"/>
      <w:bookmarkEnd w:id="8"/>
      <w:r w:rsidRPr="004008BC">
        <w:rPr>
          <w:rFonts w:ascii="Palatino Linotype" w:eastAsia="Palatino Linotype" w:hAnsi="Palatino Linotype" w:cs="Palatino Linotype"/>
        </w:rPr>
        <w:t>En respuesta</w:t>
      </w:r>
      <w:r w:rsidR="00215F2D" w:rsidRPr="004008BC">
        <w:rPr>
          <w:rFonts w:ascii="Palatino Linotype" w:eastAsia="Palatino Linotype" w:hAnsi="Palatino Linotype" w:cs="Palatino Linotype"/>
        </w:rPr>
        <w:t>,</w:t>
      </w:r>
      <w:r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remitió un oficio acompañando las contestaciones de los servidores públicos habilitados:</w:t>
      </w:r>
    </w:p>
    <w:p w:rsidR="00E32B19" w:rsidRPr="004008BC" w:rsidRDefault="00E32B19" w:rsidP="005F3021">
      <w:pPr>
        <w:widowControl w:val="0"/>
        <w:numPr>
          <w:ilvl w:val="0"/>
          <w:numId w:val="1"/>
        </w:numPr>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378 DGRM.pdf: </w:t>
      </w:r>
      <w:r w:rsidRPr="004008BC">
        <w:rPr>
          <w:rFonts w:ascii="Palatino Linotype" w:eastAsia="Palatino Linotype" w:hAnsi="Palatino Linotype" w:cs="Palatino Linotype"/>
        </w:rPr>
        <w:t xml:space="preserve">Oficio emitido por el Servidor Público Habilitado de la Dirección General de Recursos Materiales, en donde proporciona el link </w:t>
      </w:r>
      <w:hyperlink r:id="rId12">
        <w:r w:rsidRPr="004008BC">
          <w:rPr>
            <w:rFonts w:ascii="Palatino Linotype" w:eastAsia="Palatino Linotype" w:hAnsi="Palatino Linotype" w:cs="Palatino Linotype"/>
            <w:color w:val="1155CC"/>
            <w:u w:val="single"/>
          </w:rPr>
          <w:t>https://ipomex2.ipomex.org.mx/ipo/lgt/indice/finanzas/.web</w:t>
        </w:r>
      </w:hyperlink>
      <w:r w:rsidRPr="004008BC">
        <w:rPr>
          <w:rFonts w:ascii="Palatino Linotype" w:eastAsia="Palatino Linotype" w:hAnsi="Palatino Linotype" w:cs="Palatino Linotype"/>
        </w:rPr>
        <w:t xml:space="preserve"> para acceder a la información solicitada.</w:t>
      </w:r>
      <w:r w:rsidR="005F3021" w:rsidRPr="004008BC">
        <w:t xml:space="preserve"> </w:t>
      </w:r>
      <w:r w:rsidR="005F3021" w:rsidRPr="004008BC">
        <w:rPr>
          <w:rFonts w:ascii="Palatino Linotype" w:eastAsia="Palatino Linotype" w:hAnsi="Palatino Linotype" w:cs="Palatino Linotype"/>
        </w:rPr>
        <w:t>Indicando que la fracción correcta es XXIX A, Procesos de licitación y contratación.</w:t>
      </w:r>
    </w:p>
    <w:p w:rsidR="00E32B19" w:rsidRPr="004008BC" w:rsidRDefault="00E32B19" w:rsidP="00E32B19">
      <w:pPr>
        <w:widowControl w:val="0"/>
        <w:numPr>
          <w:ilvl w:val="0"/>
          <w:numId w:val="1"/>
        </w:numPr>
        <w:spacing w:line="276" w:lineRule="auto"/>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378 Coordinación Administrativa.pdf: </w:t>
      </w:r>
      <w:r w:rsidRPr="004008BC">
        <w:rPr>
          <w:rFonts w:ascii="Palatino Linotype" w:eastAsia="Palatino Linotype" w:hAnsi="Palatino Linotype" w:cs="Palatino Linotype"/>
        </w:rPr>
        <w:t>Oficio signado por la Servidora Pública Habilitada suplente de la Coordinación Administrativa, quien expone que no cuenta con información relacionada con la solicitud.</w:t>
      </w:r>
    </w:p>
    <w:p w:rsidR="005F0941" w:rsidRPr="004008BC" w:rsidRDefault="005F0941" w:rsidP="005F3021">
      <w:pPr>
        <w:spacing w:line="360" w:lineRule="auto"/>
        <w:ind w:right="49"/>
        <w:jc w:val="both"/>
        <w:rPr>
          <w:rFonts w:ascii="Palatino Linotype" w:eastAsia="Palatino Linotype" w:hAnsi="Palatino Linotype" w:cs="Palatino Linotype"/>
        </w:rPr>
      </w:pPr>
    </w:p>
    <w:p w:rsidR="00E53F7D" w:rsidRPr="004008BC" w:rsidRDefault="00E53F7D" w:rsidP="00E53F7D">
      <w:pPr>
        <w:autoSpaceDE w:val="0"/>
        <w:autoSpaceDN w:val="0"/>
        <w:adjustRightInd w:val="0"/>
        <w:spacing w:line="360" w:lineRule="auto"/>
        <w:jc w:val="both"/>
        <w:rPr>
          <w:rFonts w:ascii="Palatino Linotype" w:hAnsi="Palatino Linotype" w:cs="Arial"/>
        </w:rPr>
      </w:pPr>
      <w:r w:rsidRPr="004008BC">
        <w:rPr>
          <w:rFonts w:ascii="Palatino Linotype" w:hAnsi="Palatino Linotype" w:cs="Arial"/>
        </w:rPr>
        <w:t xml:space="preserve">Como podemos apreciar, el sujeto obligado no niega contar con la información solicitada, por el </w:t>
      </w:r>
      <w:r w:rsidR="00440166" w:rsidRPr="004008BC">
        <w:rPr>
          <w:rFonts w:ascii="Palatino Linotype" w:hAnsi="Palatino Linotype" w:cs="Arial"/>
        </w:rPr>
        <w:t>contrario,</w:t>
      </w:r>
      <w:r w:rsidRPr="004008BC">
        <w:rPr>
          <w:rFonts w:ascii="Palatino Linotype" w:hAnsi="Palatino Linotype" w:cs="Arial"/>
        </w:rPr>
        <w:t xml:space="preserve"> acepta de forma expresa poseerla, </w:t>
      </w:r>
      <w:r w:rsidRPr="004008BC">
        <w:rPr>
          <w:rFonts w:ascii="Palatino Linotype" w:hAnsi="Palatino Linotype" w:cs="Arial"/>
          <w:lang w:val="es-419"/>
        </w:rPr>
        <w:t xml:space="preserve">al referir </w:t>
      </w:r>
      <w:r w:rsidRPr="004008BC">
        <w:rPr>
          <w:rFonts w:ascii="Palatino Linotype" w:hAnsi="Palatino Linotype" w:cs="Arial"/>
        </w:rPr>
        <w:t>proporcionar el link de acceso</w:t>
      </w:r>
      <w:r w:rsidRPr="004008BC">
        <w:rPr>
          <w:rFonts w:ascii="Palatino Linotype" w:hAnsi="Palatino Linotype" w:cs="Arial"/>
          <w:lang w:val="es-419"/>
        </w:rPr>
        <w:t xml:space="preserve">, </w:t>
      </w:r>
      <w:r w:rsidRPr="004008BC">
        <w:rPr>
          <w:rFonts w:ascii="Palatino Linotype" w:hAnsi="Palatino Linotype" w:cs="Arial"/>
        </w:rPr>
        <w:t>en consecuencia, se omite el estudio específico, es decir, se obvia dado que a nada práctico llevaría el alcance del mismo.</w:t>
      </w:r>
    </w:p>
    <w:p w:rsidR="00E53F7D" w:rsidRPr="004008BC" w:rsidRDefault="00E53F7D" w:rsidP="00E53F7D">
      <w:pPr>
        <w:tabs>
          <w:tab w:val="left" w:pos="7938"/>
        </w:tabs>
        <w:spacing w:line="360" w:lineRule="auto"/>
        <w:jc w:val="both"/>
        <w:rPr>
          <w:rFonts w:ascii="Palatino Linotype" w:hAnsi="Palatino Linotype" w:cs="Arial"/>
        </w:rPr>
      </w:pPr>
    </w:p>
    <w:p w:rsidR="005F0941" w:rsidRPr="004008BC" w:rsidRDefault="00215F2D" w:rsidP="005F3021">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A fin de determinar si </w:t>
      </w:r>
      <w:r w:rsidR="00E53F7D" w:rsidRPr="004008BC">
        <w:rPr>
          <w:rFonts w:ascii="Palatino Linotype" w:eastAsia="Palatino Linotype" w:hAnsi="Palatino Linotype" w:cs="Palatino Linotype"/>
        </w:rPr>
        <w:t xml:space="preserve">la </w:t>
      </w:r>
      <w:r w:rsidRPr="004008BC">
        <w:rPr>
          <w:rFonts w:ascii="Palatino Linotype" w:eastAsia="Palatino Linotype" w:hAnsi="Palatino Linotype" w:cs="Palatino Linotype"/>
        </w:rPr>
        <w:t xml:space="preserve">dirección de internet señalada conducía a la información solicitada por </w:t>
      </w:r>
      <w:r w:rsidRPr="004008BC">
        <w:rPr>
          <w:rFonts w:ascii="Palatino Linotype" w:eastAsia="Palatino Linotype" w:hAnsi="Palatino Linotype" w:cs="Palatino Linotype"/>
          <w:b/>
        </w:rPr>
        <w:t>el RECURRENTE</w:t>
      </w:r>
      <w:r w:rsidRPr="004008BC">
        <w:rPr>
          <w:rFonts w:ascii="Palatino Linotype" w:eastAsia="Palatino Linotype" w:hAnsi="Palatino Linotype" w:cs="Palatino Linotype"/>
        </w:rPr>
        <w:t>, l</w:t>
      </w:r>
      <w:r w:rsidR="005F0941" w:rsidRPr="004008BC">
        <w:rPr>
          <w:rFonts w:ascii="Palatino Linotype" w:eastAsia="Palatino Linotype" w:hAnsi="Palatino Linotype" w:cs="Palatino Linotype"/>
        </w:rPr>
        <w:t>a ponencia a cargo procedió al ingreso de la liga de acceso en donde se visualiza la pantalla siguiente:</w:t>
      </w:r>
    </w:p>
    <w:p w:rsidR="005F0941" w:rsidRPr="004008BC" w:rsidRDefault="005F0941" w:rsidP="005F3021">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noProof/>
        </w:rPr>
        <w:lastRenderedPageBreak/>
        <w:drawing>
          <wp:inline distT="0" distB="0" distL="0" distR="0" wp14:anchorId="1D538DB2">
            <wp:extent cx="5733464" cy="4735286"/>
            <wp:effectExtent l="0" t="0" r="63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2465"/>
                    <a:stretch/>
                  </pic:blipFill>
                  <pic:spPr bwMode="auto">
                    <a:xfrm>
                      <a:off x="0" y="0"/>
                      <a:ext cx="5753151" cy="4751546"/>
                    </a:xfrm>
                    <a:prstGeom prst="rect">
                      <a:avLst/>
                    </a:prstGeom>
                    <a:noFill/>
                    <a:ln>
                      <a:noFill/>
                    </a:ln>
                    <a:extLst>
                      <a:ext uri="{53640926-AAD7-44D8-BBD7-CCE9431645EC}">
                        <a14:shadowObscured xmlns:a14="http://schemas.microsoft.com/office/drawing/2010/main"/>
                      </a:ext>
                    </a:extLst>
                  </pic:spPr>
                </pic:pic>
              </a:graphicData>
            </a:graphic>
          </wp:inline>
        </w:drawing>
      </w:r>
    </w:p>
    <w:p w:rsidR="005F0941" w:rsidRPr="004008BC" w:rsidRDefault="005F0941" w:rsidP="005F3021">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Hecho lo anterior, </w:t>
      </w:r>
      <w:r w:rsidR="00215F2D" w:rsidRPr="004008BC">
        <w:rPr>
          <w:rFonts w:ascii="Palatino Linotype" w:eastAsia="Palatino Linotype" w:hAnsi="Palatino Linotype" w:cs="Palatino Linotype"/>
        </w:rPr>
        <w:t xml:space="preserve">y </w:t>
      </w:r>
      <w:r w:rsidRPr="004008BC">
        <w:rPr>
          <w:rFonts w:ascii="Palatino Linotype" w:eastAsia="Palatino Linotype" w:hAnsi="Palatino Linotype" w:cs="Palatino Linotype"/>
        </w:rPr>
        <w:t xml:space="preserve">siguiendo las instrucciones del SUJETO OBLIGADO se localizó la </w:t>
      </w:r>
      <w:r w:rsidR="005F3021" w:rsidRPr="004008BC">
        <w:rPr>
          <w:rFonts w:ascii="Palatino Linotype" w:eastAsia="Palatino Linotype" w:hAnsi="Palatino Linotype" w:cs="Palatino Linotype"/>
        </w:rPr>
        <w:t>fracción  XXIX A</w:t>
      </w:r>
      <w:r w:rsidRPr="004008BC">
        <w:rPr>
          <w:rFonts w:ascii="Palatino Linotype" w:eastAsia="Palatino Linotype" w:hAnsi="Palatino Linotype" w:cs="Palatino Linotype"/>
        </w:rPr>
        <w:t>,</w:t>
      </w:r>
      <w:r w:rsidR="005F3021" w:rsidRPr="004008BC">
        <w:rPr>
          <w:rFonts w:ascii="Palatino Linotype" w:eastAsia="Palatino Linotype" w:hAnsi="Palatino Linotype" w:cs="Palatino Linotype"/>
        </w:rPr>
        <w:t xml:space="preserve"> identificada como  Procesos de licitación y contratación</w:t>
      </w:r>
      <w:r w:rsidRPr="004008BC">
        <w:rPr>
          <w:rFonts w:ascii="Palatino Linotype" w:eastAsia="Palatino Linotype" w:hAnsi="Palatino Linotype" w:cs="Palatino Linotype"/>
        </w:rPr>
        <w:t>, al d</w:t>
      </w:r>
      <w:r w:rsidR="00215F2D" w:rsidRPr="004008BC">
        <w:rPr>
          <w:rFonts w:ascii="Palatino Linotype" w:eastAsia="Palatino Linotype" w:hAnsi="Palatino Linotype" w:cs="Palatino Linotype"/>
        </w:rPr>
        <w:t>ar clic para ingresar se observa</w:t>
      </w:r>
      <w:r w:rsidRPr="004008BC">
        <w:rPr>
          <w:rFonts w:ascii="Palatino Linotype" w:eastAsia="Palatino Linotype" w:hAnsi="Palatino Linotype" w:cs="Palatino Linotype"/>
        </w:rPr>
        <w:t xml:space="preserve"> la pantalla siguiente:</w:t>
      </w:r>
    </w:p>
    <w:p w:rsidR="005F3021" w:rsidRPr="004008BC" w:rsidRDefault="005F0941" w:rsidP="00E32B19">
      <w:pPr>
        <w:spacing w:line="360" w:lineRule="auto"/>
        <w:ind w:right="49"/>
        <w:jc w:val="both"/>
        <w:rPr>
          <w:rFonts w:ascii="Palatino Linotype" w:eastAsia="Palatino Linotype" w:hAnsi="Palatino Linotype" w:cs="Palatino Linotype"/>
          <w:i/>
        </w:rPr>
      </w:pPr>
      <w:r w:rsidRPr="004008BC">
        <w:rPr>
          <w:noProof/>
        </w:rPr>
        <w:lastRenderedPageBreak/>
        <w:drawing>
          <wp:inline distT="0" distB="0" distL="0" distR="0" wp14:anchorId="4D07FFCC" wp14:editId="46ED01FC">
            <wp:extent cx="5933440" cy="695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715" t="25427" r="22432" b="69395"/>
                    <a:stretch/>
                  </pic:blipFill>
                  <pic:spPr bwMode="auto">
                    <a:xfrm>
                      <a:off x="0" y="0"/>
                      <a:ext cx="5951055" cy="697389"/>
                    </a:xfrm>
                    <a:prstGeom prst="rect">
                      <a:avLst/>
                    </a:prstGeom>
                    <a:ln>
                      <a:noFill/>
                    </a:ln>
                    <a:extLst>
                      <a:ext uri="{53640926-AAD7-44D8-BBD7-CCE9431645EC}">
                        <a14:shadowObscured xmlns:a14="http://schemas.microsoft.com/office/drawing/2010/main"/>
                      </a:ext>
                    </a:extLst>
                  </pic:spPr>
                </pic:pic>
              </a:graphicData>
            </a:graphic>
          </wp:inline>
        </w:drawing>
      </w:r>
      <w:r w:rsidRPr="004008BC">
        <w:rPr>
          <w:rFonts w:ascii="Palatino Linotype" w:eastAsia="Palatino Linotype" w:hAnsi="Palatino Linotype" w:cs="Palatino Linotype"/>
        </w:rPr>
        <w:t xml:space="preserve"> </w:t>
      </w:r>
      <w:r w:rsidR="005F3021" w:rsidRPr="004008BC">
        <w:rPr>
          <w:rFonts w:ascii="Palatino Linotype" w:eastAsia="Palatino Linotype" w:hAnsi="Palatino Linotype" w:cs="Palatino Linotype"/>
        </w:rPr>
        <w:t xml:space="preserve"> </w:t>
      </w:r>
      <w:r w:rsidRPr="004008BC">
        <w:rPr>
          <w:noProof/>
        </w:rPr>
        <w:drawing>
          <wp:inline distT="0" distB="0" distL="0" distR="0" wp14:anchorId="68332B44" wp14:editId="0E0FBD40">
            <wp:extent cx="6057900" cy="187777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715" t="39961" r="22432" b="46344"/>
                    <a:stretch/>
                  </pic:blipFill>
                  <pic:spPr bwMode="auto">
                    <a:xfrm>
                      <a:off x="0" y="0"/>
                      <a:ext cx="6075564" cy="1883253"/>
                    </a:xfrm>
                    <a:prstGeom prst="rect">
                      <a:avLst/>
                    </a:prstGeom>
                    <a:ln>
                      <a:noFill/>
                    </a:ln>
                    <a:extLst>
                      <a:ext uri="{53640926-AAD7-44D8-BBD7-CCE9431645EC}">
                        <a14:shadowObscured xmlns:a14="http://schemas.microsoft.com/office/drawing/2010/main"/>
                      </a:ext>
                    </a:extLst>
                  </pic:spPr>
                </pic:pic>
              </a:graphicData>
            </a:graphic>
          </wp:inline>
        </w:drawing>
      </w:r>
    </w:p>
    <w:p w:rsidR="005F3021" w:rsidRPr="004008BC" w:rsidRDefault="005F0941" w:rsidP="00E32B19">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De la imagen anterior es posible advertir que el enlace referido por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remite al apartado de Procedimientos de licitación y contratación</w:t>
      </w:r>
      <w:r w:rsidR="00C5670E" w:rsidRPr="004008BC">
        <w:rPr>
          <w:rFonts w:ascii="Palatino Linotype" w:eastAsia="Palatino Linotype" w:hAnsi="Palatino Linotype" w:cs="Palatino Linotype"/>
        </w:rPr>
        <w:t xml:space="preserve"> de los años 2018 y 2019</w:t>
      </w:r>
      <w:r w:rsidRPr="004008BC">
        <w:rPr>
          <w:rFonts w:ascii="Palatino Linotype" w:eastAsia="Palatino Linotype" w:hAnsi="Palatino Linotype" w:cs="Palatino Linotype"/>
        </w:rPr>
        <w:t>, mismo que contiene como procedimientos</w:t>
      </w:r>
      <w:r w:rsidR="00B5401D" w:rsidRPr="004008BC">
        <w:rPr>
          <w:rFonts w:ascii="Palatino Linotype" w:eastAsia="Palatino Linotype" w:hAnsi="Palatino Linotype" w:cs="Palatino Linotype"/>
        </w:rPr>
        <w:t>:</w:t>
      </w:r>
      <w:r w:rsidRPr="004008BC">
        <w:rPr>
          <w:rFonts w:ascii="Palatino Linotype" w:hAnsi="Palatino Linotype"/>
        </w:rPr>
        <w:t xml:space="preserve"> </w:t>
      </w:r>
      <w:r w:rsidR="00B5401D" w:rsidRPr="004008BC">
        <w:rPr>
          <w:rFonts w:ascii="Palatino Linotype" w:hAnsi="Palatino Linotype"/>
        </w:rPr>
        <w:t xml:space="preserve">Compras Solidarias, </w:t>
      </w:r>
      <w:r w:rsidRPr="004008BC">
        <w:rPr>
          <w:rFonts w:ascii="Palatino Linotype" w:eastAsia="Palatino Linotype" w:hAnsi="Palatino Linotype" w:cs="Palatino Linotype"/>
        </w:rPr>
        <w:t>Invitación a cuando menos tres personas,</w:t>
      </w:r>
      <w:r w:rsidR="00C5670E" w:rsidRPr="004008BC">
        <w:rPr>
          <w:rFonts w:ascii="Palatino Linotype" w:eastAsia="Palatino Linotype" w:hAnsi="Palatino Linotype" w:cs="Palatino Linotype"/>
        </w:rPr>
        <w:t xml:space="preserve"> Invitación Restringida, Licitación Pública, Contrato Pedido</w:t>
      </w:r>
      <w:r w:rsidRPr="004008BC">
        <w:rPr>
          <w:rFonts w:ascii="Palatino Linotype" w:eastAsia="Palatino Linotype" w:hAnsi="Palatino Linotype" w:cs="Palatino Linotype"/>
        </w:rPr>
        <w:t xml:space="preserve">, </w:t>
      </w:r>
      <w:r w:rsidR="00B5401D" w:rsidRPr="004008BC">
        <w:rPr>
          <w:rFonts w:ascii="Palatino Linotype" w:eastAsia="Palatino Linotype" w:hAnsi="Palatino Linotype" w:cs="Palatino Linotype"/>
        </w:rPr>
        <w:t>dando un total de 2452</w:t>
      </w:r>
      <w:r w:rsidRPr="004008BC">
        <w:rPr>
          <w:rFonts w:ascii="Palatino Linotype" w:eastAsia="Palatino Linotype" w:hAnsi="Palatino Linotype" w:cs="Palatino Linotype"/>
        </w:rPr>
        <w:t xml:space="preserve"> registros.</w:t>
      </w:r>
    </w:p>
    <w:p w:rsidR="00B5401D" w:rsidRPr="004008BC" w:rsidRDefault="00B5401D" w:rsidP="00E32B19">
      <w:pPr>
        <w:spacing w:line="360" w:lineRule="auto"/>
        <w:ind w:right="49"/>
        <w:jc w:val="both"/>
        <w:rPr>
          <w:rFonts w:ascii="Palatino Linotype" w:eastAsia="Palatino Linotype" w:hAnsi="Palatino Linotype" w:cs="Palatino Linotype"/>
        </w:rPr>
      </w:pPr>
    </w:p>
    <w:p w:rsidR="00B5401D" w:rsidRPr="004008BC" w:rsidRDefault="00B5401D" w:rsidP="00E32B19">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Sin embargo, no es posible advertir la información solicitada por </w:t>
      </w:r>
      <w:r w:rsidRPr="004008BC">
        <w:rPr>
          <w:rFonts w:ascii="Palatino Linotype" w:eastAsia="Palatino Linotype" w:hAnsi="Palatino Linotype" w:cs="Palatino Linotype"/>
          <w:b/>
        </w:rPr>
        <w:t>el RECURRENTE,</w:t>
      </w:r>
      <w:r w:rsidR="00D230AD">
        <w:rPr>
          <w:rFonts w:ascii="Palatino Linotype" w:eastAsia="Palatino Linotype" w:hAnsi="Palatino Linotype" w:cs="Palatino Linotype"/>
        </w:rPr>
        <w:t xml:space="preserve"> </w:t>
      </w:r>
      <w:r w:rsidR="00D230AD" w:rsidRPr="004008BC">
        <w:rPr>
          <w:rFonts w:ascii="Palatino Linotype" w:eastAsia="Palatino Linotype" w:hAnsi="Palatino Linotype" w:cs="Palatino Linotype"/>
        </w:rPr>
        <w:t>ya que,</w:t>
      </w:r>
      <w:r w:rsidRPr="004008BC">
        <w:rPr>
          <w:rFonts w:ascii="Palatino Linotype" w:eastAsia="Palatino Linotype" w:hAnsi="Palatino Linotype" w:cs="Palatino Linotype"/>
        </w:rPr>
        <w:t xml:space="preserve"> si bien nos encontramos dentro del rubro relacionado con el tema materia del presente recurso, lo cierto es que la información solicitada no es visible.</w:t>
      </w:r>
    </w:p>
    <w:p w:rsidR="005F0941" w:rsidRPr="004008BC" w:rsidRDefault="005F0941" w:rsidP="00E32B19">
      <w:pPr>
        <w:spacing w:line="360" w:lineRule="auto"/>
        <w:ind w:right="49"/>
        <w:jc w:val="both"/>
        <w:rPr>
          <w:rFonts w:ascii="Palatino Linotype" w:eastAsia="Palatino Linotype" w:hAnsi="Palatino Linotype" w:cs="Palatino Linotype"/>
        </w:rPr>
      </w:pPr>
    </w:p>
    <w:p w:rsidR="00B5401D" w:rsidRPr="004008BC" w:rsidRDefault="00B5401D" w:rsidP="00B5401D">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Por tanto, cobra relación citar el contenido del artículo 161 de la Ley de Transparencia y Acceso a la Información Pública del Estado de México y Municipios, el cual versa sobre lo siguiente:  </w:t>
      </w:r>
    </w:p>
    <w:p w:rsidR="00B5401D" w:rsidRPr="004008BC" w:rsidRDefault="00B5401D" w:rsidP="00B5401D">
      <w:pPr>
        <w:widowControl w:val="0"/>
        <w:tabs>
          <w:tab w:val="left" w:pos="1701"/>
          <w:tab w:val="left" w:pos="1843"/>
        </w:tabs>
        <w:ind w:left="850" w:right="757"/>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i/>
          <w:sz w:val="22"/>
          <w:szCs w:val="22"/>
        </w:rPr>
        <w:lastRenderedPageBreak/>
        <w:t>“</w:t>
      </w:r>
      <w:r w:rsidRPr="004008BC">
        <w:rPr>
          <w:rFonts w:ascii="Palatino Linotype" w:eastAsia="Palatino Linotype" w:hAnsi="Palatino Linotype" w:cs="Palatino Linotype"/>
          <w:b/>
          <w:i/>
          <w:sz w:val="22"/>
          <w:szCs w:val="22"/>
        </w:rPr>
        <w:t xml:space="preserve">Artículo 161. </w:t>
      </w:r>
      <w:r w:rsidRPr="004008BC">
        <w:rPr>
          <w:rFonts w:ascii="Palatino Linotype" w:eastAsia="Palatino Linotype" w:hAnsi="Palatino Linotype" w:cs="Palatino Linotype"/>
          <w:i/>
          <w:sz w:val="22"/>
          <w:szCs w:val="22"/>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4008BC">
        <w:rPr>
          <w:rFonts w:ascii="Palatino Linotype" w:eastAsia="Palatino Linotype" w:hAnsi="Palatino Linotype" w:cs="Palatino Linotype"/>
          <w:b/>
          <w:i/>
          <w:sz w:val="22"/>
          <w:szCs w:val="22"/>
        </w:rPr>
        <w:t>La fuente deberá ser precisa y concreta y no debe implicar que el solicitante realice una búsqueda en toda la información que se encuentre disponible.”</w:t>
      </w:r>
    </w:p>
    <w:p w:rsidR="00B5401D" w:rsidRPr="004008BC" w:rsidRDefault="00B5401D" w:rsidP="00B5401D">
      <w:pPr>
        <w:widowControl w:val="0"/>
        <w:tabs>
          <w:tab w:val="left" w:pos="1701"/>
          <w:tab w:val="left" w:pos="1843"/>
        </w:tabs>
        <w:ind w:left="850" w:right="757"/>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(Énfasis añadido)</w:t>
      </w:r>
    </w:p>
    <w:p w:rsidR="00B5401D" w:rsidRPr="004008BC" w:rsidRDefault="00B5401D" w:rsidP="00B5401D">
      <w:pPr>
        <w:spacing w:line="360" w:lineRule="auto"/>
        <w:jc w:val="both"/>
        <w:rPr>
          <w:rFonts w:ascii="Palatino Linotype" w:eastAsia="Palatino Linotype" w:hAnsi="Palatino Linotype" w:cs="Palatino Linotype"/>
        </w:rPr>
      </w:pPr>
    </w:p>
    <w:p w:rsidR="00B5401D" w:rsidRPr="004008BC" w:rsidRDefault="00B5401D" w:rsidP="00B5401D">
      <w:pPr>
        <w:widowControl w:val="0"/>
        <w:tabs>
          <w:tab w:val="left" w:pos="1701"/>
          <w:tab w:val="left" w:pos="1843"/>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Del artículo antes referido se desprende que cuando la información solicitada se encuentre en medios electrónicos, los Sujetos Obligados deberán hacerle saber al solicitante la fuente, el lugar y la forma de cómo consultarlo. Esta fuente deberá ser precisa y concreta, esto es que el solicitante no deba realizar una búsqueda en toda la información disponible.</w:t>
      </w:r>
    </w:p>
    <w:p w:rsidR="00B5401D" w:rsidRPr="004008BC" w:rsidRDefault="00B5401D" w:rsidP="00B5401D">
      <w:pPr>
        <w:widowControl w:val="0"/>
        <w:tabs>
          <w:tab w:val="left" w:pos="1701"/>
          <w:tab w:val="left" w:pos="1843"/>
        </w:tabs>
        <w:spacing w:line="360" w:lineRule="auto"/>
        <w:jc w:val="both"/>
        <w:rPr>
          <w:rFonts w:ascii="Palatino Linotype" w:eastAsia="Palatino Linotype" w:hAnsi="Palatino Linotype" w:cs="Palatino Linotype"/>
        </w:rPr>
      </w:pPr>
    </w:p>
    <w:p w:rsidR="00B5401D" w:rsidRPr="004008BC" w:rsidRDefault="00B5401D" w:rsidP="00B5401D">
      <w:pPr>
        <w:widowControl w:val="0"/>
        <w:tabs>
          <w:tab w:val="left" w:pos="1701"/>
          <w:tab w:val="left" w:pos="1843"/>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Situación que para el caso que nos ocupa no aconteció, toda vez que el enlace proporcionado por </w:t>
      </w:r>
      <w:r w:rsidRPr="004008BC">
        <w:rPr>
          <w:rFonts w:ascii="Palatino Linotype" w:eastAsia="Palatino Linotype" w:hAnsi="Palatino Linotype" w:cs="Palatino Linotype"/>
          <w:b/>
        </w:rPr>
        <w:t xml:space="preserve">EL SUJETO OBLIGADO </w:t>
      </w:r>
      <w:r w:rsidRPr="004008BC">
        <w:rPr>
          <w:rFonts w:ascii="Palatino Linotype" w:eastAsia="Palatino Linotype" w:hAnsi="Palatino Linotype" w:cs="Palatino Linotype"/>
        </w:rPr>
        <w:t>en respuesta</w:t>
      </w:r>
      <w:r w:rsidR="00E12786" w:rsidRPr="004008BC">
        <w:rPr>
          <w:rFonts w:ascii="Palatino Linotype" w:eastAsia="Palatino Linotype" w:hAnsi="Palatino Linotype" w:cs="Palatino Linotype"/>
        </w:rPr>
        <w:t>,</w:t>
      </w:r>
      <w:r w:rsidRPr="004008BC">
        <w:rPr>
          <w:rFonts w:ascii="Palatino Linotype" w:eastAsia="Palatino Linotype" w:hAnsi="Palatino Linotype" w:cs="Palatino Linotype"/>
        </w:rPr>
        <w:t xml:space="preserve"> no remitió </w:t>
      </w:r>
      <w:r w:rsidR="00E12786" w:rsidRPr="004008BC">
        <w:rPr>
          <w:rFonts w:ascii="Palatino Linotype" w:eastAsia="Palatino Linotype" w:hAnsi="Palatino Linotype" w:cs="Palatino Linotype"/>
        </w:rPr>
        <w:t>directamente</w:t>
      </w:r>
      <w:r w:rsidRPr="004008BC">
        <w:rPr>
          <w:rFonts w:ascii="Palatino Linotype" w:eastAsia="Palatino Linotype" w:hAnsi="Palatino Linotype" w:cs="Palatino Linotype"/>
        </w:rPr>
        <w:t xml:space="preserve"> a la información solicitada, sino que implica que el particular lleve a cabo una búsqueda de lo requerido en toda la publicada por el ente recurrido. </w:t>
      </w:r>
    </w:p>
    <w:p w:rsidR="00B5401D" w:rsidRPr="004008BC" w:rsidRDefault="00B5401D" w:rsidP="00B5401D">
      <w:pPr>
        <w:spacing w:before="280" w:after="280"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Así  llegado a este punto y por las razones antes expuestas, este Instituto determina que las razones o motivos esgrimidos por el particular en la interposición del Recurso de Revisión número </w:t>
      </w:r>
      <w:r w:rsidRPr="004008BC">
        <w:rPr>
          <w:rFonts w:ascii="Palatino Linotype" w:eastAsia="Palatino Linotype" w:hAnsi="Palatino Linotype" w:cs="Palatino Linotype"/>
          <w:b/>
        </w:rPr>
        <w:t>15077/INFOEM/IP/RR/2022</w:t>
      </w:r>
      <w:r w:rsidRPr="004008BC">
        <w:rPr>
          <w:rFonts w:ascii="Palatino Linotype" w:eastAsia="Palatino Linotype" w:hAnsi="Palatino Linotype" w:cs="Palatino Linotype"/>
        </w:rPr>
        <w:t xml:space="preserve"> devienen fundados y por tanto se </w:t>
      </w:r>
      <w:r w:rsidR="00E12786" w:rsidRPr="004008BC">
        <w:rPr>
          <w:rFonts w:ascii="Palatino Linotype" w:eastAsia="Palatino Linotype" w:hAnsi="Palatino Linotype" w:cs="Palatino Linotype"/>
          <w:b/>
        </w:rPr>
        <w:t>MODIFI</w:t>
      </w:r>
      <w:r w:rsidRPr="004008BC">
        <w:rPr>
          <w:rFonts w:ascii="Palatino Linotype" w:eastAsia="Palatino Linotype" w:hAnsi="Palatino Linotype" w:cs="Palatino Linotype"/>
          <w:b/>
        </w:rPr>
        <w:t xml:space="preserve">CA </w:t>
      </w:r>
      <w:r w:rsidRPr="004008BC">
        <w:rPr>
          <w:rFonts w:ascii="Palatino Linotype" w:eastAsia="Palatino Linotype" w:hAnsi="Palatino Linotype" w:cs="Palatino Linotype"/>
        </w:rPr>
        <w:t xml:space="preserve">la respuesta del </w:t>
      </w:r>
      <w:r w:rsidRPr="004008BC">
        <w:rPr>
          <w:rFonts w:ascii="Palatino Linotype" w:eastAsia="Palatino Linotype" w:hAnsi="Palatino Linotype" w:cs="Palatino Linotype"/>
          <w:b/>
        </w:rPr>
        <w:t xml:space="preserve"> SUJETO OBLIGADO </w:t>
      </w:r>
      <w:r w:rsidRPr="004008BC">
        <w:rPr>
          <w:rFonts w:ascii="Palatino Linotype" w:eastAsia="Palatino Linotype" w:hAnsi="Palatino Linotype" w:cs="Palatino Linotype"/>
        </w:rPr>
        <w:t>y se le ordena haga entrega en versión pública, donde conste lo relativo a contratos o documento</w:t>
      </w:r>
      <w:r w:rsidR="00F35080" w:rsidRPr="004008BC">
        <w:rPr>
          <w:rFonts w:ascii="Palatino Linotype" w:eastAsia="Palatino Linotype" w:hAnsi="Palatino Linotype" w:cs="Palatino Linotype"/>
        </w:rPr>
        <w:t>s</w:t>
      </w:r>
      <w:r w:rsidRPr="004008BC">
        <w:rPr>
          <w:rFonts w:ascii="Palatino Linotype" w:eastAsia="Palatino Linotype" w:hAnsi="Palatino Linotype" w:cs="Palatino Linotype"/>
        </w:rPr>
        <w:t xml:space="preserve"> de los años 2014 a 2017 en versión publica, donde conste tipo de licitación o procedimiento que se llevó a </w:t>
      </w:r>
      <w:r w:rsidRPr="004008BC">
        <w:rPr>
          <w:rFonts w:ascii="Palatino Linotype" w:eastAsia="Palatino Linotype" w:hAnsi="Palatino Linotype" w:cs="Palatino Linotype"/>
        </w:rPr>
        <w:lastRenderedPageBreak/>
        <w:t xml:space="preserve">cabo para la contratación de las empresas: </w:t>
      </w:r>
      <w:r w:rsidRPr="004008BC">
        <w:rPr>
          <w:rFonts w:ascii="Palatino Linotype" w:eastAsia="Palatino Linotype" w:hAnsi="Palatino Linotype" w:cs="Palatino Linotype"/>
          <w:i/>
        </w:rPr>
        <w:t>a) Interacción Biomédica S.A. de C.V. b) Grupo FEGAMA S.A. de C.V. c) KHELA Asociados S.A de C.V. d) Comercializadore El Chuac S.A de C.V. e) AFAME S.A de C.V. f) Gaudium Crecimiento S.A de C.V. g) Visión Creativa de imágenes e Ideas S.A de C.V</w:t>
      </w:r>
      <w:r w:rsidRPr="004008BC">
        <w:rPr>
          <w:rFonts w:ascii="Palatino Linotype" w:eastAsia="Palatino Linotype" w:hAnsi="Palatino Linotype" w:cs="Palatino Linotype"/>
        </w:rPr>
        <w:t>.</w:t>
      </w:r>
    </w:p>
    <w:p w:rsidR="00747435" w:rsidRPr="004008BC" w:rsidRDefault="00F35080" w:rsidP="00B5401D">
      <w:pPr>
        <w:spacing w:before="280" w:after="280"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Ahora bien, </w:t>
      </w:r>
      <w:r w:rsidR="00C22464" w:rsidRPr="004008BC">
        <w:rPr>
          <w:rFonts w:ascii="Palatino Linotype" w:eastAsia="Palatino Linotype" w:hAnsi="Palatino Linotype" w:cs="Palatino Linotype"/>
        </w:rPr>
        <w:t>respecto de l</w:t>
      </w:r>
      <w:r w:rsidR="00747435" w:rsidRPr="004008BC">
        <w:rPr>
          <w:rFonts w:ascii="Palatino Linotype" w:eastAsia="Palatino Linotype" w:hAnsi="Palatino Linotype" w:cs="Palatino Linotype"/>
        </w:rPr>
        <w:t>a solicitud 00380/SF/IP/2022</w:t>
      </w:r>
      <w:r w:rsidRPr="004008BC">
        <w:rPr>
          <w:rFonts w:ascii="Palatino Linotype" w:eastAsia="Palatino Linotype" w:hAnsi="Palatino Linotype" w:cs="Palatino Linotype"/>
        </w:rPr>
        <w:t>,</w:t>
      </w:r>
      <w:r w:rsidR="00747435" w:rsidRPr="004008BC">
        <w:rPr>
          <w:rFonts w:ascii="Palatino Linotype" w:eastAsia="Palatino Linotype" w:hAnsi="Palatino Linotype" w:cs="Palatino Linotype"/>
        </w:rPr>
        <w:t xml:space="preserve"> el RECURRENTE</w:t>
      </w:r>
      <w:r w:rsidR="00C22464"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rPr>
        <w:t>señaló</w:t>
      </w:r>
      <w:r w:rsidR="00C22464" w:rsidRPr="004008BC">
        <w:rPr>
          <w:rFonts w:ascii="Palatino Linotype" w:eastAsia="Palatino Linotype" w:hAnsi="Palatino Linotype" w:cs="Palatino Linotype"/>
        </w:rPr>
        <w:t>:</w:t>
      </w:r>
      <w:r w:rsidR="00747435" w:rsidRPr="004008BC">
        <w:rPr>
          <w:rFonts w:ascii="Palatino Linotype" w:eastAsia="Palatino Linotype" w:hAnsi="Palatino Linotype" w:cs="Palatino Linotype"/>
        </w:rPr>
        <w:t xml:space="preserve"> </w:t>
      </w:r>
    </w:p>
    <w:p w:rsidR="00747435" w:rsidRPr="004008BC" w:rsidRDefault="00747435" w:rsidP="00747435">
      <w:pPr>
        <w:spacing w:before="280" w:after="280"/>
        <w:ind w:left="851" w:right="899"/>
        <w:jc w:val="both"/>
        <w:rPr>
          <w:rFonts w:ascii="Palatino Linotype" w:eastAsia="Palatino Linotype" w:hAnsi="Palatino Linotype" w:cs="Palatino Linotype"/>
          <w:sz w:val="22"/>
          <w:szCs w:val="22"/>
        </w:rPr>
      </w:pPr>
      <w:r w:rsidRPr="004008BC">
        <w:rPr>
          <w:rFonts w:ascii="Palatino Linotype" w:eastAsia="Palatino Linotype" w:hAnsi="Palatino Linotype" w:cs="Palatino Linotype"/>
          <w:i/>
          <w:sz w:val="22"/>
          <w:szCs w:val="22"/>
        </w:rPr>
        <w:t>“Solicito del periodo de 2014 a 2017 documento donde conste la Opinión de Cumplimiento de Obligaciones Fiscales para participar como proveedores de cualquier autoridad, ente público, entidad órgano, u organismo de los Poderes Legislativo, Ejecutivo, Judicial de la Federación, de las Entidades Federativas, de los Municipios, entre otros, expedida por el SAT de conformidad con el artículo 32-D del Código Fiscal de la Federación, de las siguientes empresas (en versión pública de ser necesario): a) Interacción Biomédica S.A. de C.V. b) Grupo FEGAMA S.A. de C.V. c) KHELA Asociados S.A de C.V. d) Comercializadore El Chuac S.A de C.V. e) AFAME S.A de C.V. f) Gaudium Crecimiento S.A de C.V. g) Visión Creativa de imágenes e Ideas S.A de C.V.” (Sic)</w:t>
      </w:r>
    </w:p>
    <w:p w:rsidR="00747435" w:rsidRPr="004008BC" w:rsidRDefault="00747435" w:rsidP="00747435">
      <w:pPr>
        <w:tabs>
          <w:tab w:val="left" w:pos="709"/>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En repuesta</w:t>
      </w:r>
      <w:r w:rsidR="00C22464" w:rsidRPr="004008BC">
        <w:rPr>
          <w:rFonts w:ascii="Palatino Linotype" w:eastAsia="Palatino Linotype" w:hAnsi="Palatino Linotype" w:cs="Palatino Linotype"/>
        </w:rPr>
        <w:t xml:space="preserve"> a la solicitud que precede </w:t>
      </w:r>
      <w:r w:rsidRPr="004008BC">
        <w:rPr>
          <w:rFonts w:ascii="Palatino Linotype" w:eastAsia="Palatino Linotype" w:hAnsi="Palatino Linotype" w:cs="Palatino Linotype"/>
        </w:rPr>
        <w:t xml:space="preserve">el </w:t>
      </w:r>
      <w:r w:rsidRPr="004008BC">
        <w:rPr>
          <w:rFonts w:ascii="Palatino Linotype" w:eastAsia="Palatino Linotype" w:hAnsi="Palatino Linotype" w:cs="Palatino Linotype"/>
          <w:b/>
        </w:rPr>
        <w:t>SUJETO OBLIGADO</w:t>
      </w:r>
      <w:r w:rsidRPr="004008BC">
        <w:rPr>
          <w:rFonts w:ascii="Palatino Linotype" w:eastAsia="Palatino Linotype" w:hAnsi="Palatino Linotype" w:cs="Palatino Linotype"/>
        </w:rPr>
        <w:t xml:space="preserve"> acompañó dos archivos:</w:t>
      </w:r>
    </w:p>
    <w:p w:rsidR="00C22464" w:rsidRPr="004008BC" w:rsidRDefault="00C22464" w:rsidP="00C22464">
      <w:pPr>
        <w:tabs>
          <w:tab w:val="left" w:pos="709"/>
        </w:tabs>
        <w:spacing w:line="360" w:lineRule="auto"/>
        <w:jc w:val="center"/>
        <w:rPr>
          <w:rFonts w:ascii="Palatino Linotype" w:eastAsia="Palatino Linotype" w:hAnsi="Palatino Linotype" w:cs="Palatino Linotype"/>
        </w:rPr>
      </w:pPr>
      <w:r w:rsidRPr="004008BC">
        <w:rPr>
          <w:noProof/>
        </w:rPr>
        <w:drawing>
          <wp:inline distT="0" distB="0" distL="0" distR="0" wp14:anchorId="01B41886" wp14:editId="6F7AE3B4">
            <wp:extent cx="3638520" cy="12858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026" t="35958" r="21391" b="52367"/>
                    <a:stretch/>
                  </pic:blipFill>
                  <pic:spPr bwMode="auto">
                    <a:xfrm>
                      <a:off x="0" y="0"/>
                      <a:ext cx="3644149" cy="1287864"/>
                    </a:xfrm>
                    <a:prstGeom prst="rect">
                      <a:avLst/>
                    </a:prstGeom>
                    <a:ln>
                      <a:noFill/>
                    </a:ln>
                    <a:extLst>
                      <a:ext uri="{53640926-AAD7-44D8-BBD7-CCE9431645EC}">
                        <a14:shadowObscured xmlns:a14="http://schemas.microsoft.com/office/drawing/2010/main"/>
                      </a:ext>
                    </a:extLst>
                  </pic:spPr>
                </pic:pic>
              </a:graphicData>
            </a:graphic>
          </wp:inline>
        </w:drawing>
      </w:r>
    </w:p>
    <w:p w:rsidR="00747435" w:rsidRPr="004008BC" w:rsidRDefault="00747435" w:rsidP="00747435">
      <w:pPr>
        <w:numPr>
          <w:ilvl w:val="0"/>
          <w:numId w:val="6"/>
        </w:numPr>
        <w:tabs>
          <w:tab w:val="left" w:pos="709"/>
        </w:tabs>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380 DGRM.pdf: Oficio emitido por el Servidor Público Habilitado de la Dirección General de Recursos Materiales, en donde sostiene que no se cuenta con información relac</w:t>
      </w:r>
      <w:r w:rsidR="00C22464" w:rsidRPr="004008BC">
        <w:rPr>
          <w:rFonts w:ascii="Palatino Linotype" w:eastAsia="Palatino Linotype" w:hAnsi="Palatino Linotype" w:cs="Palatino Linotype"/>
        </w:rPr>
        <w:t>ionada con la petición referida en los términos siguientes:</w:t>
      </w:r>
    </w:p>
    <w:p w:rsidR="00F35080" w:rsidRPr="004008BC" w:rsidRDefault="00F35080" w:rsidP="00C22464">
      <w:pPr>
        <w:tabs>
          <w:tab w:val="left" w:pos="709"/>
        </w:tabs>
        <w:spacing w:line="360" w:lineRule="auto"/>
        <w:jc w:val="both"/>
        <w:rPr>
          <w:rFonts w:ascii="Palatino Linotype" w:eastAsia="Palatino Linotype" w:hAnsi="Palatino Linotype" w:cs="Palatino Linotype"/>
        </w:rPr>
      </w:pPr>
      <w:r w:rsidRPr="004008BC">
        <w:rPr>
          <w:noProof/>
        </w:rPr>
        <w:lastRenderedPageBreak/>
        <w:drawing>
          <wp:inline distT="0" distB="0" distL="0" distR="0" wp14:anchorId="7F28F704" wp14:editId="6199607E">
            <wp:extent cx="5627434" cy="1314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712" t="48827" r="4685" b="40085"/>
                    <a:stretch/>
                  </pic:blipFill>
                  <pic:spPr bwMode="auto">
                    <a:xfrm>
                      <a:off x="0" y="0"/>
                      <a:ext cx="5773324" cy="1348527"/>
                    </a:xfrm>
                    <a:prstGeom prst="rect">
                      <a:avLst/>
                    </a:prstGeom>
                    <a:ln>
                      <a:noFill/>
                    </a:ln>
                    <a:extLst>
                      <a:ext uri="{53640926-AAD7-44D8-BBD7-CCE9431645EC}">
                        <a14:shadowObscured xmlns:a14="http://schemas.microsoft.com/office/drawing/2010/main"/>
                      </a:ext>
                    </a:extLst>
                  </pic:spPr>
                </pic:pic>
              </a:graphicData>
            </a:graphic>
          </wp:inline>
        </w:drawing>
      </w:r>
    </w:p>
    <w:p w:rsidR="00C22464" w:rsidRPr="004008BC" w:rsidRDefault="00C22464" w:rsidP="003B0C73">
      <w:pPr>
        <w:pStyle w:val="Prrafodelista"/>
        <w:numPr>
          <w:ilvl w:val="0"/>
          <w:numId w:val="6"/>
        </w:numPr>
        <w:jc w:val="both"/>
        <w:rPr>
          <w:rFonts w:ascii="Palatino Linotype" w:eastAsia="Palatino Linotype" w:hAnsi="Palatino Linotype" w:cs="Palatino Linotype"/>
        </w:rPr>
      </w:pPr>
      <w:r w:rsidRPr="004008BC">
        <w:rPr>
          <w:rFonts w:ascii="Palatino Linotype" w:eastAsia="Palatino Linotype" w:hAnsi="Palatino Linotype" w:cs="Palatino Linotype"/>
        </w:rPr>
        <w:t>UIPPE 380.pdf: Oficio que contiene la respuesta formal por parte del Jefe de la UIPPE y Titular de la Unidad de Transparencia de la Secretaría de Finanzas dirigida al solicitante.</w:t>
      </w:r>
    </w:p>
    <w:p w:rsidR="003B0C73" w:rsidRPr="004008BC" w:rsidRDefault="003B0C73" w:rsidP="00B5401D">
      <w:pPr>
        <w:spacing w:before="280" w:after="280"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Como se puede apreciar, el </w:t>
      </w:r>
      <w:r w:rsidRPr="004008BC">
        <w:rPr>
          <w:rFonts w:ascii="Palatino Linotype" w:eastAsia="Palatino Linotype" w:hAnsi="Palatino Linotype" w:cs="Palatino Linotype"/>
          <w:b/>
        </w:rPr>
        <w:t>SUJETO OBLIGADO</w:t>
      </w:r>
      <w:r w:rsidRPr="004008BC">
        <w:rPr>
          <w:rFonts w:ascii="Palatino Linotype" w:eastAsia="Palatino Linotype" w:hAnsi="Palatino Linotype" w:cs="Palatino Linotype"/>
        </w:rPr>
        <w:t xml:space="preserve"> negó la información solicitada</w:t>
      </w:r>
      <w:r w:rsidR="00A56DC7" w:rsidRPr="004008BC">
        <w:rPr>
          <w:rFonts w:ascii="Palatino Linotype" w:eastAsia="Palatino Linotype" w:hAnsi="Palatino Linotype" w:cs="Palatino Linotype"/>
        </w:rPr>
        <w:t xml:space="preserve">, al referir: </w:t>
      </w:r>
      <w:r w:rsidR="00A56DC7" w:rsidRPr="004008BC">
        <w:rPr>
          <w:rFonts w:ascii="Palatino Linotype" w:eastAsia="Palatino Linotype" w:hAnsi="Palatino Linotype" w:cs="Palatino Linotype"/>
          <w:i/>
        </w:rPr>
        <w:t>“… no se cuenta con información relacionada con la petición referida. (sic)”</w:t>
      </w:r>
      <w:r w:rsidR="00A56DC7" w:rsidRPr="004008BC">
        <w:rPr>
          <w:rFonts w:ascii="Palatino Linotype" w:eastAsia="Palatino Linotype" w:hAnsi="Palatino Linotype" w:cs="Palatino Linotype"/>
        </w:rPr>
        <w:t xml:space="preserve"> fundamentando su actuar en los artículos </w:t>
      </w:r>
      <w:r w:rsidR="00091526" w:rsidRPr="004008BC">
        <w:rPr>
          <w:rFonts w:ascii="Palatino Linotype" w:eastAsia="Palatino Linotype" w:hAnsi="Palatino Linotype" w:cs="Palatino Linotype"/>
        </w:rPr>
        <w:t>59 fracciones I, II y III de la Ley de la Materia, 32 del Reglamento Interior de la Secretaria de Finanzas del Gobierno del Estado de México y el numeral 20706005100000L del Manual General de Organización de la mencionada S</w:t>
      </w:r>
      <w:r w:rsidR="00A2481A" w:rsidRPr="004008BC">
        <w:rPr>
          <w:rFonts w:ascii="Palatino Linotype" w:eastAsia="Palatino Linotype" w:hAnsi="Palatino Linotype" w:cs="Palatino Linotype"/>
        </w:rPr>
        <w:t>ecretaria, los cuales se describen a continuación:</w:t>
      </w:r>
    </w:p>
    <w:p w:rsidR="00091526" w:rsidRPr="004008BC" w:rsidRDefault="00091526" w:rsidP="00A2481A">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Artículo 59.</w:t>
      </w:r>
      <w:r w:rsidRPr="004008BC">
        <w:rPr>
          <w:rFonts w:ascii="Palatino Linotype" w:eastAsia="Palatino Linotype" w:hAnsi="Palatino Linotype" w:cs="Palatino Linotype"/>
          <w:i/>
          <w:sz w:val="22"/>
          <w:szCs w:val="22"/>
        </w:rPr>
        <w:t xml:space="preserve"> Los servidores públicos habilitados tendrán las funciones siguientes: </w:t>
      </w:r>
    </w:p>
    <w:p w:rsidR="00091526" w:rsidRPr="004008BC" w:rsidRDefault="00091526" w:rsidP="00A2481A">
      <w:pPr>
        <w:pStyle w:val="Prrafodelista"/>
        <w:numPr>
          <w:ilvl w:val="0"/>
          <w:numId w:val="8"/>
        </w:numPr>
        <w:spacing w:before="280" w:after="280"/>
        <w:ind w:left="851" w:right="899" w:firstLine="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Localizar la información que le solicite la Unidad de Transparencia; </w:t>
      </w:r>
    </w:p>
    <w:p w:rsidR="00091526" w:rsidRPr="004008BC" w:rsidRDefault="00091526" w:rsidP="00A2481A">
      <w:pPr>
        <w:pStyle w:val="Prrafodelista"/>
        <w:numPr>
          <w:ilvl w:val="0"/>
          <w:numId w:val="8"/>
        </w:numPr>
        <w:spacing w:before="280" w:after="280"/>
        <w:ind w:left="851" w:right="899" w:firstLine="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Proporcionar la información que obre en los archivos y que le sea solicitada por la Unidad de Transparencia; </w:t>
      </w:r>
    </w:p>
    <w:p w:rsidR="00091526" w:rsidRPr="004008BC" w:rsidRDefault="00091526" w:rsidP="00A2481A">
      <w:pPr>
        <w:pStyle w:val="Prrafodelista"/>
        <w:numPr>
          <w:ilvl w:val="0"/>
          <w:numId w:val="8"/>
        </w:numPr>
        <w:spacing w:before="280" w:after="280"/>
        <w:ind w:left="851" w:right="899" w:firstLine="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Apoyar a la Unidad de Transparencia en lo que esta le solicite para el cumplimiento de sus funciones;</w:t>
      </w:r>
    </w:p>
    <w:p w:rsidR="00A2481A" w:rsidRPr="004008BC" w:rsidRDefault="00A2481A" w:rsidP="00A2481A">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p>
    <w:p w:rsidR="00F35080" w:rsidRPr="004008BC" w:rsidRDefault="00F35080" w:rsidP="00F35080">
      <w:pPr>
        <w:spacing w:before="280" w:after="280"/>
        <w:ind w:right="899"/>
        <w:jc w:val="both"/>
        <w:rPr>
          <w:rFonts w:ascii="Palatino Linotype" w:eastAsia="Palatino Linotype" w:hAnsi="Palatino Linotype" w:cs="Palatino Linotype"/>
          <w:b/>
        </w:rPr>
      </w:pPr>
      <w:r w:rsidRPr="004008BC">
        <w:rPr>
          <w:rFonts w:ascii="Palatino Linotype" w:eastAsia="Palatino Linotype" w:hAnsi="Palatino Linotype" w:cs="Palatino Linotype"/>
          <w:b/>
        </w:rPr>
        <w:t xml:space="preserve">Reglamento Interior de la Secretaria de Finanzas del Gobierno del Estado de México. </w:t>
      </w:r>
    </w:p>
    <w:p w:rsidR="00A2481A" w:rsidRPr="004008BC" w:rsidRDefault="00A2481A" w:rsidP="00A2481A">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lastRenderedPageBreak/>
        <w:t>Artículo 32.</w:t>
      </w:r>
      <w:r w:rsidRPr="004008BC">
        <w:rPr>
          <w:rFonts w:ascii="Palatino Linotype" w:eastAsia="Palatino Linotype" w:hAnsi="Palatino Linotype" w:cs="Palatino Linotype"/>
          <w:i/>
          <w:sz w:val="22"/>
          <w:szCs w:val="22"/>
        </w:rPr>
        <w:t xml:space="preserve"> Corresponde a la Dirección General de Recursos Materiales: </w:t>
      </w:r>
    </w:p>
    <w:p w:rsidR="00A2481A" w:rsidRPr="004008BC" w:rsidRDefault="00A2481A" w:rsidP="00F35080">
      <w:pPr>
        <w:pStyle w:val="Prrafodelista"/>
        <w:numPr>
          <w:ilvl w:val="0"/>
          <w:numId w:val="9"/>
        </w:numPr>
        <w:spacing w:before="280" w:after="280"/>
        <w:ind w:left="851" w:right="899" w:firstLine="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Derogada. </w:t>
      </w:r>
    </w:p>
    <w:p w:rsidR="00A2481A" w:rsidRPr="004008BC" w:rsidRDefault="00A2481A" w:rsidP="00F35080">
      <w:pPr>
        <w:pStyle w:val="Prrafodelista"/>
        <w:numPr>
          <w:ilvl w:val="0"/>
          <w:numId w:val="9"/>
        </w:numPr>
        <w:spacing w:before="280" w:after="280"/>
        <w:ind w:left="851" w:right="899" w:firstLine="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Formular y someter a la consideración del Subsecretario de Administración, para la autorización del Secretario, en el ámbito de su competencia, las políticas y normas que deberán observar las dependencias y los organismos auxiliares, en la planeación, programación, presupuestación y ejecución de los procedimientos de contratación y arrendamiento, así como de los contratos, acuerdos y convenios derivados de éstos. </w:t>
      </w:r>
    </w:p>
    <w:p w:rsidR="00A2481A" w:rsidRPr="004008BC" w:rsidRDefault="00A2481A" w:rsidP="00F35080">
      <w:pPr>
        <w:pStyle w:val="Prrafodelista"/>
        <w:numPr>
          <w:ilvl w:val="0"/>
          <w:numId w:val="9"/>
        </w:numPr>
        <w:spacing w:before="280" w:after="280"/>
        <w:ind w:left="851" w:right="899" w:firstLine="0"/>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Organizar y operar, con el apoyo de la Dirección General del Sistema Estatal de Informática, el Sistema Electrónico de Contratación Pública. </w:t>
      </w:r>
    </w:p>
    <w:p w:rsidR="00A2481A" w:rsidRPr="004008BC" w:rsidRDefault="00A2481A" w:rsidP="00F35080">
      <w:pPr>
        <w:pStyle w:val="Prrafodelista"/>
        <w:numPr>
          <w:ilvl w:val="0"/>
          <w:numId w:val="9"/>
        </w:numPr>
        <w:spacing w:before="280" w:after="280"/>
        <w:ind w:left="851" w:right="899" w:firstLine="0"/>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Integrar, operar y actualizar:</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a) Los catálogos de bienes y servicios, con el apoyo de las dependencias organismos auxiliares y tribunales administrativos, con el objeto de que tengan información acerca de las características técnicas de los bienes o servicios que contraten.</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b) El catálogo de proveedores y de prestadores de servicios, para conocer la capacidad administrativa, financiera, legal y técnica de los mismos.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V. Expedir las cédulas de proveedores de bienes y prestadores de servicios en los términos que establezca la normatividad en la materia.</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VI. Ejecutar y dar seguimiento al Programa Anual de Adquisiciones que emitan las dependencias y los organismos auxiliares del Poder Ejecutivo del Gobierno del Estado conforme a lo dispuesto en la normativa aplicable, previo acuerdo de coordinación celebrado con dichos organismos.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VII. Derogada.</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VIII. Programar, documentar y substanciar los procedimientos adquisitivos de bienes muebles y de contratación de servicios, en términos de la normatividad correspondiente.</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lastRenderedPageBreak/>
        <w:t>IX. Brindar o, en su caso, contratar asesoría técnica para la realización de estudios o investigaciones de mercado que tengan que pagarse con recursos estatales o federales, de pruebas de calidad y de aquéllas que sean necesarias para el mejoramiento y la modernización de las adquisiciones y de los servicios.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 Representar a la Secretaría, conforme a sus atribuciones, en los comités previstos por la normatividad aplicable.</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 Emitir las convocatorias, bases e invitaciones, así como los fallos de los procedimientos de contratación de las dependencias y de los organismos auxiliares del Poder Ejecutivo del Gobierno del Estado, en términos de lo establecido en la normativa aplicable, previo acuerdo de coordinación celebrado con dichos organismos.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XII. Llevar a cabo verificaciones físicas a los establecimientos de los proveedores de bienes o prestadores de servicios, de acuerdo con la normatividad aplicable, para comprobar su capacidad financiera, administrativa, técnica y legal y, en su caso, la calidad de los bienes y servicios ofrecidos y las existencias físicas disponibles.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XIII. Formular, suscribir y dar seguimiento a los contratos derivados de los procedimientos adquisitivos.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XIV. Suscribir acuerdos de coordinación con organismos auxiliares, tribunales administrativos, poderes Legislativo y Judicial, entes autónomos y municipios, para la realización de procedimientos adquisitivos.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XV. Conocer, substanciar y resolver del incumplimiento en que incurran los proveedores de bienes o prestadores de servicios y, en su caso, aplicar las sanciones correspondientes.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XVI. Comunicar a la Secretaría de la Contraloría el incumplimiento de las empresas o personas físicas sujetas a procedimiento administrativo sancionador, derivado de los supuestos establecidos en la Ley de Contratación Pública del Estado de México y Municipios.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XVII. Intervenir en los juicios y demás asuntos de carácter legal en los que sea parte o tenga conocimiento, con motivo de la ejecución de las atribuciones que tiene encomendadas, en coordinación con las áreas jurídicas que corresponda.</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lastRenderedPageBreak/>
        <w:t>XVIII. Formular y dar a conocer los criterios y disposiciones de carácter administrativo, para la correcta aplicación de la Ley de Contratación Pública del Estado de México y Municipios, y su Reglamento.</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XIX. Suministrar, controlar y verificar los servicios generales que requieran las dependencias y</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los organismos auxiliares del Poder Ejecutivo del Gobierno del Estado, previo acuerdo de</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coordinación celebrado para tal efecto con dichos organismos.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 Proporcionar, hacer eficientes y controlar los servicios de apoyo logístico destinados a</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realizar ceremonias oficiales y eventos especiales que requiera el titular del Ejecutivo Estatal</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y, en su caso, las dependencias y los organismos auxiliares del Poder Ejecutivo del Gobierno</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del Estado, en términos de lo dispuesto en la normativa aplicable.</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XXI. Formular y operar el Sistema Integral de Control Patrimonial del Poder Ejecutivo del Estado.</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XXII. Formular y someter a la aprobación del Secretario, por conducto del Subsecretario de</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Administración, las normas técnicas y administrativas, y las políticas para la</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administración, preservación, el control, y la conservación y regularización del patrimonio</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estatal.</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XXIII. Proponer al Subsecretario de Administración las normas y políticas para la asignación de</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los bienes muebles e inmuebles a las dependencias y a los organismos auxiliares del PoderEjecutivo del Gobierno del Estado de México, así como para el uso de dichos bienes.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XXIV. Elaborar, ejecutar y promover los programas relativos al patrimonio estatal.</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XXV. Verificar e inspeccionar, periódicamente, las condiciones de registro, uso, conservación,</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rehabilitación, control y daños por siniestros de los bienes muebles e inmuebles asignados o</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que formen parte del patrimonio del Poder Ejecutivo del Gobierno del Estado, o de aquellos</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que se hayan otorgado, mediante convenio o contrato de donación, comodato, usufructo,</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arrendamiento o por cualquier otra figura contemplada por las leyes, a los gobiernos federal</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o municipales, a asociaciones, instituciones públicas o privadas o a personas físicas, de</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 xml:space="preserve">conformidad </w:t>
      </w:r>
      <w:r w:rsidRPr="004008BC">
        <w:rPr>
          <w:rFonts w:ascii="Palatino Linotype" w:eastAsia="Palatino Linotype" w:hAnsi="Palatino Linotype" w:cs="Palatino Linotype"/>
          <w:i/>
          <w:sz w:val="22"/>
          <w:szCs w:val="22"/>
        </w:rPr>
        <w:lastRenderedPageBreak/>
        <w:t>con los instrumentos jurídicos que les dieron origen y las disposiciones</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jurídicas aplicables.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XXVI. Derogada.</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XXVII. Registrar y verificar la información relativa a la administración y control de bienes muebles</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o inmuebles del patrimonio estatal, así como integrar los inventarios y catálogos</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respectivos.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XXVIII. Recibir a nombre del Gobierno del Estado los pagos por concepto de indemnización de</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bienes muebles o inmuebles, por parte de las compañías aseguradoras o afianzadoras.</w:t>
      </w:r>
    </w:p>
    <w:p w:rsidR="00A2481A" w:rsidRPr="004008BC" w:rsidRDefault="00A2481A"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XXIX. Asesorar, cuando así lo soliciten, a los Poderes Legislativo y Judicial, organismos auxiliares,</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tribunales administrativos del Gobierno del Estado y a los ayuntamientos, en el control de</w:t>
      </w:r>
      <w:r w:rsidR="00C14971"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i/>
          <w:sz w:val="22"/>
          <w:szCs w:val="22"/>
        </w:rPr>
        <w:t>su patrimonio mobiliario e inmobiliario.</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 Tramitar y ejecutar, según corresponda, los procedimientos y las acciones, en coordinación con las instancias competentes, para la incorporación, desincorporación, afectación, desafectación, el uso, destino, la concesión, recuperación administrativa, el aprovechamiento, alta y baja, la conservación y el mantenimiento e inventario del patrimonio mobiliario e inmobiliario estatal.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XXXI. Proponer al Subsecretario de Administración el destino final de los bienes muebles dados de baja por las dependencias del Poder Ejecutivo del Estado.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XXXII. Dictaminar sobre la procedencia de la adquisición de bienes muebles y contratación de servicios que requieran las dependencias y organismos auxiliares del Gobierno del Estado para el desarrollo de sus funciones, con excepción de aquellos bienes específicos cuyo dictamen corresponda a otra unidad administrativa.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XXXIII. Suscribir, previo acuerdo por escrito del Subsecretario de Administración, a nombre del Poder Ejecutivo del Gobierno del Estado, los contratos de arrendamiento de bienes inmuebles, en el carácter de arrendador o de arrendatario, así como los instrumentos para darlos por terminados.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XXXIV. Transmitir, en representación de la Secretaría y a nombre del Gobierno del Estado, la propiedad de bienes muebles que se desincorporen del patrimonio </w:t>
      </w:r>
      <w:r w:rsidRPr="004008BC">
        <w:rPr>
          <w:rFonts w:ascii="Palatino Linotype" w:eastAsia="Palatino Linotype" w:hAnsi="Palatino Linotype" w:cs="Palatino Linotype"/>
          <w:i/>
          <w:sz w:val="22"/>
          <w:szCs w:val="22"/>
        </w:rPr>
        <w:lastRenderedPageBreak/>
        <w:t xml:space="preserve">mobiliario estatal, mediante el contrato correspondiente, anexando el documento que acredite la propiedad de los mismos.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XXXV. Derogada.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XXXVI. Integrar con la documentación técnica, jurídica y administrativa, los expedientes que conforman el patrimonio inmobiliario estatal y mantenerlos actualizados, así como concentrar la información relativa del sector auxiliar.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XXXVII. Tramitar y ejecutar los procedimientos y acciones necesarias para regularizar la propiedad del patrimonio inmobiliario estatal, representando legalmente a la Secretaría ante cualquier autoridad y coadyuvar, en lo relativo con el sector auxiliar.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XXXVIII. Dictaminar o en su caso realizar los trámites, para el mantenimiento, conservación y remodelación de las oficinas públicas de propiedad estatal, que requieran las dependencias del Poder Ejecutivo del Gobierno del Estado.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XXXIX. Proponer alternativas para optimizar la utilización de los bienes inmuebles.</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 Intervenir, en el ámbito de su competencia, en los actos de entrega y recepción de las oficinas públicas del Poder Ejecutivo del Gobierno del Estado, de acuerdo con las disposiciones aplicables.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XLI. Intervenir, en el ámbito de su competencia, en la substanciación de los procedimientos y en la ejecución de las acciones necesarias para la enajenación de bienes, el arrendamiento y la adquisición de inmuebles que requieran las dependencias del Poder Ejecutivo del Gobierno del Estado.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XLII. Formular y someter a la aprobación del Secretario, por conducto del Subsecretario de Administración, las políticas y normas técnicas y administrativas en materia de seguros y fianzas.</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XLIII. Suscribir los convenios de liquidación en los casos de indemnización, cuando intervenga una reaseguradora.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XLIV. Informar a la Dirección General de Recaudación el incumplimiento de las empresas o personas físicas que fueron sancionadas al pago de una multa en el </w:t>
      </w:r>
      <w:r w:rsidRPr="004008BC">
        <w:rPr>
          <w:rFonts w:ascii="Palatino Linotype" w:eastAsia="Palatino Linotype" w:hAnsi="Palatino Linotype" w:cs="Palatino Linotype"/>
          <w:i/>
          <w:sz w:val="22"/>
          <w:szCs w:val="22"/>
        </w:rPr>
        <w:lastRenderedPageBreak/>
        <w:t xml:space="preserve">procedimiento administrativo sancionador, solicitándole la recepción del pago y, a falta de éste, en ejercicio de sus atribuciones realice el cobro de la multa a través del procedimiento administrativo de ejecución.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XLV. Solicitar el apoyo administrativo de otras unidades administrativas de la Secretaría, en materia de adquisición de bienes, servicios y otras actividades relacionadas con sus atribuciones.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XLVI. Someter a consideración del Subsecretario de Administración la suscripción y recisión de la relación contractual, a nombre del Poder Ejecutivo del Gobierno del Estado, respecto de los contratos de comodato que se celebren: a) Sobre bienes muebles e inmuebles de su propiedad. b) Sobre bienes muebles e inmuebles propiedad de terceros.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XLVII. Someter a consideración del Subsecretario de Administración, la suscripción, a nombre del Poder Ejecutivo del Gobierno del Estado, de los contratos de donación de todo tipo de bienes muebles e inmuebles a favor del Poder Ejecutivo del Gobierno del Estado y ordenar su inventario y registro.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XLVIII. Someter a consideración del Subsecretario de Administración, la suscripción, a nombre del Poder Ejecutivo del Gobierno del Estado, de los convenios a celebrarse entre dependencias o con organismos auxiliares o municipios, o con organismos auxiliares y municipios de otros estados, o con dependencias o entidades paraestatales de la Federación, excepto cuando sea parte un particular en los procedimientos o contratos respectivos, de conformidad con lo establecido en el penúltimo párrafo del artículo 1 de la Ley de Contratación Pública del Estado de México y Municipios o, tratándose de recursos federales, en términos de lo indicado por el antepenúltimo párrafo del artículo 1 de la Ley de Adquisiciones, Arrendamientos y Servicios del Sector Público. </w:t>
      </w:r>
    </w:p>
    <w:p w:rsidR="00C14971" w:rsidRPr="004008BC" w:rsidRDefault="00C14971" w:rsidP="00F35080">
      <w:pPr>
        <w:pStyle w:val="Prrafodelista"/>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XLIX. Las demás que le señalen otros ordenamientos y las que le encomiende el Secretario o el Subsecretario de Administración.</w:t>
      </w:r>
    </w:p>
    <w:p w:rsidR="004008BC" w:rsidRPr="004008BC" w:rsidRDefault="004008BC" w:rsidP="00F35080">
      <w:pPr>
        <w:pStyle w:val="Prrafodelista"/>
        <w:spacing w:before="280" w:after="280"/>
        <w:ind w:left="851" w:right="899"/>
        <w:jc w:val="both"/>
        <w:rPr>
          <w:rFonts w:ascii="Palatino Linotype" w:eastAsia="Palatino Linotype" w:hAnsi="Palatino Linotype" w:cs="Palatino Linotype"/>
          <w:i/>
          <w:sz w:val="22"/>
          <w:szCs w:val="22"/>
        </w:rPr>
      </w:pPr>
    </w:p>
    <w:p w:rsidR="00F35080" w:rsidRPr="004008BC" w:rsidRDefault="00F35080" w:rsidP="00B5401D">
      <w:pPr>
        <w:spacing w:before="280" w:after="280"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Manual General de Organización de la Secretaria de Finanzas</w:t>
      </w:r>
    </w:p>
    <w:p w:rsidR="00C342EE" w:rsidRPr="004008BC" w:rsidRDefault="00C342EE" w:rsidP="00F35080">
      <w:pPr>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lastRenderedPageBreak/>
        <w:t xml:space="preserve">20706005100000L </w:t>
      </w:r>
      <w:r w:rsidR="00F35080" w:rsidRPr="004008BC">
        <w:rPr>
          <w:rFonts w:ascii="Palatino Linotype" w:eastAsia="Palatino Linotype" w:hAnsi="Palatino Linotype" w:cs="Palatino Linotype"/>
          <w:i/>
          <w:sz w:val="22"/>
          <w:szCs w:val="22"/>
        </w:rPr>
        <w:t>Coordinación de Procedimientos Adquisitivos</w:t>
      </w:r>
      <w:r w:rsidRPr="004008BC">
        <w:rPr>
          <w:rFonts w:ascii="Palatino Linotype" w:eastAsia="Palatino Linotype" w:hAnsi="Palatino Linotype" w:cs="Palatino Linotype"/>
          <w:i/>
          <w:sz w:val="22"/>
          <w:szCs w:val="22"/>
        </w:rPr>
        <w:t xml:space="preserve">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OBJETIVO: Coordinar las acciones para la asignación, implementación y desarrollo de los procedimientos adquisitivos de bienes y de contratación de servicios con recursos federales y estatales que requieran las dependencias de la Administración Pública Estatal, y previo acuerdo de coordinación de las entidades, tribunales administrativos y ayuntamientos; asimismo, dirigir la emisión de estudios e investigaciones de mercado, e integración de los catálogos de bienes y servicios, y de proveedores y prestadores de servicios.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FUNCIONES: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Proponer a la o al Director General de Recursos Materiales las políticas, lineamientos o normas que permitan eficientar los procedimientos relacionados con las adquisiciones de bienes muebles y contratación de servicios con recursos federales y estatales. </w:t>
      </w:r>
    </w:p>
    <w:p w:rsidR="00091526"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Dirigir la ejecución de los Programas Anuales de Adquisiciones de las dependencias y previo acuerdo de coordinación de las entidades, tribunales administrativos y ayuntamientos.</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Autorizar el calendario semanal de los procedimientos adquisitivos de bienes y contratación de servicios con recursos federales y estatales.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Participar, en su caso, en los Comités de Adquisiciones y Servicios y de Adquisiciones, Arrendamientos y Servicios de la Secretaría de Finanzas, en los términos que establezca el marco normativo en la materia.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Coordinar las acciones relacionadas con la integración, operación y actualización de los catálogos de bienes y servicios, así como el de proveedoras y proveedores, prestadoras y prestadores de servicios.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Supervisar la realización de estudios e investigaciones de mercado, así como la práctica de visitas de verificación ordenadas a los establecimientos de las y los proveedores de bienes o prestadoras y prestadores de servicios.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Proponer a la Directora o al Director General de Recursos Materiales, los casos en que habrá de contratarse la asesoría técnica para la realización de investigaciones de </w:t>
      </w:r>
      <w:r w:rsidRPr="004008BC">
        <w:rPr>
          <w:rFonts w:ascii="Palatino Linotype" w:eastAsia="Palatino Linotype" w:hAnsi="Palatino Linotype" w:cs="Palatino Linotype"/>
          <w:i/>
          <w:sz w:val="22"/>
          <w:szCs w:val="22"/>
        </w:rPr>
        <w:lastRenderedPageBreak/>
        <w:t xml:space="preserve">mercado, verificación de precios, pruebas de calidad y aquellas que sean necesarias para eficientar los procedimientos adquisitivos de bienes y contratación de servicios.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Supervisar los procedimientos adquisitivos de bienes y contratación de servicios con recursos federales y estatales, para que sean impulsados en el ámbito de su competencia, conforme a las disposiciones legales, reglamentarias, políticas, lineamientos, criterios y normas técnicas y administrativas establecidas.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Vigilar la elaboración de los contratos relativos a la adquisición de bienes o contratación de servicios con recursos federales y estatales.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Presentar a la o al Director General de Recursos Materiales los contratos que se deriven de los procedimientos adquisitivos de bienes y contratación de servicios con recursos federales y estatales, para su suscripción.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Participar en la elaboración de proyectos o estudios de mejora administrativa y desarrollo organizacional relacionados con la Coordinación.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xml:space="preserve">− Distribuir los procedimientos de contratación con recursos federales y estatales a la Dirección correspondiente, de acuerdo a las funciones y cargas de trabajo de cada unidad administrativa. </w:t>
      </w:r>
    </w:p>
    <w:p w:rsidR="00C342EE" w:rsidRPr="004008BC" w:rsidRDefault="00C342EE" w:rsidP="00F35080">
      <w:pPr>
        <w:spacing w:before="280" w:after="280"/>
        <w:ind w:left="851" w:right="899"/>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 Desarrollar las demás funciones inherentes al área de su competencia.</w:t>
      </w:r>
    </w:p>
    <w:p w:rsidR="002C10C5" w:rsidRDefault="002C10C5" w:rsidP="002C10C5">
      <w:pPr>
        <w:spacing w:before="280" w:after="280"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De las transcripciones que anteceden, se advierten diversas funciones </w:t>
      </w:r>
      <w:r w:rsidR="004C426A" w:rsidRPr="004008BC">
        <w:rPr>
          <w:rFonts w:ascii="Palatino Linotype" w:eastAsia="Palatino Linotype" w:hAnsi="Palatino Linotype" w:cs="Palatino Linotype"/>
        </w:rPr>
        <w:t>correspondientes al</w:t>
      </w:r>
      <w:r w:rsidR="004C426A" w:rsidRPr="004008BC">
        <w:rPr>
          <w:rFonts w:ascii="Palatino Linotype" w:eastAsia="Palatino Linotype" w:hAnsi="Palatino Linotype" w:cs="Palatino Linotype"/>
          <w:b/>
        </w:rPr>
        <w:t xml:space="preserve"> SUJETO OBLIGADO</w:t>
      </w:r>
      <w:r w:rsidR="004C426A" w:rsidRPr="004008BC">
        <w:rPr>
          <w:rFonts w:ascii="Palatino Linotype" w:eastAsia="Palatino Linotype" w:hAnsi="Palatino Linotype" w:cs="Palatino Linotype"/>
        </w:rPr>
        <w:t>, entre las q</w:t>
      </w:r>
      <w:r w:rsidRPr="004008BC">
        <w:rPr>
          <w:rFonts w:ascii="Palatino Linotype" w:eastAsia="Palatino Linotype" w:hAnsi="Palatino Linotype" w:cs="Palatino Linotype"/>
        </w:rPr>
        <w:t>ue</w:t>
      </w:r>
      <w:r w:rsidR="004C426A" w:rsidRPr="004008BC">
        <w:rPr>
          <w:rFonts w:ascii="Palatino Linotype" w:eastAsia="Palatino Linotype" w:hAnsi="Palatino Linotype" w:cs="Palatino Linotype"/>
        </w:rPr>
        <w:t xml:space="preserve"> destacan que</w:t>
      </w:r>
      <w:r w:rsidRPr="004008BC">
        <w:rPr>
          <w:rFonts w:ascii="Palatino Linotype" w:eastAsia="Palatino Linotype" w:hAnsi="Palatino Linotype" w:cs="Palatino Linotype"/>
        </w:rPr>
        <w:t>, corresponde a la Dirección General de Recursos Materiales la Secretaria de Finanzas del Gobierno del Estado de México,</w:t>
      </w:r>
      <w:r w:rsidRPr="004008BC">
        <w:t xml:space="preserve"> in</w:t>
      </w:r>
      <w:r w:rsidRPr="004008BC">
        <w:rPr>
          <w:rFonts w:ascii="Palatino Linotype" w:eastAsia="Palatino Linotype" w:hAnsi="Palatino Linotype" w:cs="Palatino Linotype"/>
        </w:rPr>
        <w:t>tegrar, operar y actualizar el catálogo de proveedores y de prestadores de servicios, para conocer la capacidad administrativa, financiera, legal y técnica de los mismos.</w:t>
      </w:r>
    </w:p>
    <w:p w:rsidR="004C426A" w:rsidRPr="00825292" w:rsidRDefault="001B1A40" w:rsidP="004C426A">
      <w:pPr>
        <w:spacing w:line="360" w:lineRule="auto"/>
        <w:jc w:val="both"/>
        <w:rPr>
          <w:rFonts w:ascii="Palatino Linotype" w:eastAsia="Palatino Linotype" w:hAnsi="Palatino Linotype" w:cs="Palatino Linotype"/>
          <w:sz w:val="22"/>
          <w:szCs w:val="22"/>
        </w:rPr>
      </w:pPr>
      <w:r w:rsidRPr="00440166">
        <w:rPr>
          <w:rFonts w:ascii="Palatino Linotype" w:eastAsia="Palatino Linotype" w:hAnsi="Palatino Linotype" w:cs="Palatino Linotype"/>
          <w:sz w:val="22"/>
          <w:szCs w:val="22"/>
        </w:rPr>
        <w:t>E</w:t>
      </w:r>
      <w:r w:rsidR="004C426A" w:rsidRPr="00440166">
        <w:rPr>
          <w:rFonts w:ascii="Palatino Linotype" w:eastAsia="Palatino Linotype" w:hAnsi="Palatino Linotype" w:cs="Palatino Linotype"/>
          <w:sz w:val="22"/>
          <w:szCs w:val="22"/>
        </w:rPr>
        <w:t>l artículo 32-D del Código Fiscal de la Federación, párrafo séptimo señala:</w:t>
      </w:r>
    </w:p>
    <w:p w:rsidR="004C426A" w:rsidRPr="00825292" w:rsidRDefault="004C426A" w:rsidP="004C426A">
      <w:pPr>
        <w:ind w:left="851" w:right="899"/>
        <w:jc w:val="both"/>
        <w:rPr>
          <w:rFonts w:ascii="Palatino Linotype" w:hAnsi="Palatino Linotype"/>
          <w:i/>
          <w:sz w:val="20"/>
          <w:szCs w:val="20"/>
        </w:rPr>
      </w:pPr>
      <w:r w:rsidRPr="00825292">
        <w:rPr>
          <w:rFonts w:ascii="Palatino Linotype" w:hAnsi="Palatino Linotype"/>
          <w:b/>
          <w:i/>
          <w:sz w:val="20"/>
          <w:szCs w:val="20"/>
        </w:rPr>
        <w:lastRenderedPageBreak/>
        <w:t xml:space="preserve">Artículo 32-D. </w:t>
      </w:r>
      <w:r w:rsidRPr="00825292">
        <w:rPr>
          <w:rFonts w:ascii="Palatino Linotype" w:hAnsi="Palatino Linotype"/>
          <w:i/>
          <w:sz w:val="20"/>
          <w:szCs w:val="20"/>
        </w:rPr>
        <w:t>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r w:rsidRPr="00825292">
        <w:rPr>
          <w:rFonts w:ascii="Palatino Linotype" w:hAnsi="Palatino Linotype"/>
          <w:i/>
          <w:sz w:val="20"/>
          <w:szCs w:val="20"/>
        </w:rPr>
        <w:cr/>
        <w:t>(…)</w:t>
      </w:r>
    </w:p>
    <w:p w:rsidR="004C426A" w:rsidRPr="00825292" w:rsidRDefault="004C426A" w:rsidP="004C426A">
      <w:pPr>
        <w:ind w:left="851" w:right="899"/>
        <w:jc w:val="both"/>
        <w:rPr>
          <w:rFonts w:ascii="Palatino Linotype" w:eastAsia="Palatino Linotype" w:hAnsi="Palatino Linotype" w:cs="Palatino Linotype"/>
          <w:b/>
          <w:i/>
          <w:sz w:val="20"/>
          <w:szCs w:val="20"/>
        </w:rPr>
      </w:pPr>
      <w:r w:rsidRPr="00825292">
        <w:rPr>
          <w:rFonts w:ascii="Palatino Linotype" w:hAnsi="Palatino Linotype"/>
          <w:b/>
          <w:i/>
          <w:sz w:val="20"/>
          <w:szCs w:val="20"/>
        </w:rPr>
        <w:t xml:space="preserve">Los proveedores a quienes se adjudique el contrato, para poder subcontratar, deberán solicitar y entregar a la contratante la </w:t>
      </w:r>
      <w:r w:rsidRPr="00825292">
        <w:rPr>
          <w:rFonts w:ascii="Palatino Linotype" w:hAnsi="Palatino Linotype"/>
          <w:b/>
          <w:i/>
          <w:sz w:val="20"/>
          <w:szCs w:val="20"/>
          <w:u w:val="single"/>
        </w:rPr>
        <w:t>constancia de cumplimiento de las obligaciones fiscales</w:t>
      </w:r>
      <w:r w:rsidRPr="00825292">
        <w:rPr>
          <w:rFonts w:ascii="Palatino Linotype" w:hAnsi="Palatino Linotype"/>
          <w:b/>
          <w:i/>
          <w:sz w:val="20"/>
          <w:szCs w:val="20"/>
        </w:rPr>
        <w:t xml:space="preserve"> del subcontratante</w:t>
      </w:r>
      <w:r w:rsidRPr="00825292">
        <w:rPr>
          <w:rFonts w:ascii="Palatino Linotype" w:hAnsi="Palatino Linotype"/>
          <w:i/>
          <w:sz w:val="20"/>
          <w:szCs w:val="20"/>
        </w:rPr>
        <w:t>, que se obtiene a través de la página de Internet del Servicio de Administración Tributaria.</w:t>
      </w:r>
    </w:p>
    <w:p w:rsidR="00067CB4" w:rsidRPr="00825292" w:rsidRDefault="00067CB4" w:rsidP="00067CB4">
      <w:pPr>
        <w:spacing w:line="360" w:lineRule="auto"/>
        <w:jc w:val="both"/>
        <w:rPr>
          <w:rFonts w:ascii="Palatino Linotype" w:eastAsia="Palatino Linotype" w:hAnsi="Palatino Linotype" w:cs="Palatino Linotype"/>
          <w:sz w:val="20"/>
          <w:szCs w:val="20"/>
        </w:rPr>
      </w:pPr>
    </w:p>
    <w:p w:rsidR="00D230AD" w:rsidRPr="00440166" w:rsidRDefault="00D230AD" w:rsidP="00067CB4">
      <w:pPr>
        <w:spacing w:line="360" w:lineRule="auto"/>
        <w:jc w:val="both"/>
        <w:rPr>
          <w:rFonts w:ascii="Palatino Linotype" w:eastAsia="Palatino Linotype" w:hAnsi="Palatino Linotype" w:cs="Palatino Linotype"/>
          <w:sz w:val="22"/>
          <w:szCs w:val="22"/>
        </w:rPr>
      </w:pPr>
      <w:r w:rsidRPr="00440166">
        <w:rPr>
          <w:rFonts w:ascii="Palatino Linotype" w:eastAsia="Palatino Linotype" w:hAnsi="Palatino Linotype" w:cs="Palatino Linotype"/>
          <w:sz w:val="22"/>
          <w:szCs w:val="22"/>
        </w:rPr>
        <w:t xml:space="preserve">Lo anterior </w:t>
      </w:r>
      <w:r w:rsidR="00081188" w:rsidRPr="00440166">
        <w:rPr>
          <w:rFonts w:ascii="Palatino Linotype" w:eastAsia="Palatino Linotype" w:hAnsi="Palatino Linotype" w:cs="Palatino Linotype"/>
          <w:sz w:val="22"/>
          <w:szCs w:val="22"/>
        </w:rPr>
        <w:t>se robustece</w:t>
      </w:r>
      <w:r w:rsidRPr="00440166">
        <w:rPr>
          <w:rFonts w:ascii="Palatino Linotype" w:eastAsia="Palatino Linotype" w:hAnsi="Palatino Linotype" w:cs="Palatino Linotype"/>
          <w:sz w:val="22"/>
          <w:szCs w:val="22"/>
        </w:rPr>
        <w:t xml:space="preserve"> con </w:t>
      </w:r>
      <w:r w:rsidR="00081188" w:rsidRPr="00440166">
        <w:rPr>
          <w:rFonts w:ascii="Palatino Linotype" w:eastAsia="Palatino Linotype" w:hAnsi="Palatino Linotype" w:cs="Palatino Linotype"/>
          <w:sz w:val="22"/>
          <w:szCs w:val="22"/>
        </w:rPr>
        <w:t xml:space="preserve">lo dispuesto en la Resolución Miscelánea Fiscal </w:t>
      </w:r>
      <w:r w:rsidR="00F27870" w:rsidRPr="00440166">
        <w:rPr>
          <w:rFonts w:ascii="Palatino Linotype" w:eastAsia="Palatino Linotype" w:hAnsi="Palatino Linotype" w:cs="Palatino Linotype"/>
          <w:sz w:val="22"/>
          <w:szCs w:val="22"/>
        </w:rPr>
        <w:t xml:space="preserve"> correspondientes al periodo </w:t>
      </w:r>
      <w:r w:rsidR="00F47CED" w:rsidRPr="00440166">
        <w:rPr>
          <w:rFonts w:ascii="Palatino Linotype" w:eastAsia="Palatino Linotype" w:hAnsi="Palatino Linotype" w:cs="Palatino Linotype"/>
          <w:sz w:val="22"/>
          <w:szCs w:val="22"/>
        </w:rPr>
        <w:t xml:space="preserve">del 2014 al </w:t>
      </w:r>
      <w:r w:rsidR="00081188" w:rsidRPr="00440166">
        <w:rPr>
          <w:rFonts w:ascii="Palatino Linotype" w:eastAsia="Palatino Linotype" w:hAnsi="Palatino Linotype" w:cs="Palatino Linotype"/>
          <w:sz w:val="22"/>
          <w:szCs w:val="22"/>
        </w:rPr>
        <w:t>2017, que a la letra dice:</w:t>
      </w:r>
    </w:p>
    <w:p w:rsidR="00F27870" w:rsidRPr="00440166" w:rsidRDefault="00F27870" w:rsidP="00067CB4">
      <w:pPr>
        <w:spacing w:line="360" w:lineRule="auto"/>
        <w:jc w:val="both"/>
        <w:rPr>
          <w:rFonts w:ascii="Palatino Linotype" w:eastAsia="Palatino Linotype" w:hAnsi="Palatino Linotype" w:cs="Palatino Linotype"/>
          <w:sz w:val="20"/>
          <w:szCs w:val="20"/>
        </w:rPr>
      </w:pPr>
    </w:p>
    <w:p w:rsidR="00F27870" w:rsidRPr="00440166" w:rsidRDefault="00F27870" w:rsidP="00F27870">
      <w:pPr>
        <w:spacing w:line="360" w:lineRule="auto"/>
        <w:ind w:left="851" w:right="902"/>
        <w:jc w:val="center"/>
        <w:rPr>
          <w:rFonts w:ascii="Palatino Linotype" w:hAnsi="Palatino Linotype"/>
          <w:b/>
          <w:sz w:val="20"/>
          <w:szCs w:val="20"/>
        </w:rPr>
      </w:pPr>
      <w:r w:rsidRPr="00440166">
        <w:rPr>
          <w:rFonts w:ascii="Palatino Linotype" w:hAnsi="Palatino Linotype"/>
          <w:b/>
          <w:sz w:val="20"/>
          <w:szCs w:val="20"/>
        </w:rPr>
        <w:t>Procedimiento que debe observarse para contrataciones con la Federación y entidades federativas (2014)</w:t>
      </w:r>
    </w:p>
    <w:p w:rsidR="00F27870" w:rsidRPr="00440166" w:rsidRDefault="00F27870" w:rsidP="00F27870">
      <w:pPr>
        <w:spacing w:line="360" w:lineRule="auto"/>
        <w:ind w:left="851" w:right="902"/>
        <w:jc w:val="both"/>
        <w:rPr>
          <w:rFonts w:ascii="Palatino Linotype" w:hAnsi="Palatino Linotype"/>
          <w:sz w:val="20"/>
          <w:szCs w:val="20"/>
        </w:rPr>
      </w:pPr>
      <w:r w:rsidRPr="00440166">
        <w:rPr>
          <w:rFonts w:ascii="Palatino Linotype" w:hAnsi="Palatino Linotype"/>
          <w:b/>
          <w:sz w:val="20"/>
          <w:szCs w:val="20"/>
        </w:rPr>
        <w:t>I.2.1.16.</w:t>
      </w:r>
      <w:r w:rsidRPr="00440166">
        <w:rPr>
          <w:rFonts w:ascii="Palatino Linotype" w:hAnsi="Palatino Linotype"/>
          <w:sz w:val="20"/>
          <w:szCs w:val="20"/>
        </w:rPr>
        <w:t xml:space="preserve">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En caso de que los contribuyentes con quienes se vaya a celebrar el contrato y los que estos últimos subcontraten, tramiten por su cuenta la opinión del cumplimiento de obligaciones fiscales, lo harán en términos de lo dispuesto por la regla I.2.1.36. (5ª RMRMF 2014, 16 de octubre de 2014, Reforma)</w:t>
      </w:r>
    </w:p>
    <w:p w:rsidR="00F27870" w:rsidRPr="00440166" w:rsidRDefault="00F27870" w:rsidP="00F27870">
      <w:pPr>
        <w:spacing w:line="360" w:lineRule="auto"/>
        <w:ind w:left="851" w:right="902"/>
        <w:jc w:val="center"/>
        <w:rPr>
          <w:rFonts w:ascii="Palatino Linotype" w:hAnsi="Palatino Linotype"/>
          <w:sz w:val="20"/>
          <w:szCs w:val="20"/>
        </w:rPr>
      </w:pPr>
    </w:p>
    <w:p w:rsidR="00F27870" w:rsidRPr="00440166" w:rsidRDefault="00F27870" w:rsidP="00F27870">
      <w:pPr>
        <w:spacing w:line="360" w:lineRule="auto"/>
        <w:ind w:left="851" w:right="902"/>
        <w:jc w:val="center"/>
        <w:rPr>
          <w:rFonts w:ascii="Palatino Linotype" w:hAnsi="Palatino Linotype"/>
          <w:b/>
          <w:sz w:val="20"/>
          <w:szCs w:val="20"/>
        </w:rPr>
      </w:pPr>
      <w:r w:rsidRPr="00440166">
        <w:rPr>
          <w:rFonts w:ascii="Palatino Linotype" w:hAnsi="Palatino Linotype"/>
          <w:b/>
          <w:sz w:val="20"/>
          <w:szCs w:val="20"/>
        </w:rPr>
        <w:t>Procedimiento que debe observarse para contrataciones con la Federación y entidades federativas (2015)</w:t>
      </w:r>
    </w:p>
    <w:p w:rsidR="00F27870" w:rsidRPr="00440166" w:rsidRDefault="00F27870" w:rsidP="00F27870">
      <w:pPr>
        <w:spacing w:line="360" w:lineRule="auto"/>
        <w:ind w:left="851" w:right="902"/>
        <w:jc w:val="both"/>
        <w:rPr>
          <w:rFonts w:ascii="Palatino Linotype" w:hAnsi="Palatino Linotype"/>
          <w:sz w:val="20"/>
          <w:szCs w:val="20"/>
        </w:rPr>
      </w:pPr>
      <w:r w:rsidRPr="00440166">
        <w:rPr>
          <w:rFonts w:ascii="Palatino Linotype" w:hAnsi="Palatino Linotype"/>
          <w:b/>
          <w:sz w:val="20"/>
          <w:szCs w:val="20"/>
        </w:rPr>
        <w:t>2.1.27</w:t>
      </w:r>
      <w:r w:rsidRPr="00440166">
        <w:rPr>
          <w:rFonts w:ascii="Palatino Linotype" w:hAnsi="Palatino Linotype"/>
          <w:sz w:val="20"/>
          <w:szCs w:val="20"/>
        </w:rPr>
        <w:t>.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F27870" w:rsidRPr="00440166" w:rsidRDefault="00F27870" w:rsidP="00F27870">
      <w:pPr>
        <w:spacing w:line="360" w:lineRule="auto"/>
        <w:ind w:left="851" w:right="902"/>
        <w:jc w:val="both"/>
        <w:rPr>
          <w:rFonts w:ascii="Palatino Linotype" w:hAnsi="Palatino Linotype"/>
          <w:sz w:val="20"/>
          <w:szCs w:val="20"/>
        </w:rPr>
      </w:pPr>
    </w:p>
    <w:p w:rsidR="00F27870" w:rsidRPr="00440166" w:rsidRDefault="00F27870" w:rsidP="00F27870">
      <w:pPr>
        <w:spacing w:line="360" w:lineRule="auto"/>
        <w:ind w:left="851" w:right="902"/>
        <w:jc w:val="both"/>
        <w:rPr>
          <w:rFonts w:ascii="Palatino Linotype" w:hAnsi="Palatino Linotype"/>
          <w:sz w:val="20"/>
          <w:szCs w:val="20"/>
        </w:rPr>
      </w:pPr>
      <w:r w:rsidRPr="00440166">
        <w:rPr>
          <w:rFonts w:ascii="Palatino Linotype" w:hAnsi="Palatino Linotype"/>
          <w:sz w:val="20"/>
          <w:szCs w:val="20"/>
        </w:rPr>
        <w:t xml:space="preserve"> En caso de que los contribuyentes con quienes se vaya a celebrar el contrato y los que estos últimos subcontraten, tramiten por su cuenta la opinión del cumplimiento de obligaciones fiscales, lo harán en términos de lo dispuesto por la regla 2.1.35.</w:t>
      </w:r>
    </w:p>
    <w:p w:rsidR="003E3F5D" w:rsidRPr="00440166" w:rsidRDefault="003E3F5D" w:rsidP="00F27870">
      <w:pPr>
        <w:spacing w:line="360" w:lineRule="auto"/>
        <w:ind w:left="851" w:right="902"/>
        <w:jc w:val="both"/>
        <w:rPr>
          <w:rFonts w:ascii="Palatino Linotype" w:hAnsi="Palatino Linotype"/>
          <w:sz w:val="20"/>
          <w:szCs w:val="20"/>
        </w:rPr>
      </w:pPr>
    </w:p>
    <w:p w:rsidR="003E3F5D" w:rsidRPr="00440166" w:rsidRDefault="003E3F5D" w:rsidP="003E3F5D">
      <w:pPr>
        <w:spacing w:line="360" w:lineRule="auto"/>
        <w:ind w:left="851" w:right="902"/>
        <w:jc w:val="center"/>
        <w:rPr>
          <w:rFonts w:ascii="Palatino Linotype" w:hAnsi="Palatino Linotype"/>
          <w:b/>
          <w:sz w:val="20"/>
          <w:szCs w:val="20"/>
        </w:rPr>
      </w:pPr>
      <w:r w:rsidRPr="00440166">
        <w:rPr>
          <w:rFonts w:ascii="Palatino Linotype" w:hAnsi="Palatino Linotype"/>
          <w:b/>
          <w:sz w:val="20"/>
          <w:szCs w:val="20"/>
        </w:rPr>
        <w:t>Procedimiento que debe observarse para contrataciones con la Federación y entidades federativas (2016)</w:t>
      </w:r>
    </w:p>
    <w:p w:rsidR="003E3F5D" w:rsidRPr="00440166" w:rsidRDefault="003E3F5D" w:rsidP="003E3F5D">
      <w:pPr>
        <w:spacing w:line="360" w:lineRule="auto"/>
        <w:ind w:left="851" w:right="902"/>
        <w:jc w:val="both"/>
        <w:rPr>
          <w:rFonts w:ascii="Palatino Linotype" w:hAnsi="Palatino Linotype"/>
          <w:sz w:val="20"/>
          <w:szCs w:val="20"/>
        </w:rPr>
      </w:pPr>
      <w:r w:rsidRPr="00440166">
        <w:rPr>
          <w:rFonts w:ascii="Palatino Linotype" w:hAnsi="Palatino Linotype"/>
          <w:b/>
          <w:sz w:val="20"/>
          <w:szCs w:val="20"/>
        </w:rPr>
        <w:t>2.1.31.</w:t>
      </w:r>
      <w:r w:rsidRPr="00440166">
        <w:rPr>
          <w:rFonts w:ascii="Palatino Linotype" w:hAnsi="Palatino Linotype"/>
          <w:sz w:val="20"/>
          <w:szCs w:val="20"/>
        </w:rPr>
        <w:t xml:space="preserve">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w:t>
      </w:r>
      <w:r w:rsidRPr="00440166">
        <w:rPr>
          <w:rFonts w:ascii="Palatino Linotype" w:hAnsi="Palatino Linotype"/>
          <w:sz w:val="20"/>
          <w:szCs w:val="20"/>
        </w:rPr>
        <w:lastRenderedPageBreak/>
        <w:t>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3E3F5D" w:rsidRPr="00440166" w:rsidRDefault="003E3F5D" w:rsidP="003E3F5D">
      <w:pPr>
        <w:spacing w:line="360" w:lineRule="auto"/>
        <w:ind w:left="851" w:right="902"/>
        <w:jc w:val="both"/>
        <w:rPr>
          <w:rFonts w:ascii="Palatino Linotype" w:hAnsi="Palatino Linotype"/>
          <w:sz w:val="20"/>
          <w:szCs w:val="20"/>
        </w:rPr>
      </w:pPr>
      <w:r w:rsidRPr="00440166">
        <w:rPr>
          <w:rFonts w:ascii="Palatino Linotype" w:hAnsi="Palatino Linotype"/>
          <w:sz w:val="20"/>
          <w:szCs w:val="20"/>
        </w:rPr>
        <w:t xml:space="preserve"> En caso de que los contribuyentes con quienes se vaya a celebrar el contrato y los que estos últimos subcontraten, tramiten por su cuenta la opinión del cumplimiento de obligaciones fiscales, lo harán en términos de lo dispuesto por la regla 2.1.39.</w:t>
      </w:r>
    </w:p>
    <w:p w:rsidR="00F27870" w:rsidRPr="00440166" w:rsidRDefault="00F27870" w:rsidP="00F27870">
      <w:pPr>
        <w:spacing w:line="360" w:lineRule="auto"/>
        <w:ind w:left="851" w:right="902"/>
        <w:jc w:val="both"/>
        <w:rPr>
          <w:rFonts w:ascii="Palatino Linotype" w:eastAsia="Palatino Linotype" w:hAnsi="Palatino Linotype" w:cs="Palatino Linotype"/>
          <w:sz w:val="20"/>
          <w:szCs w:val="20"/>
        </w:rPr>
      </w:pPr>
    </w:p>
    <w:p w:rsidR="003E3F5D" w:rsidRPr="00440166" w:rsidRDefault="003E3F5D" w:rsidP="00BE7ED3">
      <w:pPr>
        <w:spacing w:line="360" w:lineRule="auto"/>
        <w:ind w:left="851" w:right="902"/>
        <w:jc w:val="center"/>
        <w:rPr>
          <w:rFonts w:ascii="Palatino Linotype" w:eastAsia="Palatino Linotype" w:hAnsi="Palatino Linotype" w:cs="Palatino Linotype"/>
          <w:b/>
          <w:sz w:val="20"/>
          <w:szCs w:val="20"/>
        </w:rPr>
      </w:pPr>
      <w:r w:rsidRPr="00440166">
        <w:rPr>
          <w:rFonts w:ascii="Palatino Linotype" w:eastAsia="Palatino Linotype" w:hAnsi="Palatino Linotype" w:cs="Palatino Linotype"/>
          <w:b/>
          <w:sz w:val="20"/>
          <w:szCs w:val="20"/>
        </w:rPr>
        <w:t>Procedimiento que debe observarse para contrataciones con la Federación y entidades federativas</w:t>
      </w:r>
      <w:r w:rsidR="00BE7ED3" w:rsidRPr="00440166">
        <w:rPr>
          <w:rFonts w:ascii="Palatino Linotype" w:eastAsia="Palatino Linotype" w:hAnsi="Palatino Linotype" w:cs="Palatino Linotype"/>
          <w:b/>
          <w:sz w:val="20"/>
          <w:szCs w:val="20"/>
        </w:rPr>
        <w:t xml:space="preserve"> (2017)</w:t>
      </w:r>
    </w:p>
    <w:p w:rsidR="003E3F5D" w:rsidRPr="00440166" w:rsidRDefault="003E3F5D" w:rsidP="003E3F5D">
      <w:pPr>
        <w:spacing w:line="360" w:lineRule="auto"/>
        <w:ind w:left="851" w:right="902"/>
        <w:jc w:val="both"/>
        <w:rPr>
          <w:rFonts w:ascii="Palatino Linotype" w:eastAsia="Palatino Linotype" w:hAnsi="Palatino Linotype" w:cs="Palatino Linotype"/>
          <w:b/>
          <w:i/>
          <w:sz w:val="20"/>
          <w:szCs w:val="20"/>
        </w:rPr>
      </w:pPr>
    </w:p>
    <w:p w:rsidR="00081188" w:rsidRPr="00440166" w:rsidRDefault="00081188" w:rsidP="003E3F5D">
      <w:pPr>
        <w:spacing w:line="360" w:lineRule="auto"/>
        <w:ind w:left="851" w:right="902"/>
        <w:jc w:val="both"/>
        <w:rPr>
          <w:rFonts w:ascii="Palatino Linotype" w:eastAsia="Palatino Linotype" w:hAnsi="Palatino Linotype" w:cs="Palatino Linotype"/>
          <w:b/>
          <w:sz w:val="20"/>
          <w:szCs w:val="20"/>
        </w:rPr>
      </w:pPr>
      <w:r w:rsidRPr="00440166">
        <w:rPr>
          <w:rFonts w:ascii="Palatino Linotype" w:eastAsia="Palatino Linotype" w:hAnsi="Palatino Linotype" w:cs="Palatino Linotype"/>
          <w:b/>
          <w:i/>
          <w:sz w:val="20"/>
          <w:szCs w:val="20"/>
        </w:rPr>
        <w:t>2.1.31.</w:t>
      </w:r>
      <w:r w:rsidRPr="00440166">
        <w:rPr>
          <w:rFonts w:ascii="Palatino Linotype" w:eastAsia="Palatino Linotype" w:hAnsi="Palatino Linotype" w:cs="Palatino Linotype"/>
          <w:i/>
          <w:sz w:val="20"/>
          <w:szCs w:val="20"/>
        </w:rPr>
        <w:t xml:space="preserve">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081188" w:rsidRPr="00440166" w:rsidRDefault="00081188" w:rsidP="00081188">
      <w:pPr>
        <w:spacing w:line="360" w:lineRule="auto"/>
        <w:ind w:left="851" w:right="902" w:firstLine="720"/>
        <w:jc w:val="both"/>
        <w:rPr>
          <w:rFonts w:ascii="Palatino Linotype" w:eastAsia="Palatino Linotype" w:hAnsi="Palatino Linotype" w:cs="Palatino Linotype"/>
          <w:i/>
          <w:sz w:val="20"/>
          <w:szCs w:val="20"/>
        </w:rPr>
      </w:pPr>
      <w:r w:rsidRPr="00440166">
        <w:rPr>
          <w:rFonts w:ascii="Palatino Linotype" w:eastAsia="Palatino Linotype" w:hAnsi="Palatino Linotype" w:cs="Palatino Linotype"/>
          <w:i/>
          <w:sz w:val="20"/>
          <w:szCs w:val="20"/>
        </w:rPr>
        <w:lastRenderedPageBreak/>
        <w:t>En caso de que los contribuyentes con quienes se vaya a celebrar el contrato y los que estos últimos subcontraten, tramiten por su cuenta la opinión del cumplimiento de obligaciones fiscales, lo harán en términos de lo dispuesto por la regla 2.1.39.</w:t>
      </w:r>
    </w:p>
    <w:p w:rsidR="00081188" w:rsidRPr="00440166" w:rsidRDefault="00081188" w:rsidP="00067CB4">
      <w:pPr>
        <w:spacing w:line="360" w:lineRule="auto"/>
        <w:jc w:val="both"/>
        <w:rPr>
          <w:rFonts w:ascii="Palatino Linotype" w:eastAsia="Palatino Linotype" w:hAnsi="Palatino Linotype" w:cs="Palatino Linotype"/>
          <w:sz w:val="20"/>
          <w:szCs w:val="20"/>
        </w:rPr>
      </w:pPr>
    </w:p>
    <w:p w:rsidR="00067CB4" w:rsidRDefault="004C426A" w:rsidP="00067CB4">
      <w:pPr>
        <w:spacing w:line="360" w:lineRule="auto"/>
        <w:jc w:val="both"/>
        <w:rPr>
          <w:rFonts w:ascii="Palatino Linotype" w:eastAsia="Palatino Linotype" w:hAnsi="Palatino Linotype" w:cs="Palatino Linotype"/>
        </w:rPr>
      </w:pPr>
      <w:r w:rsidRPr="00440166">
        <w:rPr>
          <w:rFonts w:ascii="Palatino Linotype" w:eastAsia="Palatino Linotype" w:hAnsi="Palatino Linotype" w:cs="Palatino Linotype"/>
        </w:rPr>
        <w:t xml:space="preserve">Como se puede advertir, </w:t>
      </w:r>
      <w:r w:rsidR="001B1A40" w:rsidRPr="00440166">
        <w:rPr>
          <w:rFonts w:ascii="Palatino Linotype" w:eastAsia="Palatino Linotype" w:hAnsi="Palatino Linotype" w:cs="Palatino Linotype"/>
        </w:rPr>
        <w:t xml:space="preserve">adminicúlalas las disposiciones legales </w:t>
      </w:r>
      <w:r w:rsidR="00081188" w:rsidRPr="00440166">
        <w:rPr>
          <w:rFonts w:ascii="Palatino Linotype" w:eastAsia="Palatino Linotype" w:hAnsi="Palatino Linotype" w:cs="Palatino Linotype"/>
        </w:rPr>
        <w:t>antes citadas</w:t>
      </w:r>
      <w:r w:rsidR="001B1A40" w:rsidRPr="00440166">
        <w:rPr>
          <w:rFonts w:ascii="Palatino Linotype" w:eastAsia="Palatino Linotype" w:hAnsi="Palatino Linotype" w:cs="Palatino Linotype"/>
        </w:rPr>
        <w:t xml:space="preserve">, </w:t>
      </w:r>
      <w:r w:rsidRPr="00440166">
        <w:rPr>
          <w:rFonts w:ascii="Palatino Linotype" w:eastAsia="Palatino Linotype" w:hAnsi="Palatino Linotype" w:cs="Palatino Linotype"/>
        </w:rPr>
        <w:t>contrario a lo señalado por el SUJETO OBLIGADO,</w:t>
      </w:r>
      <w:r w:rsidR="00067CB4" w:rsidRPr="00440166">
        <w:rPr>
          <w:rFonts w:ascii="Palatino Linotype" w:eastAsia="Palatino Linotype" w:hAnsi="Palatino Linotype" w:cs="Palatino Linotype"/>
        </w:rPr>
        <w:t xml:space="preserve"> éste s</w:t>
      </w:r>
      <w:r w:rsidR="00E53F7D" w:rsidRPr="00440166">
        <w:rPr>
          <w:rFonts w:ascii="Palatino Linotype" w:eastAsia="Palatino Linotype" w:hAnsi="Palatino Linotype" w:cs="Palatino Linotype"/>
        </w:rPr>
        <w:t>í</w:t>
      </w:r>
      <w:r w:rsidR="00067CB4" w:rsidRPr="00440166">
        <w:rPr>
          <w:rFonts w:ascii="Palatino Linotype" w:eastAsia="Palatino Linotype" w:hAnsi="Palatino Linotype" w:cs="Palatino Linotype"/>
        </w:rPr>
        <w:t xml:space="preserve"> tiene  una fuente obligacional para contar con las constancias de cumplimiento de las obligaciones fiscales de los proveedores, en particular de las empresas que ha solicitado el RECURRENTE: a) Interacción Bi</w:t>
      </w:r>
      <w:r w:rsidR="00067CB4" w:rsidRPr="004008BC">
        <w:rPr>
          <w:rFonts w:ascii="Palatino Linotype" w:eastAsia="Palatino Linotype" w:hAnsi="Palatino Linotype" w:cs="Palatino Linotype"/>
        </w:rPr>
        <w:t>omédica S.A. de C.V. b) Grupo FEGAMA S.A. de C.V. c) KHELA Asociados S.A de C.V. d) Comercializadore El Chuac S.A de C.V. e) AFAME S.A de C.V. f) Gaudium Crecimiento S.A de C.V. g) Visión Creativa de imágenes e Ideas S.A de C.V.” (Sic)</w:t>
      </w:r>
    </w:p>
    <w:p w:rsidR="00CF2B4C" w:rsidRDefault="00CF2B4C" w:rsidP="00067CB4">
      <w:pPr>
        <w:spacing w:line="360" w:lineRule="auto"/>
        <w:jc w:val="both"/>
        <w:rPr>
          <w:rFonts w:ascii="Palatino Linotype" w:eastAsia="Palatino Linotype" w:hAnsi="Palatino Linotype" w:cs="Palatino Linotype"/>
        </w:rPr>
      </w:pPr>
    </w:p>
    <w:p w:rsidR="00CF2B4C" w:rsidRPr="004008BC" w:rsidRDefault="00CF2B4C" w:rsidP="00067CB4">
      <w:pPr>
        <w:spacing w:line="360" w:lineRule="auto"/>
        <w:jc w:val="both"/>
        <w:rPr>
          <w:rFonts w:ascii="Palatino Linotype" w:eastAsia="Palatino Linotype" w:hAnsi="Palatino Linotype" w:cs="Palatino Linotype"/>
        </w:rPr>
      </w:pPr>
    </w:p>
    <w:p w:rsidR="00354F41" w:rsidRPr="004008BC" w:rsidRDefault="00354F41" w:rsidP="00354F41">
      <w:pPr>
        <w:spacing w:before="240" w:after="240" w:line="360" w:lineRule="auto"/>
        <w:jc w:val="both"/>
        <w:rPr>
          <w:rFonts w:ascii="Palatino Linotype" w:eastAsia="Palatino Linotype" w:hAnsi="Palatino Linotype" w:cs="Palatino Linotype"/>
        </w:rPr>
      </w:pPr>
      <w:r w:rsidRPr="004008BC">
        <w:rPr>
          <w:rFonts w:ascii="Palatino Linotype" w:eastAsia="Calibri" w:hAnsi="Palatino Linotype"/>
        </w:rPr>
        <w:t xml:space="preserve">Atendiendo a lo anterior, y considerando que el Titular de la Unidad de Transparencia no tiene bajo su resguardo el archivo que pudiese contener la documentación solicitada, y que ésta puede obrar en las distintas áreas que conforman la estructura del </w:t>
      </w:r>
      <w:r w:rsidRPr="004008BC">
        <w:rPr>
          <w:rFonts w:ascii="Palatino Linotype" w:eastAsia="Calibri" w:hAnsi="Palatino Linotype"/>
          <w:b/>
        </w:rPr>
        <w:t>SUJETO OBLIGADO</w:t>
      </w:r>
      <w:r w:rsidRPr="004008BC">
        <w:rPr>
          <w:rFonts w:ascii="Palatino Linotype" w:eastAsia="Calibri" w:hAnsi="Palatino Linotype"/>
        </w:rPr>
        <w:t>, es por ello que, se debe turnar la solicitud al servidor público habilitado que la tenga bajo su resguardo, ya que corresponde a ellos, buscar, localizar y en su caso entregar la información solicitada.</w:t>
      </w:r>
    </w:p>
    <w:p w:rsidR="00B1103B" w:rsidRPr="004008BC" w:rsidRDefault="00354F41" w:rsidP="00B1103B">
      <w:pPr>
        <w:spacing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Cabe señalar que d</w:t>
      </w:r>
      <w:r w:rsidR="00B1103B" w:rsidRPr="004008BC">
        <w:rPr>
          <w:rFonts w:ascii="Palatino Linotype" w:eastAsia="Palatino Linotype" w:hAnsi="Palatino Linotype" w:cs="Palatino Linotype"/>
          <w:lang w:val="es-ES" w:eastAsia="es-ES"/>
        </w:rPr>
        <w:t xml:space="preserve">e conformidad con los </w:t>
      </w:r>
      <w:r w:rsidR="00B1103B" w:rsidRPr="004008BC">
        <w:rPr>
          <w:rFonts w:ascii="Palatino Linotype" w:eastAsia="Palatino Linotype" w:hAnsi="Palatino Linotype" w:cs="Palatino Linotype"/>
          <w:b/>
          <w:lang w:val="es-ES" w:eastAsia="es-ES"/>
        </w:rPr>
        <w:t>criterios 12/10 y 04/19</w:t>
      </w:r>
      <w:r w:rsidR="00B1103B" w:rsidRPr="004008BC">
        <w:rPr>
          <w:rFonts w:ascii="Palatino Linotype" w:eastAsia="Palatino Linotype" w:hAnsi="Palatino Linotype" w:cs="Palatino Linotype"/>
          <w:lang w:val="es-ES" w:eastAsia="es-ES"/>
        </w:rPr>
        <w:t xml:space="preserve">, emitidos por el Instituto Nacional de Transparencia, Acceso a la Información y Protección de Datos Personales, traídos por analogía, se colige que los sujetos obligados para acreditar que </w:t>
      </w:r>
      <w:r w:rsidR="00B1103B" w:rsidRPr="004008BC">
        <w:rPr>
          <w:rFonts w:ascii="Palatino Linotype" w:eastAsia="Palatino Linotype" w:hAnsi="Palatino Linotype" w:cs="Palatino Linotype"/>
          <w:lang w:val="es-ES" w:eastAsia="es-ES"/>
        </w:rPr>
        <w:lastRenderedPageBreak/>
        <w:t>se realizó una búsqueda exhaustiva y razonable, deben de proporcionar los elementos suficientes del carácter exhaustivo de la indagación realizada, a saber, los siguientes:</w:t>
      </w:r>
    </w:p>
    <w:p w:rsidR="00B1103B" w:rsidRPr="004008BC" w:rsidRDefault="00B1103B" w:rsidP="00B1103B">
      <w:pPr>
        <w:spacing w:line="360" w:lineRule="auto"/>
        <w:jc w:val="both"/>
        <w:rPr>
          <w:rFonts w:ascii="Palatino Linotype" w:eastAsia="Palatino Linotype" w:hAnsi="Palatino Linotype" w:cs="Palatino Linotype"/>
          <w:lang w:val="es-ES" w:eastAsia="es-ES"/>
        </w:rPr>
      </w:pPr>
    </w:p>
    <w:p w:rsidR="00B1103B" w:rsidRPr="004008BC" w:rsidRDefault="00B1103B" w:rsidP="00B1103B">
      <w:pPr>
        <w:numPr>
          <w:ilvl w:val="0"/>
          <w:numId w:val="12"/>
        </w:num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Motivación por las que se buscó la información, en determinadas unidades administrativas;</w:t>
      </w:r>
    </w:p>
    <w:p w:rsidR="00B1103B" w:rsidRPr="004008BC" w:rsidRDefault="00B1103B" w:rsidP="00B1103B">
      <w:pPr>
        <w:numPr>
          <w:ilvl w:val="0"/>
          <w:numId w:val="12"/>
        </w:num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Los criterios de búsqueda utilizados, y</w:t>
      </w:r>
    </w:p>
    <w:p w:rsidR="00B1103B" w:rsidRPr="004008BC" w:rsidRDefault="00B1103B" w:rsidP="00B1103B">
      <w:pPr>
        <w:numPr>
          <w:ilvl w:val="0"/>
          <w:numId w:val="12"/>
        </w:num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Las circunstancias que fueron tomadas en cuenta.</w:t>
      </w:r>
    </w:p>
    <w:p w:rsidR="00B1103B" w:rsidRPr="004008BC" w:rsidRDefault="00B1103B" w:rsidP="00B1103B">
      <w:pPr>
        <w:pBdr>
          <w:top w:val="nil"/>
          <w:left w:val="nil"/>
          <w:bottom w:val="nil"/>
          <w:right w:val="nil"/>
          <w:between w:val="nil"/>
        </w:pBdr>
        <w:rPr>
          <w:color w:val="000000"/>
          <w:lang w:val="es-ES" w:eastAsia="es-ES"/>
        </w:rPr>
      </w:pPr>
    </w:p>
    <w:p w:rsidR="00B1103B" w:rsidRPr="004008BC" w:rsidRDefault="00B1103B" w:rsidP="00B1103B">
      <w:p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De tales circunstancias, se considera que para que los Sujetos Obligados justifiquen que realizaron una búsqueda exhaustiva y razonable, deben indicar de manera clara, lo siguiente:</w:t>
      </w:r>
    </w:p>
    <w:p w:rsidR="00B1103B" w:rsidRPr="004008BC" w:rsidRDefault="00B1103B" w:rsidP="00B1103B">
      <w:pPr>
        <w:numPr>
          <w:ilvl w:val="0"/>
          <w:numId w:val="11"/>
        </w:num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Las áreas donde se buscó la información;</w:t>
      </w:r>
    </w:p>
    <w:p w:rsidR="00B1103B" w:rsidRPr="004008BC" w:rsidRDefault="00B1103B" w:rsidP="00B1103B">
      <w:pPr>
        <w:numPr>
          <w:ilvl w:val="0"/>
          <w:numId w:val="11"/>
        </w:num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Tipo de archivos buscados (físicos o electrónicos);</w:t>
      </w:r>
    </w:p>
    <w:p w:rsidR="00B1103B" w:rsidRPr="004008BC" w:rsidRDefault="00B1103B" w:rsidP="00B1103B">
      <w:pPr>
        <w:numPr>
          <w:ilvl w:val="0"/>
          <w:numId w:val="11"/>
        </w:num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 xml:space="preserve">Los criterios de búsqueda utilizados, y </w:t>
      </w:r>
    </w:p>
    <w:p w:rsidR="00B1103B" w:rsidRPr="004008BC" w:rsidRDefault="00B1103B" w:rsidP="00B1103B">
      <w:pPr>
        <w:numPr>
          <w:ilvl w:val="0"/>
          <w:numId w:val="11"/>
        </w:numPr>
        <w:spacing w:after="16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lang w:val="es-ES" w:eastAsia="es-ES"/>
        </w:rPr>
        <w:t>Las circunstancias que fueron tomadas en cuenta.</w:t>
      </w:r>
    </w:p>
    <w:p w:rsidR="00354F41" w:rsidRPr="004008BC" w:rsidRDefault="00354F41" w:rsidP="00067CB4">
      <w:pPr>
        <w:spacing w:line="360" w:lineRule="auto"/>
        <w:jc w:val="both"/>
        <w:rPr>
          <w:rFonts w:ascii="Palatino Linotype" w:eastAsia="Palatino Linotype" w:hAnsi="Palatino Linotype" w:cs="Palatino Linotype"/>
        </w:rPr>
      </w:pPr>
    </w:p>
    <w:p w:rsidR="00B1103B" w:rsidRPr="004008BC" w:rsidRDefault="00354F41" w:rsidP="00067CB4">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Por tanto,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deberá realizar de manera correcta la búsqueda exhaustiva y razonable de la información; pues con la respuesta remitida no se brinda la certeza jurídica suficiente al solicitante acerca de que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no cuente con las opiniones solicitadas.</w:t>
      </w:r>
    </w:p>
    <w:p w:rsidR="00354F41" w:rsidRPr="004008BC" w:rsidRDefault="00354F41" w:rsidP="00354F41">
      <w:pPr>
        <w:spacing w:before="240" w:after="240" w:line="360" w:lineRule="auto"/>
        <w:jc w:val="both"/>
        <w:rPr>
          <w:rFonts w:ascii="Palatino Linotype" w:hAnsi="Palatino Linotype" w:cs="Arial"/>
          <w:lang w:eastAsia="es-ES"/>
        </w:rPr>
      </w:pPr>
      <w:r w:rsidRPr="004008BC">
        <w:rPr>
          <w:rFonts w:ascii="Palatino Linotype" w:hAnsi="Palatino Linotype"/>
          <w:lang w:eastAsia="es-ES"/>
        </w:rPr>
        <w:lastRenderedPageBreak/>
        <w:t xml:space="preserve">Por las razones anteriores, </w:t>
      </w:r>
      <w:r w:rsidRPr="004008BC">
        <w:rPr>
          <w:rFonts w:ascii="Palatino Linotype" w:eastAsia="Palatino Linotype" w:hAnsi="Palatino Linotype" w:cs="Palatino Linotype"/>
        </w:rPr>
        <w:t xml:space="preserve">se califica como fundado el Recurso de Revisión número </w:t>
      </w:r>
      <w:r w:rsidRPr="004008BC">
        <w:rPr>
          <w:rFonts w:ascii="Palatino Linotype" w:eastAsia="Palatino Linotype" w:hAnsi="Palatino Linotype" w:cs="Palatino Linotype"/>
          <w:b/>
        </w:rPr>
        <w:t>15079/INFOEM/IP/RR/2022</w:t>
      </w:r>
      <w:r w:rsidRPr="004008BC">
        <w:rPr>
          <w:rFonts w:ascii="Palatino Linotype" w:eastAsia="Palatino Linotype" w:hAnsi="Palatino Linotype" w:cs="Palatino Linotype"/>
        </w:rPr>
        <w:t>, y</w:t>
      </w:r>
      <w:r w:rsidRPr="004008BC">
        <w:rPr>
          <w:rFonts w:ascii="Palatino Linotype" w:hAnsi="Palatino Linotype"/>
          <w:lang w:eastAsia="es-ES"/>
        </w:rPr>
        <w:t xml:space="preserve"> a fin de salvaguardar el derecho de acceso a la información pública </w:t>
      </w:r>
      <w:r w:rsidRPr="004008BC">
        <w:rPr>
          <w:rFonts w:ascii="Palatino Linotype" w:hAnsi="Palatino Linotype" w:cs="Arial"/>
          <w:lang w:eastAsia="es-ES"/>
        </w:rPr>
        <w:t>y toda vez que existe fuente obligacional que constriñe al</w:t>
      </w:r>
      <w:r w:rsidRPr="004008BC">
        <w:rPr>
          <w:rFonts w:ascii="Palatino Linotype" w:hAnsi="Palatino Linotype" w:cs="Arial"/>
          <w:b/>
          <w:lang w:eastAsia="es-ES"/>
        </w:rPr>
        <w:t xml:space="preserve"> SUJETO OBLIGADO </w:t>
      </w:r>
      <w:r w:rsidRPr="004008BC">
        <w:rPr>
          <w:rFonts w:ascii="Palatino Linotype" w:hAnsi="Palatino Linotype" w:cs="Arial"/>
          <w:lang w:eastAsia="es-ES"/>
        </w:rPr>
        <w:t xml:space="preserve">para poseer la información requerida por </w:t>
      </w:r>
      <w:r w:rsidRPr="004008BC">
        <w:rPr>
          <w:rFonts w:ascii="Palatino Linotype" w:hAnsi="Palatino Linotype" w:cs="Arial"/>
          <w:b/>
          <w:lang w:eastAsia="es-ES"/>
        </w:rPr>
        <w:t>EL RECURRENTE</w:t>
      </w:r>
      <w:r w:rsidRPr="004008BC">
        <w:rPr>
          <w:rFonts w:ascii="Palatino Linotype" w:hAnsi="Palatino Linotype" w:cs="Arial"/>
          <w:lang w:eastAsia="es-ES"/>
        </w:rPr>
        <w:t xml:space="preserve"> en su solicitud de información, en consecuencia, este Instituto determina </w:t>
      </w:r>
      <w:r w:rsidRPr="004008BC">
        <w:rPr>
          <w:rFonts w:ascii="Palatino Linotype" w:hAnsi="Palatino Linotype" w:cs="Arial"/>
          <w:b/>
          <w:lang w:eastAsia="es-ES"/>
        </w:rPr>
        <w:t xml:space="preserve">REVOCAR </w:t>
      </w:r>
      <w:r w:rsidRPr="004008BC">
        <w:rPr>
          <w:rFonts w:ascii="Palatino Linotype" w:hAnsi="Palatino Linotype" w:cs="Arial"/>
          <w:lang w:eastAsia="es-ES"/>
        </w:rPr>
        <w:t xml:space="preserve">la respuesta del </w:t>
      </w:r>
      <w:r w:rsidRPr="004008BC">
        <w:rPr>
          <w:rFonts w:ascii="Palatino Linotype" w:hAnsi="Palatino Linotype" w:cs="Arial"/>
          <w:b/>
          <w:lang w:eastAsia="es-ES"/>
        </w:rPr>
        <w:t>SUJETO OBLIGADO</w:t>
      </w:r>
      <w:r w:rsidRPr="004008BC">
        <w:rPr>
          <w:rFonts w:ascii="Palatino Linotype" w:hAnsi="Palatino Linotype" w:cs="Arial"/>
          <w:lang w:eastAsia="es-ES"/>
        </w:rPr>
        <w:t xml:space="preserve"> y </w:t>
      </w:r>
      <w:r w:rsidRPr="004008BC">
        <w:rPr>
          <w:rFonts w:ascii="Palatino Linotype" w:hAnsi="Palatino Linotype" w:cs="Arial"/>
          <w:b/>
          <w:lang w:eastAsia="es-ES"/>
        </w:rPr>
        <w:t>ordenarle</w:t>
      </w:r>
      <w:r w:rsidRPr="004008BC">
        <w:rPr>
          <w:rFonts w:ascii="Palatino Linotype" w:hAnsi="Palatino Linotype" w:cs="Arial"/>
          <w:lang w:eastAsia="es-ES"/>
        </w:rPr>
        <w:t xml:space="preserve"> realizar una </w:t>
      </w:r>
      <w:r w:rsidRPr="004008BC">
        <w:rPr>
          <w:rFonts w:ascii="Palatino Linotype" w:hAnsi="Palatino Linotype" w:cs="Arial"/>
          <w:b/>
          <w:lang w:eastAsia="es-ES"/>
        </w:rPr>
        <w:t>búsqueda exhaustiva</w:t>
      </w:r>
      <w:r w:rsidRPr="004008BC">
        <w:rPr>
          <w:rFonts w:ascii="Palatino Linotype" w:hAnsi="Palatino Linotype" w:cs="Arial"/>
          <w:lang w:eastAsia="es-ES"/>
        </w:rPr>
        <w:t xml:space="preserve"> </w:t>
      </w:r>
      <w:r w:rsidRPr="004008BC">
        <w:rPr>
          <w:rFonts w:ascii="Palatino Linotype" w:hAnsi="Palatino Linotype" w:cs="Arial"/>
          <w:b/>
          <w:lang w:eastAsia="es-ES"/>
        </w:rPr>
        <w:t>y razonable</w:t>
      </w:r>
      <w:r w:rsidRPr="004008BC">
        <w:rPr>
          <w:rFonts w:ascii="Palatino Linotype" w:hAnsi="Palatino Linotype" w:cs="Arial"/>
          <w:lang w:eastAsia="es-ES"/>
        </w:rPr>
        <w:t xml:space="preserve"> de la información solicitada de conformidad con el artículo </w:t>
      </w:r>
      <w:r w:rsidRPr="004008BC">
        <w:rPr>
          <w:rFonts w:ascii="Palatino Linotype" w:hAnsi="Palatino Linotype" w:cs="Arial"/>
          <w:lang w:val="es-ES_tradnl" w:eastAsia="es-ES"/>
        </w:rPr>
        <w:t>162 de la Ley de Transparencia y Acceso a la Información Pública del Estado de México y Municipios</w:t>
      </w:r>
      <w:r w:rsidRPr="004008BC">
        <w:rPr>
          <w:rFonts w:ascii="Palatino Linotype" w:hAnsi="Palatino Linotype" w:cs="Arial"/>
          <w:lang w:eastAsia="es-ES"/>
        </w:rPr>
        <w:t xml:space="preserve">, ello, a través de los </w:t>
      </w:r>
      <w:r w:rsidRPr="004008BC">
        <w:rPr>
          <w:rFonts w:ascii="Palatino Linotype" w:hAnsi="Palatino Linotype" w:cs="Arial"/>
          <w:b/>
          <w:lang w:eastAsia="es-ES"/>
        </w:rPr>
        <w:t xml:space="preserve">Servidores Públicos Habilitados Competentes </w:t>
      </w:r>
      <w:r w:rsidRPr="004008BC">
        <w:rPr>
          <w:rFonts w:ascii="Palatino Linotype" w:hAnsi="Palatino Linotype" w:cs="Arial"/>
          <w:lang w:eastAsia="es-ES"/>
        </w:rPr>
        <w:t xml:space="preserve">y haga entrega de la misma al </w:t>
      </w:r>
      <w:r w:rsidRPr="004008BC">
        <w:rPr>
          <w:rFonts w:ascii="Palatino Linotype" w:hAnsi="Palatino Linotype" w:cs="Arial"/>
          <w:b/>
          <w:lang w:eastAsia="es-ES"/>
        </w:rPr>
        <w:t>RECURRENTE</w:t>
      </w:r>
      <w:r w:rsidRPr="004008BC">
        <w:rPr>
          <w:rFonts w:ascii="Palatino Linotype" w:hAnsi="Palatino Linotype" w:cs="Arial"/>
          <w:lang w:eastAsia="es-ES"/>
        </w:rPr>
        <w:t xml:space="preserve"> vía </w:t>
      </w:r>
      <w:r w:rsidRPr="004008BC">
        <w:rPr>
          <w:rFonts w:ascii="Palatino Linotype" w:hAnsi="Palatino Linotype" w:cs="Arial"/>
          <w:b/>
          <w:lang w:eastAsia="es-ES"/>
        </w:rPr>
        <w:t>SAIMEX</w:t>
      </w:r>
      <w:r w:rsidRPr="004008BC">
        <w:rPr>
          <w:rFonts w:ascii="Palatino Linotype" w:hAnsi="Palatino Linotype" w:cs="Arial"/>
          <w:lang w:eastAsia="es-ES"/>
        </w:rPr>
        <w:t xml:space="preserve"> en versión pública</w:t>
      </w:r>
      <w:r w:rsidRPr="004008BC">
        <w:t xml:space="preserve"> </w:t>
      </w:r>
      <w:r w:rsidRPr="004008BC">
        <w:rPr>
          <w:rFonts w:ascii="Palatino Linotype" w:hAnsi="Palatino Linotype" w:cs="Arial"/>
          <w:lang w:eastAsia="es-ES"/>
        </w:rPr>
        <w:t xml:space="preserve">como fue solicitada. </w:t>
      </w:r>
    </w:p>
    <w:p w:rsidR="00A62C80" w:rsidRPr="004008BC" w:rsidRDefault="00A62C80" w:rsidP="00354F41">
      <w:pPr>
        <w:spacing w:before="240" w:after="240" w:line="360" w:lineRule="auto"/>
        <w:jc w:val="both"/>
        <w:rPr>
          <w:rFonts w:ascii="Palatino Linotype" w:hAnsi="Palatino Linotype" w:cs="Arial"/>
          <w:lang w:eastAsia="es-ES"/>
        </w:rPr>
      </w:pPr>
      <w:r w:rsidRPr="004008BC">
        <w:rPr>
          <w:rFonts w:ascii="Palatino Linotype" w:hAnsi="Palatino Linotype" w:cs="Arial"/>
          <w:lang w:eastAsia="es-ES"/>
        </w:rPr>
        <w:t>Sin que pase por desapercibido para este Órgano Garante la posible baja documental al considerar que la información solicitada corresponde del 2014 al 2017.</w:t>
      </w:r>
    </w:p>
    <w:p w:rsidR="00B5401D" w:rsidRPr="004008BC" w:rsidRDefault="00747435" w:rsidP="00B5401D">
      <w:pPr>
        <w:spacing w:before="280" w:after="280" w:line="360" w:lineRule="auto"/>
        <w:jc w:val="both"/>
        <w:rPr>
          <w:rFonts w:ascii="Palatino Linotype" w:eastAsia="Palatino Linotype" w:hAnsi="Palatino Linotype" w:cs="Palatino Linotype"/>
          <w:b/>
        </w:rPr>
      </w:pPr>
      <w:r w:rsidRPr="004008BC">
        <w:rPr>
          <w:rFonts w:ascii="Palatino Linotype" w:eastAsia="Palatino Linotype" w:hAnsi="Palatino Linotype" w:cs="Palatino Linotype"/>
          <w:b/>
        </w:rPr>
        <w:t>De las versiones públicas</w:t>
      </w:r>
      <w:r w:rsidR="00B5401D" w:rsidRPr="004008BC">
        <w:rPr>
          <w:rFonts w:ascii="Palatino Linotype" w:eastAsia="Palatino Linotype" w:hAnsi="Palatino Linotype" w:cs="Palatino Linotype"/>
          <w:b/>
        </w:rPr>
        <w:t xml:space="preserve">. </w:t>
      </w:r>
    </w:p>
    <w:p w:rsidR="00B5401D" w:rsidRPr="004008BC" w:rsidRDefault="00B5401D" w:rsidP="00B5401D">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Para la versión pública de los documentos que se ordenan, en términos del artículo 143 de la Ley de Transparencia y Acceso a la Información Pública del Estado de México y Municipios, deberá omitirse, eliminarse o suprimirse la información </w:t>
      </w:r>
      <w:r w:rsidRPr="004008BC">
        <w:rPr>
          <w:rFonts w:ascii="Palatino Linotype" w:eastAsia="Palatino Linotype" w:hAnsi="Palatino Linotype" w:cs="Palatino Linotype"/>
          <w:b/>
        </w:rPr>
        <w:t>confidencial</w:t>
      </w:r>
      <w:r w:rsidRPr="004008BC">
        <w:rPr>
          <w:rFonts w:ascii="Palatino Linotype" w:eastAsia="Palatino Linotype" w:hAnsi="Palatino Linotype" w:cs="Palatino Linotype"/>
        </w:rPr>
        <w:t>.</w:t>
      </w:r>
    </w:p>
    <w:p w:rsidR="00B5401D" w:rsidRPr="004008BC" w:rsidRDefault="00B5401D" w:rsidP="00B5401D">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 </w:t>
      </w:r>
    </w:p>
    <w:p w:rsidR="00B5401D" w:rsidRPr="004008BC" w:rsidRDefault="00B5401D" w:rsidP="00B5401D">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4008BC">
        <w:rPr>
          <w:rFonts w:ascii="Palatino Linotype" w:eastAsia="Palatino Linotype" w:hAnsi="Palatino Linotype" w:cs="Palatino Linotype"/>
          <w:b/>
        </w:rPr>
        <w:t>SUJETO OBLIGADO</w:t>
      </w:r>
      <w:r w:rsidRPr="004008BC">
        <w:rPr>
          <w:rFonts w:ascii="Palatino Linotype" w:eastAsia="Palatino Linotype" w:hAnsi="Palatino Linotype" w:cs="Palatino Linotype"/>
        </w:rPr>
        <w:t xml:space="preserve"> emita el Acuerdo de Clasificación correspondiente debidamente </w:t>
      </w:r>
      <w:r w:rsidRPr="004008BC">
        <w:rPr>
          <w:rFonts w:ascii="Palatino Linotype" w:eastAsia="Palatino Linotype" w:hAnsi="Palatino Linotype" w:cs="Palatino Linotype"/>
        </w:rPr>
        <w:lastRenderedPageBreak/>
        <w:t>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B5401D" w:rsidRPr="004008BC" w:rsidRDefault="00B5401D" w:rsidP="00B5401D">
      <w:pPr>
        <w:spacing w:line="360" w:lineRule="auto"/>
        <w:jc w:val="both"/>
        <w:rPr>
          <w:rFonts w:ascii="Palatino Linotype" w:eastAsia="Palatino Linotype" w:hAnsi="Palatino Linotype" w:cs="Palatino Linotype"/>
        </w:rPr>
      </w:pPr>
    </w:p>
    <w:p w:rsidR="00B5401D" w:rsidRPr="004008BC" w:rsidRDefault="00B5401D" w:rsidP="00B5401D">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Por ende,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5401D" w:rsidRPr="004008BC" w:rsidRDefault="00B5401D" w:rsidP="00B5401D">
      <w:pPr>
        <w:ind w:left="851" w:right="902"/>
        <w:jc w:val="center"/>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Ley de Transparencia y Acceso a la Información Pública del Estado de México y Municipios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r w:rsidRPr="004008BC">
        <w:rPr>
          <w:rFonts w:ascii="Palatino Linotype" w:eastAsia="Palatino Linotype" w:hAnsi="Palatino Linotype" w:cs="Palatino Linotype"/>
          <w:b/>
          <w:i/>
          <w:sz w:val="22"/>
          <w:szCs w:val="22"/>
        </w:rPr>
        <w:t xml:space="preserve">Artículo 49. </w:t>
      </w:r>
      <w:r w:rsidRPr="004008BC">
        <w:rPr>
          <w:rFonts w:ascii="Palatino Linotype" w:eastAsia="Palatino Linotype" w:hAnsi="Palatino Linotype" w:cs="Palatino Linotype"/>
          <w:i/>
          <w:sz w:val="22"/>
          <w:szCs w:val="22"/>
        </w:rPr>
        <w:t>Los Comités de Transparencia tendrán las siguientes atribuciones: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VIII.</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Aprobar</w:t>
      </w:r>
      <w:r w:rsidRPr="004008BC">
        <w:rPr>
          <w:rFonts w:ascii="Palatino Linotype" w:eastAsia="Palatino Linotype" w:hAnsi="Palatino Linotype" w:cs="Palatino Linotype"/>
          <w:i/>
          <w:sz w:val="22"/>
          <w:szCs w:val="22"/>
        </w:rPr>
        <w:t>, modificar o revocar la clasificación de la información;</w:t>
      </w:r>
    </w:p>
    <w:p w:rsidR="00B5401D" w:rsidRPr="004008BC" w:rsidRDefault="00B5401D" w:rsidP="00B5401D">
      <w:pPr>
        <w:ind w:left="851" w:right="902"/>
        <w:jc w:val="both"/>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Artículo 132.</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La clasificación de la información se llevará a cabo en el momento en que:</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II.</w:t>
      </w:r>
      <w:r w:rsidRPr="004008BC">
        <w:rPr>
          <w:rFonts w:ascii="Palatino Linotype" w:eastAsia="Palatino Linotype" w:hAnsi="Palatino Linotype" w:cs="Palatino Linotype"/>
          <w:i/>
          <w:sz w:val="22"/>
          <w:szCs w:val="22"/>
        </w:rPr>
        <w:t xml:space="preserve"> Se determine mediante resolución de autoridad competente; o</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lastRenderedPageBreak/>
        <w:t>III</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Se generen versiones públicas para dar cumplimiento a las obligaciones de transparencia previstas en esta Ley</w:t>
      </w:r>
      <w:r w:rsidRPr="004008BC">
        <w:rPr>
          <w:rFonts w:ascii="Palatino Linotype" w:eastAsia="Palatino Linotype" w:hAnsi="Palatino Linotype" w:cs="Palatino Linotype"/>
          <w:i/>
          <w:sz w:val="22"/>
          <w:szCs w:val="22"/>
        </w:rPr>
        <w:t>.”</w:t>
      </w:r>
    </w:p>
    <w:p w:rsidR="00B5401D" w:rsidRPr="004008BC" w:rsidRDefault="00B5401D" w:rsidP="00B5401D">
      <w:pPr>
        <w:ind w:left="851" w:right="902"/>
        <w:jc w:val="center"/>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Lineamientos Generales en materia de Clasificación y Desclasificación de la Información</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r w:rsidRPr="004008BC">
        <w:rPr>
          <w:rFonts w:ascii="Palatino Linotype" w:eastAsia="Palatino Linotype" w:hAnsi="Palatino Linotype" w:cs="Palatino Linotype"/>
          <w:b/>
          <w:i/>
          <w:sz w:val="22"/>
          <w:szCs w:val="22"/>
        </w:rPr>
        <w:t>Segundo.-</w:t>
      </w:r>
      <w:r w:rsidRPr="004008BC">
        <w:rPr>
          <w:rFonts w:ascii="Palatino Linotype" w:eastAsia="Palatino Linotype" w:hAnsi="Palatino Linotype" w:cs="Palatino Linotype"/>
          <w:i/>
          <w:sz w:val="22"/>
          <w:szCs w:val="22"/>
        </w:rPr>
        <w:t xml:space="preserve"> Para efectos de los presentes Lineamientos Generales, se entenderá por:</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XVIII.</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Versión pública:</w:t>
      </w:r>
      <w:r w:rsidRPr="004008B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008BC">
        <w:rPr>
          <w:rFonts w:ascii="Palatino Linotype" w:eastAsia="Palatino Linotype" w:hAnsi="Palatino Linotype" w:cs="Palatino Linotype"/>
          <w:b/>
          <w:i/>
          <w:sz w:val="22"/>
          <w:szCs w:val="22"/>
        </w:rPr>
        <w:t>fundando y motivando la</w:t>
      </w:r>
      <w:r w:rsidRPr="004008BC">
        <w:rPr>
          <w:rFonts w:ascii="Palatino Linotype" w:eastAsia="Palatino Linotype" w:hAnsi="Palatino Linotype" w:cs="Palatino Linotype"/>
          <w:i/>
          <w:sz w:val="22"/>
          <w:szCs w:val="22"/>
        </w:rPr>
        <w:t xml:space="preserve"> reserva o </w:t>
      </w:r>
      <w:r w:rsidRPr="004008BC">
        <w:rPr>
          <w:rFonts w:ascii="Palatino Linotype" w:eastAsia="Palatino Linotype" w:hAnsi="Palatino Linotype" w:cs="Palatino Linotype"/>
          <w:b/>
          <w:i/>
          <w:sz w:val="22"/>
          <w:szCs w:val="22"/>
        </w:rPr>
        <w:t>confidencialidad</w:t>
      </w:r>
      <w:r w:rsidRPr="004008BC">
        <w:rPr>
          <w:rFonts w:ascii="Palatino Linotype" w:eastAsia="Palatino Linotype" w:hAnsi="Palatino Linotype" w:cs="Palatino Linotype"/>
          <w:i/>
          <w:sz w:val="22"/>
          <w:szCs w:val="22"/>
        </w:rPr>
        <w:t>, a través de la resolución que para tal efecto emita el Comité de Transparencia.</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Cuarto.</w:t>
      </w:r>
      <w:r w:rsidRPr="004008BC">
        <w:rPr>
          <w:rFonts w:ascii="Palatino Linotype" w:eastAsia="Palatino Linotype" w:hAnsi="Palatino Linotype" w:cs="Palatino Linotype"/>
          <w:i/>
          <w:sz w:val="22"/>
          <w:szCs w:val="22"/>
        </w:rPr>
        <w:t xml:space="preserve"> </w:t>
      </w:r>
      <w:r w:rsidRPr="004008BC">
        <w:rPr>
          <w:rFonts w:ascii="Palatino Linotype" w:eastAsia="Palatino Linotype" w:hAnsi="Palatino Linotype" w:cs="Palatino Linotype"/>
          <w:b/>
          <w:i/>
          <w:sz w:val="22"/>
          <w:szCs w:val="22"/>
        </w:rPr>
        <w:t>Para clasificar la información como</w:t>
      </w:r>
      <w:r w:rsidRPr="004008BC">
        <w:rPr>
          <w:rFonts w:ascii="Palatino Linotype" w:eastAsia="Palatino Linotype" w:hAnsi="Palatino Linotype" w:cs="Palatino Linotype"/>
          <w:i/>
          <w:sz w:val="22"/>
          <w:szCs w:val="22"/>
        </w:rPr>
        <w:t xml:space="preserve"> reservada o </w:t>
      </w:r>
      <w:r w:rsidRPr="004008BC">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4008BC">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Quinto.</w:t>
      </w:r>
      <w:r w:rsidRPr="004008B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Sexto.</w:t>
      </w:r>
      <w:r w:rsidRPr="004008B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Séptimo.</w:t>
      </w:r>
      <w:r w:rsidRPr="004008BC">
        <w:rPr>
          <w:rFonts w:ascii="Palatino Linotype" w:eastAsia="Palatino Linotype" w:hAnsi="Palatino Linotype" w:cs="Palatino Linotype"/>
          <w:i/>
          <w:sz w:val="22"/>
          <w:szCs w:val="22"/>
        </w:rPr>
        <w:t xml:space="preserve"> La clasificación de la información se llevará a cabo en el momento en que:</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I.</w:t>
      </w:r>
      <w:r w:rsidRPr="004008BC">
        <w:rPr>
          <w:rFonts w:ascii="Palatino Linotype" w:eastAsia="Palatino Linotype" w:hAnsi="Palatino Linotype" w:cs="Palatino Linotype"/>
          <w:i/>
          <w:sz w:val="22"/>
          <w:szCs w:val="22"/>
        </w:rPr>
        <w:t xml:space="preserve"> Se reciba una solicitud de acceso a la información;</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II.</w:t>
      </w:r>
      <w:r w:rsidRPr="004008BC">
        <w:rPr>
          <w:rFonts w:ascii="Palatino Linotype" w:eastAsia="Palatino Linotype" w:hAnsi="Palatino Linotype" w:cs="Palatino Linotype"/>
          <w:i/>
          <w:sz w:val="22"/>
          <w:szCs w:val="22"/>
        </w:rPr>
        <w:t xml:space="preserve"> Se determine mediante resolución de autoridad competente, o</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III.</w:t>
      </w:r>
      <w:r w:rsidRPr="004008B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se encuadra en una causal de reserva o de confidencialidad.</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Octavo.</w:t>
      </w:r>
      <w:r w:rsidRPr="004008B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Noveno.</w:t>
      </w:r>
      <w:r w:rsidRPr="004008B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Décimo.</w:t>
      </w:r>
      <w:r w:rsidRPr="004008B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B5401D" w:rsidRPr="004008BC" w:rsidRDefault="00B5401D" w:rsidP="00B5401D">
      <w:pPr>
        <w:ind w:left="851" w:right="902"/>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Décimo primero.</w:t>
      </w:r>
      <w:r w:rsidRPr="004008B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5401D" w:rsidRDefault="00B5401D" w:rsidP="00B5401D">
      <w:pPr>
        <w:ind w:left="851" w:right="902"/>
        <w:jc w:val="both"/>
        <w:rPr>
          <w:rFonts w:ascii="Palatino Linotype" w:eastAsia="Palatino Linotype" w:hAnsi="Palatino Linotype" w:cs="Palatino Linotype"/>
          <w:i/>
          <w:sz w:val="22"/>
          <w:szCs w:val="22"/>
        </w:rPr>
      </w:pPr>
    </w:p>
    <w:p w:rsidR="00186DA1" w:rsidRPr="004008BC" w:rsidRDefault="00186DA1" w:rsidP="00B5401D">
      <w:pPr>
        <w:ind w:left="851" w:right="902"/>
        <w:jc w:val="both"/>
        <w:rPr>
          <w:rFonts w:ascii="Palatino Linotype" w:eastAsia="Palatino Linotype" w:hAnsi="Palatino Linotype" w:cs="Palatino Linotype"/>
          <w:i/>
          <w:sz w:val="22"/>
          <w:szCs w:val="22"/>
        </w:rPr>
      </w:pPr>
    </w:p>
    <w:p w:rsidR="00B5401D" w:rsidRPr="004008BC" w:rsidRDefault="00B5401D" w:rsidP="00B5401D">
      <w:pPr>
        <w:ind w:left="850" w:right="901"/>
        <w:jc w:val="center"/>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lastRenderedPageBreak/>
        <w:t>CAPÍTULO VIII</w:t>
      </w:r>
    </w:p>
    <w:p w:rsidR="00B5401D" w:rsidRPr="004008BC" w:rsidRDefault="00B5401D" w:rsidP="00B5401D">
      <w:pPr>
        <w:ind w:left="850" w:right="901"/>
        <w:jc w:val="center"/>
        <w:rPr>
          <w:rFonts w:ascii="Palatino Linotype" w:eastAsia="Palatino Linotype" w:hAnsi="Palatino Linotype" w:cs="Palatino Linotype"/>
          <w:b/>
          <w:i/>
          <w:sz w:val="22"/>
          <w:szCs w:val="22"/>
        </w:rPr>
      </w:pPr>
      <w:r w:rsidRPr="004008BC">
        <w:rPr>
          <w:rFonts w:ascii="Palatino Linotype" w:eastAsia="Palatino Linotype" w:hAnsi="Palatino Linotype" w:cs="Palatino Linotype"/>
          <w:b/>
          <w:i/>
          <w:sz w:val="22"/>
          <w:szCs w:val="22"/>
        </w:rPr>
        <w:t>DE LA LEYENDA DE CLASIFICACIÓN</w:t>
      </w:r>
    </w:p>
    <w:p w:rsidR="00B5401D" w:rsidRPr="004008BC" w:rsidRDefault="00B5401D" w:rsidP="00B5401D">
      <w:pPr>
        <w:ind w:left="850"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 xml:space="preserve">Quincuagésimo. </w:t>
      </w:r>
      <w:r w:rsidRPr="004008BC">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4008BC">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B5401D" w:rsidRPr="004008BC" w:rsidRDefault="00B5401D" w:rsidP="00B5401D">
      <w:pPr>
        <w:ind w:left="850"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i/>
          <w:sz w:val="22"/>
          <w:szCs w:val="22"/>
        </w:rPr>
        <w:t>[…]</w:t>
      </w:r>
    </w:p>
    <w:p w:rsidR="00B5401D" w:rsidRPr="004008BC" w:rsidRDefault="00B5401D" w:rsidP="00B5401D">
      <w:pPr>
        <w:ind w:left="850" w:right="901"/>
        <w:jc w:val="both"/>
        <w:rPr>
          <w:rFonts w:ascii="Palatino Linotype" w:eastAsia="Palatino Linotype" w:hAnsi="Palatino Linotype" w:cs="Palatino Linotype"/>
          <w:i/>
          <w:sz w:val="22"/>
          <w:szCs w:val="22"/>
        </w:rPr>
      </w:pPr>
      <w:r w:rsidRPr="004008BC">
        <w:rPr>
          <w:rFonts w:ascii="Palatino Linotype" w:eastAsia="Palatino Linotype" w:hAnsi="Palatino Linotype" w:cs="Palatino Linotype"/>
          <w:b/>
          <w:i/>
          <w:sz w:val="22"/>
          <w:szCs w:val="22"/>
        </w:rPr>
        <w:t xml:space="preserve">Quincuagésimo tercero. </w:t>
      </w:r>
      <w:r w:rsidRPr="004008BC">
        <w:rPr>
          <w:rFonts w:ascii="Palatino Linotype" w:eastAsia="Palatino Linotype" w:hAnsi="Palatino Linotype" w:cs="Palatino Linotype"/>
          <w:b/>
          <w:i/>
          <w:sz w:val="22"/>
          <w:szCs w:val="22"/>
          <w:u w:val="single"/>
        </w:rPr>
        <w:t>El formato para señalar la clasificación parcial de un documento</w:t>
      </w:r>
      <w:r w:rsidRPr="004008BC">
        <w:rPr>
          <w:rFonts w:ascii="Palatino Linotype" w:eastAsia="Palatino Linotype" w:hAnsi="Palatino Linotype" w:cs="Palatino Linotype"/>
          <w:i/>
          <w:sz w:val="22"/>
          <w:szCs w:val="22"/>
        </w:rPr>
        <w:t>, es el siguiente:</w:t>
      </w:r>
    </w:p>
    <w:p w:rsidR="00B5401D" w:rsidRPr="004008BC" w:rsidRDefault="00B5401D" w:rsidP="00B5401D">
      <w:pPr>
        <w:ind w:left="850" w:right="901"/>
        <w:jc w:val="both"/>
        <w:rPr>
          <w:rFonts w:ascii="Palatino Linotype" w:eastAsia="Palatino Linotype" w:hAnsi="Palatino Linotype" w:cs="Palatino Linotype"/>
          <w:i/>
          <w:sz w:val="22"/>
          <w:szCs w:val="22"/>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B5401D" w:rsidRPr="004008BC" w:rsidTr="00215F2D">
        <w:trPr>
          <w:jc w:val="center"/>
        </w:trPr>
        <w:tc>
          <w:tcPr>
            <w:tcW w:w="1129"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b/>
                <w:i/>
              </w:rPr>
            </w:pPr>
            <w:r w:rsidRPr="004008BC">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b/>
                <w:i/>
              </w:rPr>
            </w:pPr>
            <w:r w:rsidRPr="004008BC">
              <w:rPr>
                <w:rFonts w:ascii="Palatino Linotype" w:eastAsia="Palatino Linotype" w:hAnsi="Palatino Linotype" w:cs="Palatino Linotype"/>
                <w:b/>
                <w:i/>
              </w:rPr>
              <w:t>Dónde:</w:t>
            </w:r>
          </w:p>
        </w:tc>
      </w:tr>
      <w:tr w:rsidR="00B5401D" w:rsidRPr="004008BC" w:rsidTr="00215F2D">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jc w:val="center"/>
              <w:rPr>
                <w:rFonts w:ascii="Palatino Linotype" w:eastAsia="Palatino Linotype" w:hAnsi="Palatino Linotype" w:cs="Palatino Linotype"/>
                <w:b/>
                <w:i/>
              </w:rPr>
            </w:pPr>
            <w:r w:rsidRPr="004008BC">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Se anotará la fecha en la que el Comité de Transparencia confirmó la clasificación del documento, en su caso.</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Se señalará el nombre del área del cual es titular quien clasifica.</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Se anotará el número de años o meses por los que se mantendrá el documento o las partes del mismo como reservado.</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Se señalará el nombre del ordenamiento, el o los artículos, fracción(es), párrafo(s) con base en los cuales se sustente la reserva.</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b/>
                <w:i/>
                <w:u w:val="single"/>
              </w:rPr>
            </w:pPr>
            <w:r w:rsidRPr="004008BC">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 xml:space="preserve">Se indicarán, en su caso, </w:t>
            </w:r>
            <w:r w:rsidRPr="004008BC">
              <w:rPr>
                <w:rFonts w:ascii="Palatino Linotype" w:eastAsia="Palatino Linotype" w:hAnsi="Palatino Linotype" w:cs="Palatino Linotype"/>
                <w:b/>
                <w:i/>
                <w:u w:val="single"/>
              </w:rPr>
              <w:t xml:space="preserve">las partes o páginas del documento que se clasifica </w:t>
            </w:r>
            <w:r w:rsidRPr="004008BC">
              <w:rPr>
                <w:rFonts w:ascii="Palatino Linotype" w:eastAsia="Palatino Linotype" w:hAnsi="Palatino Linotype" w:cs="Palatino Linotype"/>
                <w:b/>
                <w:i/>
                <w:u w:val="single"/>
              </w:rPr>
              <w:lastRenderedPageBreak/>
              <w:t>como confidencial</w:t>
            </w:r>
            <w:r w:rsidRPr="004008BC">
              <w:rPr>
                <w:rFonts w:ascii="Palatino Linotype" w:eastAsia="Palatino Linotype" w:hAnsi="Palatino Linotype" w:cs="Palatino Linotype"/>
                <w:i/>
              </w:rPr>
              <w:t xml:space="preserve">. </w:t>
            </w:r>
            <w:r w:rsidRPr="004008BC">
              <w:rPr>
                <w:rFonts w:ascii="Palatino Linotype" w:eastAsia="Palatino Linotype" w:hAnsi="Palatino Linotype" w:cs="Palatino Linotype"/>
                <w:b/>
                <w:i/>
                <w:u w:val="single"/>
              </w:rPr>
              <w:t>Si el documento fuera confidencial en su totalidad, se anotarán todas las páginas que lo conforman</w:t>
            </w:r>
            <w:r w:rsidRPr="004008BC">
              <w:rPr>
                <w:rFonts w:ascii="Palatino Linotype" w:eastAsia="Palatino Linotype" w:hAnsi="Palatino Linotype" w:cs="Palatino Linotype"/>
                <w:i/>
              </w:rPr>
              <w:t>. Si el documento no contiene información confidencial, se tachará este apartado.</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Rúbrica autógrafa de quien clasifica.</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both"/>
              <w:rPr>
                <w:rFonts w:ascii="Palatino Linotype" w:eastAsia="Palatino Linotype" w:hAnsi="Palatino Linotype" w:cs="Palatino Linotype"/>
                <w:i/>
              </w:rPr>
            </w:pPr>
            <w:r w:rsidRPr="004008BC">
              <w:rPr>
                <w:rFonts w:ascii="Palatino Linotype" w:eastAsia="Palatino Linotype" w:hAnsi="Palatino Linotype" w:cs="Palatino Linotype"/>
                <w:i/>
              </w:rPr>
              <w:t>Se anotará la fecha en que se desclasifica el documento.</w:t>
            </w:r>
          </w:p>
        </w:tc>
      </w:tr>
      <w:tr w:rsidR="00B5401D" w:rsidRPr="004008BC" w:rsidTr="00215F2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5401D" w:rsidRPr="004008BC" w:rsidRDefault="00B5401D" w:rsidP="00B5401D">
            <w:pPr>
              <w:jc w:val="center"/>
              <w:rPr>
                <w:rFonts w:ascii="Palatino Linotype" w:eastAsia="Palatino Linotype" w:hAnsi="Palatino Linotype" w:cs="Palatino Linotype"/>
                <w:i/>
              </w:rPr>
            </w:pPr>
            <w:r w:rsidRPr="004008BC">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B5401D" w:rsidRPr="004008BC" w:rsidRDefault="00B5401D" w:rsidP="00B5401D">
            <w:pPr>
              <w:rPr>
                <w:rFonts w:ascii="Palatino Linotype" w:eastAsia="Palatino Linotype" w:hAnsi="Palatino Linotype" w:cs="Palatino Linotype"/>
                <w:i/>
              </w:rPr>
            </w:pPr>
            <w:r w:rsidRPr="004008BC">
              <w:rPr>
                <w:rFonts w:ascii="Palatino Linotype" w:eastAsia="Palatino Linotype" w:hAnsi="Palatino Linotype" w:cs="Palatino Linotype"/>
                <w:i/>
              </w:rPr>
              <w:t>Rúbrica autógrafa de quien desclasifica.</w:t>
            </w:r>
          </w:p>
        </w:tc>
      </w:tr>
    </w:tbl>
    <w:p w:rsidR="00B5401D" w:rsidRPr="004008BC" w:rsidRDefault="00B5401D" w:rsidP="00B5401D">
      <w:pPr>
        <w:ind w:left="709" w:right="709"/>
        <w:jc w:val="both"/>
        <w:rPr>
          <w:rFonts w:ascii="Palatino Linotype" w:eastAsia="Palatino Linotype" w:hAnsi="Palatino Linotype" w:cs="Palatino Linotype"/>
          <w:sz w:val="22"/>
          <w:szCs w:val="22"/>
        </w:rPr>
      </w:pPr>
      <w:r w:rsidRPr="004008BC">
        <w:rPr>
          <w:rFonts w:ascii="Palatino Linotype" w:eastAsia="Palatino Linotype" w:hAnsi="Palatino Linotype" w:cs="Palatino Linotype"/>
          <w:sz w:val="22"/>
          <w:szCs w:val="22"/>
        </w:rPr>
        <w:t>(Énfasis Añadido)</w:t>
      </w:r>
    </w:p>
    <w:p w:rsidR="00B5401D" w:rsidRPr="004008BC" w:rsidRDefault="00B5401D" w:rsidP="00B5401D">
      <w:pPr>
        <w:spacing w:line="360" w:lineRule="auto"/>
        <w:jc w:val="both"/>
        <w:rPr>
          <w:rFonts w:ascii="Palatino Linotype" w:eastAsia="Palatino Linotype" w:hAnsi="Palatino Linotype" w:cs="Palatino Linotype"/>
        </w:rPr>
      </w:pPr>
    </w:p>
    <w:p w:rsidR="00B5401D" w:rsidRPr="004008BC" w:rsidRDefault="00B5401D" w:rsidP="00B5401D">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Es importante referir que, </w:t>
      </w:r>
      <w:r w:rsidRPr="004008BC">
        <w:rPr>
          <w:rFonts w:ascii="Palatino Linotype" w:eastAsia="Palatino Linotype" w:hAnsi="Palatino Linotype" w:cs="Palatino Linotype"/>
          <w:b/>
        </w:rPr>
        <w:t>EL SUJETO OBLIGADO</w:t>
      </w:r>
      <w:r w:rsidRPr="004008BC">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4008BC">
        <w:rPr>
          <w:rFonts w:ascii="Palatino Linotype" w:eastAsia="Palatino Linotype" w:hAnsi="Palatino Linotype" w:cs="Palatino Linotype"/>
          <w:b/>
        </w:rPr>
        <w:t xml:space="preserve"> </w:t>
      </w:r>
      <w:r w:rsidRPr="004008BC">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4008BC">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rsidR="00B5401D" w:rsidRPr="004008BC" w:rsidRDefault="00B5401D" w:rsidP="00B5401D">
      <w:pPr>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De manera que para que se pueda tener por cumplida la obligación de transparencia, es necesario que la información entregada sea accesible; es decir, que el particular pueda abrir el archivo y visualizar los datos contenidos en el mismo, situación que no aconteció en el caso.</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En consecuencia con la finalidad de privilegiar el derecho de acceso a la información pública del </w:t>
      </w:r>
      <w:r w:rsidRPr="004008BC">
        <w:rPr>
          <w:rFonts w:ascii="Palatino Linotype" w:eastAsia="Palatino Linotype" w:hAnsi="Palatino Linotype" w:cs="Palatino Linotype"/>
          <w:b/>
        </w:rPr>
        <w:t xml:space="preserve">RECURRENTE, </w:t>
      </w:r>
      <w:r w:rsidRPr="004008BC">
        <w:rPr>
          <w:rFonts w:ascii="Palatino Linotype" w:eastAsia="Palatino Linotype" w:hAnsi="Palatino Linotype" w:cs="Palatino Linotype"/>
        </w:rPr>
        <w:t xml:space="preserve">el Pleno de este Instituto, estima que las razones o motivos de inconformidad hechos valer por </w:t>
      </w:r>
      <w:r w:rsidRPr="004008BC">
        <w:rPr>
          <w:rFonts w:ascii="Palatino Linotype" w:eastAsia="Palatino Linotype" w:hAnsi="Palatino Linotype" w:cs="Palatino Linotype"/>
          <w:b/>
        </w:rPr>
        <w:t>EL RECURRENTE</w:t>
      </w:r>
      <w:r w:rsidRPr="004008BC">
        <w:rPr>
          <w:rFonts w:ascii="Palatino Linotype" w:eastAsia="Palatino Linotype" w:hAnsi="Palatino Linotype" w:cs="Palatino Linotype"/>
        </w:rPr>
        <w:t xml:space="preserve"> resultan </w:t>
      </w:r>
      <w:r w:rsidR="00617CEA" w:rsidRPr="004008BC">
        <w:rPr>
          <w:rFonts w:ascii="Palatino Linotype" w:eastAsia="Palatino Linotype" w:hAnsi="Palatino Linotype" w:cs="Palatino Linotype"/>
        </w:rPr>
        <w:t>F</w:t>
      </w:r>
      <w:r w:rsidRPr="004008BC">
        <w:rPr>
          <w:rFonts w:ascii="Palatino Linotype" w:eastAsia="Palatino Linotype" w:hAnsi="Palatino Linotype" w:cs="Palatino Linotype"/>
          <w:b/>
        </w:rPr>
        <w:t>undadas</w:t>
      </w:r>
      <w:r w:rsidRPr="004008BC">
        <w:rPr>
          <w:rFonts w:ascii="Palatino Linotype" w:eastAsia="Palatino Linotype" w:hAnsi="Palatino Linotype" w:cs="Palatino Linotype"/>
        </w:rPr>
        <w:t xml:space="preserve"> y suficientes para </w:t>
      </w:r>
      <w:r w:rsidR="00617CEA" w:rsidRPr="004008BC">
        <w:rPr>
          <w:rFonts w:ascii="Palatino Linotype" w:eastAsia="Palatino Linotype" w:hAnsi="Palatino Linotype" w:cs="Palatino Linotype"/>
          <w:b/>
        </w:rPr>
        <w:t>MODIFICAR</w:t>
      </w:r>
      <w:r w:rsidRPr="004008BC">
        <w:rPr>
          <w:rFonts w:ascii="Palatino Linotype" w:eastAsia="Palatino Linotype" w:hAnsi="Palatino Linotype" w:cs="Palatino Linotype"/>
        </w:rPr>
        <w:t xml:space="preserve"> la</w:t>
      </w:r>
      <w:r w:rsidR="00617CEA" w:rsidRPr="004008BC">
        <w:rPr>
          <w:rFonts w:ascii="Palatino Linotype" w:eastAsia="Palatino Linotype" w:hAnsi="Palatino Linotype" w:cs="Palatino Linotype"/>
        </w:rPr>
        <w:t xml:space="preserve"> respuesta</w:t>
      </w:r>
      <w:r w:rsidRPr="004008BC">
        <w:rPr>
          <w:rFonts w:ascii="Palatino Linotype" w:eastAsia="Palatino Linotype" w:hAnsi="Palatino Linotype" w:cs="Palatino Linotype"/>
        </w:rPr>
        <w:t xml:space="preserve"> del </w:t>
      </w:r>
      <w:r w:rsidRPr="004008BC">
        <w:rPr>
          <w:rFonts w:ascii="Palatino Linotype" w:eastAsia="Palatino Linotype" w:hAnsi="Palatino Linotype" w:cs="Palatino Linotype"/>
          <w:b/>
        </w:rPr>
        <w:t xml:space="preserve">SUJETO OBLIGADO </w:t>
      </w:r>
      <w:r w:rsidRPr="004008BC">
        <w:rPr>
          <w:rFonts w:ascii="Palatino Linotype" w:eastAsia="Palatino Linotype" w:hAnsi="Palatino Linotype" w:cs="Palatino Linotype"/>
        </w:rPr>
        <w:t xml:space="preserve">a la solicitud de información recaída en </w:t>
      </w:r>
      <w:r w:rsidR="00617CEA" w:rsidRPr="004008BC">
        <w:rPr>
          <w:rFonts w:ascii="Palatino Linotype" w:eastAsia="Palatino Linotype" w:hAnsi="Palatino Linotype" w:cs="Palatino Linotype"/>
        </w:rPr>
        <w:t>el</w:t>
      </w:r>
      <w:r w:rsidRPr="004008BC">
        <w:rPr>
          <w:rFonts w:ascii="Palatino Linotype" w:eastAsia="Palatino Linotype" w:hAnsi="Palatino Linotype" w:cs="Palatino Linotype"/>
        </w:rPr>
        <w:t xml:space="preserve"> Recurso de Revisión número </w:t>
      </w:r>
      <w:r w:rsidR="00617CEA" w:rsidRPr="004008BC">
        <w:rPr>
          <w:rFonts w:ascii="Palatino Linotype" w:eastAsia="Palatino Linotype" w:hAnsi="Palatino Linotype" w:cs="Palatino Linotype"/>
          <w:b/>
        </w:rPr>
        <w:t>15077</w:t>
      </w:r>
      <w:r w:rsidRPr="004008BC">
        <w:rPr>
          <w:rFonts w:ascii="Palatino Linotype" w:eastAsia="Palatino Linotype" w:hAnsi="Palatino Linotype" w:cs="Palatino Linotype"/>
          <w:b/>
        </w:rPr>
        <w:t xml:space="preserve">/INFOEM/IP/RR/2022, </w:t>
      </w:r>
      <w:r w:rsidR="00617CEA" w:rsidRPr="004008BC">
        <w:rPr>
          <w:rFonts w:ascii="Palatino Linotype" w:eastAsia="Palatino Linotype" w:hAnsi="Palatino Linotype" w:cs="Palatino Linotype"/>
          <w:b/>
        </w:rPr>
        <w:t xml:space="preserve">y REVOCAR el diverso </w:t>
      </w:r>
      <w:r w:rsidR="00DB38D9" w:rsidRPr="004008BC">
        <w:rPr>
          <w:rFonts w:ascii="Palatino Linotype" w:eastAsia="Palatino Linotype" w:hAnsi="Palatino Linotype" w:cs="Palatino Linotype"/>
          <w:b/>
        </w:rPr>
        <w:t>15079</w:t>
      </w:r>
      <w:r w:rsidRPr="004008BC">
        <w:rPr>
          <w:rFonts w:ascii="Palatino Linotype" w:eastAsia="Palatino Linotype" w:hAnsi="Palatino Linotype" w:cs="Palatino Linotype"/>
          <w:b/>
        </w:rPr>
        <w:t>/INFOEM/IP/RR/2022</w:t>
      </w:r>
      <w:r w:rsidR="00617CEA" w:rsidRPr="004008BC">
        <w:rPr>
          <w:rFonts w:ascii="Palatino Linotype" w:eastAsia="Palatino Linotype" w:hAnsi="Palatino Linotype" w:cs="Palatino Linotype"/>
          <w:b/>
        </w:rPr>
        <w:t>,</w:t>
      </w:r>
      <w:r w:rsidRPr="004008BC">
        <w:rPr>
          <w:rFonts w:ascii="Palatino Linotype" w:eastAsia="Palatino Linotype" w:hAnsi="Palatino Linotype" w:cs="Palatino Linotype"/>
        </w:rPr>
        <w:t xml:space="preserve"> y ordenar al</w:t>
      </w:r>
      <w:r w:rsidRPr="004008BC">
        <w:rPr>
          <w:rFonts w:ascii="Palatino Linotype" w:eastAsia="Palatino Linotype" w:hAnsi="Palatino Linotype" w:cs="Palatino Linotype"/>
          <w:b/>
        </w:rPr>
        <w:t xml:space="preserve"> SUJETO OBLIGADO</w:t>
      </w:r>
      <w:r w:rsidRPr="004008BC">
        <w:rPr>
          <w:rFonts w:ascii="Palatino Linotype" w:eastAsia="Palatino Linotype" w:hAnsi="Palatino Linotype" w:cs="Palatino Linotype"/>
        </w:rPr>
        <w:t xml:space="preserve"> haga </w:t>
      </w:r>
      <w:r w:rsidR="00617CEA" w:rsidRPr="004008BC">
        <w:rPr>
          <w:rFonts w:ascii="Palatino Linotype" w:eastAsia="Palatino Linotype" w:hAnsi="Palatino Linotype" w:cs="Palatino Linotype"/>
        </w:rPr>
        <w:t>la entrega correspondiente</w:t>
      </w:r>
      <w:r w:rsidR="00A62C80" w:rsidRPr="004008BC">
        <w:rPr>
          <w:rFonts w:ascii="Palatino Linotype" w:eastAsia="Palatino Linotype" w:hAnsi="Palatino Linotype" w:cs="Palatino Linotype"/>
        </w:rPr>
        <w:t xml:space="preserve"> en términos del presente Considerando</w:t>
      </w:r>
      <w:r w:rsidR="00617CEA" w:rsidRPr="004008BC">
        <w:rPr>
          <w:rFonts w:ascii="Palatino Linotype" w:eastAsia="Palatino Linotype" w:hAnsi="Palatino Linotype" w:cs="Palatino Linotype"/>
        </w:rPr>
        <w:t>.</w:t>
      </w:r>
    </w:p>
    <w:p w:rsidR="00924D01" w:rsidRPr="004008BC" w:rsidRDefault="00924D01">
      <w:pPr>
        <w:spacing w:line="360" w:lineRule="auto"/>
        <w:jc w:val="both"/>
        <w:rPr>
          <w:rFonts w:ascii="Palatino Linotype" w:eastAsia="Palatino Linotype" w:hAnsi="Palatino Linotype" w:cs="Palatino Linotype"/>
        </w:rPr>
      </w:pPr>
    </w:p>
    <w:p w:rsidR="00924D01" w:rsidRPr="004008BC" w:rsidRDefault="00A1353F">
      <w:pPr>
        <w:spacing w:line="360" w:lineRule="auto"/>
        <w:ind w:right="49"/>
        <w:jc w:val="both"/>
        <w:rPr>
          <w:rFonts w:ascii="Palatino Linotype" w:eastAsia="Palatino Linotype" w:hAnsi="Palatino Linotype" w:cs="Palatino Linotype"/>
        </w:rPr>
      </w:pPr>
      <w:r w:rsidRPr="004008BC">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924D01" w:rsidRDefault="00924D01">
      <w:pPr>
        <w:spacing w:line="360" w:lineRule="auto"/>
        <w:jc w:val="both"/>
        <w:rPr>
          <w:rFonts w:ascii="Palatino Linotype" w:eastAsia="Palatino Linotype" w:hAnsi="Palatino Linotype" w:cs="Palatino Linotype"/>
        </w:rPr>
      </w:pPr>
    </w:p>
    <w:p w:rsidR="009F1E0C" w:rsidRDefault="009F1E0C">
      <w:pPr>
        <w:spacing w:line="360" w:lineRule="auto"/>
        <w:jc w:val="both"/>
        <w:rPr>
          <w:rFonts w:ascii="Palatino Linotype" w:eastAsia="Palatino Linotype" w:hAnsi="Palatino Linotype" w:cs="Palatino Linotype"/>
        </w:rPr>
      </w:pPr>
    </w:p>
    <w:p w:rsidR="00924D01" w:rsidRPr="004008BC" w:rsidRDefault="00A1353F">
      <w:pPr>
        <w:spacing w:line="360" w:lineRule="auto"/>
        <w:jc w:val="center"/>
        <w:rPr>
          <w:rFonts w:ascii="Palatino Linotype" w:eastAsia="Palatino Linotype" w:hAnsi="Palatino Linotype" w:cs="Palatino Linotype"/>
          <w:b/>
          <w:sz w:val="26"/>
          <w:szCs w:val="26"/>
        </w:rPr>
      </w:pPr>
      <w:r w:rsidRPr="004008BC">
        <w:rPr>
          <w:rFonts w:ascii="Palatino Linotype" w:eastAsia="Palatino Linotype" w:hAnsi="Palatino Linotype" w:cs="Palatino Linotype"/>
          <w:b/>
          <w:sz w:val="26"/>
          <w:szCs w:val="26"/>
        </w:rPr>
        <w:lastRenderedPageBreak/>
        <w:t>RESUELVE</w:t>
      </w:r>
    </w:p>
    <w:p w:rsidR="00A9665C" w:rsidRPr="004008BC" w:rsidRDefault="00A9665C" w:rsidP="00A9665C">
      <w:pPr>
        <w:spacing w:before="240" w:line="360" w:lineRule="auto"/>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b/>
          <w:lang w:val="es-ES" w:eastAsia="es-ES"/>
        </w:rPr>
        <w:t xml:space="preserve">PRIMERO. </w:t>
      </w:r>
      <w:r w:rsidRPr="004008BC">
        <w:rPr>
          <w:rFonts w:ascii="Palatino Linotype" w:eastAsia="Palatino Linotype" w:hAnsi="Palatino Linotype" w:cs="Palatino Linotype"/>
          <w:lang w:val="es-ES" w:eastAsia="es-ES"/>
        </w:rPr>
        <w:t>Resulta</w:t>
      </w:r>
      <w:r w:rsidR="00AB2B3A" w:rsidRPr="004008BC">
        <w:rPr>
          <w:rFonts w:ascii="Palatino Linotype" w:eastAsia="Palatino Linotype" w:hAnsi="Palatino Linotype" w:cs="Palatino Linotype"/>
          <w:lang w:val="es-ES" w:eastAsia="es-ES"/>
        </w:rPr>
        <w:t>n</w:t>
      </w:r>
      <w:r w:rsidRPr="004008BC">
        <w:rPr>
          <w:rFonts w:ascii="Palatino Linotype" w:eastAsia="Palatino Linotype" w:hAnsi="Palatino Linotype" w:cs="Palatino Linotype"/>
          <w:lang w:val="es-ES" w:eastAsia="es-ES"/>
        </w:rPr>
        <w:t xml:space="preserve"> fundada</w:t>
      </w:r>
      <w:r w:rsidR="00AB2B3A" w:rsidRPr="004008BC">
        <w:rPr>
          <w:rFonts w:ascii="Palatino Linotype" w:eastAsia="Palatino Linotype" w:hAnsi="Palatino Linotype" w:cs="Palatino Linotype"/>
          <w:lang w:val="es-ES" w:eastAsia="es-ES"/>
        </w:rPr>
        <w:t>s</w:t>
      </w:r>
      <w:r w:rsidRPr="004008BC">
        <w:rPr>
          <w:rFonts w:ascii="Palatino Linotype" w:eastAsia="Palatino Linotype" w:hAnsi="Palatino Linotype" w:cs="Palatino Linotype"/>
          <w:lang w:val="es-ES" w:eastAsia="es-ES"/>
        </w:rPr>
        <w:t xml:space="preserve"> la</w:t>
      </w:r>
      <w:r w:rsidR="00AB2B3A" w:rsidRPr="004008BC">
        <w:rPr>
          <w:rFonts w:ascii="Palatino Linotype" w:eastAsia="Palatino Linotype" w:hAnsi="Palatino Linotype" w:cs="Palatino Linotype"/>
          <w:lang w:val="es-ES" w:eastAsia="es-ES"/>
        </w:rPr>
        <w:t>s</w:t>
      </w:r>
      <w:r w:rsidRPr="004008BC">
        <w:rPr>
          <w:rFonts w:ascii="Palatino Linotype" w:eastAsia="Palatino Linotype" w:hAnsi="Palatino Linotype" w:cs="Palatino Linotype"/>
          <w:lang w:val="es-ES" w:eastAsia="es-ES"/>
        </w:rPr>
        <w:t xml:space="preserve"> raz</w:t>
      </w:r>
      <w:r w:rsidR="00AB2B3A" w:rsidRPr="004008BC">
        <w:rPr>
          <w:rFonts w:ascii="Palatino Linotype" w:eastAsia="Palatino Linotype" w:hAnsi="Palatino Linotype" w:cs="Palatino Linotype"/>
          <w:lang w:val="es-ES" w:eastAsia="es-ES"/>
        </w:rPr>
        <w:t>o</w:t>
      </w:r>
      <w:r w:rsidRPr="004008BC">
        <w:rPr>
          <w:rFonts w:ascii="Palatino Linotype" w:eastAsia="Palatino Linotype" w:hAnsi="Palatino Linotype" w:cs="Palatino Linotype"/>
          <w:lang w:val="es-ES" w:eastAsia="es-ES"/>
        </w:rPr>
        <w:t>n</w:t>
      </w:r>
      <w:r w:rsidR="00AB2B3A" w:rsidRPr="004008BC">
        <w:rPr>
          <w:rFonts w:ascii="Palatino Linotype" w:eastAsia="Palatino Linotype" w:hAnsi="Palatino Linotype" w:cs="Palatino Linotype"/>
          <w:lang w:val="es-ES" w:eastAsia="es-ES"/>
        </w:rPr>
        <w:t>es</w:t>
      </w:r>
      <w:r w:rsidRPr="004008BC">
        <w:rPr>
          <w:rFonts w:ascii="Palatino Linotype" w:eastAsia="Palatino Linotype" w:hAnsi="Palatino Linotype" w:cs="Palatino Linotype"/>
          <w:lang w:val="es-ES" w:eastAsia="es-ES"/>
        </w:rPr>
        <w:t xml:space="preserve"> o motivo</w:t>
      </w:r>
      <w:r w:rsidR="00AB2B3A" w:rsidRPr="004008BC">
        <w:rPr>
          <w:rFonts w:ascii="Palatino Linotype" w:eastAsia="Palatino Linotype" w:hAnsi="Palatino Linotype" w:cs="Palatino Linotype"/>
          <w:lang w:val="es-ES" w:eastAsia="es-ES"/>
        </w:rPr>
        <w:t>s</w:t>
      </w:r>
      <w:r w:rsidRPr="004008BC">
        <w:rPr>
          <w:rFonts w:ascii="Palatino Linotype" w:eastAsia="Palatino Linotype" w:hAnsi="Palatino Linotype" w:cs="Palatino Linotype"/>
          <w:lang w:val="es-ES" w:eastAsia="es-ES"/>
        </w:rPr>
        <w:t xml:space="preserve"> de inconformidad hecho</w:t>
      </w:r>
      <w:r w:rsidR="00AB2B3A" w:rsidRPr="004008BC">
        <w:rPr>
          <w:rFonts w:ascii="Palatino Linotype" w:eastAsia="Palatino Linotype" w:hAnsi="Palatino Linotype" w:cs="Palatino Linotype"/>
          <w:lang w:val="es-ES" w:eastAsia="es-ES"/>
        </w:rPr>
        <w:t>s</w:t>
      </w:r>
      <w:r w:rsidRPr="004008BC">
        <w:rPr>
          <w:rFonts w:ascii="Palatino Linotype" w:eastAsia="Palatino Linotype" w:hAnsi="Palatino Linotype" w:cs="Palatino Linotype"/>
          <w:lang w:val="es-ES" w:eastAsia="es-ES"/>
        </w:rPr>
        <w:t xml:space="preserve"> valer por el </w:t>
      </w:r>
      <w:r w:rsidR="005640D2" w:rsidRPr="004008BC">
        <w:rPr>
          <w:rFonts w:ascii="Palatino Linotype" w:eastAsia="Palatino Linotype" w:hAnsi="Palatino Linotype" w:cs="Palatino Linotype"/>
          <w:b/>
          <w:lang w:val="es-ES" w:eastAsia="es-ES"/>
        </w:rPr>
        <w:t>RECURRENTE</w:t>
      </w:r>
      <w:r w:rsidRPr="004008BC">
        <w:rPr>
          <w:rFonts w:ascii="Palatino Linotype" w:eastAsia="Palatino Linotype" w:hAnsi="Palatino Linotype" w:cs="Palatino Linotype"/>
          <w:lang w:val="es-ES" w:eastAsia="es-ES"/>
        </w:rPr>
        <w:t xml:space="preserve"> en </w:t>
      </w:r>
      <w:r w:rsidR="00AB2B3A" w:rsidRPr="004008BC">
        <w:rPr>
          <w:rFonts w:ascii="Palatino Linotype" w:eastAsia="Palatino Linotype" w:hAnsi="Palatino Linotype" w:cs="Palatino Linotype"/>
          <w:lang w:val="es-ES" w:eastAsia="es-ES"/>
        </w:rPr>
        <w:t>los</w:t>
      </w:r>
      <w:r w:rsidRPr="004008BC">
        <w:rPr>
          <w:rFonts w:ascii="Palatino Linotype" w:eastAsia="Palatino Linotype" w:hAnsi="Palatino Linotype" w:cs="Palatino Linotype"/>
          <w:lang w:val="es-ES" w:eastAsia="es-ES"/>
        </w:rPr>
        <w:t xml:space="preserve"> Recurso</w:t>
      </w:r>
      <w:r w:rsidR="00AB2B3A" w:rsidRPr="004008BC">
        <w:rPr>
          <w:rFonts w:ascii="Palatino Linotype" w:eastAsia="Palatino Linotype" w:hAnsi="Palatino Linotype" w:cs="Palatino Linotype"/>
          <w:lang w:val="es-ES" w:eastAsia="es-ES"/>
        </w:rPr>
        <w:t>s</w:t>
      </w:r>
      <w:r w:rsidRPr="004008BC">
        <w:rPr>
          <w:rFonts w:ascii="Palatino Linotype" w:eastAsia="Palatino Linotype" w:hAnsi="Palatino Linotype" w:cs="Palatino Linotype"/>
          <w:lang w:val="es-ES" w:eastAsia="es-ES"/>
        </w:rPr>
        <w:t xml:space="preserve"> de Revisión </w:t>
      </w:r>
      <w:r w:rsidRPr="004008BC">
        <w:rPr>
          <w:rFonts w:ascii="Palatino Linotype" w:eastAsia="Palatino Linotype" w:hAnsi="Palatino Linotype" w:cs="Palatino Linotype"/>
          <w:b/>
          <w:lang w:val="es-ES" w:eastAsia="es-ES"/>
        </w:rPr>
        <w:t>15077/INFOEM/IP/RR/2022</w:t>
      </w:r>
      <w:r w:rsidR="00AB2B3A" w:rsidRPr="004008BC">
        <w:rPr>
          <w:rFonts w:ascii="Palatino Linotype" w:eastAsia="Palatino Linotype" w:hAnsi="Palatino Linotype" w:cs="Palatino Linotype"/>
          <w:b/>
          <w:lang w:val="es-ES" w:eastAsia="es-ES"/>
        </w:rPr>
        <w:t xml:space="preserve"> y 15079/INFOEM/IP/RR/2022</w:t>
      </w:r>
      <w:r w:rsidRPr="004008BC">
        <w:rPr>
          <w:rFonts w:ascii="Palatino Linotype" w:eastAsia="Palatino Linotype" w:hAnsi="Palatino Linotype" w:cs="Palatino Linotype"/>
          <w:lang w:val="es-ES" w:eastAsia="es-ES"/>
        </w:rPr>
        <w:t xml:space="preserve">, por lo que, en términos del considerando </w:t>
      </w:r>
      <w:r w:rsidRPr="004008BC">
        <w:rPr>
          <w:rFonts w:ascii="Palatino Linotype" w:eastAsia="Palatino Linotype" w:hAnsi="Palatino Linotype" w:cs="Palatino Linotype"/>
          <w:b/>
          <w:lang w:val="es-ES" w:eastAsia="es-ES"/>
        </w:rPr>
        <w:t xml:space="preserve">SEXTO </w:t>
      </w:r>
      <w:r w:rsidRPr="004008BC">
        <w:rPr>
          <w:rFonts w:ascii="Palatino Linotype" w:eastAsia="Palatino Linotype" w:hAnsi="Palatino Linotype" w:cs="Palatino Linotype"/>
          <w:lang w:val="es-ES" w:eastAsia="es-ES"/>
        </w:rPr>
        <w:t xml:space="preserve">de esta resolución, se </w:t>
      </w:r>
      <w:r w:rsidRPr="004008BC">
        <w:rPr>
          <w:rFonts w:ascii="Palatino Linotype" w:eastAsia="Palatino Linotype" w:hAnsi="Palatino Linotype" w:cs="Palatino Linotype"/>
          <w:b/>
          <w:lang w:val="es-ES" w:eastAsia="es-ES"/>
        </w:rPr>
        <w:t xml:space="preserve">MODIFICA </w:t>
      </w:r>
      <w:r w:rsidRPr="004008BC">
        <w:rPr>
          <w:rFonts w:ascii="Palatino Linotype" w:eastAsia="Palatino Linotype" w:hAnsi="Palatino Linotype" w:cs="Palatino Linotype"/>
          <w:lang w:val="es-ES" w:eastAsia="es-ES"/>
        </w:rPr>
        <w:t xml:space="preserve">la respuesta emitida por el </w:t>
      </w:r>
      <w:r w:rsidRPr="004008BC">
        <w:rPr>
          <w:rFonts w:ascii="Palatino Linotype" w:eastAsia="Palatino Linotype" w:hAnsi="Palatino Linotype" w:cs="Palatino Linotype"/>
          <w:b/>
          <w:lang w:val="es-ES" w:eastAsia="es-ES"/>
        </w:rPr>
        <w:t>SUJETO OBLIGADO</w:t>
      </w:r>
      <w:r w:rsidR="00AB2B3A" w:rsidRPr="004008BC">
        <w:rPr>
          <w:rFonts w:ascii="Palatino Linotype" w:eastAsia="Palatino Linotype" w:hAnsi="Palatino Linotype" w:cs="Palatino Linotype"/>
          <w:b/>
          <w:lang w:val="es-ES" w:eastAsia="es-ES"/>
        </w:rPr>
        <w:t xml:space="preserve"> </w:t>
      </w:r>
      <w:r w:rsidR="004008BC" w:rsidRPr="004008BC">
        <w:rPr>
          <w:rFonts w:ascii="Palatino Linotype" w:eastAsia="Palatino Linotype" w:hAnsi="Palatino Linotype" w:cs="Palatino Linotype"/>
          <w:lang w:val="es-ES" w:eastAsia="es-ES"/>
        </w:rPr>
        <w:t>en el</w:t>
      </w:r>
      <w:r w:rsidR="004008BC">
        <w:rPr>
          <w:rFonts w:ascii="Palatino Linotype" w:eastAsia="Palatino Linotype" w:hAnsi="Palatino Linotype" w:cs="Palatino Linotype"/>
          <w:b/>
          <w:lang w:val="es-ES" w:eastAsia="es-ES"/>
        </w:rPr>
        <w:t xml:space="preserve"> </w:t>
      </w:r>
      <w:r w:rsidR="004008BC" w:rsidRPr="004008BC">
        <w:rPr>
          <w:rFonts w:ascii="Palatino Linotype" w:eastAsia="Palatino Linotype" w:hAnsi="Palatino Linotype" w:cs="Palatino Linotype"/>
          <w:lang w:val="es-ES" w:eastAsia="es-ES"/>
        </w:rPr>
        <w:t xml:space="preserve">Recurso de Revisión </w:t>
      </w:r>
      <w:r w:rsidR="004008BC" w:rsidRPr="004008BC">
        <w:rPr>
          <w:rFonts w:ascii="Palatino Linotype" w:eastAsia="Palatino Linotype" w:hAnsi="Palatino Linotype" w:cs="Palatino Linotype"/>
          <w:b/>
          <w:lang w:val="es-ES" w:eastAsia="es-ES"/>
        </w:rPr>
        <w:t>15077/INFOEM/IP/RR/2022</w:t>
      </w:r>
      <w:r w:rsidR="004008BC">
        <w:rPr>
          <w:rFonts w:ascii="Palatino Linotype" w:eastAsia="Palatino Linotype" w:hAnsi="Palatino Linotype" w:cs="Palatino Linotype"/>
          <w:b/>
          <w:lang w:val="es-ES" w:eastAsia="es-ES"/>
        </w:rPr>
        <w:t xml:space="preserve"> </w:t>
      </w:r>
      <w:r w:rsidR="004008BC" w:rsidRPr="004008BC">
        <w:rPr>
          <w:rFonts w:ascii="Palatino Linotype" w:eastAsia="Palatino Linotype" w:hAnsi="Palatino Linotype" w:cs="Palatino Linotype"/>
          <w:lang w:val="es-ES" w:eastAsia="es-ES"/>
        </w:rPr>
        <w:t>y</w:t>
      </w:r>
      <w:r w:rsidR="004008BC">
        <w:rPr>
          <w:rFonts w:ascii="Palatino Linotype" w:eastAsia="Palatino Linotype" w:hAnsi="Palatino Linotype" w:cs="Palatino Linotype"/>
          <w:b/>
          <w:lang w:val="es-ES" w:eastAsia="es-ES"/>
        </w:rPr>
        <w:t xml:space="preserve"> </w:t>
      </w:r>
      <w:r w:rsidR="00AB2B3A" w:rsidRPr="004008BC">
        <w:rPr>
          <w:rFonts w:ascii="Palatino Linotype" w:eastAsia="Palatino Linotype" w:hAnsi="Palatino Linotype" w:cs="Palatino Linotype"/>
          <w:lang w:val="es-ES" w:eastAsia="es-ES"/>
        </w:rPr>
        <w:t xml:space="preserve">se </w:t>
      </w:r>
      <w:r w:rsidR="00D230AD" w:rsidRPr="004008BC">
        <w:rPr>
          <w:rFonts w:ascii="Palatino Linotype" w:eastAsia="Palatino Linotype" w:hAnsi="Palatino Linotype" w:cs="Palatino Linotype"/>
          <w:b/>
          <w:lang w:val="es-ES" w:eastAsia="es-ES"/>
        </w:rPr>
        <w:t xml:space="preserve">REVOCA </w:t>
      </w:r>
      <w:r w:rsidR="00D230AD" w:rsidRPr="004008BC">
        <w:rPr>
          <w:rFonts w:ascii="Palatino Linotype" w:eastAsia="Palatino Linotype" w:hAnsi="Palatino Linotype" w:cs="Palatino Linotype"/>
          <w:lang w:val="es-ES" w:eastAsia="es-ES"/>
        </w:rPr>
        <w:t>la</w:t>
      </w:r>
      <w:r w:rsidR="00AB2B3A" w:rsidRPr="004008BC">
        <w:rPr>
          <w:rFonts w:ascii="Palatino Linotype" w:eastAsia="Palatino Linotype" w:hAnsi="Palatino Linotype" w:cs="Palatino Linotype"/>
          <w:lang w:val="es-ES" w:eastAsia="es-ES"/>
        </w:rPr>
        <w:t xml:space="preserve"> respuesta dada en </w:t>
      </w:r>
      <w:r w:rsidR="004008BC">
        <w:rPr>
          <w:rFonts w:ascii="Palatino Linotype" w:eastAsia="Palatino Linotype" w:hAnsi="Palatino Linotype" w:cs="Palatino Linotype"/>
          <w:lang w:val="es-ES" w:eastAsia="es-ES"/>
        </w:rPr>
        <w:t xml:space="preserve">el Recurso de Revisión </w:t>
      </w:r>
      <w:r w:rsidR="004008BC" w:rsidRPr="004008BC">
        <w:rPr>
          <w:rFonts w:ascii="Palatino Linotype" w:eastAsia="Palatino Linotype" w:hAnsi="Palatino Linotype" w:cs="Palatino Linotype"/>
          <w:b/>
          <w:lang w:val="es-ES" w:eastAsia="es-ES"/>
        </w:rPr>
        <w:t>15079/INFOEM/IP/RR/2022</w:t>
      </w:r>
      <w:r w:rsidR="004008BC">
        <w:rPr>
          <w:rFonts w:ascii="Palatino Linotype" w:eastAsia="Palatino Linotype" w:hAnsi="Palatino Linotype" w:cs="Palatino Linotype"/>
          <w:lang w:val="es-ES" w:eastAsia="es-ES"/>
        </w:rPr>
        <w:t>.</w:t>
      </w:r>
    </w:p>
    <w:p w:rsidR="00A9665C" w:rsidRPr="004008BC" w:rsidRDefault="00A9665C" w:rsidP="00A9665C">
      <w:pPr>
        <w:spacing w:line="360" w:lineRule="auto"/>
        <w:jc w:val="both"/>
        <w:rPr>
          <w:rFonts w:ascii="Palatino Linotype" w:eastAsia="Palatino Linotype" w:hAnsi="Palatino Linotype" w:cs="Palatino Linotype"/>
          <w:lang w:val="es-ES" w:eastAsia="es-ES"/>
        </w:rPr>
      </w:pPr>
    </w:p>
    <w:p w:rsidR="00A9665C" w:rsidRPr="004008BC" w:rsidRDefault="00A9665C" w:rsidP="00A9665C">
      <w:pPr>
        <w:spacing w:after="240" w:line="360" w:lineRule="auto"/>
        <w:ind w:right="49"/>
        <w:jc w:val="both"/>
        <w:rPr>
          <w:rFonts w:ascii="Palatino Linotype" w:eastAsia="Palatino Linotype" w:hAnsi="Palatino Linotype" w:cs="Palatino Linotype"/>
          <w:lang w:val="es-ES" w:eastAsia="es-ES"/>
        </w:rPr>
      </w:pPr>
      <w:r w:rsidRPr="004008BC">
        <w:rPr>
          <w:rFonts w:ascii="Palatino Linotype" w:eastAsia="Palatino Linotype" w:hAnsi="Palatino Linotype" w:cs="Palatino Linotype"/>
          <w:b/>
          <w:lang w:val="es-ES" w:eastAsia="es-ES"/>
        </w:rPr>
        <w:t xml:space="preserve">SEGUNDO. </w:t>
      </w:r>
      <w:r w:rsidRPr="004008BC">
        <w:rPr>
          <w:rFonts w:ascii="Palatino Linotype" w:eastAsia="Palatino Linotype" w:hAnsi="Palatino Linotype" w:cs="Palatino Linotype"/>
          <w:lang w:val="es-ES" w:eastAsia="es-ES"/>
        </w:rPr>
        <w:t xml:space="preserve">Se </w:t>
      </w:r>
      <w:r w:rsidRPr="004008BC">
        <w:rPr>
          <w:rFonts w:ascii="Palatino Linotype" w:eastAsia="Palatino Linotype" w:hAnsi="Palatino Linotype" w:cs="Palatino Linotype"/>
          <w:b/>
          <w:lang w:val="es-ES" w:eastAsia="es-ES"/>
        </w:rPr>
        <w:t xml:space="preserve">Ordena </w:t>
      </w:r>
      <w:r w:rsidRPr="004008BC">
        <w:rPr>
          <w:rFonts w:ascii="Palatino Linotype" w:eastAsia="Palatino Linotype" w:hAnsi="Palatino Linotype" w:cs="Palatino Linotype"/>
          <w:lang w:val="es-ES" w:eastAsia="es-ES"/>
        </w:rPr>
        <w:t xml:space="preserve">al </w:t>
      </w:r>
      <w:r w:rsidRPr="004008BC">
        <w:rPr>
          <w:rFonts w:ascii="Palatino Linotype" w:eastAsia="Palatino Linotype" w:hAnsi="Palatino Linotype" w:cs="Palatino Linotype"/>
          <w:b/>
          <w:lang w:val="es-ES" w:eastAsia="es-ES"/>
        </w:rPr>
        <w:t>SUJETO OBLIGADO</w:t>
      </w:r>
      <w:r w:rsidRPr="004008BC">
        <w:rPr>
          <w:rFonts w:ascii="Palatino Linotype" w:eastAsia="Palatino Linotype" w:hAnsi="Palatino Linotype" w:cs="Palatino Linotype"/>
          <w:lang w:val="es-ES" w:eastAsia="es-ES"/>
        </w:rPr>
        <w:t xml:space="preserve">, a que, en términos del considerando </w:t>
      </w:r>
      <w:r w:rsidRPr="004008BC">
        <w:rPr>
          <w:rFonts w:ascii="Palatino Linotype" w:eastAsia="Palatino Linotype" w:hAnsi="Palatino Linotype" w:cs="Palatino Linotype"/>
          <w:b/>
          <w:lang w:val="es-ES" w:eastAsia="es-ES"/>
        </w:rPr>
        <w:t xml:space="preserve">SEXTO </w:t>
      </w:r>
      <w:r w:rsidRPr="004008BC">
        <w:rPr>
          <w:rFonts w:ascii="Palatino Linotype" w:eastAsia="Palatino Linotype" w:hAnsi="Palatino Linotype" w:cs="Palatino Linotype"/>
          <w:lang w:val="es-ES" w:eastAsia="es-ES"/>
        </w:rPr>
        <w:t>de esta resolución, previa búsqueda exhaustiva y razonable</w:t>
      </w:r>
      <w:r w:rsidRPr="004008BC">
        <w:t xml:space="preserve"> </w:t>
      </w:r>
      <w:r w:rsidRPr="004008BC">
        <w:rPr>
          <w:rFonts w:ascii="Palatino Linotype" w:eastAsia="Palatino Linotype" w:hAnsi="Palatino Linotype" w:cs="Palatino Linotype"/>
          <w:lang w:val="es-ES" w:eastAsia="es-ES"/>
        </w:rPr>
        <w:t>haga entrega en versión pública vía SAIMEX</w:t>
      </w:r>
      <w:r w:rsidR="00AB2B3A" w:rsidRPr="004008BC">
        <w:rPr>
          <w:rFonts w:ascii="Palatino Linotype" w:eastAsia="Palatino Linotype" w:hAnsi="Palatino Linotype" w:cs="Palatino Linotype"/>
          <w:lang w:val="es-ES" w:eastAsia="es-ES"/>
        </w:rPr>
        <w:t xml:space="preserve"> de:</w:t>
      </w:r>
    </w:p>
    <w:p w:rsidR="00AB2B3A" w:rsidRPr="006C05F8" w:rsidRDefault="00AB2B3A" w:rsidP="001B730B">
      <w:pPr>
        <w:pStyle w:val="Prrafodelista"/>
        <w:numPr>
          <w:ilvl w:val="0"/>
          <w:numId w:val="15"/>
        </w:numPr>
        <w:spacing w:after="240"/>
        <w:ind w:right="567"/>
        <w:jc w:val="both"/>
        <w:rPr>
          <w:rFonts w:ascii="Palatino Linotype" w:eastAsia="Palatino Linotype" w:hAnsi="Palatino Linotype" w:cs="Palatino Linotype"/>
          <w:i/>
          <w:sz w:val="22"/>
          <w:szCs w:val="22"/>
          <w:lang w:val="es-ES" w:eastAsia="es-ES"/>
        </w:rPr>
      </w:pPr>
      <w:r w:rsidRPr="006C05F8">
        <w:rPr>
          <w:rFonts w:ascii="Palatino Linotype" w:eastAsia="Palatino Linotype" w:hAnsi="Palatino Linotype" w:cs="Palatino Linotype"/>
          <w:i/>
          <w:sz w:val="22"/>
          <w:szCs w:val="22"/>
          <w:lang w:val="es-ES" w:eastAsia="es-ES"/>
        </w:rPr>
        <w:t xml:space="preserve">Contrato o documento de los años 2014 a 2017, donde conste tipo de licitación o procedimiento que se </w:t>
      </w:r>
      <w:r w:rsidR="004008BC" w:rsidRPr="006C05F8">
        <w:rPr>
          <w:rFonts w:ascii="Palatino Linotype" w:eastAsia="Palatino Linotype" w:hAnsi="Palatino Linotype" w:cs="Palatino Linotype"/>
          <w:i/>
          <w:sz w:val="22"/>
          <w:szCs w:val="22"/>
          <w:lang w:val="es-ES" w:eastAsia="es-ES"/>
        </w:rPr>
        <w:t>llevó</w:t>
      </w:r>
      <w:r w:rsidRPr="006C05F8">
        <w:rPr>
          <w:rFonts w:ascii="Palatino Linotype" w:eastAsia="Palatino Linotype" w:hAnsi="Palatino Linotype" w:cs="Palatino Linotype"/>
          <w:i/>
          <w:sz w:val="22"/>
          <w:szCs w:val="22"/>
          <w:lang w:val="es-ES" w:eastAsia="es-ES"/>
        </w:rPr>
        <w:t xml:space="preserve"> a cabo para la contratación de las empresas: a) Interacción Biomédica S.A. de C.V. b) Grupo FEGAMA S.A. de C.V. c) KHELA Asociados S.A de C.V. d) Comercializadore El Chuac S.A de C.V. e) AFAME S.A de C.V. f) Gaudium Crecimiento S.A de C.V. g) Visión Creativa de imágenes e Ideas S.A de C.V.”</w:t>
      </w:r>
    </w:p>
    <w:p w:rsidR="00AB2B3A" w:rsidRPr="00AF65E7" w:rsidRDefault="00C455D6" w:rsidP="007A3827">
      <w:pPr>
        <w:pStyle w:val="Prrafodelista"/>
        <w:numPr>
          <w:ilvl w:val="0"/>
          <w:numId w:val="15"/>
        </w:numPr>
        <w:spacing w:after="240"/>
        <w:ind w:right="567"/>
        <w:jc w:val="both"/>
        <w:rPr>
          <w:rFonts w:ascii="Palatino Linotype" w:eastAsia="Palatino Linotype" w:hAnsi="Palatino Linotype" w:cs="Palatino Linotype"/>
          <w:i/>
          <w:sz w:val="22"/>
          <w:szCs w:val="22"/>
          <w:lang w:val="es-ES" w:eastAsia="es-ES"/>
        </w:rPr>
      </w:pPr>
      <w:r w:rsidRPr="006C05F8">
        <w:rPr>
          <w:rFonts w:ascii="Palatino Linotype" w:eastAsia="Palatino Linotype" w:hAnsi="Palatino Linotype" w:cs="Palatino Linotype"/>
          <w:i/>
          <w:sz w:val="22"/>
          <w:szCs w:val="22"/>
          <w:lang w:val="es-ES" w:eastAsia="es-ES"/>
        </w:rPr>
        <w:t xml:space="preserve">Documento </w:t>
      </w:r>
      <w:r w:rsidR="00AB2B3A" w:rsidRPr="006C05F8">
        <w:rPr>
          <w:rFonts w:ascii="Palatino Linotype" w:eastAsia="Palatino Linotype" w:hAnsi="Palatino Linotype" w:cs="Palatino Linotype"/>
          <w:i/>
          <w:sz w:val="22"/>
          <w:szCs w:val="22"/>
          <w:lang w:val="es-ES" w:eastAsia="es-ES"/>
        </w:rPr>
        <w:t xml:space="preserve">donde conste la Opinión de Cumplimiento de Obligaciones Fiscales para participar como proveedores de cualquier autoridad, ente público, entidad órgano, u organismo de los Poderes Legislativo, Ejecutivo, Judicial de la Federación, de las Entidades Federativas, de los Municipios, entre otros, </w:t>
      </w:r>
      <w:r w:rsidR="00AF65E7" w:rsidRPr="006C05F8">
        <w:rPr>
          <w:rFonts w:ascii="Palatino Linotype" w:eastAsia="Palatino Linotype" w:hAnsi="Palatino Linotype" w:cs="Palatino Linotype"/>
          <w:i/>
          <w:sz w:val="22"/>
          <w:szCs w:val="22"/>
          <w:lang w:val="es-ES" w:eastAsia="es-ES"/>
        </w:rPr>
        <w:t>expedida por el SAT de conformidad con el artículo 32-D del Código Fiscal de la Federación, de</w:t>
      </w:r>
      <w:r w:rsidR="00AB2B3A" w:rsidRPr="006C05F8">
        <w:rPr>
          <w:rFonts w:ascii="Palatino Linotype" w:eastAsia="Palatino Linotype" w:hAnsi="Palatino Linotype" w:cs="Palatino Linotype"/>
          <w:i/>
          <w:sz w:val="22"/>
          <w:szCs w:val="22"/>
          <w:lang w:val="es-ES" w:eastAsia="es-ES"/>
        </w:rPr>
        <w:t xml:space="preserve"> las siguientes empresas: a) Interacción Biomédica S.A. de C.V. b) Grupo FEGAMA S.A. de C.V. c) KHELA Asociados S.A de C.V. d) Comercializadore El Chuac S.A de C.V. e) AFAME S.A de C.V. f) Gaudium Crecimiento S.A de C.V. g) Visión Creativa de imágenes e Ideas S.A de C.V.</w:t>
      </w:r>
      <w:r w:rsidRPr="006C05F8">
        <w:rPr>
          <w:rFonts w:ascii="Palatino Linotype" w:eastAsia="Palatino Linotype" w:hAnsi="Palatino Linotype" w:cs="Palatino Linotype"/>
          <w:i/>
          <w:sz w:val="22"/>
          <w:szCs w:val="22"/>
          <w:lang w:val="es-ES" w:eastAsia="es-ES"/>
        </w:rPr>
        <w:t>, correspondiente al el periodo del 01 de enero de 2014 al 31 de diciembr</w:t>
      </w:r>
      <w:r w:rsidRPr="00AF65E7">
        <w:rPr>
          <w:rFonts w:ascii="Palatino Linotype" w:eastAsia="Palatino Linotype" w:hAnsi="Palatino Linotype" w:cs="Palatino Linotype"/>
          <w:i/>
          <w:sz w:val="22"/>
          <w:szCs w:val="22"/>
          <w:lang w:val="es-ES" w:eastAsia="es-ES"/>
        </w:rPr>
        <w:t>e de 2017</w:t>
      </w:r>
    </w:p>
    <w:p w:rsidR="00735A81" w:rsidRPr="004008BC" w:rsidRDefault="00735A81" w:rsidP="00735A81">
      <w:pPr>
        <w:pStyle w:val="Prrafodelista"/>
        <w:spacing w:after="240"/>
        <w:ind w:left="1571" w:right="567"/>
        <w:jc w:val="both"/>
        <w:rPr>
          <w:rFonts w:ascii="Palatino Linotype" w:eastAsia="Palatino Linotype" w:hAnsi="Palatino Linotype" w:cs="Palatino Linotype"/>
          <w:i/>
          <w:sz w:val="22"/>
          <w:szCs w:val="22"/>
          <w:lang w:val="es-ES" w:eastAsia="es-ES"/>
        </w:rPr>
      </w:pPr>
      <w:r>
        <w:rPr>
          <w:rFonts w:ascii="Palatino Linotype" w:hAnsi="Palatino Linotype"/>
          <w:i/>
          <w:iCs/>
          <w:color w:val="000000"/>
          <w:sz w:val="22"/>
          <w:szCs w:val="22"/>
          <w:shd w:val="clear" w:color="auto" w:fill="FFFFFF"/>
        </w:rPr>
        <w:lastRenderedPageBreak/>
        <w:t>Debiendo notificar al </w:t>
      </w:r>
      <w:r>
        <w:rPr>
          <w:rFonts w:ascii="Palatino Linotype" w:hAnsi="Palatino Linotype"/>
          <w:b/>
          <w:bCs/>
          <w:i/>
          <w:iCs/>
          <w:color w:val="000000"/>
          <w:sz w:val="22"/>
          <w:szCs w:val="22"/>
          <w:shd w:val="clear" w:color="auto" w:fill="FFFFFF"/>
        </w:rPr>
        <w:t>RECURRENTE</w:t>
      </w:r>
      <w:r>
        <w:rPr>
          <w:rFonts w:ascii="Palatino Linotype" w:hAnsi="Palatino Linotype"/>
          <w:i/>
          <w:iCs/>
          <w:color w:val="000000"/>
          <w:sz w:val="22"/>
          <w:szCs w:val="22"/>
          <w:shd w:val="clear" w:color="auto" w:fill="FFFFFF"/>
        </w:rPr>
        <w:t> el Acuerdo de Clasificación de la información que emita el Comité de Transparencia con motivo de la versión pública.”</w:t>
      </w:r>
    </w:p>
    <w:p w:rsidR="00A9665C" w:rsidRPr="004008BC" w:rsidRDefault="00A9665C" w:rsidP="00A9665C">
      <w:pPr>
        <w:spacing w:line="360" w:lineRule="auto"/>
        <w:jc w:val="both"/>
        <w:rPr>
          <w:rFonts w:ascii="Palatino Linotype" w:eastAsia="Palatino Linotype" w:hAnsi="Palatino Linotype" w:cs="Palatino Linotype"/>
          <w:lang w:val="es-ES" w:eastAsia="es-ES"/>
        </w:rPr>
      </w:pPr>
    </w:p>
    <w:p w:rsidR="00AB2B3A" w:rsidRPr="004008BC" w:rsidRDefault="00AB2B3A" w:rsidP="00AB2B3A">
      <w:pPr>
        <w:spacing w:line="360" w:lineRule="auto"/>
        <w:jc w:val="both"/>
        <w:rPr>
          <w:rFonts w:ascii="Palatino Linotype" w:hAnsi="Palatino Linotype"/>
          <w:lang w:eastAsia="es-ES_tradnl"/>
        </w:rPr>
      </w:pPr>
      <w:r w:rsidRPr="004008BC">
        <w:rPr>
          <w:rFonts w:ascii="Palatino Linotype" w:eastAsia="Palatino Linotype" w:hAnsi="Palatino Linotype" w:cs="Palatino Linotype"/>
          <w:b/>
          <w:bCs/>
        </w:rPr>
        <w:t>TERCERO. </w:t>
      </w:r>
      <w:r w:rsidRPr="004008BC">
        <w:rPr>
          <w:rFonts w:ascii="Palatino Linotype" w:hAnsi="Palatino Linotype"/>
          <w:b/>
          <w:lang w:eastAsia="es-ES_tradnl"/>
        </w:rPr>
        <w:t xml:space="preserve">NOTIFÍQUESE </w:t>
      </w:r>
      <w:r w:rsidRPr="004008BC">
        <w:rPr>
          <w:rFonts w:ascii="Palatino Linotype" w:hAnsi="Palatino Linotype"/>
          <w:lang w:eastAsia="es-ES_tradnl"/>
        </w:rPr>
        <w:t xml:space="preserve">la presente resolución al Titular de la Unidad de Transparencia del </w:t>
      </w:r>
      <w:r w:rsidR="005640D2" w:rsidRPr="004008BC">
        <w:rPr>
          <w:rFonts w:ascii="Palatino Linotype" w:hAnsi="Palatino Linotype"/>
          <w:b/>
          <w:lang w:eastAsia="es-ES_tradnl"/>
        </w:rPr>
        <w:t>SUJETO OBLIGADO</w:t>
      </w:r>
      <w:r w:rsidRPr="004008BC">
        <w:rPr>
          <w:rFonts w:ascii="Palatino Linotype" w:hAnsi="Palatino Linotype"/>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B2B3A" w:rsidRPr="004008BC" w:rsidRDefault="00AB2B3A" w:rsidP="00AB2B3A">
      <w:pPr>
        <w:spacing w:line="360" w:lineRule="auto"/>
        <w:jc w:val="both"/>
        <w:rPr>
          <w:rFonts w:ascii="Palatino Linotype" w:hAnsi="Palatino Linotype"/>
          <w:lang w:eastAsia="es-ES_tradnl"/>
        </w:rPr>
      </w:pPr>
    </w:p>
    <w:p w:rsidR="00AB2B3A" w:rsidRPr="004008BC" w:rsidRDefault="00AB2B3A" w:rsidP="00AB2B3A">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b/>
        </w:rPr>
        <w:t xml:space="preserve">CUARTO. </w:t>
      </w:r>
      <w:r w:rsidRPr="004008B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5640D2" w:rsidRPr="004008BC">
        <w:rPr>
          <w:rFonts w:ascii="Palatino Linotype" w:eastAsia="Palatino Linotype" w:hAnsi="Palatino Linotype" w:cs="Palatino Linotype"/>
          <w:b/>
        </w:rPr>
        <w:t>SUJETO OBLIGADO</w:t>
      </w:r>
      <w:r w:rsidR="005640D2"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rPr>
        <w:t>de manera fundada y motivada, podrá solicitar una ampliación de plazo para el cumplimiento de la presente resolución.</w:t>
      </w:r>
    </w:p>
    <w:p w:rsidR="00AB2B3A" w:rsidRPr="004008BC" w:rsidRDefault="00AB2B3A" w:rsidP="00AB2B3A">
      <w:pPr>
        <w:spacing w:line="360" w:lineRule="auto"/>
        <w:jc w:val="both"/>
        <w:rPr>
          <w:rFonts w:ascii="Palatino Linotype" w:eastAsia="Palatino Linotype" w:hAnsi="Palatino Linotype" w:cs="Palatino Linotype"/>
          <w:b/>
        </w:rPr>
      </w:pPr>
    </w:p>
    <w:p w:rsidR="00AB2B3A" w:rsidRPr="004008BC" w:rsidRDefault="00AB2B3A" w:rsidP="00AB2B3A">
      <w:pPr>
        <w:spacing w:line="360" w:lineRule="auto"/>
        <w:jc w:val="both"/>
        <w:rPr>
          <w:rFonts w:ascii="Palatino Linotype" w:eastAsia="Palatino Linotype" w:hAnsi="Palatino Linotype" w:cs="Palatino Linotype"/>
        </w:rPr>
      </w:pPr>
      <w:r w:rsidRPr="004008BC">
        <w:rPr>
          <w:rFonts w:ascii="Palatino Linotype" w:eastAsia="Palatino Linotype" w:hAnsi="Palatino Linotype" w:cs="Palatino Linotype"/>
          <w:b/>
        </w:rPr>
        <w:t>QUINTO.</w:t>
      </w:r>
      <w:r w:rsidRPr="004008BC">
        <w:rPr>
          <w:rFonts w:ascii="Palatino Linotype" w:eastAsia="Palatino Linotype" w:hAnsi="Palatino Linotype" w:cs="Palatino Linotype"/>
        </w:rPr>
        <w:t xml:space="preserve"> </w:t>
      </w:r>
      <w:r w:rsidRPr="004008BC">
        <w:rPr>
          <w:rFonts w:ascii="Palatino Linotype" w:eastAsia="Palatino Linotype" w:hAnsi="Palatino Linotype" w:cs="Palatino Linotype"/>
          <w:b/>
        </w:rPr>
        <w:t>NOTIFÍQUESE</w:t>
      </w:r>
      <w:r w:rsidRPr="004008BC">
        <w:rPr>
          <w:rFonts w:ascii="Palatino Linotype" w:eastAsia="Palatino Linotype" w:hAnsi="Palatino Linotype" w:cs="Palatino Linotype"/>
        </w:rPr>
        <w:t xml:space="preserve"> al </w:t>
      </w:r>
      <w:r w:rsidR="005640D2" w:rsidRPr="004008BC">
        <w:rPr>
          <w:rFonts w:ascii="Palatino Linotype" w:eastAsia="Palatino Linotype" w:hAnsi="Palatino Linotype" w:cs="Palatino Linotype"/>
          <w:b/>
        </w:rPr>
        <w:t>RECURRENTE</w:t>
      </w:r>
      <w:r w:rsidRPr="004008BC">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w:t>
      </w:r>
      <w:r w:rsidRPr="004008BC">
        <w:rPr>
          <w:rFonts w:ascii="Palatino Linotype" w:eastAsia="Palatino Linotype" w:hAnsi="Palatino Linotype" w:cs="Palatino Linotype"/>
        </w:rPr>
        <w:lastRenderedPageBreak/>
        <w:t>Transparencia y Acceso a la Información Pública del Estado de México y Municipios, podrá promover el Juicio de Amparo en los términos de las leyes aplicables.</w:t>
      </w:r>
    </w:p>
    <w:p w:rsidR="00AB2B3A" w:rsidRPr="004008BC" w:rsidRDefault="00AB2B3A" w:rsidP="00AB2B3A">
      <w:pPr>
        <w:spacing w:line="360" w:lineRule="auto"/>
        <w:jc w:val="both"/>
        <w:rPr>
          <w:rFonts w:ascii="Palatino Linotype" w:eastAsia="Palatino Linotype" w:hAnsi="Palatino Linotype" w:cs="Palatino Linotype"/>
          <w:b/>
          <w:sz w:val="28"/>
          <w:szCs w:val="28"/>
        </w:rPr>
      </w:pPr>
    </w:p>
    <w:p w:rsidR="00AB2B3A" w:rsidRDefault="00AB2B3A" w:rsidP="00AB2B3A">
      <w:pPr>
        <w:widowControl w:val="0"/>
        <w:spacing w:line="360" w:lineRule="auto"/>
        <w:jc w:val="both"/>
        <w:rPr>
          <w:rFonts w:ascii="Palatino Linotype" w:eastAsia="Palatino Linotype" w:hAnsi="Palatino Linotype" w:cs="Palatino Linotype"/>
          <w:color w:val="000000"/>
        </w:rPr>
      </w:pPr>
      <w:r w:rsidRPr="004008BC">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Pr="004008BC">
        <w:rPr>
          <w:rFonts w:ascii="Palatino Linotype" w:eastAsia="Palatino Linotype" w:hAnsi="Palatino Linotype" w:cs="Palatino Linotype"/>
        </w:rPr>
        <w:t xml:space="preserve"> DÉCIMA </w:t>
      </w:r>
      <w:r w:rsidR="000C62F1" w:rsidRPr="004008BC">
        <w:rPr>
          <w:rFonts w:ascii="Palatino Linotype" w:eastAsia="Palatino Linotype" w:hAnsi="Palatino Linotype" w:cs="Palatino Linotype"/>
        </w:rPr>
        <w:t xml:space="preserve">SÉPTIMA </w:t>
      </w:r>
      <w:r w:rsidRPr="004008BC">
        <w:rPr>
          <w:rFonts w:ascii="Palatino Linotype" w:eastAsia="Palatino Linotype" w:hAnsi="Palatino Linotype" w:cs="Palatino Linotype"/>
          <w:color w:val="000000"/>
        </w:rPr>
        <w:t>SESIÓN ORDINARIA CELEBRADA E</w:t>
      </w:r>
      <w:r w:rsidRPr="004008BC">
        <w:rPr>
          <w:rFonts w:ascii="Palatino Linotype" w:eastAsia="Palatino Linotype" w:hAnsi="Palatino Linotype" w:cs="Palatino Linotype"/>
        </w:rPr>
        <w:t xml:space="preserve">L DIEZ DE MAYO DE DOS MIL VEINTITRÉS </w:t>
      </w:r>
      <w:r w:rsidRPr="004008BC">
        <w:rPr>
          <w:rFonts w:ascii="Palatino Linotype" w:eastAsia="Palatino Linotype" w:hAnsi="Palatino Linotype" w:cs="Palatino Linotype"/>
          <w:color w:val="000000"/>
        </w:rPr>
        <w:t xml:space="preserve">ANTE EL SECRETARIO TÉCNICO DEL PLENO, ALEXIS TAPIA RAMÍREZ. </w:t>
      </w:r>
    </w:p>
    <w:p w:rsidR="004008BC" w:rsidRPr="004008BC" w:rsidRDefault="004008BC" w:rsidP="00AB2B3A">
      <w:pPr>
        <w:widowControl w:val="0"/>
        <w:spacing w:line="360" w:lineRule="auto"/>
        <w:jc w:val="both"/>
        <w:rPr>
          <w:rFonts w:ascii="Palatino Linotype" w:eastAsia="Palatino Linotype" w:hAnsi="Palatino Linotype" w:cs="Palatino Linotype"/>
          <w:color w:val="000000"/>
        </w:rPr>
      </w:pPr>
    </w:p>
    <w:p w:rsidR="00AB2B3A" w:rsidRDefault="00AB2B3A" w:rsidP="00AB2B3A">
      <w:pPr>
        <w:spacing w:line="360" w:lineRule="auto"/>
        <w:jc w:val="both"/>
        <w:rPr>
          <w:rFonts w:ascii="Palatino Linotype" w:eastAsia="Palatino Linotype" w:hAnsi="Palatino Linotype" w:cs="Palatino Linotype"/>
          <w:sz w:val="20"/>
          <w:szCs w:val="20"/>
        </w:rPr>
      </w:pPr>
      <w:r w:rsidRPr="004008BC">
        <w:rPr>
          <w:rFonts w:ascii="Palatino Linotype" w:eastAsia="Palatino Linotype" w:hAnsi="Palatino Linotype" w:cs="Palatino Linotype"/>
          <w:sz w:val="20"/>
          <w:szCs w:val="20"/>
        </w:rPr>
        <w:t>SCMM/BLA/DEMF/ESS</w:t>
      </w:r>
    </w:p>
    <w:p w:rsidR="00924D01" w:rsidRDefault="00924D01">
      <w:pPr>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p w:rsidR="00924D01" w:rsidRDefault="00924D01">
      <w:pPr>
        <w:spacing w:line="360" w:lineRule="auto"/>
        <w:jc w:val="both"/>
        <w:rPr>
          <w:rFonts w:ascii="Palatino Linotype" w:eastAsia="Palatino Linotype" w:hAnsi="Palatino Linotype" w:cs="Palatino Linotype"/>
        </w:rPr>
      </w:pPr>
    </w:p>
    <w:sectPr w:rsidR="00924D0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CB8" w:rsidRDefault="003D2CB8">
      <w:r>
        <w:separator/>
      </w:r>
    </w:p>
  </w:endnote>
  <w:endnote w:type="continuationSeparator" w:id="0">
    <w:p w:rsidR="003D2CB8" w:rsidRDefault="003D2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ED" w:rsidRDefault="00F47C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31A20">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31A20">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ED" w:rsidRDefault="00F47CE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31A2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31A20">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CB8" w:rsidRDefault="003D2CB8">
      <w:r>
        <w:separator/>
      </w:r>
    </w:p>
  </w:footnote>
  <w:footnote w:type="continuationSeparator" w:id="0">
    <w:p w:rsidR="003D2CB8" w:rsidRDefault="003D2CB8">
      <w:r>
        <w:continuationSeparator/>
      </w:r>
    </w:p>
  </w:footnote>
  <w:footnote w:id="1">
    <w:p w:rsidR="00F47CED" w:rsidRDefault="00F47CED">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ED" w:rsidRDefault="00031A2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ED" w:rsidRDefault="00031A2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1" croptop="-8531f" cropbottom="8531f" cropleft="19205f" cropright="-19205f"/>
          <w10:wrap anchorx="margin" anchory="margin"/>
        </v:shape>
      </w:pict>
    </w:r>
  </w:p>
  <w:tbl>
    <w:tblPr>
      <w:tblStyle w:val="affffffff6"/>
      <w:tblW w:w="9534" w:type="dxa"/>
      <w:tblInd w:w="-142" w:type="dxa"/>
      <w:tblLayout w:type="fixed"/>
      <w:tblLook w:val="0400" w:firstRow="0" w:lastRow="0" w:firstColumn="0" w:lastColumn="0" w:noHBand="0" w:noVBand="1"/>
    </w:tblPr>
    <w:tblGrid>
      <w:gridCol w:w="3261"/>
      <w:gridCol w:w="2551"/>
      <w:gridCol w:w="3722"/>
    </w:tblGrid>
    <w:tr w:rsidR="00F47CED">
      <w:tc>
        <w:tcPr>
          <w:tcW w:w="3261" w:type="dxa"/>
          <w:vMerge w:val="restart"/>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F47CED" w:rsidRDefault="00F47CED">
          <w:pPr>
            <w:jc w:val="both"/>
            <w:rPr>
              <w:rFonts w:ascii="Palatino Linotype" w:eastAsia="Palatino Linotype" w:hAnsi="Palatino Linotype" w:cs="Palatino Linotype"/>
              <w:b/>
            </w:rPr>
          </w:pPr>
          <w:r>
            <w:rPr>
              <w:rFonts w:ascii="Palatino Linotype" w:eastAsia="Palatino Linotype" w:hAnsi="Palatino Linotype" w:cs="Palatino Linotype"/>
              <w:b/>
            </w:rPr>
            <w:t>15077/INFOEM/IP/RR/2022 y acumulado</w:t>
          </w:r>
        </w:p>
      </w:tc>
    </w:tr>
    <w:tr w:rsidR="00F47CED">
      <w:tc>
        <w:tcPr>
          <w:tcW w:w="3261" w:type="dxa"/>
          <w:vMerge/>
        </w:tcPr>
        <w:p w:rsidR="00F47CED" w:rsidRDefault="00F47CE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F47CED" w:rsidRDefault="00F47CED">
          <w:pPr>
            <w:jc w:val="both"/>
            <w:rPr>
              <w:rFonts w:ascii="Palatino Linotype" w:eastAsia="Palatino Linotype" w:hAnsi="Palatino Linotype" w:cs="Palatino Linotype"/>
              <w:b/>
            </w:rPr>
          </w:pPr>
          <w:r>
            <w:rPr>
              <w:rFonts w:ascii="Palatino Linotype" w:eastAsia="Palatino Linotype" w:hAnsi="Palatino Linotype" w:cs="Palatino Linotype"/>
              <w:b/>
            </w:rPr>
            <w:t>Secretaría de Finanzas</w:t>
          </w:r>
        </w:p>
      </w:tc>
    </w:tr>
    <w:tr w:rsidR="00F47CED">
      <w:trPr>
        <w:trHeight w:val="228"/>
      </w:trPr>
      <w:tc>
        <w:tcPr>
          <w:tcW w:w="3261" w:type="dxa"/>
          <w:vMerge/>
        </w:tcPr>
        <w:p w:rsidR="00F47CED" w:rsidRDefault="00F47CE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F47CED" w:rsidRDefault="00F47CED">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F47CED" w:rsidRDefault="00F47CE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ED" w:rsidRDefault="00031A2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fff5"/>
      <w:tblW w:w="9900" w:type="dxa"/>
      <w:tblInd w:w="-833" w:type="dxa"/>
      <w:tblLayout w:type="fixed"/>
      <w:tblLook w:val="0400" w:firstRow="0" w:lastRow="0" w:firstColumn="0" w:lastColumn="0" w:noHBand="0" w:noVBand="1"/>
    </w:tblPr>
    <w:tblGrid>
      <w:gridCol w:w="3805"/>
      <w:gridCol w:w="3000"/>
      <w:gridCol w:w="3095"/>
    </w:tblGrid>
    <w:tr w:rsidR="00F47CED">
      <w:tc>
        <w:tcPr>
          <w:tcW w:w="3805" w:type="dxa"/>
          <w:vMerge w:val="restart"/>
          <w:shd w:val="clear" w:color="auto" w:fill="auto"/>
        </w:tcPr>
        <w:p w:rsidR="00F47CED" w:rsidRDefault="00F47CED">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F47CED" w:rsidRDefault="00F47CED">
          <w:pPr>
            <w:jc w:val="both"/>
            <w:rPr>
              <w:rFonts w:ascii="Palatino Linotype" w:eastAsia="Palatino Linotype" w:hAnsi="Palatino Linotype" w:cs="Palatino Linotype"/>
              <w:b/>
            </w:rPr>
          </w:pPr>
          <w:r>
            <w:rPr>
              <w:rFonts w:ascii="Palatino Linotype" w:eastAsia="Palatino Linotype" w:hAnsi="Palatino Linotype" w:cs="Palatino Linotype"/>
              <w:b/>
            </w:rPr>
            <w:t>15077/INFOEM/IP/RR/2022 y acumulado</w:t>
          </w:r>
        </w:p>
      </w:tc>
    </w:tr>
    <w:tr w:rsidR="00F47CED">
      <w:tc>
        <w:tcPr>
          <w:tcW w:w="3805" w:type="dxa"/>
          <w:vMerge/>
          <w:shd w:val="clear" w:color="auto" w:fill="auto"/>
        </w:tcPr>
        <w:p w:rsidR="00F47CED" w:rsidRDefault="00F47CE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F47CED" w:rsidRDefault="00F47CED">
          <w:pPr>
            <w:jc w:val="both"/>
            <w:rPr>
              <w:rFonts w:ascii="Palatino Linotype" w:eastAsia="Palatino Linotype" w:hAnsi="Palatino Linotype" w:cs="Palatino Linotype"/>
              <w:b/>
            </w:rPr>
          </w:pPr>
        </w:p>
      </w:tc>
    </w:tr>
    <w:tr w:rsidR="00F47CED">
      <w:trPr>
        <w:trHeight w:val="228"/>
      </w:trPr>
      <w:tc>
        <w:tcPr>
          <w:tcW w:w="3805" w:type="dxa"/>
          <w:vMerge/>
          <w:shd w:val="clear" w:color="auto" w:fill="auto"/>
        </w:tcPr>
        <w:p w:rsidR="00F47CED" w:rsidRDefault="00F47CE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F47CED" w:rsidRDefault="00F47CED">
          <w:pPr>
            <w:jc w:val="both"/>
            <w:rPr>
              <w:rFonts w:ascii="Palatino Linotype" w:eastAsia="Palatino Linotype" w:hAnsi="Palatino Linotype" w:cs="Palatino Linotype"/>
              <w:b/>
            </w:rPr>
          </w:pPr>
          <w:r>
            <w:rPr>
              <w:rFonts w:ascii="Palatino Linotype" w:eastAsia="Palatino Linotype" w:hAnsi="Palatino Linotype" w:cs="Palatino Linotype"/>
              <w:b/>
            </w:rPr>
            <w:t>Secretaría de Finanzas</w:t>
          </w:r>
        </w:p>
      </w:tc>
    </w:tr>
    <w:tr w:rsidR="00F47CED">
      <w:tc>
        <w:tcPr>
          <w:tcW w:w="3805" w:type="dxa"/>
          <w:vMerge/>
          <w:shd w:val="clear" w:color="auto" w:fill="auto"/>
        </w:tcPr>
        <w:p w:rsidR="00F47CED" w:rsidRDefault="00F47CE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F47CED" w:rsidRDefault="00F47CE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F47CED" w:rsidRDefault="00F47C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F47CED" w:rsidRDefault="00F47CE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0345"/>
    <w:multiLevelType w:val="hybridMultilevel"/>
    <w:tmpl w:val="3388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A940114"/>
    <w:multiLevelType w:val="hybridMultilevel"/>
    <w:tmpl w:val="934E990A"/>
    <w:lvl w:ilvl="0" w:tplc="B966F0E2">
      <w:start w:val="1"/>
      <w:numFmt w:val="upperLetter"/>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D116CC7"/>
    <w:multiLevelType w:val="hybridMultilevel"/>
    <w:tmpl w:val="B406D676"/>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43B54774"/>
    <w:multiLevelType w:val="hybridMultilevel"/>
    <w:tmpl w:val="E7A0A7A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459F2897"/>
    <w:multiLevelType w:val="multilevel"/>
    <w:tmpl w:val="C3A411F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8AD4E8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4BEE385D"/>
    <w:multiLevelType w:val="hybridMultilevel"/>
    <w:tmpl w:val="EEFAA088"/>
    <w:lvl w:ilvl="0" w:tplc="721E65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4CA05B43"/>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2943C3B"/>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32A4181"/>
    <w:multiLevelType w:val="hybridMultilevel"/>
    <w:tmpl w:val="FDB6DC88"/>
    <w:lvl w:ilvl="0" w:tplc="AA5E89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527759E"/>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C4765E0"/>
    <w:multiLevelType w:val="multilevel"/>
    <w:tmpl w:val="2F3A0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nsid w:val="5F9226B3"/>
    <w:multiLevelType w:val="multilevel"/>
    <w:tmpl w:val="AF644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14">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13"/>
  </w:num>
  <w:num w:numId="4">
    <w:abstractNumId w:val="12"/>
  </w:num>
  <w:num w:numId="5">
    <w:abstractNumId w:val="1"/>
  </w:num>
  <w:num w:numId="6">
    <w:abstractNumId w:val="8"/>
  </w:num>
  <w:num w:numId="7">
    <w:abstractNumId w:val="7"/>
  </w:num>
  <w:num w:numId="8">
    <w:abstractNumId w:val="9"/>
  </w:num>
  <w:num w:numId="9">
    <w:abstractNumId w:val="6"/>
  </w:num>
  <w:num w:numId="10">
    <w:abstractNumId w:val="0"/>
  </w:num>
  <w:num w:numId="11">
    <w:abstractNumId w:val="4"/>
  </w:num>
  <w:num w:numId="12">
    <w:abstractNumId w:val="14"/>
  </w:num>
  <w:num w:numId="13">
    <w:abstractNumId w:val="11"/>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D01"/>
    <w:rsid w:val="00005085"/>
    <w:rsid w:val="00031A20"/>
    <w:rsid w:val="00067CB4"/>
    <w:rsid w:val="00081188"/>
    <w:rsid w:val="00091526"/>
    <w:rsid w:val="000B4A1A"/>
    <w:rsid w:val="000C62F1"/>
    <w:rsid w:val="00120A25"/>
    <w:rsid w:val="00136365"/>
    <w:rsid w:val="0015251D"/>
    <w:rsid w:val="00186DA1"/>
    <w:rsid w:val="001B1A40"/>
    <w:rsid w:val="001B1DB2"/>
    <w:rsid w:val="001B730B"/>
    <w:rsid w:val="00215F2D"/>
    <w:rsid w:val="00295ED9"/>
    <w:rsid w:val="002C10C5"/>
    <w:rsid w:val="003164BF"/>
    <w:rsid w:val="00354F41"/>
    <w:rsid w:val="003A55E8"/>
    <w:rsid w:val="003B0C73"/>
    <w:rsid w:val="003D2CB8"/>
    <w:rsid w:val="003E3F5D"/>
    <w:rsid w:val="004008BC"/>
    <w:rsid w:val="00440166"/>
    <w:rsid w:val="004C426A"/>
    <w:rsid w:val="005640D2"/>
    <w:rsid w:val="00580967"/>
    <w:rsid w:val="00580C1D"/>
    <w:rsid w:val="005875A5"/>
    <w:rsid w:val="00590F54"/>
    <w:rsid w:val="005A1898"/>
    <w:rsid w:val="005A35C8"/>
    <w:rsid w:val="005F0941"/>
    <w:rsid w:val="005F3021"/>
    <w:rsid w:val="00617CEA"/>
    <w:rsid w:val="006B338E"/>
    <w:rsid w:val="006C05F8"/>
    <w:rsid w:val="00735A81"/>
    <w:rsid w:val="00747435"/>
    <w:rsid w:val="00775A98"/>
    <w:rsid w:val="007C40E2"/>
    <w:rsid w:val="00825292"/>
    <w:rsid w:val="0082722A"/>
    <w:rsid w:val="008B52E4"/>
    <w:rsid w:val="008C33BF"/>
    <w:rsid w:val="00920C50"/>
    <w:rsid w:val="00922F34"/>
    <w:rsid w:val="0092335C"/>
    <w:rsid w:val="00924D01"/>
    <w:rsid w:val="00952CCD"/>
    <w:rsid w:val="009A584F"/>
    <w:rsid w:val="009F1E0C"/>
    <w:rsid w:val="00A1353F"/>
    <w:rsid w:val="00A2481A"/>
    <w:rsid w:val="00A53DCD"/>
    <w:rsid w:val="00A56DC7"/>
    <w:rsid w:val="00A62C80"/>
    <w:rsid w:val="00A9665C"/>
    <w:rsid w:val="00AB2B3A"/>
    <w:rsid w:val="00AD4F4F"/>
    <w:rsid w:val="00AF65E7"/>
    <w:rsid w:val="00B1103B"/>
    <w:rsid w:val="00B5401D"/>
    <w:rsid w:val="00B56420"/>
    <w:rsid w:val="00B86722"/>
    <w:rsid w:val="00BE7ED3"/>
    <w:rsid w:val="00BF21B6"/>
    <w:rsid w:val="00C14971"/>
    <w:rsid w:val="00C22464"/>
    <w:rsid w:val="00C342EE"/>
    <w:rsid w:val="00C36937"/>
    <w:rsid w:val="00C455D6"/>
    <w:rsid w:val="00C476C3"/>
    <w:rsid w:val="00C52609"/>
    <w:rsid w:val="00C5670E"/>
    <w:rsid w:val="00C70DA4"/>
    <w:rsid w:val="00C904F3"/>
    <w:rsid w:val="00C9304B"/>
    <w:rsid w:val="00CB0DF1"/>
    <w:rsid w:val="00CE07D5"/>
    <w:rsid w:val="00CF2B4C"/>
    <w:rsid w:val="00D230AD"/>
    <w:rsid w:val="00D93EAD"/>
    <w:rsid w:val="00DA6161"/>
    <w:rsid w:val="00DA6A83"/>
    <w:rsid w:val="00DB38D9"/>
    <w:rsid w:val="00DD5D99"/>
    <w:rsid w:val="00E101D8"/>
    <w:rsid w:val="00E12786"/>
    <w:rsid w:val="00E32B19"/>
    <w:rsid w:val="00E41F8F"/>
    <w:rsid w:val="00E53F7D"/>
    <w:rsid w:val="00F131E0"/>
    <w:rsid w:val="00F2056B"/>
    <w:rsid w:val="00F27870"/>
    <w:rsid w:val="00F35080"/>
    <w:rsid w:val="00F47CED"/>
    <w:rsid w:val="00F754E9"/>
    <w:rsid w:val="00FA453B"/>
    <w:rsid w:val="00FE0764"/>
    <w:rsid w:val="00FF64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BA8E94B-291F-43F6-966A-58C48D967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CB4"/>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9"/>
    <w:tblPr>
      <w:tblStyleRowBandSize w:val="1"/>
      <w:tblStyleColBandSize w:val="1"/>
      <w:tblCellMar>
        <w:top w:w="100" w:type="dxa"/>
        <w:left w:w="100" w:type="dxa"/>
        <w:bottom w:w="100" w:type="dxa"/>
        <w:right w:w="100" w:type="dxa"/>
      </w:tblCellMar>
    </w:tblPr>
  </w:style>
  <w:style w:type="table" w:customStyle="1" w:styleId="a0">
    <w:basedOn w:val="TableNormalf9"/>
    <w:tblPr>
      <w:tblStyleRowBandSize w:val="1"/>
      <w:tblStyleColBandSize w:val="1"/>
      <w:tblCellMar>
        <w:top w:w="0" w:type="dxa"/>
        <w:left w:w="115" w:type="dxa"/>
        <w:bottom w:w="0" w:type="dxa"/>
        <w:right w:w="115" w:type="dxa"/>
      </w:tblCellMar>
    </w:tblPr>
  </w:style>
  <w:style w:type="table" w:customStyle="1" w:styleId="a1">
    <w:basedOn w:val="TableNormalf9"/>
    <w:tblPr>
      <w:tblStyleRowBandSize w:val="1"/>
      <w:tblStyleColBandSize w:val="1"/>
      <w:tblCellMar>
        <w:top w:w="0" w:type="dxa"/>
        <w:left w:w="115" w:type="dxa"/>
        <w:bottom w:w="0" w:type="dxa"/>
        <w:right w:w="115" w:type="dxa"/>
      </w:tblCellMar>
    </w:tblPr>
  </w:style>
  <w:style w:type="table" w:customStyle="1" w:styleId="a2">
    <w:basedOn w:val="TableNormalf9"/>
    <w:tblPr>
      <w:tblStyleRowBandSize w:val="1"/>
      <w:tblStyleColBandSize w:val="1"/>
      <w:tblCellMar>
        <w:top w:w="0" w:type="dxa"/>
        <w:left w:w="115" w:type="dxa"/>
        <w:bottom w:w="0" w:type="dxa"/>
        <w:right w:w="115" w:type="dxa"/>
      </w:tblCellMar>
    </w:tblPr>
  </w:style>
  <w:style w:type="table" w:customStyle="1" w:styleId="a3">
    <w:basedOn w:val="TableNormalf9"/>
    <w:tblPr>
      <w:tblStyleRowBandSize w:val="1"/>
      <w:tblStyleColBandSize w:val="1"/>
      <w:tblCellMar>
        <w:top w:w="0" w:type="dxa"/>
        <w:left w:w="115" w:type="dxa"/>
        <w:bottom w:w="0" w:type="dxa"/>
        <w:right w:w="115" w:type="dxa"/>
      </w:tblCellMar>
    </w:tblPr>
  </w:style>
  <w:style w:type="table" w:customStyle="1" w:styleId="a4">
    <w:basedOn w:val="TableNormalf9"/>
    <w:tblPr>
      <w:tblStyleRowBandSize w:val="1"/>
      <w:tblStyleColBandSize w:val="1"/>
      <w:tblCellMar>
        <w:top w:w="0" w:type="dxa"/>
        <w:left w:w="115" w:type="dxa"/>
        <w:bottom w:w="0" w:type="dxa"/>
        <w:right w:w="115" w:type="dxa"/>
      </w:tblCellMar>
    </w:tblPr>
  </w:style>
  <w:style w:type="table" w:customStyle="1" w:styleId="a5">
    <w:basedOn w:val="TableNormalf9"/>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f9"/>
    <w:tblPr>
      <w:tblStyleRowBandSize w:val="1"/>
      <w:tblStyleColBandSize w:val="1"/>
      <w:tblCellMar>
        <w:top w:w="0" w:type="dxa"/>
        <w:left w:w="115" w:type="dxa"/>
        <w:bottom w:w="0" w:type="dxa"/>
        <w:right w:w="115" w:type="dxa"/>
      </w:tblCellMar>
    </w:tblPr>
  </w:style>
  <w:style w:type="table" w:customStyle="1" w:styleId="a7">
    <w:basedOn w:val="TableNormalf9"/>
    <w:tblPr>
      <w:tblStyleRowBandSize w:val="1"/>
      <w:tblStyleColBandSize w:val="1"/>
      <w:tblCellMar>
        <w:top w:w="0" w:type="dxa"/>
        <w:left w:w="115" w:type="dxa"/>
        <w:bottom w:w="0" w:type="dxa"/>
        <w:right w:w="115" w:type="dxa"/>
      </w:tblCellMar>
    </w:tblPr>
  </w:style>
  <w:style w:type="table" w:customStyle="1" w:styleId="a8">
    <w:basedOn w:val="TableNormalf9"/>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f9"/>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f6"/>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6"/>
    <w:tblPr>
      <w:tblStyleRowBandSize w:val="1"/>
      <w:tblStyleColBandSize w:val="1"/>
      <w:tblCellMar>
        <w:top w:w="100" w:type="dxa"/>
        <w:left w:w="100" w:type="dxa"/>
        <w:bottom w:w="100" w:type="dxa"/>
        <w:right w:w="100" w:type="dxa"/>
      </w:tblCellMar>
    </w:tblPr>
  </w:style>
  <w:style w:type="table" w:customStyle="1" w:styleId="af4">
    <w:basedOn w:val="TableNormalf6"/>
    <w:tblPr>
      <w:tblStyleRowBandSize w:val="1"/>
      <w:tblStyleColBandSize w:val="1"/>
      <w:tblCellMar>
        <w:top w:w="100" w:type="dxa"/>
        <w:left w:w="100" w:type="dxa"/>
        <w:bottom w:w="100" w:type="dxa"/>
        <w:right w:w="100" w:type="dxa"/>
      </w:tblCellMar>
    </w:tblPr>
  </w:style>
  <w:style w:type="table" w:customStyle="1" w:styleId="af5">
    <w:basedOn w:val="TableNormalf6"/>
    <w:tblPr>
      <w:tblStyleRowBandSize w:val="1"/>
      <w:tblStyleColBandSize w:val="1"/>
      <w:tblCellMar>
        <w:top w:w="100" w:type="dxa"/>
        <w:left w:w="100" w:type="dxa"/>
        <w:bottom w:w="100" w:type="dxa"/>
        <w:right w:w="100" w:type="dxa"/>
      </w:tblCellMar>
    </w:tblPr>
  </w:style>
  <w:style w:type="table" w:customStyle="1" w:styleId="af6">
    <w:basedOn w:val="TableNormalf6"/>
    <w:tblPr>
      <w:tblStyleRowBandSize w:val="1"/>
      <w:tblStyleColBandSize w:val="1"/>
      <w:tblCellMar>
        <w:top w:w="100" w:type="dxa"/>
        <w:left w:w="100" w:type="dxa"/>
        <w:bottom w:w="100" w:type="dxa"/>
        <w:right w:w="100" w:type="dxa"/>
      </w:tblCellMar>
    </w:tblPr>
  </w:style>
  <w:style w:type="table" w:customStyle="1" w:styleId="af7">
    <w:basedOn w:val="TableNormalf6"/>
    <w:tblPr>
      <w:tblStyleRowBandSize w:val="1"/>
      <w:tblStyleColBandSize w:val="1"/>
      <w:tblCellMar>
        <w:top w:w="100" w:type="dxa"/>
        <w:left w:w="100" w:type="dxa"/>
        <w:bottom w:w="100" w:type="dxa"/>
        <w:right w:w="100" w:type="dxa"/>
      </w:tblCellMar>
    </w:tblPr>
  </w:style>
  <w:style w:type="table" w:customStyle="1" w:styleId="af8">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styleId="Listaconvietas3">
    <w:name w:val="List Bullet 3"/>
    <w:basedOn w:val="Normal"/>
    <w:uiPriority w:val="99"/>
    <w:unhideWhenUsed/>
    <w:rsid w:val="00B1103B"/>
    <w:pPr>
      <w:numPr>
        <w:numId w:val="12"/>
      </w:numPr>
      <w:contextualSpacing/>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73422">
      <w:bodyDiv w:val="1"/>
      <w:marLeft w:val="0"/>
      <w:marRight w:val="0"/>
      <w:marTop w:val="0"/>
      <w:marBottom w:val="0"/>
      <w:divBdr>
        <w:top w:val="none" w:sz="0" w:space="0" w:color="auto"/>
        <w:left w:val="none" w:sz="0" w:space="0" w:color="auto"/>
        <w:bottom w:val="none" w:sz="0" w:space="0" w:color="auto"/>
        <w:right w:val="none" w:sz="0" w:space="0" w:color="auto"/>
      </w:divBdr>
      <w:divsChild>
        <w:div w:id="1910651208">
          <w:marLeft w:val="1440"/>
          <w:marRight w:val="0"/>
          <w:marTop w:val="0"/>
          <w:marBottom w:val="92"/>
          <w:divBdr>
            <w:top w:val="none" w:sz="0" w:space="0" w:color="auto"/>
            <w:left w:val="none" w:sz="0" w:space="0" w:color="auto"/>
            <w:bottom w:val="none" w:sz="0" w:space="0" w:color="auto"/>
            <w:right w:val="none" w:sz="0" w:space="0" w:color="auto"/>
          </w:divBdr>
        </w:div>
        <w:div w:id="721950047">
          <w:marLeft w:val="1440"/>
          <w:marRight w:val="0"/>
          <w:marTop w:val="0"/>
          <w:marBottom w:val="92"/>
          <w:divBdr>
            <w:top w:val="none" w:sz="0" w:space="0" w:color="auto"/>
            <w:left w:val="none" w:sz="0" w:space="0" w:color="auto"/>
            <w:bottom w:val="none" w:sz="0" w:space="0" w:color="auto"/>
            <w:right w:val="none" w:sz="0" w:space="0" w:color="auto"/>
          </w:divBdr>
        </w:div>
        <w:div w:id="1496795859">
          <w:marLeft w:val="1440"/>
          <w:marRight w:val="0"/>
          <w:marTop w:val="0"/>
          <w:marBottom w:val="92"/>
          <w:divBdr>
            <w:top w:val="none" w:sz="0" w:space="0" w:color="auto"/>
            <w:left w:val="none" w:sz="0" w:space="0" w:color="auto"/>
            <w:bottom w:val="none" w:sz="0" w:space="0" w:color="auto"/>
            <w:right w:val="none" w:sz="0" w:space="0" w:color="auto"/>
          </w:divBdr>
        </w:div>
      </w:divsChild>
    </w:div>
    <w:div w:id="955991774">
      <w:bodyDiv w:val="1"/>
      <w:marLeft w:val="0"/>
      <w:marRight w:val="0"/>
      <w:marTop w:val="0"/>
      <w:marBottom w:val="0"/>
      <w:divBdr>
        <w:top w:val="none" w:sz="0" w:space="0" w:color="auto"/>
        <w:left w:val="none" w:sz="0" w:space="0" w:color="auto"/>
        <w:bottom w:val="none" w:sz="0" w:space="0" w:color="auto"/>
        <w:right w:val="none" w:sz="0" w:space="0" w:color="auto"/>
      </w:divBdr>
      <w:divsChild>
        <w:div w:id="1810435872">
          <w:marLeft w:val="1440"/>
          <w:marRight w:val="0"/>
          <w:marTop w:val="0"/>
          <w:marBottom w:val="92"/>
          <w:divBdr>
            <w:top w:val="none" w:sz="0" w:space="0" w:color="auto"/>
            <w:left w:val="none" w:sz="0" w:space="0" w:color="auto"/>
            <w:bottom w:val="none" w:sz="0" w:space="0" w:color="auto"/>
            <w:right w:val="none" w:sz="0" w:space="0" w:color="auto"/>
          </w:divBdr>
        </w:div>
        <w:div w:id="1060976379">
          <w:marLeft w:val="1440"/>
          <w:marRight w:val="0"/>
          <w:marTop w:val="0"/>
          <w:marBottom w:val="92"/>
          <w:divBdr>
            <w:top w:val="none" w:sz="0" w:space="0" w:color="auto"/>
            <w:left w:val="none" w:sz="0" w:space="0" w:color="auto"/>
            <w:bottom w:val="none" w:sz="0" w:space="0" w:color="auto"/>
            <w:right w:val="none" w:sz="0" w:space="0" w:color="auto"/>
          </w:divBdr>
        </w:div>
        <w:div w:id="1584945516">
          <w:marLeft w:val="1440"/>
          <w:marRight w:val="0"/>
          <w:marTop w:val="0"/>
          <w:marBottom w:val="92"/>
          <w:divBdr>
            <w:top w:val="none" w:sz="0" w:space="0" w:color="auto"/>
            <w:left w:val="none" w:sz="0" w:space="0" w:color="auto"/>
            <w:bottom w:val="none" w:sz="0" w:space="0" w:color="auto"/>
            <w:right w:val="none" w:sz="0" w:space="0" w:color="auto"/>
          </w:divBdr>
        </w:div>
      </w:divsChild>
    </w:div>
    <w:div w:id="1179002543">
      <w:bodyDiv w:val="1"/>
      <w:marLeft w:val="0"/>
      <w:marRight w:val="0"/>
      <w:marTop w:val="0"/>
      <w:marBottom w:val="0"/>
      <w:divBdr>
        <w:top w:val="none" w:sz="0" w:space="0" w:color="auto"/>
        <w:left w:val="none" w:sz="0" w:space="0" w:color="auto"/>
        <w:bottom w:val="none" w:sz="0" w:space="0" w:color="auto"/>
        <w:right w:val="none" w:sz="0" w:space="0" w:color="auto"/>
      </w:divBdr>
      <w:divsChild>
        <w:div w:id="874541130">
          <w:marLeft w:val="288"/>
          <w:marRight w:val="0"/>
          <w:marTop w:val="0"/>
          <w:marBottom w:val="100"/>
          <w:divBdr>
            <w:top w:val="none" w:sz="0" w:space="0" w:color="auto"/>
            <w:left w:val="none" w:sz="0" w:space="0" w:color="auto"/>
            <w:bottom w:val="none" w:sz="0" w:space="0" w:color="auto"/>
            <w:right w:val="none" w:sz="0" w:space="0" w:color="auto"/>
          </w:divBdr>
        </w:div>
        <w:div w:id="5644361">
          <w:marLeft w:val="288"/>
          <w:marRight w:val="0"/>
          <w:marTop w:val="0"/>
          <w:marBottom w:val="100"/>
          <w:divBdr>
            <w:top w:val="none" w:sz="0" w:space="0" w:color="auto"/>
            <w:left w:val="none" w:sz="0" w:space="0" w:color="auto"/>
            <w:bottom w:val="none" w:sz="0" w:space="0" w:color="auto"/>
            <w:right w:val="none" w:sz="0" w:space="0" w:color="auto"/>
          </w:divBdr>
        </w:div>
        <w:div w:id="433017847">
          <w:marLeft w:val="288"/>
          <w:marRight w:val="0"/>
          <w:marTop w:val="0"/>
          <w:marBottom w:val="100"/>
          <w:divBdr>
            <w:top w:val="none" w:sz="0" w:space="0" w:color="auto"/>
            <w:left w:val="none" w:sz="0" w:space="0" w:color="auto"/>
            <w:bottom w:val="none" w:sz="0" w:space="0" w:color="auto"/>
            <w:right w:val="none" w:sz="0" w:space="0" w:color="auto"/>
          </w:divBdr>
        </w:div>
      </w:divsChild>
    </w:div>
    <w:div w:id="1758558087">
      <w:bodyDiv w:val="1"/>
      <w:marLeft w:val="0"/>
      <w:marRight w:val="0"/>
      <w:marTop w:val="0"/>
      <w:marBottom w:val="0"/>
      <w:divBdr>
        <w:top w:val="none" w:sz="0" w:space="0" w:color="auto"/>
        <w:left w:val="none" w:sz="0" w:space="0" w:color="auto"/>
        <w:bottom w:val="none" w:sz="0" w:space="0" w:color="auto"/>
        <w:right w:val="none" w:sz="0" w:space="0" w:color="auto"/>
      </w:divBdr>
      <w:divsChild>
        <w:div w:id="18359670">
          <w:marLeft w:val="1440"/>
          <w:marRight w:val="0"/>
          <w:marTop w:val="0"/>
          <w:marBottom w:val="80"/>
          <w:divBdr>
            <w:top w:val="none" w:sz="0" w:space="0" w:color="auto"/>
            <w:left w:val="none" w:sz="0" w:space="0" w:color="auto"/>
            <w:bottom w:val="none" w:sz="0" w:space="0" w:color="auto"/>
            <w:right w:val="none" w:sz="0" w:space="0" w:color="auto"/>
          </w:divBdr>
        </w:div>
        <w:div w:id="945966588">
          <w:marLeft w:val="1440"/>
          <w:marRight w:val="0"/>
          <w:marTop w:val="0"/>
          <w:marBottom w:val="80"/>
          <w:divBdr>
            <w:top w:val="none" w:sz="0" w:space="0" w:color="auto"/>
            <w:left w:val="none" w:sz="0" w:space="0" w:color="auto"/>
            <w:bottom w:val="none" w:sz="0" w:space="0" w:color="auto"/>
            <w:right w:val="none" w:sz="0" w:space="0" w:color="auto"/>
          </w:divBdr>
        </w:div>
        <w:div w:id="1794056514">
          <w:marLeft w:val="144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ipomex2.ipomex.org.mx/ipo/lgt/indice/finanzas/.web"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ipomex2.ipomex.org.mx/ipo/lgt/indice/finanzas/.web"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4WqIAQvuTMf6iVP8oKSWCPD9EvA==">AMUW2mWag05+eXSIuPh0ElEeDFatA9y7CKw/od51jPHoHmxqIX4jmyk08BnNAZYs5pn2X/YBehz6wUe9IZjf3QPaYa/G/1QUalTOB3sPT/1ibIp5cxZBkFZp6sHLGcLw8c0I9AyicMbGydWqSHhxgkboKUq6l15jXAAQW5gNJX8Le0oosfYUe5G/vb8qK7BJYjasMTCNP3BaPjy+93nmnXfJZqo6wfRZkV3f4u7H5epZik+A+3WmZ+R54mZgOICQBd5xETtzSxBESLtWpCHU2ZMn70NMOr81vMiwz2PR2dIT0+iamQ8fpdhnezyxrhFulxH4R4wBC6RzQj5YArnkeiit8XCrrfkvXAONh9Sfwx1tVWDA8TVWg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9BD17E-8A4C-4EDC-8267-B10C3962E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55</Pages>
  <Words>12983</Words>
  <Characters>71407</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18</cp:revision>
  <cp:lastPrinted>2023-05-12T00:03:00Z</cp:lastPrinted>
  <dcterms:created xsi:type="dcterms:W3CDTF">2023-05-08T23:56:00Z</dcterms:created>
  <dcterms:modified xsi:type="dcterms:W3CDTF">2023-05-12T00:03:00Z</dcterms:modified>
</cp:coreProperties>
</file>