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66A9129B" w:rsidR="005F2C76" w:rsidRDefault="00B433C9" w:rsidP="00D64F6B">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F6FEA">
        <w:rPr>
          <w:rFonts w:ascii="Palatino Linotype" w:eastAsia="Times New Roman" w:hAnsi="Palatino Linotype" w:cs="Arial"/>
          <w:color w:val="000000"/>
          <w:sz w:val="24"/>
          <w:szCs w:val="24"/>
          <w:lang w:eastAsia="es-MX"/>
        </w:rPr>
        <w:t>veinticinco</w:t>
      </w:r>
      <w:r w:rsidR="006B5F25">
        <w:rPr>
          <w:rFonts w:ascii="Palatino Linotype" w:eastAsia="Times New Roman" w:hAnsi="Palatino Linotype" w:cs="Arial"/>
          <w:color w:val="000000"/>
          <w:sz w:val="24"/>
          <w:szCs w:val="24"/>
          <w:lang w:eastAsia="es-MX"/>
        </w:rPr>
        <w:t xml:space="preserve"> de enero de dos mil veintitrés.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50D89B9D" w14:textId="6739087F" w:rsidR="006B5F25" w:rsidRPr="006B5F25"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6B5F25">
        <w:rPr>
          <w:rFonts w:ascii="Palatino Linotype" w:hAnsi="Palatino Linotype" w:cs="Arial"/>
          <w:b/>
          <w:bCs/>
          <w:sz w:val="24"/>
        </w:rPr>
        <w:t>14095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C07B2D">
        <w:rPr>
          <w:rFonts w:ascii="Palatino Linotype" w:hAnsi="Palatino Linotype" w:cs="Arial"/>
          <w:sz w:val="24"/>
        </w:rPr>
        <w:t xml:space="preserve">el </w:t>
      </w:r>
      <w:r w:rsidR="00C07B2D">
        <w:rPr>
          <w:rFonts w:ascii="Palatino Linotype" w:hAnsi="Palatino Linotype" w:cs="Arial"/>
          <w:b/>
          <w:bCs/>
          <w:sz w:val="24"/>
        </w:rPr>
        <w:t xml:space="preserve">C. </w:t>
      </w:r>
      <w:r w:rsidR="0082296A">
        <w:rPr>
          <w:rFonts w:ascii="Palatino Linotype" w:hAnsi="Palatino Linotype" w:cs="Arial"/>
          <w:b/>
          <w:bCs/>
          <w:sz w:val="24"/>
        </w:rPr>
        <w:t>XXXXXXXXXX</w:t>
      </w:r>
      <w:r w:rsidR="006B5F25">
        <w:rPr>
          <w:rFonts w:ascii="Palatino Linotype" w:hAnsi="Palatino Linotype" w:cs="Arial"/>
          <w:b/>
          <w:bCs/>
          <w:sz w:val="24"/>
        </w:rPr>
        <w:t xml:space="preserve">, </w:t>
      </w:r>
      <w:r w:rsidR="006B5F25">
        <w:rPr>
          <w:rFonts w:ascii="Palatino Linotype" w:hAnsi="Palatino Linotype" w:cs="Arial"/>
          <w:sz w:val="24"/>
        </w:rPr>
        <w:t xml:space="preserve">en lo sucesivo </w:t>
      </w:r>
      <w:r w:rsidR="006B5F25">
        <w:rPr>
          <w:rFonts w:ascii="Palatino Linotype" w:hAnsi="Palatino Linotype" w:cs="Arial"/>
          <w:b/>
          <w:bCs/>
          <w:sz w:val="24"/>
        </w:rPr>
        <w:t xml:space="preserve">El Recurrente, </w:t>
      </w:r>
      <w:r w:rsidR="006B5F25">
        <w:rPr>
          <w:rFonts w:ascii="Palatino Linotype" w:hAnsi="Palatino Linotype" w:cs="Arial"/>
          <w:sz w:val="24"/>
        </w:rPr>
        <w:t xml:space="preserve">en contra de la respuesta del </w:t>
      </w:r>
      <w:r w:rsidR="006B5F25">
        <w:rPr>
          <w:rFonts w:ascii="Palatino Linotype" w:hAnsi="Palatino Linotype" w:cs="Arial"/>
          <w:b/>
          <w:bCs/>
          <w:sz w:val="24"/>
        </w:rPr>
        <w:t xml:space="preserve">Ayuntamiento de Tlalnepantla de Baz, </w:t>
      </w:r>
      <w:r w:rsidR="006B5F25">
        <w:rPr>
          <w:rFonts w:ascii="Palatino Linotype" w:hAnsi="Palatino Linotype" w:cs="Arial"/>
          <w:sz w:val="24"/>
        </w:rPr>
        <w:t xml:space="preserve">en lo subsecuente </w:t>
      </w:r>
      <w:r w:rsidR="006B5F25">
        <w:rPr>
          <w:rFonts w:ascii="Palatino Linotype" w:hAnsi="Palatino Linotype" w:cs="Arial"/>
          <w:b/>
          <w:bCs/>
          <w:sz w:val="24"/>
        </w:rPr>
        <w:t xml:space="preserve">El Sujeto Obligado, </w:t>
      </w:r>
      <w:r w:rsidR="006B5F25">
        <w:rPr>
          <w:rFonts w:ascii="Palatino Linotype" w:hAnsi="Palatino Linotype" w:cs="Arial"/>
          <w:sz w:val="24"/>
        </w:rPr>
        <w:t xml:space="preserve">se procede a dictar la presente resolución. </w:t>
      </w:r>
    </w:p>
    <w:p w14:paraId="66E0F926" w14:textId="77777777" w:rsidR="006B5F25" w:rsidRDefault="006B5F25" w:rsidP="00B433C9">
      <w:pPr>
        <w:tabs>
          <w:tab w:val="left" w:pos="1701"/>
        </w:tabs>
        <w:spacing w:before="240" w:line="360" w:lineRule="auto"/>
        <w:jc w:val="both"/>
        <w:rPr>
          <w:rFonts w:ascii="Palatino Linotype" w:hAnsi="Palatino Linotype" w:cs="Arial"/>
          <w:b/>
          <w:bCs/>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808104E" w14:textId="50A97B87" w:rsidR="006B5F25"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B5F25">
        <w:rPr>
          <w:rFonts w:ascii="Palatino Linotype" w:hAnsi="Palatino Linotype" w:cs="Arial"/>
          <w:sz w:val="24"/>
        </w:rPr>
        <w:t xml:space="preserve">diecisiete de agosto de dos mil veintidós, </w:t>
      </w:r>
      <w:r w:rsidR="006B5F25">
        <w:rPr>
          <w:rFonts w:ascii="Palatino Linotype" w:hAnsi="Palatino Linotype" w:cs="Arial"/>
          <w:b/>
          <w:sz w:val="24"/>
        </w:rPr>
        <w:t xml:space="preserve">El Recurrente, </w:t>
      </w:r>
      <w:r w:rsidR="006B5F25">
        <w:rPr>
          <w:rFonts w:ascii="Palatino Linotype" w:hAnsi="Palatino Linotype" w:cs="Arial"/>
          <w:sz w:val="24"/>
        </w:rPr>
        <w:t xml:space="preserve">presentó a través del Sistema de Acceso a la Información Mexiquense </w:t>
      </w:r>
      <w:r w:rsidR="006B5F25">
        <w:rPr>
          <w:rFonts w:ascii="Palatino Linotype" w:hAnsi="Palatino Linotype" w:cs="Arial"/>
          <w:b/>
          <w:sz w:val="24"/>
        </w:rPr>
        <w:t xml:space="preserve">(SAIMEX) </w:t>
      </w:r>
      <w:r w:rsidR="006B5F25">
        <w:rPr>
          <w:rFonts w:ascii="Palatino Linotype" w:hAnsi="Palatino Linotype" w:cs="Arial"/>
          <w:sz w:val="24"/>
        </w:rPr>
        <w:t xml:space="preserve">ante </w:t>
      </w:r>
      <w:r w:rsidR="006B5F25">
        <w:rPr>
          <w:rFonts w:ascii="Palatino Linotype" w:hAnsi="Palatino Linotype" w:cs="Arial"/>
          <w:b/>
          <w:sz w:val="24"/>
        </w:rPr>
        <w:t>El Sujeto Obligado</w:t>
      </w:r>
      <w:r w:rsidR="006B5F25">
        <w:rPr>
          <w:rFonts w:ascii="Palatino Linotype" w:hAnsi="Palatino Linotype" w:cs="Arial"/>
          <w:sz w:val="24"/>
        </w:rPr>
        <w:t xml:space="preserve">, solicitud de acceso a la información pública, registrada bajo el número de expediente </w:t>
      </w:r>
      <w:r w:rsidR="006B5F25">
        <w:rPr>
          <w:rFonts w:ascii="Palatino Linotype" w:hAnsi="Palatino Linotype" w:cs="Arial"/>
          <w:b/>
          <w:bCs/>
          <w:sz w:val="24"/>
        </w:rPr>
        <w:t xml:space="preserve">00739/TLALNEPA/IP/2022, </w:t>
      </w:r>
      <w:r w:rsidR="006B5F25">
        <w:rPr>
          <w:rFonts w:ascii="Palatino Linotype" w:hAnsi="Palatino Linotype" w:cs="Arial"/>
          <w:sz w:val="24"/>
        </w:rPr>
        <w:t>mediante la cual solicitó información en el tenor siguiente:</w:t>
      </w:r>
    </w:p>
    <w:p w14:paraId="10F4D199" w14:textId="794C990D" w:rsidR="006B5F25" w:rsidRPr="006B5F25" w:rsidRDefault="006B5F25" w:rsidP="006B5F25">
      <w:pPr>
        <w:pStyle w:val="Citas"/>
        <w:rPr>
          <w:b/>
          <w:bCs/>
          <w:sz w:val="24"/>
        </w:rPr>
      </w:pPr>
      <w:r>
        <w:t xml:space="preserve">“Documento que compruebe el pago del Impuesto Predial y otros servicios prestados por el municipio de los habitantes del Edificio D2 3 en la Unidad Habitacional el Tenayo, del periodo 2021 y 2022” </w:t>
      </w:r>
      <w:r>
        <w:rPr>
          <w:b/>
          <w:bCs/>
        </w:rPr>
        <w:t>(Sic)</w:t>
      </w:r>
    </w:p>
    <w:p w14:paraId="64A4DB4F" w14:textId="77777777" w:rsidR="006B5F25" w:rsidRDefault="006B5F25" w:rsidP="00B433C9">
      <w:pPr>
        <w:spacing w:before="240" w:line="360" w:lineRule="auto"/>
        <w:jc w:val="both"/>
        <w:rPr>
          <w:rFonts w:ascii="Palatino Linotype" w:hAnsi="Palatino Linotype" w:cs="Arial"/>
          <w:sz w:val="24"/>
        </w:rPr>
      </w:pP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17E5A962" w14:textId="5EAAE59E" w:rsidR="006B5F25"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6B5F25">
        <w:rPr>
          <w:rFonts w:ascii="Palatino Linotype" w:hAnsi="Palatino Linotype" w:cs="Arial"/>
          <w:sz w:val="24"/>
          <w:szCs w:val="24"/>
        </w:rPr>
        <w:t xml:space="preserve">treinta de agosto de dos mil veintidós, </w:t>
      </w:r>
      <w:r w:rsidR="006B5F25">
        <w:rPr>
          <w:rFonts w:ascii="Palatino Linotype" w:hAnsi="Palatino Linotype" w:cs="Arial"/>
          <w:b/>
          <w:bCs/>
          <w:sz w:val="24"/>
          <w:szCs w:val="24"/>
        </w:rPr>
        <w:t xml:space="preserve">El Sujeto Obligado </w:t>
      </w:r>
      <w:r w:rsidR="006B5F25">
        <w:rPr>
          <w:rFonts w:ascii="Palatino Linotype" w:hAnsi="Palatino Linotype" w:cs="Arial"/>
          <w:sz w:val="24"/>
          <w:szCs w:val="24"/>
        </w:rPr>
        <w:t>dio respuesta a la solicitud de información en los siguientes términos:</w:t>
      </w:r>
    </w:p>
    <w:p w14:paraId="5D37D84E" w14:textId="7129A731" w:rsidR="006B5F25" w:rsidRPr="006B5F25" w:rsidRDefault="006B5F25" w:rsidP="006B5F25">
      <w:pPr>
        <w:pStyle w:val="Citas"/>
        <w:rPr>
          <w:b/>
          <w:bCs/>
          <w:sz w:val="24"/>
          <w:szCs w:val="24"/>
        </w:rPr>
      </w:pPr>
      <w:r>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 </w:t>
      </w:r>
      <w:r>
        <w:rPr>
          <w:b/>
          <w:bCs/>
        </w:rPr>
        <w:t>(Sic)</w:t>
      </w:r>
    </w:p>
    <w:p w14:paraId="6E49C7BC" w14:textId="056FBB12" w:rsidR="006B5F25" w:rsidRPr="006B5F25" w:rsidRDefault="006B5F25"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 xml:space="preserve">“SAIMEX 739 TESORERIA-.zip”, </w:t>
      </w:r>
      <w:r>
        <w:rPr>
          <w:rFonts w:ascii="Palatino Linotype" w:hAnsi="Palatino Linotype" w:cs="Arial"/>
          <w:sz w:val="24"/>
          <w:szCs w:val="24"/>
        </w:rPr>
        <w:t xml:space="preserve">mismo que se tiene por reproducido en virtud de que será materia de análisis en el considerando respectivo. </w:t>
      </w:r>
    </w:p>
    <w:p w14:paraId="1CBD6F1C" w14:textId="77777777" w:rsidR="006B5F25" w:rsidRDefault="006B5F25" w:rsidP="00EF1925">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4BA0ACD8" w14:textId="3ADFD041" w:rsidR="00F516E3" w:rsidRPr="00F516E3"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6B5F25">
        <w:rPr>
          <w:rFonts w:ascii="Palatino Linotype" w:hAnsi="Palatino Linotype" w:cs="Arial"/>
          <w:sz w:val="24"/>
          <w:szCs w:val="24"/>
        </w:rPr>
        <w:t xml:space="preserve">treinta y uno de agosto de dos mil veintidós, </w:t>
      </w:r>
      <w:r w:rsidR="00F516E3">
        <w:rPr>
          <w:rFonts w:ascii="Palatino Linotype" w:hAnsi="Palatino Linotype" w:cs="Arial"/>
          <w:sz w:val="24"/>
          <w:szCs w:val="24"/>
        </w:rPr>
        <w:t xml:space="preserve">el cual fue registrado </w:t>
      </w:r>
      <w:r w:rsidR="00F516E3">
        <w:rPr>
          <w:rFonts w:ascii="Palatino Linotype" w:hAnsi="Palatino Linotype" w:cs="Arial"/>
          <w:sz w:val="24"/>
          <w:szCs w:val="24"/>
        </w:rPr>
        <w:lastRenderedPageBreak/>
        <w:t xml:space="preserve">en el sistema electrónico con el expediente número </w:t>
      </w:r>
      <w:r w:rsidR="006B5F25">
        <w:rPr>
          <w:rFonts w:ascii="Palatino Linotype" w:hAnsi="Palatino Linotype" w:cs="Arial"/>
          <w:b/>
          <w:bCs/>
          <w:sz w:val="24"/>
          <w:szCs w:val="24"/>
        </w:rPr>
        <w:t>14095</w:t>
      </w:r>
      <w:r w:rsidR="00F516E3">
        <w:rPr>
          <w:rFonts w:ascii="Palatino Linotype" w:hAnsi="Palatino Linotype" w:cs="Arial"/>
          <w:b/>
          <w:bCs/>
          <w:sz w:val="24"/>
          <w:szCs w:val="24"/>
        </w:rPr>
        <w:t xml:space="preserve">/INFOEM/IP/RR/2022, </w:t>
      </w:r>
      <w:r w:rsidR="00F516E3">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4D22367E" w:rsidR="00B433C9" w:rsidRPr="00712E3A" w:rsidRDefault="00B433C9" w:rsidP="005C57BA">
      <w:pPr>
        <w:pStyle w:val="Citas"/>
        <w:tabs>
          <w:tab w:val="left" w:pos="3750"/>
        </w:tabs>
        <w:rPr>
          <w:b/>
        </w:rPr>
      </w:pPr>
      <w:r w:rsidRPr="006B5F25">
        <w:t>“</w:t>
      </w:r>
      <w:r w:rsidR="006B5F25" w:rsidRPr="006B5F25">
        <w:t>la respuesta dada a la solicitud</w:t>
      </w:r>
      <w:r w:rsidR="00F516E3" w:rsidRPr="006B5F25">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1D5EF952" w:rsidR="00B433C9" w:rsidRPr="00712E3A" w:rsidRDefault="00B433C9" w:rsidP="00E725D5">
      <w:pPr>
        <w:pStyle w:val="Citas"/>
      </w:pPr>
      <w:r w:rsidRPr="006B5F25">
        <w:t>“</w:t>
      </w:r>
      <w:r w:rsidR="006B5F25" w:rsidRPr="006B5F25">
        <w:t>no me entregaron la información solicitada</w:t>
      </w:r>
      <w:r w:rsidRPr="006B5F25">
        <w:t>”</w:t>
      </w:r>
      <w:r w:rsidRPr="00712E3A">
        <w:t xml:space="preserve"> </w:t>
      </w:r>
      <w:r w:rsidR="00F516E3">
        <w:rPr>
          <w:b/>
        </w:rPr>
        <w:t>(Sic)</w:t>
      </w:r>
    </w:p>
    <w:p w14:paraId="59D04919" w14:textId="77777777" w:rsidR="002642D3" w:rsidRDefault="002642D3"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00076F18"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6B5F25">
        <w:rPr>
          <w:rFonts w:ascii="Palatino Linotype" w:hAnsi="Palatino Linotype" w:cs="Arial"/>
          <w:sz w:val="24"/>
          <w:szCs w:val="24"/>
        </w:rPr>
        <w:t xml:space="preserve">uno de septiembre de dos mil veintidós,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25C7ABD1" w14:textId="3D2EE180" w:rsidR="006B5F25" w:rsidRPr="006B5F25"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6B5F25">
        <w:rPr>
          <w:rFonts w:ascii="Palatino Linotype" w:hAnsi="Palatino Linotype" w:cs="Arial"/>
          <w:b/>
          <w:bCs/>
          <w:sz w:val="24"/>
          <w:szCs w:val="24"/>
        </w:rPr>
        <w:t xml:space="preserve">doce de septiembre, </w:t>
      </w:r>
      <w:r w:rsidR="006B5F25">
        <w:rPr>
          <w:rFonts w:ascii="Palatino Linotype" w:hAnsi="Palatino Linotype" w:cs="Arial"/>
          <w:sz w:val="24"/>
          <w:szCs w:val="24"/>
        </w:rPr>
        <w:t xml:space="preserve">mismo que fue puesto a la vista el </w:t>
      </w:r>
      <w:r w:rsidR="006B5F25">
        <w:rPr>
          <w:rFonts w:ascii="Palatino Linotype" w:hAnsi="Palatino Linotype" w:cs="Arial"/>
          <w:b/>
          <w:bCs/>
          <w:sz w:val="24"/>
          <w:szCs w:val="24"/>
        </w:rPr>
        <w:lastRenderedPageBreak/>
        <w:t xml:space="preserve">veinte de septiembre, ambos de dos mil veintidós. </w:t>
      </w:r>
      <w:r w:rsidR="006B5F25">
        <w:rPr>
          <w:rFonts w:ascii="Palatino Linotype" w:hAnsi="Palatino Linotype" w:cs="Arial"/>
          <w:sz w:val="24"/>
          <w:szCs w:val="24"/>
        </w:rPr>
        <w:t xml:space="preserve">En contraste, el particular rindió los alegatos, manifestaciones o pruebas estimadas pertinentes en fecha </w:t>
      </w:r>
      <w:r w:rsidR="006B5F25">
        <w:rPr>
          <w:rFonts w:ascii="Palatino Linotype" w:hAnsi="Palatino Linotype" w:cs="Arial"/>
          <w:b/>
          <w:bCs/>
          <w:sz w:val="24"/>
          <w:szCs w:val="24"/>
        </w:rPr>
        <w:t xml:space="preserve">veintiuno de septiembre de dos mil veintidós. </w:t>
      </w:r>
    </w:p>
    <w:p w14:paraId="0A7CEF08" w14:textId="56C7770C" w:rsidR="00764DB2" w:rsidRDefault="006B5F25" w:rsidP="00764DB2">
      <w:pPr>
        <w:spacing w:after="0" w:line="360" w:lineRule="auto"/>
        <w:jc w:val="both"/>
        <w:rPr>
          <w:rFonts w:ascii="Palatino Linotype" w:hAnsi="Palatino Linotype" w:cs="Arial"/>
          <w:sz w:val="24"/>
          <w:szCs w:val="24"/>
        </w:rPr>
      </w:pPr>
      <w:r>
        <w:rPr>
          <w:rFonts w:ascii="Palatino Linotype" w:hAnsi="Palatino Linotype" w:cs="Arial"/>
          <w:sz w:val="24"/>
          <w:szCs w:val="24"/>
        </w:rPr>
        <w:tab/>
      </w:r>
    </w:p>
    <w:p w14:paraId="1504304B" w14:textId="4BF8C0E6" w:rsidR="00764DB2" w:rsidRDefault="00764DB2" w:rsidP="00764DB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6B5F25">
        <w:rPr>
          <w:rFonts w:ascii="Palatino Linotype" w:hAnsi="Palatino Linotype" w:cs="Arial"/>
          <w:b/>
          <w:bCs/>
          <w:sz w:val="24"/>
          <w:szCs w:val="24"/>
        </w:rPr>
        <w:t xml:space="preserve">veintiséis de septiembre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CBD5E2C" w14:textId="03D9A255" w:rsidR="00764DB2" w:rsidRDefault="00950E85" w:rsidP="00764DB2">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764DB2" w:rsidRPr="0036654D">
        <w:rPr>
          <w:rFonts w:ascii="Palatino Linotype" w:hAnsi="Palatino Linotype" w:cs="Arial"/>
          <w:sz w:val="24"/>
          <w:szCs w:val="24"/>
        </w:rPr>
        <w:t xml:space="preserve"> fecha</w:t>
      </w:r>
      <w:r w:rsidR="00764DB2">
        <w:rPr>
          <w:rFonts w:ascii="Palatino Linotype" w:hAnsi="Palatino Linotype" w:cs="Arial"/>
          <w:sz w:val="24"/>
          <w:szCs w:val="24"/>
        </w:rPr>
        <w:t xml:space="preserve"> </w:t>
      </w:r>
      <w:r w:rsidR="00232F70">
        <w:rPr>
          <w:rFonts w:ascii="Palatino Linotype" w:hAnsi="Palatino Linotype" w:cs="Arial"/>
          <w:b/>
          <w:bCs/>
          <w:sz w:val="24"/>
          <w:szCs w:val="24"/>
        </w:rPr>
        <w:t xml:space="preserve">veinticinco de octubre de dos mil veintidós, </w:t>
      </w:r>
      <w:r w:rsidR="00764DB2" w:rsidRPr="005C7C26">
        <w:rPr>
          <w:rFonts w:ascii="Palatino Linotype" w:hAnsi="Palatino Linotype" w:cs="Arial"/>
          <w:sz w:val="24"/>
          <w:szCs w:val="24"/>
        </w:rPr>
        <w:t>e</w:t>
      </w:r>
      <w:r w:rsidR="00764DB2">
        <w:rPr>
          <w:rFonts w:ascii="Palatino Linotype" w:hAnsi="Palatino Linotype" w:cs="Arial"/>
          <w:sz w:val="24"/>
          <w:szCs w:val="24"/>
        </w:rPr>
        <w:t xml:space="preserve">n el expediente electrónico del recurso de revisión </w:t>
      </w:r>
      <w:r w:rsidR="00764DB2">
        <w:rPr>
          <w:rFonts w:ascii="Palatino Linotype" w:hAnsi="Palatino Linotype" w:cs="Arial"/>
          <w:sz w:val="24"/>
        </w:rPr>
        <w:t xml:space="preserve">se amplió plazo para dictar resolución, en términos del </w:t>
      </w:r>
      <w:r w:rsidR="00764DB2" w:rsidRPr="0053191B">
        <w:rPr>
          <w:rFonts w:ascii="Palatino Linotype" w:hAnsi="Palatino Linotype" w:cs="Arial"/>
          <w:sz w:val="24"/>
          <w:szCs w:val="24"/>
        </w:rPr>
        <w:t>artículo 181 de la Ley de Transparencia y Acceso a la Información del Estado de México y Municipios.</w:t>
      </w:r>
      <w:r w:rsidR="00764DB2">
        <w:rPr>
          <w:rFonts w:ascii="Palatino Linotype" w:hAnsi="Palatino Linotype" w:cs="Arial"/>
          <w:sz w:val="24"/>
          <w:szCs w:val="24"/>
        </w:rPr>
        <w:t xml:space="preserve"> </w:t>
      </w:r>
    </w:p>
    <w:p w14:paraId="67D2AF46"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9B02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w:t>
      </w:r>
      <w:r w:rsidRPr="001F3B43">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0DC90053"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1E1A2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DF797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C43450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6BBD3C3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5BB2BC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088BFEAA"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350FB69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DCE92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E9EB70"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FA193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48A5C0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9E4205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FB8BB4F" w14:textId="77777777" w:rsidR="00764DB2" w:rsidRPr="00B01D73" w:rsidRDefault="00764DB2" w:rsidP="00764DB2">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F642F12" w14:textId="77777777" w:rsidR="00480C32" w:rsidRDefault="00480C32" w:rsidP="007E4FA1">
      <w:pPr>
        <w:spacing w:before="240" w:line="360" w:lineRule="auto"/>
        <w:jc w:val="center"/>
        <w:rPr>
          <w:rFonts w:ascii="Palatino Linotype" w:hAnsi="Palatino Linotype" w:cs="Arial"/>
          <w:b/>
          <w:sz w:val="24"/>
        </w:rPr>
      </w:pPr>
    </w:p>
    <w:p w14:paraId="528DBAF8" w14:textId="177645E5"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401C86FC"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17335A9" w14:textId="77777777" w:rsidR="00232F70" w:rsidRDefault="00232F7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F6E9A4E" w14:textId="77777777" w:rsidR="00480C32" w:rsidRDefault="00480C32" w:rsidP="00480C3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1228937" w14:textId="77777777" w:rsidR="00480C32" w:rsidRPr="00514E66" w:rsidRDefault="00480C32" w:rsidP="00480C32">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F6C598" w14:textId="77777777" w:rsidR="00480C32" w:rsidRDefault="00480C32" w:rsidP="00480C32">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310C3579" w14:textId="77777777" w:rsidR="00480C32" w:rsidRPr="00480C32" w:rsidRDefault="00480C32" w:rsidP="00525093">
      <w:pPr>
        <w:spacing w:after="0" w:line="360" w:lineRule="auto"/>
        <w:jc w:val="both"/>
        <w:rPr>
          <w:rFonts w:ascii="Palatino Linotype" w:hAnsi="Palatino Linotype" w:cs="Arial"/>
          <w:b/>
          <w:sz w:val="28"/>
          <w:lang w:val="es-ES"/>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A1BE04F" w14:textId="78C1EDA5" w:rsidR="00232F70"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lastRenderedPageBreak/>
        <w:t xml:space="preserve">Una vez sentado lo anterior, en una aproximación inicial, es procedente mencionar que mediante la solicitud de información </w:t>
      </w:r>
      <w:r w:rsidR="00232F70">
        <w:rPr>
          <w:rFonts w:ascii="Palatino Linotype" w:hAnsi="Palatino Linotype"/>
          <w:b/>
          <w:bCs/>
          <w:sz w:val="24"/>
          <w:szCs w:val="24"/>
        </w:rPr>
        <w:t xml:space="preserve">00739/TLALNEPA/IP/2022 </w:t>
      </w:r>
      <w:r w:rsidR="00232F70">
        <w:rPr>
          <w:rFonts w:ascii="Palatino Linotype" w:hAnsi="Palatino Linotype"/>
          <w:sz w:val="24"/>
          <w:szCs w:val="24"/>
        </w:rPr>
        <w:t xml:space="preserve">fue formulado </w:t>
      </w:r>
      <w:r w:rsidR="00232F70">
        <w:rPr>
          <w:rFonts w:ascii="Palatino Linotype" w:hAnsi="Palatino Linotype"/>
          <w:b/>
          <w:bCs/>
          <w:sz w:val="24"/>
          <w:szCs w:val="24"/>
        </w:rPr>
        <w:t xml:space="preserve">1 -un- </w:t>
      </w:r>
      <w:r w:rsidR="00232F70">
        <w:rPr>
          <w:rFonts w:ascii="Palatino Linotype" w:hAnsi="Palatino Linotype"/>
          <w:sz w:val="24"/>
          <w:szCs w:val="24"/>
        </w:rPr>
        <w:t>requerimiento respecto del cual se desprenden las siguientes consideraciones:</w:t>
      </w:r>
    </w:p>
    <w:p w14:paraId="42C6B94B" w14:textId="1C999A77" w:rsidR="00232F70" w:rsidRDefault="00232F70" w:rsidP="00232F70">
      <w:pPr>
        <w:pStyle w:val="Prrafodelista"/>
        <w:numPr>
          <w:ilvl w:val="0"/>
          <w:numId w:val="25"/>
        </w:numPr>
        <w:spacing w:before="240" w:line="360" w:lineRule="auto"/>
        <w:jc w:val="both"/>
        <w:rPr>
          <w:rFonts w:ascii="Palatino Linotype" w:hAnsi="Palatino Linotype"/>
        </w:rPr>
      </w:pPr>
      <w:r>
        <w:rPr>
          <w:rFonts w:ascii="Palatino Linotype" w:hAnsi="Palatino Linotype"/>
        </w:rPr>
        <w:t xml:space="preserve">Que con relación al elemento temporal, el particular señaló </w:t>
      </w:r>
      <w:r>
        <w:rPr>
          <w:rFonts w:ascii="Palatino Linotype" w:hAnsi="Palatino Linotype"/>
          <w:i/>
          <w:iCs/>
        </w:rPr>
        <w:t xml:space="preserve">“del periodo 2021 y 2022”, </w:t>
      </w:r>
      <w:r>
        <w:rPr>
          <w:rFonts w:ascii="Palatino Linotype" w:hAnsi="Palatino Linotype"/>
        </w:rPr>
        <w:t xml:space="preserve">luego entonces, la temporalidad debe de ser delimitada del uno de enero de dos mil veintiuno al diecisiete de agosto de dos mil veintidós, éste último al corresponder a la fecha en que se ejerció el derecho de acceso a la información pública. </w:t>
      </w:r>
    </w:p>
    <w:p w14:paraId="77F5EB33" w14:textId="6E534CB1" w:rsidR="002712AF" w:rsidRPr="002712AF" w:rsidRDefault="002712AF" w:rsidP="007126F0">
      <w:pPr>
        <w:pStyle w:val="Prrafodelista"/>
        <w:numPr>
          <w:ilvl w:val="0"/>
          <w:numId w:val="26"/>
        </w:numPr>
        <w:spacing w:before="240" w:line="360" w:lineRule="auto"/>
        <w:jc w:val="both"/>
        <w:rPr>
          <w:rFonts w:ascii="Palatino Linotype" w:hAnsi="Palatino Linotype"/>
        </w:rPr>
      </w:pPr>
      <w:r w:rsidRPr="002712AF">
        <w:rPr>
          <w:rFonts w:ascii="Palatino Linotype" w:hAnsi="Palatino Linotype"/>
        </w:rPr>
        <w:t xml:space="preserve">Que cuando los particulares no identifican de forma precisa el documento requerido bastará con que se remita cualquiera que refleje la información requerida. Al respecto cobra relevancia el criterio emitido por el Órgano Garante Nacional con número </w:t>
      </w:r>
      <w:r w:rsidRPr="002712AF">
        <w:rPr>
          <w:rFonts w:ascii="Palatino Linotype" w:hAnsi="Palatino Linotype"/>
          <w:b/>
          <w:bCs/>
        </w:rPr>
        <w:t xml:space="preserve">16/17 </w:t>
      </w:r>
      <w:r w:rsidRPr="002712AF">
        <w:rPr>
          <w:rFonts w:ascii="Palatino Linotype" w:hAnsi="Palatino Linotype"/>
        </w:rPr>
        <w:t>cuyo rubro y texto disponen a la literalidad lo siguiente:</w:t>
      </w:r>
    </w:p>
    <w:p w14:paraId="304CFD96" w14:textId="77777777" w:rsidR="002712AF" w:rsidRPr="00AB5B4A" w:rsidRDefault="002712AF" w:rsidP="002712AF">
      <w:pPr>
        <w:pStyle w:val="Citas"/>
        <w:jc w:val="center"/>
        <w:rPr>
          <w:b/>
          <w:bCs/>
          <w:sz w:val="24"/>
          <w:szCs w:val="24"/>
        </w:rPr>
      </w:pPr>
      <w:r w:rsidRPr="00AB5B4A">
        <w:rPr>
          <w:b/>
          <w:bCs/>
          <w:sz w:val="24"/>
          <w:szCs w:val="24"/>
        </w:rPr>
        <w:t>“EXPRESIÓN DOCUMENTAL.</w:t>
      </w:r>
    </w:p>
    <w:p w14:paraId="14A9394A" w14:textId="77777777" w:rsidR="002712AF" w:rsidRPr="00AB5B4A" w:rsidRDefault="002712AF" w:rsidP="002712AF">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3B077E89" w14:textId="77777777" w:rsidR="002712AF" w:rsidRPr="00AB5B4A" w:rsidRDefault="002712AF" w:rsidP="002712AF">
      <w:pPr>
        <w:pStyle w:val="Citas"/>
        <w:rPr>
          <w:b/>
        </w:rPr>
      </w:pPr>
      <w:r w:rsidRPr="00AB5B4A">
        <w:rPr>
          <w:b/>
        </w:rPr>
        <w:t>Precedentes:</w:t>
      </w:r>
    </w:p>
    <w:p w14:paraId="298E1F85" w14:textId="77777777" w:rsidR="002712AF" w:rsidRPr="00AB5B4A" w:rsidRDefault="002712AF" w:rsidP="002712AF">
      <w:pPr>
        <w:pStyle w:val="Citas"/>
        <w:numPr>
          <w:ilvl w:val="0"/>
          <w:numId w:val="27"/>
        </w:numPr>
        <w:rPr>
          <w:color w:val="000000"/>
        </w:rPr>
      </w:pPr>
      <w:r w:rsidRPr="00AB5B4A">
        <w:lastRenderedPageBreak/>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4C5BEB4F" w14:textId="77777777" w:rsidR="002712AF" w:rsidRPr="00AB5B4A" w:rsidRDefault="002712AF" w:rsidP="002712AF">
      <w:pPr>
        <w:pStyle w:val="Citas"/>
        <w:numPr>
          <w:ilvl w:val="0"/>
          <w:numId w:val="27"/>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D5F262A" w14:textId="77777777" w:rsidR="002712AF" w:rsidRPr="00AB5B4A" w:rsidRDefault="002712AF" w:rsidP="002712AF">
      <w:pPr>
        <w:pStyle w:val="Citas"/>
        <w:numPr>
          <w:ilvl w:val="0"/>
          <w:numId w:val="27"/>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46480BC0" w14:textId="77777777" w:rsidR="002712AF" w:rsidRDefault="002712AF" w:rsidP="002712AF">
      <w:pPr>
        <w:spacing w:before="240" w:line="360" w:lineRule="auto"/>
        <w:jc w:val="both"/>
        <w:rPr>
          <w:rFonts w:ascii="Palatino Linotype" w:hAnsi="Palatino Linotype"/>
          <w:sz w:val="24"/>
          <w:szCs w:val="24"/>
        </w:rPr>
      </w:pPr>
    </w:p>
    <w:p w14:paraId="54F78D34" w14:textId="77777777" w:rsidR="002712AF" w:rsidRPr="0051062B" w:rsidRDefault="002712AF" w:rsidP="002712AF">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7F0F688" w14:textId="77777777" w:rsidR="002712AF" w:rsidRPr="0051062B" w:rsidRDefault="002712AF" w:rsidP="002712A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2E95CD" w14:textId="77777777" w:rsidR="002712AF" w:rsidRPr="0051062B" w:rsidRDefault="002712AF" w:rsidP="002712AF">
      <w:pPr>
        <w:pStyle w:val="Citas"/>
        <w:rPr>
          <w:b/>
        </w:rPr>
      </w:pPr>
      <w:r w:rsidRPr="0051062B">
        <w:rPr>
          <w:b/>
        </w:rPr>
        <w:t xml:space="preserve">Artículo 181. … </w:t>
      </w:r>
    </w:p>
    <w:p w14:paraId="40359D82" w14:textId="77777777" w:rsidR="002712AF" w:rsidRDefault="002712AF" w:rsidP="002712A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4060880" w14:textId="77777777" w:rsidR="002712AF" w:rsidRPr="00074A76" w:rsidRDefault="002712AF" w:rsidP="002712AF">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3E345036" w14:textId="4125CE78" w:rsidR="002712AF" w:rsidRPr="002712AF" w:rsidRDefault="002712AF" w:rsidP="002712AF">
      <w:pPr>
        <w:pStyle w:val="Prrafodelista"/>
        <w:numPr>
          <w:ilvl w:val="0"/>
          <w:numId w:val="28"/>
        </w:numPr>
        <w:spacing w:before="240" w:line="360" w:lineRule="auto"/>
        <w:jc w:val="both"/>
        <w:rPr>
          <w:rFonts w:ascii="Palatino Linotype" w:hAnsi="Palatino Linotype"/>
        </w:rPr>
      </w:pPr>
      <w:r>
        <w:rPr>
          <w:rFonts w:ascii="Palatino Linotype" w:hAnsi="Palatino Linotype"/>
        </w:rPr>
        <w:t xml:space="preserve">El o </w:t>
      </w:r>
      <w:r w:rsidRPr="004D035F">
        <w:rPr>
          <w:rFonts w:ascii="Palatino Linotype" w:hAnsi="Palatino Linotype"/>
        </w:rPr>
        <w:t xml:space="preserve">los documentos donde conste </w:t>
      </w:r>
      <w:r w:rsidR="004D035F" w:rsidRPr="004D035F">
        <w:rPr>
          <w:rFonts w:ascii="Palatino Linotype" w:hAnsi="Palatino Linotype"/>
        </w:rPr>
        <w:t>el pago</w:t>
      </w:r>
      <w:r w:rsidR="004D035F">
        <w:rPr>
          <w:rFonts w:ascii="Palatino Linotype" w:hAnsi="Palatino Linotype"/>
        </w:rPr>
        <w:t xml:space="preserve"> del impuesto predial y otros servicios prestados por el Municipio de Tlalnepantla de Baz a los habitantes del edificio D2 3 en la Unidad Habitacional de Tenayo, del periodo comprendido del uno de enero de dos mil veintiuno al diecisiete de agosto de dos mil veintidós. </w:t>
      </w:r>
    </w:p>
    <w:p w14:paraId="394F5499" w14:textId="77777777" w:rsidR="003B1D2D" w:rsidRDefault="003B1D2D" w:rsidP="00384029">
      <w:pPr>
        <w:spacing w:line="360" w:lineRule="auto"/>
        <w:jc w:val="both"/>
        <w:rPr>
          <w:rFonts w:ascii="Palatino Linotype" w:hAnsi="Palatino Linotype"/>
          <w:bCs/>
          <w:sz w:val="24"/>
          <w:szCs w:val="24"/>
        </w:rPr>
      </w:pPr>
    </w:p>
    <w:p w14:paraId="60894BC3" w14:textId="77777777" w:rsidR="003B1D2D" w:rsidRDefault="003B1D2D" w:rsidP="003B1D2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Una vez sentado lo anterior, en una aproximación inicial resulta oportuno traer a colación el artículo 31, fracción IV de la Constitución Política de los Estados Unidos Mexicanos cuyo contenido literal es el siguiente:</w:t>
      </w:r>
    </w:p>
    <w:p w14:paraId="0E2C74E6" w14:textId="72EBCBD2" w:rsidR="003B1D2D" w:rsidRPr="00B3742E" w:rsidRDefault="003B1D2D" w:rsidP="003B1D2D">
      <w:pPr>
        <w:spacing w:before="240" w:line="360" w:lineRule="auto"/>
        <w:ind w:left="851" w:right="851"/>
        <w:jc w:val="both"/>
        <w:rPr>
          <w:rFonts w:ascii="Palatino Linotype" w:hAnsi="Palatino Linotype" w:cs="Arial"/>
          <w:i/>
          <w:iCs/>
        </w:rPr>
      </w:pPr>
      <w:r>
        <w:rPr>
          <w:rFonts w:ascii="Palatino Linotype" w:hAnsi="Palatino Linotype" w:cs="Arial"/>
          <w:i/>
          <w:iCs/>
        </w:rPr>
        <w:t>“</w:t>
      </w:r>
      <w:r w:rsidRPr="00B3742E">
        <w:rPr>
          <w:rFonts w:ascii="Palatino Linotype" w:hAnsi="Palatino Linotype" w:cs="Arial"/>
          <w:i/>
          <w:iCs/>
        </w:rPr>
        <w:t>Artícul</w:t>
      </w:r>
      <w:r w:rsidRPr="00B3742E">
        <w:rPr>
          <w:rStyle w:val="highlight"/>
          <w:rFonts w:ascii="Palatino Linotype" w:hAnsi="Palatino Linotype" w:cs="Arial"/>
          <w:i/>
          <w:iCs/>
        </w:rPr>
        <w:t>o 31</w:t>
      </w:r>
      <w:r w:rsidRPr="00B3742E">
        <w:rPr>
          <w:rFonts w:ascii="Palatino Linotype" w:hAnsi="Palatino Linotype" w:cs="Arial"/>
          <w:i/>
          <w:iCs/>
        </w:rPr>
        <w:t>.</w:t>
      </w:r>
      <w:r w:rsidR="00963842">
        <w:rPr>
          <w:rFonts w:ascii="Palatino Linotype" w:hAnsi="Palatino Linotype" w:cs="Arial"/>
          <w:i/>
          <w:iCs/>
        </w:rPr>
        <w:t xml:space="preserve"> </w:t>
      </w:r>
      <w:r w:rsidRPr="00B3742E">
        <w:rPr>
          <w:rFonts w:ascii="Palatino Linotype" w:hAnsi="Palatino Linotype" w:cs="Arial"/>
          <w:i/>
          <w:iCs/>
        </w:rPr>
        <w:t>Son obligaciones de los mexicanos:</w:t>
      </w:r>
    </w:p>
    <w:p w14:paraId="5A8D5519" w14:textId="77777777" w:rsidR="003B1D2D" w:rsidRPr="00B3742E" w:rsidRDefault="003B1D2D" w:rsidP="003B1D2D">
      <w:pPr>
        <w:spacing w:before="240" w:line="360" w:lineRule="auto"/>
        <w:ind w:left="851" w:right="851"/>
        <w:jc w:val="both"/>
        <w:rPr>
          <w:rFonts w:ascii="Palatino Linotype" w:hAnsi="Palatino Linotype" w:cs="Arial"/>
          <w:i/>
          <w:iCs/>
        </w:rPr>
      </w:pPr>
      <w:r w:rsidRPr="00B3742E">
        <w:rPr>
          <w:rFonts w:ascii="Palatino Linotype" w:hAnsi="Palatino Linotype" w:cs="Arial"/>
          <w:i/>
          <w:iCs/>
        </w:rPr>
        <w:t>(…)</w:t>
      </w:r>
    </w:p>
    <w:p w14:paraId="7B068D19" w14:textId="77777777" w:rsidR="003B1D2D" w:rsidRPr="00F0629B" w:rsidRDefault="003B1D2D" w:rsidP="003B1D2D">
      <w:pPr>
        <w:spacing w:before="240" w:line="360" w:lineRule="auto"/>
        <w:ind w:left="851" w:right="851"/>
        <w:jc w:val="both"/>
        <w:rPr>
          <w:rFonts w:ascii="Palatino Linotype" w:hAnsi="Palatino Linotype" w:cs="Arial"/>
          <w:b/>
          <w:bCs/>
          <w:i/>
          <w:iCs/>
          <w:u w:val="single"/>
        </w:rPr>
      </w:pPr>
      <w:r w:rsidRPr="00F0629B">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14:paraId="4560034C" w14:textId="77777777" w:rsidR="003B1D2D" w:rsidRPr="00B3742E" w:rsidRDefault="003B1D2D" w:rsidP="003B1D2D">
      <w:pPr>
        <w:spacing w:before="240" w:line="360" w:lineRule="auto"/>
        <w:ind w:left="851" w:right="851"/>
        <w:jc w:val="both"/>
        <w:rPr>
          <w:rFonts w:ascii="Palatino Linotype" w:hAnsi="Palatino Linotype"/>
          <w:b/>
          <w:bCs/>
          <w:i/>
          <w:iCs/>
        </w:rPr>
      </w:pPr>
      <w:r>
        <w:rPr>
          <w:rFonts w:ascii="Palatino Linotype" w:hAnsi="Palatino Linotype" w:cs="Arial"/>
          <w:i/>
          <w:iCs/>
        </w:rPr>
        <w:t xml:space="preserve">(…)” </w:t>
      </w:r>
      <w:r>
        <w:rPr>
          <w:rFonts w:ascii="Palatino Linotype" w:hAnsi="Palatino Linotype" w:cs="Arial"/>
          <w:b/>
          <w:bCs/>
          <w:i/>
          <w:iCs/>
        </w:rPr>
        <w:t>[Sic]</w:t>
      </w:r>
    </w:p>
    <w:p w14:paraId="0F6B6755" w14:textId="77777777" w:rsidR="003B1D2D" w:rsidRDefault="003B1D2D" w:rsidP="003B1D2D">
      <w:pPr>
        <w:tabs>
          <w:tab w:val="left" w:pos="709"/>
        </w:tabs>
        <w:spacing w:before="240" w:line="360" w:lineRule="auto"/>
        <w:ind w:right="51"/>
        <w:jc w:val="both"/>
        <w:rPr>
          <w:rFonts w:ascii="Palatino Linotype" w:hAnsi="Palatino Linotype"/>
          <w:b/>
          <w:lang w:val="es-ES"/>
        </w:rPr>
      </w:pPr>
    </w:p>
    <w:p w14:paraId="2667F0DC" w14:textId="77777777" w:rsidR="003B1D2D" w:rsidRDefault="003B1D2D" w:rsidP="003B1D2D">
      <w:pPr>
        <w:spacing w:after="0" w:line="360" w:lineRule="auto"/>
        <w:jc w:val="both"/>
        <w:rPr>
          <w:rFonts w:ascii="Palatino Linotype" w:hAnsi="Palatino Linotype"/>
          <w:sz w:val="24"/>
          <w:szCs w:val="24"/>
        </w:rPr>
      </w:pPr>
      <w:r>
        <w:rPr>
          <w:rFonts w:ascii="Palatino Linotype" w:hAnsi="Palatino Linotype"/>
          <w:sz w:val="24"/>
          <w:szCs w:val="24"/>
        </w:rPr>
        <w:lastRenderedPageBreak/>
        <w:t>En atención a lo descrito, resulta inconcusa la existencia de una obligación impuesta por nuestra Carta Magna a todo ciudadano mexicano para contribuir a los gastos públicos, lo anterior en atención a los principios de:</w:t>
      </w:r>
    </w:p>
    <w:p w14:paraId="7C8FFE9C" w14:textId="77777777" w:rsidR="003B1D2D" w:rsidRDefault="003B1D2D" w:rsidP="003B1D2D">
      <w:pPr>
        <w:pStyle w:val="Prrafodelista"/>
        <w:numPr>
          <w:ilvl w:val="0"/>
          <w:numId w:val="29"/>
        </w:numPr>
        <w:spacing w:line="360" w:lineRule="auto"/>
        <w:jc w:val="both"/>
        <w:rPr>
          <w:rFonts w:ascii="Palatino Linotype" w:hAnsi="Palatino Linotype"/>
        </w:rPr>
      </w:pPr>
      <w:r>
        <w:rPr>
          <w:rFonts w:ascii="Palatino Linotype" w:hAnsi="Palatino Linotype"/>
        </w:rPr>
        <w:t>P</w:t>
      </w:r>
      <w:r w:rsidRPr="00F0629B">
        <w:rPr>
          <w:rFonts w:ascii="Palatino Linotype" w:hAnsi="Palatino Linotype"/>
        </w:rPr>
        <w:t>roporcionalidad</w:t>
      </w:r>
      <w:r>
        <w:rPr>
          <w:rFonts w:ascii="Palatino Linotype" w:hAnsi="Palatino Linotype"/>
        </w:rPr>
        <w:t xml:space="preserve">: Que cada ciudadano tribute de acuerdo con su riqueza, ingresos o posibilidades económicas y que dicha aportación sea la mínima posible para no ahuyentar o empobrecer al contribuyente. </w:t>
      </w:r>
    </w:p>
    <w:p w14:paraId="3B27ACF2" w14:textId="77777777" w:rsidR="003B1D2D" w:rsidRDefault="003B1D2D" w:rsidP="003B1D2D">
      <w:pPr>
        <w:pStyle w:val="Prrafodelista"/>
        <w:numPr>
          <w:ilvl w:val="0"/>
          <w:numId w:val="2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 xml:space="preserve">Equidad: Que el impacto del gravamen sea el mismo para todas las personas físicas o morales colocadas en la misma circunstancia contributiva, trato igual frente a sujetos iguales y desigual entre desiguales. </w:t>
      </w:r>
    </w:p>
    <w:p w14:paraId="7C228691" w14:textId="77777777" w:rsidR="003B1D2D" w:rsidRDefault="003B1D2D" w:rsidP="003B1D2D">
      <w:pPr>
        <w:pStyle w:val="Prrafodelista"/>
        <w:numPr>
          <w:ilvl w:val="0"/>
          <w:numId w:val="2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D</w:t>
      </w:r>
      <w:r w:rsidRPr="00F0629B">
        <w:rPr>
          <w:rFonts w:ascii="Palatino Linotype" w:hAnsi="Palatino Linotype"/>
        </w:rPr>
        <w:t>estino</w:t>
      </w:r>
      <w:r>
        <w:rPr>
          <w:rFonts w:ascii="Palatino Linotype" w:hAnsi="Palatino Linotype"/>
        </w:rPr>
        <w:t xml:space="preserve">: Para el sostenimiento de los gastos públicos. </w:t>
      </w:r>
    </w:p>
    <w:p w14:paraId="539173E4" w14:textId="77777777" w:rsidR="003B1D2D" w:rsidRDefault="003B1D2D" w:rsidP="003B1D2D">
      <w:pPr>
        <w:pStyle w:val="Prrafodelista"/>
        <w:numPr>
          <w:ilvl w:val="0"/>
          <w:numId w:val="2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L</w:t>
      </w:r>
      <w:r w:rsidRPr="00F0629B">
        <w:rPr>
          <w:rFonts w:ascii="Palatino Linotype" w:hAnsi="Palatino Linotype"/>
        </w:rPr>
        <w:t>egalidad</w:t>
      </w:r>
      <w:r>
        <w:rPr>
          <w:rFonts w:ascii="Palatino Linotype" w:hAnsi="Palatino Linotype"/>
        </w:rPr>
        <w:t xml:space="preserve">: La contribución invariablemente debe de estar prevista en ley. </w:t>
      </w:r>
    </w:p>
    <w:p w14:paraId="0E17DE8D" w14:textId="77777777" w:rsidR="003B1D2D" w:rsidRPr="00F0629B" w:rsidRDefault="003B1D2D" w:rsidP="003B1D2D">
      <w:pPr>
        <w:pStyle w:val="Prrafodelista"/>
        <w:numPr>
          <w:ilvl w:val="0"/>
          <w:numId w:val="29"/>
        </w:numPr>
        <w:spacing w:line="360" w:lineRule="auto"/>
        <w:jc w:val="both"/>
        <w:rPr>
          <w:rFonts w:ascii="Palatino Linotype" w:hAnsi="Palatino Linotype"/>
        </w:rPr>
      </w:pPr>
      <w:r w:rsidRPr="00F0629B">
        <w:rPr>
          <w:rFonts w:ascii="Palatino Linotype" w:hAnsi="Palatino Linotype"/>
        </w:rPr>
        <w:t xml:space="preserve"> </w:t>
      </w:r>
      <w:r>
        <w:rPr>
          <w:rFonts w:ascii="Palatino Linotype" w:hAnsi="Palatino Linotype"/>
        </w:rPr>
        <w:t>É</w:t>
      </w:r>
      <w:r w:rsidRPr="00F0629B">
        <w:rPr>
          <w:rFonts w:ascii="Palatino Linotype" w:hAnsi="Palatino Linotype"/>
        </w:rPr>
        <w:t>poca de pago</w:t>
      </w:r>
      <w:r>
        <w:rPr>
          <w:rFonts w:ascii="Palatino Linotype" w:hAnsi="Palatino Linotype"/>
        </w:rPr>
        <w:t xml:space="preserve">: Conforme a lo establecido en la normatividad aplicable. </w:t>
      </w:r>
    </w:p>
    <w:p w14:paraId="44C19034" w14:textId="77777777" w:rsidR="003B1D2D" w:rsidRDefault="003B1D2D" w:rsidP="003B1D2D">
      <w:pPr>
        <w:tabs>
          <w:tab w:val="left" w:pos="709"/>
        </w:tabs>
        <w:spacing w:before="240" w:line="360" w:lineRule="auto"/>
        <w:ind w:right="51"/>
        <w:jc w:val="both"/>
        <w:rPr>
          <w:rFonts w:ascii="Palatino Linotype" w:hAnsi="Palatino Linotype"/>
          <w:b/>
          <w:lang w:val="es-ES"/>
        </w:rPr>
      </w:pPr>
    </w:p>
    <w:p w14:paraId="50C5F195" w14:textId="77777777" w:rsidR="003B1D2D" w:rsidRDefault="003B1D2D" w:rsidP="003B1D2D">
      <w:pPr>
        <w:spacing w:after="0" w:line="360" w:lineRule="auto"/>
        <w:jc w:val="both"/>
        <w:rPr>
          <w:rFonts w:ascii="Palatino Linotype" w:hAnsi="Palatino Linotype"/>
          <w:sz w:val="24"/>
          <w:szCs w:val="24"/>
        </w:rPr>
      </w:pPr>
      <w:r>
        <w:rPr>
          <w:rFonts w:ascii="Palatino Linotype" w:hAnsi="Palatino Linotype"/>
          <w:sz w:val="24"/>
          <w:szCs w:val="24"/>
        </w:rPr>
        <w:t xml:space="preserve">De manera complementaria, resulta oportuno mencionar que los ingresos del Estado se dividen en tributarios, </w:t>
      </w:r>
      <w:r w:rsidRPr="005E7231">
        <w:rPr>
          <w:rFonts w:ascii="Palatino Linotype" w:hAnsi="Palatino Linotype"/>
          <w:b/>
          <w:sz w:val="24"/>
          <w:szCs w:val="24"/>
          <w:u w:val="single"/>
        </w:rPr>
        <w:t>no tributarios</w:t>
      </w:r>
      <w:r>
        <w:rPr>
          <w:rFonts w:ascii="Palatino Linotype" w:hAnsi="Palatino Linotype"/>
          <w:sz w:val="24"/>
          <w:szCs w:val="24"/>
        </w:rPr>
        <w:t xml:space="preserve"> y financieros; los cuales a su vez engloban las siguientes sub-categorías:</w:t>
      </w:r>
    </w:p>
    <w:p w14:paraId="54D1C109" w14:textId="77777777" w:rsidR="003B1D2D" w:rsidRDefault="003B1D2D" w:rsidP="003B1D2D">
      <w:pPr>
        <w:spacing w:after="0" w:line="360" w:lineRule="auto"/>
        <w:jc w:val="both"/>
        <w:rPr>
          <w:rFonts w:ascii="Palatino Linotype" w:hAnsi="Palatino Linotype"/>
          <w:sz w:val="24"/>
          <w:szCs w:val="24"/>
        </w:rPr>
      </w:pPr>
    </w:p>
    <w:p w14:paraId="00D8F2BE" w14:textId="77777777" w:rsidR="003B1D2D" w:rsidRPr="0034637B" w:rsidRDefault="003B1D2D" w:rsidP="003B1D2D">
      <w:pPr>
        <w:spacing w:after="0" w:line="360" w:lineRule="auto"/>
        <w:jc w:val="both"/>
        <w:rPr>
          <w:rFonts w:ascii="Palatino Linotype" w:hAnsi="Palatino Linotype"/>
          <w:b/>
          <w:sz w:val="24"/>
          <w:szCs w:val="24"/>
        </w:rPr>
      </w:pPr>
      <w:r>
        <w:rPr>
          <w:rFonts w:ascii="Palatino Linotype" w:hAnsi="Palatino Linotype"/>
          <w:b/>
          <w:sz w:val="24"/>
          <w:szCs w:val="24"/>
        </w:rPr>
        <w:t>Ingresos tributarios</w:t>
      </w:r>
    </w:p>
    <w:p w14:paraId="1DE502DF" w14:textId="77777777" w:rsidR="003B1D2D" w:rsidRPr="00950E85" w:rsidRDefault="003B1D2D" w:rsidP="003B1D2D">
      <w:pPr>
        <w:pStyle w:val="Prrafodelista"/>
        <w:numPr>
          <w:ilvl w:val="0"/>
          <w:numId w:val="30"/>
        </w:numPr>
        <w:spacing w:line="360" w:lineRule="auto"/>
        <w:jc w:val="both"/>
        <w:rPr>
          <w:rFonts w:ascii="Palatino Linotype" w:hAnsi="Palatino Linotype"/>
          <w:b/>
          <w:u w:val="single"/>
        </w:rPr>
      </w:pPr>
      <w:r w:rsidRPr="00950E85">
        <w:rPr>
          <w:rFonts w:ascii="Palatino Linotype" w:hAnsi="Palatino Linotype"/>
          <w:b/>
          <w:u w:val="single"/>
        </w:rPr>
        <w:t>Impuestos</w:t>
      </w:r>
    </w:p>
    <w:p w14:paraId="75ABE00E" w14:textId="77777777" w:rsidR="003B1D2D" w:rsidRDefault="003B1D2D" w:rsidP="003B1D2D">
      <w:pPr>
        <w:pStyle w:val="Prrafodelista"/>
        <w:numPr>
          <w:ilvl w:val="0"/>
          <w:numId w:val="30"/>
        </w:numPr>
        <w:spacing w:line="360" w:lineRule="auto"/>
        <w:jc w:val="both"/>
        <w:rPr>
          <w:rFonts w:ascii="Palatino Linotype" w:hAnsi="Palatino Linotype"/>
        </w:rPr>
      </w:pPr>
      <w:r>
        <w:rPr>
          <w:rFonts w:ascii="Palatino Linotype" w:hAnsi="Palatino Linotype"/>
        </w:rPr>
        <w:t>Aportaciones de Seguridad Social</w:t>
      </w:r>
    </w:p>
    <w:p w14:paraId="5DBF6385" w14:textId="77777777" w:rsidR="003B1D2D" w:rsidRDefault="003B1D2D" w:rsidP="003B1D2D">
      <w:pPr>
        <w:pStyle w:val="Prrafodelista"/>
        <w:numPr>
          <w:ilvl w:val="0"/>
          <w:numId w:val="30"/>
        </w:numPr>
        <w:spacing w:line="360" w:lineRule="auto"/>
        <w:jc w:val="both"/>
        <w:rPr>
          <w:rFonts w:ascii="Palatino Linotype" w:hAnsi="Palatino Linotype"/>
        </w:rPr>
      </w:pPr>
      <w:r>
        <w:rPr>
          <w:rFonts w:ascii="Palatino Linotype" w:hAnsi="Palatino Linotype"/>
        </w:rPr>
        <w:t>Derechos</w:t>
      </w:r>
    </w:p>
    <w:p w14:paraId="1259D33D" w14:textId="77777777" w:rsidR="003B1D2D" w:rsidRDefault="003B1D2D" w:rsidP="003B1D2D">
      <w:pPr>
        <w:pStyle w:val="Prrafodelista"/>
        <w:numPr>
          <w:ilvl w:val="0"/>
          <w:numId w:val="30"/>
        </w:numPr>
        <w:spacing w:line="360" w:lineRule="auto"/>
        <w:jc w:val="both"/>
        <w:rPr>
          <w:rFonts w:ascii="Palatino Linotype" w:hAnsi="Palatino Linotype"/>
        </w:rPr>
      </w:pPr>
      <w:r>
        <w:rPr>
          <w:rFonts w:ascii="Palatino Linotype" w:hAnsi="Palatino Linotype"/>
        </w:rPr>
        <w:t>Contribuciones especiales</w:t>
      </w:r>
    </w:p>
    <w:p w14:paraId="1B09908C" w14:textId="77777777" w:rsidR="003B1D2D" w:rsidRPr="00637233" w:rsidRDefault="003B1D2D" w:rsidP="003B1D2D">
      <w:pPr>
        <w:pStyle w:val="Prrafodelista"/>
        <w:numPr>
          <w:ilvl w:val="0"/>
          <w:numId w:val="30"/>
        </w:numPr>
        <w:spacing w:line="360" w:lineRule="auto"/>
        <w:jc w:val="both"/>
        <w:rPr>
          <w:rFonts w:ascii="Palatino Linotype" w:hAnsi="Palatino Linotype"/>
        </w:rPr>
      </w:pPr>
      <w:r>
        <w:rPr>
          <w:rFonts w:ascii="Palatino Linotype" w:hAnsi="Palatino Linotype"/>
        </w:rPr>
        <w:t xml:space="preserve">Accesorios de las contribuciones. </w:t>
      </w:r>
    </w:p>
    <w:p w14:paraId="31212DB9" w14:textId="77777777" w:rsidR="003B1D2D" w:rsidRPr="0034637B" w:rsidRDefault="003B1D2D" w:rsidP="003B1D2D">
      <w:pPr>
        <w:tabs>
          <w:tab w:val="left" w:pos="709"/>
        </w:tabs>
        <w:spacing w:before="240" w:line="360" w:lineRule="auto"/>
        <w:ind w:right="51"/>
        <w:jc w:val="both"/>
        <w:rPr>
          <w:rFonts w:ascii="Palatino Linotype" w:hAnsi="Palatino Linotype"/>
          <w:b/>
          <w:sz w:val="24"/>
          <w:szCs w:val="24"/>
          <w:lang w:val="es-ES"/>
        </w:rPr>
      </w:pPr>
      <w:r w:rsidRPr="0034637B">
        <w:rPr>
          <w:rFonts w:ascii="Palatino Linotype" w:hAnsi="Palatino Linotype"/>
          <w:b/>
          <w:sz w:val="24"/>
          <w:szCs w:val="24"/>
          <w:lang w:val="es-ES"/>
        </w:rPr>
        <w:lastRenderedPageBreak/>
        <w:t>Ingresos no tributarios</w:t>
      </w:r>
    </w:p>
    <w:p w14:paraId="60E3ED3E" w14:textId="77777777" w:rsidR="003B1D2D" w:rsidRPr="00950E85" w:rsidRDefault="003B1D2D" w:rsidP="003B1D2D">
      <w:pPr>
        <w:pStyle w:val="Prrafodelista"/>
        <w:numPr>
          <w:ilvl w:val="0"/>
          <w:numId w:val="30"/>
        </w:numPr>
        <w:spacing w:line="360" w:lineRule="auto"/>
        <w:jc w:val="both"/>
        <w:rPr>
          <w:rFonts w:ascii="Palatino Linotype" w:hAnsi="Palatino Linotype"/>
          <w:bCs/>
        </w:rPr>
      </w:pPr>
      <w:r w:rsidRPr="00950E85">
        <w:rPr>
          <w:rFonts w:ascii="Palatino Linotype" w:hAnsi="Palatino Linotype"/>
          <w:bCs/>
        </w:rPr>
        <w:t>Aprovechamientos (Multas, donativos, entre otros)</w:t>
      </w:r>
    </w:p>
    <w:p w14:paraId="231157F7" w14:textId="77777777" w:rsidR="003B1D2D" w:rsidRPr="00637233" w:rsidRDefault="003B1D2D" w:rsidP="003B1D2D">
      <w:pPr>
        <w:pStyle w:val="Prrafodelista"/>
        <w:numPr>
          <w:ilvl w:val="0"/>
          <w:numId w:val="30"/>
        </w:numPr>
        <w:spacing w:line="360" w:lineRule="auto"/>
        <w:jc w:val="both"/>
        <w:rPr>
          <w:rFonts w:ascii="Palatino Linotype" w:hAnsi="Palatino Linotype"/>
        </w:rPr>
      </w:pPr>
      <w:r>
        <w:rPr>
          <w:rFonts w:ascii="Palatino Linotype" w:hAnsi="Palatino Linotype"/>
        </w:rPr>
        <w:t>Productos</w:t>
      </w:r>
    </w:p>
    <w:p w14:paraId="6B685C8B" w14:textId="77777777" w:rsidR="003B1D2D" w:rsidRDefault="003B1D2D" w:rsidP="003B1D2D">
      <w:pPr>
        <w:tabs>
          <w:tab w:val="left" w:pos="709"/>
        </w:tabs>
        <w:spacing w:before="240" w:line="360" w:lineRule="auto"/>
        <w:ind w:right="51"/>
        <w:jc w:val="both"/>
        <w:rPr>
          <w:rFonts w:ascii="Palatino Linotype" w:hAnsi="Palatino Linotype"/>
          <w:b/>
          <w:lang w:val="es-ES"/>
        </w:rPr>
      </w:pPr>
    </w:p>
    <w:p w14:paraId="1DB33B15" w14:textId="77777777" w:rsidR="003B1D2D" w:rsidRDefault="003B1D2D" w:rsidP="003B1D2D">
      <w:pPr>
        <w:tabs>
          <w:tab w:val="left" w:pos="709"/>
        </w:tabs>
        <w:spacing w:before="240" w:line="360" w:lineRule="auto"/>
        <w:ind w:right="51"/>
        <w:jc w:val="both"/>
        <w:rPr>
          <w:rFonts w:ascii="Palatino Linotype" w:hAnsi="Palatino Linotype"/>
          <w:b/>
          <w:sz w:val="24"/>
          <w:szCs w:val="24"/>
          <w:lang w:val="es-ES"/>
        </w:rPr>
      </w:pPr>
      <w:r w:rsidRPr="0034637B">
        <w:rPr>
          <w:rFonts w:ascii="Palatino Linotype" w:hAnsi="Palatino Linotype"/>
          <w:b/>
          <w:sz w:val="24"/>
          <w:szCs w:val="24"/>
          <w:lang w:val="es-ES"/>
        </w:rPr>
        <w:t>Ingresos financieros</w:t>
      </w:r>
    </w:p>
    <w:p w14:paraId="7FEE4E65" w14:textId="77777777" w:rsidR="003B1D2D" w:rsidRPr="0034637B" w:rsidRDefault="003B1D2D" w:rsidP="003B1D2D">
      <w:pPr>
        <w:pStyle w:val="Prrafodelista"/>
        <w:numPr>
          <w:ilvl w:val="0"/>
          <w:numId w:val="31"/>
        </w:numPr>
        <w:tabs>
          <w:tab w:val="left" w:pos="709"/>
        </w:tabs>
        <w:spacing w:before="240"/>
        <w:ind w:left="714" w:right="51" w:hanging="357"/>
        <w:jc w:val="both"/>
        <w:rPr>
          <w:rFonts w:ascii="Palatino Linotype" w:hAnsi="Palatino Linotype"/>
          <w:b/>
        </w:rPr>
      </w:pPr>
      <w:r>
        <w:rPr>
          <w:rFonts w:ascii="Palatino Linotype" w:hAnsi="Palatino Linotype"/>
        </w:rPr>
        <w:t>Empréstitos</w:t>
      </w:r>
    </w:p>
    <w:p w14:paraId="74427A9D"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b/>
        </w:rPr>
      </w:pPr>
      <w:r>
        <w:rPr>
          <w:rFonts w:ascii="Palatino Linotype" w:hAnsi="Palatino Linotype"/>
        </w:rPr>
        <w:t>Emisión de moneda</w:t>
      </w:r>
    </w:p>
    <w:p w14:paraId="3566D80A"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 xml:space="preserve">Emisión de bonos de deuda pública. </w:t>
      </w:r>
      <w:r w:rsidRPr="005E7231">
        <w:rPr>
          <w:rFonts w:ascii="Palatino Linotype" w:hAnsi="Palatino Linotype"/>
          <w:lang w:val="es-ES_tradnl"/>
        </w:rPr>
        <w:tab/>
      </w:r>
      <w:r w:rsidRPr="005E7231">
        <w:rPr>
          <w:rFonts w:ascii="Palatino Linotype" w:hAnsi="Palatino Linotype"/>
          <w:lang w:val="es-ES_tradnl"/>
        </w:rPr>
        <w:tab/>
      </w:r>
    </w:p>
    <w:p w14:paraId="457ACCFA"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Amortización y conversión de la deuda pública.</w:t>
      </w:r>
    </w:p>
    <w:p w14:paraId="13166864"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Moratorias y renegociaciones.</w:t>
      </w:r>
    </w:p>
    <w:p w14:paraId="5DAF8870"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Devaluaciones.</w:t>
      </w:r>
    </w:p>
    <w:p w14:paraId="32120ECC"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Revaluaciones.</w:t>
      </w:r>
    </w:p>
    <w:p w14:paraId="79CE8757"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Expropiaciones.</w:t>
      </w:r>
    </w:p>
    <w:p w14:paraId="032B0FA4" w14:textId="77777777" w:rsidR="003B1D2D" w:rsidRPr="005E7231"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Decomisos.</w:t>
      </w:r>
    </w:p>
    <w:p w14:paraId="2603C3F2" w14:textId="77777777" w:rsidR="003B1D2D" w:rsidRPr="008F79AB" w:rsidRDefault="003B1D2D" w:rsidP="003B1D2D">
      <w:pPr>
        <w:pStyle w:val="Prrafodelista"/>
        <w:numPr>
          <w:ilvl w:val="0"/>
          <w:numId w:val="31"/>
        </w:numPr>
        <w:tabs>
          <w:tab w:val="left" w:pos="709"/>
        </w:tabs>
        <w:spacing w:before="240"/>
        <w:ind w:left="714" w:right="51" w:hanging="357"/>
        <w:jc w:val="both"/>
        <w:rPr>
          <w:rFonts w:ascii="Palatino Linotype" w:hAnsi="Palatino Linotype"/>
        </w:rPr>
      </w:pPr>
      <w:r w:rsidRPr="005E7231">
        <w:rPr>
          <w:rFonts w:ascii="Palatino Linotype" w:hAnsi="Palatino Linotype"/>
          <w:lang w:val="es-ES_tradnl"/>
        </w:rPr>
        <w:tab/>
        <w:t>Nacionalizaciones.</w:t>
      </w:r>
    </w:p>
    <w:p w14:paraId="02244939" w14:textId="77777777" w:rsidR="003B1D2D" w:rsidRDefault="003B1D2D" w:rsidP="00384029">
      <w:pPr>
        <w:spacing w:line="360" w:lineRule="auto"/>
        <w:jc w:val="both"/>
        <w:rPr>
          <w:rFonts w:ascii="Palatino Linotype" w:hAnsi="Palatino Linotype"/>
          <w:bCs/>
          <w:sz w:val="24"/>
          <w:szCs w:val="24"/>
        </w:rPr>
      </w:pPr>
    </w:p>
    <w:p w14:paraId="73646BEF" w14:textId="77777777" w:rsidR="003B1D2D" w:rsidRDefault="003B1D2D" w:rsidP="00384029">
      <w:pPr>
        <w:spacing w:line="360" w:lineRule="auto"/>
        <w:jc w:val="both"/>
        <w:rPr>
          <w:rFonts w:ascii="Palatino Linotype" w:hAnsi="Palatino Linotype"/>
          <w:bCs/>
          <w:sz w:val="24"/>
          <w:szCs w:val="24"/>
        </w:rPr>
      </w:pPr>
    </w:p>
    <w:p w14:paraId="08257A95" w14:textId="77777777" w:rsidR="003B1D2D" w:rsidRDefault="003B1D2D" w:rsidP="003B1D2D">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0DC4D65" w14:textId="77777777" w:rsidR="003B1D2D" w:rsidRPr="009535E0" w:rsidRDefault="003B1D2D" w:rsidP="003B1D2D">
      <w:pPr>
        <w:tabs>
          <w:tab w:val="left" w:pos="709"/>
        </w:tabs>
        <w:spacing w:before="240" w:line="360" w:lineRule="auto"/>
        <w:ind w:left="851" w:right="851"/>
        <w:jc w:val="both"/>
        <w:rPr>
          <w:rFonts w:ascii="Palatino Linotype" w:hAnsi="Palatino Linotype"/>
          <w:i/>
        </w:rPr>
      </w:pPr>
      <w:r>
        <w:rPr>
          <w:rFonts w:ascii="Palatino Linotype" w:hAnsi="Palatino Linotype"/>
          <w:i/>
        </w:rPr>
        <w:lastRenderedPageBreak/>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3E91D610" w14:textId="77777777" w:rsidR="003B1D2D" w:rsidRPr="009535E0" w:rsidRDefault="003B1D2D" w:rsidP="003B1D2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BCDEA64" w14:textId="77777777" w:rsidR="003B1D2D" w:rsidRPr="00C231A5" w:rsidRDefault="003B1D2D" w:rsidP="003B1D2D">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5A60294" w14:textId="77777777" w:rsidR="003B1D2D" w:rsidRPr="009535E0" w:rsidRDefault="003B1D2D" w:rsidP="003B1D2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BDB22B" w14:textId="77777777" w:rsidR="003B1D2D" w:rsidRDefault="003B1D2D" w:rsidP="003B1D2D">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469039F" w14:textId="77777777" w:rsidR="003B1D2D" w:rsidRPr="00A94BBE" w:rsidRDefault="003B1D2D" w:rsidP="003B1D2D">
      <w:pPr>
        <w:pStyle w:val="INFOEM"/>
        <w:rPr>
          <w:b/>
        </w:rPr>
      </w:pPr>
      <w:r>
        <w:t xml:space="preserve"> (…)” </w:t>
      </w:r>
      <w:r>
        <w:rPr>
          <w:b/>
        </w:rPr>
        <w:t xml:space="preserve">[Sic] </w:t>
      </w:r>
    </w:p>
    <w:p w14:paraId="4B7BDBBD" w14:textId="77777777" w:rsidR="003B1D2D" w:rsidRDefault="003B1D2D" w:rsidP="00384029">
      <w:pPr>
        <w:spacing w:line="360" w:lineRule="auto"/>
        <w:jc w:val="both"/>
        <w:rPr>
          <w:rFonts w:ascii="Palatino Linotype" w:hAnsi="Palatino Linotype"/>
          <w:bCs/>
          <w:sz w:val="24"/>
          <w:szCs w:val="24"/>
        </w:rPr>
      </w:pPr>
    </w:p>
    <w:p w14:paraId="3184D869" w14:textId="434151A1" w:rsidR="003B1D2D" w:rsidRDefault="003B1D2D" w:rsidP="00384029">
      <w:pPr>
        <w:spacing w:line="360" w:lineRule="auto"/>
        <w:jc w:val="both"/>
        <w:rPr>
          <w:rFonts w:ascii="Palatino Linotype" w:hAnsi="Palatino Linotype"/>
          <w:bCs/>
          <w:sz w:val="24"/>
          <w:szCs w:val="24"/>
        </w:rPr>
      </w:pPr>
      <w:r>
        <w:rPr>
          <w:rFonts w:ascii="Palatino Linotype" w:hAnsi="Palatino Linotype" w:cs="Arial"/>
          <w:noProof/>
          <w:sz w:val="24"/>
          <w:szCs w:val="24"/>
          <w:lang w:eastAsia="es-MX"/>
        </w:rPr>
        <w:lastRenderedPageBreak/>
        <w:drawing>
          <wp:anchor distT="0" distB="0" distL="114300" distR="114300" simplePos="0" relativeHeight="251676671" behindDoc="1" locked="0" layoutInCell="1" allowOverlap="1" wp14:anchorId="3A3FDF47" wp14:editId="6B5ACBF1">
            <wp:simplePos x="0" y="0"/>
            <wp:positionH relativeFrom="column">
              <wp:posOffset>-85725</wp:posOffset>
            </wp:positionH>
            <wp:positionV relativeFrom="paragraph">
              <wp:posOffset>19050</wp:posOffset>
            </wp:positionV>
            <wp:extent cx="5715635" cy="3455670"/>
            <wp:effectExtent l="19050" t="19050" r="18415" b="11430"/>
            <wp:wrapThrough wrapText="bothSides">
              <wp:wrapPolygon edited="0">
                <wp:start x="-72" y="-119"/>
                <wp:lineTo x="-72" y="21552"/>
                <wp:lineTo x="21598" y="21552"/>
                <wp:lineTo x="21598" y="-119"/>
                <wp:lineTo x="-72" y="-119"/>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635" cy="3455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F108C9" w14:textId="2BB6060A" w:rsidR="003B1D2D" w:rsidRDefault="00802DC2" w:rsidP="00384029">
      <w:pPr>
        <w:spacing w:line="360" w:lineRule="auto"/>
        <w:jc w:val="both"/>
        <w:rPr>
          <w:rFonts w:ascii="Palatino Linotype" w:hAnsi="Palatino Linotype"/>
          <w:bCs/>
          <w:sz w:val="24"/>
          <w:szCs w:val="24"/>
        </w:rPr>
      </w:pPr>
      <w:r>
        <w:rPr>
          <w:rFonts w:ascii="Palatino Linotype" w:hAnsi="Palatino Linotype"/>
          <w:bCs/>
          <w:noProof/>
          <w:sz w:val="24"/>
          <w:szCs w:val="24"/>
          <w:lang w:eastAsia="es-MX"/>
        </w:rPr>
        <w:drawing>
          <wp:anchor distT="0" distB="0" distL="114300" distR="114300" simplePos="0" relativeHeight="251683840" behindDoc="0" locked="0" layoutInCell="1" allowOverlap="1" wp14:anchorId="7FA66A70" wp14:editId="671C2B3C">
            <wp:simplePos x="0" y="0"/>
            <wp:positionH relativeFrom="column">
              <wp:posOffset>2957830</wp:posOffset>
            </wp:positionH>
            <wp:positionV relativeFrom="paragraph">
              <wp:posOffset>165100</wp:posOffset>
            </wp:positionV>
            <wp:extent cx="2238375" cy="752475"/>
            <wp:effectExtent l="19050" t="19050" r="28575" b="28575"/>
            <wp:wrapThrough wrapText="bothSides">
              <wp:wrapPolygon edited="0">
                <wp:start x="-184" y="-547"/>
                <wp:lineTo x="-184" y="21873"/>
                <wp:lineTo x="21692" y="21873"/>
                <wp:lineTo x="21692" y="-547"/>
                <wp:lineTo x="-184" y="-547"/>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7524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eastAsia="es-MX"/>
        </w:rPr>
        <w:drawing>
          <wp:anchor distT="0" distB="0" distL="114300" distR="114300" simplePos="0" relativeHeight="251682816" behindDoc="0" locked="0" layoutInCell="1" allowOverlap="1" wp14:anchorId="2B003847" wp14:editId="102CEF1E">
            <wp:simplePos x="0" y="0"/>
            <wp:positionH relativeFrom="column">
              <wp:posOffset>224790</wp:posOffset>
            </wp:positionH>
            <wp:positionV relativeFrom="paragraph">
              <wp:posOffset>174625</wp:posOffset>
            </wp:positionV>
            <wp:extent cx="2238375" cy="742950"/>
            <wp:effectExtent l="19050" t="19050" r="28575" b="19050"/>
            <wp:wrapThrough wrapText="bothSides">
              <wp:wrapPolygon edited="0">
                <wp:start x="-184" y="-554"/>
                <wp:lineTo x="-184" y="21600"/>
                <wp:lineTo x="21692" y="21600"/>
                <wp:lineTo x="21692" y="-554"/>
                <wp:lineTo x="-184" y="-554"/>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742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C7E8A0B" w14:textId="149C7272" w:rsidR="003B1D2D" w:rsidRDefault="003B1D2D" w:rsidP="00384029">
      <w:pPr>
        <w:spacing w:line="360" w:lineRule="auto"/>
        <w:jc w:val="both"/>
        <w:rPr>
          <w:rFonts w:ascii="Palatino Linotype" w:hAnsi="Palatino Linotype"/>
          <w:bCs/>
          <w:sz w:val="24"/>
          <w:szCs w:val="24"/>
        </w:rPr>
      </w:pPr>
    </w:p>
    <w:p w14:paraId="4085B11D" w14:textId="507A8740" w:rsidR="003B1D2D" w:rsidRDefault="003B1D2D" w:rsidP="00384029">
      <w:pPr>
        <w:spacing w:line="360" w:lineRule="auto"/>
        <w:jc w:val="both"/>
        <w:rPr>
          <w:rFonts w:ascii="Palatino Linotype" w:hAnsi="Palatino Linotype"/>
          <w:bCs/>
          <w:sz w:val="24"/>
          <w:szCs w:val="24"/>
        </w:rPr>
      </w:pPr>
    </w:p>
    <w:p w14:paraId="698DD5FE" w14:textId="5EF3E27F" w:rsidR="003B1D2D" w:rsidRDefault="003B1D2D" w:rsidP="00384029">
      <w:pPr>
        <w:spacing w:line="360" w:lineRule="auto"/>
        <w:jc w:val="both"/>
        <w:rPr>
          <w:rFonts w:ascii="Palatino Linotype" w:hAnsi="Palatino Linotype"/>
          <w:bCs/>
          <w:sz w:val="24"/>
          <w:szCs w:val="24"/>
        </w:rPr>
      </w:pPr>
    </w:p>
    <w:p w14:paraId="5E79EA53" w14:textId="7847747C" w:rsidR="009041AF" w:rsidRDefault="006831E4" w:rsidP="006831E4">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DF0F8A">
        <w:rPr>
          <w:rFonts w:ascii="Palatino Linotype" w:hAnsi="Palatino Linotype" w:cs="Arial"/>
        </w:rPr>
        <w:t xml:space="preserve">la </w:t>
      </w:r>
      <w:r w:rsidR="00750ECC">
        <w:rPr>
          <w:rFonts w:ascii="Palatino Linotype" w:hAnsi="Palatino Linotype" w:cs="Arial"/>
        </w:rPr>
        <w:t xml:space="preserve">Tesorería, así como la Subtesorería de Ingresos. </w:t>
      </w:r>
      <w:r w:rsidR="009041AF">
        <w:rPr>
          <w:rFonts w:ascii="Palatino Linotype" w:hAnsi="Palatino Linotype" w:cs="Arial"/>
        </w:rPr>
        <w:t xml:space="preserve"> </w:t>
      </w:r>
    </w:p>
    <w:p w14:paraId="7C764121" w14:textId="77777777" w:rsidR="009041AF" w:rsidRDefault="009041AF" w:rsidP="006831E4">
      <w:pPr>
        <w:pStyle w:val="Sinespaciado"/>
        <w:spacing w:line="360" w:lineRule="auto"/>
        <w:jc w:val="both"/>
        <w:rPr>
          <w:rFonts w:ascii="Palatino Linotype" w:hAnsi="Palatino Linotype" w:cs="Arial"/>
        </w:rPr>
      </w:pPr>
    </w:p>
    <w:p w14:paraId="4FADFAC7" w14:textId="55BFDE93" w:rsidR="00750ECC" w:rsidRDefault="00704BD8" w:rsidP="00631ABD">
      <w:pPr>
        <w:pStyle w:val="Sinespaciado"/>
        <w:spacing w:line="360" w:lineRule="auto"/>
        <w:jc w:val="both"/>
        <w:rPr>
          <w:rFonts w:ascii="Palatino Linotype" w:hAnsi="Palatino Linotype" w:cs="Arial"/>
        </w:rPr>
      </w:pPr>
      <w:r>
        <w:rPr>
          <w:rFonts w:ascii="Palatino Linotype" w:hAnsi="Palatino Linotype" w:cs="Arial"/>
        </w:rPr>
        <w:lastRenderedPageBreak/>
        <w:t>En virtud de lo anterior, para delimitar las fronteras conceptuales de la</w:t>
      </w:r>
      <w:r w:rsidR="00750ECC">
        <w:rPr>
          <w:rFonts w:ascii="Palatino Linotype" w:hAnsi="Palatino Linotype" w:cs="Arial"/>
        </w:rPr>
        <w:t>s</w:t>
      </w:r>
      <w:r w:rsidR="00585EC8">
        <w:rPr>
          <w:rFonts w:ascii="Palatino Linotype" w:hAnsi="Palatino Linotype" w:cs="Arial"/>
        </w:rPr>
        <w:t xml:space="preserve"> unidad</w:t>
      </w:r>
      <w:r w:rsidR="00750ECC">
        <w:rPr>
          <w:rFonts w:ascii="Palatino Linotype" w:hAnsi="Palatino Linotype" w:cs="Arial"/>
        </w:rPr>
        <w:t>es</w:t>
      </w:r>
      <w:r w:rsidR="00585EC8">
        <w:rPr>
          <w:rFonts w:ascii="Palatino Linotype" w:hAnsi="Palatino Linotype" w:cs="Arial"/>
        </w:rPr>
        <w:t xml:space="preserve"> administrativa</w:t>
      </w:r>
      <w:r w:rsidR="00750ECC">
        <w:rPr>
          <w:rFonts w:ascii="Palatino Linotype" w:hAnsi="Palatino Linotype" w:cs="Arial"/>
        </w:rPr>
        <w:t>s</w:t>
      </w:r>
      <w:r w:rsidR="00585EC8">
        <w:rPr>
          <w:rFonts w:ascii="Palatino Linotype" w:hAnsi="Palatino Linotype" w:cs="Arial"/>
        </w:rPr>
        <w:t xml:space="preserve"> en cita, </w:t>
      </w:r>
      <w:r w:rsidR="00E5352D">
        <w:rPr>
          <w:rFonts w:ascii="Palatino Linotype" w:hAnsi="Palatino Linotype" w:cs="Arial"/>
        </w:rPr>
        <w:t xml:space="preserve">resulta oportuno traer a colación el </w:t>
      </w:r>
      <w:r w:rsidR="00631ABD">
        <w:rPr>
          <w:rFonts w:ascii="Palatino Linotype" w:hAnsi="Palatino Linotype" w:cs="Arial"/>
        </w:rPr>
        <w:t xml:space="preserve">numeral 95, fracciones I, IV, XIII y XVI de la Ley Orgánica Municipal del Estado de México, así como los artículos </w:t>
      </w:r>
      <w:r w:rsidR="00631ABD" w:rsidRPr="00631ABD">
        <w:rPr>
          <w:rFonts w:ascii="Palatino Linotype" w:hAnsi="Palatino Linotype" w:cs="Arial"/>
        </w:rPr>
        <w:t>120 fracciones V y XVIII, 121 y 122 fracciones I a la V del Reglamento Interno de la Administración Pública Municipal de Tlalnepantla de Baz</w:t>
      </w:r>
      <w:r w:rsidR="00631ABD">
        <w:rPr>
          <w:rFonts w:ascii="Palatino Linotype" w:hAnsi="Palatino Linotype" w:cs="Arial"/>
        </w:rPr>
        <w:t>, porciones normativas que disponen a la literalidad lo siguiente:</w:t>
      </w:r>
    </w:p>
    <w:p w14:paraId="65356F62" w14:textId="3CCA9BEC" w:rsidR="00631ABD" w:rsidRPr="00631ABD" w:rsidRDefault="00631ABD" w:rsidP="00631ABD">
      <w:pPr>
        <w:pStyle w:val="Citas"/>
        <w:jc w:val="center"/>
        <w:rPr>
          <w:b/>
          <w:bCs/>
        </w:rPr>
      </w:pPr>
      <w:r w:rsidRPr="00631ABD">
        <w:rPr>
          <w:b/>
          <w:bCs/>
        </w:rPr>
        <w:t>LEY ORGÁNICA MUNICIPAL DEL ESTADO DE MÉXICO</w:t>
      </w:r>
    </w:p>
    <w:p w14:paraId="2C18C08D" w14:textId="2E2AC7C7" w:rsidR="00E5352D" w:rsidRDefault="00631ABD" w:rsidP="00631ABD">
      <w:pPr>
        <w:pStyle w:val="Citas"/>
      </w:pPr>
      <w:r>
        <w:t>“</w:t>
      </w:r>
      <w:r w:rsidR="00E5352D">
        <w:t xml:space="preserve">Artículo 95.- Son atribuciones del tesorero municipal: </w:t>
      </w:r>
    </w:p>
    <w:p w14:paraId="22C1E516" w14:textId="4C9FA52F" w:rsidR="00750ECC" w:rsidRDefault="00E5352D" w:rsidP="00631ABD">
      <w:pPr>
        <w:pStyle w:val="Citas"/>
      </w:pPr>
      <w:r>
        <w:t>I. Administrar la hacienda pública municipal, de conformidad con las disposiciones legales aplicables;</w:t>
      </w:r>
    </w:p>
    <w:p w14:paraId="2390CC40" w14:textId="20CDE8D6" w:rsidR="00E5352D" w:rsidRDefault="00E5352D" w:rsidP="00631ABD">
      <w:pPr>
        <w:pStyle w:val="Citas"/>
      </w:pPr>
      <w:r>
        <w:t>(…)</w:t>
      </w:r>
    </w:p>
    <w:p w14:paraId="166A30BD" w14:textId="44A0656E" w:rsidR="00E5352D" w:rsidRPr="00950E85" w:rsidRDefault="00E5352D" w:rsidP="00631ABD">
      <w:pPr>
        <w:pStyle w:val="Citas"/>
        <w:rPr>
          <w:b/>
          <w:bCs/>
          <w:u w:val="single"/>
        </w:rPr>
      </w:pPr>
      <w:r w:rsidRPr="00950E85">
        <w:rPr>
          <w:b/>
          <w:bCs/>
          <w:u w:val="single"/>
        </w:rPr>
        <w:t>IV. Llevar los registros contables, financieros y administrativos de los ingresos, egresos, e inventarios;</w:t>
      </w:r>
    </w:p>
    <w:p w14:paraId="585FF9C3" w14:textId="71B3156E" w:rsidR="00E5352D" w:rsidRDefault="00E5352D" w:rsidP="00631ABD">
      <w:pPr>
        <w:pStyle w:val="Citas"/>
      </w:pPr>
      <w:r>
        <w:t>(…)</w:t>
      </w:r>
    </w:p>
    <w:p w14:paraId="7E4A245A" w14:textId="60DF9891" w:rsidR="00E5352D" w:rsidRDefault="00E5352D" w:rsidP="00631ABD">
      <w:pPr>
        <w:pStyle w:val="Citas"/>
      </w:pPr>
      <w:r>
        <w:t>XIII. Elaborar y mantener actualizado el Padrón de Contribuyentes;</w:t>
      </w:r>
    </w:p>
    <w:p w14:paraId="7CECE3D0" w14:textId="755AAEB7" w:rsidR="00E5352D" w:rsidRDefault="00E5352D" w:rsidP="00631ABD">
      <w:pPr>
        <w:pStyle w:val="Citas"/>
      </w:pPr>
      <w:r>
        <w:t>(…)</w:t>
      </w:r>
    </w:p>
    <w:p w14:paraId="32EDA5E8" w14:textId="3A3EDC29" w:rsidR="00E5352D" w:rsidRDefault="00E5352D" w:rsidP="00631ABD">
      <w:pPr>
        <w:pStyle w:val="Citas"/>
      </w:pPr>
      <w:r>
        <w:t>XVI. Glosar oportunamente las cuentas del ayuntamiento;</w:t>
      </w:r>
    </w:p>
    <w:p w14:paraId="1890D395" w14:textId="48D3FE14" w:rsidR="00631ABD" w:rsidRPr="00631ABD" w:rsidRDefault="00631ABD" w:rsidP="00631ABD">
      <w:pPr>
        <w:pStyle w:val="Citas"/>
        <w:rPr>
          <w:b/>
          <w:bCs/>
        </w:rPr>
      </w:pPr>
      <w:r>
        <w:t xml:space="preserve">(…)” </w:t>
      </w:r>
      <w:r>
        <w:rPr>
          <w:b/>
          <w:bCs/>
        </w:rPr>
        <w:t>(Sic)</w:t>
      </w:r>
    </w:p>
    <w:p w14:paraId="1E88B591" w14:textId="16A99789" w:rsidR="00750ECC" w:rsidRDefault="00750ECC" w:rsidP="006831E4">
      <w:pPr>
        <w:pStyle w:val="Sinespaciado"/>
        <w:spacing w:line="360" w:lineRule="auto"/>
        <w:jc w:val="both"/>
        <w:rPr>
          <w:rFonts w:ascii="Palatino Linotype" w:hAnsi="Palatino Linotype" w:cs="Arial"/>
        </w:rPr>
      </w:pPr>
    </w:p>
    <w:p w14:paraId="12168D17" w14:textId="12390120" w:rsidR="00E5352D" w:rsidRPr="00631ABD" w:rsidRDefault="00631ABD" w:rsidP="00950E85">
      <w:pPr>
        <w:pStyle w:val="Citas"/>
        <w:jc w:val="center"/>
        <w:rPr>
          <w:b/>
          <w:bCs/>
        </w:rPr>
      </w:pPr>
      <w:r w:rsidRPr="00631ABD">
        <w:rPr>
          <w:b/>
          <w:bCs/>
        </w:rPr>
        <w:lastRenderedPageBreak/>
        <w:t>REGLAMENTO INTERNO DE LA ADMINISTRACIÓN PÚBLICA MUNICIPAL DE TLALNEPANTLA DE BAZ</w:t>
      </w:r>
    </w:p>
    <w:p w14:paraId="635B7748" w14:textId="5A378770" w:rsidR="00E5352D" w:rsidRDefault="00631ABD" w:rsidP="00631ABD">
      <w:pPr>
        <w:pStyle w:val="Citas"/>
      </w:pPr>
      <w:r>
        <w:t>“</w:t>
      </w:r>
      <w:r w:rsidR="00E5352D">
        <w:t>ARTÍCULO 120. La Tesorería Municipal, además de cumplir con los requisitos y atribuciones que establece la LOMEM, tendrá las siguientes facultades y obligaciones:</w:t>
      </w:r>
    </w:p>
    <w:p w14:paraId="57D8D971" w14:textId="4F8582A8" w:rsidR="00E5352D" w:rsidRDefault="00E5352D" w:rsidP="00631ABD">
      <w:pPr>
        <w:pStyle w:val="Citas"/>
      </w:pPr>
      <w:r>
        <w:t>(…)</w:t>
      </w:r>
    </w:p>
    <w:p w14:paraId="4FF23927" w14:textId="7DF3BC54" w:rsidR="00E5352D" w:rsidRDefault="00E5352D" w:rsidP="00631ABD">
      <w:pPr>
        <w:pStyle w:val="Citas"/>
      </w:pPr>
      <w:r>
        <w:t>V. Mejorar permanentemente los sistemas de recaudación para el fortalecimiento de la Hacienda Municipal;</w:t>
      </w:r>
    </w:p>
    <w:p w14:paraId="0A8CD216" w14:textId="3468FFF3" w:rsidR="00E5352D" w:rsidRDefault="00E5352D" w:rsidP="00631ABD">
      <w:pPr>
        <w:pStyle w:val="Citas"/>
      </w:pPr>
      <w:r>
        <w:t>(…)</w:t>
      </w:r>
    </w:p>
    <w:p w14:paraId="3B2FDCC7" w14:textId="260381BC" w:rsidR="00E5352D" w:rsidRDefault="00631ABD" w:rsidP="00631ABD">
      <w:pPr>
        <w:pStyle w:val="Citas"/>
      </w:pPr>
      <w:r>
        <w:t>XVIII. Firmar los certificados de pago de impuesto predial y en su caso, de aportaciones para mejoras, en forma autógrafa o a través de la firma digital emitida por la Dirección de Servicios Estatales de Informática;</w:t>
      </w:r>
    </w:p>
    <w:p w14:paraId="6F94C829" w14:textId="2F490D23" w:rsidR="00631ABD" w:rsidRDefault="00631ABD" w:rsidP="00631ABD">
      <w:pPr>
        <w:pStyle w:val="Citas"/>
      </w:pPr>
      <w:r>
        <w:t>(…)</w:t>
      </w:r>
    </w:p>
    <w:p w14:paraId="60A1B5DE" w14:textId="28580025" w:rsidR="00631ABD" w:rsidRDefault="00631ABD" w:rsidP="00631ABD">
      <w:pPr>
        <w:pStyle w:val="Citas"/>
      </w:pPr>
      <w:r>
        <w:t xml:space="preserve">ARTÍCULO 121. La Tesorería Municipal contará con un o una titular que será responsable de la conducción, supervisión y ejecución de las atribuciones a que se refiere el artículo que antecede. Y que para su auxilio tendrá a su cargo las siguientes unidades administrativas: </w:t>
      </w:r>
    </w:p>
    <w:p w14:paraId="2222D69B" w14:textId="3C47C4DC" w:rsidR="00631ABD" w:rsidRDefault="00631ABD" w:rsidP="00631ABD">
      <w:pPr>
        <w:pStyle w:val="Citas"/>
      </w:pPr>
      <w:r>
        <w:t xml:space="preserve">I. Subtesorería de Ingresos; </w:t>
      </w:r>
    </w:p>
    <w:p w14:paraId="7A381451" w14:textId="77777777" w:rsidR="00631ABD" w:rsidRDefault="00631ABD" w:rsidP="00631ABD">
      <w:pPr>
        <w:pStyle w:val="Citas"/>
      </w:pPr>
      <w:r>
        <w:t xml:space="preserve">II. Subtesorería deEgresos; </w:t>
      </w:r>
    </w:p>
    <w:p w14:paraId="75C60E82" w14:textId="77777777" w:rsidR="00631ABD" w:rsidRDefault="00631ABD" w:rsidP="00631ABD">
      <w:pPr>
        <w:pStyle w:val="Citas"/>
      </w:pPr>
      <w:r>
        <w:t xml:space="preserve">III. Coordinación de Catastro; </w:t>
      </w:r>
    </w:p>
    <w:p w14:paraId="68EF32B5" w14:textId="77777777" w:rsidR="00631ABD" w:rsidRDefault="00631ABD" w:rsidP="00631ABD">
      <w:pPr>
        <w:pStyle w:val="Citas"/>
      </w:pPr>
      <w:r>
        <w:lastRenderedPageBreak/>
        <w:t xml:space="preserve">IV. Coordinación de Caja General; </w:t>
      </w:r>
    </w:p>
    <w:p w14:paraId="32A1E105" w14:textId="77777777" w:rsidR="00631ABD" w:rsidRDefault="00631ABD" w:rsidP="00631ABD">
      <w:pPr>
        <w:pStyle w:val="Citas"/>
      </w:pPr>
      <w:r>
        <w:t xml:space="preserve">V. Secretaría Particular de la Tesorería; y </w:t>
      </w:r>
    </w:p>
    <w:p w14:paraId="2089C32B" w14:textId="3B792C36" w:rsidR="00631ABD" w:rsidRDefault="00631ABD" w:rsidP="00631ABD">
      <w:pPr>
        <w:pStyle w:val="Citas"/>
      </w:pPr>
      <w:r>
        <w:t>VI. Enlace Administrativo</w:t>
      </w:r>
    </w:p>
    <w:p w14:paraId="6A533C1D" w14:textId="7E73EBD7" w:rsidR="00631ABD" w:rsidRDefault="00631ABD" w:rsidP="00631ABD">
      <w:pPr>
        <w:pStyle w:val="Citas"/>
      </w:pPr>
      <w:r>
        <w:t>(…)</w:t>
      </w:r>
    </w:p>
    <w:p w14:paraId="14E9B4E4" w14:textId="77777777" w:rsidR="00631ABD" w:rsidRDefault="00631ABD" w:rsidP="00631ABD">
      <w:pPr>
        <w:pStyle w:val="Citas"/>
      </w:pPr>
      <w:r>
        <w:t>ARTÍCULO 122. Son facultades y obligaciones de la Subtesorería de Ingresos, las siguientes:</w:t>
      </w:r>
    </w:p>
    <w:p w14:paraId="31E596F7" w14:textId="77777777" w:rsidR="00631ABD" w:rsidRDefault="00631ABD" w:rsidP="00631ABD">
      <w:pPr>
        <w:pStyle w:val="Citas"/>
      </w:pPr>
      <w:r>
        <w:t xml:space="preserve"> I. Proponer y definir conjuntamente con él o la titular de la Tesorería Municipal las políticas de ingresos;</w:t>
      </w:r>
    </w:p>
    <w:p w14:paraId="226D480D" w14:textId="77777777" w:rsidR="00631ABD" w:rsidRPr="00950E85" w:rsidRDefault="00631ABD" w:rsidP="00631ABD">
      <w:pPr>
        <w:pStyle w:val="Citas"/>
        <w:rPr>
          <w:b/>
          <w:bCs/>
          <w:u w:val="single"/>
        </w:rPr>
      </w:pPr>
      <w:r w:rsidRPr="00950E85">
        <w:rPr>
          <w:b/>
          <w:bCs/>
          <w:u w:val="single"/>
        </w:rPr>
        <w:t xml:space="preserve"> II. Registrar, clasificar, controlar, determinar e informar los ingresos que se generen en el Municipio, en base a la Ley de Ingresos de los Municipios del Estado de México y que deban ser registrados por la Tesorería como parte de la cuenta pública; </w:t>
      </w:r>
    </w:p>
    <w:p w14:paraId="0CAF4D4B" w14:textId="77777777" w:rsidR="00631ABD" w:rsidRDefault="00631ABD" w:rsidP="00631ABD">
      <w:pPr>
        <w:pStyle w:val="Citas"/>
      </w:pPr>
      <w:r>
        <w:t xml:space="preserve">III. Integrar conjuntamente con sus unidades administrativas el presupuesto de ingresos, y proponerlo al Tesorero Municipal; </w:t>
      </w:r>
    </w:p>
    <w:p w14:paraId="56C5FB0E" w14:textId="77777777" w:rsidR="00631ABD" w:rsidRDefault="00631ABD" w:rsidP="00631ABD">
      <w:pPr>
        <w:pStyle w:val="Citas"/>
      </w:pPr>
      <w:r>
        <w:t xml:space="preserve">IV. Vigilar la correcta recaudación de las contribuciones que le corresponda cobrar a la Tesorería Municipal; </w:t>
      </w:r>
    </w:p>
    <w:p w14:paraId="402B98A8" w14:textId="3C34F5C9" w:rsidR="00631ABD" w:rsidRDefault="00631ABD" w:rsidP="00631ABD">
      <w:pPr>
        <w:pStyle w:val="Citas"/>
      </w:pPr>
      <w:r>
        <w:t>V. Supervisar la determinación y recaudación de las contribuciones en los términos de los ordenamientos jurídicos aplicables;</w:t>
      </w:r>
    </w:p>
    <w:p w14:paraId="6B6B8855" w14:textId="3A66831F" w:rsidR="00631ABD" w:rsidRPr="00631ABD" w:rsidRDefault="00631ABD" w:rsidP="00631ABD">
      <w:pPr>
        <w:pStyle w:val="Citas"/>
        <w:rPr>
          <w:b/>
          <w:bCs/>
        </w:rPr>
      </w:pPr>
      <w:r>
        <w:t xml:space="preserve">(…)” </w:t>
      </w:r>
      <w:r>
        <w:rPr>
          <w:b/>
          <w:bCs/>
        </w:rPr>
        <w:t>(Sic)</w:t>
      </w:r>
    </w:p>
    <w:p w14:paraId="48E00036" w14:textId="5474FC2C" w:rsidR="00E5352D" w:rsidRDefault="00E5352D" w:rsidP="006831E4">
      <w:pPr>
        <w:pStyle w:val="Sinespaciado"/>
        <w:spacing w:line="360" w:lineRule="auto"/>
        <w:jc w:val="both"/>
        <w:rPr>
          <w:rFonts w:ascii="Palatino Linotype" w:hAnsi="Palatino Linotype" w:cs="Arial"/>
        </w:rPr>
      </w:pPr>
    </w:p>
    <w:p w14:paraId="204BFDEE" w14:textId="7B9555FD" w:rsidR="00802DC2" w:rsidRDefault="00802DC2" w:rsidP="00802DC2">
      <w:pPr>
        <w:spacing w:before="240" w:line="360" w:lineRule="auto"/>
        <w:jc w:val="both"/>
        <w:rPr>
          <w:rFonts w:ascii="Palatino Linotype" w:hAnsi="Palatino Linotype" w:cs="Arial"/>
          <w:sz w:val="24"/>
          <w:szCs w:val="24"/>
        </w:rPr>
      </w:pPr>
      <w:r>
        <w:rPr>
          <w:rFonts w:ascii="Palatino Linotype" w:hAnsi="Palatino Linotype"/>
          <w:sz w:val="24"/>
          <w:szCs w:val="24"/>
        </w:rPr>
        <w:lastRenderedPageBreak/>
        <w:t xml:space="preserve">De ahí que deba arribase a la premisa de que Tesorería Municipal y la Subtesorería de Ingresos resultan las unidades administrativas competentes para generar, poseer y administrar </w:t>
      </w:r>
      <w:r>
        <w:rPr>
          <w:rFonts w:ascii="Palatino Linotype" w:hAnsi="Palatino Linotype" w:cs="Arial"/>
          <w:sz w:val="24"/>
          <w:szCs w:val="24"/>
        </w:rPr>
        <w:t>soportes documentales vinculados con ingresos, egresos, cuentas municipales, entre otros conceptos</w:t>
      </w:r>
      <w:r w:rsidR="00256547">
        <w:rPr>
          <w:rFonts w:ascii="Palatino Linotype" w:hAnsi="Palatino Linotype" w:cs="Arial"/>
          <w:sz w:val="24"/>
          <w:szCs w:val="24"/>
        </w:rPr>
        <w:t>, entre los cuales se engloba el relativo al pago del impuesto predial</w:t>
      </w:r>
      <w:r w:rsidR="00950E85">
        <w:rPr>
          <w:rFonts w:ascii="Palatino Linotype" w:hAnsi="Palatino Linotype" w:cs="Arial"/>
          <w:sz w:val="24"/>
          <w:szCs w:val="24"/>
        </w:rPr>
        <w:t xml:space="preserve"> y otros servicios prestados por el municipio. </w:t>
      </w:r>
      <w:r w:rsidR="00256547">
        <w:rPr>
          <w:rFonts w:ascii="Palatino Linotype" w:hAnsi="Palatino Linotype" w:cs="Arial"/>
          <w:sz w:val="24"/>
          <w:szCs w:val="24"/>
        </w:rPr>
        <w:t xml:space="preserve"> </w:t>
      </w:r>
    </w:p>
    <w:p w14:paraId="2CB6C423" w14:textId="6BD8B3D8" w:rsidR="00256547" w:rsidRDefault="00256547" w:rsidP="00802DC2">
      <w:pPr>
        <w:spacing w:before="240" w:line="360" w:lineRule="auto"/>
        <w:jc w:val="both"/>
        <w:rPr>
          <w:rFonts w:ascii="Palatino Linotype" w:hAnsi="Palatino Linotype" w:cs="Arial"/>
          <w:sz w:val="24"/>
          <w:szCs w:val="24"/>
        </w:rPr>
      </w:pPr>
      <w:r>
        <w:rPr>
          <w:rFonts w:ascii="Palatino Linotype" w:hAnsi="Palatino Linotype" w:cs="Arial"/>
          <w:sz w:val="24"/>
          <w:szCs w:val="24"/>
        </w:rPr>
        <w:t>A mayor abundamiento, resulta de nuestro particular interés traer a colación los numerales 16, 107 y 108 del Código Financiero del Estado de México y Municipios, que dispone a la literalidad lo siguiente:</w:t>
      </w:r>
    </w:p>
    <w:p w14:paraId="7BD09247" w14:textId="4483DE29" w:rsidR="00256547" w:rsidRPr="00256547" w:rsidRDefault="00256547" w:rsidP="00256547">
      <w:pPr>
        <w:pStyle w:val="Citas"/>
      </w:pPr>
      <w:r w:rsidRPr="00256547">
        <w:rPr>
          <w:b/>
        </w:rPr>
        <w:t>“Artículo 16.-</w:t>
      </w:r>
      <w:r w:rsidRPr="00256547">
        <w:t xml:space="preserve"> Son autoridades fiscales, el Gobernador, los ayuntamientos, los presidentes, síndicos y </w:t>
      </w:r>
      <w:r w:rsidRPr="00950E85">
        <w:rPr>
          <w:b/>
          <w:bCs/>
          <w:u w:val="single"/>
        </w:rPr>
        <w:t>tesoreros municipales</w:t>
      </w:r>
      <w:r w:rsidRPr="00256547">
        <w:t xml:space="preserve">, así como los servidores públicos de las dependencias o unidades administrativas, y de los organismos públicos descentralizados, que en términos de las disposiciones legales y reglamentarias tengan atribuciones de esta naturaleza. </w:t>
      </w:r>
    </w:p>
    <w:p w14:paraId="0B889B57" w14:textId="727BF891" w:rsidR="00256547" w:rsidRPr="00256547" w:rsidRDefault="00256547" w:rsidP="00256547">
      <w:pPr>
        <w:pStyle w:val="Citas"/>
      </w:pPr>
      <w:r w:rsidRPr="00256547">
        <w:t>(…)</w:t>
      </w:r>
    </w:p>
    <w:p w14:paraId="12BC21AA" w14:textId="77777777" w:rsidR="00256547" w:rsidRPr="00256547" w:rsidRDefault="00256547" w:rsidP="00256547">
      <w:pPr>
        <w:pStyle w:val="Citas"/>
      </w:pPr>
      <w:r w:rsidRPr="00256547">
        <w:rPr>
          <w:b/>
        </w:rPr>
        <w:t xml:space="preserve">Artículo 55.- </w:t>
      </w:r>
      <w:r w:rsidRPr="00256547">
        <w:t>Los servidores públicos que intervengan en los trámites que regule este Código</w:t>
      </w:r>
      <w:r w:rsidRPr="00950E85">
        <w:rPr>
          <w:u w:val="single"/>
        </w:rPr>
        <w:t xml:space="preserve">, </w:t>
      </w:r>
      <w:r w:rsidRPr="00950E85">
        <w:rPr>
          <w:b/>
          <w:bCs/>
          <w:u w:val="single"/>
        </w:rPr>
        <w:t>están obligados a guardar absoluta reserva y confidencialidad,</w:t>
      </w:r>
      <w:r w:rsidRPr="00256547">
        <w:rPr>
          <w:b/>
          <w:bCs/>
        </w:rPr>
        <w:t xml:space="preserve"> </w:t>
      </w:r>
      <w:r w:rsidRPr="00256547">
        <w:t xml:space="preserve">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 </w:t>
      </w:r>
    </w:p>
    <w:p w14:paraId="56642E0E" w14:textId="77777777" w:rsidR="00256547" w:rsidRPr="00256547" w:rsidRDefault="00256547" w:rsidP="00256547">
      <w:pPr>
        <w:pStyle w:val="Citas"/>
      </w:pPr>
    </w:p>
    <w:p w14:paraId="5C47AADF" w14:textId="77777777" w:rsidR="00256547" w:rsidRPr="00256547" w:rsidRDefault="00256547" w:rsidP="00256547">
      <w:pPr>
        <w:pStyle w:val="Citas"/>
      </w:pPr>
      <w:r w:rsidRPr="00256547">
        <w:lastRenderedPageBreak/>
        <w:t xml:space="preserve">Lo anterior no será aplicable cuando se presenten los siguientes supuestos: </w:t>
      </w:r>
    </w:p>
    <w:p w14:paraId="0EC8E91E" w14:textId="77777777" w:rsidR="00256547" w:rsidRPr="00256547" w:rsidRDefault="00256547" w:rsidP="00256547">
      <w:pPr>
        <w:pStyle w:val="Citas"/>
      </w:pPr>
      <w:r w:rsidRPr="00256547">
        <w:t xml:space="preserve">I. De manera expresa lo disponga el Código; </w:t>
      </w:r>
    </w:p>
    <w:p w14:paraId="4CA3D580" w14:textId="77777777" w:rsidR="00256547" w:rsidRPr="00256547" w:rsidRDefault="00256547" w:rsidP="00256547">
      <w:pPr>
        <w:pStyle w:val="Citas"/>
      </w:pPr>
      <w:r w:rsidRPr="00256547">
        <w:t xml:space="preserve">II. Lo requiera la autoridad competente para la administración o defensa de los intereses de la hacienda pública; </w:t>
      </w:r>
    </w:p>
    <w:p w14:paraId="444272C8" w14:textId="77777777" w:rsidR="00256547" w:rsidRPr="00256547" w:rsidRDefault="00256547" w:rsidP="00256547">
      <w:pPr>
        <w:pStyle w:val="Citas"/>
      </w:pPr>
      <w:r w:rsidRPr="00256547">
        <w:t xml:space="preserve">III. La que soliciten las autoridades judiciales o administrativas encargadas de la procuración de justicia; </w:t>
      </w:r>
    </w:p>
    <w:p w14:paraId="443A2FFB" w14:textId="77777777" w:rsidR="00256547" w:rsidRPr="00256547" w:rsidRDefault="00256547" w:rsidP="00256547">
      <w:pPr>
        <w:pStyle w:val="Citas"/>
      </w:pPr>
      <w:r w:rsidRPr="00256547">
        <w:t xml:space="preserve">IV. Los créditos fiscales, que se encuentren en los siguientes supuestos: </w:t>
      </w:r>
    </w:p>
    <w:p w14:paraId="1409BBDA" w14:textId="77777777" w:rsidR="00256547" w:rsidRPr="00256547" w:rsidRDefault="00256547" w:rsidP="00256547">
      <w:pPr>
        <w:pStyle w:val="Citas"/>
      </w:pPr>
      <w:r w:rsidRPr="00256547">
        <w:t xml:space="preserve">V. Información otorgada a terceros que auxilien a las autoridades fiscales en la búsqueda y localización de contribuyentes. </w:t>
      </w:r>
    </w:p>
    <w:p w14:paraId="54785038" w14:textId="77777777" w:rsidR="00256547" w:rsidRPr="00256547" w:rsidRDefault="00256547" w:rsidP="00256547">
      <w:pPr>
        <w:pStyle w:val="Citas"/>
      </w:pPr>
      <w:r w:rsidRPr="00256547">
        <w:t xml:space="preserve">VI. La información comunicada a las autoridades administrativas o aquellas del ámbito federal que para el ejercicio de sus funciones obtengan datos para fines de transparencia y acceso a la información pública o estadísticos. </w:t>
      </w:r>
    </w:p>
    <w:p w14:paraId="26AA4CC3" w14:textId="77777777" w:rsidR="00256547" w:rsidRPr="00256547" w:rsidRDefault="00256547" w:rsidP="00256547">
      <w:pPr>
        <w:pStyle w:val="Citas"/>
      </w:pPr>
      <w:r w:rsidRPr="00256547">
        <w:t xml:space="preserve">VII. La información que requieran las Dependencias u órganos internos de control, respecto de la presunta comisión de delitos fiscales y de cualquier otra naturaleza, así como para determinar las responsabilidades administrativas de los servidores públicos. </w:t>
      </w:r>
    </w:p>
    <w:p w14:paraId="0AA886D2" w14:textId="77777777" w:rsidR="00256547" w:rsidRPr="00256547" w:rsidRDefault="00256547" w:rsidP="00256547">
      <w:pPr>
        <w:pStyle w:val="Citas"/>
      </w:pPr>
      <w:r w:rsidRPr="00256547">
        <w:rPr>
          <w:b/>
        </w:rPr>
        <w:t>Artículo 107.-</w:t>
      </w:r>
      <w:r w:rsidRPr="00256547">
        <w:t xml:space="preserve"> Están obligadas al pago del </w:t>
      </w:r>
      <w:r w:rsidRPr="00950E85">
        <w:rPr>
          <w:u w:val="single"/>
        </w:rPr>
        <w:t>I</w:t>
      </w:r>
      <w:r w:rsidRPr="00950E85">
        <w:rPr>
          <w:b/>
          <w:bCs/>
          <w:u w:val="single"/>
        </w:rPr>
        <w:t>mpuesto Predial las personas físicas y jurídicas colectivas que sean propietarias o poseedoras, según se trate, de inmuebles en el Estado</w:t>
      </w:r>
      <w:r w:rsidRPr="00256547">
        <w:t xml:space="preserve">. Los propietarios y poseedores a que se refiere el párrafo anterior, deberán calcular anualmente el impuesto predial a su cargo y manifestarlo, </w:t>
      </w:r>
      <w:r w:rsidRPr="00256547">
        <w:lastRenderedPageBreak/>
        <w:t xml:space="preserve">en el mismo formato utilizado para determinar y declarar el valor catastral de sus inmuebles. </w:t>
      </w:r>
    </w:p>
    <w:p w14:paraId="4A5B96F2" w14:textId="77777777" w:rsidR="00256547" w:rsidRPr="00256547" w:rsidRDefault="00256547" w:rsidP="00256547">
      <w:pPr>
        <w:pStyle w:val="Citas"/>
      </w:pPr>
      <w:r w:rsidRPr="00256547">
        <w:rPr>
          <w:b/>
        </w:rPr>
        <w:t>Artículo 108.-</w:t>
      </w:r>
      <w:r w:rsidRPr="00256547">
        <w:t xml:space="preserve"> 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 </w:t>
      </w:r>
    </w:p>
    <w:p w14:paraId="36BAA259" w14:textId="5DDC42B9" w:rsidR="00256547" w:rsidRPr="00256547" w:rsidRDefault="00256547" w:rsidP="00256547">
      <w:pPr>
        <w:pStyle w:val="Citas"/>
        <w:rPr>
          <w:b/>
          <w:bCs/>
        </w:rPr>
      </w:pPr>
      <w:r w:rsidRPr="00256547">
        <w:t xml:space="preserve">(…)” </w:t>
      </w:r>
      <w:r w:rsidRPr="00256547">
        <w:rPr>
          <w:b/>
          <w:bCs/>
        </w:rPr>
        <w:t>(Sic)</w:t>
      </w:r>
    </w:p>
    <w:p w14:paraId="30F30168" w14:textId="77777777" w:rsidR="00256547" w:rsidRPr="00E2777A" w:rsidRDefault="00256547" w:rsidP="00256547">
      <w:pPr>
        <w:spacing w:line="360" w:lineRule="auto"/>
        <w:jc w:val="both"/>
        <w:rPr>
          <w:rFonts w:ascii="Palatino Linotype" w:hAnsi="Palatino Linotype"/>
          <w:highlight w:val="yellow"/>
        </w:rPr>
      </w:pPr>
    </w:p>
    <w:p w14:paraId="7589BAC9" w14:textId="77777777" w:rsidR="00256547" w:rsidRPr="00256547" w:rsidRDefault="00256547" w:rsidP="00256547">
      <w:pPr>
        <w:autoSpaceDE w:val="0"/>
        <w:autoSpaceDN w:val="0"/>
        <w:adjustRightInd w:val="0"/>
        <w:spacing w:line="360" w:lineRule="auto"/>
        <w:jc w:val="both"/>
        <w:rPr>
          <w:rFonts w:ascii="Palatino Linotype" w:hAnsi="Palatino Linotype" w:cs="Arial"/>
          <w:color w:val="000000"/>
          <w:sz w:val="24"/>
          <w:szCs w:val="24"/>
        </w:rPr>
      </w:pPr>
      <w:r w:rsidRPr="00256547">
        <w:rPr>
          <w:rFonts w:ascii="Palatino Linotype" w:hAnsi="Palatino Linotype" w:cs="Arial"/>
          <w:color w:val="000000"/>
          <w:sz w:val="24"/>
          <w:szCs w:val="24"/>
        </w:rPr>
        <w:t xml:space="preserve">De los preceptos normativos referidos, es posible advertir que Código Financiero del Estado de México y Municipios otorga el carácter de autoridad fiscal a los tesoreros municipales, así como los servidores públicos de las dependencias o unidades administrativas que tengan atribuciones de esta naturaleza, los cuales tienen la obligación de guardar reserva y confidencialidad en relación con los trámites regulados por el Código en cita, en cuanto a los datos y documentos que proporcionen los particulares o terceros relacionados con ellos, siendo que dentro de las causales de excepción de la clasificación se prevé cuando autoridad competente o judicial lo requiera, créditos fiscales, auxilien a las autoridades fiscales en la búsqueda y localización de contribuyentes. </w:t>
      </w:r>
    </w:p>
    <w:p w14:paraId="3FCFA037" w14:textId="77777777" w:rsidR="00256547" w:rsidRPr="00AF5EC2" w:rsidRDefault="00256547" w:rsidP="00256547">
      <w:pPr>
        <w:autoSpaceDE w:val="0"/>
        <w:autoSpaceDN w:val="0"/>
        <w:adjustRightInd w:val="0"/>
        <w:spacing w:line="360" w:lineRule="auto"/>
        <w:jc w:val="both"/>
        <w:rPr>
          <w:rFonts w:ascii="Palatino Linotype" w:hAnsi="Palatino Linotype" w:cs="Arial"/>
          <w:color w:val="000000"/>
          <w:szCs w:val="23"/>
        </w:rPr>
      </w:pPr>
    </w:p>
    <w:p w14:paraId="1B4226BD" w14:textId="040EE610" w:rsidR="00256547" w:rsidRPr="00256547" w:rsidRDefault="00256547" w:rsidP="00256547">
      <w:pPr>
        <w:autoSpaceDE w:val="0"/>
        <w:autoSpaceDN w:val="0"/>
        <w:adjustRightInd w:val="0"/>
        <w:spacing w:line="360" w:lineRule="auto"/>
        <w:jc w:val="both"/>
        <w:rPr>
          <w:rFonts w:ascii="Palatino Linotype" w:hAnsi="Palatino Linotype" w:cs="Arial"/>
          <w:color w:val="000000"/>
          <w:sz w:val="24"/>
          <w:szCs w:val="24"/>
        </w:rPr>
      </w:pPr>
      <w:r w:rsidRPr="00256547">
        <w:rPr>
          <w:rFonts w:ascii="Palatino Linotype" w:hAnsi="Palatino Linotype" w:cs="Arial"/>
          <w:color w:val="000000"/>
          <w:sz w:val="24"/>
          <w:szCs w:val="24"/>
        </w:rPr>
        <w:lastRenderedPageBreak/>
        <w:t xml:space="preserve">Asimismo, </w:t>
      </w:r>
      <w:r w:rsidR="00950E85">
        <w:rPr>
          <w:rFonts w:ascii="Palatino Linotype" w:hAnsi="Palatino Linotype" w:cs="Arial"/>
          <w:color w:val="000000"/>
          <w:sz w:val="24"/>
          <w:szCs w:val="24"/>
        </w:rPr>
        <w:t xml:space="preserve">el </w:t>
      </w:r>
      <w:r w:rsidRPr="00256547">
        <w:rPr>
          <w:rFonts w:ascii="Palatino Linotype" w:hAnsi="Palatino Linotype" w:cs="Arial"/>
          <w:color w:val="000000"/>
          <w:sz w:val="24"/>
          <w:szCs w:val="24"/>
        </w:rPr>
        <w:t xml:space="preserve">Código Financiero del Estado de México y Municipios dentro de los ingresos de los municipios que regula, se encuentra el impuesto predial, el cual es el gravamen que efectúan las personas físicas y jurídicas colectivas que sean propietarias o poseedoras, de inmuebles el cual se debe calcular con base en el valor catastral mediante formato presentado ante el catastro municipal. </w:t>
      </w:r>
    </w:p>
    <w:p w14:paraId="646B68DD" w14:textId="7A512B13" w:rsidR="00802DC2" w:rsidRDefault="00256547" w:rsidP="00802DC2">
      <w:pPr>
        <w:spacing w:line="360" w:lineRule="auto"/>
        <w:jc w:val="both"/>
        <w:rPr>
          <w:rFonts w:ascii="Palatino Linotype" w:hAnsi="Palatino Linotype" w:cs="Arial"/>
          <w:sz w:val="24"/>
          <w:szCs w:val="24"/>
        </w:rPr>
      </w:pPr>
      <w:r>
        <w:rPr>
          <w:rFonts w:ascii="Palatino Linotype" w:hAnsi="Palatino Linotype" w:cs="Arial"/>
          <w:sz w:val="24"/>
          <w:szCs w:val="24"/>
        </w:rPr>
        <w:t>Luego entonces</w:t>
      </w:r>
      <w:r w:rsidR="00802DC2">
        <w:rPr>
          <w:rFonts w:ascii="Palatino Linotype" w:hAnsi="Palatino Linotype" w:cs="Arial"/>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7A2E2AB" w14:textId="77777777" w:rsidR="00802DC2" w:rsidRDefault="00802DC2" w:rsidP="00802DC2">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EDE81AE" w14:textId="77777777" w:rsidR="00802DC2" w:rsidRDefault="00802DC2" w:rsidP="00802DC2">
      <w:pPr>
        <w:pStyle w:val="Citas"/>
      </w:pPr>
      <w:r>
        <w:t xml:space="preserve">Artículo 19. Se presume que la información debe existir si se refiere a las facultades, competencias y funciones que los ordenamientos jurídicos aplicables otorgan a los sujetos obligados. </w:t>
      </w:r>
    </w:p>
    <w:p w14:paraId="0921B599" w14:textId="77777777" w:rsidR="00802DC2" w:rsidRDefault="00802DC2" w:rsidP="00802DC2">
      <w:pPr>
        <w:pStyle w:val="Citas"/>
      </w:pPr>
      <w:r>
        <w:t xml:space="preserve">En los casos en que ciertas facultades, competencias o funciones no se hayan ejercido, se debe motivar la respuesta en función de las causas que motiven tal circunstancia. </w:t>
      </w:r>
    </w:p>
    <w:p w14:paraId="6D4069B3" w14:textId="77777777" w:rsidR="00802DC2" w:rsidRPr="00407C65" w:rsidRDefault="00802DC2" w:rsidP="00802DC2">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501CD20D" w14:textId="24CC17FF" w:rsidR="00EF0144" w:rsidRDefault="00EF0144" w:rsidP="003B0D66">
      <w:pPr>
        <w:spacing w:after="0" w:line="360" w:lineRule="auto"/>
        <w:jc w:val="both"/>
        <w:rPr>
          <w:rFonts w:ascii="Palatino Linotype" w:hAnsi="Palatino Linotype"/>
          <w:sz w:val="24"/>
          <w:szCs w:val="24"/>
        </w:rPr>
      </w:pPr>
    </w:p>
    <w:p w14:paraId="56AB16CF" w14:textId="77777777" w:rsidR="000B0B8F" w:rsidRDefault="000B0B8F" w:rsidP="000B0B8F">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lastRenderedPageBreak/>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el siguiente soporte documental: </w:t>
      </w:r>
    </w:p>
    <w:p w14:paraId="5215CFD4" w14:textId="53EED747" w:rsidR="00D16C97" w:rsidRPr="00BE64DF" w:rsidRDefault="00256547" w:rsidP="00256547">
      <w:pPr>
        <w:pStyle w:val="Prrafodelista"/>
        <w:numPr>
          <w:ilvl w:val="0"/>
          <w:numId w:val="32"/>
        </w:numPr>
        <w:autoSpaceDE w:val="0"/>
        <w:autoSpaceDN w:val="0"/>
        <w:adjustRightInd w:val="0"/>
        <w:spacing w:before="240" w:line="360" w:lineRule="auto"/>
        <w:jc w:val="both"/>
        <w:rPr>
          <w:rFonts w:ascii="Palatino Linotype" w:hAnsi="Palatino Linotype"/>
          <w:b/>
          <w:bCs/>
        </w:rPr>
      </w:pPr>
      <w:r w:rsidRPr="00256547">
        <w:rPr>
          <w:rFonts w:ascii="Palatino Linotype" w:hAnsi="Palatino Linotype"/>
          <w:b/>
          <w:bCs/>
        </w:rPr>
        <w:t>“</w:t>
      </w:r>
      <w:r w:rsidR="00BE64DF">
        <w:rPr>
          <w:rFonts w:ascii="Palatino Linotype" w:hAnsi="Palatino Linotype"/>
          <w:b/>
          <w:bCs/>
        </w:rPr>
        <w:t xml:space="preserve">SAIMEX 739 TESORERIA-.zip”: </w:t>
      </w:r>
      <w:r w:rsidR="00BE64DF">
        <w:rPr>
          <w:rFonts w:ascii="Palatino Linotype" w:hAnsi="Palatino Linotype"/>
        </w:rPr>
        <w:t>Compila lo siguiente:</w:t>
      </w:r>
    </w:p>
    <w:p w14:paraId="0CC59FD4" w14:textId="1E690FC3" w:rsidR="00BE64DF" w:rsidRPr="00BE64DF" w:rsidRDefault="00BE64DF" w:rsidP="00BE64DF">
      <w:pPr>
        <w:pStyle w:val="Prrafodelista"/>
        <w:numPr>
          <w:ilvl w:val="0"/>
          <w:numId w:val="33"/>
        </w:numPr>
        <w:autoSpaceDE w:val="0"/>
        <w:autoSpaceDN w:val="0"/>
        <w:adjustRightInd w:val="0"/>
        <w:spacing w:before="240" w:line="360" w:lineRule="auto"/>
        <w:jc w:val="both"/>
        <w:rPr>
          <w:rFonts w:ascii="Palatino Linotype" w:hAnsi="Palatino Linotype"/>
          <w:b/>
          <w:bCs/>
        </w:rPr>
      </w:pPr>
      <w:r>
        <w:rPr>
          <w:rFonts w:ascii="Palatino Linotype" w:hAnsi="Palatino Linotype"/>
          <w:b/>
          <w:bCs/>
        </w:rPr>
        <w:t xml:space="preserve">“SAIMEX 739 TESORERIA-“: </w:t>
      </w:r>
      <w:r>
        <w:rPr>
          <w:rFonts w:ascii="Palatino Linotype" w:hAnsi="Palatino Linotype"/>
        </w:rPr>
        <w:t>A su vez recopila lo siguiente:</w:t>
      </w:r>
    </w:p>
    <w:p w14:paraId="3F8E7917" w14:textId="2D2E200D" w:rsidR="00BE64DF" w:rsidRPr="00BE64DF" w:rsidRDefault="00BE64DF" w:rsidP="00BE64DF">
      <w:pPr>
        <w:pStyle w:val="Prrafodelista"/>
        <w:numPr>
          <w:ilvl w:val="0"/>
          <w:numId w:val="34"/>
        </w:numPr>
        <w:autoSpaceDE w:val="0"/>
        <w:autoSpaceDN w:val="0"/>
        <w:adjustRightInd w:val="0"/>
        <w:spacing w:before="240"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TM/3052/2022 </w:t>
      </w:r>
      <w:r>
        <w:rPr>
          <w:rFonts w:ascii="Palatino Linotype" w:hAnsi="Palatino Linotype"/>
        </w:rPr>
        <w:t>signado por el Tesorero Municipal y dirigido al Titular de la Unidad de Transparencia y Acceso a la Información Pública Municipal, de fecha diecinueve de agosto de dos mil veintidós, en lo medular refiere adjuntar respuesta expedida por el Subtesorero de Ingresos.</w:t>
      </w:r>
    </w:p>
    <w:p w14:paraId="5D906D76" w14:textId="3849DF28" w:rsidR="00BE64DF" w:rsidRPr="00256547" w:rsidRDefault="00BE64DF" w:rsidP="00BE64DF">
      <w:pPr>
        <w:pStyle w:val="Prrafodelista"/>
        <w:numPr>
          <w:ilvl w:val="0"/>
          <w:numId w:val="34"/>
        </w:numPr>
        <w:autoSpaceDE w:val="0"/>
        <w:autoSpaceDN w:val="0"/>
        <w:adjustRightInd w:val="0"/>
        <w:spacing w:before="240"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STI/294/2022 </w:t>
      </w:r>
      <w:r w:rsidR="00074E1A">
        <w:rPr>
          <w:rFonts w:ascii="Palatino Linotype" w:hAnsi="Palatino Linotype"/>
        </w:rPr>
        <w:t xml:space="preserve">signado por el Subtesorero de Ingresos y dirigido al Servidor Público Habilitado en materia de transparencia de la Tesorería Municipal, de fecha diecinueve de agosto de dos mil veintidós, en </w:t>
      </w:r>
      <w:r w:rsidR="006F6FEA">
        <w:rPr>
          <w:rFonts w:ascii="Palatino Linotype" w:hAnsi="Palatino Linotype"/>
        </w:rPr>
        <w:t>síntesis,</w:t>
      </w:r>
      <w:r w:rsidR="00074E1A">
        <w:rPr>
          <w:rFonts w:ascii="Palatino Linotype" w:hAnsi="Palatino Linotype"/>
        </w:rPr>
        <w:t xml:space="preserve"> refiere que en términos del numeral 55 del Código Financiero del Estado de México y Municipios, la información requerida únicamente puede ser proporcionada al propietario del inmueble o persona autorizada para tales efectos</w:t>
      </w:r>
      <w:r w:rsidR="00950E85">
        <w:rPr>
          <w:rFonts w:ascii="Palatino Linotype" w:hAnsi="Palatino Linotype"/>
        </w:rPr>
        <w:t xml:space="preserve">, al tratarse de información confidencial. </w:t>
      </w:r>
    </w:p>
    <w:p w14:paraId="368A9BCF" w14:textId="1CF01B66" w:rsidR="00021CBD" w:rsidRDefault="00021CBD" w:rsidP="00021CBD">
      <w:pPr>
        <w:autoSpaceDE w:val="0"/>
        <w:autoSpaceDN w:val="0"/>
        <w:adjustRightInd w:val="0"/>
        <w:spacing w:before="240" w:line="360" w:lineRule="auto"/>
        <w:jc w:val="both"/>
        <w:rPr>
          <w:rFonts w:ascii="Palatino Linotype" w:hAnsi="Palatino Linotype" w:cs="Arial"/>
          <w:b/>
          <w:lang w:eastAsia="es-MX"/>
        </w:rPr>
      </w:pPr>
    </w:p>
    <w:p w14:paraId="19E667F3" w14:textId="585582C0" w:rsidR="00074E1A" w:rsidRDefault="00510D77" w:rsidP="00510D7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w:t>
      </w:r>
      <w:r w:rsidR="00074E1A">
        <w:rPr>
          <w:rFonts w:ascii="Palatino Linotype" w:hAnsi="Palatino Linotype"/>
          <w:sz w:val="24"/>
          <w:szCs w:val="24"/>
        </w:rPr>
        <w:t>treinta y uno de agosto, admitiéndose el uno de septiembre, señalando como razones o motivos de inconformidad:</w:t>
      </w:r>
    </w:p>
    <w:p w14:paraId="41F152A4" w14:textId="6C165305" w:rsidR="00143D5F" w:rsidRPr="00074E1A" w:rsidRDefault="00074E1A" w:rsidP="00074E1A">
      <w:pPr>
        <w:pStyle w:val="Citas"/>
        <w:rPr>
          <w:b/>
          <w:bCs/>
          <w:sz w:val="24"/>
          <w:szCs w:val="24"/>
          <w:lang w:eastAsia="es-MX"/>
        </w:rPr>
      </w:pPr>
      <w:r>
        <w:t xml:space="preserve">“no me entregaron la información solicitada” </w:t>
      </w:r>
      <w:r>
        <w:rPr>
          <w:b/>
          <w:bCs/>
        </w:rPr>
        <w:t>(Sic)</w:t>
      </w:r>
    </w:p>
    <w:p w14:paraId="200212A7" w14:textId="0A924CD7" w:rsidR="00074E1A" w:rsidRDefault="00074E1A" w:rsidP="00B44ADE">
      <w:pPr>
        <w:spacing w:after="0" w:line="360" w:lineRule="auto"/>
        <w:jc w:val="both"/>
        <w:rPr>
          <w:rFonts w:ascii="Palatino Linotype" w:hAnsi="Palatino Linotype" w:cs="Arial"/>
          <w:sz w:val="24"/>
          <w:szCs w:val="24"/>
          <w:lang w:eastAsia="es-MX"/>
        </w:rPr>
      </w:pPr>
    </w:p>
    <w:p w14:paraId="54B5C36F" w14:textId="4DF9E46D"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las hipotesis</w:t>
      </w:r>
      <w:r w:rsidRPr="004C117E">
        <w:rPr>
          <w:rFonts w:cs="Arial"/>
          <w:i w:val="0"/>
          <w:noProof/>
          <w:color w:val="000000"/>
          <w:sz w:val="24"/>
          <w:lang w:eastAsia="es-MX"/>
        </w:rPr>
        <w:t xml:space="preserve"> previstas en el artículo 179, fracciones I y </w:t>
      </w:r>
      <w:r w:rsidR="00074E1A">
        <w:rPr>
          <w:rFonts w:cs="Arial"/>
          <w:i w:val="0"/>
          <w:noProof/>
          <w:color w:val="000000"/>
          <w:sz w:val="24"/>
          <w:lang w:eastAsia="es-MX"/>
        </w:rPr>
        <w:t>II</w:t>
      </w:r>
      <w:r w:rsidRPr="004C117E">
        <w:rPr>
          <w:rFonts w:cs="Arial"/>
          <w:i w:val="0"/>
          <w:noProof/>
          <w:color w:val="000000"/>
          <w:sz w:val="24"/>
          <w:lang w:eastAsia="es-MX"/>
        </w:rPr>
        <w:t xml:space="preserve">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1E129B2E" w14:textId="77777777" w:rsidR="00074E1A" w:rsidRPr="00950E85" w:rsidRDefault="00074E1A" w:rsidP="00B44ADE">
      <w:pPr>
        <w:pStyle w:val="Citas"/>
        <w:rPr>
          <w:b/>
          <w:bCs/>
          <w:noProof/>
          <w:color w:val="000000"/>
          <w:sz w:val="24"/>
          <w:u w:val="single"/>
          <w:lang w:eastAsia="es-MX"/>
        </w:rPr>
      </w:pPr>
      <w:r w:rsidRPr="00950E85">
        <w:rPr>
          <w:b/>
          <w:bCs/>
          <w:u w:val="single"/>
        </w:rPr>
        <w:t>II. La clasificación de la información;</w:t>
      </w:r>
      <w:r w:rsidRPr="00950E85">
        <w:rPr>
          <w:b/>
          <w:bCs/>
          <w:noProof/>
          <w:color w:val="000000"/>
          <w:sz w:val="24"/>
          <w:u w:val="single"/>
          <w:lang w:eastAsia="es-MX"/>
        </w:rPr>
        <w:t xml:space="preserve"> </w:t>
      </w:r>
    </w:p>
    <w:p w14:paraId="043680ED" w14:textId="2D868E6C" w:rsidR="00B44ADE" w:rsidRPr="005A12AE" w:rsidRDefault="00B44ADE" w:rsidP="00B44AD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9266E03" w14:textId="0AB83422" w:rsidR="00E96C74" w:rsidRDefault="00E96C74" w:rsidP="00E96C74">
      <w:pPr>
        <w:pStyle w:val="Citas"/>
        <w:ind w:left="0"/>
        <w:rPr>
          <w:b/>
          <w:bCs/>
        </w:rPr>
      </w:pPr>
    </w:p>
    <w:p w14:paraId="1E8F9676" w14:textId="33DE9B3A" w:rsidR="00074E1A" w:rsidRDefault="00B44ADE" w:rsidP="00B44ADE">
      <w:pPr>
        <w:pStyle w:val="Citas"/>
        <w:tabs>
          <w:tab w:val="left" w:pos="7470"/>
        </w:tabs>
        <w:ind w:left="0" w:right="72"/>
        <w:rPr>
          <w:i w:val="0"/>
          <w:sz w:val="24"/>
          <w:szCs w:val="24"/>
        </w:rPr>
      </w:pPr>
      <w:r>
        <w:rPr>
          <w:i w:val="0"/>
          <w:sz w:val="24"/>
          <w:szCs w:val="24"/>
        </w:rPr>
        <w:t xml:space="preserve">Por otra parte, como fue referido en el antecedente quinto, </w:t>
      </w:r>
      <w:r w:rsidR="008056BC">
        <w:rPr>
          <w:i w:val="0"/>
          <w:sz w:val="24"/>
          <w:szCs w:val="24"/>
        </w:rPr>
        <w:t xml:space="preserve">en fecha </w:t>
      </w:r>
      <w:r w:rsidR="00074E1A">
        <w:rPr>
          <w:i w:val="0"/>
          <w:sz w:val="24"/>
          <w:szCs w:val="24"/>
        </w:rPr>
        <w:t xml:space="preserve">doce de septiembre de dos mil veintidós, </w:t>
      </w:r>
      <w:r w:rsidR="00074E1A">
        <w:rPr>
          <w:b/>
          <w:bCs/>
          <w:i w:val="0"/>
          <w:sz w:val="24"/>
          <w:szCs w:val="24"/>
        </w:rPr>
        <w:t xml:space="preserve">El Sujeto Obligado </w:t>
      </w:r>
      <w:r w:rsidR="00074E1A">
        <w:rPr>
          <w:i w:val="0"/>
          <w:sz w:val="24"/>
          <w:szCs w:val="24"/>
        </w:rPr>
        <w:t>rindió su informe justificado en los siguientes términos:</w:t>
      </w:r>
    </w:p>
    <w:p w14:paraId="7DF5DCFB" w14:textId="3AF54E53" w:rsidR="00074E1A" w:rsidRPr="00FF1CD4" w:rsidRDefault="00074E1A" w:rsidP="00074E1A">
      <w:pPr>
        <w:pStyle w:val="Citas"/>
        <w:numPr>
          <w:ilvl w:val="0"/>
          <w:numId w:val="35"/>
        </w:numPr>
        <w:tabs>
          <w:tab w:val="left" w:pos="7470"/>
        </w:tabs>
        <w:ind w:right="72"/>
        <w:rPr>
          <w:b/>
          <w:bCs/>
          <w:i w:val="0"/>
          <w:sz w:val="24"/>
          <w:szCs w:val="24"/>
        </w:rPr>
      </w:pPr>
      <w:r>
        <w:rPr>
          <w:b/>
          <w:bCs/>
          <w:i w:val="0"/>
          <w:sz w:val="24"/>
          <w:szCs w:val="24"/>
        </w:rPr>
        <w:lastRenderedPageBreak/>
        <w:t xml:space="preserve">“MANIFESTACIONES RR14095.zip”: </w:t>
      </w:r>
      <w:r w:rsidR="00FF1CD4">
        <w:rPr>
          <w:i w:val="0"/>
          <w:sz w:val="24"/>
          <w:szCs w:val="24"/>
        </w:rPr>
        <w:t>Compila lo siguiente:</w:t>
      </w:r>
    </w:p>
    <w:p w14:paraId="6FCA9A72" w14:textId="20768080" w:rsidR="00FF1CD4" w:rsidRDefault="00FF1CD4" w:rsidP="00FF1CD4">
      <w:pPr>
        <w:pStyle w:val="Citas"/>
        <w:numPr>
          <w:ilvl w:val="0"/>
          <w:numId w:val="33"/>
        </w:numPr>
        <w:tabs>
          <w:tab w:val="left" w:pos="7470"/>
        </w:tabs>
        <w:ind w:right="72"/>
        <w:rPr>
          <w:b/>
          <w:bCs/>
          <w:i w:val="0"/>
          <w:sz w:val="24"/>
          <w:szCs w:val="24"/>
        </w:rPr>
      </w:pPr>
      <w:r>
        <w:rPr>
          <w:b/>
          <w:bCs/>
          <w:i w:val="0"/>
          <w:sz w:val="24"/>
          <w:szCs w:val="24"/>
        </w:rPr>
        <w:t>“</w:t>
      </w:r>
      <w:r w:rsidRPr="00FF1CD4">
        <w:rPr>
          <w:b/>
          <w:bCs/>
          <w:i w:val="0"/>
          <w:sz w:val="24"/>
          <w:szCs w:val="24"/>
        </w:rPr>
        <w:t>MANIFESTACIONES RR14095</w:t>
      </w:r>
      <w:r>
        <w:rPr>
          <w:b/>
          <w:bCs/>
          <w:i w:val="0"/>
          <w:sz w:val="24"/>
          <w:szCs w:val="24"/>
        </w:rPr>
        <w:t xml:space="preserve">”: </w:t>
      </w:r>
      <w:r>
        <w:rPr>
          <w:i w:val="0"/>
          <w:sz w:val="24"/>
          <w:szCs w:val="24"/>
        </w:rPr>
        <w:t xml:space="preserve">Oficio número </w:t>
      </w:r>
      <w:r>
        <w:rPr>
          <w:b/>
          <w:bCs/>
          <w:i w:val="0"/>
          <w:sz w:val="24"/>
          <w:szCs w:val="24"/>
        </w:rPr>
        <w:t xml:space="preserve">UTAIM/02515/2022 </w:t>
      </w:r>
      <w:r>
        <w:rPr>
          <w:i w:val="0"/>
          <w:sz w:val="24"/>
          <w:szCs w:val="24"/>
        </w:rPr>
        <w:t>signado por la Titular de la Unidad de Transparencia y Acceso a la Información Pública Municipal y dirigido al Comisionado Ponente, de fecha doce de septiembre de dos mil veintidós, en lo medular expone diversos antecedentes y refiere adjuntar manifestaciones emitidas por el Tesorero municipal.</w:t>
      </w:r>
    </w:p>
    <w:p w14:paraId="28D4C2F4" w14:textId="7DD2CBEB" w:rsidR="00FF1CD4" w:rsidRPr="00074E1A" w:rsidRDefault="00FF1CD4" w:rsidP="00FF1CD4">
      <w:pPr>
        <w:pStyle w:val="Citas"/>
        <w:numPr>
          <w:ilvl w:val="0"/>
          <w:numId w:val="33"/>
        </w:numPr>
        <w:tabs>
          <w:tab w:val="left" w:pos="7470"/>
        </w:tabs>
        <w:ind w:right="72"/>
        <w:rPr>
          <w:b/>
          <w:bCs/>
          <w:i w:val="0"/>
          <w:sz w:val="24"/>
          <w:szCs w:val="24"/>
        </w:rPr>
      </w:pPr>
      <w:r>
        <w:rPr>
          <w:b/>
          <w:bCs/>
          <w:i w:val="0"/>
          <w:sz w:val="24"/>
          <w:szCs w:val="24"/>
        </w:rPr>
        <w:t xml:space="preserve">“OFICIO ANEXO”: </w:t>
      </w:r>
      <w:r>
        <w:rPr>
          <w:i w:val="0"/>
          <w:sz w:val="24"/>
          <w:szCs w:val="24"/>
        </w:rPr>
        <w:t xml:space="preserve">Oficio </w:t>
      </w:r>
      <w:r>
        <w:rPr>
          <w:b/>
          <w:bCs/>
          <w:i w:val="0"/>
          <w:sz w:val="24"/>
          <w:szCs w:val="24"/>
        </w:rPr>
        <w:t xml:space="preserve">TM/3888/2022 </w:t>
      </w:r>
      <w:r>
        <w:rPr>
          <w:i w:val="0"/>
          <w:sz w:val="24"/>
          <w:szCs w:val="24"/>
        </w:rPr>
        <w:t xml:space="preserve">signado por el Tesorero Municipal y dirigido a la Titular de la Unidad de Transparencia, de fecha siete de septiembre del presente, en términos generales refiere que la información requerida refleja datos personales de terceros, por ello, </w:t>
      </w:r>
      <w:r w:rsidR="00B47B42">
        <w:rPr>
          <w:i w:val="0"/>
          <w:sz w:val="24"/>
          <w:szCs w:val="24"/>
        </w:rPr>
        <w:t xml:space="preserve">únicamente los propietarios o representantes del inmueble podrán acceder a la información. </w:t>
      </w:r>
    </w:p>
    <w:p w14:paraId="65DEF6F6" w14:textId="05611C12" w:rsidR="00074E1A" w:rsidRDefault="00074E1A" w:rsidP="00B44ADE">
      <w:pPr>
        <w:pStyle w:val="Citas"/>
        <w:tabs>
          <w:tab w:val="left" w:pos="7470"/>
        </w:tabs>
        <w:ind w:left="0" w:right="72"/>
        <w:rPr>
          <w:i w:val="0"/>
          <w:sz w:val="24"/>
          <w:szCs w:val="24"/>
        </w:rPr>
      </w:pPr>
    </w:p>
    <w:p w14:paraId="797EA33F" w14:textId="04E012AD" w:rsidR="00950E85" w:rsidRDefault="00950E85" w:rsidP="00B44ADE">
      <w:pPr>
        <w:pStyle w:val="Citas"/>
        <w:tabs>
          <w:tab w:val="left" w:pos="7470"/>
        </w:tabs>
        <w:ind w:left="0" w:right="72"/>
        <w:rPr>
          <w:i w:val="0"/>
          <w:sz w:val="24"/>
          <w:szCs w:val="24"/>
        </w:rPr>
      </w:pPr>
      <w:r>
        <w:rPr>
          <w:i w:val="0"/>
          <w:sz w:val="24"/>
          <w:szCs w:val="24"/>
        </w:rPr>
        <w:t xml:space="preserve">En contraste, el particular adjuntó el documento electrónico </w:t>
      </w:r>
      <w:r>
        <w:rPr>
          <w:b/>
          <w:bCs/>
          <w:i w:val="0"/>
          <w:sz w:val="24"/>
          <w:szCs w:val="24"/>
        </w:rPr>
        <w:t xml:space="preserve">“Manifestaciones.txt” </w:t>
      </w:r>
      <w:r>
        <w:rPr>
          <w:i w:val="0"/>
          <w:sz w:val="24"/>
          <w:szCs w:val="24"/>
        </w:rPr>
        <w:t>que dispone a la literalidad lo siguiente:</w:t>
      </w:r>
    </w:p>
    <w:p w14:paraId="3B45FB93" w14:textId="35BC5DB5" w:rsidR="00950E85" w:rsidRPr="00950E85" w:rsidRDefault="00950E85" w:rsidP="00950E85">
      <w:pPr>
        <w:pStyle w:val="Citas"/>
      </w:pPr>
      <w:r>
        <w:t>“</w:t>
      </w:r>
      <w:r w:rsidRPr="00950E85">
        <w:t>14095/INFOEM/IP/RR/2022</w:t>
      </w:r>
    </w:p>
    <w:p w14:paraId="2339356A" w14:textId="1C8853FC" w:rsidR="00950E85" w:rsidRPr="00950E85" w:rsidRDefault="00950E85" w:rsidP="00950E85">
      <w:pPr>
        <w:pStyle w:val="Citas"/>
        <w:rPr>
          <w:b/>
          <w:bCs/>
        </w:rPr>
      </w:pPr>
      <w:r w:rsidRPr="00950E85">
        <w:t xml:space="preserve">Respecto de lo argumentado por el Sujeto Obligado, si bien es cierto tiene la obligación de guardar la confidencialidad de datos personales de particulares, también lo es que la ley de la materia establece la creación de Versiones Públicas para poder transparentar la informacion solicitada sin vulnerar los derechos de los </w:t>
      </w:r>
      <w:r w:rsidRPr="00950E85">
        <w:lastRenderedPageBreak/>
        <w:t>particulares, por lo que se me podría hacer entrega de la informacion solicitada con los datos considerados como confidenciales debidamente suprimidos.</w:t>
      </w:r>
      <w:r>
        <w:t xml:space="preserve">” </w:t>
      </w:r>
      <w:r>
        <w:rPr>
          <w:b/>
          <w:bCs/>
        </w:rPr>
        <w:t>(Sic)</w:t>
      </w:r>
    </w:p>
    <w:p w14:paraId="546A9ED5" w14:textId="77777777" w:rsidR="00950E85" w:rsidRDefault="00950E85" w:rsidP="00B44ADE">
      <w:pPr>
        <w:pStyle w:val="Citas"/>
        <w:tabs>
          <w:tab w:val="left" w:pos="7470"/>
        </w:tabs>
        <w:ind w:left="0" w:right="72"/>
        <w:rPr>
          <w:i w:val="0"/>
          <w:sz w:val="24"/>
          <w:szCs w:val="24"/>
        </w:rPr>
      </w:pPr>
    </w:p>
    <w:p w14:paraId="0EDB7592" w14:textId="76AA37D4" w:rsidR="00766EFD" w:rsidRDefault="00950E85" w:rsidP="00C20835">
      <w:pPr>
        <w:pStyle w:val="Sinespaciado"/>
        <w:spacing w:line="360" w:lineRule="auto"/>
        <w:jc w:val="both"/>
        <w:rPr>
          <w:rFonts w:ascii="Palatino Linotype" w:hAnsi="Palatino Linotype"/>
        </w:rPr>
      </w:pPr>
      <w:r w:rsidRPr="004C117E">
        <w:rPr>
          <w:rFonts w:ascii="Palatino Linotype" w:hAnsi="Palatino Linotype"/>
        </w:rPr>
        <w:t>Debido a</w:t>
      </w:r>
      <w:r w:rsidR="00C20835" w:rsidRPr="004C117E">
        <w:rPr>
          <w:rFonts w:ascii="Palatino Linotype" w:hAnsi="Palatino Linotype"/>
        </w:rPr>
        <w:t xml:space="preserve"> lo anterior, </w:t>
      </w:r>
      <w:r w:rsidR="00B47B42">
        <w:rPr>
          <w:rFonts w:ascii="Palatino Linotype" w:hAnsi="Palatino Linotype"/>
        </w:rPr>
        <w:t xml:space="preserve">para desentrañar la naturaleza del recibo de pago de impuesto predial se desprende que se encuentra integrado por datos relacionados con el bien inmueble y su propietario, como lo son: </w:t>
      </w:r>
    </w:p>
    <w:p w14:paraId="2746E6B0" w14:textId="77777777" w:rsidR="00B47B42" w:rsidRPr="00AF5EC2" w:rsidRDefault="00B47B42" w:rsidP="00B47B42">
      <w:pPr>
        <w:pStyle w:val="Prrafodelista"/>
        <w:numPr>
          <w:ilvl w:val="0"/>
          <w:numId w:val="37"/>
        </w:numPr>
        <w:spacing w:line="360" w:lineRule="auto"/>
        <w:contextualSpacing/>
        <w:jc w:val="both"/>
        <w:rPr>
          <w:rFonts w:ascii="Palatino Linotype" w:eastAsia="MS Mincho" w:hAnsi="Palatino Linotype" w:cs="Tahoma"/>
          <w:lang w:val="es-ES_tradnl"/>
        </w:rPr>
      </w:pPr>
      <w:r w:rsidRPr="00AF5EC2">
        <w:rPr>
          <w:rFonts w:ascii="Palatino Linotype" w:eastAsia="MS Mincho" w:hAnsi="Palatino Linotype" w:cs="Tahoma"/>
          <w:lang w:val="es-ES_tradnl"/>
        </w:rPr>
        <w:t>Clave Catastral;</w:t>
      </w:r>
    </w:p>
    <w:p w14:paraId="660CA2D6" w14:textId="77777777" w:rsidR="00B47B42" w:rsidRPr="00AF5EC2" w:rsidRDefault="00B47B42" w:rsidP="00B47B42">
      <w:pPr>
        <w:pStyle w:val="Prrafodelista"/>
        <w:numPr>
          <w:ilvl w:val="0"/>
          <w:numId w:val="37"/>
        </w:numPr>
        <w:spacing w:line="360" w:lineRule="auto"/>
        <w:contextualSpacing/>
        <w:jc w:val="both"/>
        <w:rPr>
          <w:rFonts w:ascii="Palatino Linotype" w:eastAsia="MS Mincho" w:hAnsi="Palatino Linotype" w:cs="Tahoma"/>
          <w:lang w:val="es-ES_tradnl"/>
        </w:rPr>
      </w:pPr>
      <w:r w:rsidRPr="00AF5EC2">
        <w:rPr>
          <w:rFonts w:ascii="Palatino Linotype" w:eastAsia="MS Mincho" w:hAnsi="Palatino Linotype" w:cs="Tahoma"/>
          <w:lang w:val="es-ES_tradnl"/>
        </w:rPr>
        <w:t>Nombre del propietario;</w:t>
      </w:r>
    </w:p>
    <w:p w14:paraId="0DCFCEBA" w14:textId="77777777" w:rsidR="00B47B42" w:rsidRPr="00AF5EC2" w:rsidRDefault="00B47B42" w:rsidP="00B47B42">
      <w:pPr>
        <w:pStyle w:val="Prrafodelista"/>
        <w:numPr>
          <w:ilvl w:val="0"/>
          <w:numId w:val="37"/>
        </w:numPr>
        <w:spacing w:line="360" w:lineRule="auto"/>
        <w:contextualSpacing/>
        <w:jc w:val="both"/>
        <w:rPr>
          <w:rFonts w:ascii="Palatino Linotype" w:eastAsia="MS Mincho" w:hAnsi="Palatino Linotype" w:cs="Tahoma"/>
          <w:lang w:val="es-ES_tradnl"/>
        </w:rPr>
      </w:pPr>
      <w:r w:rsidRPr="00AF5EC2">
        <w:rPr>
          <w:rFonts w:ascii="Palatino Linotype" w:eastAsia="MS Mincho" w:hAnsi="Palatino Linotype" w:cs="Tahoma"/>
          <w:lang w:val="es-ES_tradnl"/>
        </w:rPr>
        <w:t>Domicilio del inmueble y;</w:t>
      </w:r>
    </w:p>
    <w:p w14:paraId="783A6705" w14:textId="77777777" w:rsidR="00B47B42" w:rsidRPr="00AF5EC2" w:rsidRDefault="00B47B42" w:rsidP="00B47B42">
      <w:pPr>
        <w:pStyle w:val="Prrafodelista"/>
        <w:numPr>
          <w:ilvl w:val="0"/>
          <w:numId w:val="37"/>
        </w:numPr>
        <w:spacing w:line="360" w:lineRule="auto"/>
        <w:contextualSpacing/>
        <w:jc w:val="both"/>
        <w:rPr>
          <w:rFonts w:ascii="Palatino Linotype" w:eastAsia="MS Mincho" w:hAnsi="Palatino Linotype" w:cs="Tahoma"/>
          <w:lang w:val="es-ES_tradnl"/>
        </w:rPr>
      </w:pPr>
      <w:r w:rsidRPr="00AF5EC2">
        <w:rPr>
          <w:rFonts w:ascii="Palatino Linotype" w:eastAsia="MS Mincho" w:hAnsi="Palatino Linotype" w:cs="Tahoma"/>
          <w:lang w:val="es-ES_tradnl"/>
        </w:rPr>
        <w:t>Registro Federal de Contribuyentes.</w:t>
      </w:r>
    </w:p>
    <w:p w14:paraId="738F2685" w14:textId="77777777" w:rsidR="00B47B42" w:rsidRPr="00AF5EC2" w:rsidRDefault="00B47B42" w:rsidP="00B47B42">
      <w:pPr>
        <w:spacing w:line="360" w:lineRule="auto"/>
        <w:contextualSpacing/>
        <w:jc w:val="both"/>
        <w:rPr>
          <w:rFonts w:ascii="Palatino Linotype" w:eastAsia="MS Mincho" w:hAnsi="Palatino Linotype" w:cs="Tahoma"/>
          <w:lang w:val="es-ES_tradnl"/>
        </w:rPr>
      </w:pPr>
    </w:p>
    <w:p w14:paraId="55C5B852" w14:textId="1D511AC2" w:rsidR="00B47B42"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Por lo que del análisis de los datos referidos, actualizan la fracción I, del artículo 143, de la Ley de Transparencia, Acceso a la Información Pública y Protección de Datos Personales del Estado de México y Municipios, al referirse a la esfera privada de la persona, al tenor de lo siguiente:</w:t>
      </w:r>
    </w:p>
    <w:p w14:paraId="4B7C5579" w14:textId="77777777" w:rsidR="00950E85" w:rsidRPr="00950E85" w:rsidRDefault="00950E85" w:rsidP="00B47B42">
      <w:pPr>
        <w:spacing w:line="360" w:lineRule="auto"/>
        <w:contextualSpacing/>
        <w:jc w:val="both"/>
        <w:rPr>
          <w:rFonts w:ascii="Palatino Linotype" w:eastAsia="MS Mincho" w:hAnsi="Palatino Linotype" w:cs="Tahoma"/>
          <w:sz w:val="24"/>
          <w:szCs w:val="24"/>
          <w:lang w:val="es-ES_tradnl"/>
        </w:rPr>
      </w:pPr>
    </w:p>
    <w:p w14:paraId="777F0310" w14:textId="77777777" w:rsidR="00B47B42" w:rsidRPr="00963842" w:rsidRDefault="00B47B42" w:rsidP="00963842">
      <w:pPr>
        <w:pStyle w:val="Prrafodelista"/>
        <w:numPr>
          <w:ilvl w:val="0"/>
          <w:numId w:val="40"/>
        </w:numPr>
        <w:spacing w:line="360" w:lineRule="auto"/>
        <w:contextualSpacing/>
        <w:jc w:val="both"/>
        <w:rPr>
          <w:rFonts w:ascii="Palatino Linotype" w:eastAsia="MS Mincho" w:hAnsi="Palatino Linotype" w:cs="Tahoma"/>
          <w:b/>
          <w:lang w:val="es-ES_tradnl"/>
        </w:rPr>
      </w:pPr>
      <w:r w:rsidRPr="00963842">
        <w:rPr>
          <w:rFonts w:ascii="Palatino Linotype" w:eastAsia="MS Mincho" w:hAnsi="Palatino Linotype" w:cs="Tahoma"/>
          <w:b/>
          <w:u w:val="single"/>
          <w:lang w:val="es-ES_tradnl"/>
        </w:rPr>
        <w:t>Clave catastral</w:t>
      </w:r>
      <w:r w:rsidRPr="00963842">
        <w:rPr>
          <w:rFonts w:ascii="Palatino Linotype" w:eastAsia="MS Mincho" w:hAnsi="Palatino Linotype" w:cs="Tahoma"/>
          <w:b/>
          <w:lang w:val="es-ES_tradnl"/>
        </w:rPr>
        <w:t>.</w:t>
      </w:r>
    </w:p>
    <w:p w14:paraId="5EA567A9"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 xml:space="preserve">Al respecto,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w:t>
      </w:r>
      <w:r w:rsidRPr="00950E85">
        <w:rPr>
          <w:rFonts w:ascii="Palatino Linotype" w:eastAsia="MS Mincho" w:hAnsi="Palatino Linotype" w:cs="Tahoma"/>
          <w:sz w:val="24"/>
          <w:szCs w:val="24"/>
          <w:lang w:val="es-ES_tradnl"/>
        </w:rPr>
        <w:lastRenderedPageBreak/>
        <w:t>subsecuentes tres a la manzana y los últimos dos, identifican el número de lote o predio.</w:t>
      </w:r>
    </w:p>
    <w:p w14:paraId="0A869923"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p>
    <w:p w14:paraId="68AD85EA"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El diccionario de Datos catastrales Escala 1:1000 del Instituto Nacional de Estadística y Geografía (INEGI), contempla en su glosario la definición de clave catastral, la cual, es la siguiente:</w:t>
      </w:r>
    </w:p>
    <w:p w14:paraId="22C4D735" w14:textId="5BC51E48" w:rsidR="00B47B42" w:rsidRPr="00B47B42" w:rsidRDefault="00B47B42" w:rsidP="00B47B42">
      <w:pPr>
        <w:pStyle w:val="Citas"/>
        <w:rPr>
          <w:b/>
          <w:bCs/>
        </w:rPr>
      </w:pPr>
      <w:r w:rsidRPr="00AF5EC2">
        <w:t>“</w:t>
      </w:r>
      <w:r w:rsidRPr="00AF5EC2">
        <w:rPr>
          <w:b/>
          <w:bCs/>
        </w:rPr>
        <w:t>Clave catastral</w:t>
      </w:r>
      <w:r w:rsidRPr="00AF5EC2">
        <w:t>: El código que identifica al predio de forma única para su localización geográfica, mismo que es asignado a cada uno de ellos en el momento de su inscripción en el padrón catastral por las Unidades del estado con atribuciones catastrales”</w:t>
      </w:r>
      <w:r>
        <w:t xml:space="preserve"> </w:t>
      </w:r>
      <w:r>
        <w:rPr>
          <w:b/>
          <w:bCs/>
        </w:rPr>
        <w:t>(Sic)</w:t>
      </w:r>
    </w:p>
    <w:p w14:paraId="7480D41B" w14:textId="77777777" w:rsidR="00B47B42" w:rsidRPr="00AF5EC2" w:rsidRDefault="00B47B42" w:rsidP="00B47B42">
      <w:pPr>
        <w:pStyle w:val="Citas"/>
      </w:pPr>
    </w:p>
    <w:p w14:paraId="0D56176F" w14:textId="77777777" w:rsidR="00B47B42" w:rsidRPr="00950E85" w:rsidRDefault="00B47B42" w:rsidP="00B47B42">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Asimismo, dicho diccionario estipula dos tipos de Claves catastrales, siendo estas la Estándar y la Original, cuyo diccionario de datos catastrales Escala 1:1000 del INEGI, las define como:</w:t>
      </w:r>
    </w:p>
    <w:p w14:paraId="3ACDA81C" w14:textId="77777777" w:rsidR="00B47B42" w:rsidRPr="00AF5EC2" w:rsidRDefault="00B47B42" w:rsidP="00B47B42">
      <w:pPr>
        <w:spacing w:line="276" w:lineRule="auto"/>
        <w:contextualSpacing/>
        <w:jc w:val="both"/>
        <w:rPr>
          <w:rFonts w:ascii="Palatino Linotype" w:eastAsia="MS Mincho" w:hAnsi="Palatino Linotype" w:cs="Tahoma"/>
          <w:b/>
          <w:bCs/>
          <w:i/>
          <w:iCs/>
        </w:rPr>
      </w:pPr>
    </w:p>
    <w:p w14:paraId="7EB70925" w14:textId="77777777" w:rsidR="00B47B42" w:rsidRPr="00AF5EC2" w:rsidRDefault="00B47B42" w:rsidP="00B47B42">
      <w:pPr>
        <w:pStyle w:val="Citas"/>
      </w:pPr>
      <w:r w:rsidRPr="00AF5EC2">
        <w:rPr>
          <w:b/>
          <w:bCs/>
        </w:rPr>
        <w:t>“CLAVE CATASTRAL ESTÁNDAR</w:t>
      </w:r>
      <w:r w:rsidRPr="00AF5EC2">
        <w:t>: Código de 31 caracteres conformado por elementos administrativos y que identifica al objeto espacial en forma única para su localización, compuesto por: Estado (2) + Región Catastral (3) + Municipio (3) + Zona Catastral (2) +</w:t>
      </w:r>
    </w:p>
    <w:p w14:paraId="4EE6BB83" w14:textId="77777777" w:rsidR="00B47B42" w:rsidRPr="00AF5EC2" w:rsidRDefault="00B47B42" w:rsidP="00B47B42">
      <w:pPr>
        <w:pStyle w:val="Citas"/>
      </w:pPr>
      <w:r w:rsidRPr="00AF5EC2">
        <w:t>Localidad (4) + Sector Catastral (3) + Manzana (3) + Predio (5) + Condominio: edificio (2) y unidad (4).</w:t>
      </w:r>
    </w:p>
    <w:p w14:paraId="1BA56A21" w14:textId="663B6021" w:rsidR="00B47B42" w:rsidRPr="00B47B42" w:rsidRDefault="00B47B42" w:rsidP="00B47B42">
      <w:pPr>
        <w:pStyle w:val="Citas"/>
        <w:rPr>
          <w:b/>
          <w:bCs/>
        </w:rPr>
      </w:pPr>
      <w:r w:rsidRPr="00AF5EC2">
        <w:rPr>
          <w:b/>
          <w:bCs/>
        </w:rPr>
        <w:lastRenderedPageBreak/>
        <w:t xml:space="preserve">CLAVE CATASTRAL ORIGINAL: </w:t>
      </w:r>
      <w:r w:rsidRPr="00AF5EC2">
        <w:t>Código que identifica al objeto espacial el cual es asignado, por el Catastro Estatal, Municipal o por el registro Agrario Nacional”</w:t>
      </w:r>
      <w:r>
        <w:t xml:space="preserve"> </w:t>
      </w:r>
      <w:r>
        <w:rPr>
          <w:b/>
          <w:bCs/>
        </w:rPr>
        <w:t>(Sic)</w:t>
      </w:r>
    </w:p>
    <w:p w14:paraId="31BF46F2" w14:textId="77777777" w:rsidR="00950E85" w:rsidRDefault="00950E85" w:rsidP="00B47B42">
      <w:pPr>
        <w:spacing w:line="360" w:lineRule="auto"/>
        <w:contextualSpacing/>
        <w:jc w:val="both"/>
        <w:rPr>
          <w:rFonts w:ascii="Palatino Linotype" w:eastAsia="MS Mincho" w:hAnsi="Palatino Linotype" w:cs="Tahoma"/>
          <w:sz w:val="24"/>
          <w:szCs w:val="24"/>
        </w:rPr>
      </w:pPr>
    </w:p>
    <w:p w14:paraId="7DF61A8C" w14:textId="656A1548" w:rsidR="00B47B42" w:rsidRPr="00950E85" w:rsidRDefault="00B47B42" w:rsidP="00B47B42">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es procedente clasificarlo como confidencial con fundamento en el artículo 143, fracción I de la Ley de Transparencia y Acceso a la Información Pública del Estado de México y Municipios.</w:t>
      </w:r>
    </w:p>
    <w:p w14:paraId="65656D82" w14:textId="77777777" w:rsidR="00B47B42" w:rsidRPr="00AF5EC2" w:rsidRDefault="00B47B42" w:rsidP="00B47B42">
      <w:pPr>
        <w:spacing w:line="360" w:lineRule="auto"/>
        <w:contextualSpacing/>
        <w:jc w:val="both"/>
        <w:rPr>
          <w:rFonts w:ascii="Palatino Linotype" w:eastAsia="MS Mincho" w:hAnsi="Palatino Linotype" w:cs="Tahoma"/>
        </w:rPr>
      </w:pPr>
      <w:bookmarkStart w:id="0" w:name="_GoBack"/>
      <w:bookmarkEnd w:id="0"/>
    </w:p>
    <w:p w14:paraId="7F270FC8" w14:textId="77777777" w:rsidR="00B47B42" w:rsidRPr="00AF5EC2" w:rsidRDefault="00B47B42" w:rsidP="00B47B42">
      <w:pPr>
        <w:pStyle w:val="Prrafodelista"/>
        <w:numPr>
          <w:ilvl w:val="0"/>
          <w:numId w:val="38"/>
        </w:numPr>
        <w:spacing w:line="360" w:lineRule="auto"/>
        <w:contextualSpacing/>
        <w:jc w:val="both"/>
        <w:rPr>
          <w:rFonts w:ascii="Palatino Linotype" w:eastAsia="MS Mincho" w:hAnsi="Palatino Linotype" w:cs="Tahoma"/>
          <w:b/>
          <w:u w:val="single"/>
          <w:lang w:val="es-MX"/>
        </w:rPr>
      </w:pPr>
      <w:r w:rsidRPr="00AF5EC2">
        <w:rPr>
          <w:rFonts w:ascii="Palatino Linotype" w:eastAsia="MS Mincho" w:hAnsi="Palatino Linotype" w:cs="Tahoma"/>
          <w:b/>
          <w:u w:val="single"/>
          <w:lang w:val="es-MX"/>
        </w:rPr>
        <w:t>Nombre del propietario.</w:t>
      </w:r>
    </w:p>
    <w:p w14:paraId="189559A7" w14:textId="77777777" w:rsidR="00B47B42" w:rsidRPr="00950E85" w:rsidRDefault="00B47B42" w:rsidP="00B47B42">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El nombre se integra con el sustantivo propio y el primer apellido de los padres, en el orden que, de común acuerdo determinen; asimismo es la manifestación principal del derecho subjetivo a la personal y atributo de esta, en términos del artículo 2.3 del Código Civil del Estado de México, de tal suerte, el nombre es un elemento que hace a una persona física identificada e identificable, por lo que se considera un dato personal.</w:t>
      </w:r>
    </w:p>
    <w:p w14:paraId="349D2805" w14:textId="77777777" w:rsidR="00B47B42" w:rsidRPr="00950E85" w:rsidRDefault="00B47B42" w:rsidP="00B47B42">
      <w:pPr>
        <w:spacing w:line="360" w:lineRule="auto"/>
        <w:contextualSpacing/>
        <w:jc w:val="both"/>
        <w:rPr>
          <w:rFonts w:ascii="Palatino Linotype" w:eastAsia="MS Mincho" w:hAnsi="Palatino Linotype" w:cs="Tahoma"/>
          <w:sz w:val="24"/>
          <w:szCs w:val="24"/>
        </w:rPr>
      </w:pPr>
    </w:p>
    <w:p w14:paraId="0C15252E" w14:textId="0EE3C1C9" w:rsidR="00B47B42" w:rsidRPr="00950E85" w:rsidRDefault="00B47B42" w:rsidP="00B47B42">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 xml:space="preserve">En el caso concreto, se trata del nombre de una persona en relación con la propiedad de un bien inmueble, es decir, es posible establecer la relación que existe entre una persona y un bien que forma parte de su patrimonio, por lo que, en ese sentido, se </w:t>
      </w:r>
      <w:r w:rsidRPr="00950E85">
        <w:rPr>
          <w:rFonts w:ascii="Palatino Linotype" w:eastAsia="MS Mincho" w:hAnsi="Palatino Linotype" w:cs="Tahoma"/>
          <w:sz w:val="24"/>
          <w:szCs w:val="24"/>
        </w:rPr>
        <w:lastRenderedPageBreak/>
        <w:t>considera procedente el nombre de la persona que aparece en el recibo de pago de impuesto predial, en términos de lo establecido en el artículo 143, fracción I de la Ley de Transparencia y Acceso a la Información Pública del Estado de México y Municipios.</w:t>
      </w:r>
    </w:p>
    <w:p w14:paraId="528DEFCB" w14:textId="77777777" w:rsidR="00B47B42" w:rsidRPr="00AF5EC2" w:rsidRDefault="00B47B42" w:rsidP="00B47B42">
      <w:pPr>
        <w:spacing w:line="360" w:lineRule="auto"/>
        <w:contextualSpacing/>
        <w:jc w:val="both"/>
        <w:rPr>
          <w:rFonts w:ascii="Palatino Linotype" w:eastAsia="MS Mincho" w:hAnsi="Palatino Linotype" w:cs="Tahoma"/>
        </w:rPr>
      </w:pPr>
    </w:p>
    <w:p w14:paraId="224015A0" w14:textId="77777777" w:rsidR="00B47B42" w:rsidRPr="00AF5EC2" w:rsidRDefault="00B47B42" w:rsidP="00B47B42">
      <w:pPr>
        <w:pStyle w:val="Prrafodelista"/>
        <w:numPr>
          <w:ilvl w:val="0"/>
          <w:numId w:val="38"/>
        </w:numPr>
        <w:spacing w:line="360" w:lineRule="auto"/>
        <w:contextualSpacing/>
        <w:jc w:val="both"/>
        <w:rPr>
          <w:rFonts w:ascii="Palatino Linotype" w:eastAsia="MS Mincho" w:hAnsi="Palatino Linotype" w:cs="Tahoma"/>
          <w:b/>
          <w:u w:val="single"/>
          <w:lang w:val="es-ES_tradnl"/>
        </w:rPr>
      </w:pPr>
      <w:r w:rsidRPr="00AF5EC2">
        <w:rPr>
          <w:rFonts w:ascii="Palatino Linotype" w:eastAsia="MS Mincho" w:hAnsi="Palatino Linotype" w:cs="Tahoma"/>
          <w:b/>
          <w:u w:val="single"/>
          <w:lang w:val="es-ES_tradnl"/>
        </w:rPr>
        <w:t>Domicilio del inmueble.</w:t>
      </w:r>
    </w:p>
    <w:p w14:paraId="0F8A72A5"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Los artículos 2.3 y 2.5 del Código Civil del Estado de México, señalan que el domicilio es un atributo de la personalidad y un derecho de las personas; además de que tiene como propósito que una persona pueda establecerse temporal o permanentemente en un lugar determinado para habitar, establecer su centro de trabajo o negocios.</w:t>
      </w:r>
    </w:p>
    <w:p w14:paraId="4D5CDD69"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p>
    <w:p w14:paraId="7EA6EB32"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Asimismo, el artículo 29, del Código Civil Federal, dispone que el domicilio de personas físicas es el lugar donde residen habitualmente, el lugar del centro principal de sus negocios, donde residan o el lugar donde se encuentren. De conformidad con lo antes señalado, es posible determinar que la dirección o domicilio en donde se encuentra el predio señalado en el recibo de pago del impuesto predial, al permitir conocer la ubicación exacta de un bien inmueble que es propiedad de una persona física, es susceptible de considerarse como confidencial, ya que incide directamente en la privacidad de personas físicas y su difusión podría afectar la esfera privada de las mismas.</w:t>
      </w:r>
    </w:p>
    <w:p w14:paraId="6499C623" w14:textId="77777777" w:rsidR="00B47B42" w:rsidRPr="00950E85" w:rsidRDefault="00B47B42" w:rsidP="00B47B42">
      <w:pPr>
        <w:spacing w:line="276" w:lineRule="auto"/>
        <w:contextualSpacing/>
        <w:jc w:val="both"/>
        <w:rPr>
          <w:rFonts w:ascii="Palatino Linotype" w:eastAsia="MS Mincho" w:hAnsi="Palatino Linotype" w:cs="Tahoma"/>
          <w:sz w:val="24"/>
          <w:szCs w:val="24"/>
          <w:lang w:val="es-ES_tradnl"/>
        </w:rPr>
      </w:pPr>
    </w:p>
    <w:p w14:paraId="7A5318FC"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lastRenderedPageBreak/>
        <w:t>Por lo tanto, se actualiza la clasificación, de conformidad con la fracción I, del artículo 143, de la Ley de Transparencia y Acceso a la Información Pública del Estado de México y Municipios.</w:t>
      </w:r>
    </w:p>
    <w:p w14:paraId="60F26771" w14:textId="77777777" w:rsidR="00B47B42" w:rsidRPr="00AF5EC2" w:rsidRDefault="00B47B42" w:rsidP="00B47B42">
      <w:pPr>
        <w:spacing w:line="360" w:lineRule="auto"/>
        <w:contextualSpacing/>
        <w:jc w:val="both"/>
        <w:rPr>
          <w:rFonts w:ascii="Palatino Linotype" w:eastAsia="MS Mincho" w:hAnsi="Palatino Linotype" w:cs="Tahoma"/>
          <w:lang w:val="es-ES_tradnl"/>
        </w:rPr>
      </w:pPr>
    </w:p>
    <w:p w14:paraId="4E774978" w14:textId="77777777" w:rsidR="00B47B42" w:rsidRPr="00AF5EC2" w:rsidRDefault="00B47B42" w:rsidP="00B47B42">
      <w:pPr>
        <w:pStyle w:val="Prrafodelista"/>
        <w:numPr>
          <w:ilvl w:val="0"/>
          <w:numId w:val="38"/>
        </w:numPr>
        <w:spacing w:line="360" w:lineRule="auto"/>
        <w:contextualSpacing/>
        <w:jc w:val="both"/>
        <w:rPr>
          <w:rFonts w:ascii="Palatino Linotype" w:eastAsia="MS Mincho" w:hAnsi="Palatino Linotype" w:cs="Tahoma"/>
          <w:b/>
          <w:u w:val="single"/>
          <w:lang w:val="es-ES_tradnl"/>
        </w:rPr>
      </w:pPr>
      <w:r w:rsidRPr="00AF5EC2">
        <w:rPr>
          <w:rFonts w:ascii="Palatino Linotype" w:eastAsia="MS Mincho" w:hAnsi="Palatino Linotype" w:cs="Tahoma"/>
          <w:b/>
          <w:u w:val="single"/>
          <w:lang w:val="es-ES_tradnl"/>
        </w:rPr>
        <w:t>Registro Federal de Contribuyentes (RFC).</w:t>
      </w:r>
    </w:p>
    <w:p w14:paraId="514A5E41"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D0EBF67"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p>
    <w:p w14:paraId="29D19974"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8F8B21B"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p>
    <w:p w14:paraId="27D5B424"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w:t>
      </w:r>
      <w:r w:rsidRPr="00950E85">
        <w:rPr>
          <w:rFonts w:ascii="Palatino Linotype" w:eastAsia="MS Mincho" w:hAnsi="Palatino Linotype" w:cs="Tahoma"/>
          <w:sz w:val="24"/>
          <w:szCs w:val="24"/>
          <w:lang w:val="es-ES_tradnl"/>
        </w:rPr>
        <w:lastRenderedPageBreak/>
        <w:t>el único propósito de realizar mediante esa clave de identificación, operaciones o actividades de naturaleza fiscal.</w:t>
      </w:r>
    </w:p>
    <w:p w14:paraId="4C6C85FF" w14:textId="77777777" w:rsidR="00B47B42" w:rsidRPr="00950E85" w:rsidRDefault="00B47B42" w:rsidP="00B47B42">
      <w:pPr>
        <w:spacing w:line="360" w:lineRule="auto"/>
        <w:contextualSpacing/>
        <w:jc w:val="both"/>
        <w:rPr>
          <w:rFonts w:ascii="Palatino Linotype" w:eastAsia="MS Mincho" w:hAnsi="Palatino Linotype" w:cs="Tahoma"/>
          <w:sz w:val="24"/>
          <w:szCs w:val="24"/>
          <w:lang w:val="es-ES_tradnl"/>
        </w:rPr>
      </w:pPr>
    </w:p>
    <w:p w14:paraId="7A5D54F6" w14:textId="77777777" w:rsidR="00B47B42" w:rsidRPr="00950E85" w:rsidRDefault="00B47B42" w:rsidP="00B47B42">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69914C96" w14:textId="77777777" w:rsidR="00B47B42" w:rsidRPr="00950E85" w:rsidRDefault="00B47B42" w:rsidP="00B47B42">
      <w:pPr>
        <w:spacing w:line="360" w:lineRule="auto"/>
        <w:contextualSpacing/>
        <w:jc w:val="both"/>
        <w:rPr>
          <w:rFonts w:ascii="Palatino Linotype" w:eastAsia="MS Mincho" w:hAnsi="Palatino Linotype" w:cs="Tahoma"/>
          <w:sz w:val="24"/>
          <w:szCs w:val="24"/>
        </w:rPr>
      </w:pPr>
    </w:p>
    <w:p w14:paraId="06341400" w14:textId="77777777" w:rsidR="00B47B42" w:rsidRPr="00950E85" w:rsidRDefault="00B47B42" w:rsidP="00B47B42">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Lo anterior, resulta congruente con el Criterio 19/17 emitido por el Instituto Nacional de Transparencia, Acceso a la Información y Protección de Datos Personales, en el cual se señala lo siguiente:</w:t>
      </w:r>
    </w:p>
    <w:p w14:paraId="1062E492" w14:textId="6BB4D435" w:rsidR="00B47B42" w:rsidRPr="00B47B42" w:rsidRDefault="00B47B42" w:rsidP="00B47B42">
      <w:pPr>
        <w:pStyle w:val="Citas"/>
        <w:rPr>
          <w:b/>
          <w:bCs/>
        </w:rPr>
      </w:pPr>
      <w:r w:rsidRPr="00AF5EC2">
        <w:t>“</w:t>
      </w:r>
      <w:r w:rsidRPr="00AF5EC2">
        <w:rPr>
          <w:b/>
          <w:bCs/>
        </w:rPr>
        <w:t>Registro Federal de Contribuyentes (RFC) de personas físicas</w:t>
      </w:r>
      <w:r w:rsidRPr="00AF5EC2">
        <w:t>. El RFC es una clave de carácter fiscal, única e irrepetible, que permite identificar al titular, su edad y fecha de nacimiento, por lo que es un dato personal de carácter confidencial.”</w:t>
      </w:r>
      <w:r>
        <w:t xml:space="preserve"> </w:t>
      </w:r>
      <w:r>
        <w:rPr>
          <w:b/>
          <w:bCs/>
        </w:rPr>
        <w:t>(Sic)</w:t>
      </w:r>
    </w:p>
    <w:p w14:paraId="3CE775C7" w14:textId="77777777" w:rsidR="00B47B42" w:rsidRPr="00AF5EC2" w:rsidRDefault="00B47B42" w:rsidP="00B47B42">
      <w:pPr>
        <w:spacing w:line="276" w:lineRule="auto"/>
        <w:contextualSpacing/>
        <w:jc w:val="both"/>
        <w:rPr>
          <w:rFonts w:ascii="Palatino Linotype" w:eastAsia="MS Mincho" w:hAnsi="Palatino Linotype" w:cs="Tahoma"/>
        </w:rPr>
      </w:pPr>
    </w:p>
    <w:p w14:paraId="169E2ABD" w14:textId="77777777" w:rsidR="00B47B42" w:rsidRPr="00950E85" w:rsidRDefault="00B47B42" w:rsidP="00B47B42">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De tal suerte, el Registro Federal de Contribuyentes constituye un dato personal confidencial al actualizar el supuesto normativo del artículo 143, fracción I, de la Ley de Transparencia y Acceso a la Información Pública del Estado de México y Municipios.</w:t>
      </w:r>
    </w:p>
    <w:p w14:paraId="6350F412" w14:textId="50111BB6" w:rsidR="00B47B42" w:rsidRPr="00950E85" w:rsidRDefault="00B47B42" w:rsidP="00B47B42">
      <w:pPr>
        <w:pStyle w:val="Sinespaciado"/>
        <w:spacing w:line="360" w:lineRule="auto"/>
        <w:jc w:val="both"/>
        <w:rPr>
          <w:rFonts w:ascii="Palatino Linotype" w:hAnsi="Palatino Linotype"/>
          <w:lang w:val="es-ES_tradnl"/>
        </w:rPr>
      </w:pPr>
      <w:r w:rsidRPr="00950E85">
        <w:rPr>
          <w:rFonts w:ascii="Palatino Linotype" w:eastAsia="MS Mincho" w:hAnsi="Palatino Linotype" w:cs="Tahoma"/>
          <w:lang w:val="es-ES_tradnl"/>
        </w:rPr>
        <w:t>Precisado lo</w:t>
      </w:r>
      <w:r w:rsidRPr="00950E85">
        <w:rPr>
          <w:rFonts w:ascii="Palatino Linotype" w:hAnsi="Palatino Linotype" w:cs="Arial"/>
          <w:lang w:val="es-ES_tradnl"/>
        </w:rPr>
        <w:t xml:space="preserve"> anterior, se colige que la información requerida por el particular obra en los archivos del </w:t>
      </w:r>
      <w:r w:rsidRPr="00950E85">
        <w:rPr>
          <w:rFonts w:ascii="Palatino Linotype" w:hAnsi="Palatino Linotype" w:cs="Arial"/>
          <w:b/>
          <w:bCs/>
          <w:lang w:val="es-ES_tradnl"/>
        </w:rPr>
        <w:t>Sujeto Obligado</w:t>
      </w:r>
      <w:r w:rsidRPr="00950E85">
        <w:rPr>
          <w:rFonts w:ascii="Palatino Linotype" w:hAnsi="Palatino Linotype" w:cs="Arial"/>
          <w:bCs/>
          <w:lang w:val="es-ES_tradnl"/>
        </w:rPr>
        <w:t xml:space="preserve">; no obstante, dicha información no encuadra dentro </w:t>
      </w:r>
      <w:r w:rsidRPr="00950E85">
        <w:rPr>
          <w:rFonts w:ascii="Palatino Linotype" w:hAnsi="Palatino Linotype" w:cs="Arial"/>
          <w:bCs/>
          <w:lang w:val="es-ES_tradnl"/>
        </w:rPr>
        <w:lastRenderedPageBreak/>
        <w:t xml:space="preserve">de las fronteras conceptuales del interés público y alcance general, por el contrario, debe de concebirse como documentales que deben de clasificadas como confidencial. </w:t>
      </w:r>
    </w:p>
    <w:p w14:paraId="6EA00D77" w14:textId="158F9CE6" w:rsidR="006E7EEE" w:rsidRDefault="006E7EEE" w:rsidP="006E7EEE">
      <w:pPr>
        <w:pStyle w:val="Sinespaciado"/>
        <w:spacing w:line="360" w:lineRule="auto"/>
        <w:jc w:val="both"/>
        <w:rPr>
          <w:rFonts w:ascii="Palatino Linotype" w:hAnsi="Palatino Linotype"/>
        </w:rPr>
      </w:pPr>
    </w:p>
    <w:p w14:paraId="3230F9EF" w14:textId="77777777" w:rsidR="00B47B42" w:rsidRPr="00AF5EC2" w:rsidRDefault="00B47B42" w:rsidP="00B47B42">
      <w:pPr>
        <w:spacing w:line="360" w:lineRule="auto"/>
        <w:jc w:val="both"/>
        <w:rPr>
          <w:rFonts w:ascii="Palatino Linotype" w:hAnsi="Palatino Linotype" w:cs="Arial"/>
        </w:rPr>
      </w:pPr>
    </w:p>
    <w:p w14:paraId="1BF126A2" w14:textId="77777777" w:rsidR="00B47B42" w:rsidRPr="00AF5EC2" w:rsidRDefault="00B47B42" w:rsidP="00B47B42">
      <w:pPr>
        <w:spacing w:line="360" w:lineRule="auto"/>
        <w:jc w:val="both"/>
        <w:rPr>
          <w:rFonts w:ascii="Palatino Linotype" w:hAnsi="Palatino Linotype" w:cs="Arial"/>
          <w:b/>
        </w:rPr>
      </w:pPr>
      <w:r w:rsidRPr="00AF5EC2">
        <w:rPr>
          <w:rFonts w:ascii="Palatino Linotype" w:hAnsi="Palatino Linotype" w:cs="Arial"/>
          <w:b/>
        </w:rPr>
        <w:t>I. DEL ACUERDO DE CLASIFICACIÓN. FORMALIDADES PARA EMITIR EL ACUERDO DE CLASIFICACIÓN.</w:t>
      </w:r>
    </w:p>
    <w:p w14:paraId="0D63E268" w14:textId="77777777" w:rsidR="00B47B42" w:rsidRPr="00950E85" w:rsidRDefault="00B47B42" w:rsidP="00B47B42">
      <w:pPr>
        <w:spacing w:line="360" w:lineRule="auto"/>
        <w:jc w:val="both"/>
        <w:rPr>
          <w:rFonts w:ascii="Palatino Linotype" w:hAnsi="Palatino Linotype" w:cs="Arial"/>
          <w:sz w:val="24"/>
          <w:szCs w:val="24"/>
        </w:rPr>
      </w:pPr>
      <w:r w:rsidRPr="00950E85">
        <w:rPr>
          <w:rFonts w:ascii="Palatino Linotype" w:hAnsi="Palatino Linotype" w:cs="Arial"/>
          <w:sz w:val="24"/>
          <w:szCs w:val="24"/>
        </w:rPr>
        <w:t>Los artículos 122 y 100, de la Ley de Transparencia y Acceso a la Información Pública del Estado de México y Municipios y de la Ley General de Transparencia y Acceso a la Información Pública,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4BF1632F" w14:textId="77777777" w:rsidR="00B47B42" w:rsidRPr="00950E85" w:rsidRDefault="00B47B42" w:rsidP="00B47B42">
      <w:pPr>
        <w:spacing w:line="360" w:lineRule="auto"/>
        <w:jc w:val="both"/>
        <w:rPr>
          <w:rFonts w:ascii="Palatino Linotype" w:hAnsi="Palatino Linotype" w:cs="Arial"/>
          <w:sz w:val="24"/>
          <w:szCs w:val="24"/>
        </w:rPr>
      </w:pPr>
      <w:r w:rsidRPr="00950E85">
        <w:rPr>
          <w:rFonts w:ascii="Palatino Linotype" w:hAnsi="Palatino Linotype" w:cs="Arial"/>
          <w:sz w:val="24"/>
          <w:szCs w:val="24"/>
        </w:rPr>
        <w:t>(…)</w:t>
      </w:r>
    </w:p>
    <w:p w14:paraId="4B896BB0" w14:textId="6FE9DE14" w:rsidR="00B47B42" w:rsidRPr="00950E85" w:rsidRDefault="00B47B42" w:rsidP="00B47B42">
      <w:pPr>
        <w:spacing w:line="360" w:lineRule="auto"/>
        <w:jc w:val="both"/>
        <w:rPr>
          <w:rFonts w:ascii="Palatino Linotype" w:hAnsi="Palatino Linotype" w:cs="Arial"/>
          <w:sz w:val="24"/>
          <w:szCs w:val="24"/>
        </w:rPr>
      </w:pPr>
      <w:r w:rsidRPr="00950E85">
        <w:rPr>
          <w:rFonts w:ascii="Palatino Linotype" w:hAnsi="Palatino Linotype" w:cs="Arial"/>
          <w:sz w:val="24"/>
          <w:szCs w:val="24"/>
        </w:rPr>
        <w:t xml:space="preserve">En otras palabras, la clasificación de la información, en cualquiera de sus modalidades, deberá de justificarse en un Acuerdo de Clasificación de Información emitido por el Comité del Transparencia del Sujeto Obligado. Dicho acuerdo deberá de contener los razonamientos lógicos mediante los cuales se demuestre que la información corresponde a algunas de las hipótesis jurídicas previstas en los artículos 122 y 143, de </w:t>
      </w:r>
      <w:r w:rsidRPr="00950E85">
        <w:rPr>
          <w:rFonts w:ascii="Palatino Linotype" w:hAnsi="Palatino Linotype" w:cs="Arial"/>
          <w:sz w:val="24"/>
          <w:szCs w:val="24"/>
        </w:rPr>
        <w:lastRenderedPageBreak/>
        <w:t>la ley, explicando claramente las causas excepcionales que justifican la restricción al derecho.</w:t>
      </w:r>
      <w:r w:rsidR="00950E85">
        <w:rPr>
          <w:rFonts w:ascii="Palatino Linotype" w:hAnsi="Palatino Linotype" w:cs="Arial"/>
          <w:sz w:val="24"/>
          <w:szCs w:val="24"/>
        </w:rPr>
        <w:t xml:space="preserve"> </w:t>
      </w:r>
      <w:r w:rsidRPr="00950E85">
        <w:rPr>
          <w:rFonts w:ascii="Palatino Linotype" w:hAnsi="Palatino Linotype" w:cs="Arial"/>
          <w:sz w:val="24"/>
          <w:szCs w:val="24"/>
        </w:rPr>
        <w:t>Por lo que si la información, con la que se pueda responder a una solicitud de información, contiene datos personales se deberá de realizar su clasificación como información confidencial.</w:t>
      </w:r>
    </w:p>
    <w:p w14:paraId="2562D45D" w14:textId="5B1F579A" w:rsidR="00B47B42" w:rsidRPr="00950E85" w:rsidRDefault="00B47B42" w:rsidP="00B47B42">
      <w:pPr>
        <w:spacing w:line="360" w:lineRule="auto"/>
        <w:jc w:val="both"/>
        <w:rPr>
          <w:rFonts w:ascii="Palatino Linotype" w:hAnsi="Palatino Linotype" w:cs="Arial"/>
          <w:b/>
          <w:bCs/>
          <w:sz w:val="24"/>
          <w:szCs w:val="24"/>
        </w:rPr>
      </w:pPr>
      <w:r w:rsidRPr="00950E85">
        <w:rPr>
          <w:rFonts w:ascii="Palatino Linotype" w:hAnsi="Palatino Linotype" w:cs="Arial"/>
          <w:sz w:val="24"/>
          <w:szCs w:val="24"/>
        </w:rPr>
        <w:t xml:space="preserve">En conclusión, se instruye al </w:t>
      </w:r>
      <w:r w:rsidRPr="00950E85">
        <w:rPr>
          <w:rFonts w:ascii="Palatino Linotype" w:hAnsi="Palatino Linotype" w:cs="Arial"/>
          <w:b/>
          <w:sz w:val="24"/>
          <w:szCs w:val="24"/>
        </w:rPr>
        <w:t>Ayuntamiento de Tlalnepantla de Baz</w:t>
      </w:r>
      <w:r w:rsidRPr="00950E85">
        <w:rPr>
          <w:rFonts w:ascii="Palatino Linotype" w:hAnsi="Palatino Linotype" w:cs="Arial"/>
          <w:sz w:val="24"/>
          <w:szCs w:val="24"/>
        </w:rPr>
        <w:t xml:space="preserve"> a proporcionar el acta de clasificación como información confidencial a través de su Comité de Transparencia, en términos de los artículos 122 y 143, fracción II, de la Ley de Transparencia y Acceso a la Información Pública del Estado de México y Municipios, respecto de los soportes documentales requeridos mediante la solicitud de información </w:t>
      </w:r>
      <w:r w:rsidRPr="00950E85">
        <w:rPr>
          <w:rFonts w:ascii="Palatino Linotype" w:hAnsi="Palatino Linotype" w:cs="Arial"/>
          <w:b/>
          <w:bCs/>
          <w:sz w:val="24"/>
          <w:szCs w:val="24"/>
        </w:rPr>
        <w:t xml:space="preserve">00739/TLALNEPA/IP/2022. </w:t>
      </w:r>
    </w:p>
    <w:p w14:paraId="208EBCED" w14:textId="517004ED" w:rsidR="008058C6" w:rsidRPr="00950E85" w:rsidRDefault="008058C6" w:rsidP="008058C6">
      <w:pPr>
        <w:tabs>
          <w:tab w:val="left" w:pos="709"/>
        </w:tabs>
        <w:spacing w:before="240" w:line="360" w:lineRule="auto"/>
        <w:ind w:right="51"/>
        <w:jc w:val="both"/>
        <w:rPr>
          <w:rFonts w:ascii="Palatino Linotype" w:hAnsi="Palatino Linotype"/>
          <w:sz w:val="24"/>
          <w:szCs w:val="24"/>
        </w:rPr>
      </w:pPr>
      <w:r w:rsidRPr="00950E85">
        <w:rPr>
          <w:rFonts w:ascii="Palatino Linotype" w:hAnsi="Palatino Linotype"/>
          <w:iCs/>
          <w:sz w:val="24"/>
          <w:szCs w:val="24"/>
        </w:rPr>
        <w:t xml:space="preserve">En mérito de lo expuesto </w:t>
      </w:r>
      <w:r w:rsidRPr="00950E85">
        <w:rPr>
          <w:rFonts w:ascii="Palatino Linotype" w:hAnsi="Palatino Linotype"/>
          <w:sz w:val="24"/>
          <w:szCs w:val="24"/>
        </w:rPr>
        <w:t xml:space="preserve">en líneas anteriores, resultan parcialmente fundados los motivos de inconformidad vertidos por </w:t>
      </w:r>
      <w:r w:rsidRPr="00950E85">
        <w:rPr>
          <w:rFonts w:ascii="Palatino Linotype" w:hAnsi="Palatino Linotype"/>
          <w:b/>
          <w:sz w:val="24"/>
          <w:szCs w:val="24"/>
        </w:rPr>
        <w:t xml:space="preserve">El Recurrente, </w:t>
      </w:r>
      <w:r w:rsidRPr="00950E85">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950E85">
        <w:rPr>
          <w:rFonts w:ascii="Palatino Linotype" w:hAnsi="Palatino Linotype"/>
          <w:b/>
          <w:sz w:val="24"/>
          <w:szCs w:val="24"/>
        </w:rPr>
        <w:t xml:space="preserve">MODIFICA </w:t>
      </w:r>
      <w:r w:rsidRPr="00950E85">
        <w:rPr>
          <w:rFonts w:ascii="Palatino Linotype" w:hAnsi="Palatino Linotype"/>
          <w:sz w:val="24"/>
          <w:szCs w:val="24"/>
        </w:rPr>
        <w:t xml:space="preserve">la respuesta a la solicitud de información </w:t>
      </w:r>
      <w:r w:rsidR="00963842" w:rsidRPr="00950E85">
        <w:rPr>
          <w:rFonts w:ascii="Palatino Linotype" w:hAnsi="Palatino Linotype" w:cs="Arial"/>
          <w:b/>
          <w:bCs/>
          <w:sz w:val="24"/>
          <w:szCs w:val="24"/>
        </w:rPr>
        <w:t>00739/TLALNEPA/IP/2022</w:t>
      </w:r>
      <w:r w:rsidRPr="00950E85">
        <w:rPr>
          <w:rFonts w:ascii="Palatino Linotype" w:hAnsi="Palatino Linotype"/>
          <w:b/>
          <w:sz w:val="24"/>
          <w:szCs w:val="24"/>
        </w:rPr>
        <w:t xml:space="preserve">, </w:t>
      </w:r>
      <w:r w:rsidRPr="00950E85">
        <w:rPr>
          <w:rFonts w:ascii="Palatino Linotype" w:hAnsi="Palatino Linotype"/>
          <w:sz w:val="24"/>
          <w:szCs w:val="24"/>
        </w:rPr>
        <w:t xml:space="preserve">que ha sido materia del presente fallo. </w:t>
      </w:r>
    </w:p>
    <w:p w14:paraId="58F36CF8" w14:textId="79F9991A" w:rsidR="008058C6" w:rsidRDefault="008058C6" w:rsidP="00950E85">
      <w:pPr>
        <w:pStyle w:val="Prrafodelista"/>
        <w:spacing w:before="240" w:after="240" w:line="360" w:lineRule="auto"/>
        <w:ind w:left="0"/>
        <w:jc w:val="both"/>
        <w:rPr>
          <w:rFonts w:ascii="Palatino Linotype" w:hAnsi="Palatino Linotype"/>
        </w:rPr>
      </w:pPr>
      <w:r w:rsidRPr="00950E85">
        <w:rPr>
          <w:rFonts w:ascii="Palatino Linotype" w:hAnsi="Palatino Linotype"/>
        </w:rPr>
        <w:t xml:space="preserve">Por lo antes expuesto y fundado es de resolverse y, </w:t>
      </w:r>
    </w:p>
    <w:p w14:paraId="777373C0" w14:textId="77777777" w:rsidR="00950E85" w:rsidRDefault="00950E85" w:rsidP="00950E85">
      <w:pPr>
        <w:pStyle w:val="Prrafodelista"/>
        <w:spacing w:before="240" w:after="240" w:line="360" w:lineRule="auto"/>
        <w:ind w:left="0"/>
        <w:jc w:val="both"/>
        <w:rPr>
          <w:rFonts w:ascii="Palatino Linotype" w:hAnsi="Palatino Linotype"/>
        </w:rPr>
      </w:pPr>
    </w:p>
    <w:p w14:paraId="0DA84FAC" w14:textId="77777777" w:rsidR="008058C6" w:rsidRPr="00D05C83" w:rsidRDefault="008058C6" w:rsidP="008058C6">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D052A57" w14:textId="482D24BB" w:rsidR="008058C6" w:rsidRDefault="008058C6" w:rsidP="008058C6">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963842" w:rsidRPr="00950E85">
        <w:rPr>
          <w:rFonts w:ascii="Palatino Linotype" w:hAnsi="Palatino Linotype" w:cs="Arial"/>
          <w:b/>
          <w:bCs/>
          <w:sz w:val="24"/>
          <w:szCs w:val="24"/>
        </w:rPr>
        <w:t>00739/TLALNEPA/IP/2022</w:t>
      </w:r>
      <w:r>
        <w:rPr>
          <w:rFonts w:ascii="Palatino Linotype" w:hAnsi="Palatino Linotype" w:cs="Arial"/>
          <w:b/>
          <w:sz w:val="24"/>
        </w:rPr>
        <w:t xml:space="preserve">, </w:t>
      </w:r>
      <w:r>
        <w:rPr>
          <w:rFonts w:ascii="Palatino Linotype" w:hAnsi="Palatino Linotype" w:cs="Arial"/>
          <w:sz w:val="24"/>
        </w:rPr>
        <w:t xml:space="preserve">por resultar </w:t>
      </w:r>
      <w:r>
        <w:rPr>
          <w:rFonts w:ascii="Palatino Linotype" w:hAnsi="Palatino Linotype" w:cs="Arial"/>
          <w:sz w:val="24"/>
        </w:rPr>
        <w:lastRenderedPageBreak/>
        <w:t xml:space="preserve">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A360F91" w14:textId="77777777" w:rsidR="008058C6" w:rsidRDefault="008058C6" w:rsidP="008058C6">
      <w:pPr>
        <w:spacing w:after="0" w:line="360" w:lineRule="auto"/>
        <w:ind w:right="51"/>
        <w:jc w:val="both"/>
        <w:rPr>
          <w:rFonts w:ascii="Palatino Linotype" w:hAnsi="Palatino Linotype" w:cs="Arial"/>
          <w:sz w:val="24"/>
          <w:szCs w:val="24"/>
        </w:rPr>
      </w:pPr>
    </w:p>
    <w:p w14:paraId="26FFFDDA" w14:textId="76B97E0B" w:rsidR="008058C6" w:rsidRPr="006633BF" w:rsidRDefault="008058C6" w:rsidP="008058C6">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haga entrega al</w:t>
      </w:r>
      <w:r w:rsidRPr="006633BF">
        <w:rPr>
          <w:rFonts w:ascii="Palatino Linotype" w:hAnsi="Palatino Linotype" w:cs="Arial"/>
          <w:b/>
          <w:sz w:val="24"/>
          <w:szCs w:val="24"/>
        </w:rPr>
        <w:t xml:space="preserve"> 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45BA554F" w14:textId="7B122002" w:rsidR="008058C6" w:rsidRPr="00287CF0" w:rsidRDefault="008058C6" w:rsidP="008058C6">
      <w:pPr>
        <w:pStyle w:val="Citas"/>
        <w:numPr>
          <w:ilvl w:val="0"/>
          <w:numId w:val="39"/>
        </w:numPr>
        <w:ind w:right="72"/>
        <w:rPr>
          <w:sz w:val="24"/>
          <w:szCs w:val="24"/>
        </w:rPr>
      </w:pPr>
      <w:r>
        <w:rPr>
          <w:sz w:val="24"/>
          <w:szCs w:val="24"/>
        </w:rPr>
        <w:t xml:space="preserve">Acuerdo de clasificación como confidencial en su totalidad, respecto de la información requerida mediante la solicitud de información </w:t>
      </w:r>
      <w:r>
        <w:rPr>
          <w:b/>
          <w:bCs/>
          <w:sz w:val="24"/>
          <w:szCs w:val="24"/>
        </w:rPr>
        <w:t>00739/TLALNEPA/IP/2022.</w:t>
      </w:r>
    </w:p>
    <w:p w14:paraId="57641705" w14:textId="77777777" w:rsidR="008058C6" w:rsidRDefault="008058C6" w:rsidP="008058C6">
      <w:pPr>
        <w:pStyle w:val="Prrafodelista"/>
        <w:spacing w:before="240" w:line="360" w:lineRule="auto"/>
        <w:ind w:left="720"/>
        <w:jc w:val="both"/>
        <w:rPr>
          <w:rFonts w:ascii="Palatino Linotype" w:hAnsi="Palatino Linotype" w:cs="Arial"/>
          <w:i/>
        </w:rPr>
      </w:pPr>
    </w:p>
    <w:p w14:paraId="35D406DD" w14:textId="77777777" w:rsidR="008058C6" w:rsidRDefault="008058C6" w:rsidP="008058C6">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2182347" w14:textId="77777777" w:rsidR="008058C6" w:rsidRDefault="008058C6" w:rsidP="008058C6">
      <w:pPr>
        <w:autoSpaceDE w:val="0"/>
        <w:autoSpaceDN w:val="0"/>
        <w:adjustRightInd w:val="0"/>
        <w:spacing w:before="240" w:line="360" w:lineRule="auto"/>
        <w:jc w:val="both"/>
        <w:rPr>
          <w:rFonts w:ascii="Palatino Linotype" w:hAnsi="Palatino Linotype" w:cs="Arial"/>
          <w:sz w:val="24"/>
          <w:szCs w:val="24"/>
        </w:rPr>
      </w:pPr>
    </w:p>
    <w:p w14:paraId="130E3037" w14:textId="77777777" w:rsidR="008058C6" w:rsidRDefault="008058C6" w:rsidP="008058C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8256CE" w14:textId="23466D80" w:rsidR="008058C6" w:rsidRDefault="008058C6" w:rsidP="008058C6">
      <w:pPr>
        <w:spacing w:after="0" w:line="360" w:lineRule="auto"/>
        <w:jc w:val="both"/>
        <w:rPr>
          <w:rFonts w:ascii="Palatino Linotype" w:hAnsi="Palatino Linotype" w:cs="Arial"/>
          <w:sz w:val="24"/>
          <w:szCs w:val="24"/>
        </w:rPr>
      </w:pPr>
      <w:r w:rsidRPr="00C1625D">
        <w:rPr>
          <w:rFonts w:ascii="Palatino Linotype" w:eastAsia="Times New Roman" w:hAnsi="Palatino Linotype" w:cs="Arial"/>
          <w:b/>
          <w:sz w:val="24"/>
          <w:szCs w:val="24"/>
          <w:lang w:eastAsia="es-ES"/>
        </w:rPr>
        <w:lastRenderedPageBreak/>
        <w:t xml:space="preserve">QUINTO. </w:t>
      </w:r>
      <w:r w:rsidRPr="00593F5D">
        <w:rPr>
          <w:rFonts w:ascii="Palatino Linotype" w:hAnsi="Palatino Linotype" w:cs="Arial"/>
          <w:b/>
          <w:sz w:val="24"/>
          <w:szCs w:val="24"/>
        </w:rPr>
        <w:t>NOTIFÍQUESE</w:t>
      </w:r>
      <w:r w:rsidRPr="00593F5D">
        <w:rPr>
          <w:rFonts w:ascii="Palatino Linotype" w:hAnsi="Palatino Linotype" w:cs="Arial"/>
          <w:sz w:val="24"/>
          <w:szCs w:val="24"/>
        </w:rPr>
        <w:t xml:space="preserve"> a través del Sistema de Acceso a la Información Mexiquense </w:t>
      </w:r>
      <w:r w:rsidRPr="003D5267">
        <w:rPr>
          <w:rFonts w:ascii="Palatino Linotype" w:hAnsi="Palatino Linotype" w:cs="Arial"/>
          <w:b/>
          <w:sz w:val="24"/>
          <w:szCs w:val="24"/>
        </w:rPr>
        <w:t>(SAIMEX),</w:t>
      </w:r>
      <w:r w:rsidRPr="00593F5D">
        <w:rPr>
          <w:rFonts w:ascii="Palatino Linotype" w:hAnsi="Palatino Linotype" w:cs="Arial"/>
          <w:sz w:val="24"/>
          <w:szCs w:val="24"/>
        </w:rPr>
        <w:t xml:space="preserve"> a</w:t>
      </w:r>
      <w:r>
        <w:rPr>
          <w:rFonts w:ascii="Palatino Linotype" w:hAnsi="Palatino Linotype" w:cs="Arial"/>
          <w:sz w:val="24"/>
          <w:szCs w:val="24"/>
        </w:rPr>
        <w:t>l</w:t>
      </w:r>
      <w:r w:rsidRPr="00676653">
        <w:rPr>
          <w:rFonts w:ascii="Palatino Linotype" w:hAnsi="Palatino Linotype" w:cs="Arial"/>
          <w:b/>
          <w:bCs/>
          <w:sz w:val="24"/>
          <w:szCs w:val="24"/>
        </w:rPr>
        <w:t xml:space="preserve"> RECURRENTE</w:t>
      </w:r>
      <w:r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FE39BF1" w14:textId="39E26197" w:rsidR="008058C6" w:rsidRDefault="008058C6" w:rsidP="008058C6">
      <w:pPr>
        <w:spacing w:after="0" w:line="360" w:lineRule="auto"/>
        <w:jc w:val="both"/>
        <w:rPr>
          <w:rFonts w:ascii="Palatino Linotype" w:hAnsi="Palatino Linotype" w:cs="Arial"/>
          <w:sz w:val="24"/>
          <w:szCs w:val="24"/>
        </w:rPr>
      </w:pPr>
    </w:p>
    <w:p w14:paraId="2DA35DC5" w14:textId="14618323" w:rsidR="008058C6" w:rsidRPr="00917744" w:rsidRDefault="008058C6" w:rsidP="008058C6">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6F6FEA">
        <w:rPr>
          <w:rFonts w:ascii="Palatino Linotype" w:hAnsi="Palatino Linotype" w:cs="Arial"/>
          <w:sz w:val="23"/>
          <w:szCs w:val="23"/>
        </w:rPr>
        <w:t>TERCERA</w:t>
      </w:r>
      <w:r>
        <w:rPr>
          <w:rFonts w:ascii="Palatino Linotype" w:hAnsi="Palatino Linotype" w:cs="Arial"/>
          <w:sz w:val="23"/>
          <w:szCs w:val="23"/>
        </w:rPr>
        <w:t xml:space="preserve"> SESIÓN ORDINARIA CELEBRADA EL </w:t>
      </w:r>
      <w:r w:rsidR="006F6FEA">
        <w:rPr>
          <w:rFonts w:ascii="Palatino Linotype" w:hAnsi="Palatino Linotype" w:cs="Arial"/>
          <w:sz w:val="23"/>
          <w:szCs w:val="23"/>
        </w:rPr>
        <w:t xml:space="preserve">VEINTICINCO </w:t>
      </w:r>
      <w:r>
        <w:rPr>
          <w:rFonts w:ascii="Palatino Linotype" w:hAnsi="Palatino Linotype" w:cs="Arial"/>
          <w:sz w:val="23"/>
          <w:szCs w:val="23"/>
        </w:rPr>
        <w:t xml:space="preserve">DE ENERO DE DOS MIL VEINTITRÉS, ANTE EL </w:t>
      </w:r>
      <w:r w:rsidRPr="00917744">
        <w:rPr>
          <w:rFonts w:ascii="Palatino Linotype" w:hAnsi="Palatino Linotype" w:cs="Arial"/>
          <w:sz w:val="23"/>
          <w:szCs w:val="23"/>
        </w:rPr>
        <w:t xml:space="preserve">SECRETARIO TÉCNICO DEL PLENO, ALEXIS TAPIA RAMÍREZ. </w:t>
      </w:r>
    </w:p>
    <w:p w14:paraId="3CC6AD0E" w14:textId="6F511F09" w:rsidR="008058C6" w:rsidRPr="00950E85" w:rsidRDefault="008058C6" w:rsidP="008058C6">
      <w:pPr>
        <w:spacing w:after="0" w:line="360" w:lineRule="auto"/>
        <w:jc w:val="both"/>
        <w:rPr>
          <w:rFonts w:ascii="Palatino Linotype" w:eastAsia="Times New Roman" w:hAnsi="Palatino Linotype" w:cs="Times New Roman"/>
          <w:color w:val="222222"/>
          <w:sz w:val="18"/>
          <w:szCs w:val="18"/>
          <w:lang w:eastAsia="es-ES"/>
        </w:rPr>
      </w:pPr>
      <w:r w:rsidRPr="00950E85">
        <w:rPr>
          <w:rFonts w:ascii="Palatino Linotype" w:hAnsi="Palatino Linotype"/>
          <w:bCs/>
          <w:iCs/>
          <w:sz w:val="18"/>
          <w:szCs w:val="18"/>
        </w:rPr>
        <w:t>CCR/JCMA</w:t>
      </w:r>
    </w:p>
    <w:p w14:paraId="7448D22F" w14:textId="709B0AF3" w:rsidR="008058C6" w:rsidRDefault="00950E85" w:rsidP="008058C6">
      <w:pPr>
        <w:spacing w:after="0" w:line="360" w:lineRule="auto"/>
        <w:jc w:val="both"/>
        <w:rPr>
          <w:rFonts w:ascii="Palatino Linotype" w:eastAsia="Times New Roman" w:hAnsi="Palatino Linotype" w:cs="Times New Roman"/>
          <w:color w:val="222222"/>
          <w:sz w:val="24"/>
          <w:szCs w:val="24"/>
          <w:lang w:eastAsia="es-ES"/>
        </w:rPr>
      </w:pPr>
      <w:r>
        <w:rPr>
          <w:rFonts w:ascii="Palatino Linotype" w:eastAsia="Times New Roman" w:hAnsi="Palatino Linotype" w:cs="Times New Roman"/>
          <w:noProof/>
          <w:color w:val="222222"/>
          <w:sz w:val="24"/>
          <w:szCs w:val="24"/>
          <w:lang w:eastAsia="es-MX"/>
        </w:rPr>
        <mc:AlternateContent>
          <mc:Choice Requires="wps">
            <w:drawing>
              <wp:anchor distT="0" distB="0" distL="114300" distR="114300" simplePos="0" relativeHeight="251684864" behindDoc="0" locked="0" layoutInCell="1" allowOverlap="1" wp14:anchorId="06FFF076" wp14:editId="0595A865">
                <wp:simplePos x="0" y="0"/>
                <wp:positionH relativeFrom="column">
                  <wp:posOffset>-62368</wp:posOffset>
                </wp:positionH>
                <wp:positionV relativeFrom="paragraph">
                  <wp:posOffset>175867</wp:posOffset>
                </wp:positionV>
                <wp:extent cx="6313336" cy="1669774"/>
                <wp:effectExtent l="0" t="0" r="30480" b="26035"/>
                <wp:wrapNone/>
                <wp:docPr id="12" name="Straight Connector 12"/>
                <wp:cNvGraphicFramePr/>
                <a:graphic xmlns:a="http://schemas.openxmlformats.org/drawingml/2006/main">
                  <a:graphicData uri="http://schemas.microsoft.com/office/word/2010/wordprocessingShape">
                    <wps:wsp>
                      <wps:cNvCnPr/>
                      <wps:spPr>
                        <a:xfrm>
                          <a:off x="0" y="0"/>
                          <a:ext cx="6313336" cy="16697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348B3" id="Straight Connector 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9pt,13.85pt" to="492.2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" strokecolor="#5b9bd5 [3204]" strokeweight=".5pt">
                <v:stroke joinstyle="miter"/>
              </v:line>
            </w:pict>
          </mc:Fallback>
        </mc:AlternateContent>
      </w:r>
    </w:p>
    <w:p w14:paraId="665A3844" w14:textId="77777777" w:rsidR="00B47B42" w:rsidRDefault="00B47B42" w:rsidP="00B47B42">
      <w:pPr>
        <w:spacing w:line="360" w:lineRule="auto"/>
        <w:jc w:val="both"/>
        <w:rPr>
          <w:rFonts w:ascii="Palatino Linotype" w:hAnsi="Palatino Linotype" w:cs="Arial"/>
        </w:rPr>
      </w:pPr>
    </w:p>
    <w:p w14:paraId="226E8F07" w14:textId="77777777" w:rsidR="00B47B42" w:rsidRDefault="00B47B42" w:rsidP="00B47B42">
      <w:pPr>
        <w:spacing w:line="360" w:lineRule="auto"/>
        <w:jc w:val="both"/>
        <w:rPr>
          <w:rFonts w:ascii="Palatino Linotype" w:hAnsi="Palatino Linotype" w:cs="Arial"/>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CE4CF" w14:textId="77777777" w:rsidR="005D7A2C" w:rsidRDefault="005D7A2C" w:rsidP="006168E4">
      <w:pPr>
        <w:spacing w:after="0" w:line="240" w:lineRule="auto"/>
      </w:pPr>
      <w:r>
        <w:separator/>
      </w:r>
    </w:p>
  </w:endnote>
  <w:endnote w:type="continuationSeparator" w:id="0">
    <w:p w14:paraId="57C8D9DB" w14:textId="77777777" w:rsidR="005D7A2C" w:rsidRDefault="005D7A2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296A">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296A">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29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296A">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F364B" w14:textId="77777777" w:rsidR="005D7A2C" w:rsidRDefault="005D7A2C" w:rsidP="006168E4">
      <w:pPr>
        <w:spacing w:after="0" w:line="240" w:lineRule="auto"/>
      </w:pPr>
      <w:r>
        <w:separator/>
      </w:r>
    </w:p>
  </w:footnote>
  <w:footnote w:type="continuationSeparator" w:id="0">
    <w:p w14:paraId="5EF3E902" w14:textId="77777777" w:rsidR="005D7A2C" w:rsidRDefault="005D7A2C" w:rsidP="006168E4">
      <w:pPr>
        <w:spacing w:after="0" w:line="240" w:lineRule="auto"/>
      </w:pPr>
      <w:r>
        <w:continuationSeparator/>
      </w:r>
    </w:p>
  </w:footnote>
  <w:footnote w:id="1">
    <w:p w14:paraId="2A071E0E" w14:textId="77777777" w:rsidR="00480C32" w:rsidRPr="005552A8" w:rsidRDefault="00480C32" w:rsidP="00480C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E18C926" w14:textId="77777777" w:rsidR="00480C32" w:rsidRPr="005552A8" w:rsidRDefault="00480C32" w:rsidP="00480C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B8D68E7" w:rsidR="00C70B4A" w:rsidRPr="00B4142F" w:rsidRDefault="006B5F2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14095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F09C7C9" w:rsidR="00C70B4A" w:rsidRPr="00F06FED" w:rsidRDefault="006B5F25" w:rsidP="00C01E1C">
          <w:pPr>
            <w:spacing w:after="120" w:line="256" w:lineRule="auto"/>
            <w:ind w:left="639" w:right="214"/>
            <w:jc w:val="both"/>
            <w:rPr>
              <w:rFonts w:ascii="Palatino Linotype" w:hAnsi="Palatino Linotype" w:cs="Arial"/>
            </w:rPr>
          </w:pPr>
          <w:r>
            <w:rPr>
              <w:rFonts w:ascii="Palatino Linotype" w:hAnsi="Palatino Linotype" w:cs="Arial"/>
            </w:rPr>
            <w:t>Ayuntamiento de Tlalnepantla de Baz</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6F6CC58" w:rsidR="00C70B4A" w:rsidRPr="00B4142F" w:rsidRDefault="006B5F25"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14095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B708E23" w:rsidR="00C70B4A" w:rsidRPr="00F06FED" w:rsidRDefault="0082296A" w:rsidP="00CC0C5F">
          <w:pPr>
            <w:spacing w:after="120" w:line="256" w:lineRule="auto"/>
            <w:ind w:left="639" w:right="214"/>
            <w:jc w:val="both"/>
            <w:rPr>
              <w:rFonts w:ascii="Palatino Linotype" w:hAnsi="Palatino Linotype" w:cs="Arial"/>
            </w:rPr>
          </w:pPr>
          <w:r>
            <w:rPr>
              <w:rFonts w:ascii="Palatino Linotype" w:hAnsi="Palatino Linotype" w:cs="Arial"/>
            </w:rPr>
            <w:t>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A09DFD8" w:rsidR="00C70B4A" w:rsidRDefault="006B5F25"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Tlalnepantla de Baz</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0C09"/>
    <w:multiLevelType w:val="hybridMultilevel"/>
    <w:tmpl w:val="E8F6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D4C6D"/>
    <w:multiLevelType w:val="hybridMultilevel"/>
    <w:tmpl w:val="192AE120"/>
    <w:lvl w:ilvl="0" w:tplc="0DA4CA96">
      <w:start w:val="1"/>
      <w:numFmt w:val="lowerLetter"/>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9E112B"/>
    <w:multiLevelType w:val="hybridMultilevel"/>
    <w:tmpl w:val="A0DE0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7B3DCA"/>
    <w:multiLevelType w:val="hybridMultilevel"/>
    <w:tmpl w:val="00728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1345D"/>
    <w:multiLevelType w:val="hybridMultilevel"/>
    <w:tmpl w:val="08B20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E136F"/>
    <w:multiLevelType w:val="hybridMultilevel"/>
    <w:tmpl w:val="82D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A1A0E"/>
    <w:multiLevelType w:val="hybridMultilevel"/>
    <w:tmpl w:val="5E0A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9"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32934"/>
    <w:multiLevelType w:val="hybridMultilevel"/>
    <w:tmpl w:val="F1585574"/>
    <w:lvl w:ilvl="0" w:tplc="C9C2B6CA">
      <w:start w:val="16"/>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30"/>
  </w:num>
  <w:num w:numId="3">
    <w:abstractNumId w:val="1"/>
  </w:num>
  <w:num w:numId="4">
    <w:abstractNumId w:val="4"/>
  </w:num>
  <w:num w:numId="5">
    <w:abstractNumId w:val="14"/>
  </w:num>
  <w:num w:numId="6">
    <w:abstractNumId w:val="38"/>
  </w:num>
  <w:num w:numId="7">
    <w:abstractNumId w:val="28"/>
  </w:num>
  <w:num w:numId="8">
    <w:abstractNumId w:val="35"/>
  </w:num>
  <w:num w:numId="9">
    <w:abstractNumId w:val="36"/>
  </w:num>
  <w:num w:numId="10">
    <w:abstractNumId w:val="31"/>
  </w:num>
  <w:num w:numId="11">
    <w:abstractNumId w:val="32"/>
  </w:num>
  <w:num w:numId="12">
    <w:abstractNumId w:val="9"/>
  </w:num>
  <w:num w:numId="13">
    <w:abstractNumId w:val="25"/>
  </w:num>
  <w:num w:numId="14">
    <w:abstractNumId w:val="26"/>
  </w:num>
  <w:num w:numId="15">
    <w:abstractNumId w:val="39"/>
  </w:num>
  <w:num w:numId="16">
    <w:abstractNumId w:val="3"/>
  </w:num>
  <w:num w:numId="17">
    <w:abstractNumId w:val="19"/>
  </w:num>
  <w:num w:numId="18">
    <w:abstractNumId w:val="23"/>
  </w:num>
  <w:num w:numId="19">
    <w:abstractNumId w:val="21"/>
  </w:num>
  <w:num w:numId="20">
    <w:abstractNumId w:val="6"/>
  </w:num>
  <w:num w:numId="21">
    <w:abstractNumId w:val="12"/>
  </w:num>
  <w:num w:numId="22">
    <w:abstractNumId w:val="8"/>
  </w:num>
  <w:num w:numId="23">
    <w:abstractNumId w:val="22"/>
  </w:num>
  <w:num w:numId="24">
    <w:abstractNumId w:val="24"/>
  </w:num>
  <w:num w:numId="25">
    <w:abstractNumId w:val="20"/>
  </w:num>
  <w:num w:numId="26">
    <w:abstractNumId w:val="34"/>
  </w:num>
  <w:num w:numId="27">
    <w:abstractNumId w:val="11"/>
  </w:num>
  <w:num w:numId="28">
    <w:abstractNumId w:val="27"/>
  </w:num>
  <w:num w:numId="29">
    <w:abstractNumId w:val="29"/>
  </w:num>
  <w:num w:numId="30">
    <w:abstractNumId w:val="18"/>
  </w:num>
  <w:num w:numId="31">
    <w:abstractNumId w:val="10"/>
  </w:num>
  <w:num w:numId="32">
    <w:abstractNumId w:val="7"/>
  </w:num>
  <w:num w:numId="33">
    <w:abstractNumId w:val="37"/>
  </w:num>
  <w:num w:numId="34">
    <w:abstractNumId w:val="13"/>
  </w:num>
  <w:num w:numId="35">
    <w:abstractNumId w:val="15"/>
  </w:num>
  <w:num w:numId="36">
    <w:abstractNumId w:val="0"/>
  </w:num>
  <w:num w:numId="37">
    <w:abstractNumId w:val="17"/>
  </w:num>
  <w:num w:numId="38">
    <w:abstractNumId w:val="2"/>
  </w:num>
  <w:num w:numId="39">
    <w:abstractNumId w:val="33"/>
  </w:num>
  <w:num w:numId="4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61F8"/>
    <w:rsid w:val="00007BD9"/>
    <w:rsid w:val="00010F2B"/>
    <w:rsid w:val="0001225E"/>
    <w:rsid w:val="00014564"/>
    <w:rsid w:val="000170DF"/>
    <w:rsid w:val="00020A70"/>
    <w:rsid w:val="00021CBD"/>
    <w:rsid w:val="00022604"/>
    <w:rsid w:val="000236FA"/>
    <w:rsid w:val="0002450B"/>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FB3"/>
    <w:rsid w:val="00061821"/>
    <w:rsid w:val="000623F9"/>
    <w:rsid w:val="00062482"/>
    <w:rsid w:val="00062D5C"/>
    <w:rsid w:val="00063A10"/>
    <w:rsid w:val="00063EFB"/>
    <w:rsid w:val="000662F8"/>
    <w:rsid w:val="00073E78"/>
    <w:rsid w:val="00074E1A"/>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5B8B"/>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7AA"/>
    <w:rsid w:val="00117157"/>
    <w:rsid w:val="00124855"/>
    <w:rsid w:val="00124EC6"/>
    <w:rsid w:val="001254F5"/>
    <w:rsid w:val="001336D3"/>
    <w:rsid w:val="001364AA"/>
    <w:rsid w:val="00136FAD"/>
    <w:rsid w:val="00143D5F"/>
    <w:rsid w:val="00144B4A"/>
    <w:rsid w:val="00146F0A"/>
    <w:rsid w:val="00147B36"/>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299A"/>
    <w:rsid w:val="001D3E87"/>
    <w:rsid w:val="001D5F16"/>
    <w:rsid w:val="001D6FAB"/>
    <w:rsid w:val="001E1D18"/>
    <w:rsid w:val="001E2C0F"/>
    <w:rsid w:val="001E668A"/>
    <w:rsid w:val="001F0A4F"/>
    <w:rsid w:val="001F2A14"/>
    <w:rsid w:val="001F4ADC"/>
    <w:rsid w:val="001F71ED"/>
    <w:rsid w:val="00203D3A"/>
    <w:rsid w:val="00203FF3"/>
    <w:rsid w:val="002044B4"/>
    <w:rsid w:val="00207086"/>
    <w:rsid w:val="00211D60"/>
    <w:rsid w:val="0021501E"/>
    <w:rsid w:val="0021572A"/>
    <w:rsid w:val="002205C0"/>
    <w:rsid w:val="0022494A"/>
    <w:rsid w:val="00225507"/>
    <w:rsid w:val="00232F70"/>
    <w:rsid w:val="0023373D"/>
    <w:rsid w:val="00233EF7"/>
    <w:rsid w:val="0023423C"/>
    <w:rsid w:val="00237F4F"/>
    <w:rsid w:val="0024112D"/>
    <w:rsid w:val="002428BA"/>
    <w:rsid w:val="00244177"/>
    <w:rsid w:val="00254477"/>
    <w:rsid w:val="00256547"/>
    <w:rsid w:val="00257337"/>
    <w:rsid w:val="002577FE"/>
    <w:rsid w:val="0025780C"/>
    <w:rsid w:val="002609D8"/>
    <w:rsid w:val="00262CBE"/>
    <w:rsid w:val="002642D3"/>
    <w:rsid w:val="002646EF"/>
    <w:rsid w:val="00266AE6"/>
    <w:rsid w:val="00267C18"/>
    <w:rsid w:val="002712AF"/>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46C6"/>
    <w:rsid w:val="00375763"/>
    <w:rsid w:val="00375BEA"/>
    <w:rsid w:val="00376CEC"/>
    <w:rsid w:val="00380758"/>
    <w:rsid w:val="003810B1"/>
    <w:rsid w:val="003815E5"/>
    <w:rsid w:val="00381E2B"/>
    <w:rsid w:val="003838B4"/>
    <w:rsid w:val="00384029"/>
    <w:rsid w:val="00385BBD"/>
    <w:rsid w:val="00387929"/>
    <w:rsid w:val="00390988"/>
    <w:rsid w:val="0039347E"/>
    <w:rsid w:val="00393D5B"/>
    <w:rsid w:val="0039460D"/>
    <w:rsid w:val="00394873"/>
    <w:rsid w:val="00394A1E"/>
    <w:rsid w:val="003968C7"/>
    <w:rsid w:val="003A2246"/>
    <w:rsid w:val="003A2658"/>
    <w:rsid w:val="003A61F9"/>
    <w:rsid w:val="003A6975"/>
    <w:rsid w:val="003B0D66"/>
    <w:rsid w:val="003B1D2D"/>
    <w:rsid w:val="003B1E88"/>
    <w:rsid w:val="003B5E96"/>
    <w:rsid w:val="003C35B0"/>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10ACB"/>
    <w:rsid w:val="00411E6F"/>
    <w:rsid w:val="00412600"/>
    <w:rsid w:val="004150FE"/>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67D24"/>
    <w:rsid w:val="00471D57"/>
    <w:rsid w:val="00475345"/>
    <w:rsid w:val="00475F48"/>
    <w:rsid w:val="00476790"/>
    <w:rsid w:val="00477CC2"/>
    <w:rsid w:val="00477D47"/>
    <w:rsid w:val="00480C32"/>
    <w:rsid w:val="004814EA"/>
    <w:rsid w:val="0048180A"/>
    <w:rsid w:val="00481C7A"/>
    <w:rsid w:val="00487DB5"/>
    <w:rsid w:val="004906C8"/>
    <w:rsid w:val="00492BC7"/>
    <w:rsid w:val="004938E6"/>
    <w:rsid w:val="004967E2"/>
    <w:rsid w:val="004975A8"/>
    <w:rsid w:val="004A114B"/>
    <w:rsid w:val="004A2363"/>
    <w:rsid w:val="004A290F"/>
    <w:rsid w:val="004A55D8"/>
    <w:rsid w:val="004A5FFD"/>
    <w:rsid w:val="004A7CE2"/>
    <w:rsid w:val="004B031A"/>
    <w:rsid w:val="004B234F"/>
    <w:rsid w:val="004B353F"/>
    <w:rsid w:val="004B59BB"/>
    <w:rsid w:val="004B5CCC"/>
    <w:rsid w:val="004C117E"/>
    <w:rsid w:val="004C2845"/>
    <w:rsid w:val="004C3081"/>
    <w:rsid w:val="004C7961"/>
    <w:rsid w:val="004D035F"/>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79E4"/>
    <w:rsid w:val="00521E57"/>
    <w:rsid w:val="00525093"/>
    <w:rsid w:val="005305EA"/>
    <w:rsid w:val="0053652A"/>
    <w:rsid w:val="005371E7"/>
    <w:rsid w:val="00537E4B"/>
    <w:rsid w:val="00540538"/>
    <w:rsid w:val="00542664"/>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5840"/>
    <w:rsid w:val="005B5B70"/>
    <w:rsid w:val="005B5F05"/>
    <w:rsid w:val="005C06AA"/>
    <w:rsid w:val="005C17BF"/>
    <w:rsid w:val="005C57BA"/>
    <w:rsid w:val="005C6982"/>
    <w:rsid w:val="005C6B74"/>
    <w:rsid w:val="005C7AEA"/>
    <w:rsid w:val="005D125D"/>
    <w:rsid w:val="005D2B59"/>
    <w:rsid w:val="005D362F"/>
    <w:rsid w:val="005D370F"/>
    <w:rsid w:val="005D3E85"/>
    <w:rsid w:val="005D44D1"/>
    <w:rsid w:val="005D53D6"/>
    <w:rsid w:val="005D7A2C"/>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1ABD"/>
    <w:rsid w:val="00636FD7"/>
    <w:rsid w:val="00637512"/>
    <w:rsid w:val="00640EE4"/>
    <w:rsid w:val="006456FA"/>
    <w:rsid w:val="006466F5"/>
    <w:rsid w:val="00646C24"/>
    <w:rsid w:val="00652BC5"/>
    <w:rsid w:val="00661753"/>
    <w:rsid w:val="0066216F"/>
    <w:rsid w:val="00663C3F"/>
    <w:rsid w:val="006654F6"/>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5F25"/>
    <w:rsid w:val="006B69CF"/>
    <w:rsid w:val="006B7444"/>
    <w:rsid w:val="006C17FD"/>
    <w:rsid w:val="006C28CA"/>
    <w:rsid w:val="006C350D"/>
    <w:rsid w:val="006C5E56"/>
    <w:rsid w:val="006C66E4"/>
    <w:rsid w:val="006D23FC"/>
    <w:rsid w:val="006D643D"/>
    <w:rsid w:val="006E063C"/>
    <w:rsid w:val="006E3851"/>
    <w:rsid w:val="006E7EEE"/>
    <w:rsid w:val="006F1167"/>
    <w:rsid w:val="006F4044"/>
    <w:rsid w:val="006F46DC"/>
    <w:rsid w:val="006F4CC6"/>
    <w:rsid w:val="006F6FEA"/>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0ECC"/>
    <w:rsid w:val="00751B4B"/>
    <w:rsid w:val="00752A9A"/>
    <w:rsid w:val="00754CAE"/>
    <w:rsid w:val="00760D70"/>
    <w:rsid w:val="00763EE7"/>
    <w:rsid w:val="00764DB2"/>
    <w:rsid w:val="0076623B"/>
    <w:rsid w:val="00766EFD"/>
    <w:rsid w:val="00767E4B"/>
    <w:rsid w:val="007718AD"/>
    <w:rsid w:val="007742A7"/>
    <w:rsid w:val="00777034"/>
    <w:rsid w:val="007851D5"/>
    <w:rsid w:val="0078766F"/>
    <w:rsid w:val="00793CFD"/>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2DC2"/>
    <w:rsid w:val="008053CE"/>
    <w:rsid w:val="008056BC"/>
    <w:rsid w:val="008058C6"/>
    <w:rsid w:val="00806EE9"/>
    <w:rsid w:val="00807750"/>
    <w:rsid w:val="00807E35"/>
    <w:rsid w:val="00811205"/>
    <w:rsid w:val="00812C48"/>
    <w:rsid w:val="008146F9"/>
    <w:rsid w:val="008218CD"/>
    <w:rsid w:val="00821AEB"/>
    <w:rsid w:val="0082296A"/>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B6C58"/>
    <w:rsid w:val="008C08BE"/>
    <w:rsid w:val="008C229F"/>
    <w:rsid w:val="008C32A8"/>
    <w:rsid w:val="008C3445"/>
    <w:rsid w:val="008C366D"/>
    <w:rsid w:val="008C4E94"/>
    <w:rsid w:val="008C55A3"/>
    <w:rsid w:val="008C7368"/>
    <w:rsid w:val="008D32F0"/>
    <w:rsid w:val="008E012F"/>
    <w:rsid w:val="008E6375"/>
    <w:rsid w:val="008F17A1"/>
    <w:rsid w:val="008F2158"/>
    <w:rsid w:val="008F4670"/>
    <w:rsid w:val="008F4C65"/>
    <w:rsid w:val="008F5D20"/>
    <w:rsid w:val="008F7579"/>
    <w:rsid w:val="0090019F"/>
    <w:rsid w:val="00902944"/>
    <w:rsid w:val="009041AF"/>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4F1C"/>
    <w:rsid w:val="00945203"/>
    <w:rsid w:val="009454E7"/>
    <w:rsid w:val="0094603F"/>
    <w:rsid w:val="00950E85"/>
    <w:rsid w:val="00951F85"/>
    <w:rsid w:val="00952850"/>
    <w:rsid w:val="009555DC"/>
    <w:rsid w:val="009611E0"/>
    <w:rsid w:val="00962383"/>
    <w:rsid w:val="00963120"/>
    <w:rsid w:val="00963842"/>
    <w:rsid w:val="00965FEE"/>
    <w:rsid w:val="0096643B"/>
    <w:rsid w:val="00966B7A"/>
    <w:rsid w:val="00967852"/>
    <w:rsid w:val="009706B5"/>
    <w:rsid w:val="00972BDF"/>
    <w:rsid w:val="00972CF8"/>
    <w:rsid w:val="009732F5"/>
    <w:rsid w:val="00973AFB"/>
    <w:rsid w:val="00973F49"/>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433C9"/>
    <w:rsid w:val="00B437D8"/>
    <w:rsid w:val="00B44ADE"/>
    <w:rsid w:val="00B46B42"/>
    <w:rsid w:val="00B4745C"/>
    <w:rsid w:val="00B47B42"/>
    <w:rsid w:val="00B5260D"/>
    <w:rsid w:val="00B52D3E"/>
    <w:rsid w:val="00B52E55"/>
    <w:rsid w:val="00B534F0"/>
    <w:rsid w:val="00B54C62"/>
    <w:rsid w:val="00B57980"/>
    <w:rsid w:val="00B601D4"/>
    <w:rsid w:val="00B60DA2"/>
    <w:rsid w:val="00B6166B"/>
    <w:rsid w:val="00B61955"/>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22E0"/>
    <w:rsid w:val="00BC2A46"/>
    <w:rsid w:val="00BC3FA4"/>
    <w:rsid w:val="00BD004A"/>
    <w:rsid w:val="00BD352C"/>
    <w:rsid w:val="00BD5023"/>
    <w:rsid w:val="00BD5133"/>
    <w:rsid w:val="00BD58AB"/>
    <w:rsid w:val="00BE28ED"/>
    <w:rsid w:val="00BE64DF"/>
    <w:rsid w:val="00C008B2"/>
    <w:rsid w:val="00C0130E"/>
    <w:rsid w:val="00C01ABC"/>
    <w:rsid w:val="00C01E1C"/>
    <w:rsid w:val="00C01F6B"/>
    <w:rsid w:val="00C02666"/>
    <w:rsid w:val="00C02A84"/>
    <w:rsid w:val="00C07B2D"/>
    <w:rsid w:val="00C12209"/>
    <w:rsid w:val="00C14CD6"/>
    <w:rsid w:val="00C16927"/>
    <w:rsid w:val="00C2082E"/>
    <w:rsid w:val="00C20835"/>
    <w:rsid w:val="00C24A09"/>
    <w:rsid w:val="00C25084"/>
    <w:rsid w:val="00C274BE"/>
    <w:rsid w:val="00C274C6"/>
    <w:rsid w:val="00C310B6"/>
    <w:rsid w:val="00C3330D"/>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FDA"/>
    <w:rsid w:val="00CB0886"/>
    <w:rsid w:val="00CB2CC0"/>
    <w:rsid w:val="00CB3B6F"/>
    <w:rsid w:val="00CB5099"/>
    <w:rsid w:val="00CC0C5F"/>
    <w:rsid w:val="00CC2F3D"/>
    <w:rsid w:val="00CC4CF6"/>
    <w:rsid w:val="00CC51A7"/>
    <w:rsid w:val="00CC5FF3"/>
    <w:rsid w:val="00CC6072"/>
    <w:rsid w:val="00CD1612"/>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4F6B"/>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6FF8"/>
    <w:rsid w:val="00DD01FC"/>
    <w:rsid w:val="00DD13E2"/>
    <w:rsid w:val="00DE47A1"/>
    <w:rsid w:val="00DE7DCC"/>
    <w:rsid w:val="00DF003C"/>
    <w:rsid w:val="00DF0F8A"/>
    <w:rsid w:val="00DF137F"/>
    <w:rsid w:val="00DF4501"/>
    <w:rsid w:val="00DF5C75"/>
    <w:rsid w:val="00DF6971"/>
    <w:rsid w:val="00DF78AE"/>
    <w:rsid w:val="00E00E78"/>
    <w:rsid w:val="00E076C1"/>
    <w:rsid w:val="00E11E2E"/>
    <w:rsid w:val="00E13C83"/>
    <w:rsid w:val="00E15555"/>
    <w:rsid w:val="00E15B7D"/>
    <w:rsid w:val="00E23477"/>
    <w:rsid w:val="00E2408E"/>
    <w:rsid w:val="00E27CDB"/>
    <w:rsid w:val="00E35809"/>
    <w:rsid w:val="00E371EC"/>
    <w:rsid w:val="00E43116"/>
    <w:rsid w:val="00E444DA"/>
    <w:rsid w:val="00E51A48"/>
    <w:rsid w:val="00E5352D"/>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36FF"/>
    <w:rsid w:val="00E939C8"/>
    <w:rsid w:val="00E93A33"/>
    <w:rsid w:val="00E93B6B"/>
    <w:rsid w:val="00E96C74"/>
    <w:rsid w:val="00EA1F89"/>
    <w:rsid w:val="00EA5177"/>
    <w:rsid w:val="00EA7FEF"/>
    <w:rsid w:val="00EB117B"/>
    <w:rsid w:val="00EB2BEB"/>
    <w:rsid w:val="00EB40D6"/>
    <w:rsid w:val="00EB4222"/>
    <w:rsid w:val="00EB5F75"/>
    <w:rsid w:val="00EB79CD"/>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1CD4"/>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ighlight">
    <w:name w:val="highlight"/>
    <w:basedOn w:val="Fuentedeprrafopredeter"/>
    <w:rsid w:val="003B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7098-9270-4901-92C4-F26F5468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3791</TotalTime>
  <Pages>40</Pages>
  <Words>7432</Words>
  <Characters>40879</Characters>
  <Application>Microsoft Office Word</Application>
  <DocSecurity>0</DocSecurity>
  <Lines>340</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113</cp:revision>
  <cp:lastPrinted>2019-11-07T00:56:00Z</cp:lastPrinted>
  <dcterms:created xsi:type="dcterms:W3CDTF">2021-11-21T15:50:00Z</dcterms:created>
  <dcterms:modified xsi:type="dcterms:W3CDTF">2023-02-03T15:45:00Z</dcterms:modified>
</cp:coreProperties>
</file>