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4B" w:rsidRPr="00452F32" w:rsidRDefault="009F3FE4">
      <w:pPr>
        <w:spacing w:before="240" w:after="240" w:line="360" w:lineRule="auto"/>
        <w:jc w:val="both"/>
        <w:rPr>
          <w:rFonts w:ascii="Palatino Linotype" w:eastAsia="Palatino Linotype" w:hAnsi="Palatino Linotype" w:cs="Palatino Linotype"/>
        </w:rPr>
      </w:pPr>
      <w:bookmarkStart w:id="0" w:name="_GoBack"/>
      <w:bookmarkEnd w:id="0"/>
      <w:r w:rsidRPr="00452F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452F32">
        <w:rPr>
          <w:rFonts w:ascii="Palatino Linotype" w:eastAsia="Palatino Linotype" w:hAnsi="Palatino Linotype" w:cs="Palatino Linotype"/>
          <w:b/>
        </w:rPr>
        <w:t>diez de mayo de dos mil veintitrés</w:t>
      </w:r>
      <w:r w:rsidRPr="00452F32">
        <w:rPr>
          <w:rFonts w:ascii="Palatino Linotype" w:eastAsia="Palatino Linotype" w:hAnsi="Palatino Linotype" w:cs="Palatino Linotype"/>
        </w:rPr>
        <w:t xml:space="preserve">. </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Visto</w:t>
      </w:r>
      <w:r w:rsidRPr="00452F32">
        <w:rPr>
          <w:rFonts w:ascii="Palatino Linotype" w:eastAsia="Palatino Linotype" w:hAnsi="Palatino Linotype" w:cs="Palatino Linotype"/>
        </w:rPr>
        <w:t xml:space="preserve"> el expediente formado con motivo del recurso de revisión </w:t>
      </w:r>
      <w:r w:rsidRPr="00452F32">
        <w:rPr>
          <w:rFonts w:ascii="Palatino Linotype" w:eastAsia="Palatino Linotype" w:hAnsi="Palatino Linotype" w:cs="Palatino Linotype"/>
          <w:b/>
        </w:rPr>
        <w:t>16389/INFOEM/IP/RR/2022</w:t>
      </w:r>
      <w:r w:rsidRPr="00452F32">
        <w:rPr>
          <w:rFonts w:ascii="Palatino Linotype" w:eastAsia="Palatino Linotype" w:hAnsi="Palatino Linotype" w:cs="Palatino Linotype"/>
        </w:rPr>
        <w:t>, por interpuesto por</w:t>
      </w:r>
      <w:r w:rsidRPr="00452F32">
        <w:rPr>
          <w:rFonts w:ascii="Palatino Linotype" w:eastAsia="Palatino Linotype" w:hAnsi="Palatino Linotype" w:cs="Palatino Linotype"/>
          <w:b/>
        </w:rPr>
        <w:t xml:space="preserve"> un particular de manera anónima</w:t>
      </w:r>
      <w:r w:rsidRPr="00452F32">
        <w:rPr>
          <w:rFonts w:ascii="Palatino Linotype" w:eastAsia="Palatino Linotype" w:hAnsi="Palatino Linotype" w:cs="Palatino Linotype"/>
        </w:rPr>
        <w:t xml:space="preserve">, en lo sucesivo </w:t>
      </w:r>
      <w:r w:rsidRPr="00452F32">
        <w:rPr>
          <w:rFonts w:ascii="Palatino Linotype" w:eastAsia="Palatino Linotype" w:hAnsi="Palatino Linotype" w:cs="Palatino Linotype"/>
          <w:b/>
        </w:rPr>
        <w:t>la parte</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Recurrente,</w:t>
      </w:r>
      <w:r w:rsidRPr="00452F32">
        <w:rPr>
          <w:rFonts w:ascii="Palatino Linotype" w:eastAsia="Palatino Linotype" w:hAnsi="Palatino Linotype" w:cs="Palatino Linotype"/>
        </w:rPr>
        <w:t xml:space="preserve"> en contra de la respuesta a su solicitud por parte de la </w:t>
      </w:r>
      <w:r w:rsidRPr="00452F32">
        <w:rPr>
          <w:rFonts w:ascii="Palatino Linotype" w:eastAsia="Palatino Linotype" w:hAnsi="Palatino Linotype" w:cs="Palatino Linotype"/>
          <w:b/>
        </w:rPr>
        <w:t xml:space="preserve">Secretaría de Movilidad, </w:t>
      </w:r>
      <w:r w:rsidRPr="00452F32">
        <w:rPr>
          <w:rFonts w:ascii="Palatino Linotype" w:eastAsia="Palatino Linotype" w:hAnsi="Palatino Linotype" w:cs="Palatino Linotype"/>
        </w:rPr>
        <w:t xml:space="preserve">en lo sucesivo el </w:t>
      </w:r>
      <w:r w:rsidRPr="00452F32">
        <w:rPr>
          <w:rFonts w:ascii="Palatino Linotype" w:eastAsia="Palatino Linotype" w:hAnsi="Palatino Linotype" w:cs="Palatino Linotype"/>
          <w:b/>
        </w:rPr>
        <w:t xml:space="preserve">Sujeto Obligado, </w:t>
      </w:r>
      <w:r w:rsidRPr="00452F32">
        <w:rPr>
          <w:rFonts w:ascii="Palatino Linotype" w:eastAsia="Palatino Linotype" w:hAnsi="Palatino Linotype" w:cs="Palatino Linotype"/>
        </w:rPr>
        <w:t xml:space="preserve">se procede a dictar la presente resolución con base en los siguientes: </w:t>
      </w:r>
    </w:p>
    <w:p w:rsidR="00FE164B" w:rsidRPr="00452F32" w:rsidRDefault="009F3FE4">
      <w:pPr>
        <w:spacing w:before="240" w:after="240" w:line="360" w:lineRule="auto"/>
        <w:jc w:val="center"/>
        <w:rPr>
          <w:rFonts w:ascii="Palatino Linotype" w:eastAsia="Palatino Linotype" w:hAnsi="Palatino Linotype" w:cs="Palatino Linotype"/>
          <w:b/>
        </w:rPr>
      </w:pPr>
      <w:r w:rsidRPr="00452F32">
        <w:rPr>
          <w:rFonts w:ascii="Palatino Linotype" w:eastAsia="Palatino Linotype" w:hAnsi="Palatino Linotype" w:cs="Palatino Linotype"/>
          <w:b/>
        </w:rPr>
        <w:t>I. A N T E C E D E N T E S</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1. Solicitud de acceso a la información.</w:t>
      </w:r>
      <w:r w:rsidRPr="00452F32">
        <w:rPr>
          <w:rFonts w:ascii="Palatino Linotype" w:eastAsia="Palatino Linotype" w:hAnsi="Palatino Linotype" w:cs="Palatino Linotype"/>
        </w:rPr>
        <w:t xml:space="preserve"> El </w:t>
      </w:r>
      <w:r w:rsidRPr="00452F32">
        <w:rPr>
          <w:rFonts w:ascii="Palatino Linotype" w:eastAsia="Palatino Linotype" w:hAnsi="Palatino Linotype" w:cs="Palatino Linotype"/>
          <w:b/>
        </w:rPr>
        <w:t>diez de octubre del dos mil veintidós,</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 xml:space="preserve">el Recurrente </w:t>
      </w:r>
      <w:r w:rsidRPr="00452F32">
        <w:rPr>
          <w:rFonts w:ascii="Palatino Linotype" w:eastAsia="Palatino Linotype" w:hAnsi="Palatino Linotype" w:cs="Palatino Linotype"/>
        </w:rPr>
        <w:t xml:space="preserve">presentó, a través del Sistema de Acceso a la Información Mexiquense, en lo subsecuente el </w:t>
      </w:r>
      <w:r w:rsidRPr="00452F32">
        <w:rPr>
          <w:rFonts w:ascii="Palatino Linotype" w:eastAsia="Palatino Linotype" w:hAnsi="Palatino Linotype" w:cs="Palatino Linotype"/>
          <w:b/>
        </w:rPr>
        <w:t>SAIMEX,</w:t>
      </w:r>
      <w:r w:rsidRPr="00452F32">
        <w:rPr>
          <w:rFonts w:ascii="Palatino Linotype" w:eastAsia="Palatino Linotype" w:hAnsi="Palatino Linotype" w:cs="Palatino Linotype"/>
        </w:rPr>
        <w:t xml:space="preserve"> ante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la solicitud de acceso a la información pública, a la que se le asignó el número</w:t>
      </w:r>
      <w:r w:rsidRPr="00452F32">
        <w:rPr>
          <w:rFonts w:ascii="Palatino Linotype" w:eastAsia="Palatino Linotype" w:hAnsi="Palatino Linotype" w:cs="Palatino Linotype"/>
          <w:b/>
        </w:rPr>
        <w:t xml:space="preserve"> 00524/SMOV/IP/2022, </w:t>
      </w:r>
      <w:r w:rsidRPr="00452F32">
        <w:rPr>
          <w:rFonts w:ascii="Palatino Linotype" w:eastAsia="Palatino Linotype" w:hAnsi="Palatino Linotype" w:cs="Palatino Linotype"/>
        </w:rPr>
        <w:t xml:space="preserve">mediante la cual requirió la información siguiente: </w:t>
      </w:r>
    </w:p>
    <w:p w:rsidR="00FE164B" w:rsidRPr="00452F32" w:rsidRDefault="009F3FE4">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452F32">
        <w:rPr>
          <w:rFonts w:ascii="Palatino Linotype" w:eastAsia="Palatino Linotype" w:hAnsi="Palatino Linotype" w:cs="Palatino Linotype"/>
          <w:i/>
          <w:sz w:val="22"/>
          <w:szCs w:val="22"/>
        </w:rPr>
        <w:t xml:space="preserve">“DE LA EMPRESA ALIANZA DE TRANSPORTISTAS EMILIANO ZAPATA, S.A. DE C.V. </w:t>
      </w:r>
      <w:r w:rsidRPr="00452F32">
        <w:rPr>
          <w:rFonts w:ascii="Palatino Linotype" w:eastAsia="Palatino Linotype" w:hAnsi="Palatino Linotype" w:cs="Palatino Linotype"/>
          <w:b/>
          <w:i/>
          <w:sz w:val="22"/>
          <w:szCs w:val="22"/>
        </w:rPr>
        <w:t>TODAS LAS AUTORIZACIONES DE RUTA QUE TENGA AUTORIZADAS.</w:t>
      </w:r>
      <w:r w:rsidRPr="00452F32">
        <w:rPr>
          <w:rFonts w:ascii="Palatino Linotype" w:eastAsia="Palatino Linotype" w:hAnsi="Palatino Linotype" w:cs="Palatino Linotype"/>
          <w:i/>
          <w:sz w:val="22"/>
          <w:szCs w:val="22"/>
        </w:rPr>
        <w:t>” (Sic) (Énfasis añadido)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Modalidad de Entrega:</w:t>
      </w:r>
      <w:r w:rsidRPr="00452F32">
        <w:rPr>
          <w:rFonts w:ascii="Palatino Linotype" w:eastAsia="Palatino Linotype" w:hAnsi="Palatino Linotype" w:cs="Palatino Linotype"/>
        </w:rPr>
        <w:t xml:space="preserve"> A través de </w:t>
      </w:r>
      <w:r w:rsidRPr="00452F32">
        <w:rPr>
          <w:rFonts w:ascii="Palatino Linotype" w:eastAsia="Palatino Linotype" w:hAnsi="Palatino Linotype" w:cs="Palatino Linotype"/>
          <w:b/>
        </w:rPr>
        <w:t>SAIMEX</w:t>
      </w:r>
      <w:r w:rsidRPr="00452F32">
        <w:rPr>
          <w:rFonts w:ascii="Palatino Linotype" w:eastAsia="Palatino Linotype" w:hAnsi="Palatino Linotype" w:cs="Palatino Linotype"/>
        </w:rPr>
        <w:t>.</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after="240" w:line="360" w:lineRule="auto"/>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rPr>
        <w:t xml:space="preserve">2. Respuesta. </w:t>
      </w:r>
      <w:r w:rsidRPr="00452F32">
        <w:rPr>
          <w:rFonts w:ascii="Palatino Linotype" w:eastAsia="Palatino Linotype" w:hAnsi="Palatino Linotype" w:cs="Palatino Linotype"/>
        </w:rPr>
        <w:t xml:space="preserve">El </w:t>
      </w:r>
      <w:r w:rsidRPr="00452F32">
        <w:rPr>
          <w:rFonts w:ascii="Palatino Linotype" w:eastAsia="Palatino Linotype" w:hAnsi="Palatino Linotype" w:cs="Palatino Linotype"/>
          <w:b/>
        </w:rPr>
        <w:t>treinta y uno de octubre de dos mil veintidós</w:t>
      </w:r>
      <w:r w:rsidRPr="00452F32">
        <w:rPr>
          <w:rFonts w:ascii="Palatino Linotype" w:eastAsia="Palatino Linotype" w:hAnsi="Palatino Linotype" w:cs="Palatino Linotype"/>
        </w:rPr>
        <w:t xml:space="preserve">, el </w:t>
      </w:r>
      <w:r w:rsidRPr="00452F32">
        <w:rPr>
          <w:rFonts w:ascii="Palatino Linotype" w:eastAsia="Palatino Linotype" w:hAnsi="Palatino Linotype" w:cs="Palatino Linotype"/>
          <w:b/>
        </w:rPr>
        <w:t xml:space="preserve">Sujeto Obligado </w:t>
      </w:r>
      <w:proofErr w:type="gramStart"/>
      <w:r w:rsidRPr="00452F32">
        <w:rPr>
          <w:rFonts w:ascii="Palatino Linotype" w:eastAsia="Palatino Linotype" w:hAnsi="Palatino Linotype" w:cs="Palatino Linotype"/>
        </w:rPr>
        <w:t>remitió</w:t>
      </w:r>
      <w:proofErr w:type="gramEnd"/>
      <w:r w:rsidRPr="00452F32">
        <w:rPr>
          <w:rFonts w:ascii="Palatino Linotype" w:eastAsia="Palatino Linotype" w:hAnsi="Palatino Linotype" w:cs="Palatino Linotype"/>
        </w:rPr>
        <w:t xml:space="preserve"> su respuesta a la solicitud de acceso a la información a través de SAIMEX, sustancialmente en los términos siguientes:   </w:t>
      </w:r>
    </w:p>
    <w:p w:rsidR="00FE164B" w:rsidRPr="00452F32" w:rsidRDefault="009F3FE4">
      <w:pPr>
        <w:spacing w:before="240" w:after="24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E164B" w:rsidRPr="00452F32" w:rsidRDefault="009F3FE4">
      <w:pPr>
        <w:spacing w:before="240" w:after="24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Se anexa respuesta</w:t>
      </w:r>
    </w:p>
    <w:p w:rsidR="00FE164B" w:rsidRPr="00452F32" w:rsidRDefault="009F3FE4">
      <w:pPr>
        <w:spacing w:before="240" w:after="24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ATENTAMENTE</w:t>
      </w:r>
    </w:p>
    <w:p w:rsidR="00FE164B" w:rsidRPr="00452F32" w:rsidRDefault="009F3FE4">
      <w:pPr>
        <w:spacing w:before="240" w:after="24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Lic. Luis Gustavo Mondragón Duarte” </w:t>
      </w:r>
    </w:p>
    <w:p w:rsidR="00FE164B" w:rsidRPr="00452F32" w:rsidRDefault="009F3FE4">
      <w:pPr>
        <w:spacing w:before="240" w:after="240"/>
        <w:ind w:left="567" w:right="902"/>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Archivos adjuntos:</w:t>
      </w:r>
    </w:p>
    <w:p w:rsidR="00FE164B" w:rsidRPr="00452F32" w:rsidRDefault="009F3FE4">
      <w:pPr>
        <w:spacing w:before="240" w:after="240" w:line="360" w:lineRule="auto"/>
        <w:ind w:left="567" w:right="902"/>
        <w:jc w:val="both"/>
        <w:rPr>
          <w:rFonts w:ascii="Palatino Linotype" w:eastAsia="Palatino Linotype" w:hAnsi="Palatino Linotype" w:cs="Palatino Linotype"/>
          <w:sz w:val="22"/>
          <w:szCs w:val="22"/>
        </w:rPr>
      </w:pPr>
      <w:r w:rsidRPr="00452F32">
        <w:rPr>
          <w:rFonts w:ascii="Palatino Linotype" w:eastAsia="Palatino Linotype" w:hAnsi="Palatino Linotype" w:cs="Palatino Linotype"/>
          <w:b/>
          <w:i/>
          <w:sz w:val="22"/>
          <w:szCs w:val="22"/>
        </w:rPr>
        <w:t>“Respuesta Solicitud 000524 (Final).</w:t>
      </w:r>
      <w:proofErr w:type="spellStart"/>
      <w:r w:rsidRPr="00452F32">
        <w:rPr>
          <w:rFonts w:ascii="Palatino Linotype" w:eastAsia="Palatino Linotype" w:hAnsi="Palatino Linotype" w:cs="Palatino Linotype"/>
          <w:b/>
          <w:i/>
          <w:sz w:val="22"/>
          <w:szCs w:val="22"/>
        </w:rPr>
        <w:t>pdf</w:t>
      </w:r>
      <w:proofErr w:type="spellEnd"/>
      <w:r w:rsidRPr="00452F32">
        <w:rPr>
          <w:rFonts w:ascii="Palatino Linotype" w:eastAsia="Palatino Linotype" w:hAnsi="Palatino Linotype" w:cs="Palatino Linotype"/>
          <w:b/>
          <w:i/>
          <w:sz w:val="22"/>
          <w:szCs w:val="22"/>
        </w:rPr>
        <w:t xml:space="preserve">”: </w:t>
      </w:r>
      <w:r w:rsidRPr="00452F32">
        <w:rPr>
          <w:rFonts w:ascii="Palatino Linotype" w:eastAsia="Palatino Linotype" w:hAnsi="Palatino Linotype" w:cs="Palatino Linotype"/>
        </w:rPr>
        <w:t xml:space="preserve">Archivo de dos fojas mediante el cual, el Titular de la Unidad de Transparencia refiere que la Dirección General de Movilidad Zona II solicitó la reserva de la información, asimismo refiere que remite copia del Acta de la Centésima Octogésima Segunda Sesión Extraordinaria del Comité de Transparencia celebrada el 31 de octubre del año en curso, que contiene la autorización de la reserva de la información, es de resaltar que dicha acta fue aprobada pero se encuentra en proceso de formalización, por lo que una vez que haya sido firmada, podrá localizarse en una liga electrónica que remitió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w:t>
      </w:r>
    </w:p>
    <w:p w:rsidR="00FE164B" w:rsidRPr="00452F32" w:rsidRDefault="00FE164B">
      <w:pPr>
        <w:spacing w:before="240" w:after="240"/>
        <w:ind w:left="567" w:right="902"/>
        <w:jc w:val="both"/>
        <w:rPr>
          <w:rFonts w:ascii="Palatino Linotype" w:eastAsia="Palatino Linotype" w:hAnsi="Palatino Linotype" w:cs="Palatino Linotype"/>
          <w:sz w:val="22"/>
          <w:szCs w:val="22"/>
        </w:rPr>
      </w:pPr>
    </w:p>
    <w:p w:rsidR="00FE164B" w:rsidRPr="00452F32" w:rsidRDefault="009F3FE4">
      <w:pPr>
        <w:spacing w:before="240" w:after="240"/>
        <w:ind w:left="567" w:right="902"/>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noProof/>
          <w:sz w:val="22"/>
          <w:szCs w:val="22"/>
          <w:lang w:val="es-MX"/>
        </w:rPr>
        <w:lastRenderedPageBreak/>
        <w:drawing>
          <wp:inline distT="0" distB="0" distL="0" distR="0">
            <wp:extent cx="4651257" cy="6141154"/>
            <wp:effectExtent l="0" t="0" r="0" b="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651257" cy="6141154"/>
                    </a:xfrm>
                    <a:prstGeom prst="rect">
                      <a:avLst/>
                    </a:prstGeom>
                    <a:ln/>
                  </pic:spPr>
                </pic:pic>
              </a:graphicData>
            </a:graphic>
          </wp:inline>
        </w:drawing>
      </w:r>
    </w:p>
    <w:p w:rsidR="00FE164B" w:rsidRPr="00452F32" w:rsidRDefault="009F3FE4">
      <w:pPr>
        <w:spacing w:before="240" w:after="240" w:line="360" w:lineRule="auto"/>
        <w:ind w:left="567" w:right="902"/>
        <w:jc w:val="both"/>
        <w:rPr>
          <w:rFonts w:ascii="Palatino Linotype" w:eastAsia="Palatino Linotype" w:hAnsi="Palatino Linotype" w:cs="Palatino Linotype"/>
        </w:rPr>
      </w:pPr>
      <w:r w:rsidRPr="00452F32">
        <w:rPr>
          <w:rFonts w:ascii="Palatino Linotype" w:eastAsia="Palatino Linotype" w:hAnsi="Palatino Linotype" w:cs="Palatino Linotype"/>
          <w:b/>
          <w:i/>
          <w:sz w:val="22"/>
          <w:szCs w:val="22"/>
        </w:rPr>
        <w:t xml:space="preserve">“Acta 182a </w:t>
      </w:r>
      <w:proofErr w:type="spellStart"/>
      <w:r w:rsidRPr="00452F32">
        <w:rPr>
          <w:rFonts w:ascii="Palatino Linotype" w:eastAsia="Palatino Linotype" w:hAnsi="Palatino Linotype" w:cs="Palatino Linotype"/>
          <w:b/>
          <w:i/>
          <w:sz w:val="22"/>
          <w:szCs w:val="22"/>
        </w:rPr>
        <w:t>Extraord</w:t>
      </w:r>
      <w:proofErr w:type="spellEnd"/>
      <w:r w:rsidRPr="00452F32">
        <w:rPr>
          <w:rFonts w:ascii="Palatino Linotype" w:eastAsia="Palatino Linotype" w:hAnsi="Palatino Linotype" w:cs="Palatino Linotype"/>
          <w:b/>
          <w:i/>
          <w:sz w:val="22"/>
          <w:szCs w:val="22"/>
        </w:rPr>
        <w:t xml:space="preserve"> </w:t>
      </w:r>
      <w:proofErr w:type="spellStart"/>
      <w:r w:rsidRPr="00452F32">
        <w:rPr>
          <w:rFonts w:ascii="Palatino Linotype" w:eastAsia="Palatino Linotype" w:hAnsi="Palatino Linotype" w:cs="Palatino Linotype"/>
          <w:b/>
          <w:i/>
          <w:sz w:val="22"/>
          <w:szCs w:val="22"/>
        </w:rPr>
        <w:t>Solic</w:t>
      </w:r>
      <w:proofErr w:type="spellEnd"/>
      <w:r w:rsidRPr="00452F32">
        <w:rPr>
          <w:rFonts w:ascii="Palatino Linotype" w:eastAsia="Palatino Linotype" w:hAnsi="Palatino Linotype" w:cs="Palatino Linotype"/>
          <w:b/>
          <w:i/>
          <w:sz w:val="22"/>
          <w:szCs w:val="22"/>
        </w:rPr>
        <w:t xml:space="preserve"> 00524 (Reserva).</w:t>
      </w:r>
      <w:proofErr w:type="spellStart"/>
      <w:r w:rsidRPr="00452F32">
        <w:rPr>
          <w:rFonts w:ascii="Palatino Linotype" w:eastAsia="Palatino Linotype" w:hAnsi="Palatino Linotype" w:cs="Palatino Linotype"/>
          <w:b/>
          <w:i/>
          <w:sz w:val="22"/>
          <w:szCs w:val="22"/>
        </w:rPr>
        <w:t>pdf</w:t>
      </w:r>
      <w:proofErr w:type="spellEnd"/>
      <w:r w:rsidRPr="00452F32">
        <w:rPr>
          <w:rFonts w:ascii="Palatino Linotype" w:eastAsia="Palatino Linotype" w:hAnsi="Palatino Linotype" w:cs="Palatino Linotype"/>
          <w:b/>
          <w:i/>
          <w:sz w:val="22"/>
          <w:szCs w:val="22"/>
        </w:rPr>
        <w:t xml:space="preserve">”: </w:t>
      </w:r>
      <w:r w:rsidRPr="00452F32">
        <w:rPr>
          <w:rFonts w:ascii="Palatino Linotype" w:eastAsia="Palatino Linotype" w:hAnsi="Palatino Linotype" w:cs="Palatino Linotype"/>
        </w:rPr>
        <w:t>Acta de la Centésima Octogésima Segunda Sesión Extraordinaria del Comité de Transparencia celebrada el 31 de octubre del año en curso, que contiene la autorización de la reserva de la información.</w:t>
      </w:r>
    </w:p>
    <w:p w:rsidR="00FE164B" w:rsidRPr="00452F32" w:rsidRDefault="009F3FE4">
      <w:pPr>
        <w:spacing w:before="240" w:after="240" w:line="360" w:lineRule="auto"/>
        <w:ind w:left="567" w:right="902"/>
        <w:jc w:val="both"/>
        <w:rPr>
          <w:rFonts w:ascii="Palatino Linotype" w:eastAsia="Palatino Linotype" w:hAnsi="Palatino Linotype" w:cs="Palatino Linotype"/>
        </w:rPr>
      </w:pPr>
      <w:r w:rsidRPr="00452F32">
        <w:rPr>
          <w:rFonts w:ascii="Palatino Linotype" w:eastAsia="Palatino Linotype" w:hAnsi="Palatino Linotype" w:cs="Palatino Linotype"/>
          <w:noProof/>
          <w:lang w:val="es-MX"/>
        </w:rPr>
        <w:lastRenderedPageBreak/>
        <w:drawing>
          <wp:inline distT="0" distB="0" distL="0" distR="0">
            <wp:extent cx="4747354" cy="5837774"/>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47354" cy="5837774"/>
                    </a:xfrm>
                    <a:prstGeom prst="rect">
                      <a:avLst/>
                    </a:prstGeom>
                    <a:ln/>
                  </pic:spPr>
                </pic:pic>
              </a:graphicData>
            </a:graphic>
          </wp:inline>
        </w:drawing>
      </w:r>
    </w:p>
    <w:p w:rsidR="00FE164B" w:rsidRPr="00452F32" w:rsidRDefault="009F3FE4">
      <w:pPr>
        <w:spacing w:before="240" w:after="240" w:line="360" w:lineRule="auto"/>
        <w:ind w:right="49"/>
        <w:jc w:val="both"/>
        <w:rPr>
          <w:rFonts w:ascii="Palatino Linotype" w:eastAsia="Palatino Linotype" w:hAnsi="Palatino Linotype" w:cs="Palatino Linotype"/>
        </w:rPr>
      </w:pPr>
      <w:r w:rsidRPr="00452F32">
        <w:rPr>
          <w:rFonts w:ascii="Palatino Linotype" w:eastAsia="Palatino Linotype" w:hAnsi="Palatino Linotype" w:cs="Palatino Linotype"/>
          <w:b/>
        </w:rPr>
        <w:t xml:space="preserve">3. Interposición del recurso de revisión. </w:t>
      </w:r>
      <w:r w:rsidRPr="00452F32">
        <w:rPr>
          <w:rFonts w:ascii="Palatino Linotype" w:eastAsia="Palatino Linotype" w:hAnsi="Palatino Linotype" w:cs="Palatino Linotype"/>
        </w:rPr>
        <w:t xml:space="preserve">Inconforme con los términos de la respuesta emitida por parte del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el </w:t>
      </w:r>
      <w:r w:rsidRPr="00452F32">
        <w:rPr>
          <w:rFonts w:ascii="Palatino Linotype" w:eastAsia="Palatino Linotype" w:hAnsi="Palatino Linotype" w:cs="Palatino Linotype"/>
          <w:b/>
        </w:rPr>
        <w:t>diez de noviembre de dos mil veintidós,</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interpuso el recurso de revisión a través de </w:t>
      </w:r>
      <w:r w:rsidRPr="00452F32">
        <w:rPr>
          <w:rFonts w:ascii="Palatino Linotype" w:eastAsia="Palatino Linotype" w:hAnsi="Palatino Linotype" w:cs="Palatino Linotype"/>
          <w:b/>
        </w:rPr>
        <w:t xml:space="preserve">SAIMEX, </w:t>
      </w:r>
      <w:r w:rsidRPr="00452F32">
        <w:rPr>
          <w:rFonts w:ascii="Palatino Linotype" w:eastAsia="Palatino Linotype" w:hAnsi="Palatino Linotype" w:cs="Palatino Linotype"/>
        </w:rPr>
        <w:t>en donde se manifestó de la siguiente manera:</w:t>
      </w:r>
    </w:p>
    <w:p w:rsidR="00FE164B" w:rsidRPr="00452F32" w:rsidRDefault="009F3FE4">
      <w:pPr>
        <w:tabs>
          <w:tab w:val="left" w:pos="2745"/>
        </w:tabs>
        <w:spacing w:before="240" w:after="240"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b/>
        </w:rPr>
        <w:lastRenderedPageBreak/>
        <w:t xml:space="preserve">a) Acto impugnado: </w:t>
      </w:r>
      <w:r w:rsidRPr="00452F32">
        <w:rPr>
          <w:rFonts w:ascii="Palatino Linotype" w:eastAsia="Palatino Linotype" w:hAnsi="Palatino Linotype" w:cs="Palatino Linotype"/>
          <w:b/>
        </w:rPr>
        <w:tab/>
      </w:r>
    </w:p>
    <w:p w:rsidR="00FE164B" w:rsidRPr="00452F32" w:rsidRDefault="009F3FE4">
      <w:pPr>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“Niega la información que es de </w:t>
      </w:r>
      <w:proofErr w:type="spellStart"/>
      <w:r w:rsidRPr="00452F32">
        <w:rPr>
          <w:rFonts w:ascii="Palatino Linotype" w:eastAsia="Palatino Linotype" w:hAnsi="Palatino Linotype" w:cs="Palatino Linotype"/>
          <w:i/>
          <w:sz w:val="22"/>
          <w:szCs w:val="22"/>
        </w:rPr>
        <w:t>interes</w:t>
      </w:r>
      <w:proofErr w:type="spellEnd"/>
      <w:r w:rsidRPr="00452F32">
        <w:rPr>
          <w:rFonts w:ascii="Palatino Linotype" w:eastAsia="Palatino Linotype" w:hAnsi="Palatino Linotype" w:cs="Palatino Linotype"/>
          <w:i/>
          <w:sz w:val="22"/>
          <w:szCs w:val="22"/>
        </w:rPr>
        <w:t xml:space="preserve"> público” (Sic)</w:t>
      </w:r>
    </w:p>
    <w:p w:rsidR="00FE164B" w:rsidRPr="00452F32" w:rsidRDefault="00FE164B">
      <w:pPr>
        <w:ind w:left="851" w:right="902"/>
        <w:jc w:val="both"/>
        <w:rPr>
          <w:rFonts w:ascii="Palatino Linotype" w:eastAsia="Palatino Linotype" w:hAnsi="Palatino Linotype" w:cs="Palatino Linotype"/>
          <w:i/>
          <w:sz w:val="22"/>
          <w:szCs w:val="22"/>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b) Razones o motivos de inconformidad</w:t>
      </w:r>
      <w:r w:rsidRPr="00452F32">
        <w:rPr>
          <w:rFonts w:ascii="Palatino Linotype" w:eastAsia="Palatino Linotype" w:hAnsi="Palatino Linotype" w:cs="Palatino Linotype"/>
        </w:rPr>
        <w:t>:</w:t>
      </w:r>
    </w:p>
    <w:p w:rsidR="00FE164B" w:rsidRPr="00452F32" w:rsidRDefault="009F3FE4">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452F32">
        <w:rPr>
          <w:rFonts w:ascii="Palatino Linotype" w:eastAsia="Palatino Linotype" w:hAnsi="Palatino Linotype" w:cs="Palatino Linotype"/>
          <w:i/>
          <w:sz w:val="22"/>
          <w:szCs w:val="22"/>
        </w:rPr>
        <w:t xml:space="preserve"> “</w:t>
      </w:r>
      <w:r w:rsidRPr="00452F32">
        <w:rPr>
          <w:rFonts w:ascii="Palatino Linotype" w:eastAsia="Palatino Linotype" w:hAnsi="Palatino Linotype" w:cs="Palatino Linotype"/>
          <w:b/>
          <w:i/>
          <w:sz w:val="22"/>
          <w:szCs w:val="22"/>
        </w:rPr>
        <w:t>Niega la información que es pública con una acta sin validez</w:t>
      </w:r>
      <w:r w:rsidRPr="00452F32">
        <w:rPr>
          <w:rFonts w:ascii="Palatino Linotype" w:eastAsia="Palatino Linotype" w:hAnsi="Palatino Linotype" w:cs="Palatino Linotype"/>
          <w:i/>
          <w:sz w:val="22"/>
          <w:szCs w:val="22"/>
        </w:rPr>
        <w:t>” (Sic) (Énfasis añadido)</w:t>
      </w:r>
    </w:p>
    <w:p w:rsidR="00FE164B" w:rsidRPr="00452F32" w:rsidRDefault="00FE164B">
      <w:pPr>
        <w:ind w:left="851" w:right="902"/>
        <w:jc w:val="both"/>
        <w:rPr>
          <w:rFonts w:ascii="Palatino Linotype" w:eastAsia="Palatino Linotype" w:hAnsi="Palatino Linotype" w:cs="Palatino Linotype"/>
          <w:i/>
          <w:sz w:val="22"/>
          <w:szCs w:val="22"/>
        </w:rPr>
      </w:pPr>
    </w:p>
    <w:p w:rsidR="00FE164B" w:rsidRPr="00452F32" w:rsidRDefault="00FE164B">
      <w:pPr>
        <w:ind w:right="902"/>
        <w:jc w:val="both"/>
        <w:rPr>
          <w:rFonts w:ascii="Palatino Linotype" w:eastAsia="Palatino Linotype" w:hAnsi="Palatino Linotype" w:cs="Palatino Linotype"/>
          <w:sz w:val="22"/>
          <w:szCs w:val="22"/>
        </w:rPr>
      </w:pPr>
    </w:p>
    <w:p w:rsidR="00FE164B" w:rsidRPr="00452F32" w:rsidRDefault="009F3FE4">
      <w:pPr>
        <w:spacing w:line="360" w:lineRule="auto"/>
        <w:ind w:right="51"/>
        <w:jc w:val="both"/>
        <w:rPr>
          <w:rFonts w:ascii="Palatino Linotype" w:eastAsia="Palatino Linotype" w:hAnsi="Palatino Linotype" w:cs="Palatino Linotype"/>
        </w:rPr>
      </w:pPr>
      <w:r w:rsidRPr="00452F32">
        <w:rPr>
          <w:rFonts w:ascii="Palatino Linotype" w:eastAsia="Palatino Linotype" w:hAnsi="Palatino Linotype" w:cs="Palatino Linotype"/>
          <w:b/>
        </w:rPr>
        <w:t xml:space="preserve">4. Turno. </w:t>
      </w:r>
      <w:r w:rsidRPr="00452F3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52F32">
        <w:rPr>
          <w:rFonts w:ascii="Palatino Linotype" w:eastAsia="Palatino Linotype" w:hAnsi="Palatino Linotype" w:cs="Palatino Linotype"/>
          <w:b/>
        </w:rPr>
        <w:t>Comisionada</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 xml:space="preserve">Guadalupe Ramírez Peña, </w:t>
      </w:r>
      <w:r w:rsidRPr="00452F32">
        <w:rPr>
          <w:rFonts w:ascii="Palatino Linotype" w:eastAsia="Palatino Linotype" w:hAnsi="Palatino Linotype" w:cs="Palatino Linotype"/>
        </w:rPr>
        <w:t xml:space="preserve">a efecto de que analizara sobre su admisión o su </w:t>
      </w:r>
      <w:proofErr w:type="spellStart"/>
      <w:r w:rsidRPr="00452F32">
        <w:rPr>
          <w:rFonts w:ascii="Palatino Linotype" w:eastAsia="Palatino Linotype" w:hAnsi="Palatino Linotype" w:cs="Palatino Linotype"/>
        </w:rPr>
        <w:t>desechamiento</w:t>
      </w:r>
      <w:proofErr w:type="spellEnd"/>
      <w:r w:rsidRPr="00452F32">
        <w:rPr>
          <w:rFonts w:ascii="Palatino Linotype" w:eastAsia="Palatino Linotype" w:hAnsi="Palatino Linotype" w:cs="Palatino Linotype"/>
        </w:rPr>
        <w:t>.</w:t>
      </w:r>
    </w:p>
    <w:p w:rsidR="00FE164B" w:rsidRPr="00452F32" w:rsidRDefault="00FE164B">
      <w:pPr>
        <w:spacing w:line="360" w:lineRule="auto"/>
        <w:ind w:right="51"/>
        <w:jc w:val="both"/>
        <w:rPr>
          <w:rFonts w:ascii="Palatino Linotype" w:eastAsia="Palatino Linotype" w:hAnsi="Palatino Linotype" w:cs="Palatino Linotype"/>
        </w:rPr>
      </w:pPr>
    </w:p>
    <w:p w:rsidR="00FE164B" w:rsidRPr="00452F32" w:rsidRDefault="009F3FE4">
      <w:pPr>
        <w:spacing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5. Admisión del Recurso de Revisión.</w:t>
      </w:r>
      <w:r w:rsidRPr="00452F32">
        <w:rPr>
          <w:rFonts w:ascii="Palatino Linotype" w:eastAsia="Palatino Linotype" w:hAnsi="Palatino Linotype" w:cs="Palatino Linotype"/>
        </w:rPr>
        <w:t xml:space="preserve"> El</w:t>
      </w:r>
      <w:r w:rsidRPr="00452F32">
        <w:rPr>
          <w:rFonts w:ascii="Palatino Linotype" w:eastAsia="Palatino Linotype" w:hAnsi="Palatino Linotype" w:cs="Palatino Linotype"/>
          <w:b/>
        </w:rPr>
        <w:t xml:space="preserve"> quince de noviembre de dos mil veintidós, </w:t>
      </w:r>
      <w:r w:rsidRPr="00452F3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52F32">
        <w:rPr>
          <w:rFonts w:ascii="Palatino Linotype" w:eastAsia="Palatino Linotype" w:hAnsi="Palatino Linotype" w:cs="Palatino Linotype"/>
          <w:b/>
        </w:rPr>
        <w:t xml:space="preserve">Sujeto Obligado </w:t>
      </w:r>
      <w:r w:rsidRPr="00452F32">
        <w:rPr>
          <w:rFonts w:ascii="Palatino Linotype" w:eastAsia="Palatino Linotype" w:hAnsi="Palatino Linotype" w:cs="Palatino Linotype"/>
        </w:rPr>
        <w:t>presentara su informe justificado.</w:t>
      </w:r>
    </w:p>
    <w:p w:rsidR="00FE164B" w:rsidRPr="00452F32" w:rsidRDefault="009F3FE4">
      <w:pPr>
        <w:spacing w:after="240" w:line="360" w:lineRule="auto"/>
        <w:jc w:val="both"/>
        <w:rPr>
          <w:rFonts w:ascii="Palatino Linotype" w:eastAsia="Palatino Linotype" w:hAnsi="Palatino Linotype" w:cs="Palatino Linotype"/>
        </w:rPr>
      </w:pPr>
      <w:bookmarkStart w:id="3" w:name="_heading=h.2s8eyo1" w:colFirst="0" w:colLast="0"/>
      <w:bookmarkEnd w:id="3"/>
      <w:r w:rsidRPr="00452F32">
        <w:rPr>
          <w:rFonts w:ascii="Palatino Linotype" w:eastAsia="Palatino Linotype" w:hAnsi="Palatino Linotype" w:cs="Palatino Linotype"/>
          <w:b/>
        </w:rPr>
        <w:t>6. Manifestaciones</w:t>
      </w:r>
      <w:r w:rsidRPr="00452F32">
        <w:rPr>
          <w:rFonts w:ascii="Palatino Linotype" w:eastAsia="Palatino Linotype" w:hAnsi="Palatino Linotype" w:cs="Palatino Linotype"/>
        </w:rPr>
        <w:t xml:space="preserve">. De las constancias que obran en el expediente electrónico, se advierte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remitió su informe justificado mediante el archivo denominado “</w:t>
      </w:r>
      <w:r w:rsidRPr="00452F32">
        <w:rPr>
          <w:rFonts w:ascii="Palatino Linotype" w:eastAsia="Palatino Linotype" w:hAnsi="Palatino Linotype" w:cs="Palatino Linotype"/>
          <w:b/>
          <w:i/>
        </w:rPr>
        <w:t xml:space="preserve">Informe Justificado RR 16389.pdf”, </w:t>
      </w:r>
      <w:r w:rsidRPr="00452F32">
        <w:rPr>
          <w:rFonts w:ascii="Palatino Linotype" w:eastAsia="Palatino Linotype" w:hAnsi="Palatino Linotype" w:cs="Palatino Linotype"/>
        </w:rPr>
        <w:t xml:space="preserve">el cual ratifica la respuesta inicial, es de precisar que una vez analizada esta documentación, se determinó ponerla a la </w:t>
      </w:r>
      <w:r w:rsidRPr="00452F32">
        <w:rPr>
          <w:rFonts w:ascii="Palatino Linotype" w:eastAsia="Palatino Linotype" w:hAnsi="Palatino Linotype" w:cs="Palatino Linotype"/>
        </w:rPr>
        <w:lastRenderedPageBreak/>
        <w:t xml:space="preserve">vista de la parte solicitante mediante acuerdo signado por la Comisionada Ponente el </w:t>
      </w:r>
      <w:r w:rsidRPr="00452F32">
        <w:rPr>
          <w:rFonts w:ascii="Palatino Linotype" w:eastAsia="Palatino Linotype" w:hAnsi="Palatino Linotype" w:cs="Palatino Linotype"/>
          <w:b/>
        </w:rPr>
        <w:t>dos de mayo de dos mil veintitrés</w:t>
      </w:r>
      <w:r w:rsidRPr="00452F32">
        <w:rPr>
          <w:rFonts w:ascii="Palatino Linotype" w:eastAsia="Palatino Linotype" w:hAnsi="Palatino Linotype" w:cs="Palatino Linotype"/>
        </w:rPr>
        <w:t xml:space="preserve">, quien fue omisa en emitir alegatos o cualquier manifestación que a su derecho conviniera, por lo que se tiene por </w:t>
      </w:r>
      <w:proofErr w:type="spellStart"/>
      <w:r w:rsidRPr="00452F32">
        <w:rPr>
          <w:rFonts w:ascii="Palatino Linotype" w:eastAsia="Palatino Linotype" w:hAnsi="Palatino Linotype" w:cs="Palatino Linotype"/>
        </w:rPr>
        <w:t>precluido</w:t>
      </w:r>
      <w:proofErr w:type="spellEnd"/>
      <w:r w:rsidRPr="00452F32">
        <w:rPr>
          <w:rFonts w:ascii="Palatino Linotype" w:eastAsia="Palatino Linotype" w:hAnsi="Palatino Linotype" w:cs="Palatino Linotype"/>
        </w:rPr>
        <w:t xml:space="preserve"> su derecho para tal efecto. </w:t>
      </w:r>
    </w:p>
    <w:p w:rsidR="00FE164B" w:rsidRPr="00452F32" w:rsidRDefault="009F3FE4">
      <w:pPr>
        <w:spacing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noProof/>
          <w:lang w:val="es-MX"/>
        </w:rPr>
        <w:drawing>
          <wp:inline distT="0" distB="0" distL="0" distR="0">
            <wp:extent cx="5612130" cy="196342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1963420"/>
                    </a:xfrm>
                    <a:prstGeom prst="rect">
                      <a:avLst/>
                    </a:prstGeom>
                    <a:ln/>
                  </pic:spPr>
                </pic:pic>
              </a:graphicData>
            </a:graphic>
          </wp:inline>
        </w:drawing>
      </w:r>
    </w:p>
    <w:p w:rsidR="00FE164B" w:rsidRPr="00452F32" w:rsidRDefault="009F3FE4">
      <w:pPr>
        <w:widowControl w:val="0"/>
        <w:spacing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7.- Ampliación del plazo para emitir resolución.</w:t>
      </w:r>
      <w:r w:rsidRPr="00452F32">
        <w:rPr>
          <w:rFonts w:ascii="Palatino Linotype" w:eastAsia="Palatino Linotype" w:hAnsi="Palatino Linotype" w:cs="Palatino Linotype"/>
        </w:rPr>
        <w:t xml:space="preserve"> El </w:t>
      </w:r>
      <w:r w:rsidRPr="00452F32">
        <w:rPr>
          <w:rFonts w:ascii="Palatino Linotype" w:eastAsia="Palatino Linotype" w:hAnsi="Palatino Linotype" w:cs="Palatino Linotype"/>
          <w:b/>
        </w:rPr>
        <w:t>tres de mayo del año dos mil veintitrés</w:t>
      </w:r>
      <w:r w:rsidRPr="00452F3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strike/>
        </w:rPr>
      </w:pPr>
      <w:r w:rsidRPr="00452F3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numPr>
          <w:ilvl w:val="0"/>
          <w:numId w:val="1"/>
        </w:numPr>
        <w:spacing w:line="360" w:lineRule="auto"/>
        <w:ind w:left="567" w:right="900" w:hanging="141"/>
        <w:jc w:val="both"/>
        <w:rPr>
          <w:rFonts w:ascii="Palatino Linotype" w:eastAsia="Palatino Linotype" w:hAnsi="Palatino Linotype" w:cs="Palatino Linotype"/>
        </w:rPr>
      </w:pPr>
      <w:r w:rsidRPr="00452F32">
        <w:rPr>
          <w:rFonts w:ascii="Palatino Linotype" w:eastAsia="Palatino Linotype" w:hAnsi="Palatino Linotype" w:cs="Palatino Linotype"/>
          <w:b/>
        </w:rPr>
        <w:t>Complejidad del Asunto:</w:t>
      </w:r>
      <w:r w:rsidRPr="00452F3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FE164B" w:rsidRPr="00452F32" w:rsidRDefault="00FE164B">
      <w:pPr>
        <w:spacing w:line="360" w:lineRule="auto"/>
        <w:ind w:left="567" w:right="900" w:hanging="141"/>
        <w:jc w:val="both"/>
        <w:rPr>
          <w:rFonts w:ascii="Palatino Linotype" w:eastAsia="Palatino Linotype" w:hAnsi="Palatino Linotype" w:cs="Palatino Linotype"/>
          <w:b/>
        </w:rPr>
      </w:pPr>
    </w:p>
    <w:p w:rsidR="00FE164B" w:rsidRPr="00452F32" w:rsidRDefault="009F3FE4">
      <w:pPr>
        <w:numPr>
          <w:ilvl w:val="0"/>
          <w:numId w:val="1"/>
        </w:numPr>
        <w:spacing w:line="360" w:lineRule="auto"/>
        <w:ind w:left="567" w:right="900" w:hanging="141"/>
        <w:jc w:val="both"/>
        <w:rPr>
          <w:rFonts w:ascii="Palatino Linotype" w:eastAsia="Palatino Linotype" w:hAnsi="Palatino Linotype" w:cs="Palatino Linotype"/>
        </w:rPr>
      </w:pPr>
      <w:r w:rsidRPr="00452F32">
        <w:rPr>
          <w:rFonts w:ascii="Palatino Linotype" w:eastAsia="Palatino Linotype" w:hAnsi="Palatino Linotype" w:cs="Palatino Linotype"/>
          <w:b/>
        </w:rPr>
        <w:t>Actividad Procesal del interesado.</w:t>
      </w:r>
      <w:r w:rsidRPr="00452F32">
        <w:rPr>
          <w:rFonts w:ascii="Palatino Linotype" w:eastAsia="Palatino Linotype" w:hAnsi="Palatino Linotype" w:cs="Palatino Linotype"/>
        </w:rPr>
        <w:t xml:space="preserve"> Acciones u omisiones del interesado.</w:t>
      </w:r>
    </w:p>
    <w:p w:rsidR="00FE164B" w:rsidRPr="00452F32" w:rsidRDefault="00FE164B">
      <w:pPr>
        <w:spacing w:line="360" w:lineRule="auto"/>
        <w:ind w:left="567" w:right="900" w:hanging="141"/>
        <w:jc w:val="both"/>
        <w:rPr>
          <w:rFonts w:ascii="Palatino Linotype" w:eastAsia="Palatino Linotype" w:hAnsi="Palatino Linotype" w:cs="Palatino Linotype"/>
        </w:rPr>
      </w:pPr>
    </w:p>
    <w:p w:rsidR="00FE164B" w:rsidRPr="00452F32" w:rsidRDefault="009F3FE4">
      <w:pPr>
        <w:numPr>
          <w:ilvl w:val="0"/>
          <w:numId w:val="1"/>
        </w:numPr>
        <w:spacing w:line="360" w:lineRule="auto"/>
        <w:ind w:left="567" w:right="900" w:hanging="141"/>
        <w:jc w:val="both"/>
        <w:rPr>
          <w:rFonts w:ascii="Palatino Linotype" w:eastAsia="Palatino Linotype" w:hAnsi="Palatino Linotype" w:cs="Palatino Linotype"/>
        </w:rPr>
      </w:pPr>
      <w:r w:rsidRPr="00452F32">
        <w:rPr>
          <w:rFonts w:ascii="Palatino Linotype" w:eastAsia="Palatino Linotype" w:hAnsi="Palatino Linotype" w:cs="Palatino Linotype"/>
          <w:b/>
        </w:rPr>
        <w:t>Conducta de la Autoridad:</w:t>
      </w:r>
      <w:r w:rsidRPr="00452F32">
        <w:rPr>
          <w:rFonts w:ascii="Palatino Linotype" w:eastAsia="Palatino Linotype" w:hAnsi="Palatino Linotype" w:cs="Palatino Linotype"/>
        </w:rPr>
        <w:t xml:space="preserve"> Las Acciones u omisiones realizadas en el procedimiento. Así como si la autoridad actuó con la debida diligencia.</w:t>
      </w:r>
    </w:p>
    <w:p w:rsidR="00FE164B" w:rsidRPr="00452F32" w:rsidRDefault="00FE164B">
      <w:pPr>
        <w:spacing w:line="360" w:lineRule="auto"/>
        <w:ind w:left="567" w:right="900" w:hanging="141"/>
        <w:rPr>
          <w:rFonts w:ascii="Palatino Linotype" w:eastAsia="Palatino Linotype" w:hAnsi="Palatino Linotype" w:cs="Palatino Linotype"/>
        </w:rPr>
      </w:pPr>
    </w:p>
    <w:p w:rsidR="00FE164B" w:rsidRPr="00452F32" w:rsidRDefault="009F3FE4">
      <w:pPr>
        <w:spacing w:line="360" w:lineRule="auto"/>
        <w:ind w:left="567" w:right="900" w:hanging="141"/>
        <w:jc w:val="both"/>
        <w:rPr>
          <w:rFonts w:ascii="Palatino Linotype" w:eastAsia="Palatino Linotype" w:hAnsi="Palatino Linotype" w:cs="Palatino Linotype"/>
        </w:rPr>
      </w:pPr>
      <w:r w:rsidRPr="00452F32">
        <w:rPr>
          <w:rFonts w:ascii="Palatino Linotype" w:eastAsia="Palatino Linotype" w:hAnsi="Palatino Linotype" w:cs="Palatino Linotype"/>
          <w:b/>
        </w:rPr>
        <w:t>d) La afectación generada en la situación jurídica de la persona involucrada en el proceso</w:t>
      </w:r>
      <w:r w:rsidRPr="00452F32">
        <w:rPr>
          <w:rFonts w:ascii="Palatino Linotype" w:eastAsia="Palatino Linotype" w:hAnsi="Palatino Linotype" w:cs="Palatino Linotype"/>
        </w:rPr>
        <w:t>: Violación a sus derechos humanos.</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rPr>
        <w:t>Argumento que encuentra sustento en la jurisprudencia P</w:t>
      </w:r>
      <w:proofErr w:type="gramStart"/>
      <w:r w:rsidRPr="00452F32">
        <w:rPr>
          <w:rFonts w:ascii="Palatino Linotype" w:eastAsia="Palatino Linotype" w:hAnsi="Palatino Linotype" w:cs="Palatino Linotype"/>
        </w:rPr>
        <w:t>./</w:t>
      </w:r>
      <w:proofErr w:type="gramEnd"/>
      <w:r w:rsidRPr="00452F32">
        <w:rPr>
          <w:rFonts w:ascii="Palatino Linotype" w:eastAsia="Palatino Linotype" w:hAnsi="Palatino Linotype" w:cs="Palatino Linotype"/>
        </w:rPr>
        <w:t xml:space="preserve">J. 32/92 emitida por el Pleno de la Suprema Corte de Justicia de la Nación de rubro </w:t>
      </w:r>
      <w:r w:rsidRPr="00452F32">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452F32">
        <w:rPr>
          <w:rFonts w:ascii="Palatino Linotype" w:eastAsia="Palatino Linotype" w:hAnsi="Palatino Linotype" w:cs="Palatino Linotype"/>
          <w:i/>
        </w:rPr>
        <w:lastRenderedPageBreak/>
        <w:t>CARACTERÍSTICAS DEL CASO.”</w:t>
      </w:r>
      <w:r w:rsidRPr="00452F32">
        <w:rPr>
          <w:rFonts w:ascii="Palatino Linotype" w:eastAsia="Palatino Linotype" w:hAnsi="Palatino Linotype" w:cs="Palatino Linotype"/>
        </w:rPr>
        <w:t>, visible en la Gaceta del Seminario Judicial de la Federación con el registro digital 205635.</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i/>
        </w:rPr>
        <w:t>“PLAZO RAZONABLE PARA RESOLVER. DIMENSIÓN Y EFECTOS DE ESTE CONCEPTO CUANDO SE ADUCE EXCESIVA CARGA DE TRABAJO.”</w:t>
      </w:r>
      <w:r w:rsidRPr="00452F32">
        <w:rPr>
          <w:rFonts w:ascii="Palatino Linotype" w:eastAsia="Palatino Linotype" w:hAnsi="Palatino Linotype" w:cs="Palatino Linotype"/>
        </w:rPr>
        <w:t xml:space="preserve"> consultable en el Seminario Judicial de la Federación y su gaceta, con el registro digital 2002351.</w:t>
      </w:r>
    </w:p>
    <w:p w:rsidR="00FE164B" w:rsidRPr="00452F32" w:rsidRDefault="00FE164B">
      <w:pPr>
        <w:spacing w:line="360" w:lineRule="auto"/>
        <w:jc w:val="both"/>
        <w:rPr>
          <w:rFonts w:ascii="Palatino Linotype" w:eastAsia="Palatino Linotype" w:hAnsi="Palatino Linotype" w:cs="Palatino Linotype"/>
          <w:b/>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i/>
        </w:rPr>
        <w:t xml:space="preserve">“PLAZO RAZONABLE PARA RESOLVER. CONCEPTO Y ELEMENTOS QUE LO INTEGRAN A LA LUZ DEL DERECHO INTERNACIONAL DE LOS DERECHOS </w:t>
      </w:r>
      <w:r w:rsidRPr="00452F32">
        <w:rPr>
          <w:rFonts w:ascii="Palatino Linotype" w:eastAsia="Palatino Linotype" w:hAnsi="Palatino Linotype" w:cs="Palatino Linotype"/>
          <w:i/>
        </w:rPr>
        <w:lastRenderedPageBreak/>
        <w:t>HUMANOS.”</w:t>
      </w:r>
      <w:r w:rsidRPr="00452F32">
        <w:rPr>
          <w:rFonts w:ascii="Palatino Linotype" w:eastAsia="Palatino Linotype" w:hAnsi="Palatino Linotype" w:cs="Palatino Linotype"/>
        </w:rPr>
        <w:t>, visible en el Seminario Judicial de la Federación y su gaceta, con el registro digital 2002350.</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widowControl w:val="0"/>
        <w:spacing w:line="360" w:lineRule="auto"/>
        <w:ind w:right="49"/>
        <w:jc w:val="both"/>
        <w:rPr>
          <w:rFonts w:ascii="Palatino Linotype" w:eastAsia="Palatino Linotype" w:hAnsi="Palatino Linotype" w:cs="Palatino Linotype"/>
        </w:rPr>
      </w:pPr>
      <w:r w:rsidRPr="00452F32">
        <w:rPr>
          <w:rFonts w:ascii="Palatino Linotype" w:eastAsia="Palatino Linotype" w:hAnsi="Palatino Linotype" w:cs="Palatino Linotype"/>
          <w:b/>
        </w:rPr>
        <w:t xml:space="preserve">8. Cierre de instrucción. </w:t>
      </w:r>
      <w:r w:rsidRPr="00452F3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52F32">
        <w:rPr>
          <w:rFonts w:ascii="Palatino Linotype" w:eastAsia="Palatino Linotype" w:hAnsi="Palatino Linotype" w:cs="Palatino Linotype"/>
          <w:b/>
        </w:rPr>
        <w:t>nueve de mayo de dos mil veintitrés</w:t>
      </w:r>
      <w:r w:rsidRPr="00452F3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E164B" w:rsidRPr="00452F32" w:rsidRDefault="009F3FE4">
      <w:pPr>
        <w:widowControl w:val="0"/>
        <w:spacing w:line="360" w:lineRule="auto"/>
        <w:jc w:val="center"/>
        <w:rPr>
          <w:rFonts w:ascii="Palatino Linotype" w:eastAsia="Palatino Linotype" w:hAnsi="Palatino Linotype" w:cs="Palatino Linotype"/>
          <w:b/>
        </w:rPr>
      </w:pPr>
      <w:r w:rsidRPr="00452F32">
        <w:rPr>
          <w:rFonts w:ascii="Palatino Linotype" w:eastAsia="Palatino Linotype" w:hAnsi="Palatino Linotype" w:cs="Palatino Linotype"/>
          <w:b/>
        </w:rPr>
        <w:t>II. C O N S I D E R A N D O S</w:t>
      </w:r>
    </w:p>
    <w:p w:rsidR="00FE164B" w:rsidRPr="00452F32" w:rsidRDefault="00FE164B">
      <w:pPr>
        <w:widowControl w:val="0"/>
        <w:spacing w:line="360" w:lineRule="auto"/>
        <w:jc w:val="center"/>
        <w:rPr>
          <w:rFonts w:ascii="Palatino Linotype" w:eastAsia="Palatino Linotype" w:hAnsi="Palatino Linotype" w:cs="Palatino Linotype"/>
          <w:b/>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Primero. Competencia.</w:t>
      </w:r>
      <w:r w:rsidRPr="00452F3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452F32">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E164B" w:rsidRPr="00452F32" w:rsidRDefault="009F3FE4">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452F32">
        <w:rPr>
          <w:rFonts w:ascii="Palatino Linotype" w:eastAsia="Palatino Linotype" w:hAnsi="Palatino Linotype" w:cs="Palatino Linotype"/>
          <w:b/>
        </w:rPr>
        <w:t xml:space="preserve">Segundo. Oportunidad y </w:t>
      </w:r>
      <w:proofErr w:type="spellStart"/>
      <w:r w:rsidRPr="00452F32">
        <w:rPr>
          <w:rFonts w:ascii="Palatino Linotype" w:eastAsia="Palatino Linotype" w:hAnsi="Palatino Linotype" w:cs="Palatino Linotype"/>
          <w:b/>
        </w:rPr>
        <w:t>Procedibilidad</w:t>
      </w:r>
      <w:proofErr w:type="spellEnd"/>
      <w:r w:rsidRPr="00452F32">
        <w:rPr>
          <w:rFonts w:ascii="Palatino Linotype" w:eastAsia="Palatino Linotype" w:hAnsi="Palatino Linotype" w:cs="Palatino Linotype"/>
          <w:b/>
        </w:rPr>
        <w:t xml:space="preserve"> del Recurso de Revisión. </w:t>
      </w:r>
      <w:r w:rsidRPr="00452F32">
        <w:rPr>
          <w:rFonts w:ascii="Palatino Linotype" w:eastAsia="Palatino Linotype" w:hAnsi="Palatino Linotype" w:cs="Palatino Linotype"/>
        </w:rPr>
        <w:t xml:space="preserve">Previo al estudio del fondo del asunto, se procede a analizar los requisitos de oportunidad y </w:t>
      </w:r>
      <w:proofErr w:type="spellStart"/>
      <w:r w:rsidRPr="00452F32">
        <w:rPr>
          <w:rFonts w:ascii="Palatino Linotype" w:eastAsia="Palatino Linotype" w:hAnsi="Palatino Linotype" w:cs="Palatino Linotype"/>
        </w:rPr>
        <w:t>procedibilidad</w:t>
      </w:r>
      <w:proofErr w:type="spellEnd"/>
      <w:r w:rsidRPr="00452F32">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Al respecto la Ley de Transparencia y Acceso a la Información Pública del Estado de México y Municipios, establece lo siguiente:</w:t>
      </w:r>
    </w:p>
    <w:p w:rsidR="00FE164B" w:rsidRPr="00452F32" w:rsidRDefault="009F3FE4">
      <w:pPr>
        <w:ind w:left="851" w:right="900"/>
        <w:jc w:val="both"/>
        <w:rPr>
          <w:rFonts w:ascii="Palatino Linotype" w:eastAsia="Palatino Linotype" w:hAnsi="Palatino Linotype" w:cs="Palatino Linotype"/>
          <w:i/>
          <w:sz w:val="28"/>
          <w:szCs w:val="28"/>
        </w:rPr>
      </w:pPr>
      <w:r w:rsidRPr="00452F32">
        <w:rPr>
          <w:rFonts w:ascii="Palatino Linotype" w:eastAsia="Palatino Linotype" w:hAnsi="Palatino Linotype" w:cs="Palatino Linotype"/>
          <w:b/>
          <w:i/>
          <w:sz w:val="22"/>
          <w:szCs w:val="22"/>
        </w:rPr>
        <w:t xml:space="preserve">“Artículo 178. </w:t>
      </w:r>
      <w:r w:rsidRPr="00452F3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52F32">
        <w:rPr>
          <w:rFonts w:ascii="Palatino Linotype" w:eastAsia="Palatino Linotype" w:hAnsi="Palatino Linotype" w:cs="Palatino Linotype"/>
          <w:b/>
        </w:rPr>
        <w:t xml:space="preserve">Sujeto Obligado </w:t>
      </w:r>
      <w:r w:rsidRPr="00452F32">
        <w:rPr>
          <w:rFonts w:ascii="Palatino Linotype" w:eastAsia="Palatino Linotype" w:hAnsi="Palatino Linotype" w:cs="Palatino Linotype"/>
        </w:rPr>
        <w:t xml:space="preserve">remitió la respuesta a la solicitud de información el día </w:t>
      </w:r>
      <w:r w:rsidRPr="00452F32">
        <w:rPr>
          <w:rFonts w:ascii="Palatino Linotype" w:eastAsia="Palatino Linotype" w:hAnsi="Palatino Linotype" w:cs="Palatino Linotype"/>
          <w:b/>
        </w:rPr>
        <w:t xml:space="preserve">treinta y uno de octubre de dos mil veintidós, </w:t>
      </w:r>
      <w:r w:rsidRPr="00452F32">
        <w:rPr>
          <w:rFonts w:ascii="Palatino Linotype" w:eastAsia="Palatino Linotype" w:hAnsi="Palatino Linotype" w:cs="Palatino Linotype"/>
        </w:rPr>
        <w:t xml:space="preserve">mientras que el recurso de revisión </w:t>
      </w:r>
      <w:r w:rsidRPr="00452F32">
        <w:rPr>
          <w:rFonts w:ascii="Palatino Linotype" w:eastAsia="Palatino Linotype" w:hAnsi="Palatino Linotype" w:cs="Palatino Linotype"/>
        </w:rPr>
        <w:lastRenderedPageBreak/>
        <w:t xml:space="preserve">interpuesto por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se tuvo por presentado el día </w:t>
      </w:r>
      <w:r w:rsidRPr="00452F32">
        <w:rPr>
          <w:rFonts w:ascii="Palatino Linotype" w:eastAsia="Palatino Linotype" w:hAnsi="Palatino Linotype" w:cs="Palatino Linotype"/>
          <w:b/>
        </w:rPr>
        <w:t>diez de noviembre de dos mil veintidós</w:t>
      </w:r>
      <w:r w:rsidRPr="00452F32">
        <w:rPr>
          <w:rFonts w:ascii="Palatino Linotype" w:eastAsia="Palatino Linotype" w:hAnsi="Palatino Linotype" w:cs="Palatino Linotype"/>
        </w:rPr>
        <w:t xml:space="preserve">; esto es, al </w:t>
      </w:r>
      <w:r w:rsidRPr="00452F32">
        <w:rPr>
          <w:rFonts w:ascii="Palatino Linotype" w:eastAsia="Palatino Linotype" w:hAnsi="Palatino Linotype" w:cs="Palatino Linotype"/>
          <w:b/>
        </w:rPr>
        <w:t>séptimo día hábil</w:t>
      </w:r>
      <w:r w:rsidRPr="00452F32">
        <w:rPr>
          <w:rFonts w:ascii="Palatino Linotype" w:eastAsia="Palatino Linotype" w:hAnsi="Palatino Linotype" w:cs="Palatino Linotype"/>
        </w:rPr>
        <w:t xml:space="preserve"> siguiente de aquel en que tuvo conocimiento de la respuesta impugnada.</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En este sentido, al considerar la fecha en que se formuló la solicitud y la fecha en que respondió a esta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FE164B" w:rsidRPr="00452F32" w:rsidRDefault="009F3F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Asimismo, por cuanto hace a la </w:t>
      </w:r>
      <w:proofErr w:type="spellStart"/>
      <w:r w:rsidRPr="00452F32">
        <w:rPr>
          <w:rFonts w:ascii="Palatino Linotype" w:eastAsia="Palatino Linotype" w:hAnsi="Palatino Linotype" w:cs="Palatino Linotype"/>
        </w:rPr>
        <w:t>procedibilidad</w:t>
      </w:r>
      <w:proofErr w:type="spellEnd"/>
      <w:r w:rsidRPr="00452F32">
        <w:rPr>
          <w:rFonts w:ascii="Palatino Linotype" w:eastAsia="Palatino Linotype" w:hAnsi="Palatino Linotype" w:cs="Palatino Linotype"/>
        </w:rPr>
        <w:t xml:space="preserve"> del  recurso de revisión, es de suma importancia señalar que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E164B" w:rsidRPr="00452F32" w:rsidRDefault="009F3FE4">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Así también, por cuanto hace a la </w:t>
      </w:r>
      <w:proofErr w:type="spellStart"/>
      <w:r w:rsidRPr="00452F32">
        <w:rPr>
          <w:rFonts w:ascii="Palatino Linotype" w:eastAsia="Palatino Linotype" w:hAnsi="Palatino Linotype" w:cs="Palatino Linotype"/>
        </w:rPr>
        <w:t>procedibilidad</w:t>
      </w:r>
      <w:proofErr w:type="spellEnd"/>
      <w:r w:rsidRPr="00452F32">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E164B" w:rsidRPr="00452F32" w:rsidRDefault="009F3FE4">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Ahora bien, resulta procedente la interposición del recurso, según lo aducido por la parte recurrente en sus razones o motivos de inconformidad, de acuerdo al artículo 179, fracciones I y II de la Ley de Transparencia y Acceso a la Información Pública del Estado de México y Municipios; que a la letra dice:</w:t>
      </w:r>
    </w:p>
    <w:p w:rsidR="00FE164B" w:rsidRPr="00452F32" w:rsidRDefault="009F3FE4">
      <w:pPr>
        <w:pBdr>
          <w:top w:val="nil"/>
          <w:left w:val="nil"/>
          <w:bottom w:val="nil"/>
          <w:right w:val="nil"/>
          <w:between w:val="nil"/>
        </w:pBdr>
        <w:spacing w:before="240" w:after="240" w:line="276" w:lineRule="auto"/>
        <w:ind w:left="567" w:right="1043"/>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“Artículo 179</w:t>
      </w:r>
      <w:r w:rsidRPr="00452F32">
        <w:rPr>
          <w:rFonts w:ascii="Palatino Linotype" w:eastAsia="Palatino Linotype" w:hAnsi="Palatino Linotype" w:cs="Palatino Linotype"/>
          <w:i/>
          <w:sz w:val="22"/>
          <w:szCs w:val="22"/>
        </w:rPr>
        <w:t xml:space="preserve">. </w:t>
      </w:r>
      <w:r w:rsidRPr="00452F32">
        <w:rPr>
          <w:rFonts w:ascii="Palatino Linotype" w:eastAsia="Palatino Linotype" w:hAnsi="Palatino Linotype" w:cs="Palatino Linotype"/>
          <w:b/>
          <w:i/>
          <w:sz w:val="22"/>
          <w:szCs w:val="22"/>
        </w:rPr>
        <w:t>El recurso de revisión</w:t>
      </w:r>
      <w:r w:rsidRPr="00452F3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52F32">
        <w:rPr>
          <w:rFonts w:ascii="Palatino Linotype" w:eastAsia="Palatino Linotype" w:hAnsi="Palatino Linotype" w:cs="Palatino Linotype"/>
          <w:b/>
          <w:i/>
          <w:sz w:val="22"/>
          <w:szCs w:val="22"/>
        </w:rPr>
        <w:t>, y procederá en contra de las siguientes causas</w:t>
      </w:r>
      <w:r w:rsidRPr="00452F32">
        <w:rPr>
          <w:rFonts w:ascii="Palatino Linotype" w:eastAsia="Palatino Linotype" w:hAnsi="Palatino Linotype" w:cs="Palatino Linotype"/>
          <w:i/>
          <w:sz w:val="22"/>
          <w:szCs w:val="22"/>
        </w:rPr>
        <w:t>:</w:t>
      </w:r>
    </w:p>
    <w:p w:rsidR="00FE164B" w:rsidRPr="00452F32" w:rsidRDefault="009F3FE4">
      <w:pPr>
        <w:numPr>
          <w:ilvl w:val="0"/>
          <w:numId w:val="7"/>
        </w:numPr>
        <w:pBdr>
          <w:top w:val="nil"/>
          <w:left w:val="nil"/>
          <w:bottom w:val="nil"/>
          <w:right w:val="nil"/>
          <w:between w:val="nil"/>
        </w:pBdr>
        <w:spacing w:before="240" w:line="276" w:lineRule="auto"/>
        <w:ind w:left="567" w:right="1043" w:hanging="141"/>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La negativa a la información solicitada;</w:t>
      </w:r>
    </w:p>
    <w:p w:rsidR="00FE164B" w:rsidRPr="00452F32" w:rsidRDefault="009F3FE4">
      <w:pPr>
        <w:numPr>
          <w:ilvl w:val="0"/>
          <w:numId w:val="7"/>
        </w:numPr>
        <w:pBdr>
          <w:top w:val="nil"/>
          <w:left w:val="nil"/>
          <w:bottom w:val="nil"/>
          <w:right w:val="nil"/>
          <w:between w:val="nil"/>
        </w:pBdr>
        <w:spacing w:after="240" w:line="276" w:lineRule="auto"/>
        <w:ind w:left="567" w:right="1043" w:hanging="283"/>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 </w:t>
      </w:r>
      <w:r w:rsidRPr="00452F32">
        <w:rPr>
          <w:rFonts w:ascii="Palatino Linotype" w:eastAsia="Palatino Linotype" w:hAnsi="Palatino Linotype" w:cs="Palatino Linotype"/>
          <w:b/>
          <w:i/>
          <w:sz w:val="22"/>
          <w:szCs w:val="22"/>
        </w:rPr>
        <w:t>La clasificación de la información;”</w:t>
      </w:r>
      <w:r w:rsidRPr="00452F32">
        <w:rPr>
          <w:rFonts w:ascii="Palatino Linotype" w:eastAsia="Palatino Linotype" w:hAnsi="Palatino Linotype" w:cs="Palatino Linotype"/>
          <w:i/>
          <w:sz w:val="22"/>
          <w:szCs w:val="22"/>
        </w:rPr>
        <w:t xml:space="preserve"> (Sic)</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 xml:space="preserve">Tercero. Materia de la revisión. </w:t>
      </w:r>
      <w:r w:rsidRPr="00452F3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52F3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52F32">
        <w:rPr>
          <w:rFonts w:ascii="Palatino Linotype" w:eastAsia="Palatino Linotype" w:hAnsi="Palatino Linotype" w:cs="Palatino Linotype"/>
        </w:rPr>
        <w:t xml:space="preserve">de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o en su defecto, en caso de ser procedente, ordenar la entrega de información oportuna.</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b/>
        </w:rPr>
        <w:t xml:space="preserve">Cuarto. Estudio del asunto. </w:t>
      </w:r>
      <w:r w:rsidRPr="00452F32">
        <w:rPr>
          <w:rFonts w:ascii="Palatino Linotype" w:eastAsia="Palatino Linotype" w:hAnsi="Palatino Linotype" w:cs="Palatino Linotype"/>
        </w:rPr>
        <w:t xml:space="preserve">Antes de entrar al análisis de los pronunciamientos del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E164B" w:rsidRPr="00452F32" w:rsidRDefault="009F3FE4">
      <w:pPr>
        <w:pBdr>
          <w:top w:val="nil"/>
          <w:left w:val="nil"/>
          <w:bottom w:val="nil"/>
          <w:right w:val="nil"/>
          <w:between w:val="nil"/>
        </w:pBdr>
        <w:spacing w:before="240" w:after="240"/>
        <w:ind w:left="851" w:right="850"/>
        <w:jc w:val="both"/>
      </w:pPr>
      <w:r w:rsidRPr="00452F32">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452F3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E164B" w:rsidRPr="00452F32" w:rsidRDefault="009F3FE4">
      <w:pPr>
        <w:pBdr>
          <w:top w:val="nil"/>
          <w:left w:val="nil"/>
          <w:bottom w:val="nil"/>
          <w:right w:val="nil"/>
          <w:between w:val="nil"/>
        </w:pBdr>
        <w:spacing w:before="240" w:after="240"/>
        <w:ind w:left="851" w:right="850"/>
        <w:jc w:val="both"/>
      </w:pPr>
      <w:r w:rsidRPr="00452F3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E164B" w:rsidRPr="00452F32" w:rsidRDefault="009F3FE4">
      <w:pPr>
        <w:pBdr>
          <w:top w:val="nil"/>
          <w:left w:val="nil"/>
          <w:bottom w:val="nil"/>
          <w:right w:val="nil"/>
          <w:between w:val="nil"/>
        </w:pBdr>
        <w:spacing w:before="240" w:after="240"/>
        <w:ind w:left="851" w:right="850"/>
        <w:jc w:val="both"/>
      </w:pPr>
      <w:r w:rsidRPr="00452F3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52F3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E164B" w:rsidRPr="00452F32" w:rsidRDefault="009F3FE4">
      <w:pPr>
        <w:pBdr>
          <w:top w:val="nil"/>
          <w:left w:val="nil"/>
          <w:bottom w:val="nil"/>
          <w:right w:val="nil"/>
          <w:between w:val="nil"/>
        </w:pBdr>
        <w:spacing w:before="240" w:after="240"/>
        <w:ind w:left="851" w:right="850"/>
        <w:jc w:val="both"/>
      </w:pPr>
      <w:r w:rsidRPr="00452F32">
        <w:rPr>
          <w:rFonts w:ascii="Palatino Linotype" w:eastAsia="Palatino Linotype" w:hAnsi="Palatino Linotype" w:cs="Palatino Linotype"/>
          <w:i/>
          <w:sz w:val="22"/>
          <w:szCs w:val="22"/>
        </w:rPr>
        <w:t>[…]</w:t>
      </w:r>
    </w:p>
    <w:p w:rsidR="00FE164B" w:rsidRPr="00452F32" w:rsidRDefault="009F3FE4">
      <w:pPr>
        <w:pBdr>
          <w:top w:val="nil"/>
          <w:left w:val="nil"/>
          <w:bottom w:val="nil"/>
          <w:right w:val="nil"/>
          <w:between w:val="nil"/>
        </w:pBdr>
        <w:spacing w:before="240" w:after="240"/>
        <w:ind w:left="851" w:right="901"/>
        <w:jc w:val="both"/>
      </w:pPr>
      <w:r w:rsidRPr="00452F32">
        <w:rPr>
          <w:rFonts w:ascii="Palatino Linotype" w:eastAsia="Palatino Linotype" w:hAnsi="Palatino Linotype" w:cs="Palatino Linotype"/>
          <w:b/>
          <w:i/>
          <w:sz w:val="22"/>
          <w:szCs w:val="22"/>
        </w:rPr>
        <w:t>“Artículo 6o.</w:t>
      </w:r>
    </w:p>
    <w:p w:rsidR="00FE164B" w:rsidRPr="00452F32" w:rsidRDefault="009F3FE4">
      <w:pPr>
        <w:pBdr>
          <w:top w:val="nil"/>
          <w:left w:val="nil"/>
          <w:bottom w:val="nil"/>
          <w:right w:val="nil"/>
          <w:between w:val="nil"/>
        </w:pBdr>
        <w:spacing w:before="240" w:after="240"/>
        <w:ind w:left="851" w:right="901"/>
        <w:jc w:val="both"/>
      </w:pPr>
      <w:r w:rsidRPr="00452F32">
        <w:rPr>
          <w:rFonts w:ascii="Palatino Linotype" w:eastAsia="Palatino Linotype" w:hAnsi="Palatino Linotype" w:cs="Palatino Linotype"/>
          <w:i/>
          <w:sz w:val="22"/>
          <w:szCs w:val="22"/>
        </w:rPr>
        <w:t>[...]</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b/>
          <w:i/>
          <w:sz w:val="22"/>
          <w:szCs w:val="22"/>
        </w:rPr>
        <w:t xml:space="preserve">A. Para el ejercicio del derecho de acceso a la información, la Federación y </w:t>
      </w:r>
      <w:r w:rsidRPr="00452F32">
        <w:rPr>
          <w:rFonts w:ascii="Palatino Linotype" w:eastAsia="Palatino Linotype" w:hAnsi="Palatino Linotype" w:cs="Palatino Linotype"/>
          <w:b/>
          <w:i/>
          <w:sz w:val="22"/>
          <w:szCs w:val="22"/>
          <w:u w:val="single"/>
        </w:rPr>
        <w:t>las entidades federativas</w:t>
      </w:r>
      <w:r w:rsidRPr="00452F32">
        <w:rPr>
          <w:rFonts w:ascii="Palatino Linotype" w:eastAsia="Palatino Linotype" w:hAnsi="Palatino Linotype" w:cs="Palatino Linotype"/>
          <w:b/>
          <w:i/>
          <w:sz w:val="22"/>
          <w:szCs w:val="22"/>
        </w:rPr>
        <w:t>,</w:t>
      </w:r>
      <w:r w:rsidRPr="00452F32">
        <w:rPr>
          <w:rFonts w:ascii="Palatino Linotype" w:eastAsia="Palatino Linotype" w:hAnsi="Palatino Linotype" w:cs="Palatino Linotype"/>
          <w:i/>
          <w:sz w:val="22"/>
          <w:szCs w:val="22"/>
        </w:rPr>
        <w:t xml:space="preserve"> en el ámbito de sus respectivas competencias, se regirán por los siguientes principios y bases:</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t> </w:t>
      </w:r>
      <w:r w:rsidRPr="00452F32">
        <w:rPr>
          <w:rFonts w:ascii="Palatino Linotype" w:eastAsia="Palatino Linotype" w:hAnsi="Palatino Linotype" w:cs="Palatino Linotype"/>
          <w:b/>
          <w:i/>
          <w:sz w:val="22"/>
          <w:szCs w:val="22"/>
        </w:rPr>
        <w:t xml:space="preserve">I. </w:t>
      </w:r>
      <w:r w:rsidRPr="00452F3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52F32">
        <w:rPr>
          <w:rFonts w:ascii="Palatino Linotype" w:eastAsia="Palatino Linotype" w:hAnsi="Palatino Linotype" w:cs="Palatino Linotype"/>
          <w:i/>
          <w:sz w:val="22"/>
          <w:szCs w:val="22"/>
        </w:rPr>
        <w:t xml:space="preserve"> Ejecutivo, Legislativo </w:t>
      </w:r>
      <w:r w:rsidRPr="00452F32">
        <w:rPr>
          <w:rFonts w:ascii="Palatino Linotype" w:eastAsia="Palatino Linotype" w:hAnsi="Palatino Linotype" w:cs="Palatino Linotype"/>
          <w:b/>
          <w:i/>
          <w:sz w:val="22"/>
          <w:szCs w:val="22"/>
          <w:u w:val="single"/>
        </w:rPr>
        <w:t>y Judicial</w:t>
      </w:r>
      <w:r w:rsidRPr="00452F3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52F32">
        <w:rPr>
          <w:rFonts w:ascii="Palatino Linotype" w:eastAsia="Palatino Linotype" w:hAnsi="Palatino Linotype" w:cs="Palatino Linotype"/>
          <w:b/>
          <w:i/>
          <w:sz w:val="22"/>
          <w:szCs w:val="22"/>
        </w:rPr>
        <w:t>es pública y sólo podrá ser reservada temporalmente por razones de interés público y seguridad nacional,</w:t>
      </w:r>
      <w:r w:rsidRPr="00452F3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lastRenderedPageBreak/>
        <w:t> </w:t>
      </w:r>
      <w:r w:rsidRPr="00452F3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t> </w:t>
      </w:r>
      <w:r w:rsidRPr="00452F32">
        <w:rPr>
          <w:rFonts w:ascii="Palatino Linotype" w:eastAsia="Palatino Linotype" w:hAnsi="Palatino Linotype" w:cs="Palatino Linotype"/>
          <w:b/>
          <w:i/>
          <w:sz w:val="22"/>
          <w:szCs w:val="22"/>
        </w:rPr>
        <w:t xml:space="preserve">III. </w:t>
      </w:r>
      <w:r w:rsidRPr="00452F3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52F32">
        <w:rPr>
          <w:rFonts w:ascii="Palatino Linotype" w:eastAsia="Palatino Linotype" w:hAnsi="Palatino Linotype" w:cs="Palatino Linotype"/>
          <w:i/>
          <w:sz w:val="22"/>
          <w:szCs w:val="22"/>
        </w:rPr>
        <w:t xml:space="preserve"> a sus datos personales o a la rectificación de éstos.</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t> </w:t>
      </w:r>
      <w:r w:rsidRPr="00452F32">
        <w:rPr>
          <w:rFonts w:ascii="Palatino Linotype" w:eastAsia="Palatino Linotype" w:hAnsi="Palatino Linotype" w:cs="Palatino Linotype"/>
          <w:b/>
          <w:i/>
          <w:sz w:val="22"/>
          <w:szCs w:val="22"/>
        </w:rPr>
        <w:t xml:space="preserve">IV. </w:t>
      </w:r>
      <w:r w:rsidRPr="00452F3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b/>
          <w:i/>
          <w:sz w:val="22"/>
          <w:szCs w:val="22"/>
        </w:rPr>
        <w:t xml:space="preserve">V. </w:t>
      </w:r>
      <w:r w:rsidRPr="00452F3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t> </w:t>
      </w:r>
      <w:r w:rsidRPr="00452F32">
        <w:rPr>
          <w:rFonts w:ascii="Palatino Linotype" w:eastAsia="Palatino Linotype" w:hAnsi="Palatino Linotype" w:cs="Palatino Linotype"/>
          <w:b/>
          <w:i/>
          <w:sz w:val="22"/>
          <w:szCs w:val="22"/>
        </w:rPr>
        <w:t xml:space="preserve">VI. </w:t>
      </w:r>
      <w:r w:rsidRPr="00452F3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E164B" w:rsidRPr="00452F32" w:rsidRDefault="009F3FE4">
      <w:pPr>
        <w:pBdr>
          <w:top w:val="nil"/>
          <w:left w:val="nil"/>
          <w:bottom w:val="nil"/>
          <w:right w:val="nil"/>
          <w:between w:val="nil"/>
        </w:pBdr>
        <w:spacing w:before="240" w:after="240"/>
        <w:ind w:left="851" w:right="851"/>
        <w:jc w:val="both"/>
      </w:pPr>
      <w:r w:rsidRPr="00452F32">
        <w:rPr>
          <w:rFonts w:ascii="Palatino Linotype" w:eastAsia="Palatino Linotype" w:hAnsi="Palatino Linotype" w:cs="Palatino Linotype"/>
          <w:i/>
          <w:sz w:val="22"/>
          <w:szCs w:val="22"/>
        </w:rPr>
        <w:t> </w:t>
      </w:r>
      <w:r w:rsidRPr="00452F32">
        <w:rPr>
          <w:rFonts w:ascii="Palatino Linotype" w:eastAsia="Palatino Linotype" w:hAnsi="Palatino Linotype" w:cs="Palatino Linotype"/>
          <w:b/>
          <w:i/>
          <w:sz w:val="22"/>
          <w:szCs w:val="22"/>
        </w:rPr>
        <w:t xml:space="preserve">VII. </w:t>
      </w:r>
      <w:r w:rsidRPr="00452F3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E164B" w:rsidRPr="00452F32" w:rsidRDefault="009F3FE4">
      <w:pPr>
        <w:pBdr>
          <w:top w:val="nil"/>
          <w:left w:val="nil"/>
          <w:bottom w:val="nil"/>
          <w:right w:val="nil"/>
          <w:between w:val="nil"/>
        </w:pBdr>
        <w:spacing w:before="240" w:after="240"/>
        <w:ind w:left="709" w:right="760"/>
        <w:jc w:val="both"/>
      </w:pPr>
      <w:r w:rsidRPr="00452F32">
        <w:rPr>
          <w:rFonts w:ascii="Palatino Linotype" w:eastAsia="Palatino Linotype" w:hAnsi="Palatino Linotype" w:cs="Palatino Linotype"/>
          <w:i/>
          <w:sz w:val="22"/>
          <w:szCs w:val="22"/>
        </w:rPr>
        <w:lastRenderedPageBreak/>
        <w:t>“</w:t>
      </w:r>
      <w:r w:rsidRPr="00452F32">
        <w:rPr>
          <w:rFonts w:ascii="Palatino Linotype" w:eastAsia="Palatino Linotype" w:hAnsi="Palatino Linotype" w:cs="Palatino Linotype"/>
          <w:b/>
          <w:i/>
          <w:sz w:val="22"/>
          <w:szCs w:val="22"/>
        </w:rPr>
        <w:t>Artículo 4</w:t>
      </w:r>
      <w:r w:rsidRPr="00452F3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E164B" w:rsidRPr="00452F32" w:rsidRDefault="009F3FE4">
      <w:pPr>
        <w:pBdr>
          <w:top w:val="nil"/>
          <w:left w:val="nil"/>
          <w:bottom w:val="nil"/>
          <w:right w:val="nil"/>
          <w:between w:val="nil"/>
        </w:pBdr>
        <w:spacing w:before="240" w:after="240"/>
        <w:ind w:left="709" w:right="760"/>
        <w:jc w:val="both"/>
      </w:pPr>
      <w:r w:rsidRPr="00452F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E164B" w:rsidRPr="00452F32" w:rsidRDefault="009F3FE4">
      <w:pPr>
        <w:pBdr>
          <w:top w:val="nil"/>
          <w:left w:val="nil"/>
          <w:bottom w:val="nil"/>
          <w:right w:val="nil"/>
          <w:between w:val="nil"/>
        </w:pBdr>
        <w:spacing w:before="240" w:after="240"/>
        <w:ind w:left="709" w:right="760"/>
        <w:jc w:val="both"/>
      </w:pPr>
      <w:r w:rsidRPr="00452F3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E164B" w:rsidRPr="00452F32" w:rsidRDefault="009F3FE4">
      <w:pPr>
        <w:pBdr>
          <w:top w:val="nil"/>
          <w:left w:val="nil"/>
          <w:bottom w:val="nil"/>
          <w:right w:val="nil"/>
          <w:between w:val="nil"/>
        </w:pBdr>
        <w:spacing w:before="240" w:after="240"/>
        <w:ind w:left="567" w:right="758"/>
        <w:jc w:val="both"/>
      </w:pPr>
      <w:r w:rsidRPr="00452F32">
        <w:rPr>
          <w:rFonts w:ascii="Palatino Linotype" w:eastAsia="Palatino Linotype" w:hAnsi="Palatino Linotype" w:cs="Palatino Linotype"/>
          <w:i/>
          <w:sz w:val="22"/>
          <w:szCs w:val="22"/>
        </w:rPr>
        <w:t>“</w:t>
      </w:r>
      <w:r w:rsidRPr="00452F32">
        <w:rPr>
          <w:rFonts w:ascii="Palatino Linotype" w:eastAsia="Palatino Linotype" w:hAnsi="Palatino Linotype" w:cs="Palatino Linotype"/>
          <w:b/>
          <w:i/>
          <w:sz w:val="22"/>
          <w:szCs w:val="22"/>
        </w:rPr>
        <w:t>Artículo 12</w:t>
      </w:r>
      <w:r w:rsidRPr="00452F3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FE164B" w:rsidRPr="00452F32" w:rsidRDefault="009F3FE4">
      <w:pPr>
        <w:pBdr>
          <w:top w:val="nil"/>
          <w:left w:val="nil"/>
          <w:bottom w:val="nil"/>
          <w:right w:val="nil"/>
          <w:between w:val="nil"/>
        </w:pBdr>
        <w:spacing w:before="240" w:after="240"/>
        <w:ind w:left="567" w:right="758"/>
        <w:jc w:val="both"/>
      </w:pPr>
      <w:r w:rsidRPr="00452F3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452F32">
        <w:rPr>
          <w:rFonts w:ascii="Palatino Linotype" w:eastAsia="Palatino Linotype" w:hAnsi="Palatino Linotype" w:cs="Palatino Linotype"/>
          <w:b/>
        </w:rPr>
        <w:t xml:space="preserve"> </w:t>
      </w:r>
      <w:r w:rsidRPr="00452F3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452F32">
        <w:rPr>
          <w:rFonts w:ascii="Palatino Linotype" w:eastAsia="Palatino Linotype" w:hAnsi="Palatino Linotype" w:cs="Palatino Linotype"/>
          <w:i/>
        </w:rPr>
        <w:t>ad hoc</w:t>
      </w:r>
      <w:r w:rsidRPr="00452F3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b/>
          <w:i/>
          <w:sz w:val="22"/>
          <w:szCs w:val="22"/>
        </w:rPr>
        <w:t>03/17</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b/>
          <w:i/>
          <w:sz w:val="22"/>
          <w:szCs w:val="22"/>
        </w:rPr>
        <w:t>“NO EXISTE OBLIGACIÓN DE ELABORAR DOCUMENTOS AD HOC PARA ATENDER LAS SOLICITUDES DE ACCESO A LA INFORMACIÓN.</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E164B" w:rsidRPr="00452F32" w:rsidRDefault="009F3FE4">
      <w:pPr>
        <w:pBdr>
          <w:top w:val="nil"/>
          <w:left w:val="nil"/>
          <w:bottom w:val="nil"/>
          <w:right w:val="nil"/>
          <w:between w:val="nil"/>
        </w:pBdr>
        <w:spacing w:before="240" w:after="240" w:line="360" w:lineRule="auto"/>
        <w:ind w:right="49"/>
        <w:jc w:val="both"/>
      </w:pPr>
      <w:r w:rsidRPr="00452F32">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i/>
          <w:sz w:val="22"/>
          <w:szCs w:val="22"/>
        </w:rPr>
        <w:t>“</w:t>
      </w:r>
      <w:r w:rsidRPr="00452F32">
        <w:rPr>
          <w:rFonts w:ascii="Palatino Linotype" w:eastAsia="Palatino Linotype" w:hAnsi="Palatino Linotype" w:cs="Palatino Linotype"/>
          <w:b/>
          <w:i/>
          <w:sz w:val="22"/>
          <w:szCs w:val="22"/>
        </w:rPr>
        <w:t xml:space="preserve">Artículo 3. </w:t>
      </w:r>
      <w:r w:rsidRPr="00452F32">
        <w:rPr>
          <w:rFonts w:ascii="Palatino Linotype" w:eastAsia="Palatino Linotype" w:hAnsi="Palatino Linotype" w:cs="Palatino Linotype"/>
          <w:i/>
          <w:sz w:val="22"/>
          <w:szCs w:val="22"/>
        </w:rPr>
        <w:t>Para los efectos de la presente Ley se entenderá por:</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i/>
          <w:sz w:val="22"/>
          <w:szCs w:val="22"/>
        </w:rPr>
        <w:t>…</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b/>
          <w:i/>
          <w:sz w:val="22"/>
          <w:szCs w:val="22"/>
        </w:rPr>
        <w:t>XI. Documento:</w:t>
      </w:r>
      <w:r w:rsidRPr="00452F3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52F32">
        <w:rPr>
          <w:rFonts w:ascii="Palatino Linotype" w:eastAsia="Palatino Linotype" w:hAnsi="Palatino Linotype" w:cs="Palatino Linotype"/>
          <w:b/>
          <w:i/>
          <w:sz w:val="22"/>
          <w:szCs w:val="22"/>
        </w:rPr>
        <w:t>…</w:t>
      </w:r>
      <w:r w:rsidRPr="00452F32">
        <w:rPr>
          <w:rFonts w:ascii="Palatino Linotype" w:eastAsia="Palatino Linotype" w:hAnsi="Palatino Linotype" w:cs="Palatino Linotype"/>
          <w:i/>
          <w:sz w:val="22"/>
          <w:szCs w:val="22"/>
        </w:rPr>
        <w:t>” (Sic)</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b/>
          <w:sz w:val="22"/>
          <w:szCs w:val="22"/>
        </w:rPr>
        <w:t>“</w:t>
      </w:r>
      <w:r w:rsidRPr="00452F32">
        <w:rPr>
          <w:rFonts w:ascii="Palatino Linotype" w:eastAsia="Palatino Linotype" w:hAnsi="Palatino Linotype" w:cs="Palatino Linotype"/>
          <w:b/>
          <w:i/>
          <w:sz w:val="22"/>
          <w:szCs w:val="22"/>
        </w:rPr>
        <w:t>CRITERIO 0002-11</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52F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E164B" w:rsidRPr="00452F32" w:rsidRDefault="009F3FE4">
      <w:pPr>
        <w:pBdr>
          <w:top w:val="nil"/>
          <w:left w:val="nil"/>
          <w:bottom w:val="nil"/>
          <w:right w:val="nil"/>
          <w:between w:val="nil"/>
        </w:pBdr>
        <w:spacing w:before="240" w:after="240"/>
        <w:ind w:left="567" w:right="567"/>
        <w:jc w:val="both"/>
      </w:pPr>
      <w:r w:rsidRPr="00452F3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E164B" w:rsidRPr="00452F32" w:rsidRDefault="009F3FE4">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FE164B" w:rsidRPr="00452F32" w:rsidRDefault="009F3FE4">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FE164B" w:rsidRPr="00452F32" w:rsidRDefault="009F3FE4">
      <w:pPr>
        <w:pBdr>
          <w:top w:val="nil"/>
          <w:left w:val="nil"/>
          <w:bottom w:val="nil"/>
          <w:right w:val="nil"/>
          <w:between w:val="nil"/>
        </w:pBdr>
        <w:spacing w:before="240" w:after="240"/>
        <w:ind w:left="567" w:right="567" w:hanging="284"/>
        <w:jc w:val="both"/>
      </w:pPr>
      <w:r w:rsidRPr="00452F32">
        <w:rPr>
          <w:rFonts w:ascii="Palatino Linotype" w:eastAsia="Palatino Linotype" w:hAnsi="Palatino Linotype" w:cs="Palatino Linotype"/>
          <w:i/>
          <w:sz w:val="22"/>
          <w:szCs w:val="22"/>
        </w:rPr>
        <w:t xml:space="preserve">3. </w:t>
      </w:r>
      <w:r w:rsidRPr="00452F3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 xml:space="preserve">De ahí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w:t>
      </w:r>
      <w:r w:rsidRPr="00452F32">
        <w:rPr>
          <w:rFonts w:ascii="Palatino Linotype" w:eastAsia="Palatino Linotype" w:hAnsi="Palatino Linotype" w:cs="Palatino Linotype"/>
        </w:rPr>
        <w:lastRenderedPageBreak/>
        <w:t>aquella que resulta relevante o beneficiosa para la sociedad y no simplemente de interés individual, y cuya divulgación resulta útil para que el público comprenda las actividades que llevan a cabo los Sujetos Obligados.</w:t>
      </w:r>
    </w:p>
    <w:p w:rsidR="00FE164B" w:rsidRPr="00452F32" w:rsidRDefault="009F3FE4">
      <w:pPr>
        <w:pBdr>
          <w:top w:val="nil"/>
          <w:left w:val="nil"/>
          <w:bottom w:val="nil"/>
          <w:right w:val="nil"/>
          <w:between w:val="nil"/>
        </w:pBdr>
        <w:spacing w:before="240" w:after="240" w:line="360" w:lineRule="auto"/>
        <w:jc w:val="both"/>
      </w:pPr>
      <w:r w:rsidRPr="00452F32">
        <w:rPr>
          <w:rFonts w:ascii="Palatino Linotype" w:eastAsia="Palatino Linotype" w:hAnsi="Palatino Linotype" w:cs="Palatino Linotype"/>
        </w:rPr>
        <w:t xml:space="preserve">Ahora bien, para profundizar en el estudio del presente asunto, es conveniente recordar que la parte solicitante requirió al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le proporcionara lo siguiente:</w:t>
      </w:r>
    </w:p>
    <w:p w:rsidR="00FE164B" w:rsidRPr="00452F32" w:rsidRDefault="009F3FE4">
      <w:pPr>
        <w:numPr>
          <w:ilvl w:val="0"/>
          <w:numId w:val="2"/>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rPr>
      </w:pPr>
      <w:r w:rsidRPr="00452F32">
        <w:rPr>
          <w:rFonts w:ascii="Palatino Linotype" w:eastAsia="Palatino Linotype" w:hAnsi="Palatino Linotype" w:cs="Palatino Linotype"/>
          <w:b/>
        </w:rPr>
        <w:t xml:space="preserve">Todas las autorizaciones de ruta que tenga la empresa Alianza de Transportistas Emiliano Zapata, S.A. de C.V. </w:t>
      </w:r>
    </w:p>
    <w:p w:rsidR="00FE164B" w:rsidRPr="00452F32" w:rsidRDefault="009F3FE4">
      <w:pPr>
        <w:spacing w:before="240" w:after="240" w:line="360" w:lineRule="auto"/>
        <w:ind w:right="-93"/>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en respuesta manifestó que la Dirección General de Movilidad Zona II solicitó la reserva de la información, asimismo refiere que remite copia del Acta de la Centésima Octogésima Segunda Sesión Extraordinaria del Comité de Transparencia celebrada el 31 de octubre del año en curso, que contiene la autorización de la reserva de la información, es de resaltar que dicha acta fue aprobada pero se encuentra en proceso de formalización, por lo que una vez que haya sido firmada, podrá localizarse en una liga electrónica que remitió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es de señalar que adjuntó a la respuesta dicha acta.</w:t>
      </w:r>
    </w:p>
    <w:p w:rsidR="00FE164B" w:rsidRPr="00452F32" w:rsidRDefault="009F3FE4">
      <w:pPr>
        <w:spacing w:before="240" w:after="240" w:line="360" w:lineRule="auto"/>
        <w:ind w:right="-93"/>
        <w:jc w:val="both"/>
        <w:rPr>
          <w:rFonts w:ascii="Palatino Linotype" w:eastAsia="Palatino Linotype" w:hAnsi="Palatino Linotype" w:cs="Palatino Linotype"/>
          <w:i/>
        </w:rPr>
      </w:pPr>
      <w:r w:rsidRPr="00452F32">
        <w:rPr>
          <w:rFonts w:ascii="Palatino Linotype" w:eastAsia="Palatino Linotype" w:hAnsi="Palatino Linotype" w:cs="Palatino Linotype"/>
        </w:rPr>
        <w:t xml:space="preserve">Una vez conocida la respuesta emitida por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452F32">
        <w:rPr>
          <w:rFonts w:ascii="Palatino Linotype" w:eastAsia="Palatino Linotype" w:hAnsi="Palatino Linotype" w:cs="Palatino Linotype"/>
          <w:i/>
        </w:rPr>
        <w:t>“</w:t>
      </w:r>
      <w:r w:rsidRPr="00452F32">
        <w:rPr>
          <w:rFonts w:ascii="Palatino Linotype" w:eastAsia="Palatino Linotype" w:hAnsi="Palatino Linotype" w:cs="Palatino Linotype"/>
          <w:b/>
          <w:i/>
        </w:rPr>
        <w:t>Niega la información que es pública con una acta sin validez</w:t>
      </w:r>
      <w:r w:rsidRPr="00452F32">
        <w:rPr>
          <w:rFonts w:ascii="Palatino Linotype" w:eastAsia="Palatino Linotype" w:hAnsi="Palatino Linotype" w:cs="Palatino Linotype"/>
          <w:i/>
        </w:rPr>
        <w:t xml:space="preserve">” (Sic) (Énfasis añadido) </w:t>
      </w:r>
      <w:r w:rsidRPr="00452F32">
        <w:rPr>
          <w:rFonts w:ascii="Palatino Linotype" w:eastAsia="Palatino Linotype" w:hAnsi="Palatino Linotype" w:cs="Palatino Linotype"/>
        </w:rPr>
        <w:t xml:space="preserve">es decir, su inconformidad medularmente versa sobre la negativa a entregar la información, así como su clasificación. </w:t>
      </w:r>
    </w:p>
    <w:p w:rsidR="00FE164B" w:rsidRPr="00452F32" w:rsidRDefault="009F3FE4">
      <w:pPr>
        <w:spacing w:before="240" w:after="240" w:line="360" w:lineRule="auto"/>
        <w:jc w:val="both"/>
        <w:rPr>
          <w:rFonts w:ascii="Palatino Linotype" w:eastAsia="Palatino Linotype" w:hAnsi="Palatino Linotype" w:cs="Palatino Linotype"/>
          <w:b/>
          <w:i/>
        </w:rPr>
      </w:pPr>
      <w:r w:rsidRPr="00452F32">
        <w:rPr>
          <w:rFonts w:ascii="Palatino Linotype" w:eastAsia="Palatino Linotype" w:hAnsi="Palatino Linotype" w:cs="Palatino Linotype"/>
        </w:rPr>
        <w:lastRenderedPageBreak/>
        <w:t xml:space="preserve">Una vez admitido el medio de impugnación que nos ocupa, se procedió a conjuntar el expediente electrónico, concediéndole a las partes un plazo de siete días para rendir sus alegatos, por lo que durante la etapa de manifestaciones, es de señalar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ratificó su respuesta inicial mientras que </w:t>
      </w:r>
      <w:r w:rsidRPr="00452F32">
        <w:rPr>
          <w:rFonts w:ascii="Palatino Linotype" w:eastAsia="Palatino Linotype" w:hAnsi="Palatino Linotype" w:cs="Palatino Linotype"/>
          <w:b/>
        </w:rPr>
        <w:t>la parte Recurrente</w:t>
      </w:r>
      <w:r w:rsidRPr="00452F32">
        <w:rPr>
          <w:rFonts w:ascii="Palatino Linotype" w:eastAsia="Palatino Linotype" w:hAnsi="Palatino Linotype" w:cs="Palatino Linotype"/>
        </w:rPr>
        <w:t xml:space="preserve"> fue omisa en emitiera algún alegato, pronunciamiento o cualquier manifestación que a su derecho conviniera por lo que se tiene por </w:t>
      </w:r>
      <w:proofErr w:type="spellStart"/>
      <w:r w:rsidRPr="00452F32">
        <w:rPr>
          <w:rFonts w:ascii="Palatino Linotype" w:eastAsia="Palatino Linotype" w:hAnsi="Palatino Linotype" w:cs="Palatino Linotype"/>
        </w:rPr>
        <w:t>precluido</w:t>
      </w:r>
      <w:proofErr w:type="spellEnd"/>
      <w:r w:rsidRPr="00452F32">
        <w:rPr>
          <w:rFonts w:ascii="Palatino Linotype" w:eastAsia="Palatino Linotype" w:hAnsi="Palatino Linotype" w:cs="Palatino Linotype"/>
        </w:rPr>
        <w:t xml:space="preserve"> su derecho para tal efecto.</w:t>
      </w:r>
    </w:p>
    <w:p w:rsidR="00FE164B" w:rsidRPr="00452F32" w:rsidRDefault="009F3FE4">
      <w:pPr>
        <w:pBdr>
          <w:top w:val="nil"/>
          <w:left w:val="nil"/>
          <w:bottom w:val="nil"/>
          <w:right w:val="nil"/>
          <w:between w:val="nil"/>
        </w:pBdr>
        <w:shd w:val="clear" w:color="auto" w:fill="FFFFFF"/>
        <w:spacing w:after="240" w:line="360" w:lineRule="auto"/>
        <w:jc w:val="both"/>
      </w:pPr>
      <w:bookmarkStart w:id="5" w:name="_heading=h.3rdcrjn" w:colFirst="0" w:colLast="0"/>
      <w:bookmarkEnd w:id="5"/>
      <w:r w:rsidRPr="00452F32">
        <w:rPr>
          <w:rFonts w:ascii="Palatino Linotype" w:eastAsia="Palatino Linotype" w:hAnsi="Palatino Linotype" w:cs="Palatino Linotype"/>
        </w:rPr>
        <w:t xml:space="preserve">Expuestas las posturas de las partes, resulta importante iniciar este análisis mencionando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no niega la competencia para conocer de la información solicitada, sino por el contrario, con el pronunciamiento proporcionado por</w:t>
      </w:r>
      <w:r w:rsidRPr="00452F32">
        <w:rPr>
          <w:rFonts w:ascii="Palatino Linotype" w:eastAsia="Palatino Linotype" w:hAnsi="Palatino Linotype" w:cs="Palatino Linotype"/>
          <w:b/>
        </w:rPr>
        <w:t xml:space="preserve"> el Titular de la Dirección General de Movilidad Zona II</w:t>
      </w:r>
      <w:r w:rsidRPr="00452F32">
        <w:rPr>
          <w:rFonts w:ascii="Palatino Linotype" w:eastAsia="Palatino Linotype" w:hAnsi="Palatino Linotype" w:cs="Palatino Linotype"/>
        </w:rPr>
        <w:t>, en su carácter de servidor público habilitado asevera que es competente para conocer de la solicitud de información</w:t>
      </w:r>
      <w:r w:rsidRPr="00452F32">
        <w:rPr>
          <w:rFonts w:ascii="Palatino Linotype" w:eastAsia="Palatino Linotype" w:hAnsi="Palatino Linotype" w:cs="Palatino Linotype"/>
          <w:i/>
        </w:rPr>
        <w:t xml:space="preserve">, </w:t>
      </w:r>
      <w:r w:rsidRPr="00452F32">
        <w:rPr>
          <w:rFonts w:ascii="Palatino Linotype" w:eastAsia="Palatino Linotype" w:hAnsi="Palatino Linotype" w:cs="Palatino Linotype"/>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FE164B" w:rsidRPr="00452F32" w:rsidRDefault="009F3FE4">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452F32">
        <w:rPr>
          <w:rFonts w:ascii="Palatino Linotype" w:eastAsia="Palatino Linotype" w:hAnsi="Palatino Linotype" w:cs="Palatino Linotype"/>
          <w:i/>
          <w:sz w:val="22"/>
          <w:szCs w:val="22"/>
        </w:rPr>
        <w:t xml:space="preserve"> en los términos de las disposiciones jurídicas aplicables.” </w:t>
      </w:r>
    </w:p>
    <w:p w:rsidR="00FE164B" w:rsidRPr="00452F32" w:rsidRDefault="009F3FE4">
      <w:pPr>
        <w:spacing w:after="240" w:line="360" w:lineRule="auto"/>
        <w:ind w:right="49"/>
        <w:jc w:val="both"/>
        <w:rPr>
          <w:rFonts w:ascii="Palatino Linotype" w:eastAsia="Palatino Linotype" w:hAnsi="Palatino Linotype" w:cs="Palatino Linotype"/>
        </w:rPr>
      </w:pPr>
      <w:r w:rsidRPr="00452F32">
        <w:rPr>
          <w:rFonts w:ascii="Palatino Linotype" w:eastAsia="Palatino Linotype" w:hAnsi="Palatino Linotype" w:cs="Palatino Linotype"/>
        </w:rPr>
        <w:t>Asimismo, resulta pertinente traer a colación el siguiente criterio SO/029/2010 emitido por el Instituto Nacional de Transparencia, Acceso a la Información y Protección de Datos Personales:</w:t>
      </w:r>
    </w:p>
    <w:p w:rsidR="00FE164B" w:rsidRPr="00452F32" w:rsidRDefault="009F3FE4">
      <w:pPr>
        <w:spacing w:after="240"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lastRenderedPageBreak/>
        <w:t>“La clasificación y la inexistencia de información son conceptos que no pueden coexistir.</w:t>
      </w:r>
      <w:r w:rsidRPr="00452F32">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Ahora bien, en el asunto que nos ocupa concerniente a las autorizaciones de ruta que tenga la empresa Alianza de Transportistas Emiliano Zapata, S.A. de C.V, se tiene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remitió el soporte documental electrónico denominado </w:t>
      </w:r>
      <w:r w:rsidRPr="00452F32">
        <w:rPr>
          <w:rFonts w:ascii="Palatino Linotype" w:eastAsia="Palatino Linotype" w:hAnsi="Palatino Linotype" w:cs="Palatino Linotype"/>
          <w:b/>
          <w:i/>
          <w:sz w:val="22"/>
          <w:szCs w:val="22"/>
        </w:rPr>
        <w:t xml:space="preserve">“Acta 182a </w:t>
      </w:r>
      <w:proofErr w:type="spellStart"/>
      <w:r w:rsidRPr="00452F32">
        <w:rPr>
          <w:rFonts w:ascii="Palatino Linotype" w:eastAsia="Palatino Linotype" w:hAnsi="Palatino Linotype" w:cs="Palatino Linotype"/>
          <w:b/>
          <w:i/>
          <w:sz w:val="22"/>
          <w:szCs w:val="22"/>
        </w:rPr>
        <w:t>Extraord</w:t>
      </w:r>
      <w:proofErr w:type="spellEnd"/>
      <w:r w:rsidRPr="00452F32">
        <w:rPr>
          <w:rFonts w:ascii="Palatino Linotype" w:eastAsia="Palatino Linotype" w:hAnsi="Palatino Linotype" w:cs="Palatino Linotype"/>
          <w:b/>
          <w:i/>
          <w:sz w:val="22"/>
          <w:szCs w:val="22"/>
        </w:rPr>
        <w:t xml:space="preserve"> </w:t>
      </w:r>
      <w:proofErr w:type="spellStart"/>
      <w:r w:rsidRPr="00452F32">
        <w:rPr>
          <w:rFonts w:ascii="Palatino Linotype" w:eastAsia="Palatino Linotype" w:hAnsi="Palatino Linotype" w:cs="Palatino Linotype"/>
          <w:b/>
          <w:i/>
          <w:sz w:val="22"/>
          <w:szCs w:val="22"/>
        </w:rPr>
        <w:t>Solic</w:t>
      </w:r>
      <w:proofErr w:type="spellEnd"/>
      <w:r w:rsidRPr="00452F32">
        <w:rPr>
          <w:rFonts w:ascii="Palatino Linotype" w:eastAsia="Palatino Linotype" w:hAnsi="Palatino Linotype" w:cs="Palatino Linotype"/>
          <w:b/>
          <w:i/>
          <w:sz w:val="22"/>
          <w:szCs w:val="22"/>
        </w:rPr>
        <w:t xml:space="preserve"> 00524 (Reserva).</w:t>
      </w:r>
      <w:proofErr w:type="spellStart"/>
      <w:r w:rsidRPr="00452F32">
        <w:rPr>
          <w:rFonts w:ascii="Palatino Linotype" w:eastAsia="Palatino Linotype" w:hAnsi="Palatino Linotype" w:cs="Palatino Linotype"/>
          <w:b/>
          <w:i/>
          <w:sz w:val="22"/>
          <w:szCs w:val="22"/>
        </w:rPr>
        <w:t>pdf</w:t>
      </w:r>
      <w:proofErr w:type="spellEnd"/>
      <w:r w:rsidRPr="00452F32">
        <w:rPr>
          <w:rFonts w:ascii="Palatino Linotype" w:eastAsia="Palatino Linotype" w:hAnsi="Palatino Linotype" w:cs="Palatino Linotype"/>
          <w:b/>
          <w:i/>
          <w:sz w:val="22"/>
          <w:szCs w:val="22"/>
        </w:rPr>
        <w:t xml:space="preserve">”, </w:t>
      </w:r>
      <w:r w:rsidRPr="00452F32">
        <w:rPr>
          <w:rFonts w:ascii="Palatino Linotype" w:eastAsia="Palatino Linotype" w:hAnsi="Palatino Linotype" w:cs="Palatino Linotype"/>
          <w:sz w:val="22"/>
          <w:szCs w:val="22"/>
        </w:rPr>
        <w:t xml:space="preserve">consistente en el </w:t>
      </w:r>
      <w:r w:rsidRPr="00452F32">
        <w:rPr>
          <w:rFonts w:ascii="Palatino Linotype" w:eastAsia="Palatino Linotype" w:hAnsi="Palatino Linotype" w:cs="Palatino Linotype"/>
        </w:rPr>
        <w:t xml:space="preserve">Acta de la Centésima Octogésima Segunda Sesión Extraordinaria del Comité de Transparencia celebrada el 31 de octubre del año dos mil veintidós, que contiene la autorización de la reserva de la información, del cual se colige lo siguiente: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numPr>
          <w:ilvl w:val="0"/>
          <w:numId w:val="4"/>
        </w:numPr>
        <w:pBdr>
          <w:top w:val="nil"/>
          <w:left w:val="nil"/>
          <w:bottom w:val="nil"/>
          <w:right w:val="nil"/>
          <w:between w:val="nil"/>
        </w:pBdr>
        <w:spacing w:line="360" w:lineRule="auto"/>
        <w:ind w:right="758"/>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El Servidor Público Habilitado de la Dirección General de Movilidad Zona II refiere que con la divulgación de información se verán afectados los siguientes proyectos: </w:t>
      </w:r>
    </w:p>
    <w:p w:rsidR="00FE164B" w:rsidRPr="00452F32" w:rsidRDefault="009F3FE4">
      <w:pPr>
        <w:spacing w:line="360" w:lineRule="auto"/>
        <w:jc w:val="center"/>
        <w:rPr>
          <w:rFonts w:ascii="Palatino Linotype" w:eastAsia="Palatino Linotype" w:hAnsi="Palatino Linotype" w:cs="Palatino Linotype"/>
        </w:rPr>
      </w:pPr>
      <w:r w:rsidRPr="00452F32">
        <w:rPr>
          <w:rFonts w:ascii="Palatino Linotype" w:eastAsia="Palatino Linotype" w:hAnsi="Palatino Linotype" w:cs="Palatino Linotype"/>
          <w:noProof/>
          <w:lang w:val="es-MX"/>
        </w:rPr>
        <w:lastRenderedPageBreak/>
        <w:drawing>
          <wp:inline distT="0" distB="0" distL="0" distR="0">
            <wp:extent cx="5507355" cy="3588385"/>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867" t="34107"/>
                    <a:stretch>
                      <a:fillRect/>
                    </a:stretch>
                  </pic:blipFill>
                  <pic:spPr>
                    <a:xfrm>
                      <a:off x="0" y="0"/>
                      <a:ext cx="5507355" cy="3588385"/>
                    </a:xfrm>
                    <a:prstGeom prst="rect">
                      <a:avLst/>
                    </a:prstGeom>
                    <a:ln/>
                  </pic:spPr>
                </pic:pic>
              </a:graphicData>
            </a:graphic>
          </wp:inline>
        </w:drawing>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noProof/>
          <w:lang w:val="es-MX"/>
        </w:rPr>
        <w:drawing>
          <wp:inline distT="0" distB="0" distL="0" distR="0">
            <wp:extent cx="5612130" cy="1085850"/>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81029"/>
                    <a:stretch>
                      <a:fillRect/>
                    </a:stretch>
                  </pic:blipFill>
                  <pic:spPr>
                    <a:xfrm>
                      <a:off x="0" y="0"/>
                      <a:ext cx="5612130" cy="1085850"/>
                    </a:xfrm>
                    <a:prstGeom prst="rect">
                      <a:avLst/>
                    </a:prstGeom>
                    <a:ln/>
                  </pic:spPr>
                </pic:pic>
              </a:graphicData>
            </a:graphic>
          </wp:inline>
        </w:drawing>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Una vez aclarado lo anterior, este Organismo Garante considera que el Acuerdo de Clasificación presentado por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no satisface los requisitos previstos por la normatividad, toda vez que los preceptos invocados así como los elementos fácticos no son suficientes para reservar la información solicitada por l</w:t>
      </w:r>
      <w:r w:rsidRPr="00452F32">
        <w:rPr>
          <w:rFonts w:ascii="Palatino Linotype" w:eastAsia="Palatino Linotype" w:hAnsi="Palatino Linotype" w:cs="Palatino Linotype"/>
          <w:b/>
        </w:rPr>
        <w:t>a parte Recurrente</w:t>
      </w:r>
      <w:r w:rsidRPr="00452F32">
        <w:rPr>
          <w:rFonts w:ascii="Palatino Linotype" w:eastAsia="Palatino Linotype" w:hAnsi="Palatino Linotype" w:cs="Palatino Linotype"/>
        </w:rPr>
        <w:t xml:space="preserve">.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Bajo esta línea de pensamiento debe recordarse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manifiesta que la información requerida en el presente asunto encuadra en el supuesto de </w:t>
      </w:r>
      <w:r w:rsidRPr="00452F32">
        <w:rPr>
          <w:rFonts w:ascii="Palatino Linotype" w:eastAsia="Palatino Linotype" w:hAnsi="Palatino Linotype" w:cs="Palatino Linotype"/>
        </w:rPr>
        <w:lastRenderedPageBreak/>
        <w:t>clasificación de la información como reservada prevista en los artículos 113, fracciones I, VIII y XIII, de la Ley General de Transparencia y Acceso a la Información Pública, así como el artículo 140, fracciones VII y X de la Ley de Transparencia y Acceso a la Información Pública del Estado de México y Municipios, los cuales se citan a continuación para mejor proveer del presente estudio: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 xml:space="preserve">Ley General de Transparencia y Acceso a la Información Pública: </w:t>
      </w:r>
    </w:p>
    <w:p w:rsidR="00FE164B" w:rsidRPr="00452F32" w:rsidRDefault="009F3FE4">
      <w:pPr>
        <w:ind w:left="567" w:right="567"/>
        <w:jc w:val="center"/>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“Capítulo II</w:t>
      </w:r>
    </w:p>
    <w:p w:rsidR="00FE164B" w:rsidRPr="00452F32" w:rsidRDefault="009F3FE4">
      <w:pPr>
        <w:ind w:left="567" w:right="567"/>
        <w:jc w:val="center"/>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De la Información Reservada</w:t>
      </w:r>
    </w:p>
    <w:p w:rsidR="00FE164B" w:rsidRPr="00452F32" w:rsidRDefault="00FE164B">
      <w:pPr>
        <w:ind w:left="567" w:right="567"/>
        <w:jc w:val="both"/>
        <w:rPr>
          <w:rFonts w:ascii="Palatino Linotype" w:eastAsia="Palatino Linotype" w:hAnsi="Palatino Linotype" w:cs="Palatino Linotype"/>
          <w:b/>
          <w:i/>
          <w:sz w:val="22"/>
          <w:szCs w:val="22"/>
        </w:rPr>
      </w:pPr>
    </w:p>
    <w:p w:rsidR="00FE164B" w:rsidRPr="00452F32" w:rsidRDefault="009F3FE4">
      <w:pPr>
        <w:ind w:left="567" w:right="567"/>
        <w:jc w:val="both"/>
        <w:rPr>
          <w:rFonts w:ascii="Palatino Linotype" w:eastAsia="Palatino Linotype" w:hAnsi="Palatino Linotype" w:cs="Palatino Linotype"/>
          <w:i/>
          <w:sz w:val="22"/>
          <w:szCs w:val="22"/>
        </w:rPr>
      </w:pPr>
      <w:bookmarkStart w:id="6" w:name="bookmark=id.gjdgxs" w:colFirst="0" w:colLast="0"/>
      <w:bookmarkEnd w:id="6"/>
      <w:r w:rsidRPr="00452F32">
        <w:rPr>
          <w:rFonts w:ascii="Palatino Linotype" w:eastAsia="Palatino Linotype" w:hAnsi="Palatino Linotype" w:cs="Palatino Linotype"/>
          <w:b/>
          <w:i/>
          <w:sz w:val="22"/>
          <w:szCs w:val="22"/>
        </w:rPr>
        <w:t xml:space="preserve">Artículo 113. </w:t>
      </w:r>
      <w:r w:rsidRPr="00452F32">
        <w:rPr>
          <w:rFonts w:ascii="Palatino Linotype" w:eastAsia="Palatino Linotype" w:hAnsi="Palatino Linotype" w:cs="Palatino Linotype"/>
          <w:i/>
          <w:sz w:val="22"/>
          <w:szCs w:val="22"/>
        </w:rPr>
        <w:t>Como información reservada podrá clasificarse aquella cuya publicación:</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I. Comprometa la seguridad nacional, la seguridad pública o la defensa nacional y cuente con un propósito genuino y un efecto demostrable;</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VIII. La que contenga las opiniones, recomendaciones o puntos de vista que formen parte del proceso deliberativo de los servidores públicos, hasta en tanto no sea adoptada la decisión definitiva, la cual deberá estar documentada;</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ind w:left="567" w:right="567"/>
        <w:jc w:val="both"/>
        <w:rPr>
          <w:rFonts w:ascii="Palatino Linotype" w:eastAsia="Palatino Linotype" w:hAnsi="Palatino Linotype" w:cs="Palatino Linotype"/>
          <w:i/>
          <w:sz w:val="22"/>
          <w:szCs w:val="22"/>
        </w:rPr>
      </w:pPr>
      <w:proofErr w:type="spellStart"/>
      <w:r w:rsidRPr="00452F32">
        <w:rPr>
          <w:rFonts w:ascii="Palatino Linotype" w:eastAsia="Palatino Linotype" w:hAnsi="Palatino Linotype" w:cs="Palatino Linotype"/>
          <w:b/>
          <w:i/>
          <w:sz w:val="22"/>
          <w:szCs w:val="22"/>
        </w:rPr>
        <w:t>XIII.</w:t>
      </w:r>
      <w:r w:rsidRPr="00452F32">
        <w:rPr>
          <w:rFonts w:ascii="Palatino Linotype" w:eastAsia="Palatino Linotype" w:hAnsi="Palatino Linotype" w:cs="Palatino Linotype"/>
          <w:i/>
          <w:sz w:val="22"/>
          <w:szCs w:val="22"/>
        </w:rPr>
        <w:t>Las</w:t>
      </w:r>
      <w:proofErr w:type="spellEnd"/>
      <w:r w:rsidRPr="00452F32">
        <w:rPr>
          <w:rFonts w:ascii="Palatino Linotype" w:eastAsia="Palatino Linotype" w:hAnsi="Palatino Linotype" w:cs="Palatino Linotype"/>
          <w:i/>
          <w:sz w:val="22"/>
          <w:szCs w:val="22"/>
        </w:rPr>
        <w:t xml:space="preserve"> que por disposición expresa de una ley tengan tal carácter, siempre que sean acordes con las bases, principios y disposiciones establecidos en esta Ley y no la contravengan; así como las previstas en tratados internacionales.</w:t>
      </w:r>
    </w:p>
    <w:p w:rsidR="00FE164B" w:rsidRPr="00452F32" w:rsidRDefault="009F3FE4">
      <w:pPr>
        <w:ind w:left="567" w:right="567" w:hanging="425"/>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 xml:space="preserve">         …”</w:t>
      </w:r>
    </w:p>
    <w:p w:rsidR="00FE164B" w:rsidRPr="00452F32" w:rsidRDefault="00FE164B">
      <w:pPr>
        <w:ind w:left="567" w:right="567" w:hanging="425"/>
        <w:jc w:val="both"/>
        <w:rPr>
          <w:rFonts w:ascii="Palatino Linotype" w:eastAsia="Palatino Linotype" w:hAnsi="Palatino Linotype" w:cs="Palatino Linotype"/>
          <w:i/>
          <w:sz w:val="22"/>
          <w:szCs w:val="22"/>
        </w:rPr>
      </w:pPr>
    </w:p>
    <w:p w:rsidR="00FE164B" w:rsidRPr="00452F32" w:rsidRDefault="009F3FE4">
      <w:pPr>
        <w:ind w:right="567"/>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 xml:space="preserve">Ley de Transparencia y Acceso a la Información Pública del Estado de México y Municipios: </w:t>
      </w:r>
    </w:p>
    <w:p w:rsidR="00FE164B" w:rsidRPr="00452F32" w:rsidRDefault="00FE164B">
      <w:pPr>
        <w:ind w:left="567" w:right="567" w:hanging="425"/>
        <w:jc w:val="both"/>
        <w:rPr>
          <w:rFonts w:ascii="Palatino Linotype" w:eastAsia="Palatino Linotype" w:hAnsi="Palatino Linotype" w:cs="Palatino Linotype"/>
          <w:i/>
          <w:sz w:val="22"/>
          <w:szCs w:val="22"/>
        </w:rPr>
      </w:pPr>
    </w:p>
    <w:p w:rsidR="00FE164B" w:rsidRPr="00452F32" w:rsidRDefault="009F3FE4">
      <w:pPr>
        <w:ind w:left="567" w:right="567"/>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FE164B">
      <w:pPr>
        <w:ind w:left="567" w:right="567"/>
        <w:jc w:val="both"/>
        <w:rPr>
          <w:rFonts w:ascii="Palatino Linotype" w:eastAsia="Palatino Linotype" w:hAnsi="Palatino Linotype" w:cs="Palatino Linotype"/>
          <w:i/>
          <w:sz w:val="22"/>
          <w:szCs w:val="22"/>
        </w:rPr>
      </w:pP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VII. La que contengan las opiniones, recomendaciones o puntos de vista que formen parte del proceso deliberativo de los servidores públicos, hasta en tanto sea adoptada la decisión definitiva, la cual deberá estar documentada;</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ind w:left="567" w:righ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FE164B" w:rsidRPr="00452F32" w:rsidRDefault="00FE164B">
      <w:pPr>
        <w:ind w:left="567" w:right="567"/>
        <w:jc w:val="both"/>
        <w:rPr>
          <w:rFonts w:ascii="Palatino Linotype" w:eastAsia="Palatino Linotype" w:hAnsi="Palatino Linotype" w:cs="Palatino Linotype"/>
          <w:i/>
          <w:sz w:val="22"/>
          <w:szCs w:val="22"/>
        </w:rPr>
      </w:pPr>
    </w:p>
    <w:p w:rsidR="00FE164B" w:rsidRPr="00452F32" w:rsidRDefault="009F3FE4">
      <w:pPr>
        <w:spacing w:after="16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Para mejor proveer del presente estudio, resulta necesario, analizar dicho Acuerdo de Reserva de la información antes referido, entregado por el Sujeto Obligado, en su respuesta e informe justificado,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5968"/>
        <w:gridCol w:w="1546"/>
      </w:tblGrid>
      <w:tr w:rsidR="00452F32" w:rsidRPr="00452F32">
        <w:tc>
          <w:tcPr>
            <w:tcW w:w="1314" w:type="dxa"/>
            <w:shd w:val="clear" w:color="auto" w:fill="FFC000"/>
          </w:tcPr>
          <w:p w:rsidR="00FE164B" w:rsidRPr="00452F32" w:rsidRDefault="009F3FE4">
            <w:pPr>
              <w:spacing w:before="100" w:after="200" w:line="276" w:lineRule="auto"/>
              <w:jc w:val="center"/>
              <w:rPr>
                <w:rFonts w:ascii="Palatino Linotype" w:eastAsia="Palatino Linotype" w:hAnsi="Palatino Linotype" w:cs="Palatino Linotype"/>
                <w:b/>
                <w:sz w:val="18"/>
                <w:szCs w:val="18"/>
              </w:rPr>
            </w:pPr>
            <w:r w:rsidRPr="00452F32">
              <w:rPr>
                <w:rFonts w:ascii="Palatino Linotype" w:eastAsia="Palatino Linotype" w:hAnsi="Palatino Linotype" w:cs="Palatino Linotype"/>
                <w:b/>
                <w:sz w:val="18"/>
                <w:szCs w:val="18"/>
              </w:rPr>
              <w:t>Elementos del acuerdo de clasificación</w:t>
            </w:r>
          </w:p>
        </w:tc>
        <w:tc>
          <w:tcPr>
            <w:tcW w:w="5968" w:type="dxa"/>
            <w:shd w:val="clear" w:color="auto" w:fill="FFC000"/>
          </w:tcPr>
          <w:p w:rsidR="00FE164B" w:rsidRPr="00452F32" w:rsidRDefault="009F3FE4">
            <w:pPr>
              <w:spacing w:before="100" w:after="200" w:line="276" w:lineRule="auto"/>
              <w:jc w:val="center"/>
              <w:rPr>
                <w:rFonts w:ascii="Palatino Linotype" w:eastAsia="Palatino Linotype" w:hAnsi="Palatino Linotype" w:cs="Palatino Linotype"/>
                <w:b/>
                <w:sz w:val="18"/>
                <w:szCs w:val="18"/>
              </w:rPr>
            </w:pPr>
            <w:r w:rsidRPr="00452F32">
              <w:rPr>
                <w:rFonts w:ascii="Palatino Linotype" w:eastAsia="Palatino Linotype" w:hAnsi="Palatino Linotype" w:cs="Palatino Linotype"/>
                <w:b/>
                <w:sz w:val="18"/>
                <w:szCs w:val="18"/>
              </w:rPr>
              <w:t>Contenido</w:t>
            </w:r>
          </w:p>
        </w:tc>
        <w:tc>
          <w:tcPr>
            <w:tcW w:w="1546" w:type="dxa"/>
            <w:shd w:val="clear" w:color="auto" w:fill="FFC000"/>
          </w:tcPr>
          <w:p w:rsidR="00FE164B" w:rsidRPr="00452F32" w:rsidRDefault="009F3FE4">
            <w:pPr>
              <w:spacing w:before="100" w:after="200" w:line="276" w:lineRule="auto"/>
              <w:jc w:val="center"/>
              <w:rPr>
                <w:rFonts w:ascii="Palatino Linotype" w:eastAsia="Palatino Linotype" w:hAnsi="Palatino Linotype" w:cs="Palatino Linotype"/>
                <w:b/>
                <w:sz w:val="18"/>
                <w:szCs w:val="18"/>
              </w:rPr>
            </w:pPr>
            <w:r w:rsidRPr="00452F32">
              <w:rPr>
                <w:rFonts w:ascii="Palatino Linotype" w:eastAsia="Palatino Linotype" w:hAnsi="Palatino Linotype" w:cs="Palatino Linotype"/>
                <w:b/>
                <w:sz w:val="18"/>
                <w:szCs w:val="18"/>
              </w:rPr>
              <w:t>Cumple</w:t>
            </w:r>
          </w:p>
        </w:tc>
      </w:tr>
      <w:tr w:rsidR="00452F32" w:rsidRPr="00452F32">
        <w:tc>
          <w:tcPr>
            <w:tcW w:w="1314" w:type="dxa"/>
          </w:tcPr>
          <w:p w:rsidR="00FE164B" w:rsidRPr="00452F32" w:rsidRDefault="009F3FE4">
            <w:pPr>
              <w:spacing w:before="100" w:after="200" w:line="276" w:lineRule="auto"/>
              <w:jc w:val="center"/>
              <w:rPr>
                <w:rFonts w:ascii="Palatino Linotype" w:eastAsia="Palatino Linotype" w:hAnsi="Palatino Linotype" w:cs="Palatino Linotype"/>
                <w:sz w:val="18"/>
                <w:szCs w:val="18"/>
              </w:rPr>
            </w:pPr>
            <w:r w:rsidRPr="00452F32">
              <w:rPr>
                <w:rFonts w:ascii="Palatino Linotype" w:eastAsia="Palatino Linotype" w:hAnsi="Palatino Linotype" w:cs="Palatino Linotype"/>
                <w:b/>
                <w:sz w:val="18"/>
                <w:szCs w:val="18"/>
              </w:rPr>
              <w:t>Número de folio de la solicitud</w:t>
            </w:r>
          </w:p>
        </w:tc>
        <w:tc>
          <w:tcPr>
            <w:tcW w:w="5968" w:type="dxa"/>
          </w:tcPr>
          <w:p w:rsidR="00FE164B" w:rsidRPr="00452F32" w:rsidRDefault="009F3FE4">
            <w:pPr>
              <w:spacing w:before="100" w:after="200" w:line="276" w:lineRule="auto"/>
              <w:rPr>
                <w:rFonts w:ascii="Calibri" w:eastAsia="Calibri" w:hAnsi="Calibri" w:cs="Calibri"/>
                <w:sz w:val="20"/>
                <w:szCs w:val="20"/>
              </w:rPr>
            </w:pPr>
            <w:r w:rsidRPr="00452F32">
              <w:rPr>
                <w:rFonts w:ascii="Calibri" w:eastAsia="Calibri" w:hAnsi="Calibri" w:cs="Calibri"/>
                <w:noProof/>
                <w:sz w:val="20"/>
                <w:szCs w:val="20"/>
                <w:lang w:val="es-MX"/>
              </w:rPr>
              <w:drawing>
                <wp:inline distT="0" distB="0" distL="0" distR="0">
                  <wp:extent cx="3884666" cy="808316"/>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884666" cy="808316"/>
                          </a:xfrm>
                          <a:prstGeom prst="rect">
                            <a:avLst/>
                          </a:prstGeom>
                          <a:ln/>
                        </pic:spPr>
                      </pic:pic>
                    </a:graphicData>
                  </a:graphic>
                </wp:inline>
              </w:drawing>
            </w:r>
            <w:r w:rsidRPr="00452F32">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2590800</wp:posOffset>
                      </wp:positionH>
                      <wp:positionV relativeFrom="paragraph">
                        <wp:posOffset>419100</wp:posOffset>
                      </wp:positionV>
                      <wp:extent cx="800100" cy="123825"/>
                      <wp:effectExtent l="0" t="0" r="0" b="0"/>
                      <wp:wrapNone/>
                      <wp:docPr id="51" name="Rectángulo 51"/>
                      <wp:cNvGraphicFramePr/>
                      <a:graphic xmlns:a="http://schemas.openxmlformats.org/drawingml/2006/main">
                        <a:graphicData uri="http://schemas.microsoft.com/office/word/2010/wordprocessingShape">
                          <wps:wsp>
                            <wps:cNvSpPr/>
                            <wps:spPr>
                              <a:xfrm>
                                <a:off x="4955475" y="3727613"/>
                                <a:ext cx="781050" cy="104775"/>
                              </a:xfrm>
                              <a:prstGeom prst="rect">
                                <a:avLst/>
                              </a:prstGeom>
                              <a:noFill/>
                              <a:ln w="19050" cap="flat" cmpd="sng">
                                <a:solidFill>
                                  <a:srgbClr val="00B0F0"/>
                                </a:solidFill>
                                <a:prstDash val="solid"/>
                                <a:round/>
                                <a:headEnd type="none" w="sm" len="sm"/>
                                <a:tailEnd type="none" w="sm" len="sm"/>
                              </a:ln>
                            </wps:spPr>
                            <wps:txbx>
                              <w:txbxContent>
                                <w:p w:rsidR="00FE164B" w:rsidRDefault="00FE164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2590800</wp:posOffset>
                      </wp:positionH>
                      <wp:positionV relativeFrom="paragraph">
                        <wp:posOffset>419100</wp:posOffset>
                      </wp:positionV>
                      <wp:extent cx="800100" cy="123825"/>
                      <wp:effectExtent b="0" l="0" r="0" t="0"/>
                      <wp:wrapNone/>
                      <wp:docPr id="51"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800100" cy="123825"/>
                              </a:xfrm>
                              <a:prstGeom prst="rect"/>
                              <a:ln/>
                            </pic:spPr>
                          </pic:pic>
                        </a:graphicData>
                      </a:graphic>
                    </wp:anchor>
                  </w:drawing>
                </mc:Fallback>
              </mc:AlternateContent>
            </w:r>
          </w:p>
        </w:tc>
        <w:tc>
          <w:tcPr>
            <w:tcW w:w="1546" w:type="dxa"/>
          </w:tcPr>
          <w:p w:rsidR="00FE164B" w:rsidRPr="00452F32" w:rsidRDefault="009F3FE4">
            <w:pPr>
              <w:spacing w:before="100" w:after="200" w:line="276" w:lineRule="auto"/>
              <w:jc w:val="center"/>
              <w:rPr>
                <w:rFonts w:ascii="Palatino Linotype" w:eastAsia="Palatino Linotype" w:hAnsi="Palatino Linotype" w:cs="Palatino Linotype"/>
                <w:b/>
                <w:sz w:val="20"/>
                <w:szCs w:val="20"/>
              </w:rPr>
            </w:pPr>
            <w:r w:rsidRPr="00452F32">
              <w:rPr>
                <w:rFonts w:ascii="Palatino Linotype" w:eastAsia="Palatino Linotype" w:hAnsi="Palatino Linotype" w:cs="Palatino Linotype"/>
                <w:b/>
              </w:rPr>
              <w:t>Sí</w:t>
            </w:r>
          </w:p>
        </w:tc>
      </w:tr>
      <w:tr w:rsidR="00452F32" w:rsidRPr="00452F32">
        <w:tc>
          <w:tcPr>
            <w:tcW w:w="1314" w:type="dxa"/>
          </w:tcPr>
          <w:p w:rsidR="00FE164B" w:rsidRPr="00452F32" w:rsidRDefault="009F3FE4">
            <w:pPr>
              <w:spacing w:before="100" w:after="200" w:line="276" w:lineRule="auto"/>
              <w:jc w:val="center"/>
              <w:rPr>
                <w:rFonts w:ascii="Palatino Linotype" w:eastAsia="Palatino Linotype" w:hAnsi="Palatino Linotype" w:cs="Palatino Linotype"/>
                <w:sz w:val="18"/>
                <w:szCs w:val="18"/>
              </w:rPr>
            </w:pPr>
            <w:r w:rsidRPr="00452F32">
              <w:rPr>
                <w:rFonts w:ascii="Palatino Linotype" w:eastAsia="Palatino Linotype" w:hAnsi="Palatino Linotype" w:cs="Palatino Linotype"/>
                <w:b/>
                <w:sz w:val="18"/>
                <w:szCs w:val="18"/>
              </w:rPr>
              <w:t>Referencia de la información solicitada</w:t>
            </w:r>
          </w:p>
        </w:tc>
        <w:tc>
          <w:tcPr>
            <w:tcW w:w="5968" w:type="dxa"/>
          </w:tcPr>
          <w:p w:rsidR="00FE164B" w:rsidRPr="00452F32" w:rsidRDefault="009F3FE4">
            <w:pPr>
              <w:spacing w:before="100" w:after="200" w:line="276" w:lineRule="auto"/>
              <w:rPr>
                <w:rFonts w:ascii="Palatino Linotype" w:eastAsia="Palatino Linotype" w:hAnsi="Palatino Linotype" w:cs="Palatino Linotype"/>
              </w:rPr>
            </w:pPr>
            <w:r w:rsidRPr="00452F32">
              <w:rPr>
                <w:rFonts w:ascii="Palatino Linotype" w:eastAsia="Palatino Linotype" w:hAnsi="Palatino Linotype" w:cs="Palatino Linotype"/>
                <w:noProof/>
                <w:lang w:val="es-MX"/>
              </w:rPr>
              <w:drawing>
                <wp:inline distT="0" distB="0" distL="0" distR="0">
                  <wp:extent cx="3832969" cy="797559"/>
                  <wp:effectExtent l="0" t="0" r="0" b="0"/>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832969" cy="797559"/>
                          </a:xfrm>
                          <a:prstGeom prst="rect">
                            <a:avLst/>
                          </a:prstGeom>
                          <a:ln/>
                        </pic:spPr>
                      </pic:pic>
                    </a:graphicData>
                  </a:graphic>
                </wp:inline>
              </w:drawing>
            </w:r>
          </w:p>
        </w:tc>
        <w:tc>
          <w:tcPr>
            <w:tcW w:w="1546" w:type="dxa"/>
          </w:tcPr>
          <w:p w:rsidR="00FE164B" w:rsidRPr="00452F32" w:rsidRDefault="009F3FE4">
            <w:pPr>
              <w:spacing w:before="100" w:after="200" w:line="276" w:lineRule="auto"/>
              <w:jc w:val="center"/>
              <w:rPr>
                <w:rFonts w:ascii="Palatino Linotype" w:eastAsia="Palatino Linotype" w:hAnsi="Palatino Linotype" w:cs="Palatino Linotype"/>
                <w:b/>
              </w:rPr>
            </w:pPr>
            <w:r w:rsidRPr="00452F32">
              <w:rPr>
                <w:rFonts w:ascii="Palatino Linotype" w:eastAsia="Palatino Linotype" w:hAnsi="Palatino Linotype" w:cs="Palatino Linotype"/>
                <w:b/>
              </w:rPr>
              <w:t>Sí</w:t>
            </w:r>
          </w:p>
        </w:tc>
      </w:tr>
      <w:tr w:rsidR="00452F32" w:rsidRPr="00452F32">
        <w:tc>
          <w:tcPr>
            <w:tcW w:w="1314" w:type="dxa"/>
          </w:tcPr>
          <w:p w:rsidR="00FE164B" w:rsidRPr="00452F32" w:rsidRDefault="009F3FE4">
            <w:pPr>
              <w:spacing w:before="100" w:after="200" w:line="276" w:lineRule="auto"/>
              <w:jc w:val="center"/>
              <w:rPr>
                <w:rFonts w:ascii="Palatino Linotype" w:eastAsia="Palatino Linotype" w:hAnsi="Palatino Linotype" w:cs="Palatino Linotype"/>
                <w:sz w:val="18"/>
                <w:szCs w:val="18"/>
              </w:rPr>
            </w:pPr>
            <w:r w:rsidRPr="00452F32">
              <w:rPr>
                <w:rFonts w:ascii="Palatino Linotype" w:eastAsia="Palatino Linotype" w:hAnsi="Palatino Linotype" w:cs="Palatino Linotype"/>
                <w:b/>
                <w:sz w:val="18"/>
                <w:szCs w:val="18"/>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5968" w:type="dxa"/>
          </w:tcPr>
          <w:p w:rsidR="00FE164B" w:rsidRPr="00452F32" w:rsidRDefault="009F3FE4">
            <w:pPr>
              <w:spacing w:before="100" w:after="200" w:line="276" w:lineRule="auto"/>
              <w:rPr>
                <w:rFonts w:ascii="Calibri" w:eastAsia="Calibri" w:hAnsi="Calibri" w:cs="Calibri"/>
                <w:sz w:val="20"/>
                <w:szCs w:val="20"/>
              </w:rPr>
            </w:pPr>
            <w:r w:rsidRPr="00452F32">
              <w:rPr>
                <w:rFonts w:ascii="Calibri" w:eastAsia="Calibri" w:hAnsi="Calibri" w:cs="Calibri"/>
                <w:noProof/>
                <w:sz w:val="20"/>
                <w:szCs w:val="20"/>
                <w:lang w:val="es-MX"/>
              </w:rPr>
              <w:drawing>
                <wp:inline distT="0" distB="0" distL="0" distR="0">
                  <wp:extent cx="3701255" cy="809445"/>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701255" cy="809445"/>
                          </a:xfrm>
                          <a:prstGeom prst="rect">
                            <a:avLst/>
                          </a:prstGeom>
                          <a:ln/>
                        </pic:spPr>
                      </pic:pic>
                    </a:graphicData>
                  </a:graphic>
                </wp:inline>
              </w:drawing>
            </w:r>
          </w:p>
        </w:tc>
        <w:tc>
          <w:tcPr>
            <w:tcW w:w="1546" w:type="dxa"/>
          </w:tcPr>
          <w:p w:rsidR="00FE164B" w:rsidRPr="00452F32" w:rsidRDefault="009F3FE4">
            <w:pPr>
              <w:spacing w:before="100" w:after="200" w:line="276" w:lineRule="auto"/>
              <w:jc w:val="center"/>
              <w:rPr>
                <w:rFonts w:ascii="Palatino Linotype" w:eastAsia="Palatino Linotype" w:hAnsi="Palatino Linotype" w:cs="Palatino Linotype"/>
                <w:b/>
                <w:sz w:val="20"/>
                <w:szCs w:val="20"/>
              </w:rPr>
            </w:pPr>
            <w:r w:rsidRPr="00452F32">
              <w:rPr>
                <w:rFonts w:ascii="Palatino Linotype" w:eastAsia="Palatino Linotype" w:hAnsi="Palatino Linotype" w:cs="Palatino Linotype"/>
                <w:b/>
                <w:sz w:val="20"/>
                <w:szCs w:val="20"/>
              </w:rPr>
              <w:t>Parcialmente</w:t>
            </w:r>
          </w:p>
          <w:p w:rsidR="00FE164B" w:rsidRPr="00452F32" w:rsidRDefault="009F3FE4">
            <w:pPr>
              <w:spacing w:before="100" w:after="200" w:line="276" w:lineRule="auto"/>
              <w:jc w:val="both"/>
              <w:rPr>
                <w:rFonts w:ascii="Palatino Linotype" w:eastAsia="Palatino Linotype" w:hAnsi="Palatino Linotype" w:cs="Palatino Linotype"/>
                <w:b/>
                <w:sz w:val="20"/>
                <w:szCs w:val="20"/>
              </w:rPr>
            </w:pPr>
            <w:r w:rsidRPr="00452F32">
              <w:rPr>
                <w:rFonts w:ascii="Palatino Linotype" w:eastAsia="Palatino Linotype" w:hAnsi="Palatino Linotype" w:cs="Palatino Linotype"/>
                <w:b/>
                <w:sz w:val="20"/>
                <w:szCs w:val="20"/>
              </w:rPr>
              <w:t>Observaciones:</w:t>
            </w:r>
          </w:p>
          <w:p w:rsidR="00FE164B" w:rsidRPr="00452F32" w:rsidRDefault="009F3FE4">
            <w:pPr>
              <w:spacing w:before="100" w:after="200" w:line="276" w:lineRule="auto"/>
              <w:ind w:right="-64"/>
              <w:jc w:val="both"/>
              <w:rPr>
                <w:rFonts w:ascii="Palatino Linotype" w:eastAsia="Palatino Linotype" w:hAnsi="Palatino Linotype" w:cs="Palatino Linotype"/>
                <w:sz w:val="20"/>
                <w:szCs w:val="20"/>
              </w:rPr>
            </w:pPr>
            <w:r w:rsidRPr="00452F32">
              <w:rPr>
                <w:rFonts w:ascii="Palatino Linotype" w:eastAsia="Palatino Linotype" w:hAnsi="Palatino Linotype" w:cs="Palatino Linotype"/>
                <w:sz w:val="20"/>
                <w:szCs w:val="20"/>
              </w:rPr>
              <w:t>La fracción I del 113 no es aplicable, ya que como se apuntó anteriormente, se refiere a comprometer la seguridad nacional, la seguridad pública o la defensa nacional</w:t>
            </w:r>
          </w:p>
          <w:p w:rsidR="00FE164B" w:rsidRPr="00452F32" w:rsidRDefault="009F3FE4">
            <w:pPr>
              <w:spacing w:before="100" w:after="200" w:line="276" w:lineRule="auto"/>
              <w:ind w:right="-64"/>
              <w:jc w:val="both"/>
              <w:rPr>
                <w:rFonts w:ascii="Palatino Linotype" w:eastAsia="Palatino Linotype" w:hAnsi="Palatino Linotype" w:cs="Palatino Linotype"/>
                <w:sz w:val="20"/>
                <w:szCs w:val="20"/>
              </w:rPr>
            </w:pPr>
            <w:r w:rsidRPr="00452F32">
              <w:rPr>
                <w:rFonts w:ascii="Palatino Linotype" w:eastAsia="Palatino Linotype" w:hAnsi="Palatino Linotype" w:cs="Palatino Linotype"/>
                <w:sz w:val="20"/>
                <w:szCs w:val="20"/>
              </w:rPr>
              <w:t xml:space="preserve">El lineamiento décimo séptimo fracción VIII no aplica, ya que se refiere a que se posibilite la destrucción, inhabilitación o sabotaje de cualquier infraestructura de carácter estratégico o prioritario, así como la indispensable </w:t>
            </w:r>
            <w:r w:rsidRPr="00452F32">
              <w:rPr>
                <w:rFonts w:ascii="Palatino Linotype" w:eastAsia="Palatino Linotype" w:hAnsi="Palatino Linotype" w:cs="Palatino Linotype"/>
                <w:sz w:val="20"/>
                <w:szCs w:val="20"/>
              </w:rPr>
              <w:lastRenderedPageBreak/>
              <w:t>para la provisión de</w:t>
            </w:r>
          </w:p>
          <w:p w:rsidR="00FE164B" w:rsidRPr="00452F32" w:rsidRDefault="009F3FE4">
            <w:pPr>
              <w:spacing w:before="100" w:after="200" w:line="276" w:lineRule="auto"/>
              <w:ind w:right="-64"/>
              <w:jc w:val="both"/>
              <w:rPr>
                <w:rFonts w:ascii="Palatino Linotype" w:eastAsia="Palatino Linotype" w:hAnsi="Palatino Linotype" w:cs="Palatino Linotype"/>
                <w:sz w:val="20"/>
                <w:szCs w:val="20"/>
              </w:rPr>
            </w:pPr>
            <w:r w:rsidRPr="00452F32">
              <w:rPr>
                <w:rFonts w:ascii="Palatino Linotype" w:eastAsia="Palatino Linotype" w:hAnsi="Palatino Linotype" w:cs="Palatino Linotype"/>
                <w:sz w:val="20"/>
                <w:szCs w:val="20"/>
              </w:rPr>
              <w:t>bienes o servicios públicos de agua potable, de emergencia, vías generales de comunicación o de cualquier tipo de infraestructura que represente tal importancia para el Estado que su destrucción o incapacidad tenga un impacto debilitador en la seguridad nacional;</w:t>
            </w:r>
          </w:p>
          <w:p w:rsidR="00FE164B" w:rsidRPr="00452F32" w:rsidRDefault="00FE164B">
            <w:pPr>
              <w:spacing w:before="100" w:after="200" w:line="276" w:lineRule="auto"/>
              <w:ind w:right="-64"/>
              <w:jc w:val="both"/>
              <w:rPr>
                <w:rFonts w:ascii="Palatino Linotype" w:eastAsia="Palatino Linotype" w:hAnsi="Palatino Linotype" w:cs="Palatino Linotype"/>
                <w:sz w:val="20"/>
                <w:szCs w:val="20"/>
              </w:rPr>
            </w:pPr>
          </w:p>
          <w:p w:rsidR="00FE164B" w:rsidRPr="00452F32" w:rsidRDefault="00FE164B">
            <w:pPr>
              <w:spacing w:before="100" w:after="200" w:line="276" w:lineRule="auto"/>
              <w:ind w:right="-64"/>
              <w:jc w:val="both"/>
              <w:rPr>
                <w:rFonts w:ascii="Palatino Linotype" w:eastAsia="Palatino Linotype" w:hAnsi="Palatino Linotype" w:cs="Palatino Linotype"/>
                <w:sz w:val="20"/>
                <w:szCs w:val="20"/>
              </w:rPr>
            </w:pPr>
          </w:p>
          <w:p w:rsidR="00FE164B" w:rsidRPr="00452F32" w:rsidRDefault="00FE164B">
            <w:pPr>
              <w:spacing w:before="100" w:after="200"/>
              <w:jc w:val="center"/>
              <w:rPr>
                <w:rFonts w:ascii="Palatino Linotype" w:eastAsia="Palatino Linotype" w:hAnsi="Palatino Linotype" w:cs="Palatino Linotype"/>
                <w:b/>
                <w:sz w:val="20"/>
                <w:szCs w:val="20"/>
              </w:rPr>
            </w:pPr>
          </w:p>
        </w:tc>
      </w:tr>
      <w:tr w:rsidR="00452F32" w:rsidRPr="00452F32">
        <w:tc>
          <w:tcPr>
            <w:tcW w:w="1314" w:type="dxa"/>
          </w:tcPr>
          <w:p w:rsidR="00FE164B" w:rsidRPr="00452F32" w:rsidRDefault="009F3FE4">
            <w:pPr>
              <w:spacing w:before="100" w:after="200" w:line="276" w:lineRule="auto"/>
              <w:jc w:val="center"/>
              <w:rPr>
                <w:rFonts w:ascii="Palatino Linotype" w:eastAsia="Palatino Linotype" w:hAnsi="Palatino Linotype" w:cs="Palatino Linotype"/>
                <w:sz w:val="18"/>
                <w:szCs w:val="18"/>
              </w:rPr>
            </w:pPr>
            <w:r w:rsidRPr="00452F32">
              <w:rPr>
                <w:rFonts w:ascii="Palatino Linotype" w:eastAsia="Palatino Linotype" w:hAnsi="Palatino Linotype" w:cs="Palatino Linotype"/>
                <w:b/>
                <w:sz w:val="18"/>
                <w:szCs w:val="18"/>
              </w:rPr>
              <w:lastRenderedPageBreak/>
              <w:t>Fundamento y Motivación Legal</w:t>
            </w:r>
          </w:p>
        </w:tc>
        <w:tc>
          <w:tcPr>
            <w:tcW w:w="5968" w:type="dxa"/>
          </w:tcPr>
          <w:p w:rsidR="00FE164B" w:rsidRPr="00452F32" w:rsidRDefault="009F3FE4">
            <w:pPr>
              <w:spacing w:before="100" w:after="200" w:line="276" w:lineRule="auto"/>
              <w:rPr>
                <w:rFonts w:ascii="Calibri" w:eastAsia="Calibri" w:hAnsi="Calibri" w:cs="Calibri"/>
                <w:sz w:val="20"/>
                <w:szCs w:val="20"/>
              </w:rPr>
            </w:pPr>
            <w:r w:rsidRPr="00452F32">
              <w:rPr>
                <w:rFonts w:ascii="Calibri" w:eastAsia="Calibri" w:hAnsi="Calibri" w:cs="Calibri"/>
                <w:noProof/>
                <w:sz w:val="20"/>
                <w:szCs w:val="20"/>
                <w:lang w:val="es-MX"/>
              </w:rPr>
              <w:drawing>
                <wp:inline distT="0" distB="0" distL="0" distR="0">
                  <wp:extent cx="3670289" cy="4544472"/>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670289" cy="4544472"/>
                          </a:xfrm>
                          <a:prstGeom prst="rect">
                            <a:avLst/>
                          </a:prstGeom>
                          <a:ln/>
                        </pic:spPr>
                      </pic:pic>
                    </a:graphicData>
                  </a:graphic>
                </wp:inline>
              </w:drawing>
            </w:r>
          </w:p>
          <w:p w:rsidR="00FE164B" w:rsidRPr="00452F32" w:rsidRDefault="009F3FE4">
            <w:pPr>
              <w:spacing w:before="100" w:after="200" w:line="276" w:lineRule="auto"/>
              <w:rPr>
                <w:rFonts w:ascii="Calibri" w:eastAsia="Calibri" w:hAnsi="Calibri" w:cs="Calibri"/>
                <w:sz w:val="20"/>
                <w:szCs w:val="20"/>
              </w:rPr>
            </w:pPr>
            <w:r w:rsidRPr="00452F32">
              <w:rPr>
                <w:rFonts w:ascii="Calibri" w:eastAsia="Calibri" w:hAnsi="Calibri" w:cs="Calibri"/>
                <w:noProof/>
                <w:sz w:val="20"/>
                <w:szCs w:val="20"/>
                <w:lang w:val="es-MX"/>
              </w:rPr>
              <w:drawing>
                <wp:inline distT="0" distB="0" distL="0" distR="0">
                  <wp:extent cx="3456879" cy="2209059"/>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456879" cy="2209059"/>
                          </a:xfrm>
                          <a:prstGeom prst="rect">
                            <a:avLst/>
                          </a:prstGeom>
                          <a:ln/>
                        </pic:spPr>
                      </pic:pic>
                    </a:graphicData>
                  </a:graphic>
                </wp:inline>
              </w:drawing>
            </w:r>
          </w:p>
        </w:tc>
        <w:tc>
          <w:tcPr>
            <w:tcW w:w="1546" w:type="dxa"/>
          </w:tcPr>
          <w:p w:rsidR="00FE164B" w:rsidRPr="00452F32" w:rsidRDefault="009F3FE4">
            <w:pPr>
              <w:spacing w:before="100" w:after="200" w:line="276" w:lineRule="auto"/>
              <w:jc w:val="center"/>
              <w:rPr>
                <w:rFonts w:ascii="Palatino Linotype" w:eastAsia="Palatino Linotype" w:hAnsi="Palatino Linotype" w:cs="Palatino Linotype"/>
                <w:b/>
                <w:sz w:val="20"/>
                <w:szCs w:val="20"/>
              </w:rPr>
            </w:pPr>
            <w:r w:rsidRPr="00452F32">
              <w:rPr>
                <w:rFonts w:ascii="Palatino Linotype" w:eastAsia="Palatino Linotype" w:hAnsi="Palatino Linotype" w:cs="Palatino Linotype"/>
                <w:b/>
                <w:sz w:val="22"/>
                <w:szCs w:val="22"/>
              </w:rPr>
              <w:t>No</w:t>
            </w:r>
          </w:p>
        </w:tc>
      </w:tr>
      <w:tr w:rsidR="00452F32" w:rsidRPr="00452F32">
        <w:tc>
          <w:tcPr>
            <w:tcW w:w="1314" w:type="dxa"/>
          </w:tcPr>
          <w:p w:rsidR="00FE164B" w:rsidRPr="00452F32" w:rsidRDefault="009F3FE4">
            <w:pPr>
              <w:spacing w:before="100" w:after="200" w:line="276" w:lineRule="auto"/>
              <w:rPr>
                <w:rFonts w:ascii="Palatino Linotype" w:eastAsia="Palatino Linotype" w:hAnsi="Palatino Linotype" w:cs="Palatino Linotype"/>
                <w:b/>
                <w:sz w:val="16"/>
                <w:szCs w:val="16"/>
              </w:rPr>
            </w:pPr>
            <w:r w:rsidRPr="00452F32">
              <w:rPr>
                <w:rFonts w:ascii="Palatino Linotype" w:eastAsia="Palatino Linotype" w:hAnsi="Palatino Linotype" w:cs="Palatino Linotype"/>
                <w:b/>
                <w:sz w:val="16"/>
                <w:szCs w:val="16"/>
              </w:rPr>
              <w:t xml:space="preserve">Conexión entre los </w:t>
            </w:r>
            <w:r w:rsidRPr="00452F32">
              <w:rPr>
                <w:rFonts w:ascii="Palatino Linotype" w:eastAsia="Palatino Linotype" w:hAnsi="Palatino Linotype" w:cs="Palatino Linotype"/>
                <w:b/>
                <w:sz w:val="16"/>
                <w:szCs w:val="16"/>
              </w:rPr>
              <w:lastRenderedPageBreak/>
              <w:t>fundamentos y motivos que dieron origen a la Reserva de la información</w:t>
            </w:r>
          </w:p>
        </w:tc>
        <w:tc>
          <w:tcPr>
            <w:tcW w:w="5968" w:type="dxa"/>
          </w:tcPr>
          <w:p w:rsidR="00FE164B" w:rsidRPr="00452F32" w:rsidRDefault="00FE164B">
            <w:pPr>
              <w:spacing w:before="100" w:after="200" w:line="276" w:lineRule="auto"/>
              <w:rPr>
                <w:rFonts w:ascii="Calibri" w:eastAsia="Calibri" w:hAnsi="Calibri" w:cs="Calibri"/>
                <w:sz w:val="20"/>
                <w:szCs w:val="20"/>
              </w:rPr>
            </w:pPr>
          </w:p>
          <w:p w:rsidR="00FE164B" w:rsidRPr="00452F32" w:rsidRDefault="009F3FE4">
            <w:pPr>
              <w:spacing w:before="100" w:after="200" w:line="276" w:lineRule="auto"/>
              <w:rPr>
                <w:rFonts w:ascii="Calibri" w:eastAsia="Calibri" w:hAnsi="Calibri" w:cs="Calibri"/>
                <w:sz w:val="20"/>
                <w:szCs w:val="20"/>
              </w:rPr>
            </w:pPr>
            <w:r w:rsidRPr="00452F32">
              <w:rPr>
                <w:rFonts w:ascii="Calibri" w:eastAsia="Calibri" w:hAnsi="Calibri" w:cs="Calibri"/>
                <w:noProof/>
                <w:sz w:val="20"/>
                <w:szCs w:val="20"/>
                <w:lang w:val="es-MX"/>
              </w:rPr>
              <w:lastRenderedPageBreak/>
              <w:drawing>
                <wp:inline distT="0" distB="0" distL="0" distR="0">
                  <wp:extent cx="3630063" cy="3440669"/>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630063" cy="3440669"/>
                          </a:xfrm>
                          <a:prstGeom prst="rect">
                            <a:avLst/>
                          </a:prstGeom>
                          <a:ln/>
                        </pic:spPr>
                      </pic:pic>
                    </a:graphicData>
                  </a:graphic>
                </wp:inline>
              </w:drawing>
            </w:r>
          </w:p>
        </w:tc>
        <w:tc>
          <w:tcPr>
            <w:tcW w:w="1546" w:type="dxa"/>
          </w:tcPr>
          <w:p w:rsidR="00FE164B" w:rsidRPr="00452F32" w:rsidRDefault="009F3FE4">
            <w:pPr>
              <w:spacing w:before="100" w:after="200" w:line="276" w:lineRule="auto"/>
              <w:jc w:val="center"/>
              <w:rPr>
                <w:rFonts w:ascii="Palatino Linotype" w:eastAsia="Palatino Linotype" w:hAnsi="Palatino Linotype" w:cs="Palatino Linotype"/>
                <w:b/>
                <w:sz w:val="20"/>
                <w:szCs w:val="20"/>
              </w:rPr>
            </w:pPr>
            <w:r w:rsidRPr="00452F32">
              <w:rPr>
                <w:rFonts w:ascii="Palatino Linotype" w:eastAsia="Palatino Linotype" w:hAnsi="Palatino Linotype" w:cs="Palatino Linotype"/>
                <w:b/>
                <w:sz w:val="22"/>
                <w:szCs w:val="22"/>
              </w:rPr>
              <w:lastRenderedPageBreak/>
              <w:t>Parcialmente</w:t>
            </w:r>
          </w:p>
        </w:tc>
      </w:tr>
      <w:tr w:rsidR="00452F32" w:rsidRPr="00452F32">
        <w:tc>
          <w:tcPr>
            <w:tcW w:w="8828" w:type="dxa"/>
            <w:gridSpan w:val="3"/>
            <w:shd w:val="clear" w:color="auto" w:fill="76923C"/>
          </w:tcPr>
          <w:p w:rsidR="00FE164B" w:rsidRPr="00452F32" w:rsidRDefault="009F3FE4">
            <w:pPr>
              <w:spacing w:before="100" w:after="200" w:line="276" w:lineRule="auto"/>
              <w:jc w:val="center"/>
              <w:rPr>
                <w:rFonts w:ascii="Palatino Linotype" w:eastAsia="Palatino Linotype" w:hAnsi="Palatino Linotype" w:cs="Palatino Linotype"/>
                <w:b/>
              </w:rPr>
            </w:pPr>
            <w:r w:rsidRPr="00452F32">
              <w:rPr>
                <w:rFonts w:ascii="Palatino Linotype" w:eastAsia="Palatino Linotype" w:hAnsi="Palatino Linotype" w:cs="Palatino Linotype"/>
                <w:b/>
                <w:sz w:val="22"/>
                <w:szCs w:val="22"/>
              </w:rPr>
              <w:lastRenderedPageBreak/>
              <w:t>Elementos de la prueba de daño</w:t>
            </w:r>
          </w:p>
        </w:tc>
      </w:tr>
      <w:tr w:rsidR="00452F32" w:rsidRPr="00452F32">
        <w:tc>
          <w:tcPr>
            <w:tcW w:w="1314" w:type="dxa"/>
            <w:shd w:val="clear" w:color="auto" w:fill="auto"/>
          </w:tcPr>
          <w:p w:rsidR="00FE164B" w:rsidRPr="00452F32" w:rsidRDefault="009F3FE4">
            <w:pPr>
              <w:spacing w:after="120" w:line="259" w:lineRule="auto"/>
              <w:jc w:val="center"/>
              <w:rPr>
                <w:rFonts w:ascii="Palatino Linotype" w:eastAsia="Palatino Linotype" w:hAnsi="Palatino Linotype" w:cs="Palatino Linotype"/>
                <w:b/>
                <w:sz w:val="16"/>
                <w:szCs w:val="16"/>
              </w:rPr>
            </w:pPr>
            <w:r w:rsidRPr="00452F32">
              <w:rPr>
                <w:rFonts w:ascii="Palatino Linotype" w:eastAsia="Palatino Linotype" w:hAnsi="Palatino Linotype" w:cs="Palatino Linotype"/>
                <w:b/>
                <w:sz w:val="16"/>
                <w:szCs w:val="16"/>
              </w:rPr>
              <w:t>Riesgo Real, Demostrable e Identificable</w:t>
            </w:r>
          </w:p>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16"/>
                <w:szCs w:val="16"/>
              </w:rPr>
              <w:t>(Modo, Tiempo y Lugar)</w:t>
            </w:r>
          </w:p>
        </w:tc>
        <w:tc>
          <w:tcPr>
            <w:tcW w:w="5968"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No se impacta en el acuerdo</w:t>
            </w:r>
          </w:p>
        </w:tc>
        <w:tc>
          <w:tcPr>
            <w:tcW w:w="1546"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No</w:t>
            </w:r>
          </w:p>
        </w:tc>
      </w:tr>
      <w:tr w:rsidR="00452F32" w:rsidRPr="00452F32">
        <w:tc>
          <w:tcPr>
            <w:tcW w:w="1314"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16"/>
                <w:szCs w:val="16"/>
              </w:rPr>
              <w:t>Temporalidad de la Reserva de la información</w:t>
            </w:r>
          </w:p>
        </w:tc>
        <w:tc>
          <w:tcPr>
            <w:tcW w:w="5968"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noProof/>
                <w:sz w:val="22"/>
                <w:szCs w:val="22"/>
                <w:lang w:val="es-MX"/>
              </w:rPr>
              <w:drawing>
                <wp:inline distT="0" distB="0" distL="0" distR="0">
                  <wp:extent cx="3715533" cy="427967"/>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715533" cy="427967"/>
                          </a:xfrm>
                          <a:prstGeom prst="rect">
                            <a:avLst/>
                          </a:prstGeom>
                          <a:ln/>
                        </pic:spPr>
                      </pic:pic>
                    </a:graphicData>
                  </a:graphic>
                </wp:inline>
              </w:drawing>
            </w:r>
          </w:p>
        </w:tc>
        <w:tc>
          <w:tcPr>
            <w:tcW w:w="1546"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rPr>
              <w:t>Sí</w:t>
            </w:r>
          </w:p>
        </w:tc>
      </w:tr>
      <w:tr w:rsidR="00FE164B" w:rsidRPr="00452F32">
        <w:tc>
          <w:tcPr>
            <w:tcW w:w="1314"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16"/>
                <w:szCs w:val="16"/>
              </w:rPr>
              <w:lastRenderedPageBreak/>
              <w:t>Autoridades competentes.</w:t>
            </w:r>
          </w:p>
        </w:tc>
        <w:tc>
          <w:tcPr>
            <w:tcW w:w="5968" w:type="dxa"/>
            <w:shd w:val="clear" w:color="auto" w:fill="auto"/>
          </w:tcPr>
          <w:p w:rsidR="00FE164B" w:rsidRPr="00452F32" w:rsidRDefault="009F3FE4">
            <w:pPr>
              <w:spacing w:before="100" w:after="200" w:line="276" w:lineRule="auto"/>
              <w:jc w:val="center"/>
            </w:pPr>
            <w:r w:rsidRPr="00452F32">
              <w:rPr>
                <w:noProof/>
                <w:lang w:val="es-MX"/>
              </w:rPr>
              <w:drawing>
                <wp:inline distT="0" distB="0" distL="0" distR="0">
                  <wp:extent cx="3563813" cy="3428728"/>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563813" cy="3428728"/>
                          </a:xfrm>
                          <a:prstGeom prst="rect">
                            <a:avLst/>
                          </a:prstGeom>
                          <a:ln/>
                        </pic:spPr>
                      </pic:pic>
                    </a:graphicData>
                  </a:graphic>
                </wp:inline>
              </w:drawing>
            </w:r>
          </w:p>
          <w:p w:rsidR="00FE164B" w:rsidRPr="00452F32" w:rsidRDefault="00FE164B">
            <w:pPr>
              <w:spacing w:before="100" w:after="200" w:line="276" w:lineRule="auto"/>
              <w:jc w:val="center"/>
            </w:pPr>
          </w:p>
          <w:p w:rsidR="00FE164B" w:rsidRPr="00452F32" w:rsidRDefault="00FE164B">
            <w:pPr>
              <w:spacing w:before="100" w:after="200" w:line="276" w:lineRule="auto"/>
              <w:jc w:val="center"/>
              <w:rPr>
                <w:rFonts w:ascii="Palatino Linotype" w:eastAsia="Palatino Linotype" w:hAnsi="Palatino Linotype" w:cs="Palatino Linotype"/>
                <w:b/>
                <w:sz w:val="22"/>
                <w:szCs w:val="22"/>
              </w:rPr>
            </w:pPr>
          </w:p>
        </w:tc>
        <w:tc>
          <w:tcPr>
            <w:tcW w:w="1546" w:type="dxa"/>
            <w:shd w:val="clear" w:color="auto" w:fill="auto"/>
          </w:tcPr>
          <w:p w:rsidR="00FE164B" w:rsidRPr="00452F32" w:rsidRDefault="009F3FE4">
            <w:pPr>
              <w:spacing w:before="100" w:after="200" w:line="276" w:lineRule="auto"/>
              <w:jc w:val="center"/>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No</w:t>
            </w:r>
          </w:p>
        </w:tc>
      </w:tr>
    </w:tbl>
    <w:p w:rsidR="00FE164B" w:rsidRPr="00452F32" w:rsidRDefault="00FE164B">
      <w:pPr>
        <w:spacing w:before="100" w:after="200" w:line="276" w:lineRule="auto"/>
        <w:rPr>
          <w:rFonts w:ascii="Calibri" w:eastAsia="Calibri" w:hAnsi="Calibri" w:cs="Calibri"/>
          <w:sz w:val="20"/>
          <w:szCs w:val="20"/>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Como se analizó anteriormente, el acuerdo de reserva carece de cuatro elementos a saber: </w:t>
      </w:r>
    </w:p>
    <w:p w:rsidR="00FE164B" w:rsidRPr="00452F32" w:rsidRDefault="009F3F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Parcialmente invocan la causal aplicable del artículo 113 de la Ley General, vinculándola con el Lineamiento específico del presente ordenamiento y, cuando corresponda, el supuesto normativo que expresamente le otorga el carácter de información reservada.</w:t>
      </w:r>
    </w:p>
    <w:p w:rsidR="00FE164B" w:rsidRPr="00452F32" w:rsidRDefault="009F3FE4">
      <w:pPr>
        <w:numPr>
          <w:ilvl w:val="0"/>
          <w:numId w:val="5"/>
        </w:numPr>
        <w:spacing w:line="276" w:lineRule="auto"/>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Fundamento y Motivación Legal</w:t>
      </w:r>
    </w:p>
    <w:p w:rsidR="00FE164B" w:rsidRPr="00452F32" w:rsidRDefault="009F3F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No hay prueba de daño</w:t>
      </w:r>
    </w:p>
    <w:p w:rsidR="00FE164B" w:rsidRPr="00452F32" w:rsidRDefault="009F3FE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2F32">
        <w:rPr>
          <w:rFonts w:ascii="Palatino Linotype" w:eastAsia="Palatino Linotype" w:hAnsi="Palatino Linotype" w:cs="Palatino Linotype"/>
          <w:b/>
          <w:sz w:val="22"/>
          <w:szCs w:val="22"/>
        </w:rPr>
        <w:t>No hay firma de autoridades competentes.</w:t>
      </w:r>
    </w:p>
    <w:p w:rsidR="00FE164B" w:rsidRPr="00452F32" w:rsidRDefault="00FE164B">
      <w:pPr>
        <w:spacing w:line="360" w:lineRule="auto"/>
        <w:jc w:val="both"/>
        <w:rPr>
          <w:rFonts w:ascii="Palatino Linotype" w:eastAsia="Palatino Linotype" w:hAnsi="Palatino Linotype" w:cs="Palatino Linotype"/>
          <w:b/>
        </w:rPr>
      </w:pPr>
    </w:p>
    <w:p w:rsidR="00FE164B" w:rsidRPr="00452F32" w:rsidRDefault="009F3FE4">
      <w:pPr>
        <w:spacing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b/>
        </w:rPr>
        <w:lastRenderedPageBreak/>
        <w:t>1. Parcialmente invocan la causal aplicable del artículo 113 de la Ley General, vinculándola con el Lineamiento específico del presente ordenamiento y, cuando corresponda, el supuesto normativo que expresamente le otorga el carácter de información reservada, así como falta de fundamentación y motivación legal.</w:t>
      </w:r>
    </w:p>
    <w:p w:rsidR="00FE164B" w:rsidRPr="00452F32" w:rsidRDefault="00FE164B">
      <w:pPr>
        <w:spacing w:line="360" w:lineRule="auto"/>
        <w:jc w:val="both"/>
        <w:rPr>
          <w:rFonts w:ascii="Palatino Linotype" w:eastAsia="Palatino Linotype" w:hAnsi="Palatino Linotype" w:cs="Palatino Linotype"/>
          <w:b/>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Del análisis al acuerdo, no se estima que en el asunto que nos ocupa se actualicen las fracciones I, VIII y XIII, de la Ley General de Transparencia y Acceso a la Información Pública, puesto que como se señaló anteriormente en el cuadro de análisis, la fracción I comprende la reserva por comprometer la seguridad nacional, la seguridad pública o la defensa nacional, asimismo la fracción XIII del artículo en referencia no resulta aplicable en el presente asunto puesto que no se desprende disposición expresa de una ley que indique que las autorizaciones de las rutas les revista el carácter de reservada expresamente. Correlativo a ello, el Lineamiento Trigésimo Segundo de los 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situación que no aconteció en el presente asunto.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Ahora bien, por cuanto hace a los Lineamientos Generales en Materia de Clasificación y Desclasificación de la Información, así como para la Elaboración de Versiones Públicas,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invocó el lineamiento décimo séptimo fracción VIII, el cual se refiere la procedencia de la reserva para el caso en el que se </w:t>
      </w:r>
      <w:r w:rsidRPr="00452F32">
        <w:rPr>
          <w:rFonts w:ascii="Palatino Linotype" w:eastAsia="Palatino Linotype" w:hAnsi="Palatino Linotype" w:cs="Palatino Linotype"/>
        </w:rPr>
        <w:lastRenderedPageBreak/>
        <w:t>posibilite la destrucción, inhabilitación o sabotaje de cualquier infraestructura de carácter estratégico o prioritario, así como la indispensable para la provisión de</w:t>
      </w:r>
    </w:p>
    <w:p w:rsidR="00FE164B" w:rsidRPr="00452F32" w:rsidRDefault="009F3FE4">
      <w:pPr>
        <w:spacing w:line="360" w:lineRule="auto"/>
        <w:jc w:val="both"/>
        <w:rPr>
          <w:rFonts w:ascii="Palatino Linotype" w:eastAsia="Palatino Linotype" w:hAnsi="Palatino Linotype" w:cs="Palatino Linotype"/>
        </w:rPr>
      </w:pPr>
      <w:proofErr w:type="gramStart"/>
      <w:r w:rsidRPr="00452F32">
        <w:rPr>
          <w:rFonts w:ascii="Palatino Linotype" w:eastAsia="Palatino Linotype" w:hAnsi="Palatino Linotype" w:cs="Palatino Linotype"/>
        </w:rPr>
        <w:t>bienes</w:t>
      </w:r>
      <w:proofErr w:type="gramEnd"/>
      <w:r w:rsidRPr="00452F32">
        <w:rPr>
          <w:rFonts w:ascii="Palatino Linotype" w:eastAsia="Palatino Linotype" w:hAnsi="Palatino Linotype" w:cs="Palatino Linotype"/>
        </w:rPr>
        <w:t xml:space="preserve"> o servicios públicos de agua potable, de emergencia, vías generales de comunicación o de cualquier tipo de infraestructura que represente tal importancia para el Estado que su destrucción o incapacidad tenga un impacto debilitador en la seguridad nacional, situación que no se actualiza en el presente asunto.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No escapa de la óptica de este Organismo Garante que en el punto referente a la fundamentación y motivación legal no se desarrolló de manera correcta y los argumentos planteados, ni siquiera son operantes en torno a la información solicitada. Por último, también buscó reservar con fundamento en el artículo 140, fracción X de la ley local en la materia, que señala que la información, podrá ser restringida excepcionalmente,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 en torno a ello, de igual manera, refirió que la divulgación de la información, podría afectar a partir de que al no haber sido aprobada aún la reestructura, podría afectarse la designación de los derroteros y concesiones, sin embargo, la información requerida, no fue relacionada a la reestructura.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b/>
        </w:rPr>
        <w:t xml:space="preserve">2.- Falta de prueba de daño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 xml:space="preserve">Al respecto, el numeral 128 de la Ley de Transparencia Local, así como los diversos 129, 130 y 131 de la misma Ley, establecen los parámetros para poder emitir el acuerdo de clasificación en donde se funden y motiven las razones por las cuales no se puede entregar la información. </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De los preceptos referidos con anterioridad, podemos advertir que, en los casos en que se niegue el acceso a la información por actualizarse alguno de los supuestos de clasificación, se deberá generar una prueba de daño, en la cual, el sujeto obligado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Bajo esta línea de pensamiento de los elementos que fueron aportados por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para determinar la reserva de la información, estos deben ser desglosados en un primer aspecto, a la luz de lo contemplado en el artículo 129 de la Ley de Transparencia vigente en la entidad, argumentos que se contrastan al tenor de lo siguiente: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i/>
        </w:rPr>
      </w:pPr>
      <w:r w:rsidRPr="00452F32">
        <w:rPr>
          <w:rFonts w:ascii="Palatino Linotype" w:eastAsia="Palatino Linotype" w:hAnsi="Palatino Linotype" w:cs="Palatino Linotype"/>
          <w:b/>
          <w:i/>
        </w:rPr>
        <w:t xml:space="preserve">Artículo 129. En la aplicación de la prueba de daño, el sujeto obligado deberá precisar las razones objetivas por las que la apertura de la información generaría una afectación, justificando que: </w:t>
      </w:r>
    </w:p>
    <w:p w:rsidR="00FE164B" w:rsidRPr="00452F32" w:rsidRDefault="009F3FE4">
      <w:pPr>
        <w:spacing w:line="360" w:lineRule="auto"/>
        <w:jc w:val="both"/>
        <w:rPr>
          <w:rFonts w:ascii="Palatino Linotype" w:eastAsia="Palatino Linotype" w:hAnsi="Palatino Linotype" w:cs="Palatino Linotype"/>
          <w:b/>
          <w:i/>
        </w:rPr>
      </w:pPr>
      <w:r w:rsidRPr="00452F32">
        <w:rPr>
          <w:rFonts w:ascii="Palatino Linotype" w:eastAsia="Palatino Linotype" w:hAnsi="Palatino Linotype" w:cs="Palatino Linotype"/>
          <w:b/>
          <w:i/>
        </w:rPr>
        <w:t xml:space="preserve">I. La divulgación de la información representa un riesgo real, demostrable e identificable del perjuicio significativo al interés público o a la seguridad pública;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 xml:space="preserve">Sobre este punto,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refirió que se encuentra en un proceso de actualización, lo que no forma parte de la información solicitada, pues el particular requirió t</w:t>
      </w:r>
      <w:r w:rsidRPr="00452F32">
        <w:rPr>
          <w:rFonts w:ascii="Palatino Linotype" w:eastAsia="Palatino Linotype" w:hAnsi="Palatino Linotype" w:cs="Palatino Linotype"/>
          <w:b/>
        </w:rPr>
        <w:t>odas las autorizaciones de ruta que tenga la empresa Alianza de Transportistas Emiliano Zapata, S.A. de C.V.</w:t>
      </w:r>
      <w:r w:rsidRPr="00452F32">
        <w:rPr>
          <w:rFonts w:ascii="Palatino Linotype" w:eastAsia="Palatino Linotype" w:hAnsi="Palatino Linotype" w:cs="Palatino Linotype"/>
        </w:rPr>
        <w:t xml:space="preserve">, en este orden de ideas, no se advierte que la información que se busca reservar coincida con la información que fue requerida por el Particular.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El riesgo que planteó el </w:t>
      </w:r>
      <w:r w:rsidRPr="00452F32">
        <w:rPr>
          <w:rFonts w:ascii="Palatino Linotype" w:eastAsia="Palatino Linotype" w:hAnsi="Palatino Linotype" w:cs="Palatino Linotype"/>
          <w:b/>
        </w:rPr>
        <w:t xml:space="preserve">Sujeto Obligado </w:t>
      </w:r>
      <w:r w:rsidRPr="00452F32">
        <w:rPr>
          <w:rFonts w:ascii="Palatino Linotype" w:eastAsia="Palatino Linotype" w:hAnsi="Palatino Linotype" w:cs="Palatino Linotype"/>
        </w:rPr>
        <w:t xml:space="preserve">es referente a la reestructuración de derroteros, esto no es parte de la información solicitada por lo que no se acreditó el riesgo real, demostrable e identificable.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i/>
        </w:rPr>
      </w:pPr>
      <w:r w:rsidRPr="00452F32">
        <w:rPr>
          <w:rFonts w:ascii="Palatino Linotype" w:eastAsia="Palatino Linotype" w:hAnsi="Palatino Linotype" w:cs="Palatino Linotype"/>
          <w:b/>
          <w:i/>
        </w:rPr>
        <w:t>II. El riesgo de perjuicio que supondría la divulgación supera el interés público general de que se difunda; y</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Al igual que el punto previo, al respecto se planteó que la divulgación, afectaría o podría afectar al proceso deliberativo, de la reestructuración que está llevando a cabo la Secretaría de Movilidad, sin embargo, la reestructuración no es parte de la información solicitada y por tanto, tampoco se acredita que la divulgación, afecte al proceso deliberativo, pues no se requirió información en torno a ello.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i/>
        </w:rPr>
      </w:pPr>
      <w:r w:rsidRPr="00452F32">
        <w:rPr>
          <w:rFonts w:ascii="Palatino Linotype" w:eastAsia="Palatino Linotype" w:hAnsi="Palatino Linotype" w:cs="Palatino Linotype"/>
          <w:b/>
          <w:i/>
        </w:rPr>
        <w:t xml:space="preserve">III. La limitación se adecua al principio de proporcionalidad y representa el medio menos restrictivo disponible representa el medio menos restrictivo disponible para evitar el perjuicio. </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 xml:space="preserve">Este punto no se acreditó en virtud de que el Particular no requirió la información referente al reordenamiento, sino más bien a información vigente a la fecha de la solicitud que fue el diez de octubre del dos mil veintidós, respecto a las autorizaciones de ruta de una empresa.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after="16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Como se vislumbró en páginas previas,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omitió realizar la prueba de daño, por lo que no se acreditaron las causales de reserva invocadas por cada una de las fracciones señaladas y por tanto no se comprobó que la entrega de la información encuadra en los artículos de la Ley General de Transparencia y la Ley de Transparencia Local, ya que no acreditó que comprometa la seguridad nacional, la seguridad pública o la defensa nacional, asimismo no se desprende disposición expresa de una ley que indique que las autorizaciones de las rutas les revista el carácter de reservada expresamente.</w:t>
      </w:r>
    </w:p>
    <w:p w:rsidR="00FE164B" w:rsidRPr="00452F32" w:rsidRDefault="00FE164B">
      <w:pPr>
        <w:spacing w:after="160"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rPr>
        <w:t xml:space="preserve">En tal tesitura debe precisarse que mediante el Acta de la Centésima Octogésima Segunda Sesión Extraordinaria del Comité de Transparencia celebrada el 31 de octubre del año en curso, </w:t>
      </w:r>
      <w:r w:rsidRPr="00452F32">
        <w:rPr>
          <w:rFonts w:ascii="Palatino Linotype" w:eastAsia="Palatino Linotype" w:hAnsi="Palatino Linotype" w:cs="Palatino Linotype"/>
          <w:b/>
        </w:rPr>
        <w:t>se clasificaron todas las autorizaciones de bases y derroteros de ruta fija de servicio público de transporte, que obren en los archivos respectivos de la Dirección General de Movilidad Zona II y de sus Delegaciones</w:t>
      </w:r>
      <w:r w:rsidRPr="00452F32">
        <w:rPr>
          <w:rFonts w:ascii="Palatino Linotype" w:eastAsia="Palatino Linotype" w:hAnsi="Palatino Linotype" w:cs="Palatino Linotype"/>
        </w:rPr>
        <w:t>, en  virtud de lo siguiente:</w:t>
      </w:r>
      <w:r w:rsidRPr="00452F32">
        <w:rPr>
          <w:rFonts w:ascii="Palatino Linotype" w:eastAsia="Palatino Linotype" w:hAnsi="Palatino Linotype" w:cs="Palatino Linotype"/>
          <w:b/>
        </w:rPr>
        <w:t xml:space="preserve"> </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noProof/>
          <w:lang w:val="es-MX"/>
        </w:rPr>
        <w:lastRenderedPageBreak/>
        <w:drawing>
          <wp:inline distT="0" distB="0" distL="0" distR="0">
            <wp:extent cx="5449060" cy="6582694"/>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449060" cy="6582694"/>
                    </a:xfrm>
                    <a:prstGeom prst="rect">
                      <a:avLst/>
                    </a:prstGeom>
                    <a:ln/>
                  </pic:spPr>
                </pic:pic>
              </a:graphicData>
            </a:graphic>
          </wp:inline>
        </w:drawing>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lastRenderedPageBreak/>
        <w:t xml:space="preserve">En contraposición a lo anterior no se debe perder de vista que lo solicitado por el particular son </w:t>
      </w:r>
      <w:r w:rsidRPr="00452F32">
        <w:rPr>
          <w:rFonts w:ascii="Palatino Linotype" w:eastAsia="Palatino Linotype" w:hAnsi="Palatino Linotype" w:cs="Palatino Linotype"/>
          <w:b/>
          <w:u w:val="single"/>
        </w:rPr>
        <w:t>las autorizaciones de ruta que tenga la empresa Alianza de Transportistas Emiliano Zapata, S.A. de C.V</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u w:val="single"/>
        </w:rPr>
        <w:t xml:space="preserve">no así, las </w:t>
      </w:r>
      <w:r w:rsidRPr="00452F32">
        <w:rPr>
          <w:rFonts w:ascii="Palatino Linotype" w:eastAsia="Palatino Linotype" w:hAnsi="Palatino Linotype" w:cs="Palatino Linotype"/>
          <w:b/>
        </w:rPr>
        <w:t>autorizaciones de bases y derroteros de ruta fija de servicio público de transporte, que obren en los archivos respectivos de la Dirección General de Movilidad Zona II y de sus Delegaciones</w:t>
      </w:r>
      <w:r w:rsidRPr="00452F32">
        <w:rPr>
          <w:rFonts w:ascii="Palatino Linotype" w:eastAsia="Palatino Linotype" w:hAnsi="Palatino Linotype" w:cs="Palatino Linotype"/>
          <w:b/>
          <w:u w:val="single"/>
        </w:rPr>
        <w:t xml:space="preserve"> ni las actualizaciones</w:t>
      </w:r>
      <w:r w:rsidRPr="00452F32">
        <w:rPr>
          <w:rFonts w:ascii="Palatino Linotype" w:eastAsia="Palatino Linotype" w:hAnsi="Palatino Linotype" w:cs="Palatino Linotype"/>
        </w:rPr>
        <w:t xml:space="preserve">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se encuentra </w:t>
      </w:r>
      <w:r w:rsidRPr="00452F32">
        <w:rPr>
          <w:rFonts w:ascii="Palatino Linotype" w:eastAsia="Palatino Linotype" w:hAnsi="Palatino Linotype" w:cs="Palatino Linotype"/>
          <w:b/>
          <w:u w:val="single"/>
        </w:rPr>
        <w:t>llevando a cabo con motivo de la regularización y mejora del servicio de transporte</w:t>
      </w:r>
      <w:r w:rsidRPr="00452F32">
        <w:rPr>
          <w:rFonts w:ascii="Palatino Linotype" w:eastAsia="Palatino Linotype" w:hAnsi="Palatino Linotype" w:cs="Palatino Linotype"/>
        </w:rPr>
        <w:t xml:space="preserve"> público que refieren medularmente en la fundamentación de la clasificación de la información.</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Además, no se estima como razón suficiente que se argumente que la divulgación de estas autorizaciones de rutas vulneren la emisión de los estudios y análisis de los derroteros, así como los alargamientos como parte del Programa de Ordenamiento Integral del Transporte Público pues a consideración de este Organismo Garante, la publicidad del documento pretendido ayudaría a transparentar las rutas autorizadas a las que se otorgó la concesión de transporte pública a efecto de brindar certeza a la población en general de los actos de autoridad ejercidos por el ente ahora recurrido.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b/>
        </w:rPr>
      </w:pPr>
      <w:r w:rsidRPr="00452F32">
        <w:rPr>
          <w:rFonts w:ascii="Palatino Linotype" w:eastAsia="Palatino Linotype" w:hAnsi="Palatino Linotype" w:cs="Palatino Linotype"/>
          <w:b/>
        </w:rPr>
        <w:t>3.- Falta de</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firma de autoridades competentes.</w:t>
      </w:r>
    </w:p>
    <w:p w:rsidR="00FE164B" w:rsidRPr="00452F32" w:rsidRDefault="00FE164B">
      <w:pPr>
        <w:spacing w:line="360" w:lineRule="auto"/>
        <w:ind w:right="49"/>
        <w:jc w:val="both"/>
        <w:rPr>
          <w:rFonts w:ascii="Palatino Linotype" w:eastAsia="Palatino Linotype" w:hAnsi="Palatino Linotype" w:cs="Palatino Linotype"/>
        </w:rPr>
      </w:pPr>
    </w:p>
    <w:p w:rsidR="00FE164B" w:rsidRPr="00452F32" w:rsidRDefault="009F3FE4">
      <w:pPr>
        <w:spacing w:line="360" w:lineRule="auto"/>
        <w:ind w:right="49"/>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En lo tocante a este punto, resulta importante destacar que del análisis al acuerdo de clasificación remitido en respuesta, se advirtió que no contaba con las firmas de las autoridades competentes, en virtud de que únicamente se encuentran los espacios en blanco, por lo que dicho acuerdo no goza de validez plena, tal como lo </w:t>
      </w:r>
      <w:r w:rsidRPr="00452F32">
        <w:rPr>
          <w:rFonts w:ascii="Palatino Linotype" w:eastAsia="Palatino Linotype" w:hAnsi="Palatino Linotype" w:cs="Palatino Linotype"/>
        </w:rPr>
        <w:lastRenderedPageBreak/>
        <w:t>señala el criterio orientador SO/004/2017, emitido por el Instituto Nacional de Acceso a la Información y Protección de Datos Personales (INAI), el cual se inserta a continuación:</w:t>
      </w:r>
    </w:p>
    <w:p w:rsidR="00FE164B" w:rsidRPr="00452F32" w:rsidRDefault="00FE164B">
      <w:pPr>
        <w:spacing w:line="360" w:lineRule="auto"/>
        <w:ind w:right="49"/>
        <w:jc w:val="both"/>
        <w:rPr>
          <w:rFonts w:ascii="Palatino Linotype" w:eastAsia="Palatino Linotype" w:hAnsi="Palatino Linotype" w:cs="Palatino Linotype"/>
        </w:rPr>
      </w:pP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“Resoluciones del Comité de Transparencia, gozan de validez siempre que contengan la firma de quien los emite. </w:t>
      </w:r>
      <w:r w:rsidRPr="00452F32">
        <w:rPr>
          <w:rFonts w:ascii="Palatino Linotype" w:eastAsia="Palatino Linotype" w:hAnsi="Palatino Linotype" w:cs="Palatino Linotype"/>
          <w:i/>
          <w:sz w:val="22"/>
          <w:szCs w:val="22"/>
        </w:rPr>
        <w:t>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rsidR="00FE164B" w:rsidRPr="00452F32" w:rsidRDefault="00FE164B">
      <w:pPr>
        <w:spacing w:line="276" w:lineRule="auto"/>
        <w:ind w:left="567" w:right="900"/>
        <w:jc w:val="both"/>
        <w:rPr>
          <w:rFonts w:ascii="Palatino Linotype" w:eastAsia="Palatino Linotype" w:hAnsi="Palatino Linotype" w:cs="Palatino Linotype"/>
          <w:i/>
          <w:sz w:val="22"/>
          <w:szCs w:val="22"/>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Ahora bien, este Organismo Garante, en un análisis de la naturaleza de la información solicitada, advierte que el conocimiento de los derroteros y de las bases del transporte público, incluso es información de interés público, pues permite tener movilidad a la población; para definir lo que es interés público en la materia, estamos a lo contemplado en el artículo 3°, fracción XXII, que a la letra señala: </w:t>
      </w:r>
    </w:p>
    <w:p w:rsidR="00FE164B" w:rsidRPr="00452F32" w:rsidRDefault="00FE164B">
      <w:pPr>
        <w:spacing w:line="276" w:lineRule="auto"/>
        <w:ind w:left="567"/>
        <w:jc w:val="both"/>
        <w:rPr>
          <w:rFonts w:ascii="Palatino Linotype" w:eastAsia="Palatino Linotype" w:hAnsi="Palatino Linotype" w:cs="Palatino Linotype"/>
          <w:i/>
          <w:sz w:val="22"/>
          <w:szCs w:val="22"/>
        </w:rPr>
      </w:pPr>
    </w:p>
    <w:p w:rsidR="00FE164B" w:rsidRPr="00452F32" w:rsidRDefault="009F3FE4">
      <w:pPr>
        <w:spacing w:line="276" w:lineRule="auto"/>
        <w:ind w:lef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“Artículo 3. Para los efectos de la presente Ley se entenderá por: </w:t>
      </w:r>
    </w:p>
    <w:p w:rsidR="00FE164B" w:rsidRPr="00452F32" w:rsidRDefault="009F3FE4">
      <w:pPr>
        <w:spacing w:line="276" w:lineRule="auto"/>
        <w:ind w:lef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 </w:t>
      </w: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XXII.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Los derroteros son las rutas que contemplan las concesiones y las bases aquellos lugares en los que se otorga el permiso como centro de operaciones de los </w:t>
      </w:r>
      <w:r w:rsidRPr="00452F32">
        <w:rPr>
          <w:rFonts w:ascii="Palatino Linotype" w:eastAsia="Palatino Linotype" w:hAnsi="Palatino Linotype" w:cs="Palatino Linotype"/>
        </w:rPr>
        <w:lastRenderedPageBreak/>
        <w:t>concesionarios, cuyo incumplimiento, permite su revocación en términos del artículo 7.35, fracción VIII del Código Administrativo del Estado de México: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“Artículo 7.35.- Las concesiones y permisos se podrán revocar por cualquiera de las causas siguientes: … </w:t>
      </w: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VIII. Prestar servicios distintos a los señalados en la concesión o permiso o sin la cromática respectiva para los concesionarios, y que la misma sea reproducida y utilizada por vehículos concesionados en una modalidad o tipo diferente, según la normatividad administrativa en bases o derroteros autorizados; o permitir que se conduzca la unidad por persona de cualquier edad que carezca de Licencia de Chofer para Servicio Público; </w:t>
      </w: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w:t>
      </w:r>
    </w:p>
    <w:p w:rsidR="00FE164B" w:rsidRPr="00452F32" w:rsidRDefault="00FE164B">
      <w:pPr>
        <w:spacing w:line="276" w:lineRule="auto"/>
        <w:ind w:left="567" w:right="900"/>
        <w:jc w:val="both"/>
        <w:rPr>
          <w:rFonts w:ascii="Palatino Linotype" w:eastAsia="Palatino Linotype" w:hAnsi="Palatino Linotype" w:cs="Palatino Linotype"/>
          <w:i/>
          <w:sz w:val="22"/>
          <w:szCs w:val="22"/>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Así, el conocimiento de los derroteros y de las bases, es una información de gran valía para la sociedad a partir de los siguientes elementos: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Symbol" w:eastAsia="Symbol" w:hAnsi="Symbol" w:cs="Symbol"/>
        </w:rPr>
        <w:t>∙</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Movilidad de la sociedad:</w:t>
      </w:r>
      <w:r w:rsidRPr="00452F32">
        <w:rPr>
          <w:rFonts w:ascii="Palatino Linotype" w:eastAsia="Palatino Linotype" w:hAnsi="Palatino Linotype" w:cs="Palatino Linotype"/>
        </w:rPr>
        <w:t xml:space="preserve"> La información que se requirió es para conocer las rutas y las bases del transporte público, el cual, es definido por la propia Secretaría de Movilidad en la liga de acceso directo https://smovilidad.edomex.gob.mx/transporte_publico, como aquel que comprende los medios de transporte en que los pasajeros no son los propietarios de los mismos, siendo servidos por terceros (empresas públicas o privadas), aquel que ayuda al desplazamiento de las personas de un punto a otro en un área de una ciudad, pagando cada persona una tarifa establecida dependiendo de su recorrido.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Así entonces, conocer los puntos de origen de estos medios de transporte y las rutas, es indispensable para que la utilidad de estos medios de transporte tenga valía </w:t>
      </w:r>
      <w:r w:rsidRPr="00452F32">
        <w:rPr>
          <w:rFonts w:ascii="Palatino Linotype" w:eastAsia="Palatino Linotype" w:hAnsi="Palatino Linotype" w:cs="Palatino Linotype"/>
        </w:rPr>
        <w:lastRenderedPageBreak/>
        <w:t>social. Incluso, medios de transporte como el autobús, el colectivo de Pasajeros en Ruta Fija, los microbuses, cuentan con una ruta pública al usuario, que puede ser incluso al exterior. El conocimiento incluso de las bases de taxis permite al usuario saber de la disponibilidad del servicio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Cuando una persona desea moverse de un punto a otro, necesita tener el conocimiento de elementos como puede ser la ruta de los transportes y las opciones de movilidad como puede ser taxi, autobuses, ferrocarril suburbano, por mencionar algunas opciones, así como los costos y las bases de salida de estos medios de transporte.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El conocer las opciones de movilidad, otorga a los particulares un conocimiento de relevancia social, que permite el desempeño de libertades y de otros derechos, como puede ser el del estudio, del trabajo, de la alimentación, pues a través de medios útiles de movilidad, los ciudadanos pueden ir a centros educativos, a sus centros de trabajo o bien salir a recrearse con amigos o familia. Es así como el conocimiento de la información solicitada tiene relevancia social.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bookmarkStart w:id="7" w:name="_heading=h.1fob9te" w:colFirst="0" w:colLast="0"/>
      <w:bookmarkEnd w:id="7"/>
      <w:r w:rsidRPr="00452F32">
        <w:rPr>
          <w:rFonts w:ascii="Symbol" w:eastAsia="Symbol" w:hAnsi="Symbol" w:cs="Symbol"/>
        </w:rPr>
        <w:t>∙</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Transparencia de las concesiones:</w:t>
      </w:r>
      <w:r w:rsidRPr="00452F32">
        <w:rPr>
          <w:rFonts w:ascii="Palatino Linotype" w:eastAsia="Palatino Linotype" w:hAnsi="Palatino Linotype" w:cs="Palatino Linotype"/>
        </w:rPr>
        <w:t xml:space="preserve"> El conocimiento de esta información, permite a la sociedad, conocer el actuar de la autoridad pues así se transparentan las concesiones gubernamentales que han sido otorgadas, lo que incluso permite al ciudadano participar de manera activa en la toma de decisiones del gobierno, pues incluso permute exige la apertura de nuevas rutas, en beneficio de poblaciones que requieren la creación de rutas novedosas.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La rendición de cuentas de manera estratégica en temas de movilidad permite la planeación con la escucha de la sociedad para determinar nuevas estrategias, que contemplen la economía de la sociedad y de las empresas. Incluso la difusión de esta información puede permitir la inversión empresarial en nuevos métodos de movilidad, pues el conocer esta información, puede incentivar al sector privado a invertir en zonas estratégicas.</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Por ello, se considera necesaria la apertura de esta información. Así, se considera que al no haberse acreditado la reserva de la información, esta deberá ser entregada y en caso de que se determine la necesidad de elaborar versiones públicas deberá entregarse de manera conjunta el acuerdo de clasificación.</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De ahí que no se considere que de acuerdo con el Programa del Ordenamiento del Transporte Público, la revelación del documento que se requiere afectaría gravemente la vialidad social, puesto que se reitera se trata de autorizaciones de rutas que en la actualidad se encuentran en operación, por lo que contrario a lo manifestado, el hacer pública dicha información, ayudaría a verificación del cumplimiento efectivo de dichas rutas por parte de los concesionarios del transporte público.</w:t>
      </w:r>
    </w:p>
    <w:p w:rsidR="00FE164B" w:rsidRPr="00452F32" w:rsidRDefault="00FE164B">
      <w:pPr>
        <w:spacing w:line="360" w:lineRule="auto"/>
        <w:jc w:val="both"/>
        <w:rPr>
          <w:rFonts w:ascii="Palatino Linotype" w:eastAsia="Palatino Linotype" w:hAnsi="Palatino Linotype" w:cs="Palatino Linotype"/>
          <w:b/>
        </w:rPr>
      </w:pPr>
    </w:p>
    <w:p w:rsidR="00FE164B" w:rsidRPr="00452F32" w:rsidRDefault="00FE164B">
      <w:pPr>
        <w:spacing w:line="276" w:lineRule="auto"/>
        <w:ind w:left="567" w:right="900"/>
        <w:jc w:val="both"/>
        <w:rPr>
          <w:rFonts w:ascii="Palatino Linotype" w:eastAsia="Palatino Linotype" w:hAnsi="Palatino Linotype" w:cs="Palatino Linotype"/>
          <w:i/>
          <w:sz w:val="22"/>
          <w:szCs w:val="22"/>
        </w:rPr>
      </w:pP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Es por lo anterior que, no se considera que resulte procedente la clasificación de la información consistente en las autorizaciones de ruta que tenga la empresa Alianza </w:t>
      </w:r>
      <w:r w:rsidRPr="00452F32">
        <w:rPr>
          <w:rFonts w:ascii="Palatino Linotype" w:eastAsia="Palatino Linotype" w:hAnsi="Palatino Linotype" w:cs="Palatino Linotype"/>
        </w:rPr>
        <w:lastRenderedPageBreak/>
        <w:t xml:space="preserve">de Transportistas Emiliano Zapata, S.A. de C.V., puesto que como se abordó durante el estudio, no se actualizan los preceptos normativos que invoca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asimismo los documentos que refiere clasificar no coinciden con los solicitados desde el primer momento, además se resalta el hecho de que prima el interés colectivo de trasparentar el quehacer gubernamental y sus decisiones respecto de concesiones otorgadas para la prestación del servicio de transporte público, siendo más relevante el dar a conocer el cómo se desarrollan dichas estrategias en la actualidad, sin que impida mejoras futuras por parte del ente gubernamental. </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Así, por lo expuesto con antelación se concluye que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satisfizo parcialmente el derecho de acceso a la información del </w:t>
      </w:r>
      <w:r w:rsidRPr="00452F32">
        <w:rPr>
          <w:rFonts w:ascii="Palatino Linotype" w:eastAsia="Palatino Linotype" w:hAnsi="Palatino Linotype" w:cs="Palatino Linotype"/>
          <w:b/>
        </w:rPr>
        <w:t>Recurrente</w:t>
      </w:r>
      <w:r w:rsidRPr="00452F32">
        <w:rPr>
          <w:rFonts w:ascii="Palatino Linotype" w:eastAsia="Palatino Linotype" w:hAnsi="Palatino Linotype" w:cs="Palatino Linotype"/>
        </w:rPr>
        <w:t xml:space="preserve">, por lo que, para este Pleno resulta dable </w:t>
      </w:r>
      <w:r w:rsidRPr="00452F32">
        <w:rPr>
          <w:rFonts w:ascii="Palatino Linotype" w:eastAsia="Palatino Linotype" w:hAnsi="Palatino Linotype" w:cs="Palatino Linotype"/>
          <w:b/>
        </w:rPr>
        <w:t>REVOCAR</w:t>
      </w:r>
      <w:r w:rsidRPr="00452F32">
        <w:rPr>
          <w:rFonts w:ascii="Palatino Linotype" w:eastAsia="Palatino Linotype" w:hAnsi="Palatino Linotype" w:cs="Palatino Linotype"/>
        </w:rPr>
        <w:t xml:space="preserve"> la respuesta otorgada por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a la solicitud de información </w:t>
      </w:r>
      <w:r w:rsidRPr="00452F32">
        <w:rPr>
          <w:rFonts w:ascii="Palatino Linotype" w:eastAsia="Palatino Linotype" w:hAnsi="Palatino Linotype" w:cs="Palatino Linotype"/>
          <w:b/>
        </w:rPr>
        <w:t xml:space="preserve">00524/SMOV/IP/2022, </w:t>
      </w:r>
      <w:r w:rsidRPr="00452F32">
        <w:rPr>
          <w:rFonts w:ascii="Palatino Linotype" w:eastAsia="Palatino Linotype" w:hAnsi="Palatino Linotype" w:cs="Palatino Linotype"/>
        </w:rPr>
        <w:t>materia del presente asunto, al resultar fundadas las razones o motivos de inconformidad aducidos por la parte que recurre y ordenar la entrega de la información en versión pública, ello de conformidad con el siguiente considerando.</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 xml:space="preserve">Quinto. Versión Pública. </w:t>
      </w:r>
      <w:r w:rsidRPr="00452F32">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tendrá que elaborar la versión pública de los documentos que vaya entregar para dar cumplimiento a esta </w:t>
      </w:r>
      <w:r w:rsidRPr="00452F32">
        <w:rPr>
          <w:rFonts w:ascii="Palatino Linotype" w:eastAsia="Palatino Linotype" w:hAnsi="Palatino Linotype" w:cs="Palatino Linotype"/>
        </w:rPr>
        <w:lastRenderedPageBreak/>
        <w:t>resolución, a fin de satisfacer el derecho de acceso a la información pública de la recurrente sin menoscabar el derecho a la protección de los datos personales de terceros.</w:t>
      </w:r>
    </w:p>
    <w:p w:rsidR="00FE164B" w:rsidRPr="00452F32" w:rsidRDefault="009F3FE4">
      <w:pPr>
        <w:spacing w:before="240" w:after="240" w:line="360" w:lineRule="auto"/>
        <w:ind w:right="50"/>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452F32">
        <w:rPr>
          <w:rFonts w:ascii="Palatino Linotype" w:eastAsia="Palatino Linotype" w:hAnsi="Palatino Linotype" w:cs="Palatino Linotype"/>
        </w:rPr>
        <w:t>fracción</w:t>
      </w:r>
      <w:proofErr w:type="gramEnd"/>
      <w:r w:rsidRPr="00452F32">
        <w:rPr>
          <w:rFonts w:ascii="Palatino Linotype" w:eastAsia="Palatino Linotype" w:hAnsi="Palatino Linotype" w:cs="Palatino Linotype"/>
        </w:rPr>
        <w:t xml:space="preserve"> I de la Ley de Transparencia y Acceso a la Información Pública del Estado de México y Municipios que establecen:</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r w:rsidRPr="00452F32">
        <w:rPr>
          <w:rFonts w:ascii="Palatino Linotype" w:eastAsia="Palatino Linotype" w:hAnsi="Palatino Linotype" w:cs="Palatino Linotype"/>
          <w:b/>
          <w:i/>
          <w:sz w:val="22"/>
          <w:szCs w:val="22"/>
        </w:rPr>
        <w:t>Artículo 3</w:t>
      </w:r>
      <w:r w:rsidRPr="00452F32">
        <w:rPr>
          <w:rFonts w:ascii="Palatino Linotype" w:eastAsia="Palatino Linotype" w:hAnsi="Palatino Linotype" w:cs="Palatino Linotype"/>
          <w:i/>
          <w:sz w:val="22"/>
          <w:szCs w:val="22"/>
        </w:rPr>
        <w:t>. Para los efectos de la presente Ley se entenderá por:</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IX. Datos personales:</w:t>
      </w:r>
      <w:r w:rsidRPr="00452F3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XX. Información clasificada</w:t>
      </w:r>
      <w:r w:rsidRPr="00452F32">
        <w:rPr>
          <w:rFonts w:ascii="Palatino Linotype" w:eastAsia="Palatino Linotype" w:hAnsi="Palatino Linotype" w:cs="Palatino Linotype"/>
          <w:i/>
          <w:sz w:val="22"/>
          <w:szCs w:val="22"/>
        </w:rPr>
        <w:t>: Aquella considerada por la presente Ley como reservada o confidencial;</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XXI. Información confidencial:</w:t>
      </w:r>
      <w:r w:rsidRPr="00452F3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XLV. Versión pública:</w:t>
      </w:r>
      <w:r w:rsidRPr="00452F3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Artículo 91. </w:t>
      </w:r>
      <w:r w:rsidRPr="00452F3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Artículo 132. </w:t>
      </w:r>
      <w:r w:rsidRPr="00452F32">
        <w:rPr>
          <w:rFonts w:ascii="Palatino Linotype" w:eastAsia="Palatino Linotype" w:hAnsi="Palatino Linotype" w:cs="Palatino Linotype"/>
          <w:i/>
          <w:sz w:val="22"/>
          <w:szCs w:val="22"/>
        </w:rPr>
        <w:t>La clasificación de la información se llevará a cabo en el momento en que:</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w:t>
      </w:r>
      <w:r w:rsidRPr="00452F32">
        <w:rPr>
          <w:rFonts w:ascii="Palatino Linotype" w:eastAsia="Palatino Linotype" w:hAnsi="Palatino Linotype" w:cs="Palatino Linotype"/>
          <w:i/>
          <w:sz w:val="22"/>
          <w:szCs w:val="22"/>
        </w:rPr>
        <w:t>. Se reciba una solicitud de acceso a la información;</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II</w:t>
      </w:r>
      <w:r w:rsidRPr="00452F32">
        <w:rPr>
          <w:rFonts w:ascii="Palatino Linotype" w:eastAsia="Palatino Linotype" w:hAnsi="Palatino Linotype" w:cs="Palatino Linotype"/>
          <w:i/>
          <w:sz w:val="22"/>
          <w:szCs w:val="22"/>
        </w:rPr>
        <w:t>. Se determine mediante resolución de autoridad competente; o</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III</w:t>
      </w:r>
      <w:r w:rsidRPr="00452F32">
        <w:rPr>
          <w:rFonts w:ascii="Palatino Linotype" w:eastAsia="Palatino Linotype" w:hAnsi="Palatino Linotype" w:cs="Palatino Linotype"/>
          <w:i/>
          <w:sz w:val="22"/>
          <w:szCs w:val="22"/>
        </w:rPr>
        <w:t>. Se generen versiones públicas para dar cumplimiento a las obligaciones de transparencia previstas en esta Ley.</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lastRenderedPageBreak/>
        <w:t>Artículo 143</w:t>
      </w:r>
      <w:r w:rsidRPr="00452F3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w:t>
      </w:r>
      <w:r w:rsidRPr="00452F32">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452F32">
        <w:rPr>
          <w:rFonts w:ascii="Palatino Linotype" w:eastAsia="Palatino Linotype" w:hAnsi="Palatino Linotype" w:cs="Palatino Linotype"/>
          <w:i/>
          <w:sz w:val="22"/>
          <w:szCs w:val="22"/>
        </w:rPr>
        <w:t>jurídico</w:t>
      </w:r>
      <w:proofErr w:type="gramEnd"/>
      <w:r w:rsidRPr="00452F32">
        <w:rPr>
          <w:rFonts w:ascii="Palatino Linotype" w:eastAsia="Palatino Linotype" w:hAnsi="Palatino Linotype" w:cs="Palatino Linotype"/>
          <w:i/>
          <w:sz w:val="22"/>
          <w:szCs w:val="22"/>
        </w:rPr>
        <w:t xml:space="preserve"> colectiva identificada o identificable;</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II.</w:t>
      </w:r>
      <w:r w:rsidRPr="00452F3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III</w:t>
      </w:r>
      <w:r w:rsidRPr="00452F3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E164B" w:rsidRPr="00452F32" w:rsidRDefault="009F3FE4">
      <w:pPr>
        <w:spacing w:before="120" w:after="120"/>
        <w:ind w:left="567" w:right="902"/>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E164B" w:rsidRPr="00452F32" w:rsidRDefault="009F3FE4">
      <w:pPr>
        <w:spacing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w:t>
      </w:r>
      <w:r w:rsidRPr="00452F32">
        <w:rPr>
          <w:rFonts w:ascii="Palatino Linotype" w:eastAsia="Palatino Linotype" w:hAnsi="Palatino Linotype" w:cs="Palatino Linotype"/>
        </w:rPr>
        <w:lastRenderedPageBreak/>
        <w:t xml:space="preserve">deberá llevar el acuerdo de clasificación que deberá emitir el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siendo estas las siguientes:</w:t>
      </w:r>
    </w:p>
    <w:p w:rsidR="00FE164B" w:rsidRPr="00452F32" w:rsidRDefault="00FE164B">
      <w:pPr>
        <w:spacing w:line="360" w:lineRule="auto"/>
        <w:jc w:val="both"/>
        <w:rPr>
          <w:rFonts w:ascii="Palatino Linotype" w:eastAsia="Palatino Linotype" w:hAnsi="Palatino Linotype" w:cs="Palatino Linotype"/>
        </w:rPr>
      </w:pPr>
    </w:p>
    <w:p w:rsidR="00FE164B" w:rsidRPr="00452F32" w:rsidRDefault="009F3FE4">
      <w:pPr>
        <w:spacing w:line="276" w:lineRule="auto"/>
        <w:ind w:lef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“CAPÍTULO VIII </w:t>
      </w:r>
    </w:p>
    <w:p w:rsidR="00FE164B" w:rsidRPr="00452F32" w:rsidRDefault="009F3FE4">
      <w:pPr>
        <w:spacing w:line="276" w:lineRule="auto"/>
        <w:ind w:left="567"/>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DE LOS ELEMENTOS PARA LA CLASIFICACIÓN </w:t>
      </w: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Quincuagésimo.</w:t>
      </w:r>
      <w:r w:rsidRPr="00452F3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FE164B" w:rsidRPr="00452F32" w:rsidRDefault="009F3FE4">
      <w:pP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Quincuagésimo primero.</w:t>
      </w:r>
      <w:r w:rsidRPr="00452F32">
        <w:rPr>
          <w:rFonts w:ascii="Palatino Linotype" w:eastAsia="Palatino Linotype" w:hAnsi="Palatino Linotype" w:cs="Palatino Linotype"/>
          <w:i/>
          <w:sz w:val="22"/>
          <w:szCs w:val="22"/>
        </w:rPr>
        <w:t xml:space="preserve"> Toda acta del Comité de Transparencia deberá contener: </w:t>
      </w:r>
    </w:p>
    <w:p w:rsidR="00FE164B" w:rsidRPr="00452F32" w:rsidRDefault="009F3FE4">
      <w:pPr>
        <w:numPr>
          <w:ilvl w:val="1"/>
          <w:numId w:val="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El número de sesión y fecha; </w:t>
      </w:r>
    </w:p>
    <w:p w:rsidR="00FE164B" w:rsidRPr="00452F32" w:rsidRDefault="009F3FE4">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El nombre del área que solicitó la clasificación de información; </w:t>
      </w:r>
    </w:p>
    <w:p w:rsidR="00FE164B" w:rsidRPr="00452F32" w:rsidRDefault="009F3FE4">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La fundamentación legal y motivación correspondiente; </w:t>
      </w:r>
    </w:p>
    <w:p w:rsidR="00FE164B" w:rsidRPr="00452F32" w:rsidRDefault="009F3FE4">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La resolución o resoluciones aprobadas; y </w:t>
      </w:r>
    </w:p>
    <w:p w:rsidR="00FE164B" w:rsidRPr="00452F32" w:rsidRDefault="009F3FE4">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La rúbrica o firma digital de cada integrante del Comité de Transparencia.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I. Los motivos y razonamientos que sustenten la confirmación o modificación de la prueba de daño;</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II. Descripción de las partes o secciones reservadas, en caso de clasificación parcial;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III. El periodo por el que mantendrá su clasificación y fecha de expiración; y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Quincuagésimo segundo. </w:t>
      </w:r>
      <w:r w:rsidRPr="00452F32">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sidRPr="00452F32">
        <w:rPr>
          <w:rFonts w:ascii="Palatino Linotype" w:eastAsia="Palatino Linotype" w:hAnsi="Palatino Linotype" w:cs="Palatino Linotype"/>
          <w:i/>
          <w:sz w:val="22"/>
          <w:szCs w:val="22"/>
        </w:rPr>
        <w:lastRenderedPageBreak/>
        <w:t xml:space="preserve">asegurar que el espacio utilizado para testar la información no podrá ser empleado para la </w:t>
      </w:r>
      <w:proofErr w:type="spellStart"/>
      <w:r w:rsidRPr="00452F32">
        <w:rPr>
          <w:rFonts w:ascii="Palatino Linotype" w:eastAsia="Palatino Linotype" w:hAnsi="Palatino Linotype" w:cs="Palatino Linotype"/>
          <w:i/>
          <w:sz w:val="22"/>
          <w:szCs w:val="22"/>
        </w:rPr>
        <w:t>sobreposición</w:t>
      </w:r>
      <w:proofErr w:type="spellEnd"/>
      <w:r w:rsidRPr="00452F32">
        <w:rPr>
          <w:rFonts w:ascii="Palatino Linotype" w:eastAsia="Palatino Linotype" w:hAnsi="Palatino Linotype" w:cs="Palatino Linotype"/>
          <w:i/>
          <w:sz w:val="22"/>
          <w:szCs w:val="22"/>
        </w:rPr>
        <w:t xml:space="preserve"> de contenido distinto al autorizado por el Comité.</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I. Fijar la fecha en que se elaboró la versión pública y la fecha en la cual el Comité de</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Transparencia confirmó dicha versión;</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III. Señalar las personas o instancias autorizadas a acceder a la información clasificada.</w:t>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452F32">
        <w:rPr>
          <w:noProof/>
          <w:lang w:val="es-MX"/>
        </w:rPr>
        <w:drawing>
          <wp:anchor distT="0" distB="0" distL="114300" distR="114300" simplePos="0" relativeHeight="251659264"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noProof/>
          <w:sz w:val="22"/>
          <w:szCs w:val="22"/>
          <w:lang w:val="es-MX"/>
        </w:rPr>
        <w:lastRenderedPageBreak/>
        <w:drawing>
          <wp:inline distT="0" distB="0" distL="0" distR="0">
            <wp:extent cx="4576404" cy="5139653"/>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4576404" cy="5139653"/>
                    </a:xfrm>
                    <a:prstGeom prst="rect">
                      <a:avLst/>
                    </a:prstGeom>
                    <a:ln/>
                  </pic:spPr>
                </pic:pic>
              </a:graphicData>
            </a:graphic>
          </wp:inline>
        </w:drawing>
      </w:r>
    </w:p>
    <w:p w:rsidR="00FE164B" w:rsidRPr="00452F32" w:rsidRDefault="00FE164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Quincuagésimo cuarto. </w:t>
      </w:r>
      <w:r w:rsidRPr="00452F3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FE164B" w:rsidRPr="00452F32" w:rsidRDefault="00FE164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FE164B" w:rsidRPr="00452F32" w:rsidRDefault="009F3FE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b/>
          <w:i/>
          <w:sz w:val="22"/>
          <w:szCs w:val="22"/>
        </w:rPr>
        <w:t xml:space="preserve">Quincuagésimo quinto. </w:t>
      </w:r>
      <w:r w:rsidRPr="00452F3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52F32">
        <w:rPr>
          <w:rFonts w:ascii="Palatino Linotype" w:eastAsia="Palatino Linotype" w:hAnsi="Palatino Linotype" w:cs="Palatino Linotype"/>
          <w:i/>
          <w:sz w:val="22"/>
          <w:szCs w:val="22"/>
        </w:rPr>
        <w:t>testado</w:t>
      </w:r>
      <w:proofErr w:type="spellEnd"/>
      <w:r w:rsidRPr="00452F32">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452F32">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(Sic) (Énfasis añadido) </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sidRPr="00452F32">
        <w:rPr>
          <w:rFonts w:ascii="Palatino Linotype" w:eastAsia="Palatino Linotype" w:hAnsi="Palatino Linotype" w:cs="Palatino Linotype"/>
          <w:b/>
        </w:rPr>
        <w:t xml:space="preserve">Sujeto Obligado </w:t>
      </w:r>
      <w:r w:rsidRPr="00452F32">
        <w:rPr>
          <w:rFonts w:ascii="Palatino Linotype" w:eastAsia="Palatino Linotype" w:hAnsi="Palatino Linotype" w:cs="Palatino Linotype"/>
        </w:rPr>
        <w:t>entregue la información requerida.</w:t>
      </w:r>
    </w:p>
    <w:p w:rsidR="00FE164B" w:rsidRPr="00452F32" w:rsidRDefault="009F3FE4">
      <w:pPr>
        <w:spacing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FE164B" w:rsidRPr="00452F32" w:rsidRDefault="009F3FE4">
      <w:pPr>
        <w:numPr>
          <w:ilvl w:val="0"/>
          <w:numId w:val="6"/>
        </w:numPr>
        <w:spacing w:after="240" w:line="360" w:lineRule="auto"/>
        <w:ind w:left="2552" w:hanging="141"/>
        <w:jc w:val="both"/>
        <w:rPr>
          <w:rFonts w:ascii="Palatino Linotype" w:eastAsia="Palatino Linotype" w:hAnsi="Palatino Linotype" w:cs="Palatino Linotype"/>
          <w:b/>
        </w:rPr>
      </w:pPr>
      <w:r w:rsidRPr="00452F32">
        <w:rPr>
          <w:rFonts w:ascii="Palatino Linotype" w:eastAsia="Palatino Linotype" w:hAnsi="Palatino Linotype" w:cs="Palatino Linotype"/>
          <w:b/>
        </w:rPr>
        <w:t>R E S U E L V E:</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lastRenderedPageBreak/>
        <w:t xml:space="preserve">Primero. </w:t>
      </w:r>
      <w:r w:rsidRPr="00452F32">
        <w:rPr>
          <w:rFonts w:ascii="Palatino Linotype" w:eastAsia="Palatino Linotype" w:hAnsi="Palatino Linotype" w:cs="Palatino Linotype"/>
        </w:rPr>
        <w:t xml:space="preserve">Resultan </w:t>
      </w:r>
      <w:r w:rsidRPr="00452F32">
        <w:rPr>
          <w:rFonts w:ascii="Palatino Linotype" w:eastAsia="Palatino Linotype" w:hAnsi="Palatino Linotype" w:cs="Palatino Linotype"/>
          <w:b/>
        </w:rPr>
        <w:t>fundadas</w:t>
      </w:r>
      <w:r w:rsidRPr="00452F32">
        <w:rPr>
          <w:rFonts w:ascii="Palatino Linotype" w:eastAsia="Palatino Linotype" w:hAnsi="Palatino Linotype" w:cs="Palatino Linotype"/>
        </w:rPr>
        <w:t xml:space="preserve"> las razones o motivos de inconformidad hechos valer por </w:t>
      </w:r>
      <w:r w:rsidRPr="00452F32">
        <w:rPr>
          <w:rFonts w:ascii="Palatino Linotype" w:eastAsia="Palatino Linotype" w:hAnsi="Palatino Linotype" w:cs="Palatino Linotype"/>
          <w:b/>
        </w:rPr>
        <w:t>el Recurrente</w:t>
      </w:r>
      <w:r w:rsidRPr="00452F32">
        <w:rPr>
          <w:rFonts w:ascii="Palatino Linotype" w:eastAsia="Palatino Linotype" w:hAnsi="Palatino Linotype" w:cs="Palatino Linotype"/>
        </w:rPr>
        <w:t xml:space="preserve"> en el recurso de revisión </w:t>
      </w:r>
      <w:r w:rsidRPr="00452F32">
        <w:rPr>
          <w:rFonts w:ascii="Palatino Linotype" w:eastAsia="Palatino Linotype" w:hAnsi="Palatino Linotype" w:cs="Palatino Linotype"/>
          <w:b/>
        </w:rPr>
        <w:t>16389/INFOEM/IP/RR/2022</w:t>
      </w:r>
      <w:r w:rsidRPr="00452F32">
        <w:rPr>
          <w:rFonts w:ascii="Palatino Linotype" w:eastAsia="Palatino Linotype" w:hAnsi="Palatino Linotype" w:cs="Palatino Linotype"/>
        </w:rPr>
        <w:t xml:space="preserve">; por lo que, en términos del </w:t>
      </w:r>
      <w:r w:rsidRPr="00452F32">
        <w:rPr>
          <w:rFonts w:ascii="Palatino Linotype" w:eastAsia="Palatino Linotype" w:hAnsi="Palatino Linotype" w:cs="Palatino Linotype"/>
          <w:b/>
        </w:rPr>
        <w:t>Considerando</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 xml:space="preserve">Cuarto </w:t>
      </w:r>
      <w:r w:rsidRPr="00452F32">
        <w:rPr>
          <w:rFonts w:ascii="Palatino Linotype" w:eastAsia="Palatino Linotype" w:hAnsi="Palatino Linotype" w:cs="Palatino Linotype"/>
        </w:rPr>
        <w:t xml:space="preserve">de esta resolución, se </w:t>
      </w:r>
      <w:r w:rsidRPr="00452F32">
        <w:rPr>
          <w:rFonts w:ascii="Palatino Linotype" w:eastAsia="Palatino Linotype" w:hAnsi="Palatino Linotype" w:cs="Palatino Linotype"/>
          <w:b/>
        </w:rPr>
        <w:t xml:space="preserve">REVOCA </w:t>
      </w:r>
      <w:r w:rsidRPr="00452F32">
        <w:rPr>
          <w:rFonts w:ascii="Palatino Linotype" w:eastAsia="Palatino Linotype" w:hAnsi="Palatino Linotype" w:cs="Palatino Linotype"/>
        </w:rPr>
        <w:t xml:space="preserve">la respuesta emitida por el </w:t>
      </w:r>
      <w:r w:rsidRPr="00452F32">
        <w:rPr>
          <w:rFonts w:ascii="Palatino Linotype" w:eastAsia="Palatino Linotype" w:hAnsi="Palatino Linotype" w:cs="Palatino Linotype"/>
          <w:b/>
        </w:rPr>
        <w:t xml:space="preserve">Sujeto Obligado. </w:t>
      </w:r>
    </w:p>
    <w:p w:rsidR="00FE164B" w:rsidRPr="00452F32" w:rsidRDefault="009F3FE4">
      <w:pPr>
        <w:spacing w:before="240" w:after="240" w:line="360" w:lineRule="auto"/>
        <w:ind w:right="49"/>
        <w:jc w:val="both"/>
        <w:rPr>
          <w:rFonts w:ascii="Palatino Linotype" w:eastAsia="Palatino Linotype" w:hAnsi="Palatino Linotype" w:cs="Palatino Linotype"/>
          <w:b/>
        </w:rPr>
      </w:pPr>
      <w:bookmarkStart w:id="8" w:name="_heading=h.3znysh7" w:colFirst="0" w:colLast="0"/>
      <w:bookmarkEnd w:id="8"/>
      <w:r w:rsidRPr="00452F32">
        <w:rPr>
          <w:rFonts w:ascii="Palatino Linotype" w:eastAsia="Palatino Linotype" w:hAnsi="Palatino Linotype" w:cs="Palatino Linotype"/>
          <w:b/>
        </w:rPr>
        <w:t xml:space="preserve">Segundo. </w:t>
      </w:r>
      <w:r w:rsidRPr="00452F32">
        <w:rPr>
          <w:rFonts w:ascii="Palatino Linotype" w:eastAsia="Palatino Linotype" w:hAnsi="Palatino Linotype" w:cs="Palatino Linotype"/>
        </w:rPr>
        <w:t xml:space="preserve">Se </w:t>
      </w:r>
      <w:r w:rsidRPr="00452F32">
        <w:rPr>
          <w:rFonts w:ascii="Palatino Linotype" w:eastAsia="Palatino Linotype" w:hAnsi="Palatino Linotype" w:cs="Palatino Linotype"/>
          <w:b/>
        </w:rPr>
        <w:t xml:space="preserve">Ordena </w:t>
      </w:r>
      <w:r w:rsidRPr="00452F32">
        <w:rPr>
          <w:rFonts w:ascii="Palatino Linotype" w:eastAsia="Palatino Linotype" w:hAnsi="Palatino Linotype" w:cs="Palatino Linotype"/>
        </w:rPr>
        <w:t xml:space="preserve">al </w:t>
      </w:r>
      <w:r w:rsidRPr="00452F32">
        <w:rPr>
          <w:rFonts w:ascii="Palatino Linotype" w:eastAsia="Palatino Linotype" w:hAnsi="Palatino Linotype" w:cs="Palatino Linotype"/>
          <w:b/>
        </w:rPr>
        <w:t>Sujeto Obligado</w:t>
      </w:r>
      <w:r w:rsidRPr="00452F32">
        <w:rPr>
          <w:rFonts w:ascii="Palatino Linotype" w:eastAsia="Palatino Linotype" w:hAnsi="Palatino Linotype" w:cs="Palatino Linotype"/>
        </w:rPr>
        <w:t xml:space="preserve"> haga entrega a</w:t>
      </w:r>
      <w:r w:rsidRPr="00452F32">
        <w:rPr>
          <w:rFonts w:ascii="Palatino Linotype" w:eastAsia="Palatino Linotype" w:hAnsi="Palatino Linotype" w:cs="Palatino Linotype"/>
          <w:b/>
        </w:rPr>
        <w:t xml:space="preserve"> la parte  Recurrente,</w:t>
      </w:r>
      <w:r w:rsidRPr="00452F32">
        <w:rPr>
          <w:rFonts w:ascii="Palatino Linotype" w:eastAsia="Palatino Linotype" w:hAnsi="Palatino Linotype" w:cs="Palatino Linotype"/>
        </w:rPr>
        <w:t xml:space="preserve"> vía SAIMEX</w:t>
      </w:r>
      <w:r w:rsidRPr="00452F32">
        <w:rPr>
          <w:rFonts w:ascii="Palatino Linotype" w:eastAsia="Palatino Linotype" w:hAnsi="Palatino Linotype" w:cs="Palatino Linotype"/>
          <w:b/>
        </w:rPr>
        <w:t>, en versión pública de ser procedente</w:t>
      </w:r>
      <w:r w:rsidRPr="00452F32">
        <w:rPr>
          <w:rFonts w:ascii="Palatino Linotype" w:eastAsia="Palatino Linotype" w:hAnsi="Palatino Linotype" w:cs="Palatino Linotype"/>
        </w:rPr>
        <w:t xml:space="preserve">, en términos de los </w:t>
      </w:r>
      <w:r w:rsidRPr="00452F32">
        <w:rPr>
          <w:rFonts w:ascii="Palatino Linotype" w:eastAsia="Palatino Linotype" w:hAnsi="Palatino Linotype" w:cs="Palatino Linotype"/>
          <w:b/>
        </w:rPr>
        <w:t>Considerandos</w:t>
      </w:r>
      <w:r w:rsidRPr="00452F32">
        <w:rPr>
          <w:rFonts w:ascii="Palatino Linotype" w:eastAsia="Palatino Linotype" w:hAnsi="Palatino Linotype" w:cs="Palatino Linotype"/>
        </w:rPr>
        <w:t xml:space="preserve"> </w:t>
      </w:r>
      <w:r w:rsidRPr="00452F32">
        <w:rPr>
          <w:rFonts w:ascii="Palatino Linotype" w:eastAsia="Palatino Linotype" w:hAnsi="Palatino Linotype" w:cs="Palatino Linotype"/>
          <w:b/>
        </w:rPr>
        <w:t xml:space="preserve">Cuarto y Quinto de la presente resolución, lo siguiente: </w:t>
      </w:r>
    </w:p>
    <w:p w:rsidR="00FE164B" w:rsidRPr="00452F32" w:rsidRDefault="009F3FE4" w:rsidP="009F3FE4">
      <w:pPr>
        <w:tabs>
          <w:tab w:val="left" w:pos="7938"/>
        </w:tabs>
        <w:spacing w:after="120"/>
        <w:ind w:left="567" w:right="900"/>
        <w:jc w:val="both"/>
        <w:rPr>
          <w:rFonts w:ascii="Palatino Linotype" w:eastAsia="Palatino Linotype" w:hAnsi="Palatino Linotype" w:cs="Palatino Linotype"/>
          <w:b/>
          <w:i/>
          <w:sz w:val="22"/>
          <w:szCs w:val="22"/>
        </w:rPr>
      </w:pPr>
      <w:r w:rsidRPr="00452F32">
        <w:rPr>
          <w:rFonts w:ascii="Palatino Linotype" w:eastAsia="Palatino Linotype" w:hAnsi="Palatino Linotype" w:cs="Palatino Linotype"/>
          <w:b/>
          <w:i/>
          <w:sz w:val="22"/>
          <w:szCs w:val="22"/>
        </w:rPr>
        <w:t>Las autorizaciones de ruta que tenga la empresa Alianza de Transportistas Emiliano Zapata, S.A. de C.V, vigentes al 10 de octubre de 2022.</w:t>
      </w:r>
    </w:p>
    <w:p w:rsidR="00FE164B" w:rsidRPr="00452F32" w:rsidRDefault="009F3FE4">
      <w:pPr>
        <w:tabs>
          <w:tab w:val="left" w:pos="7938"/>
        </w:tabs>
        <w:spacing w:after="120"/>
        <w:ind w:left="567" w:right="900"/>
        <w:jc w:val="both"/>
        <w:rPr>
          <w:rFonts w:ascii="Palatino Linotype" w:eastAsia="Palatino Linotype" w:hAnsi="Palatino Linotype" w:cs="Palatino Linotype"/>
          <w:i/>
          <w:sz w:val="22"/>
          <w:szCs w:val="22"/>
        </w:rPr>
      </w:pPr>
      <w:r w:rsidRPr="00452F32">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452F32">
        <w:rPr>
          <w:rFonts w:ascii="Palatino Linotype" w:eastAsia="Palatino Linotype" w:hAnsi="Palatino Linotype" w:cs="Palatino Linotype"/>
          <w:b/>
          <w:i/>
          <w:sz w:val="22"/>
          <w:szCs w:val="22"/>
        </w:rPr>
        <w:t>Recurrente</w:t>
      </w:r>
      <w:r w:rsidRPr="00452F32">
        <w:rPr>
          <w:rFonts w:ascii="Palatino Linotype" w:eastAsia="Palatino Linotype" w:hAnsi="Palatino Linotype" w:cs="Palatino Linotype"/>
          <w:i/>
          <w:sz w:val="22"/>
          <w:szCs w:val="22"/>
        </w:rPr>
        <w:t>.</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Tercero</w:t>
      </w:r>
      <w:r w:rsidRPr="00452F32">
        <w:rPr>
          <w:rFonts w:ascii="Palatino Linotype" w:eastAsia="Palatino Linotype" w:hAnsi="Palatino Linotype" w:cs="Palatino Linotype"/>
          <w:b/>
          <w:sz w:val="28"/>
          <w:szCs w:val="28"/>
        </w:rPr>
        <w:t xml:space="preserve">.  </w:t>
      </w:r>
      <w:r w:rsidRPr="00452F32">
        <w:rPr>
          <w:rFonts w:ascii="Palatino Linotype" w:eastAsia="Palatino Linotype" w:hAnsi="Palatino Linotype" w:cs="Palatino Linotype"/>
          <w:b/>
        </w:rPr>
        <w:t>Notifíquese vía SAIMEX,</w:t>
      </w:r>
      <w:r w:rsidRPr="00452F32">
        <w:rPr>
          <w:rFonts w:ascii="Palatino Linotype" w:eastAsia="Palatino Linotype" w:hAnsi="Palatino Linotype" w:cs="Palatino Linotype"/>
          <w:b/>
          <w:sz w:val="28"/>
          <w:szCs w:val="28"/>
        </w:rPr>
        <w:t xml:space="preserve"> </w:t>
      </w:r>
      <w:r w:rsidRPr="00452F3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lastRenderedPageBreak/>
        <w:t>Cuarto.</w:t>
      </w:r>
      <w:r w:rsidRPr="00452F32">
        <w:rPr>
          <w:rFonts w:ascii="Palatino Linotype" w:eastAsia="Palatino Linotype" w:hAnsi="Palatino Linotype" w:cs="Palatino Linotype"/>
          <w:b/>
          <w:sz w:val="28"/>
          <w:szCs w:val="28"/>
        </w:rPr>
        <w:t xml:space="preserve"> </w:t>
      </w:r>
      <w:r w:rsidRPr="00452F3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b/>
        </w:rPr>
        <w:t>Quinto</w:t>
      </w:r>
      <w:r w:rsidRPr="00452F32">
        <w:rPr>
          <w:rFonts w:ascii="Palatino Linotype" w:eastAsia="Palatino Linotype" w:hAnsi="Palatino Linotype" w:cs="Palatino Linotype"/>
          <w:b/>
          <w:sz w:val="28"/>
          <w:szCs w:val="28"/>
        </w:rPr>
        <w:t xml:space="preserve">. </w:t>
      </w:r>
      <w:r w:rsidRPr="00452F32">
        <w:rPr>
          <w:rFonts w:ascii="Palatino Linotype" w:eastAsia="Palatino Linotype" w:hAnsi="Palatino Linotype" w:cs="Palatino Linotype"/>
          <w:b/>
        </w:rPr>
        <w:t xml:space="preserve">Notifíquese vía SAIMEX, </w:t>
      </w:r>
      <w:r w:rsidRPr="00452F32">
        <w:rPr>
          <w:rFonts w:ascii="Palatino Linotype" w:eastAsia="Palatino Linotype" w:hAnsi="Palatino Linotype" w:cs="Palatino Linotype"/>
        </w:rPr>
        <w:t>a</w:t>
      </w:r>
      <w:r w:rsidRPr="00452F32">
        <w:rPr>
          <w:rFonts w:ascii="Palatino Linotype" w:eastAsia="Palatino Linotype" w:hAnsi="Palatino Linotype" w:cs="Palatino Linotype"/>
          <w:b/>
        </w:rPr>
        <w:t>l Recurrente</w:t>
      </w:r>
      <w:r w:rsidRPr="00452F3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FE164B" w:rsidRPr="00452F32" w:rsidRDefault="009F3FE4">
      <w:pPr>
        <w:spacing w:before="240" w:after="240" w:line="360" w:lineRule="auto"/>
        <w:jc w:val="both"/>
        <w:rPr>
          <w:rFonts w:ascii="Palatino Linotype" w:eastAsia="Palatino Linotype" w:hAnsi="Palatino Linotype" w:cs="Palatino Linotype"/>
        </w:rPr>
      </w:pPr>
      <w:r w:rsidRPr="00452F3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DIEZ DE MAYO DE DOS MIL VEINTITRÉS, ANTE EL SECRETARIO TÉCNICO DEL PLENO ALEXIS TAPIA RAMÍREZ.</w:t>
      </w: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p w:rsidR="00FE164B" w:rsidRPr="00452F32" w:rsidRDefault="00FE164B">
      <w:pPr>
        <w:spacing w:before="240" w:after="240" w:line="360" w:lineRule="auto"/>
        <w:jc w:val="both"/>
        <w:rPr>
          <w:rFonts w:ascii="Palatino Linotype" w:eastAsia="Palatino Linotype" w:hAnsi="Palatino Linotype" w:cs="Palatino Linotype"/>
        </w:rPr>
      </w:pPr>
    </w:p>
    <w:sectPr w:rsidR="00FE164B" w:rsidRPr="00452F32">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39D" w:rsidRDefault="00C3439D">
      <w:r>
        <w:separator/>
      </w:r>
    </w:p>
  </w:endnote>
  <w:endnote w:type="continuationSeparator" w:id="0">
    <w:p w:rsidR="00C3439D" w:rsidRDefault="00C3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64B" w:rsidRDefault="009F3F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4049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4049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FE164B" w:rsidRDefault="00FE16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64B" w:rsidRDefault="009F3F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4049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4049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FE164B" w:rsidRDefault="00FE16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39D" w:rsidRDefault="00C3439D">
      <w:r>
        <w:separator/>
      </w:r>
    </w:p>
  </w:footnote>
  <w:footnote w:type="continuationSeparator" w:id="0">
    <w:p w:rsidR="00C3439D" w:rsidRDefault="00C34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64B" w:rsidRDefault="009F3FE4">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-1127124</wp:posOffset>
          </wp:positionH>
          <wp:positionV relativeFrom="paragraph">
            <wp:posOffset>-344804</wp:posOffset>
          </wp:positionV>
          <wp:extent cx="7809865" cy="10165715"/>
          <wp:effectExtent l="0" t="0" r="0" b="0"/>
          <wp:wrapNone/>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FE164B">
      <w:tc>
        <w:tcPr>
          <w:tcW w:w="2489" w:type="dxa"/>
          <w:shd w:val="clear" w:color="auto" w:fill="auto"/>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E164B" w:rsidRDefault="009F3FE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16389/INFOEM/IP/RR/2022</w:t>
          </w:r>
        </w:p>
      </w:tc>
    </w:tr>
    <w:tr w:rsidR="00FE164B">
      <w:trPr>
        <w:trHeight w:val="228"/>
      </w:trPr>
      <w:tc>
        <w:tcPr>
          <w:tcW w:w="2489" w:type="dxa"/>
          <w:shd w:val="clear" w:color="auto" w:fill="auto"/>
          <w:vAlign w:val="center"/>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E164B" w:rsidRDefault="009F3FE4">
          <w:pPr>
            <w:ind w:left="-4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FE164B">
      <w:tc>
        <w:tcPr>
          <w:tcW w:w="2489" w:type="dxa"/>
          <w:shd w:val="clear" w:color="auto" w:fill="auto"/>
          <w:vAlign w:val="center"/>
        </w:tcPr>
        <w:p w:rsidR="00FE164B" w:rsidRDefault="009F3FE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E164B" w:rsidRDefault="009F3FE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E164B" w:rsidRDefault="009F3FE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64B" w:rsidRDefault="009F3F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-955674</wp:posOffset>
          </wp:positionH>
          <wp:positionV relativeFrom="paragraph">
            <wp:posOffset>-288924</wp:posOffset>
          </wp:positionV>
          <wp:extent cx="7809865" cy="10165715"/>
          <wp:effectExtent l="0" t="0" r="0" b="0"/>
          <wp:wrapNone/>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FE164B">
      <w:tc>
        <w:tcPr>
          <w:tcW w:w="2551" w:type="dxa"/>
          <w:shd w:val="clear" w:color="auto" w:fill="auto"/>
          <w:vAlign w:val="center"/>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E164B" w:rsidRDefault="009F3FE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16389/INFOEM/IP/RR/2022</w:t>
          </w:r>
        </w:p>
      </w:tc>
    </w:tr>
    <w:tr w:rsidR="00FE164B">
      <w:trPr>
        <w:trHeight w:val="130"/>
      </w:trPr>
      <w:tc>
        <w:tcPr>
          <w:tcW w:w="2551" w:type="dxa"/>
          <w:shd w:val="clear" w:color="auto" w:fill="auto"/>
          <w:vAlign w:val="center"/>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E164B" w:rsidRDefault="00FE164B">
          <w:pPr>
            <w:ind w:left="-45" w:right="176"/>
            <w:jc w:val="both"/>
            <w:rPr>
              <w:rFonts w:ascii="Palatino Linotype" w:eastAsia="Palatino Linotype" w:hAnsi="Palatino Linotype" w:cs="Palatino Linotype"/>
              <w:b/>
              <w:sz w:val="22"/>
              <w:szCs w:val="22"/>
            </w:rPr>
          </w:pPr>
        </w:p>
      </w:tc>
    </w:tr>
    <w:tr w:rsidR="00FE164B">
      <w:trPr>
        <w:trHeight w:val="228"/>
      </w:trPr>
      <w:tc>
        <w:tcPr>
          <w:tcW w:w="2551" w:type="dxa"/>
          <w:shd w:val="clear" w:color="auto" w:fill="auto"/>
          <w:vAlign w:val="center"/>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E164B" w:rsidRDefault="009F3FE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FE164B">
      <w:tc>
        <w:tcPr>
          <w:tcW w:w="2551" w:type="dxa"/>
          <w:shd w:val="clear" w:color="auto" w:fill="auto"/>
          <w:vAlign w:val="center"/>
        </w:tcPr>
        <w:p w:rsidR="00FE164B" w:rsidRDefault="009F3F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E164B" w:rsidRDefault="009F3FE4">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E164B" w:rsidRDefault="00FE164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1C112A"/>
    <w:multiLevelType w:val="multilevel"/>
    <w:tmpl w:val="3D6E26C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4C32C39"/>
    <w:multiLevelType w:val="multilevel"/>
    <w:tmpl w:val="A342B8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51CC449C"/>
    <w:multiLevelType w:val="multilevel"/>
    <w:tmpl w:val="AD0AF6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CAE48D8"/>
    <w:multiLevelType w:val="multilevel"/>
    <w:tmpl w:val="AA0E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2E41AA2"/>
    <w:multiLevelType w:val="multilevel"/>
    <w:tmpl w:val="ECAAE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E8A694D"/>
    <w:multiLevelType w:val="multilevel"/>
    <w:tmpl w:val="01CEA89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4E952A1"/>
    <w:multiLevelType w:val="multilevel"/>
    <w:tmpl w:val="5E3819A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E59790A"/>
    <w:multiLevelType w:val="multilevel"/>
    <w:tmpl w:val="9C223612"/>
    <w:lvl w:ilvl="0">
      <w:start w:val="1"/>
      <w:numFmt w:val="upperRoman"/>
      <w:lvlText w:val="%1."/>
      <w:lvlJc w:val="left"/>
      <w:pPr>
        <w:ind w:left="1712" w:hanging="720"/>
      </w:pPr>
      <w:rPr>
        <w:b/>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num w:numId="1">
    <w:abstractNumId w:val="0"/>
  </w:num>
  <w:num w:numId="2">
    <w:abstractNumId w:val="6"/>
  </w:num>
  <w:num w:numId="3">
    <w:abstractNumId w:val="1"/>
  </w:num>
  <w:num w:numId="4">
    <w:abstractNumId w:val="2"/>
  </w:num>
  <w:num w:numId="5">
    <w:abstractNumId w:val="4"/>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4B"/>
    <w:rsid w:val="00452F32"/>
    <w:rsid w:val="0074049A"/>
    <w:rsid w:val="009F3FE4"/>
    <w:rsid w:val="00B72861"/>
    <w:rsid w:val="00C3439D"/>
    <w:rsid w:val="00C760E4"/>
    <w:rsid w:val="00F71E00"/>
    <w:rsid w:val="00FE16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55AC2-F355-4245-B025-5422C35D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803805"/>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0"/>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7.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YMJiSL0CsgotsrNXYRJeHs5dWg==">AMUW2mUptHSgRItsqT9jhbWmluxkXze22HUi3tKzhn2S3p3ufRl2F/ONR3B6G2qnx0+WrFd/gLYNMg1yZy7PHJAMcvGZhfRRUL+3i2y5hxJpIwJOyf6ZBbVkfSG+/9be6L3vALlXQZoCIouGU+EnH3kpngl+Wx6/ZlTfKmoACY0cFq2OO/B8T+r/3ctIFHoJWx/a7CqkxuMKWJCKvsQSASvAWl6YgK0kZlJaItGwVEQ+pka/oMKkOLg=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10400</Words>
  <Characters>57201</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2023-05-12T16:12:00Z</cp:lastPrinted>
  <dcterms:created xsi:type="dcterms:W3CDTF">2023-05-18T19:16:00Z</dcterms:created>
  <dcterms:modified xsi:type="dcterms:W3CDTF">2023-05-18T19:16:00Z</dcterms:modified>
</cp:coreProperties>
</file>