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CDB67" w14:textId="30E2792C" w:rsidR="00EE123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sidRPr="008A2F6C">
        <w:rPr>
          <w:rFonts w:ascii="Palatino Linotype" w:eastAsia="Times New Roman" w:hAnsi="Palatino Linotype" w:cs="Arial"/>
          <w:color w:val="000000"/>
          <w:sz w:val="24"/>
          <w:szCs w:val="24"/>
          <w:lang w:eastAsia="es-MX"/>
        </w:rPr>
        <w:t>México</w:t>
      </w:r>
      <w:r w:rsidRPr="002B08DE">
        <w:rPr>
          <w:rFonts w:ascii="Palatino Linotype" w:eastAsia="Times New Roman" w:hAnsi="Palatino Linotype" w:cs="Arial"/>
          <w:color w:val="000000"/>
          <w:sz w:val="24"/>
          <w:szCs w:val="24"/>
          <w:lang w:eastAsia="es-MX"/>
        </w:rPr>
        <w:t xml:space="preserve">, a </w:t>
      </w:r>
      <w:r w:rsidR="00A367FA">
        <w:rPr>
          <w:rFonts w:ascii="Palatino Linotype" w:eastAsia="Times New Roman" w:hAnsi="Palatino Linotype" w:cs="Arial"/>
          <w:color w:val="000000"/>
          <w:sz w:val="24"/>
          <w:szCs w:val="24"/>
          <w:lang w:eastAsia="es-MX"/>
        </w:rPr>
        <w:t xml:space="preserve">once de enero de dos mil veintitrés. </w:t>
      </w:r>
      <w:r w:rsidR="00D130A6">
        <w:rPr>
          <w:rFonts w:ascii="Palatino Linotype" w:eastAsia="Times New Roman" w:hAnsi="Palatino Linotype" w:cs="Arial"/>
          <w:color w:val="000000"/>
          <w:sz w:val="24"/>
          <w:szCs w:val="24"/>
          <w:lang w:eastAsia="es-MX"/>
        </w:rPr>
        <w:t xml:space="preserve"> </w:t>
      </w:r>
    </w:p>
    <w:p w14:paraId="181B1C0D" w14:textId="649241C8" w:rsidR="001323FD" w:rsidRPr="001323FD" w:rsidRDefault="006168E4" w:rsidP="00844569">
      <w:pPr>
        <w:tabs>
          <w:tab w:val="left" w:pos="1701"/>
        </w:tabs>
        <w:spacing w:before="240" w:line="360" w:lineRule="auto"/>
        <w:jc w:val="both"/>
        <w:rPr>
          <w:rFonts w:ascii="Palatino Linotype" w:hAnsi="Palatino Linotype" w:cs="Arial"/>
          <w:bCs/>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1323FD">
        <w:rPr>
          <w:rFonts w:ascii="Palatino Linotype" w:hAnsi="Palatino Linotype" w:cs="Arial"/>
          <w:b/>
          <w:bCs/>
          <w:sz w:val="24"/>
          <w:lang w:eastAsia="es-MX"/>
        </w:rPr>
        <w:t>14400</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w:t>
      </w:r>
      <w:r w:rsidR="00F55EF2">
        <w:rPr>
          <w:rFonts w:ascii="Palatino Linotype" w:hAnsi="Palatino Linotype" w:cs="Arial"/>
          <w:b/>
          <w:bCs/>
          <w:sz w:val="24"/>
          <w:lang w:eastAsia="es-MX"/>
        </w:rPr>
        <w:t>22</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F55EF2">
        <w:rPr>
          <w:rFonts w:ascii="Palatino Linotype" w:hAnsi="Palatino Linotype" w:cs="Arial"/>
          <w:sz w:val="24"/>
          <w:szCs w:val="24"/>
        </w:rPr>
        <w:t xml:space="preserve">el </w:t>
      </w:r>
      <w:r w:rsidR="003A5BAE">
        <w:rPr>
          <w:rFonts w:ascii="Palatino Linotype" w:hAnsi="Palatino Linotype" w:cs="Arial"/>
          <w:b/>
          <w:sz w:val="24"/>
          <w:szCs w:val="24"/>
        </w:rPr>
        <w:t xml:space="preserve">C. </w:t>
      </w:r>
      <w:r w:rsidR="00F25063">
        <w:rPr>
          <w:rFonts w:ascii="Palatino Linotype" w:hAnsi="Palatino Linotype" w:cs="Arial"/>
          <w:b/>
          <w:sz w:val="24"/>
          <w:szCs w:val="24"/>
        </w:rPr>
        <w:t>XXXXXXXXXXXXXXX</w:t>
      </w:r>
      <w:r w:rsidR="001323FD">
        <w:rPr>
          <w:rFonts w:ascii="Palatino Linotype" w:hAnsi="Palatino Linotype" w:cs="Arial"/>
          <w:b/>
          <w:sz w:val="24"/>
          <w:szCs w:val="24"/>
        </w:rPr>
        <w:t xml:space="preserve"> </w:t>
      </w:r>
      <w:r w:rsidR="001323FD">
        <w:rPr>
          <w:rFonts w:ascii="Palatino Linotype" w:hAnsi="Palatino Linotype" w:cs="Arial"/>
          <w:bCs/>
          <w:sz w:val="24"/>
          <w:szCs w:val="24"/>
        </w:rPr>
        <w:t xml:space="preserve">en lo subsecuente </w:t>
      </w:r>
      <w:r w:rsidR="001323FD">
        <w:rPr>
          <w:rFonts w:ascii="Palatino Linotype" w:hAnsi="Palatino Linotype" w:cs="Arial"/>
          <w:b/>
          <w:sz w:val="24"/>
          <w:szCs w:val="24"/>
        </w:rPr>
        <w:t xml:space="preserve">El Recurrente, </w:t>
      </w:r>
      <w:r w:rsidR="001323FD">
        <w:rPr>
          <w:rFonts w:ascii="Palatino Linotype" w:hAnsi="Palatino Linotype" w:cs="Arial"/>
          <w:bCs/>
          <w:sz w:val="24"/>
          <w:szCs w:val="24"/>
        </w:rPr>
        <w:t xml:space="preserve">en contra de la respuesta del </w:t>
      </w:r>
      <w:r w:rsidR="001323FD">
        <w:rPr>
          <w:rFonts w:ascii="Palatino Linotype" w:hAnsi="Palatino Linotype" w:cs="Arial"/>
          <w:b/>
          <w:sz w:val="24"/>
          <w:szCs w:val="24"/>
        </w:rPr>
        <w:t xml:space="preserve">Ayuntamiento de Huehuetoca, </w:t>
      </w:r>
      <w:r w:rsidR="001323FD">
        <w:rPr>
          <w:rFonts w:ascii="Palatino Linotype" w:hAnsi="Palatino Linotype" w:cs="Arial"/>
          <w:bCs/>
          <w:sz w:val="24"/>
          <w:szCs w:val="24"/>
        </w:rPr>
        <w:t xml:space="preserve">se procede a dictar la presente resolución. </w:t>
      </w:r>
    </w:p>
    <w:p w14:paraId="7158DC30" w14:textId="77777777" w:rsidR="001323FD" w:rsidRDefault="001323FD" w:rsidP="00844569">
      <w:pPr>
        <w:tabs>
          <w:tab w:val="left" w:pos="1701"/>
        </w:tabs>
        <w:spacing w:before="240" w:line="360" w:lineRule="auto"/>
        <w:jc w:val="both"/>
        <w:rPr>
          <w:rFonts w:ascii="Palatino Linotype" w:hAnsi="Palatino Linotype" w:cs="Arial"/>
          <w:b/>
          <w:sz w:val="24"/>
          <w:szCs w:val="24"/>
        </w:rPr>
      </w:pPr>
      <w:bookmarkStart w:id="0" w:name="_GoBack"/>
      <w:bookmarkEnd w:id="0"/>
    </w:p>
    <w:p w14:paraId="39A8E1A3" w14:textId="7D8F635D"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EE5021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52CC270C" w14:textId="34F53616" w:rsidR="001323FD"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EF198F">
        <w:rPr>
          <w:rFonts w:ascii="Palatino Linotype" w:hAnsi="Palatino Linotype" w:cs="Arial"/>
          <w:sz w:val="24"/>
        </w:rPr>
        <w:t xml:space="preserve"> </w:t>
      </w:r>
      <w:r w:rsidR="001323FD">
        <w:rPr>
          <w:rFonts w:ascii="Palatino Linotype" w:hAnsi="Palatino Linotype" w:cs="Arial"/>
          <w:sz w:val="24"/>
        </w:rPr>
        <w:t xml:space="preserve">nueve de agosto de dos mil veintidós, </w:t>
      </w:r>
      <w:r w:rsidR="001323FD">
        <w:rPr>
          <w:rFonts w:ascii="Palatino Linotype" w:hAnsi="Palatino Linotype" w:cs="Arial"/>
          <w:b/>
          <w:bCs/>
          <w:sz w:val="24"/>
        </w:rPr>
        <w:t xml:space="preserve">El Recurrente, </w:t>
      </w:r>
      <w:r w:rsidR="001323FD">
        <w:rPr>
          <w:rFonts w:ascii="Palatino Linotype" w:hAnsi="Palatino Linotype" w:cs="Arial"/>
          <w:sz w:val="24"/>
        </w:rPr>
        <w:t>presentó a través del Sistema de Acceso a la Información Mexiquense (</w:t>
      </w:r>
      <w:r w:rsidR="001323FD">
        <w:rPr>
          <w:rFonts w:ascii="Palatino Linotype" w:hAnsi="Palatino Linotype" w:cs="Arial"/>
          <w:b/>
          <w:sz w:val="24"/>
        </w:rPr>
        <w:t>SAIMEX)</w:t>
      </w:r>
      <w:r w:rsidR="001323FD">
        <w:rPr>
          <w:rFonts w:ascii="Palatino Linotype" w:hAnsi="Palatino Linotype" w:cs="Arial"/>
          <w:sz w:val="24"/>
        </w:rPr>
        <w:t xml:space="preserve"> ante </w:t>
      </w:r>
      <w:r w:rsidR="001323FD">
        <w:rPr>
          <w:rFonts w:ascii="Palatino Linotype" w:hAnsi="Palatino Linotype" w:cs="Arial"/>
          <w:b/>
          <w:sz w:val="24"/>
        </w:rPr>
        <w:t>El Sujeto Obligado</w:t>
      </w:r>
      <w:r w:rsidR="001323FD">
        <w:rPr>
          <w:rFonts w:ascii="Palatino Linotype" w:hAnsi="Palatino Linotype" w:cs="Arial"/>
          <w:sz w:val="24"/>
        </w:rPr>
        <w:t xml:space="preserve">, solicitud de acceso a la información pública, registrada bajo el número de expediente </w:t>
      </w:r>
      <w:r w:rsidR="001323FD">
        <w:rPr>
          <w:rFonts w:ascii="Palatino Linotype" w:hAnsi="Palatino Linotype" w:cs="Arial"/>
          <w:b/>
          <w:bCs/>
          <w:sz w:val="24"/>
        </w:rPr>
        <w:t xml:space="preserve">00219/HUEHUETO/IP/2022, </w:t>
      </w:r>
      <w:r w:rsidR="001323FD">
        <w:rPr>
          <w:rFonts w:ascii="Palatino Linotype" w:hAnsi="Palatino Linotype" w:cs="Arial"/>
          <w:sz w:val="24"/>
        </w:rPr>
        <w:t>mediante la cual solicitó información en el tenor siguiente:</w:t>
      </w:r>
    </w:p>
    <w:p w14:paraId="3E28C6FB" w14:textId="4B1D8556" w:rsidR="001323FD" w:rsidRPr="001323FD" w:rsidRDefault="001323FD" w:rsidP="001323FD">
      <w:pPr>
        <w:pStyle w:val="Citas"/>
        <w:rPr>
          <w:b/>
          <w:bCs/>
          <w:sz w:val="24"/>
        </w:rPr>
      </w:pPr>
      <w:r>
        <w:t xml:space="preserve">“Quisiera saber las acciones del </w:t>
      </w:r>
      <w:proofErr w:type="spellStart"/>
      <w:r>
        <w:t>area</w:t>
      </w:r>
      <w:proofErr w:type="spellEnd"/>
      <w:r>
        <w:t xml:space="preserve"> de Ordenamiento </w:t>
      </w:r>
      <w:proofErr w:type="spellStart"/>
      <w:proofErr w:type="gramStart"/>
      <w:r>
        <w:t>Comerecia,l</w:t>
      </w:r>
      <w:proofErr w:type="spellEnd"/>
      <w:proofErr w:type="gramEnd"/>
      <w:r>
        <w:t xml:space="preserve"> para ordenar el </w:t>
      </w:r>
      <w:proofErr w:type="spellStart"/>
      <w:r>
        <w:t>momercio</w:t>
      </w:r>
      <w:proofErr w:type="spellEnd"/>
      <w:r>
        <w:t xml:space="preserve"> fijo y </w:t>
      </w:r>
      <w:proofErr w:type="spellStart"/>
      <w:r>
        <w:t>semi</w:t>
      </w:r>
      <w:proofErr w:type="spellEnd"/>
      <w:r>
        <w:t xml:space="preserve"> fijo, ya que hay locales y puestos semifijos que </w:t>
      </w:r>
      <w:proofErr w:type="spellStart"/>
      <w:r>
        <w:t>impidel</w:t>
      </w:r>
      <w:proofErr w:type="spellEnd"/>
      <w:r>
        <w:t xml:space="preserve"> el libre </w:t>
      </w:r>
      <w:proofErr w:type="spellStart"/>
      <w:r>
        <w:t>transito</w:t>
      </w:r>
      <w:proofErr w:type="spellEnd"/>
      <w:r>
        <w:t xml:space="preserve"> de las banquetas para los peatones, incluso algunos invaden Zonas Federales como es el caso en Santa Teresa III, y si </w:t>
      </w:r>
      <w:proofErr w:type="spellStart"/>
      <w:r>
        <w:t>exixte</w:t>
      </w:r>
      <w:proofErr w:type="spellEnd"/>
      <w:r>
        <w:t xml:space="preserve"> </w:t>
      </w:r>
      <w:proofErr w:type="spellStart"/>
      <w:r>
        <w:t>algun</w:t>
      </w:r>
      <w:proofErr w:type="spellEnd"/>
      <w:r>
        <w:t xml:space="preserve"> conflicto de </w:t>
      </w:r>
      <w:proofErr w:type="spellStart"/>
      <w:r>
        <w:t>interes</w:t>
      </w:r>
      <w:proofErr w:type="spellEnd"/>
      <w:r>
        <w:t xml:space="preserve"> ya que los </w:t>
      </w:r>
      <w:proofErr w:type="spellStart"/>
      <w:r>
        <w:lastRenderedPageBreak/>
        <w:t>Heramanos</w:t>
      </w:r>
      <w:proofErr w:type="spellEnd"/>
      <w:r>
        <w:t xml:space="preserve"> de la titular del </w:t>
      </w:r>
      <w:proofErr w:type="spellStart"/>
      <w:r>
        <w:t>arez</w:t>
      </w:r>
      <w:proofErr w:type="spellEnd"/>
      <w:r>
        <w:t xml:space="preserve"> tienen un puesto afuera de un local comercial que impide el </w:t>
      </w:r>
      <w:proofErr w:type="spellStart"/>
      <w:r>
        <w:t>transito</w:t>
      </w:r>
      <w:proofErr w:type="spellEnd"/>
      <w:r>
        <w:t xml:space="preserve"> por la banqueta.” </w:t>
      </w:r>
      <w:r>
        <w:rPr>
          <w:b/>
          <w:bCs/>
        </w:rPr>
        <w:t>(Sic)</w:t>
      </w:r>
    </w:p>
    <w:p w14:paraId="30A59403" w14:textId="6D3D5A88" w:rsidR="002F3269" w:rsidRPr="002F3269" w:rsidRDefault="002F3269" w:rsidP="002F3269">
      <w:pPr>
        <w:pStyle w:val="Citas"/>
        <w:ind w:left="0"/>
        <w:rPr>
          <w:b/>
          <w:i w:val="0"/>
          <w:sz w:val="24"/>
          <w:szCs w:val="24"/>
        </w:rPr>
      </w:pPr>
      <w:r w:rsidRPr="002F3269">
        <w:rPr>
          <w:b/>
          <w:i w:val="0"/>
          <w:sz w:val="24"/>
          <w:szCs w:val="24"/>
        </w:rPr>
        <w:t>Modalidad de entrega:</w:t>
      </w:r>
      <w:r>
        <w:rPr>
          <w:i w:val="0"/>
          <w:sz w:val="24"/>
          <w:szCs w:val="24"/>
        </w:rPr>
        <w:t xml:space="preserve"> A través del SAIMEX. </w:t>
      </w:r>
    </w:p>
    <w:p w14:paraId="455792FE" w14:textId="77777777" w:rsidR="001323FD" w:rsidRDefault="001323FD" w:rsidP="00844569">
      <w:pPr>
        <w:spacing w:before="240" w:line="360" w:lineRule="auto"/>
        <w:jc w:val="both"/>
        <w:rPr>
          <w:rFonts w:ascii="Palatino Linotype" w:hAnsi="Palatino Linotype" w:cs="Arial"/>
          <w:b/>
          <w:sz w:val="28"/>
        </w:rPr>
      </w:pPr>
    </w:p>
    <w:p w14:paraId="1B7C3267" w14:textId="46910AC9" w:rsidR="006168E4" w:rsidRPr="008C6105" w:rsidRDefault="006323CA" w:rsidP="00844569">
      <w:pPr>
        <w:spacing w:before="240" w:line="360" w:lineRule="auto"/>
        <w:jc w:val="both"/>
        <w:rPr>
          <w:rFonts w:ascii="Palatino Linotype" w:hAnsi="Palatino Linotype" w:cs="Arial"/>
          <w:b/>
          <w:sz w:val="28"/>
        </w:rPr>
      </w:pPr>
      <w:r w:rsidRPr="008C6105">
        <w:rPr>
          <w:rFonts w:ascii="Palatino Linotype" w:hAnsi="Palatino Linotype" w:cs="Arial"/>
          <w:b/>
          <w:sz w:val="28"/>
        </w:rPr>
        <w:t>SEGUNDO</w:t>
      </w:r>
      <w:r w:rsidR="006168E4" w:rsidRPr="008C6105">
        <w:rPr>
          <w:rFonts w:ascii="Palatino Linotype" w:hAnsi="Palatino Linotype" w:cs="Arial"/>
          <w:b/>
          <w:sz w:val="28"/>
        </w:rPr>
        <w:t xml:space="preserve">. </w:t>
      </w:r>
      <w:r w:rsidR="006168E4" w:rsidRPr="008C6105">
        <w:rPr>
          <w:rFonts w:ascii="Palatino Linotype" w:hAnsi="Palatino Linotype" w:cs="Arial"/>
          <w:b/>
          <w:sz w:val="28"/>
          <w:szCs w:val="20"/>
        </w:rPr>
        <w:t>De la respuesta del Sujeto Obligado.</w:t>
      </w:r>
    </w:p>
    <w:p w14:paraId="10342118" w14:textId="1FA0823D" w:rsidR="001323FD" w:rsidRDefault="006168E4" w:rsidP="00045379">
      <w:pPr>
        <w:spacing w:before="240" w:line="360" w:lineRule="auto"/>
        <w:jc w:val="both"/>
        <w:rPr>
          <w:rFonts w:ascii="Palatino Linotype" w:hAnsi="Palatino Linotype" w:cs="Arial"/>
          <w:sz w:val="24"/>
          <w:szCs w:val="24"/>
        </w:rPr>
      </w:pPr>
      <w:r w:rsidRPr="008C6105">
        <w:rPr>
          <w:rFonts w:ascii="Palatino Linotype" w:hAnsi="Palatino Linotype" w:cs="Arial"/>
          <w:sz w:val="24"/>
          <w:szCs w:val="24"/>
        </w:rPr>
        <w:t xml:space="preserve">En el expediente electrónico </w:t>
      </w:r>
      <w:r w:rsidRPr="008C6105">
        <w:rPr>
          <w:rFonts w:ascii="Palatino Linotype" w:hAnsi="Palatino Linotype" w:cs="Arial"/>
          <w:b/>
          <w:sz w:val="24"/>
          <w:szCs w:val="24"/>
        </w:rPr>
        <w:t>SAIMEX</w:t>
      </w:r>
      <w:r w:rsidRPr="008C6105">
        <w:rPr>
          <w:rFonts w:ascii="Palatino Linotype" w:hAnsi="Palatino Linotype" w:cs="Arial"/>
          <w:sz w:val="24"/>
          <w:szCs w:val="24"/>
        </w:rPr>
        <w:t>, se aprecia que el</w:t>
      </w:r>
      <w:r w:rsidR="00F55EF2">
        <w:rPr>
          <w:rFonts w:ascii="Palatino Linotype" w:hAnsi="Palatino Linotype" w:cs="Arial"/>
          <w:sz w:val="24"/>
          <w:szCs w:val="24"/>
        </w:rPr>
        <w:t xml:space="preserve"> </w:t>
      </w:r>
      <w:r w:rsidR="001323FD">
        <w:rPr>
          <w:rFonts w:ascii="Palatino Linotype" w:hAnsi="Palatino Linotype" w:cs="Arial"/>
          <w:sz w:val="24"/>
          <w:szCs w:val="24"/>
        </w:rPr>
        <w:t xml:space="preserve">treinta y uno de agosto del presente, </w:t>
      </w:r>
      <w:r w:rsidR="001323FD">
        <w:rPr>
          <w:rFonts w:ascii="Palatino Linotype" w:hAnsi="Palatino Linotype" w:cs="Arial"/>
          <w:b/>
          <w:bCs/>
          <w:sz w:val="24"/>
          <w:szCs w:val="24"/>
        </w:rPr>
        <w:t xml:space="preserve">El Sujeto Obligado </w:t>
      </w:r>
      <w:r w:rsidR="001323FD">
        <w:rPr>
          <w:rFonts w:ascii="Palatino Linotype" w:hAnsi="Palatino Linotype" w:cs="Arial"/>
          <w:sz w:val="24"/>
          <w:szCs w:val="24"/>
        </w:rPr>
        <w:t xml:space="preserve">dio respuesta a la solicitud de información </w:t>
      </w:r>
      <w:r w:rsidR="001323FD">
        <w:rPr>
          <w:rFonts w:ascii="Palatino Linotype" w:hAnsi="Palatino Linotype" w:cs="Arial"/>
          <w:b/>
          <w:bCs/>
          <w:sz w:val="24"/>
          <w:szCs w:val="24"/>
        </w:rPr>
        <w:t xml:space="preserve">00219/HUEHUETO/IP/2022, </w:t>
      </w:r>
      <w:r w:rsidR="001323FD">
        <w:rPr>
          <w:rFonts w:ascii="Palatino Linotype" w:hAnsi="Palatino Linotype" w:cs="Arial"/>
          <w:sz w:val="24"/>
          <w:szCs w:val="24"/>
        </w:rPr>
        <w:t>resulta de nuestro interés lo siguiente:</w:t>
      </w:r>
    </w:p>
    <w:p w14:paraId="6BB124BE" w14:textId="152022C5" w:rsidR="001323FD" w:rsidRPr="001323FD" w:rsidRDefault="001323FD" w:rsidP="001323FD">
      <w:pPr>
        <w:pStyle w:val="Citas"/>
      </w:pPr>
      <w:r w:rsidRPr="001323FD">
        <w:t>“En respuesta a la solicitud recibida, nos permitimos hacer de su conocimiento que con fundamento en el artículo 53, Fracciones: II, V y VI de la Ley de Transparencia y Acceso a la Información Pública del Estado de México y Municipios, le contestamos que:</w:t>
      </w:r>
    </w:p>
    <w:p w14:paraId="0CE2AF5E" w14:textId="4265CDB1" w:rsidR="001323FD" w:rsidRPr="001323FD" w:rsidRDefault="001323FD" w:rsidP="001323FD">
      <w:pPr>
        <w:pStyle w:val="Citas"/>
        <w:rPr>
          <w:b/>
          <w:bCs/>
        </w:rPr>
      </w:pPr>
      <w:r w:rsidRPr="001323FD">
        <w:t xml:space="preserve">POR ESTE MEDIO Y CON FUNDAMENTO EN LO DISPUESTO POR LOS ARTICULOS 1, 8, 14, 16 Y 115 DE LA CONSTITUCION POLITICA DE LOS ESTADOS UNIDOS MEXICANOS; 5 Y 8 DE LA CONSTITUCION POLITICA DEL ESTADO LIBRE Y SOBERANO DE MEXICO; 1,6,12, 59 Y 167 DE LA LEY DE TRANSPARENCIA Y ACCESO DE LA INFPRMACION PUBLICA DEL ESTADO DE MEXICO Y MUNICIPIOS; EN ATENCION A LA SOLICITUD DE INFORMACION INDICADA AL RUBRO, A CONTINUACION ME PERMITO INFORMAR LO SIGUIENTE: QUE LA DIRECCION DE DESARROLLO ECONOMICO, A TRAVES DE LA COORDINACION DE ORDENAMIENTO COMERCIAL, EN LINEA CON </w:t>
      </w:r>
      <w:r w:rsidRPr="001323FD">
        <w:lastRenderedPageBreak/>
        <w:t>LOS PLANES Y PROGRAMAS DE GOBIERNO DERIVADOS DEL PLAN DE DESARROLLO MUNICIPAL 2022-2024, LLEVA A CABO CAMPAÑAS DE REGULARIZACION DEL COMERCIO INFORMAL A TRAVES DE RECORRIDOS Y VISITAS DE VERIFICACION A LAS UNIDADES ECONOMICAS EN OPERACION DENTRO DEL TERRIOTORIO MUNICIPAL, EN SU CASO, DANDO INICIO A LOS PROCEDIMIENTOS ADMINISTRATIVOS A QUE HAYA LUGAR ASI MISMO EN COLABORACION CON OTRAS AREAS Y DEPENDENCIAS DE LOS DISTINTOS ORDENES DE GOBIERNO”</w:t>
      </w:r>
      <w:r>
        <w:t xml:space="preserve"> </w:t>
      </w:r>
      <w:r>
        <w:rPr>
          <w:b/>
          <w:bCs/>
        </w:rPr>
        <w:t>(Sic)</w:t>
      </w:r>
    </w:p>
    <w:p w14:paraId="4DA1370C" w14:textId="3CC9AF5C" w:rsidR="001323FD" w:rsidRDefault="001323FD" w:rsidP="00045379">
      <w:pPr>
        <w:spacing w:before="240" w:line="360" w:lineRule="auto"/>
        <w:jc w:val="both"/>
        <w:rPr>
          <w:rFonts w:ascii="Palatino Linotype" w:hAnsi="Palatino Linotype" w:cs="Arial"/>
          <w:sz w:val="24"/>
          <w:szCs w:val="24"/>
        </w:rPr>
      </w:pPr>
    </w:p>
    <w:p w14:paraId="37F573AF" w14:textId="0D7336A5" w:rsidR="006168E4" w:rsidRDefault="00774A9C"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2CF3BEE7" w14:textId="2DC73AE4" w:rsidR="001323FD" w:rsidRPr="001323FD"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AA207C">
        <w:rPr>
          <w:rFonts w:ascii="Palatino Linotype" w:hAnsi="Palatino Linotype" w:cs="Arial"/>
          <w:b/>
          <w:sz w:val="24"/>
          <w:szCs w:val="24"/>
        </w:rPr>
        <w:t>El</w:t>
      </w:r>
      <w:r w:rsidRPr="008B42B1">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AA066E">
        <w:rPr>
          <w:rFonts w:ascii="Palatino Linotype" w:hAnsi="Palatino Linotype" w:cs="Arial"/>
          <w:sz w:val="24"/>
          <w:szCs w:val="24"/>
        </w:rPr>
        <w:t xml:space="preserve"> </w:t>
      </w:r>
      <w:r w:rsidR="001323FD">
        <w:rPr>
          <w:rFonts w:ascii="Palatino Linotype" w:hAnsi="Palatino Linotype" w:cs="Arial"/>
          <w:sz w:val="24"/>
          <w:szCs w:val="24"/>
        </w:rPr>
        <w:t xml:space="preserve">seis de septiembre de los corrientes, el cual fue registrado en el sistema electrónico con el expediente número </w:t>
      </w:r>
      <w:r w:rsidR="001323FD">
        <w:rPr>
          <w:rFonts w:ascii="Palatino Linotype" w:hAnsi="Palatino Linotype" w:cs="Arial"/>
          <w:b/>
          <w:bCs/>
          <w:sz w:val="24"/>
          <w:szCs w:val="24"/>
        </w:rPr>
        <w:t xml:space="preserve">14400/INFOEM/IP/RR/2022, </w:t>
      </w:r>
      <w:r w:rsidR="001323FD">
        <w:rPr>
          <w:rFonts w:ascii="Palatino Linotype" w:hAnsi="Palatino Linotype" w:cs="Arial"/>
          <w:sz w:val="24"/>
          <w:szCs w:val="24"/>
        </w:rPr>
        <w:t>en el cual arguye las siguientes manifestaciones:</w:t>
      </w:r>
    </w:p>
    <w:p w14:paraId="3774298B" w14:textId="2AEDDDE3"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2661686" w14:textId="32F1BAA2" w:rsidR="008C1E83" w:rsidRPr="008C1E83" w:rsidRDefault="00991C21" w:rsidP="008C1E83">
      <w:pPr>
        <w:pStyle w:val="Citas"/>
        <w:rPr>
          <w:b/>
          <w:bCs/>
          <w:sz w:val="24"/>
        </w:rPr>
      </w:pPr>
      <w:r w:rsidRPr="0025592E">
        <w:t>“</w:t>
      </w:r>
      <w:r w:rsidR="0025592E" w:rsidRPr="0025592E">
        <w:t xml:space="preserve">La respuesta proporcionada no fue emitida por el área de </w:t>
      </w:r>
      <w:proofErr w:type="spellStart"/>
      <w:r w:rsidR="0025592E" w:rsidRPr="0025592E">
        <w:t>órdenamiento</w:t>
      </w:r>
      <w:proofErr w:type="spellEnd"/>
      <w:r w:rsidR="0025592E" w:rsidRPr="0025592E">
        <w:t xml:space="preserve"> comercial por lo que solicito sea esta área la que </w:t>
      </w:r>
      <w:proofErr w:type="spellStart"/>
      <w:r w:rsidR="0025592E" w:rsidRPr="0025592E">
        <w:t>de</w:t>
      </w:r>
      <w:proofErr w:type="spellEnd"/>
      <w:r w:rsidR="0025592E" w:rsidRPr="0025592E">
        <w:t xml:space="preserve"> respuesta sellada y firmada por el titular.</w:t>
      </w:r>
      <w:r w:rsidR="008C1E83" w:rsidRPr="0025592E">
        <w:t>”</w:t>
      </w:r>
      <w:r w:rsidR="008C1E83">
        <w:t xml:space="preserve"> </w:t>
      </w:r>
      <w:r w:rsidR="008C1E83">
        <w:rPr>
          <w:b/>
          <w:bCs/>
        </w:rPr>
        <w:t>(Sic)</w:t>
      </w:r>
    </w:p>
    <w:p w14:paraId="22A465C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33458691" w14:textId="581AD726" w:rsidR="00FA41C5" w:rsidRPr="008C1E83" w:rsidRDefault="00991C21" w:rsidP="0060526D">
      <w:pPr>
        <w:pStyle w:val="Citas"/>
        <w:rPr>
          <w:b/>
          <w:bCs/>
        </w:rPr>
      </w:pPr>
      <w:r w:rsidRPr="0025592E">
        <w:lastRenderedPageBreak/>
        <w:t>“</w:t>
      </w:r>
      <w:r w:rsidR="0025592E" w:rsidRPr="0025592E">
        <w:t xml:space="preserve">La respuesta proporcionada no fue emitida por el área de </w:t>
      </w:r>
      <w:proofErr w:type="spellStart"/>
      <w:r w:rsidR="0025592E" w:rsidRPr="0025592E">
        <w:t>órdenamiento</w:t>
      </w:r>
      <w:proofErr w:type="spellEnd"/>
      <w:r w:rsidR="0025592E" w:rsidRPr="0025592E">
        <w:t xml:space="preserve"> comercial por lo que solicito sea esta área la que </w:t>
      </w:r>
      <w:proofErr w:type="spellStart"/>
      <w:r w:rsidR="0025592E" w:rsidRPr="0025592E">
        <w:t>de</w:t>
      </w:r>
      <w:proofErr w:type="spellEnd"/>
      <w:r w:rsidR="0025592E" w:rsidRPr="0025592E">
        <w:t xml:space="preserve"> respuesta sellada y firmada por el titular.</w:t>
      </w:r>
      <w:r w:rsidR="008C1E83" w:rsidRPr="0025592E">
        <w:t>”</w:t>
      </w:r>
      <w:r w:rsidR="008C1E83">
        <w:t xml:space="preserve"> </w:t>
      </w:r>
      <w:r w:rsidR="008C1E83">
        <w:rPr>
          <w:b/>
          <w:bCs/>
        </w:rPr>
        <w:t>(Sic)</w:t>
      </w:r>
    </w:p>
    <w:p w14:paraId="155A44E3" w14:textId="7227BA91" w:rsidR="008C1E83" w:rsidRDefault="008C1E83" w:rsidP="008C1E83">
      <w:pPr>
        <w:pStyle w:val="Citas"/>
        <w:rPr>
          <w:b/>
          <w:sz w:val="28"/>
        </w:rPr>
      </w:pPr>
    </w:p>
    <w:p w14:paraId="7E88DE81" w14:textId="455BE9DE" w:rsidR="006168E4" w:rsidRDefault="00774A9C"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22A232CE" w14:textId="209E924D" w:rsidR="00991C21" w:rsidRDefault="006168E4" w:rsidP="00991C2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8C6105">
        <w:rPr>
          <w:rFonts w:ascii="Palatino Linotype" w:hAnsi="Palatino Linotype" w:cs="Arial"/>
          <w:sz w:val="24"/>
          <w:szCs w:val="24"/>
        </w:rPr>
        <w:t xml:space="preserve">al Comisionado </w:t>
      </w:r>
      <w:r w:rsidR="00193EF2">
        <w:rPr>
          <w:rFonts w:ascii="Palatino Linotype" w:hAnsi="Palatino Linotype" w:cs="Arial"/>
          <w:sz w:val="24"/>
          <w:szCs w:val="24"/>
        </w:rPr>
        <w:t>presidente</w:t>
      </w:r>
      <w:r w:rsidR="00887D68">
        <w:rPr>
          <w:rFonts w:ascii="Palatino Linotype" w:hAnsi="Palatino Linotype" w:cs="Arial"/>
          <w:sz w:val="24"/>
          <w:szCs w:val="24"/>
        </w:rPr>
        <w:t xml:space="preserve"> </w:t>
      </w:r>
      <w:r w:rsidR="008C6105">
        <w:rPr>
          <w:rFonts w:ascii="Palatino Linotype" w:hAnsi="Palatino Linotype" w:cs="Arial"/>
          <w:b/>
          <w:sz w:val="24"/>
          <w:szCs w:val="24"/>
        </w:rPr>
        <w:t xml:space="preserve">José Martínez Vilchis, </w:t>
      </w:r>
      <w:r w:rsidR="008C6105">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8C1E83">
        <w:rPr>
          <w:rFonts w:ascii="Palatino Linotype" w:hAnsi="Palatino Linotype" w:cs="Arial"/>
          <w:sz w:val="24"/>
          <w:szCs w:val="24"/>
        </w:rPr>
        <w:t xml:space="preserve"> </w:t>
      </w:r>
      <w:r w:rsidR="0025592E">
        <w:rPr>
          <w:rFonts w:ascii="Palatino Linotype" w:hAnsi="Palatino Linotype" w:cs="Arial"/>
          <w:sz w:val="24"/>
          <w:szCs w:val="24"/>
        </w:rPr>
        <w:t xml:space="preserve">ocho de septiembre de dos mil veintidós, </w:t>
      </w:r>
      <w:r w:rsidR="00991C21">
        <w:rPr>
          <w:rFonts w:ascii="Palatino Linotype" w:hAnsi="Palatino Linotype" w:cs="Arial"/>
          <w:sz w:val="24"/>
          <w:szCs w:val="24"/>
        </w:rPr>
        <w:t>determinándose en él, un plazo de siete días para que las partes manifestaran lo que a su derecho corresponda en términos del numeral ya citado.</w:t>
      </w:r>
    </w:p>
    <w:p w14:paraId="764395EA" w14:textId="27E2F52F" w:rsidR="00991C21" w:rsidRDefault="00991C21" w:rsidP="00510556">
      <w:pPr>
        <w:spacing w:before="240" w:line="360" w:lineRule="auto"/>
        <w:jc w:val="both"/>
        <w:rPr>
          <w:rFonts w:ascii="Palatino Linotype" w:hAnsi="Palatino Linotype" w:cs="Arial"/>
          <w:sz w:val="24"/>
          <w:szCs w:val="24"/>
        </w:rPr>
      </w:pPr>
    </w:p>
    <w:p w14:paraId="4BCFD455" w14:textId="249654CB" w:rsidR="006168E4" w:rsidRDefault="00774A9C" w:rsidP="00844569">
      <w:pPr>
        <w:spacing w:before="240" w:line="360" w:lineRule="auto"/>
        <w:jc w:val="both"/>
        <w:rPr>
          <w:rFonts w:ascii="Palatino Linotype" w:hAnsi="Palatino Linotype" w:cs="Arial"/>
          <w:b/>
          <w:sz w:val="28"/>
          <w:szCs w:val="28"/>
        </w:rPr>
      </w:pPr>
      <w:r>
        <w:rPr>
          <w:rFonts w:ascii="Palatino Linotype" w:hAnsi="Palatino Linotype" w:cs="Arial"/>
          <w:b/>
          <w:sz w:val="28"/>
        </w:rPr>
        <w:t>QUINTO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7DBFF6ED" w14:textId="30662337" w:rsidR="0025592E" w:rsidRPr="00135EED" w:rsidRDefault="00B14095" w:rsidP="00B1409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rindió su informe justificado en fecha</w:t>
      </w:r>
      <w:r w:rsidR="0060526D">
        <w:rPr>
          <w:rFonts w:ascii="Palatino Linotype" w:hAnsi="Palatino Linotype" w:cs="Arial"/>
          <w:sz w:val="24"/>
          <w:szCs w:val="24"/>
        </w:rPr>
        <w:t xml:space="preserve"> </w:t>
      </w:r>
      <w:r w:rsidR="0025592E">
        <w:rPr>
          <w:rFonts w:ascii="Palatino Linotype" w:hAnsi="Palatino Linotype" w:cs="Arial"/>
          <w:b/>
          <w:bCs/>
          <w:sz w:val="24"/>
          <w:szCs w:val="24"/>
        </w:rPr>
        <w:t xml:space="preserve">veintiuno de </w:t>
      </w:r>
      <w:r w:rsidR="00135EED">
        <w:rPr>
          <w:rFonts w:ascii="Palatino Linotype" w:hAnsi="Palatino Linotype" w:cs="Arial"/>
          <w:b/>
          <w:bCs/>
          <w:sz w:val="24"/>
          <w:szCs w:val="24"/>
        </w:rPr>
        <w:t xml:space="preserve">septiembre, </w:t>
      </w:r>
      <w:r w:rsidR="00135EED">
        <w:rPr>
          <w:rFonts w:ascii="Palatino Linotype" w:hAnsi="Palatino Linotype" w:cs="Arial"/>
          <w:sz w:val="24"/>
          <w:szCs w:val="24"/>
        </w:rPr>
        <w:t xml:space="preserve">mismo que fue puesto a la vista el </w:t>
      </w:r>
      <w:r w:rsidR="00135EED">
        <w:rPr>
          <w:rFonts w:ascii="Palatino Linotype" w:hAnsi="Palatino Linotype" w:cs="Arial"/>
          <w:b/>
          <w:bCs/>
          <w:sz w:val="24"/>
          <w:szCs w:val="24"/>
        </w:rPr>
        <w:t xml:space="preserve">veintisiete de septiembre, </w:t>
      </w:r>
      <w:r w:rsidR="00135EED">
        <w:rPr>
          <w:rFonts w:ascii="Palatino Linotype" w:hAnsi="Palatino Linotype" w:cs="Arial"/>
          <w:sz w:val="24"/>
          <w:szCs w:val="24"/>
        </w:rPr>
        <w:t xml:space="preserve">ambos de dos mil veintidós. </w:t>
      </w:r>
    </w:p>
    <w:p w14:paraId="2A61FB48" w14:textId="77777777" w:rsidR="0025592E" w:rsidRDefault="0025592E" w:rsidP="00B14095">
      <w:pPr>
        <w:spacing w:after="0" w:line="360" w:lineRule="auto"/>
        <w:jc w:val="both"/>
        <w:rPr>
          <w:rFonts w:ascii="Palatino Linotype" w:hAnsi="Palatino Linotype" w:cs="Arial"/>
          <w:sz w:val="24"/>
          <w:szCs w:val="24"/>
        </w:rPr>
      </w:pPr>
    </w:p>
    <w:p w14:paraId="2B3007F8" w14:textId="4A7FB66C" w:rsidR="00B14095" w:rsidRDefault="00B14095" w:rsidP="00B1409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sidR="00135EED">
        <w:rPr>
          <w:rFonts w:ascii="Palatino Linotype" w:hAnsi="Palatino Linotype" w:cs="Arial"/>
          <w:b/>
          <w:bCs/>
          <w:sz w:val="24"/>
          <w:szCs w:val="24"/>
        </w:rPr>
        <w:t xml:space="preserve">cuatro de octubre de dos mil veintidós, </w:t>
      </w:r>
      <w:r w:rsidR="00135EED" w:rsidRPr="00135EED">
        <w:rPr>
          <w:rFonts w:ascii="Palatino Linotype" w:hAnsi="Palatino Linotype" w:cs="Arial"/>
          <w:sz w:val="24"/>
          <w:szCs w:val="24"/>
        </w:rPr>
        <w:t>e</w:t>
      </w:r>
      <w:r>
        <w:rPr>
          <w:rFonts w:ascii="Palatino Linotype" w:hAnsi="Palatino Linotype" w:cs="Arial"/>
          <w:sz w:val="24"/>
          <w:szCs w:val="24"/>
        </w:rPr>
        <w:t xml:space="preserve">n términos del artículo 185 Fracción VI de la Ley de Transparencia y </w:t>
      </w:r>
      <w:r>
        <w:rPr>
          <w:rFonts w:ascii="Palatino Linotype" w:hAnsi="Palatino Linotype" w:cs="Arial"/>
          <w:sz w:val="24"/>
          <w:szCs w:val="24"/>
        </w:rPr>
        <w:lastRenderedPageBreak/>
        <w:t xml:space="preserve">Acceso a la Información Pública del Estado de México y Municipios, iniciando el término legal para dictar resolución definitiva del asunto. </w:t>
      </w:r>
    </w:p>
    <w:p w14:paraId="4E027DA9" w14:textId="7BA4242F" w:rsidR="00B14095" w:rsidRDefault="00EE3C07" w:rsidP="00B14095">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w:t>
      </w:r>
      <w:r w:rsidR="00B14095" w:rsidRPr="0036654D">
        <w:rPr>
          <w:rFonts w:ascii="Palatino Linotype" w:hAnsi="Palatino Linotype" w:cs="Arial"/>
          <w:sz w:val="24"/>
          <w:szCs w:val="24"/>
        </w:rPr>
        <w:t xml:space="preserve"> fecha</w:t>
      </w:r>
      <w:r w:rsidR="00B14095">
        <w:rPr>
          <w:rFonts w:ascii="Palatino Linotype" w:hAnsi="Palatino Linotype" w:cs="Arial"/>
          <w:sz w:val="24"/>
          <w:szCs w:val="24"/>
        </w:rPr>
        <w:t xml:space="preserve"> </w:t>
      </w:r>
      <w:r w:rsidR="00135EED">
        <w:rPr>
          <w:rFonts w:ascii="Palatino Linotype" w:hAnsi="Palatino Linotype" w:cs="Arial"/>
          <w:b/>
          <w:bCs/>
          <w:sz w:val="24"/>
          <w:szCs w:val="24"/>
        </w:rPr>
        <w:t>siete de noviembre</w:t>
      </w:r>
      <w:r w:rsidR="005B021D">
        <w:rPr>
          <w:rFonts w:ascii="Palatino Linotype" w:hAnsi="Palatino Linotype" w:cs="Arial"/>
          <w:b/>
          <w:bCs/>
          <w:sz w:val="24"/>
          <w:szCs w:val="24"/>
        </w:rPr>
        <w:t xml:space="preserve"> de dos mil veintidós, </w:t>
      </w:r>
      <w:r w:rsidR="00B14095" w:rsidRPr="005C7C26">
        <w:rPr>
          <w:rFonts w:ascii="Palatino Linotype" w:hAnsi="Palatino Linotype" w:cs="Arial"/>
          <w:sz w:val="24"/>
          <w:szCs w:val="24"/>
        </w:rPr>
        <w:t>e</w:t>
      </w:r>
      <w:r w:rsidR="00B14095">
        <w:rPr>
          <w:rFonts w:ascii="Palatino Linotype" w:hAnsi="Palatino Linotype" w:cs="Arial"/>
          <w:sz w:val="24"/>
          <w:szCs w:val="24"/>
        </w:rPr>
        <w:t xml:space="preserve">n el expediente electrónico del recurso de revisión </w:t>
      </w:r>
      <w:r w:rsidR="00B14095">
        <w:rPr>
          <w:rFonts w:ascii="Palatino Linotype" w:hAnsi="Palatino Linotype" w:cs="Arial"/>
          <w:sz w:val="24"/>
        </w:rPr>
        <w:t xml:space="preserve">se amplió plazo para dictar resolución, en términos del </w:t>
      </w:r>
      <w:r w:rsidR="00B14095" w:rsidRPr="0053191B">
        <w:rPr>
          <w:rFonts w:ascii="Palatino Linotype" w:hAnsi="Palatino Linotype" w:cs="Arial"/>
          <w:sz w:val="24"/>
          <w:szCs w:val="24"/>
        </w:rPr>
        <w:t>artículo 181 de la Ley de Transparencia y Acceso a la Información del Estado de México y Municipios.</w:t>
      </w:r>
      <w:r w:rsidR="00B14095">
        <w:rPr>
          <w:rFonts w:ascii="Palatino Linotype" w:hAnsi="Palatino Linotype" w:cs="Arial"/>
          <w:sz w:val="24"/>
          <w:szCs w:val="24"/>
        </w:rPr>
        <w:t xml:space="preserve"> </w:t>
      </w:r>
    </w:p>
    <w:p w14:paraId="6AC51D6C" w14:textId="77777777" w:rsidR="005B021D" w:rsidRPr="001F3B43" w:rsidRDefault="005B021D" w:rsidP="005B021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7069D04" w14:textId="77777777" w:rsidR="005B021D" w:rsidRPr="001F3B43" w:rsidRDefault="005B021D" w:rsidP="005B021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w:t>
      </w:r>
      <w:proofErr w:type="gramStart"/>
      <w:r w:rsidRPr="001F3B43">
        <w:rPr>
          <w:rFonts w:ascii="Palatino Linotype" w:hAnsi="Palatino Linotype" w:cstheme="majorHAnsi"/>
          <w:sz w:val="24"/>
          <w:szCs w:val="24"/>
        </w:rPr>
        <w:t>que</w:t>
      </w:r>
      <w:proofErr w:type="gramEnd"/>
      <w:r w:rsidRPr="001F3B43">
        <w:rPr>
          <w:rFonts w:ascii="Palatino Linotype" w:hAnsi="Palatino Linotype" w:cstheme="majorHAnsi"/>
          <w:sz w:val="24"/>
          <w:szCs w:val="24"/>
        </w:rPr>
        <w:t xml:space="preserv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43C261C5" w14:textId="77777777" w:rsidR="005B021D" w:rsidRPr="001F3B43" w:rsidRDefault="005B021D" w:rsidP="005B021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32D88B4" w14:textId="77777777" w:rsidR="005B021D" w:rsidRPr="001F3B43" w:rsidRDefault="005B021D" w:rsidP="005B021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4E21577" w14:textId="77777777" w:rsidR="005B021D" w:rsidRPr="001F3B43" w:rsidRDefault="005B021D" w:rsidP="005B021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005E594A" w14:textId="77777777" w:rsidR="005B021D" w:rsidRPr="001F3B43" w:rsidRDefault="005B021D" w:rsidP="005B021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3E94244E" w14:textId="77777777" w:rsidR="005B021D" w:rsidRPr="001F3B43" w:rsidRDefault="005B021D" w:rsidP="005B021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5441958F" w14:textId="77777777" w:rsidR="005B021D" w:rsidRPr="001F3B43" w:rsidRDefault="005B021D" w:rsidP="005B021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73137347" w14:textId="77777777" w:rsidR="005B021D" w:rsidRPr="001F3B43" w:rsidRDefault="005B021D" w:rsidP="005B021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4C3A4CF3" w14:textId="77777777" w:rsidR="005B021D" w:rsidRPr="001F3B43" w:rsidRDefault="005B021D" w:rsidP="005B021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3A6DE51" w14:textId="77777777" w:rsidR="005B021D" w:rsidRPr="001F3B43" w:rsidRDefault="005B021D" w:rsidP="005B021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w:t>
      </w:r>
      <w:r w:rsidRPr="001F3B43">
        <w:rPr>
          <w:rFonts w:ascii="Palatino Linotype" w:hAnsi="Palatino Linotype" w:cstheme="majorHAnsi"/>
          <w:sz w:val="24"/>
          <w:szCs w:val="24"/>
        </w:rPr>
        <w:lastRenderedPageBreak/>
        <w:t>INDEBIDAMENTE POR NO RESPETARLOS SE DEBE ATENDER AL PRESUPUESTO QUE CONSIDERÓ EL LEGISLADOR AL FIJARLOS Y LAS CARACTERÍSTICAS DEL CASO.”, visible en la Gaceta del Seminario Judicial de la Federación con el registro digital 205635.</w:t>
      </w:r>
    </w:p>
    <w:p w14:paraId="63ABB3AC" w14:textId="77777777" w:rsidR="005B021D" w:rsidRPr="001F3B43" w:rsidRDefault="005B021D" w:rsidP="005B021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D18BD34" w14:textId="77777777" w:rsidR="005B021D" w:rsidRPr="001F3B43" w:rsidRDefault="005B021D" w:rsidP="005B021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491F4710" w14:textId="77777777" w:rsidR="005B021D" w:rsidRPr="001F3B43" w:rsidRDefault="005B021D" w:rsidP="005B021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4FF5FC1D" w14:textId="77777777" w:rsidR="005B021D" w:rsidRPr="001F3B43" w:rsidRDefault="005B021D" w:rsidP="005B021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w:t>
      </w:r>
      <w:r w:rsidRPr="001F3B43">
        <w:rPr>
          <w:rFonts w:ascii="Palatino Linotype" w:hAnsi="Palatino Linotype" w:cstheme="majorHAnsi"/>
          <w:sz w:val="24"/>
          <w:szCs w:val="24"/>
        </w:rPr>
        <w:lastRenderedPageBreak/>
        <w:t>HUMANOS.”, visible en el Seminario Judicial de la Federación y su gaceta, con el registro digital 2002350.</w:t>
      </w:r>
    </w:p>
    <w:p w14:paraId="2AD5D36E" w14:textId="77777777" w:rsidR="005B021D" w:rsidRPr="00B01D73" w:rsidRDefault="005B021D" w:rsidP="005B021D">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79F5E6F0" w14:textId="77777777" w:rsidR="003A5BAE" w:rsidRDefault="003A5BAE" w:rsidP="003E444C">
      <w:pPr>
        <w:spacing w:after="0" w:line="360" w:lineRule="auto"/>
        <w:jc w:val="both"/>
        <w:rPr>
          <w:rFonts w:ascii="Palatino Linotype" w:hAnsi="Palatino Linotype" w:cs="Arial"/>
          <w:sz w:val="24"/>
          <w:szCs w:val="24"/>
        </w:rPr>
      </w:pPr>
    </w:p>
    <w:p w14:paraId="67D0FD9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0BAC4C23" w14:textId="7E2F7935" w:rsidR="008C6105" w:rsidRDefault="008C6105" w:rsidP="008C6105">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6ADE9BD3" w14:textId="77777777" w:rsidR="0060526D" w:rsidRDefault="0060526D" w:rsidP="0084456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1AC3F8F" w14:textId="342E2F70"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EE86874" w14:textId="77777777" w:rsidR="008C6105" w:rsidRDefault="008C6105"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2AE35CB2" w14:textId="77777777" w:rsidR="00907C69" w:rsidRDefault="00907C69" w:rsidP="00907C69">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9510B5">
        <w:rPr>
          <w:rFonts w:ascii="Palatino Linotype" w:hAnsi="Palatino Linotype" w:cs="Arial"/>
          <w:b/>
        </w:rPr>
        <w:t xml:space="preserve">. </w:t>
      </w:r>
      <w:r w:rsidRPr="009510B5">
        <w:rPr>
          <w:rFonts w:ascii="Palatino Linotype" w:hAnsi="Palatino Linotype" w:cs="Arial"/>
          <w:b/>
          <w:sz w:val="28"/>
          <w:szCs w:val="28"/>
        </w:rPr>
        <w:t>Del estudio de las causas de improcedencia y sobreseimiento</w:t>
      </w:r>
    </w:p>
    <w:p w14:paraId="6F67D487" w14:textId="77777777" w:rsidR="00907C69" w:rsidRDefault="00907C69" w:rsidP="00907C6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7D514443" w14:textId="77777777" w:rsidR="00907C69" w:rsidRDefault="00907C69" w:rsidP="00907C69">
      <w:pPr>
        <w:pStyle w:val="Prrafodelista"/>
        <w:autoSpaceDE w:val="0"/>
        <w:autoSpaceDN w:val="0"/>
        <w:adjustRightInd w:val="0"/>
        <w:spacing w:line="360" w:lineRule="auto"/>
        <w:ind w:left="0"/>
        <w:jc w:val="both"/>
        <w:rPr>
          <w:rFonts w:ascii="Palatino Linotype" w:hAnsi="Palatino Linotype" w:cs="Arial"/>
        </w:rPr>
      </w:pPr>
    </w:p>
    <w:p w14:paraId="31B4BD0B" w14:textId="5DE00F03" w:rsidR="00907C69" w:rsidRDefault="00907C69" w:rsidP="00907C6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w:t>
      </w:r>
      <w:r>
        <w:rPr>
          <w:rFonts w:ascii="Palatino Linotype" w:hAnsi="Palatino Linotype" w:cs="Arial"/>
        </w:rPr>
        <w:lastRenderedPageBreak/>
        <w:t xml:space="preserve">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77ACDD26" w14:textId="77777777" w:rsidR="00907C69" w:rsidRDefault="00907C69" w:rsidP="00907C69">
      <w:pPr>
        <w:pStyle w:val="Prrafodelista"/>
        <w:autoSpaceDE w:val="0"/>
        <w:autoSpaceDN w:val="0"/>
        <w:adjustRightInd w:val="0"/>
        <w:spacing w:line="360" w:lineRule="auto"/>
        <w:ind w:left="0"/>
        <w:jc w:val="both"/>
        <w:rPr>
          <w:rFonts w:ascii="Palatino Linotype" w:hAnsi="Palatino Linotype" w:cs="Arial"/>
        </w:rPr>
      </w:pPr>
    </w:p>
    <w:p w14:paraId="7DC52ED3" w14:textId="77777777" w:rsidR="00907C69" w:rsidRDefault="00907C69" w:rsidP="00907C69">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t>En primer término es necesario hacer alusión a la solicitud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 xml:space="preserve">solicitud no se entiende o no se precisan temas o </w:t>
      </w:r>
      <w:r w:rsidRPr="00552846">
        <w:rPr>
          <w:rFonts w:ascii="Palatino Linotype" w:hAnsi="Palatino Linotype" w:cs="Arial"/>
          <w:sz w:val="24"/>
          <w:szCs w:val="24"/>
        </w:rPr>
        <w:lastRenderedPageBreak/>
        <w:t>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10A26112" w14:textId="77777777" w:rsidR="00907C69" w:rsidRDefault="00907C69" w:rsidP="00907C69">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Ya que el planteamiento del problema es de toral importancia, a efecto de determinar la intención o voluntad de</w:t>
      </w:r>
      <w:r>
        <w:rPr>
          <w:rFonts w:ascii="Palatino Linotype" w:hAnsi="Palatino Linotype" w:cs="Arial"/>
          <w:sz w:val="24"/>
          <w:szCs w:val="24"/>
        </w:rPr>
        <w:t>l</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2B23FBBA" w14:textId="3920E58E" w:rsidR="00135EED" w:rsidRDefault="00075123" w:rsidP="00075123">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Una vez sentado lo anterior, </w:t>
      </w:r>
      <w:r w:rsidR="005B021D">
        <w:rPr>
          <w:rFonts w:ascii="Palatino Linotype" w:hAnsi="Palatino Linotype"/>
          <w:color w:val="000000"/>
          <w:sz w:val="24"/>
          <w:szCs w:val="24"/>
        </w:rPr>
        <w:t xml:space="preserve">es preciso señalar que mediante la solicitud de información </w:t>
      </w:r>
      <w:r w:rsidR="00135EED">
        <w:rPr>
          <w:rFonts w:ascii="Palatino Linotype" w:hAnsi="Palatino Linotype"/>
          <w:b/>
          <w:bCs/>
          <w:color w:val="000000"/>
          <w:sz w:val="24"/>
          <w:szCs w:val="24"/>
        </w:rPr>
        <w:t xml:space="preserve">00219/HUEHUETO/IP/2022 </w:t>
      </w:r>
      <w:r w:rsidR="00135EED">
        <w:rPr>
          <w:rFonts w:ascii="Palatino Linotype" w:hAnsi="Palatino Linotype"/>
          <w:color w:val="000000"/>
          <w:sz w:val="24"/>
          <w:szCs w:val="24"/>
        </w:rPr>
        <w:t xml:space="preserve">fueron formulados </w:t>
      </w:r>
      <w:r w:rsidR="00135EED">
        <w:rPr>
          <w:rFonts w:ascii="Palatino Linotype" w:hAnsi="Palatino Linotype"/>
          <w:b/>
          <w:bCs/>
          <w:color w:val="000000"/>
          <w:sz w:val="24"/>
          <w:szCs w:val="24"/>
        </w:rPr>
        <w:t xml:space="preserve">2 -dos- </w:t>
      </w:r>
      <w:r w:rsidR="00135EED">
        <w:rPr>
          <w:rFonts w:ascii="Palatino Linotype" w:hAnsi="Palatino Linotype"/>
          <w:color w:val="000000"/>
          <w:sz w:val="24"/>
          <w:szCs w:val="24"/>
        </w:rPr>
        <w:t>requerimientos respecto de los cuales se desprenden las siguientes consideraciones:</w:t>
      </w:r>
    </w:p>
    <w:p w14:paraId="3E134C6E" w14:textId="5EE999C6" w:rsidR="00135EED" w:rsidRDefault="00135EED">
      <w:pPr>
        <w:pStyle w:val="Prrafodelista"/>
        <w:numPr>
          <w:ilvl w:val="0"/>
          <w:numId w:val="4"/>
        </w:numPr>
        <w:spacing w:line="360" w:lineRule="auto"/>
        <w:jc w:val="both"/>
        <w:rPr>
          <w:rFonts w:ascii="Palatino Linotype" w:hAnsi="Palatino Linotype"/>
          <w:color w:val="000000"/>
        </w:rPr>
      </w:pPr>
      <w:r>
        <w:rPr>
          <w:rFonts w:ascii="Palatino Linotype" w:hAnsi="Palatino Linotype"/>
          <w:color w:val="000000"/>
        </w:rPr>
        <w:t xml:space="preserve">Que </w:t>
      </w:r>
      <w:r w:rsidR="00AB3221">
        <w:rPr>
          <w:rFonts w:ascii="Palatino Linotype" w:hAnsi="Palatino Linotype"/>
          <w:color w:val="000000"/>
        </w:rPr>
        <w:t xml:space="preserve">no se fijó elemento temporal, debiendo de ser delimitado a la fecha en que se ejerció el derecho de acceso a la información pública, es decir, al nueve de agosto de dos mil veintidós. </w:t>
      </w:r>
    </w:p>
    <w:p w14:paraId="10AEC046" w14:textId="77777777" w:rsidR="00AB3221" w:rsidRDefault="00AB3221">
      <w:pPr>
        <w:pStyle w:val="Prrafodelista"/>
        <w:numPr>
          <w:ilvl w:val="0"/>
          <w:numId w:val="5"/>
        </w:numPr>
        <w:spacing w:before="240" w:line="360" w:lineRule="auto"/>
        <w:jc w:val="both"/>
        <w:rPr>
          <w:rFonts w:ascii="Palatino Linotype" w:hAnsi="Palatino Linotype"/>
        </w:rPr>
      </w:pPr>
      <w:r>
        <w:rPr>
          <w:rFonts w:ascii="Palatino Linotype" w:hAnsi="Palatino Linotype"/>
          <w:color w:val="000000"/>
        </w:rPr>
        <w:t xml:space="preserve">Que cuando los particulares no identifican de forma precisa </w:t>
      </w:r>
      <w:r>
        <w:rPr>
          <w:rFonts w:ascii="Palatino Linotype" w:hAnsi="Palatino Linotype"/>
        </w:rPr>
        <w:t xml:space="preserve">el documento requerido bastará con que se remita cualquiera que refleje la información requerida. Al respecto cobra relevancia el criterio emitido por el Órgano Garante Nacional con número </w:t>
      </w:r>
      <w:r>
        <w:rPr>
          <w:rFonts w:ascii="Palatino Linotype" w:hAnsi="Palatino Linotype"/>
          <w:b/>
          <w:bCs/>
        </w:rPr>
        <w:t xml:space="preserve">16/17 </w:t>
      </w:r>
      <w:r>
        <w:rPr>
          <w:rFonts w:ascii="Palatino Linotype" w:hAnsi="Palatino Linotype"/>
        </w:rPr>
        <w:t>cuyo rubro y texto disponen a la literalidad lo siguiente:</w:t>
      </w:r>
    </w:p>
    <w:p w14:paraId="1B12FF4B" w14:textId="77777777" w:rsidR="00AB3221" w:rsidRPr="00AB5B4A" w:rsidRDefault="00AB3221" w:rsidP="00AB3221">
      <w:pPr>
        <w:pStyle w:val="Citas"/>
        <w:jc w:val="center"/>
        <w:rPr>
          <w:b/>
          <w:bCs/>
          <w:sz w:val="24"/>
          <w:szCs w:val="24"/>
        </w:rPr>
      </w:pPr>
      <w:r w:rsidRPr="00AB5B4A">
        <w:rPr>
          <w:b/>
          <w:bCs/>
          <w:sz w:val="24"/>
          <w:szCs w:val="24"/>
        </w:rPr>
        <w:t>“EXPRESIÓN DOCUMENTAL.</w:t>
      </w:r>
    </w:p>
    <w:p w14:paraId="42D8AD1F" w14:textId="77777777" w:rsidR="00AB3221" w:rsidRPr="00AB5B4A" w:rsidRDefault="00AB3221" w:rsidP="00AB3221">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w:t>
      </w:r>
      <w:r w:rsidRPr="00AB5B4A">
        <w:rPr>
          <w:lang w:val="es-ES"/>
        </w:rPr>
        <w:lastRenderedPageBreak/>
        <w:t xml:space="preserve">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0D76660A" w14:textId="77777777" w:rsidR="00AB3221" w:rsidRPr="00AB5B4A" w:rsidRDefault="00AB3221" w:rsidP="00AB3221">
      <w:pPr>
        <w:pStyle w:val="Citas"/>
        <w:rPr>
          <w:b/>
        </w:rPr>
      </w:pPr>
      <w:r w:rsidRPr="00AB5B4A">
        <w:rPr>
          <w:b/>
        </w:rPr>
        <w:t>Precedentes:</w:t>
      </w:r>
    </w:p>
    <w:p w14:paraId="12355711" w14:textId="77777777" w:rsidR="00AB3221" w:rsidRPr="00AB5B4A" w:rsidRDefault="00AB3221">
      <w:pPr>
        <w:pStyle w:val="Citas"/>
        <w:numPr>
          <w:ilvl w:val="0"/>
          <w:numId w:val="6"/>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2359DAF4" w14:textId="77777777" w:rsidR="00AB3221" w:rsidRPr="00AB5B4A" w:rsidRDefault="00AB3221">
      <w:pPr>
        <w:pStyle w:val="Citas"/>
        <w:numPr>
          <w:ilvl w:val="0"/>
          <w:numId w:val="6"/>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42BD3C43" w14:textId="0C7DB4F9" w:rsidR="00AB3221" w:rsidRPr="00AB3221" w:rsidRDefault="00AB3221">
      <w:pPr>
        <w:pStyle w:val="Citas"/>
        <w:numPr>
          <w:ilvl w:val="0"/>
          <w:numId w:val="6"/>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w:t>
      </w:r>
      <w:proofErr w:type="gramStart"/>
      <w:r w:rsidRPr="00AB5B4A">
        <w:t xml:space="preserve">“ </w:t>
      </w:r>
      <w:r w:rsidRPr="00AB5B4A">
        <w:rPr>
          <w:b/>
          <w:bCs/>
        </w:rPr>
        <w:t>(</w:t>
      </w:r>
      <w:proofErr w:type="gramEnd"/>
      <w:r w:rsidRPr="00AB5B4A">
        <w:rPr>
          <w:b/>
          <w:bCs/>
        </w:rPr>
        <w:t>Sic)</w:t>
      </w:r>
    </w:p>
    <w:p w14:paraId="4D94616A" w14:textId="5069F8BF" w:rsidR="00AB3221" w:rsidRDefault="00AB3221" w:rsidP="00AB3221">
      <w:pPr>
        <w:pStyle w:val="Citas"/>
        <w:ind w:left="0"/>
      </w:pPr>
    </w:p>
    <w:p w14:paraId="21935210" w14:textId="77777777" w:rsidR="00AB3221" w:rsidRPr="0051062B" w:rsidRDefault="00AB3221" w:rsidP="00AB3221">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2BBFE52A" w14:textId="77777777" w:rsidR="00AB3221" w:rsidRPr="0051062B" w:rsidRDefault="00AB3221" w:rsidP="00AB3221">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7BC73C51" w14:textId="77777777" w:rsidR="00AB3221" w:rsidRPr="0051062B" w:rsidRDefault="00AB3221" w:rsidP="00AB3221">
      <w:pPr>
        <w:pStyle w:val="Citas"/>
        <w:rPr>
          <w:b/>
        </w:rPr>
      </w:pPr>
      <w:r w:rsidRPr="0051062B">
        <w:rPr>
          <w:b/>
        </w:rPr>
        <w:t xml:space="preserve">Artículo 181. … </w:t>
      </w:r>
    </w:p>
    <w:p w14:paraId="2561FB3E" w14:textId="77777777" w:rsidR="00AB3221" w:rsidRDefault="00AB3221" w:rsidP="00AB3221">
      <w:pPr>
        <w:pStyle w:val="Citas"/>
        <w:rPr>
          <w:b/>
        </w:rPr>
      </w:pPr>
      <w:r w:rsidRPr="0051062B">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3AF05144" w14:textId="77777777" w:rsidR="00AB3221" w:rsidRDefault="00AB3221" w:rsidP="00AB3221">
      <w:pPr>
        <w:spacing w:before="240" w:line="360" w:lineRule="auto"/>
        <w:jc w:val="both"/>
        <w:rPr>
          <w:rFonts w:ascii="Palatino Linotype" w:hAnsi="Palatino Linotype"/>
          <w:sz w:val="24"/>
          <w:szCs w:val="24"/>
        </w:rPr>
      </w:pPr>
    </w:p>
    <w:p w14:paraId="306A6C14" w14:textId="77777777" w:rsidR="00AB3221" w:rsidRPr="0064392E" w:rsidRDefault="00AB3221" w:rsidP="00AB3221">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019465C2" w14:textId="77777777" w:rsidR="00135EED" w:rsidRDefault="0060526D">
      <w:pPr>
        <w:pStyle w:val="Prrafodelista"/>
        <w:numPr>
          <w:ilvl w:val="0"/>
          <w:numId w:val="3"/>
        </w:numPr>
        <w:spacing w:before="240" w:line="360" w:lineRule="auto"/>
        <w:jc w:val="both"/>
        <w:rPr>
          <w:rFonts w:ascii="Palatino Linotype" w:hAnsi="Palatino Linotype"/>
        </w:rPr>
      </w:pPr>
      <w:r>
        <w:rPr>
          <w:rFonts w:ascii="Palatino Linotype" w:hAnsi="Palatino Linotype"/>
        </w:rPr>
        <w:t xml:space="preserve">El o los documentos </w:t>
      </w:r>
      <w:r w:rsidR="00135EED">
        <w:rPr>
          <w:rFonts w:ascii="Palatino Linotype" w:hAnsi="Palatino Linotype"/>
        </w:rPr>
        <w:t xml:space="preserve">donde consten las acciones del área de Ordenamiento Comercial y/o equivalente para ordenar el comercio fijo y semifijo, al nueve de agosto de dos mil veintidós. </w:t>
      </w:r>
    </w:p>
    <w:p w14:paraId="5706889A" w14:textId="655BD6ED" w:rsidR="0060526D" w:rsidRPr="009D3C55" w:rsidRDefault="00135EED">
      <w:pPr>
        <w:pStyle w:val="Prrafodelista"/>
        <w:numPr>
          <w:ilvl w:val="0"/>
          <w:numId w:val="3"/>
        </w:numPr>
        <w:spacing w:before="240" w:line="360" w:lineRule="auto"/>
        <w:jc w:val="both"/>
        <w:rPr>
          <w:rFonts w:ascii="Palatino Linotype" w:hAnsi="Palatino Linotype"/>
        </w:rPr>
      </w:pPr>
      <w:r>
        <w:rPr>
          <w:rFonts w:ascii="Palatino Linotype" w:hAnsi="Palatino Linotype"/>
        </w:rPr>
        <w:t xml:space="preserve">El o los documentos donde conste el conflicto de interés entre la Titular del área de Ordenamiento Comercial y/o equivalente y sus hermanos que tienen un puesto afuera de un local comercial que impide el tránsito por la banqueta, al </w:t>
      </w:r>
      <w:r w:rsidR="00AB3221">
        <w:rPr>
          <w:rFonts w:ascii="Palatino Linotype" w:hAnsi="Palatino Linotype"/>
        </w:rPr>
        <w:t xml:space="preserve">nueve de </w:t>
      </w:r>
      <w:r>
        <w:rPr>
          <w:rFonts w:ascii="Palatino Linotype" w:hAnsi="Palatino Linotype"/>
        </w:rPr>
        <w:t xml:space="preserve">agosto de dos mil veintidós. </w:t>
      </w:r>
    </w:p>
    <w:p w14:paraId="71460443" w14:textId="0D97B54C" w:rsidR="0060526D" w:rsidRDefault="0060526D" w:rsidP="00075123">
      <w:pPr>
        <w:spacing w:after="0" w:line="360" w:lineRule="auto"/>
        <w:jc w:val="both"/>
        <w:rPr>
          <w:rFonts w:ascii="Palatino Linotype" w:hAnsi="Palatino Linotype"/>
          <w:color w:val="000000"/>
          <w:sz w:val="24"/>
          <w:szCs w:val="24"/>
          <w:lang w:val="es-ES"/>
        </w:rPr>
      </w:pPr>
    </w:p>
    <w:p w14:paraId="1012D46B" w14:textId="3D6BBC00" w:rsidR="00AB3221" w:rsidRDefault="00AB3221" w:rsidP="00075123">
      <w:pPr>
        <w:spacing w:after="0" w:line="360" w:lineRule="auto"/>
        <w:jc w:val="both"/>
        <w:rPr>
          <w:rFonts w:ascii="Palatino Linotype" w:hAnsi="Palatino Linotype"/>
          <w:color w:val="000000"/>
          <w:sz w:val="24"/>
          <w:szCs w:val="24"/>
          <w:lang w:val="es-ES"/>
        </w:rPr>
      </w:pPr>
    </w:p>
    <w:p w14:paraId="5FE34A18" w14:textId="77777777" w:rsidR="00AB3221" w:rsidRDefault="00AB3221" w:rsidP="00AB3221">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Bajo este contexto, a efecto de identificar las unidades administrativas competentes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2D9E5994" w14:textId="77777777" w:rsidR="00AB3221" w:rsidRPr="009535E0" w:rsidRDefault="00AB3221" w:rsidP="00AB3221">
      <w:pPr>
        <w:tabs>
          <w:tab w:val="left" w:pos="709"/>
        </w:tabs>
        <w:spacing w:before="240" w:line="360" w:lineRule="auto"/>
        <w:ind w:left="851" w:right="851"/>
        <w:jc w:val="both"/>
        <w:rPr>
          <w:rFonts w:ascii="Palatino Linotype" w:hAnsi="Palatino Linotype"/>
          <w:i/>
        </w:rPr>
      </w:pPr>
      <w:r>
        <w:rPr>
          <w:rFonts w:ascii="Palatino Linotype" w:hAnsi="Palatino Linotype"/>
          <w:i/>
        </w:rPr>
        <w:lastRenderedPageBreak/>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2EDF5AF5" w14:textId="77777777" w:rsidR="00AB3221" w:rsidRPr="009535E0" w:rsidRDefault="00AB3221" w:rsidP="00AB3221">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2F2A97FB" w14:textId="77777777" w:rsidR="00AB3221" w:rsidRPr="009535E0" w:rsidRDefault="00AB3221" w:rsidP="00AB3221">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0153E2B" w14:textId="77777777" w:rsidR="00AB3221" w:rsidRDefault="00AB3221" w:rsidP="00AB3221">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19FEC420" w14:textId="77777777" w:rsidR="00AB3221" w:rsidRPr="00A94BBE" w:rsidRDefault="00AB3221" w:rsidP="00AB3221">
      <w:pPr>
        <w:pStyle w:val="INFOEM"/>
        <w:rPr>
          <w:b/>
        </w:rPr>
      </w:pPr>
      <w:r>
        <w:t xml:space="preserve"> (…)” </w:t>
      </w:r>
      <w:r>
        <w:rPr>
          <w:b/>
        </w:rPr>
        <w:t xml:space="preserve">[Sic] </w:t>
      </w:r>
    </w:p>
    <w:p w14:paraId="5DB6C48F" w14:textId="77777777" w:rsidR="00AB3221" w:rsidRDefault="00AB3221" w:rsidP="00AB3221">
      <w:pPr>
        <w:spacing w:after="0" w:line="360" w:lineRule="auto"/>
        <w:jc w:val="both"/>
        <w:rPr>
          <w:rFonts w:ascii="Palatino Linotype" w:hAnsi="Palatino Linotype"/>
          <w:color w:val="000000"/>
          <w:sz w:val="24"/>
          <w:szCs w:val="24"/>
        </w:rPr>
      </w:pPr>
    </w:p>
    <w:p w14:paraId="479F7FFC" w14:textId="41277E36" w:rsidR="00AB3221" w:rsidRDefault="00AB3221" w:rsidP="00AB3221">
      <w:pPr>
        <w:spacing w:before="240" w:line="360" w:lineRule="auto"/>
        <w:jc w:val="both"/>
        <w:rPr>
          <w:rFonts w:ascii="Palatino Linotype" w:hAnsi="Palatino Linotype"/>
          <w:b/>
          <w:bCs/>
          <w:sz w:val="24"/>
          <w:szCs w:val="24"/>
        </w:rPr>
      </w:pPr>
      <w:r>
        <w:rPr>
          <w:rFonts w:ascii="Palatino Linotype" w:hAnsi="Palatino Linotype"/>
          <w:bCs/>
          <w:sz w:val="24"/>
          <w:szCs w:val="24"/>
        </w:rPr>
        <w:t xml:space="preserve">Robustece lo anterior, las siguientes imágenes ilustrativas, correspondientes al organigrama del </w:t>
      </w:r>
      <w:r>
        <w:rPr>
          <w:rFonts w:ascii="Palatino Linotype" w:hAnsi="Palatino Linotype"/>
          <w:b/>
          <w:bCs/>
          <w:sz w:val="24"/>
          <w:szCs w:val="24"/>
        </w:rPr>
        <w:t>Sujeto Obligado:</w:t>
      </w:r>
    </w:p>
    <w:p w14:paraId="69182F81" w14:textId="6F1F0505" w:rsidR="00AB3221" w:rsidRPr="00AB3221" w:rsidRDefault="00D030E9" w:rsidP="00075123">
      <w:pPr>
        <w:spacing w:after="0" w:line="360" w:lineRule="auto"/>
        <w:jc w:val="both"/>
        <w:rPr>
          <w:rFonts w:ascii="Palatino Linotype" w:hAnsi="Palatino Linotype"/>
          <w:color w:val="000000"/>
          <w:sz w:val="24"/>
          <w:szCs w:val="24"/>
        </w:rPr>
      </w:pPr>
      <w:r>
        <w:rPr>
          <w:rFonts w:ascii="Palatino Linotype" w:hAnsi="Palatino Linotype"/>
          <w:noProof/>
          <w:color w:val="000000"/>
          <w:sz w:val="24"/>
          <w:szCs w:val="24"/>
          <w:lang w:eastAsia="es-MX"/>
        </w:rPr>
        <w:lastRenderedPageBreak/>
        <w:drawing>
          <wp:anchor distT="0" distB="0" distL="114300" distR="114300" simplePos="0" relativeHeight="251703296" behindDoc="0" locked="0" layoutInCell="1" allowOverlap="1" wp14:anchorId="451FE975" wp14:editId="0E6B7BDA">
            <wp:simplePos x="0" y="0"/>
            <wp:positionH relativeFrom="column">
              <wp:posOffset>31115</wp:posOffset>
            </wp:positionH>
            <wp:positionV relativeFrom="paragraph">
              <wp:posOffset>3892550</wp:posOffset>
            </wp:positionV>
            <wp:extent cx="5746750" cy="3457575"/>
            <wp:effectExtent l="19050" t="19050" r="25400" b="28575"/>
            <wp:wrapThrough wrapText="bothSides">
              <wp:wrapPolygon edited="0">
                <wp:start x="-72" y="-119"/>
                <wp:lineTo x="-72" y="21660"/>
                <wp:lineTo x="21624" y="21660"/>
                <wp:lineTo x="21624" y="-119"/>
                <wp:lineTo x="-72" y="-119"/>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6750" cy="3457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B3221">
        <w:rPr>
          <w:rFonts w:ascii="Palatino Linotype" w:hAnsi="Palatino Linotype" w:cs="Arial"/>
          <w:noProof/>
          <w:sz w:val="24"/>
          <w:szCs w:val="24"/>
          <w:lang w:eastAsia="es-MX"/>
        </w:rPr>
        <w:drawing>
          <wp:anchor distT="0" distB="0" distL="114300" distR="114300" simplePos="0" relativeHeight="251699199" behindDoc="0" locked="0" layoutInCell="1" allowOverlap="1" wp14:anchorId="200A891F" wp14:editId="5E48610E">
            <wp:simplePos x="0" y="0"/>
            <wp:positionH relativeFrom="column">
              <wp:posOffset>18415</wp:posOffset>
            </wp:positionH>
            <wp:positionV relativeFrom="paragraph">
              <wp:posOffset>19050</wp:posOffset>
            </wp:positionV>
            <wp:extent cx="5759450" cy="3457575"/>
            <wp:effectExtent l="19050" t="19050" r="12700" b="28575"/>
            <wp:wrapThrough wrapText="bothSides">
              <wp:wrapPolygon edited="0">
                <wp:start x="-71" y="-119"/>
                <wp:lineTo x="-71" y="21660"/>
                <wp:lineTo x="21576" y="21660"/>
                <wp:lineTo x="21576" y="-119"/>
                <wp:lineTo x="-71" y="-119"/>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3457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D5285F5" w14:textId="51FEC5ED" w:rsidR="00D030E9" w:rsidRDefault="00D030E9" w:rsidP="00D030E9">
      <w:pPr>
        <w:pStyle w:val="Sinespaciado"/>
        <w:spacing w:line="360" w:lineRule="auto"/>
        <w:jc w:val="both"/>
        <w:rPr>
          <w:rFonts w:ascii="Palatino Linotype" w:hAnsi="Palatino Linotype" w:cs="Arial"/>
        </w:rPr>
      </w:pPr>
      <w:r>
        <w:rPr>
          <w:rFonts w:ascii="Palatino Linotype" w:hAnsi="Palatino Linotype" w:cs="Arial"/>
        </w:rPr>
        <w:lastRenderedPageBreak/>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 xml:space="preserve">se auxilia de diversas Direcciones, Subdirecciones, Departamentos y Unidades Administrativas para cumplir con sus fines y objetivos, resultando de nuestro más amplio interés la Dirección de Desarrollo Económico, así como la Coordinación de Ordenamiento Comercial. </w:t>
      </w:r>
    </w:p>
    <w:p w14:paraId="35FC026B" w14:textId="1FF59D3D" w:rsidR="00D030E9" w:rsidRDefault="00D030E9" w:rsidP="00D030E9">
      <w:pPr>
        <w:pStyle w:val="Sinespaciado"/>
        <w:spacing w:line="360" w:lineRule="auto"/>
        <w:jc w:val="both"/>
        <w:rPr>
          <w:rFonts w:ascii="Palatino Linotype" w:hAnsi="Palatino Linotype" w:cs="Arial"/>
        </w:rPr>
      </w:pPr>
    </w:p>
    <w:p w14:paraId="2C9DE2E3" w14:textId="025AEDD3" w:rsidR="00D030E9" w:rsidRPr="00D030E9" w:rsidRDefault="00D030E9" w:rsidP="00D030E9">
      <w:pPr>
        <w:pStyle w:val="Sinespaciado"/>
        <w:spacing w:line="360" w:lineRule="auto"/>
        <w:jc w:val="both"/>
        <w:rPr>
          <w:rFonts w:ascii="Palatino Linotype" w:hAnsi="Palatino Linotype" w:cs="Arial"/>
        </w:rPr>
      </w:pPr>
      <w:r>
        <w:rPr>
          <w:rFonts w:ascii="Palatino Linotype" w:hAnsi="Palatino Linotype" w:cs="Arial"/>
        </w:rPr>
        <w:t xml:space="preserve">En virtud de lo anterior, para delimitar las fronteras conceptuales de las unidades administrativas en cita, resulta oportuno traer a colación los numerales 266, 332, 333, 334 y 335 del Bando Municipal del </w:t>
      </w:r>
      <w:r>
        <w:rPr>
          <w:rFonts w:ascii="Palatino Linotype" w:hAnsi="Palatino Linotype" w:cs="Arial"/>
          <w:b/>
          <w:bCs/>
        </w:rPr>
        <w:t xml:space="preserve">Sujeto Obligado, </w:t>
      </w:r>
      <w:r>
        <w:rPr>
          <w:rFonts w:ascii="Palatino Linotype" w:hAnsi="Palatino Linotype" w:cs="Arial"/>
        </w:rPr>
        <w:t>porciones normativas que disponen a la literalidad lo siguiente:</w:t>
      </w:r>
    </w:p>
    <w:p w14:paraId="37499644" w14:textId="63312F3D" w:rsidR="00D030E9" w:rsidRDefault="00D030E9" w:rsidP="00D030E9">
      <w:pPr>
        <w:pStyle w:val="Citas"/>
      </w:pPr>
      <w:r>
        <w:t xml:space="preserve">“Artículo 266.- Al titular de la Dirección de Desarrollo Económico le corresponde promover la competitividad económica del Municipio, fomentando una cultura emprendedora entre los agentes económicos. </w:t>
      </w:r>
    </w:p>
    <w:p w14:paraId="052206EE" w14:textId="77777777" w:rsidR="00D030E9" w:rsidRDefault="00D030E9" w:rsidP="00D030E9">
      <w:pPr>
        <w:pStyle w:val="Citas"/>
      </w:pPr>
      <w:r>
        <w:t>De manera enunciativa, tendrá como objetivos básicos la promoción de la inversión interna y externa, la generación de empleos, la autosuficiencia económica y procurar el mejoramiento del nivel de vida de los ciudadanos de Huehuetoca.</w:t>
      </w:r>
    </w:p>
    <w:p w14:paraId="498D09AB" w14:textId="77777777" w:rsidR="00D030E9" w:rsidRDefault="00D030E9" w:rsidP="00D030E9">
      <w:pPr>
        <w:pStyle w:val="Citas"/>
      </w:pPr>
      <w:r>
        <w:t xml:space="preserve"> Para el cumplimiento de sus objetivos, tendrá a su cargo las siguientes dependencias: </w:t>
      </w:r>
    </w:p>
    <w:p w14:paraId="47571473" w14:textId="77777777" w:rsidR="00D030E9" w:rsidRDefault="00D030E9" w:rsidP="00D030E9">
      <w:pPr>
        <w:pStyle w:val="Citas"/>
      </w:pPr>
      <w:r>
        <w:t>a) La Subdirección de Licencias y Permisos;</w:t>
      </w:r>
    </w:p>
    <w:p w14:paraId="24DA1981" w14:textId="77777777" w:rsidR="00D030E9" w:rsidRPr="00D030E9" w:rsidRDefault="00D030E9" w:rsidP="00D030E9">
      <w:pPr>
        <w:pStyle w:val="Citas"/>
        <w:rPr>
          <w:b/>
          <w:bCs/>
          <w:u w:val="single"/>
        </w:rPr>
      </w:pPr>
      <w:r w:rsidRPr="00D030E9">
        <w:rPr>
          <w:b/>
          <w:bCs/>
          <w:u w:val="single"/>
        </w:rPr>
        <w:t xml:space="preserve"> b) La Coordinación de Ordenamiento Comercial; </w:t>
      </w:r>
    </w:p>
    <w:p w14:paraId="547F432B" w14:textId="77777777" w:rsidR="00D030E9" w:rsidRDefault="00D030E9" w:rsidP="00D030E9">
      <w:pPr>
        <w:pStyle w:val="Citas"/>
      </w:pPr>
      <w:r>
        <w:t xml:space="preserve">c) La Coordinación de Turismo; y </w:t>
      </w:r>
    </w:p>
    <w:p w14:paraId="0608ED4D" w14:textId="5E113085" w:rsidR="00D030E9" w:rsidRDefault="00D030E9" w:rsidP="00D030E9">
      <w:pPr>
        <w:pStyle w:val="Citas"/>
      </w:pPr>
      <w:r>
        <w:t xml:space="preserve">d) La Jefatura del Museo del Ferrocarril. </w:t>
      </w:r>
    </w:p>
    <w:p w14:paraId="79F6B862" w14:textId="77777777" w:rsidR="00D030E9" w:rsidRDefault="00D030E9" w:rsidP="00D030E9">
      <w:pPr>
        <w:pStyle w:val="Citas"/>
      </w:pPr>
      <w:r>
        <w:lastRenderedPageBreak/>
        <w:t xml:space="preserve"> Artículo 332.- La Coordinación de Ordenamiento Comercial estará a cargo de un coordinador, para el ejercicio de sus facultades se auxiliará de un cuerpo de Verificadores Notificadores Ejecutores y del personal adscrito a la Coordinación. </w:t>
      </w:r>
    </w:p>
    <w:p w14:paraId="2F6707E1" w14:textId="64D27C48" w:rsidR="00D030E9" w:rsidRDefault="00D030E9" w:rsidP="00D030E9">
      <w:pPr>
        <w:pStyle w:val="Citas"/>
      </w:pPr>
      <w:r>
        <w:t xml:space="preserve">Artículo 333.- La Coordinación de Ordenamiento Comercial será el garante de que las actividades comerciales, industriales y de prestación de servicios que se desarrollen en el territorio del Municipio de Huehuetoca, ya sea por personas físicas o morales, que cumplan con la normatividad vigente aplicable. </w:t>
      </w:r>
    </w:p>
    <w:p w14:paraId="6AF78C08" w14:textId="50CBA433" w:rsidR="00D030E9" w:rsidRPr="00193EF2" w:rsidRDefault="00D030E9" w:rsidP="00D030E9">
      <w:pPr>
        <w:pStyle w:val="Citas"/>
      </w:pPr>
      <w:r w:rsidRPr="00193EF2">
        <w:t>Artículo 334.- El Coordinador de Ordenamiento Comercial será responsable de validar los actos que en materia de Ordenamiento Comercial sean desarrollados por el personal a su mando.</w:t>
      </w:r>
    </w:p>
    <w:p w14:paraId="61F175FC" w14:textId="77777777" w:rsidR="00D030E9" w:rsidRPr="00193EF2" w:rsidRDefault="00D030E9" w:rsidP="00D030E9">
      <w:pPr>
        <w:pStyle w:val="Citas"/>
        <w:rPr>
          <w:b/>
          <w:bCs/>
          <w:u w:val="single"/>
        </w:rPr>
      </w:pPr>
      <w:r w:rsidRPr="00193EF2">
        <w:rPr>
          <w:b/>
          <w:bCs/>
          <w:u w:val="single"/>
        </w:rPr>
        <w:t xml:space="preserve"> Artículo 335.- Son facultades de la Coordinación de Ordenamiento Comercial las siguientes: </w:t>
      </w:r>
    </w:p>
    <w:p w14:paraId="76A857C7" w14:textId="77777777" w:rsidR="00D030E9" w:rsidRDefault="00D030E9" w:rsidP="00D030E9">
      <w:pPr>
        <w:pStyle w:val="Citas"/>
      </w:pPr>
      <w:r>
        <w:t xml:space="preserve">I. Vigilar que en el desarrollo de las actividades productivas sean de tipo: comercial, industrial, de prestación servicios o publicitarias, comercio en áreas comunes o vía pública, los particulares observen y cumplan las obligaciones que establecen las normas en la materia; </w:t>
      </w:r>
    </w:p>
    <w:p w14:paraId="1A4F47CB" w14:textId="77777777" w:rsidR="00D030E9" w:rsidRDefault="00D030E9" w:rsidP="00D030E9">
      <w:pPr>
        <w:pStyle w:val="Citas"/>
      </w:pPr>
      <w:r>
        <w:t xml:space="preserve">II. Realizar labores de verificación para el efectivo cumplimiento de las normas en materia de Ordenamiento Comercial, y demás ordenamientos aplicables; </w:t>
      </w:r>
    </w:p>
    <w:p w14:paraId="084B66A9" w14:textId="77777777" w:rsidR="00D030E9" w:rsidRDefault="00D030E9" w:rsidP="00D030E9">
      <w:pPr>
        <w:pStyle w:val="Citas"/>
      </w:pPr>
      <w:r>
        <w:t xml:space="preserve">III. Practicar las notificaciones, requerimientos y demás diligencias pertinentes para garantizar el efectivo cumplimiento de las normas en materia de Ordenamiento Comercial; </w:t>
      </w:r>
    </w:p>
    <w:p w14:paraId="63A0097A" w14:textId="77777777" w:rsidR="00D030E9" w:rsidRDefault="00D030E9" w:rsidP="00D030E9">
      <w:pPr>
        <w:pStyle w:val="Citas"/>
      </w:pPr>
      <w:r>
        <w:t xml:space="preserve">IV. Aplicar las medidas de seguridad, inmediatas y urgentes, que resulten necesarias para salvaguardar el orden público, el medio ambiente, prevenir daños a la salud de </w:t>
      </w:r>
      <w:r>
        <w:lastRenderedPageBreak/>
        <w:t xml:space="preserve">las personas o a sus bienes, las que podrán ejecutarse en cualquier momento y durarán todo el tiempo que persistan las causas que las motivaron, pudiendo ejecutarse más de una cuando las circunstancias lo exijan; </w:t>
      </w:r>
    </w:p>
    <w:p w14:paraId="2C698E2B" w14:textId="77777777" w:rsidR="00D030E9" w:rsidRDefault="00D030E9" w:rsidP="00D030E9">
      <w:pPr>
        <w:pStyle w:val="Citas"/>
      </w:pPr>
      <w:r>
        <w:t xml:space="preserve">V. Instrumentar el Procedimiento Administrativo común conforme a lo establecido en el Código de Procedimientos Administrativos del Estado de México con la finalidad de sancionar las violaciones a las normas en materia de Ordenamiento Comercial; </w:t>
      </w:r>
    </w:p>
    <w:p w14:paraId="0C4145D2" w14:textId="77777777" w:rsidR="00D030E9" w:rsidRDefault="00D030E9" w:rsidP="00D030E9">
      <w:pPr>
        <w:pStyle w:val="Citas"/>
      </w:pPr>
      <w:r>
        <w:t xml:space="preserve">VI. Determinar y ejecutar las sanciones que con motivo de la violación a las normas en materia de Ordenamiento Comercial resulten procedentes; </w:t>
      </w:r>
    </w:p>
    <w:p w14:paraId="77FC29BF" w14:textId="43932B9C" w:rsidR="00D030E9" w:rsidRPr="00D030E9" w:rsidRDefault="00D030E9" w:rsidP="00D030E9">
      <w:pPr>
        <w:pStyle w:val="Citas"/>
        <w:rPr>
          <w:b/>
          <w:bCs/>
        </w:rPr>
      </w:pPr>
      <w:r>
        <w:t xml:space="preserve">VII. Solicitar la intervención de los cuerpos de seguridad en la ejecución de las medidas de seguridad e imposición de sanciones por violaciones a las normas en materia de Ordenamiento Comercial;” </w:t>
      </w:r>
      <w:r>
        <w:rPr>
          <w:b/>
          <w:bCs/>
        </w:rPr>
        <w:t>(Sic)</w:t>
      </w:r>
    </w:p>
    <w:p w14:paraId="7176E533" w14:textId="31464057" w:rsidR="00AB3221" w:rsidRDefault="00AB3221" w:rsidP="005B021D">
      <w:pPr>
        <w:spacing w:before="240" w:line="360" w:lineRule="auto"/>
        <w:jc w:val="both"/>
        <w:rPr>
          <w:rFonts w:ascii="Palatino Linotype" w:hAnsi="Palatino Linotype" w:cs="Arial"/>
          <w:sz w:val="24"/>
          <w:szCs w:val="24"/>
        </w:rPr>
      </w:pPr>
    </w:p>
    <w:p w14:paraId="63981105" w14:textId="13E5B7EA" w:rsidR="002756EE" w:rsidRDefault="00D030E9" w:rsidP="00D030E9">
      <w:pPr>
        <w:spacing w:after="0" w:line="360" w:lineRule="auto"/>
        <w:jc w:val="both"/>
        <w:rPr>
          <w:rFonts w:ascii="Palatino Linotype" w:hAnsi="Palatino Linotype" w:cs="Arial"/>
          <w:sz w:val="24"/>
          <w:szCs w:val="24"/>
        </w:rPr>
      </w:pPr>
      <w:r w:rsidRPr="00B61C39">
        <w:rPr>
          <w:rFonts w:ascii="Palatino Linotype" w:hAnsi="Palatino Linotype" w:cs="Arial"/>
          <w:sz w:val="24"/>
          <w:szCs w:val="24"/>
        </w:rPr>
        <w:t xml:space="preserve">Del análisis sistemático y armónico de la normatividad previamente plasmada se desprende </w:t>
      </w:r>
      <w:r w:rsidR="00A367FA" w:rsidRPr="00B61C39">
        <w:rPr>
          <w:rFonts w:ascii="Palatino Linotype" w:hAnsi="Palatino Linotype" w:cs="Arial"/>
          <w:sz w:val="24"/>
          <w:szCs w:val="24"/>
        </w:rPr>
        <w:t>que,</w:t>
      </w:r>
      <w:r>
        <w:rPr>
          <w:rFonts w:ascii="Palatino Linotype" w:hAnsi="Palatino Linotype" w:cs="Arial"/>
          <w:sz w:val="24"/>
          <w:szCs w:val="24"/>
        </w:rPr>
        <w:t xml:space="preserve"> para vencer l</w:t>
      </w:r>
      <w:r w:rsidR="00193EF2">
        <w:rPr>
          <w:rFonts w:ascii="Palatino Linotype" w:hAnsi="Palatino Linotype" w:cs="Arial"/>
          <w:sz w:val="24"/>
          <w:szCs w:val="24"/>
        </w:rPr>
        <w:t>a</w:t>
      </w:r>
      <w:r>
        <w:rPr>
          <w:rFonts w:ascii="Palatino Linotype" w:hAnsi="Palatino Linotype" w:cs="Arial"/>
          <w:sz w:val="24"/>
          <w:szCs w:val="24"/>
        </w:rPr>
        <w:t xml:space="preserve"> arbitrariedad </w:t>
      </w:r>
      <w:r w:rsidR="002756EE">
        <w:rPr>
          <w:rFonts w:ascii="Palatino Linotype" w:hAnsi="Palatino Linotype" w:cs="Arial"/>
          <w:sz w:val="24"/>
          <w:szCs w:val="24"/>
        </w:rPr>
        <w:t xml:space="preserve">en el funcionamiento de las unidades económicas, así como para fortalecer la competitividad y procurar el ordenamiento comercial, </w:t>
      </w:r>
      <w:r w:rsidR="002756EE">
        <w:rPr>
          <w:rFonts w:ascii="Palatino Linotype" w:hAnsi="Palatino Linotype" w:cs="Arial"/>
          <w:b/>
          <w:bCs/>
          <w:sz w:val="24"/>
          <w:szCs w:val="24"/>
        </w:rPr>
        <w:t xml:space="preserve">El Sujeto Obligado </w:t>
      </w:r>
      <w:r w:rsidR="002756EE">
        <w:rPr>
          <w:rFonts w:ascii="Palatino Linotype" w:hAnsi="Palatino Linotype" w:cs="Arial"/>
          <w:sz w:val="24"/>
          <w:szCs w:val="24"/>
        </w:rPr>
        <w:t xml:space="preserve">se auxilia de la Dirección de Desarrollo Económico, así como de la Coordinación de Ordenamiento Comercial. </w:t>
      </w:r>
    </w:p>
    <w:p w14:paraId="05E457AE" w14:textId="77777777" w:rsidR="002756EE" w:rsidRPr="002756EE" w:rsidRDefault="002756EE" w:rsidP="00D030E9">
      <w:pPr>
        <w:spacing w:after="0" w:line="360" w:lineRule="auto"/>
        <w:jc w:val="both"/>
        <w:rPr>
          <w:rFonts w:ascii="Palatino Linotype" w:hAnsi="Palatino Linotype" w:cs="Arial"/>
          <w:sz w:val="24"/>
          <w:szCs w:val="24"/>
        </w:rPr>
      </w:pPr>
    </w:p>
    <w:p w14:paraId="3555ECD0" w14:textId="77777777" w:rsidR="002756EE" w:rsidRDefault="002756EE" w:rsidP="002756EE">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3C6AAA79" w14:textId="77777777" w:rsidR="002756EE" w:rsidRDefault="002756EE" w:rsidP="002756EE">
      <w:pPr>
        <w:pStyle w:val="Citas"/>
      </w:pPr>
      <w:r>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631AC5A9" w14:textId="77777777" w:rsidR="002756EE" w:rsidRDefault="002756EE" w:rsidP="002756EE">
      <w:pPr>
        <w:pStyle w:val="Citas"/>
      </w:pPr>
      <w:r>
        <w:t xml:space="preserve">Artículo 19. Se presume que la información debe existir si se refiere a las facultades, competencias y funciones que los ordenamientos jurídicos aplicables otorgan a los sujetos obligados. </w:t>
      </w:r>
    </w:p>
    <w:p w14:paraId="151DDF34" w14:textId="77777777" w:rsidR="002756EE" w:rsidRDefault="002756EE" w:rsidP="002756EE">
      <w:pPr>
        <w:pStyle w:val="Citas"/>
      </w:pPr>
      <w:r>
        <w:t xml:space="preserve">En los casos en que ciertas facultades, competencias o funciones no se hayan ejercido, se debe motivar la respuesta en función de las causas que motiven tal circunstancia. </w:t>
      </w:r>
    </w:p>
    <w:p w14:paraId="36089C91" w14:textId="77777777" w:rsidR="002756EE" w:rsidRPr="00407C65" w:rsidRDefault="002756EE" w:rsidP="002756EE">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19E16B27" w14:textId="2188FE60" w:rsidR="002756EE" w:rsidRDefault="002756EE" w:rsidP="00D030E9">
      <w:pPr>
        <w:spacing w:after="0" w:line="360" w:lineRule="auto"/>
        <w:jc w:val="both"/>
        <w:rPr>
          <w:rFonts w:ascii="Palatino Linotype" w:hAnsi="Palatino Linotype" w:cs="Arial"/>
          <w:sz w:val="24"/>
          <w:szCs w:val="24"/>
        </w:rPr>
      </w:pPr>
    </w:p>
    <w:p w14:paraId="49B7A7E9" w14:textId="77777777" w:rsidR="002756EE" w:rsidRDefault="002756EE" w:rsidP="00D030E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como se mencionó en el antecedente segundo,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en fecha treinta y uno de agosto de dos mil veintidós, dio respuesta a la solicitud de información </w:t>
      </w:r>
      <w:r>
        <w:rPr>
          <w:rFonts w:ascii="Palatino Linotype" w:hAnsi="Palatino Linotype" w:cs="Arial"/>
          <w:b/>
          <w:bCs/>
          <w:sz w:val="24"/>
          <w:szCs w:val="24"/>
        </w:rPr>
        <w:t xml:space="preserve">00219/HUEHUETO/IP/2022, </w:t>
      </w:r>
      <w:r>
        <w:rPr>
          <w:rFonts w:ascii="Palatino Linotype" w:hAnsi="Palatino Linotype" w:cs="Arial"/>
          <w:sz w:val="24"/>
          <w:szCs w:val="24"/>
        </w:rPr>
        <w:t>refiriendo para tal efecto que la Dirección de Administración a través del Área de Ordenamiento Comercial y/o equivalente realiza las siguientes acciones para ordenar el comercio fijo y semifijo:</w:t>
      </w:r>
    </w:p>
    <w:p w14:paraId="1F937095" w14:textId="562FAC3C" w:rsidR="002756EE" w:rsidRDefault="002756EE">
      <w:pPr>
        <w:pStyle w:val="Prrafodelista"/>
        <w:numPr>
          <w:ilvl w:val="0"/>
          <w:numId w:val="7"/>
        </w:numPr>
        <w:spacing w:line="360" w:lineRule="auto"/>
        <w:jc w:val="both"/>
        <w:rPr>
          <w:rFonts w:ascii="Palatino Linotype" w:hAnsi="Palatino Linotype" w:cs="Arial"/>
        </w:rPr>
      </w:pPr>
      <w:r>
        <w:rPr>
          <w:rFonts w:ascii="Palatino Linotype" w:hAnsi="Palatino Linotype" w:cs="Arial"/>
        </w:rPr>
        <w:t xml:space="preserve">Celebra campañas de regularización de comercio informal. </w:t>
      </w:r>
    </w:p>
    <w:p w14:paraId="7DEF5EF2" w14:textId="4CC4C08B" w:rsidR="002756EE" w:rsidRDefault="002756EE">
      <w:pPr>
        <w:pStyle w:val="Prrafodelista"/>
        <w:numPr>
          <w:ilvl w:val="0"/>
          <w:numId w:val="7"/>
        </w:numPr>
        <w:spacing w:line="360" w:lineRule="auto"/>
        <w:jc w:val="both"/>
        <w:rPr>
          <w:rFonts w:ascii="Palatino Linotype" w:hAnsi="Palatino Linotype" w:cs="Arial"/>
        </w:rPr>
      </w:pPr>
      <w:r>
        <w:rPr>
          <w:rFonts w:ascii="Palatino Linotype" w:hAnsi="Palatino Linotype" w:cs="Arial"/>
        </w:rPr>
        <w:t xml:space="preserve">Realiza recorridos y visitas de verificación a las unidades económicas en operación dentro del territorio municipal. </w:t>
      </w:r>
    </w:p>
    <w:p w14:paraId="331B687E" w14:textId="598970D2" w:rsidR="002756EE" w:rsidRPr="002756EE" w:rsidRDefault="002756EE">
      <w:pPr>
        <w:pStyle w:val="Prrafodelista"/>
        <w:numPr>
          <w:ilvl w:val="0"/>
          <w:numId w:val="7"/>
        </w:numPr>
        <w:spacing w:line="360" w:lineRule="auto"/>
        <w:jc w:val="both"/>
        <w:rPr>
          <w:rFonts w:ascii="Palatino Linotype" w:hAnsi="Palatino Linotype" w:cs="Arial"/>
        </w:rPr>
      </w:pPr>
      <w:r>
        <w:rPr>
          <w:rFonts w:ascii="Palatino Linotype" w:hAnsi="Palatino Linotype" w:cs="Arial"/>
        </w:rPr>
        <w:t xml:space="preserve">Inicia los procedimientos administrativos a que haya lugar, en coordinación con otras áreas y dependencias de los distintos ordenes de gobierno. </w:t>
      </w:r>
    </w:p>
    <w:p w14:paraId="47B26D1A" w14:textId="77777777" w:rsidR="00907C69" w:rsidRPr="00D12F4B" w:rsidRDefault="00907C69" w:rsidP="00907C69">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lastRenderedPageBreak/>
        <w:t>N</w:t>
      </w:r>
      <w:r w:rsidRPr="00D12F4B">
        <w:rPr>
          <w:rFonts w:ascii="Palatino Linotype" w:hAnsi="Palatino Linotype"/>
          <w:sz w:val="24"/>
          <w:szCs w:val="24"/>
        </w:rPr>
        <w:t xml:space="preserve">o se omite comentar que, al haber existido un pronunciamiento por parte del </w:t>
      </w:r>
      <w:r>
        <w:rPr>
          <w:rFonts w:ascii="Palatino Linotype" w:hAnsi="Palatino Linotype"/>
          <w:b/>
          <w:sz w:val="24"/>
          <w:szCs w:val="24"/>
        </w:rPr>
        <w:t>Sujeto Obligado</w:t>
      </w:r>
      <w:r w:rsidRPr="00D12F4B">
        <w:rPr>
          <w:rFonts w:ascii="Palatino Linotype" w:hAnsi="Palatino Linotype"/>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23104781" w14:textId="77777777" w:rsidR="00907C69" w:rsidRPr="00D12F4B" w:rsidRDefault="00907C69" w:rsidP="00907C69">
      <w:pPr>
        <w:spacing w:before="100" w:beforeAutospacing="1" w:after="100" w:afterAutospacing="1" w:line="360" w:lineRule="auto"/>
        <w:jc w:val="both"/>
        <w:rPr>
          <w:rFonts w:ascii="Palatino Linotype" w:hAnsi="Palatino Linotype" w:cs="Arial"/>
          <w:sz w:val="24"/>
          <w:szCs w:val="24"/>
        </w:rPr>
      </w:pPr>
      <w:r w:rsidRPr="00D12F4B">
        <w:rPr>
          <w:rFonts w:ascii="Palatino Linotype" w:hAnsi="Palatino Linotype" w:cs="Arial"/>
          <w:sz w:val="24"/>
          <w:szCs w:val="24"/>
        </w:rPr>
        <w:t xml:space="preserve">Sirve de sustento a lo anterior, el criterio </w:t>
      </w:r>
      <w:r w:rsidRPr="00081988">
        <w:rPr>
          <w:rFonts w:ascii="Palatino Linotype" w:hAnsi="Palatino Linotype" w:cs="Arial"/>
          <w:b/>
          <w:bCs/>
          <w:sz w:val="24"/>
          <w:szCs w:val="24"/>
        </w:rPr>
        <w:t>31/10</w:t>
      </w:r>
      <w:r w:rsidRPr="00D12F4B">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4293D729" w14:textId="77777777" w:rsidR="00907C69" w:rsidRPr="003A41AE" w:rsidRDefault="00907C69" w:rsidP="00907C69">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3CB21BAF" w14:textId="77777777" w:rsidR="00907C69" w:rsidRDefault="00907C69" w:rsidP="00907C69">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17DCCF9C" w14:textId="77777777" w:rsidR="00907C69" w:rsidRDefault="00907C69" w:rsidP="00907C69">
      <w:pPr>
        <w:pStyle w:val="Citas"/>
      </w:pPr>
      <w:r w:rsidRPr="00D02076">
        <w:lastRenderedPageBreak/>
        <w:t xml:space="preserve">Expedientes: </w:t>
      </w:r>
    </w:p>
    <w:p w14:paraId="0D154EA5" w14:textId="77777777" w:rsidR="00907C69" w:rsidRDefault="00907C69">
      <w:pPr>
        <w:pStyle w:val="Citas"/>
        <w:numPr>
          <w:ilvl w:val="0"/>
          <w:numId w:val="2"/>
        </w:numPr>
      </w:pPr>
      <w:r w:rsidRPr="00D02076">
        <w:t xml:space="preserve">2440/07 Comisión Federal de Electricidad - Alonso Lujambio Irazábal </w:t>
      </w:r>
    </w:p>
    <w:p w14:paraId="0576C18C" w14:textId="77777777" w:rsidR="00907C69" w:rsidRDefault="00907C69">
      <w:pPr>
        <w:pStyle w:val="Citas"/>
        <w:numPr>
          <w:ilvl w:val="0"/>
          <w:numId w:val="2"/>
        </w:numPr>
      </w:pPr>
      <w:r w:rsidRPr="00D02076">
        <w:t xml:space="preserve">0113/09 Instituto de Seguridad y Servicios Sociales de los Trabajadores del Estado – Alonso Lujambio Irazábal </w:t>
      </w:r>
    </w:p>
    <w:p w14:paraId="37EBD4C7" w14:textId="77777777" w:rsidR="00907C69" w:rsidRDefault="00907C69">
      <w:pPr>
        <w:pStyle w:val="Citas"/>
        <w:numPr>
          <w:ilvl w:val="0"/>
          <w:numId w:val="2"/>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6D4EA39E" w14:textId="77777777" w:rsidR="00907C69" w:rsidRDefault="00907C69">
      <w:pPr>
        <w:pStyle w:val="Citas"/>
        <w:numPr>
          <w:ilvl w:val="0"/>
          <w:numId w:val="2"/>
        </w:numPr>
      </w:pPr>
      <w:r w:rsidRPr="00D02076">
        <w:t xml:space="preserve">2395/09 Secretaría de Economía - María </w:t>
      </w:r>
      <w:proofErr w:type="spellStart"/>
      <w:r w:rsidRPr="00D02076">
        <w:t>Marván</w:t>
      </w:r>
      <w:proofErr w:type="spellEnd"/>
      <w:r w:rsidRPr="00D02076">
        <w:t xml:space="preserve"> Laborde </w:t>
      </w:r>
    </w:p>
    <w:p w14:paraId="7CE7CF9E" w14:textId="77777777" w:rsidR="00907C69" w:rsidRPr="00D02076" w:rsidRDefault="00907C69">
      <w:pPr>
        <w:pStyle w:val="Citas"/>
        <w:numPr>
          <w:ilvl w:val="0"/>
          <w:numId w:val="2"/>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49A6EA12" w14:textId="77777777" w:rsidR="002756EE" w:rsidRPr="002756EE" w:rsidRDefault="002756EE" w:rsidP="00D030E9">
      <w:pPr>
        <w:spacing w:after="0" w:line="360" w:lineRule="auto"/>
        <w:jc w:val="both"/>
        <w:rPr>
          <w:rFonts w:ascii="Palatino Linotype" w:hAnsi="Palatino Linotype" w:cs="Arial"/>
          <w:sz w:val="24"/>
          <w:szCs w:val="24"/>
        </w:rPr>
      </w:pPr>
    </w:p>
    <w:p w14:paraId="2C5315EC" w14:textId="77777777" w:rsidR="009542D6" w:rsidRDefault="009542D6" w:rsidP="002432EB">
      <w:pPr>
        <w:tabs>
          <w:tab w:val="left" w:pos="1284"/>
        </w:tabs>
        <w:spacing w:line="360" w:lineRule="auto"/>
        <w:jc w:val="both"/>
        <w:rPr>
          <w:rFonts w:ascii="Palatino Linotype" w:hAnsi="Palatino Linotype" w:cs="Arial"/>
          <w:sz w:val="24"/>
          <w:szCs w:val="24"/>
        </w:rPr>
      </w:pPr>
    </w:p>
    <w:p w14:paraId="5E45B271" w14:textId="41DF4397" w:rsidR="00907C69" w:rsidRDefault="002432EB" w:rsidP="002432EB">
      <w:pPr>
        <w:tabs>
          <w:tab w:val="left" w:pos="1284"/>
        </w:tabs>
        <w:spacing w:line="360" w:lineRule="auto"/>
        <w:jc w:val="both"/>
        <w:rPr>
          <w:rFonts w:ascii="Palatino Linotype" w:hAnsi="Palatino Linotype" w:cs="Arial"/>
          <w:sz w:val="24"/>
          <w:szCs w:val="24"/>
        </w:rPr>
      </w:pPr>
      <w:r>
        <w:rPr>
          <w:rFonts w:ascii="Palatino Linotype" w:hAnsi="Palatino Linotype" w:cs="Arial"/>
          <w:sz w:val="24"/>
          <w:szCs w:val="24"/>
        </w:rPr>
        <w:t xml:space="preserve">Inconforme con la respuesta del </w:t>
      </w:r>
      <w:r>
        <w:rPr>
          <w:rFonts w:ascii="Palatino Linotype" w:hAnsi="Palatino Linotype" w:cs="Arial"/>
          <w:b/>
          <w:bCs/>
          <w:sz w:val="24"/>
          <w:szCs w:val="24"/>
        </w:rPr>
        <w:t xml:space="preserve">Sujeto Obligado, El Recurrente </w:t>
      </w:r>
      <w:r>
        <w:rPr>
          <w:rFonts w:ascii="Palatino Linotype" w:hAnsi="Palatino Linotype" w:cs="Arial"/>
          <w:sz w:val="24"/>
          <w:szCs w:val="24"/>
        </w:rPr>
        <w:t xml:space="preserve">interpuso recurso de revisión en fecha </w:t>
      </w:r>
      <w:r w:rsidR="00907C69">
        <w:rPr>
          <w:rFonts w:ascii="Palatino Linotype" w:hAnsi="Palatino Linotype" w:cs="Arial"/>
          <w:sz w:val="24"/>
          <w:szCs w:val="24"/>
        </w:rPr>
        <w:t xml:space="preserve">seis de septiembre, admitiéndose el ocho de septiembre, ambos de dos mil veintidós. Señalando como razones o motivos de inconformidad: </w:t>
      </w:r>
    </w:p>
    <w:p w14:paraId="2771C1E7" w14:textId="2F18CC22" w:rsidR="00907C69" w:rsidRDefault="00907C69" w:rsidP="00907C69">
      <w:pPr>
        <w:pStyle w:val="Citas"/>
        <w:rPr>
          <w:b/>
          <w:bCs/>
        </w:rPr>
      </w:pPr>
      <w:r>
        <w:t xml:space="preserve">“La respuesta proporcionada no fue emitida por el área de </w:t>
      </w:r>
      <w:proofErr w:type="spellStart"/>
      <w:r>
        <w:t>órdenamiento</w:t>
      </w:r>
      <w:proofErr w:type="spellEnd"/>
      <w:r>
        <w:t xml:space="preserve"> comercial </w:t>
      </w:r>
      <w:r w:rsidRPr="00A367FA">
        <w:rPr>
          <w:b/>
          <w:bCs/>
          <w:u w:val="single"/>
        </w:rPr>
        <w:t xml:space="preserve">por lo que solicito sea esta área la que </w:t>
      </w:r>
      <w:proofErr w:type="spellStart"/>
      <w:r w:rsidRPr="00A367FA">
        <w:rPr>
          <w:b/>
          <w:bCs/>
          <w:u w:val="single"/>
        </w:rPr>
        <w:t>de</w:t>
      </w:r>
      <w:proofErr w:type="spellEnd"/>
      <w:r w:rsidRPr="00A367FA">
        <w:rPr>
          <w:b/>
          <w:bCs/>
          <w:u w:val="single"/>
        </w:rPr>
        <w:t xml:space="preserve"> respuesta sellada y firmada por el titular</w:t>
      </w:r>
      <w:r>
        <w:t xml:space="preserve">.” </w:t>
      </w:r>
      <w:r>
        <w:rPr>
          <w:b/>
          <w:bCs/>
        </w:rPr>
        <w:t>(Sic)</w:t>
      </w:r>
    </w:p>
    <w:p w14:paraId="0662AEE9" w14:textId="1616AE25" w:rsidR="00907C69" w:rsidRDefault="00907C69" w:rsidP="00907C69">
      <w:pPr>
        <w:pStyle w:val="Citas"/>
        <w:ind w:left="0"/>
        <w:rPr>
          <w:b/>
          <w:bCs/>
          <w:sz w:val="24"/>
          <w:szCs w:val="24"/>
        </w:rPr>
      </w:pPr>
    </w:p>
    <w:p w14:paraId="6C24AC0D" w14:textId="77777777" w:rsidR="00907C69" w:rsidRPr="00604859" w:rsidRDefault="00907C69" w:rsidP="00907C69">
      <w:pPr>
        <w:spacing w:after="0" w:line="360" w:lineRule="auto"/>
        <w:jc w:val="both"/>
        <w:rPr>
          <w:rFonts w:ascii="Palatino Linotype" w:hAnsi="Palatino Linotype" w:cs="Arial"/>
          <w:sz w:val="24"/>
          <w:szCs w:val="24"/>
        </w:rPr>
      </w:pPr>
      <w:r w:rsidRPr="00193EF2">
        <w:rPr>
          <w:rFonts w:ascii="Palatino Linotype" w:hAnsi="Palatino Linotype"/>
          <w:sz w:val="24"/>
          <w:szCs w:val="24"/>
        </w:rPr>
        <w:t xml:space="preserve">Bajo estas líneas argumentativas, la parte de la solicitud sobre la que no se expresó inconformidad </w:t>
      </w:r>
      <w:r w:rsidRPr="00193EF2">
        <w:rPr>
          <w:rFonts w:ascii="Palatino Linotype" w:hAnsi="Palatino Linotype"/>
          <w:b/>
          <w:bCs/>
          <w:sz w:val="24"/>
          <w:szCs w:val="24"/>
        </w:rPr>
        <w:t>(Punto 2)</w:t>
      </w:r>
      <w:r>
        <w:rPr>
          <w:b/>
          <w:bCs/>
          <w:i/>
          <w:iCs/>
          <w:sz w:val="24"/>
          <w:szCs w:val="24"/>
        </w:rPr>
        <w:t xml:space="preserve"> </w:t>
      </w:r>
      <w:r>
        <w:rPr>
          <w:rFonts w:ascii="Palatino Linotype" w:hAnsi="Palatino Linotype"/>
          <w:sz w:val="24"/>
          <w:szCs w:val="24"/>
          <w:lang w:eastAsia="es-MX"/>
        </w:rPr>
        <w:t>debe declararse consentida</w:t>
      </w:r>
      <w:r w:rsidRPr="00604859">
        <w:rPr>
          <w:rFonts w:ascii="Palatino Linotype" w:hAnsi="Palatino Linotype"/>
          <w:sz w:val="24"/>
          <w:szCs w:val="24"/>
          <w:lang w:eastAsia="es-MX"/>
        </w:rPr>
        <w:t xml:space="preserve"> por </w:t>
      </w:r>
      <w:r>
        <w:rPr>
          <w:rFonts w:ascii="Palatino Linotype" w:hAnsi="Palatino Linotype"/>
          <w:sz w:val="24"/>
          <w:szCs w:val="24"/>
          <w:lang w:eastAsia="es-MX"/>
        </w:rPr>
        <w:t>el</w:t>
      </w:r>
      <w:r w:rsidRPr="00604859">
        <w:rPr>
          <w:rFonts w:ascii="Palatino Linotype" w:hAnsi="Palatino Linotype"/>
          <w:sz w:val="24"/>
          <w:szCs w:val="24"/>
          <w:lang w:eastAsia="es-MX"/>
        </w:rPr>
        <w:t xml:space="preserve"> hoy </w:t>
      </w:r>
      <w:r w:rsidRPr="00604859">
        <w:rPr>
          <w:rFonts w:ascii="Palatino Linotype" w:hAnsi="Palatino Linotype"/>
          <w:b/>
          <w:sz w:val="24"/>
          <w:szCs w:val="24"/>
          <w:lang w:eastAsia="es-MX"/>
        </w:rPr>
        <w:t xml:space="preserve">Recurrente, </w:t>
      </w:r>
      <w:r w:rsidRPr="00604859">
        <w:rPr>
          <w:rFonts w:ascii="Palatino Linotype" w:hAnsi="Palatino Linotype"/>
          <w:sz w:val="24"/>
          <w:szCs w:val="24"/>
          <w:lang w:eastAsia="es-MX"/>
        </w:rPr>
        <w:t xml:space="preserve">ya que </w:t>
      </w:r>
      <w:r w:rsidRPr="00604859">
        <w:rPr>
          <w:rFonts w:ascii="Palatino Linotype" w:hAnsi="Palatino Linotype" w:cs="Arial"/>
          <w:sz w:val="24"/>
          <w:szCs w:val="24"/>
          <w:lang w:eastAsia="es-MX"/>
        </w:rPr>
        <w:t xml:space="preserve">no pueden producirse efectos jurídicos tendentes a revocar, confirmar o modificar la parte </w:t>
      </w:r>
      <w:r w:rsidRPr="00604859">
        <w:rPr>
          <w:rFonts w:ascii="Palatino Linotype" w:hAnsi="Palatino Linotype" w:cs="Arial"/>
          <w:sz w:val="24"/>
          <w:szCs w:val="24"/>
          <w:lang w:eastAsia="es-MX"/>
        </w:rPr>
        <w:lastRenderedPageBreak/>
        <w:t xml:space="preserve">de la respuesta con relación a la parte de la solicitud que no fue motivo de disenso ya que se infiere un consentimiento </w:t>
      </w:r>
      <w:r>
        <w:rPr>
          <w:rFonts w:ascii="Palatino Linotype" w:hAnsi="Palatino Linotype" w:cs="Arial"/>
          <w:sz w:val="24"/>
          <w:szCs w:val="24"/>
          <w:lang w:eastAsia="es-MX"/>
        </w:rPr>
        <w:t>del</w:t>
      </w:r>
      <w:r w:rsidRPr="00604859">
        <w:rPr>
          <w:rFonts w:ascii="Palatino Linotype" w:hAnsi="Palatino Linotype" w:cs="Arial"/>
          <w:sz w:val="24"/>
          <w:szCs w:val="24"/>
          <w:lang w:eastAsia="es-MX"/>
        </w:rPr>
        <w:t xml:space="preserve"> </w:t>
      </w:r>
      <w:r w:rsidRPr="00604859">
        <w:rPr>
          <w:rFonts w:ascii="Palatino Linotype" w:hAnsi="Palatino Linotype" w:cs="Arial"/>
          <w:b/>
          <w:sz w:val="24"/>
          <w:szCs w:val="24"/>
          <w:lang w:eastAsia="es-MX"/>
        </w:rPr>
        <w:t>Recurrente</w:t>
      </w:r>
      <w:r w:rsidRPr="00604859">
        <w:rPr>
          <w:rFonts w:ascii="Palatino Linotype" w:hAnsi="Palatino Linotype" w:cs="Arial"/>
          <w:sz w:val="24"/>
          <w:szCs w:val="24"/>
          <w:lang w:eastAsia="es-MX"/>
        </w:rPr>
        <w:t xml:space="preserve"> ante la falta de impugnación eficaz. </w:t>
      </w:r>
      <w:r w:rsidRPr="00604859">
        <w:rPr>
          <w:rFonts w:ascii="Palatino Linotype" w:hAnsi="Palatino Linotype" w:cs="Arial"/>
          <w:sz w:val="24"/>
          <w:szCs w:val="24"/>
        </w:rPr>
        <w:t xml:space="preserve">Sirve de sustento a lo anterior, por analogía, la tesis jurisprudencial, que a la letra dice: </w:t>
      </w:r>
    </w:p>
    <w:p w14:paraId="55E97093" w14:textId="77777777" w:rsidR="00907C69" w:rsidRPr="001300D8" w:rsidRDefault="00907C69" w:rsidP="00907C69">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779088FF" w14:textId="77777777" w:rsidR="00907C69" w:rsidRPr="001300D8" w:rsidRDefault="00907C69" w:rsidP="00907C69">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7EE4976B" w14:textId="77777777" w:rsidR="00907C69" w:rsidRPr="001300D8" w:rsidRDefault="00907C69" w:rsidP="00907C69">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2291DC95" w14:textId="77777777" w:rsidR="00907C69" w:rsidRPr="001300D8" w:rsidRDefault="00907C69" w:rsidP="00907C69">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50C80B95" w14:textId="77777777" w:rsidR="00907C69" w:rsidRPr="001300D8" w:rsidRDefault="00907C69" w:rsidP="00907C69">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25712999" w14:textId="77777777" w:rsidR="00907C69" w:rsidRPr="001300D8" w:rsidRDefault="00907C69" w:rsidP="00907C69">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01559D97" w14:textId="77777777" w:rsidR="00907C69" w:rsidRPr="001300D8" w:rsidRDefault="00907C69" w:rsidP="00907C69">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4C8B5683" w14:textId="77777777" w:rsidR="00907C69" w:rsidRPr="001300D8" w:rsidRDefault="00907C69" w:rsidP="00907C69">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1882C353" w14:textId="77777777" w:rsidR="00907C69" w:rsidRPr="001300D8" w:rsidRDefault="00907C69" w:rsidP="00907C69">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6B8BFD06" w14:textId="77777777" w:rsidR="00907C69" w:rsidRPr="001300D8" w:rsidRDefault="00907C69" w:rsidP="00907C69">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Debe reputarse como consentido el acto que no se impugnó por el medio establecido por la ley, </w:t>
      </w:r>
      <w:proofErr w:type="gramStart"/>
      <w:r w:rsidRPr="001300D8">
        <w:rPr>
          <w:rFonts w:ascii="Palatino Linotype" w:hAnsi="Palatino Linotype" w:cs="Arial"/>
          <w:i/>
          <w:lang w:eastAsia="es-MX"/>
        </w:rPr>
        <w:t>ya que</w:t>
      </w:r>
      <w:proofErr w:type="gramEnd"/>
      <w:r w:rsidRPr="001300D8">
        <w:rPr>
          <w:rFonts w:ascii="Palatino Linotype" w:hAnsi="Palatino Linotype" w:cs="Arial"/>
          <w:i/>
          <w:lang w:eastAsia="es-MX"/>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476C005" w14:textId="77777777" w:rsidR="00907C69" w:rsidRPr="001300D8" w:rsidRDefault="00907C69" w:rsidP="00907C69">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0AB16EF0" w14:textId="77777777" w:rsidR="00907C69" w:rsidRPr="001300D8" w:rsidRDefault="00907C69" w:rsidP="00907C69">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lastRenderedPageBreak/>
        <w:t>Amparo en revisión 2/90. Germán Miguel Núñez Rivera. 13 de noviembre de 1990. Unanimidad de votos. Ponente: Juan Manuel Brito Velázquez. Secretaria: Luz del Carmen Herrera Calderón.</w:t>
      </w:r>
    </w:p>
    <w:p w14:paraId="53F9AF0C" w14:textId="77777777" w:rsidR="00907C69" w:rsidRPr="001300D8" w:rsidRDefault="00907C69" w:rsidP="00907C69">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2CBD529A" w14:textId="77777777" w:rsidR="00907C69" w:rsidRPr="001300D8" w:rsidRDefault="00907C69" w:rsidP="00907C69">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76169F5B" w14:textId="77777777" w:rsidR="00907C69" w:rsidRPr="001300D8" w:rsidRDefault="00907C69" w:rsidP="00907C69">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5CEC55DA" w14:textId="77777777" w:rsidR="00907C69" w:rsidRDefault="00907C69" w:rsidP="00907C69">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71A66655" w14:textId="77777777" w:rsidR="00907C69" w:rsidRDefault="00907C69" w:rsidP="00907C69">
      <w:pPr>
        <w:spacing w:after="0" w:line="360" w:lineRule="auto"/>
        <w:jc w:val="both"/>
        <w:rPr>
          <w:rFonts w:ascii="Palatino Linotype" w:hAnsi="Palatino Linotype" w:cs="Arial"/>
          <w:noProof/>
          <w:color w:val="000000"/>
          <w:sz w:val="24"/>
          <w:lang w:eastAsia="es-MX"/>
        </w:rPr>
      </w:pPr>
    </w:p>
    <w:p w14:paraId="17B0B86D" w14:textId="77777777" w:rsidR="00907C69" w:rsidRDefault="00907C69" w:rsidP="00907C69">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719FF6A6" w14:textId="77777777" w:rsidR="00907C69" w:rsidRDefault="00907C69" w:rsidP="00907C69">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20C64255" w14:textId="77777777" w:rsidR="00907C69" w:rsidRPr="0071419E" w:rsidRDefault="00907C69" w:rsidP="00907C69">
      <w:pPr>
        <w:pStyle w:val="Citas"/>
        <w:rPr>
          <w:strike/>
        </w:rPr>
      </w:pPr>
      <w:r>
        <w:lastRenderedPageBreak/>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70EB6C73" w14:textId="77777777" w:rsidR="00907C69" w:rsidRPr="00D83913" w:rsidRDefault="00907C69" w:rsidP="00907C69">
      <w:pPr>
        <w:pStyle w:val="Citas"/>
        <w:rPr>
          <w:b/>
          <w:bCs/>
        </w:rPr>
      </w:pPr>
      <w:r w:rsidRPr="00D83913">
        <w:rPr>
          <w:b/>
          <w:bCs/>
        </w:rPr>
        <w:t>Resoluciones</w:t>
      </w:r>
      <w:r>
        <w:rPr>
          <w:b/>
          <w:bCs/>
        </w:rPr>
        <w:t>:</w:t>
      </w:r>
    </w:p>
    <w:p w14:paraId="12AC731D" w14:textId="77777777" w:rsidR="00907C69" w:rsidRPr="00D83913" w:rsidRDefault="00907C69" w:rsidP="00907C69">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7CC8D268" w14:textId="77777777" w:rsidR="00907C69" w:rsidRPr="009754D6" w:rsidRDefault="00F25063" w:rsidP="00907C69">
      <w:pPr>
        <w:pStyle w:val="Citas"/>
        <w:rPr>
          <w:sz w:val="20"/>
        </w:rPr>
      </w:pPr>
      <w:hyperlink r:id="rId10" w:history="1">
        <w:r w:rsidR="00907C69" w:rsidRPr="009754D6">
          <w:rPr>
            <w:rStyle w:val="Hipervnculo"/>
          </w:rPr>
          <w:t>http://consultas.ifai.org.mx/descargar.php?r=./pdf/resoluciones/2018/&amp;a=RRA%204548.pdf</w:t>
        </w:r>
      </w:hyperlink>
    </w:p>
    <w:p w14:paraId="3F3CECCC" w14:textId="77777777" w:rsidR="00907C69" w:rsidRPr="009754D6" w:rsidRDefault="00907C69" w:rsidP="00907C69">
      <w:pPr>
        <w:pStyle w:val="Citas"/>
        <w:rPr>
          <w:b/>
        </w:rPr>
      </w:pPr>
      <w:r w:rsidRPr="009754D6">
        <w:rPr>
          <w:b/>
        </w:rPr>
        <w:t xml:space="preserve">RRA 5097/18. </w:t>
      </w:r>
      <w:r w:rsidRPr="009754D6">
        <w:t>Secretaría de Hacienda y Crédito Público. 05 de septiembre de 2018. Por unanimidad. Comisionado Ponente Joel Salas Suárez.</w:t>
      </w:r>
    </w:p>
    <w:p w14:paraId="1F552242" w14:textId="77777777" w:rsidR="00907C69" w:rsidRPr="009754D6" w:rsidRDefault="00F25063" w:rsidP="00907C69">
      <w:pPr>
        <w:pStyle w:val="Citas"/>
        <w:rPr>
          <w:sz w:val="20"/>
        </w:rPr>
      </w:pPr>
      <w:hyperlink r:id="rId11" w:history="1">
        <w:r w:rsidR="00907C69" w:rsidRPr="009754D6">
          <w:rPr>
            <w:rStyle w:val="Hipervnculo"/>
          </w:rPr>
          <w:t>http://consultas.ifai.org.mx/descargar.php?r=./pdf/resoluciones/2018/&amp;a=RRA%205097.pdf</w:t>
        </w:r>
      </w:hyperlink>
    </w:p>
    <w:p w14:paraId="200FF0C8" w14:textId="77777777" w:rsidR="00907C69" w:rsidRPr="009754D6" w:rsidRDefault="00907C69" w:rsidP="00907C69">
      <w:pPr>
        <w:pStyle w:val="Citas"/>
        <w:rPr>
          <w:b/>
        </w:rPr>
      </w:pPr>
      <w:r w:rsidRPr="009754D6">
        <w:rPr>
          <w:b/>
        </w:rPr>
        <w:t xml:space="preserve">RRA 14270/19. </w:t>
      </w:r>
      <w:r w:rsidRPr="009754D6">
        <w:t>Registro Agrario Nacional. 22 de enero de 2020. Por unanimidad. Comisionado Ponente Francisco Javier Acuña Llamas.</w:t>
      </w:r>
    </w:p>
    <w:p w14:paraId="1E94E1FB" w14:textId="77777777" w:rsidR="00907C69" w:rsidRPr="009754D6" w:rsidRDefault="00F25063" w:rsidP="00907C69">
      <w:pPr>
        <w:pStyle w:val="Citas"/>
        <w:rPr>
          <w:rStyle w:val="Hipervnculo"/>
          <w:b/>
          <w:bCs/>
          <w:color w:val="auto"/>
          <w:sz w:val="24"/>
          <w:szCs w:val="24"/>
          <w:u w:val="none"/>
          <w:lang w:val="en-US"/>
        </w:rPr>
      </w:pPr>
      <w:hyperlink r:id="rId12" w:history="1">
        <w:r w:rsidR="00907C69" w:rsidRPr="009754D6">
          <w:rPr>
            <w:rStyle w:val="Hipervnculo"/>
            <w:lang w:val="en-US"/>
          </w:rPr>
          <w:t>http://consultas.ifai.org.mx/descargar.php?r=./pdf/resoluciones/2019/&amp;a=RRA%2014270.pdf</w:t>
        </w:r>
      </w:hyperlink>
      <w:r w:rsidR="00907C69" w:rsidRPr="009754D6">
        <w:rPr>
          <w:rStyle w:val="Hipervnculo"/>
          <w:sz w:val="20"/>
          <w:lang w:val="en-US"/>
        </w:rPr>
        <w:t xml:space="preserve">” </w:t>
      </w:r>
      <w:r w:rsidR="00907C69" w:rsidRPr="009754D6">
        <w:rPr>
          <w:rStyle w:val="Hipervnculo"/>
          <w:i w:val="0"/>
          <w:iCs/>
          <w:sz w:val="24"/>
          <w:szCs w:val="24"/>
          <w:u w:val="none"/>
          <w:lang w:val="en-US"/>
        </w:rPr>
        <w:t xml:space="preserve"> </w:t>
      </w:r>
      <w:r w:rsidR="00907C69" w:rsidRPr="009754D6">
        <w:rPr>
          <w:rStyle w:val="Hipervnculo"/>
          <w:b/>
          <w:bCs/>
          <w:color w:val="auto"/>
          <w:sz w:val="24"/>
          <w:szCs w:val="24"/>
          <w:u w:val="none"/>
          <w:lang w:val="en-US"/>
        </w:rPr>
        <w:t xml:space="preserve">[Sic] </w:t>
      </w:r>
    </w:p>
    <w:p w14:paraId="7F23810D" w14:textId="4355BFFC" w:rsidR="00907C69" w:rsidRDefault="00907C69" w:rsidP="00907C69">
      <w:pPr>
        <w:pStyle w:val="Citas"/>
        <w:ind w:left="0"/>
        <w:rPr>
          <w:b/>
          <w:bCs/>
          <w:i w:val="0"/>
          <w:iCs/>
          <w:sz w:val="24"/>
          <w:szCs w:val="24"/>
          <w:lang w:val="en-US"/>
        </w:rPr>
      </w:pPr>
    </w:p>
    <w:p w14:paraId="091C9248" w14:textId="519F1A03" w:rsidR="00907C69" w:rsidRPr="00907C69" w:rsidRDefault="00907C69" w:rsidP="00907C69">
      <w:pPr>
        <w:pStyle w:val="infoemcitas"/>
        <w:tabs>
          <w:tab w:val="left" w:pos="7655"/>
        </w:tabs>
        <w:ind w:left="0" w:right="0"/>
        <w:rPr>
          <w:i w:val="0"/>
          <w:sz w:val="24"/>
          <w:szCs w:val="24"/>
        </w:rPr>
      </w:pPr>
      <w:r>
        <w:rPr>
          <w:i w:val="0"/>
          <w:sz w:val="24"/>
          <w:szCs w:val="24"/>
        </w:rPr>
        <w:t xml:space="preserve">Así las cosas, hasta aquí lo expuesto, resulta inconcuso que los motivos de inconformidad expuestos por </w:t>
      </w:r>
      <w:r>
        <w:rPr>
          <w:b/>
          <w:bCs/>
          <w:i w:val="0"/>
          <w:sz w:val="24"/>
          <w:szCs w:val="24"/>
        </w:rPr>
        <w:t>E</w:t>
      </w:r>
      <w:r w:rsidR="00A367FA">
        <w:rPr>
          <w:b/>
          <w:bCs/>
          <w:i w:val="0"/>
          <w:sz w:val="24"/>
          <w:szCs w:val="24"/>
        </w:rPr>
        <w:t>l</w:t>
      </w:r>
      <w:r>
        <w:rPr>
          <w:b/>
          <w:bCs/>
          <w:i w:val="0"/>
          <w:sz w:val="24"/>
          <w:szCs w:val="24"/>
        </w:rPr>
        <w:t xml:space="preserve"> Recurrente </w:t>
      </w:r>
      <w:r>
        <w:rPr>
          <w:i w:val="0"/>
          <w:sz w:val="24"/>
          <w:szCs w:val="24"/>
        </w:rPr>
        <w:t xml:space="preserve">se encuentran encauzados a resaltar la </w:t>
      </w:r>
      <w:r>
        <w:rPr>
          <w:i w:val="0"/>
          <w:sz w:val="24"/>
          <w:szCs w:val="24"/>
        </w:rPr>
        <w:lastRenderedPageBreak/>
        <w:t>actualización de la hipótesis prevista en el artículo 179, fracción I de la Ley de Transparencia y Acceso a la Información Pública</w:t>
      </w:r>
      <w:r w:rsidR="001C241F">
        <w:rPr>
          <w:i w:val="0"/>
          <w:sz w:val="24"/>
          <w:szCs w:val="24"/>
        </w:rPr>
        <w:t xml:space="preserve"> del Estado de México y Municipios, cuyo contenido literal es el siguiente: </w:t>
      </w:r>
    </w:p>
    <w:p w14:paraId="183380AA" w14:textId="6DEEAF24" w:rsidR="00907C69" w:rsidRDefault="00907C69" w:rsidP="00907C69">
      <w:pPr>
        <w:pStyle w:val="Citas"/>
      </w:pPr>
      <w:r>
        <w:t>“Artículo 179. El recurso de revisión es un medio de protección que la Ley otorga a los particulares, para hacer valer su derecho de acceso a la información pública, y procederá en contra de las siguientes causas:</w:t>
      </w:r>
    </w:p>
    <w:p w14:paraId="0ADBA72B" w14:textId="77777777" w:rsidR="00907C69" w:rsidRDefault="00907C69" w:rsidP="00907C69">
      <w:pPr>
        <w:pStyle w:val="Citas"/>
      </w:pPr>
      <w:r>
        <w:t>I. La negativa a la información solicitada;</w:t>
      </w:r>
    </w:p>
    <w:p w14:paraId="391D1D59" w14:textId="77777777" w:rsidR="00907C69" w:rsidRPr="005A12AE" w:rsidRDefault="00907C69" w:rsidP="00907C69">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0B858A8B" w14:textId="77777777" w:rsidR="00193EF2" w:rsidRDefault="00193EF2" w:rsidP="001C241F">
      <w:pPr>
        <w:pStyle w:val="Citas"/>
        <w:ind w:left="0" w:right="0"/>
        <w:rPr>
          <w:i w:val="0"/>
          <w:sz w:val="24"/>
          <w:szCs w:val="24"/>
        </w:rPr>
      </w:pPr>
    </w:p>
    <w:p w14:paraId="00B214D7" w14:textId="5B73FB88" w:rsidR="001C241F" w:rsidRDefault="001C241F" w:rsidP="001C241F">
      <w:pPr>
        <w:pStyle w:val="Citas"/>
        <w:ind w:left="0" w:right="0"/>
        <w:rPr>
          <w:i w:val="0"/>
          <w:sz w:val="24"/>
          <w:szCs w:val="24"/>
        </w:rPr>
      </w:pPr>
      <w:r>
        <w:rPr>
          <w:i w:val="0"/>
          <w:sz w:val="24"/>
          <w:szCs w:val="24"/>
        </w:rPr>
        <w:t xml:space="preserve">Por otra parte, como fue referido en el antecedente quinto, </w:t>
      </w:r>
      <w:r>
        <w:rPr>
          <w:b/>
          <w:i w:val="0"/>
          <w:sz w:val="24"/>
          <w:szCs w:val="24"/>
        </w:rPr>
        <w:t xml:space="preserve">El Sujeto Obligado </w:t>
      </w:r>
      <w:r>
        <w:rPr>
          <w:i w:val="0"/>
          <w:sz w:val="24"/>
          <w:szCs w:val="24"/>
        </w:rPr>
        <w:t>rindió su informe justificado en fecha veintiuno de septiembre de dos mil veintidós, en los siguientes términos:</w:t>
      </w:r>
    </w:p>
    <w:p w14:paraId="5FE3B26A" w14:textId="25829141" w:rsidR="001C241F" w:rsidRPr="00E804D1" w:rsidRDefault="001C241F">
      <w:pPr>
        <w:pStyle w:val="Citas"/>
        <w:numPr>
          <w:ilvl w:val="0"/>
          <w:numId w:val="8"/>
        </w:numPr>
        <w:ind w:right="0"/>
        <w:rPr>
          <w:b/>
          <w:bCs/>
          <w:i w:val="0"/>
          <w:sz w:val="24"/>
          <w:szCs w:val="24"/>
        </w:rPr>
      </w:pPr>
      <w:r>
        <w:rPr>
          <w:b/>
          <w:bCs/>
          <w:i w:val="0"/>
          <w:sz w:val="24"/>
          <w:szCs w:val="24"/>
        </w:rPr>
        <w:t xml:space="preserve">“219_HUEHUETO_IP_2022.pdf”: </w:t>
      </w:r>
      <w:r>
        <w:rPr>
          <w:i w:val="0"/>
          <w:sz w:val="24"/>
          <w:szCs w:val="24"/>
        </w:rPr>
        <w:t xml:space="preserve">Oficio número </w:t>
      </w:r>
      <w:r>
        <w:rPr>
          <w:b/>
          <w:bCs/>
          <w:i w:val="0"/>
          <w:sz w:val="24"/>
          <w:szCs w:val="24"/>
        </w:rPr>
        <w:t xml:space="preserve">PMH/DDE/081/2022 </w:t>
      </w:r>
      <w:r>
        <w:rPr>
          <w:i w:val="0"/>
          <w:sz w:val="24"/>
          <w:szCs w:val="24"/>
        </w:rPr>
        <w:t xml:space="preserve">signado por la </w:t>
      </w:r>
      <w:r w:rsidR="00E804D1">
        <w:rPr>
          <w:i w:val="0"/>
          <w:sz w:val="24"/>
          <w:szCs w:val="24"/>
        </w:rPr>
        <w:t>directora</w:t>
      </w:r>
      <w:r>
        <w:rPr>
          <w:i w:val="0"/>
          <w:sz w:val="24"/>
          <w:szCs w:val="24"/>
        </w:rPr>
        <w:t xml:space="preserve"> de Desarrollo Económico y dirigido al </w:t>
      </w:r>
      <w:r w:rsidR="009B2014">
        <w:rPr>
          <w:i w:val="0"/>
          <w:sz w:val="24"/>
          <w:szCs w:val="24"/>
        </w:rPr>
        <w:t>jefe</w:t>
      </w:r>
      <w:r>
        <w:rPr>
          <w:i w:val="0"/>
          <w:sz w:val="24"/>
          <w:szCs w:val="24"/>
        </w:rPr>
        <w:t xml:space="preserve"> de la Unidad de Transparencia y Acceso a la Información Pública, de fecha veinte de septiembre de dos mil veintidós, </w:t>
      </w:r>
      <w:r w:rsidR="00E804D1">
        <w:rPr>
          <w:i w:val="0"/>
          <w:sz w:val="24"/>
          <w:szCs w:val="24"/>
        </w:rPr>
        <w:t>en lo medular expone lo siguiente:</w:t>
      </w:r>
    </w:p>
    <w:p w14:paraId="568D68DE" w14:textId="0E237C59" w:rsidR="00E804D1" w:rsidRPr="00E804D1" w:rsidRDefault="00E804D1">
      <w:pPr>
        <w:pStyle w:val="Citas"/>
        <w:numPr>
          <w:ilvl w:val="0"/>
          <w:numId w:val="9"/>
        </w:numPr>
        <w:ind w:right="0"/>
        <w:rPr>
          <w:b/>
          <w:bCs/>
          <w:i w:val="0"/>
          <w:sz w:val="24"/>
          <w:szCs w:val="24"/>
        </w:rPr>
      </w:pPr>
      <w:r>
        <w:rPr>
          <w:i w:val="0"/>
          <w:sz w:val="24"/>
          <w:szCs w:val="24"/>
        </w:rPr>
        <w:t xml:space="preserve">Que el Ayuntamiento de Huehuetoca dio respuesta a la solicitud de información </w:t>
      </w:r>
      <w:r>
        <w:rPr>
          <w:b/>
          <w:bCs/>
          <w:i w:val="0"/>
          <w:sz w:val="24"/>
          <w:szCs w:val="24"/>
        </w:rPr>
        <w:t xml:space="preserve">00219/HUEHUETO/IP/2022 </w:t>
      </w:r>
      <w:r>
        <w:rPr>
          <w:i w:val="0"/>
          <w:sz w:val="24"/>
          <w:szCs w:val="24"/>
        </w:rPr>
        <w:t xml:space="preserve">tal y como se refleja en el expediente electrónico. </w:t>
      </w:r>
    </w:p>
    <w:p w14:paraId="02662C4A" w14:textId="6C8CFE92" w:rsidR="00E804D1" w:rsidRPr="00E804D1" w:rsidRDefault="00E804D1">
      <w:pPr>
        <w:pStyle w:val="Citas"/>
        <w:numPr>
          <w:ilvl w:val="0"/>
          <w:numId w:val="9"/>
        </w:numPr>
        <w:ind w:right="0"/>
        <w:rPr>
          <w:b/>
          <w:bCs/>
          <w:i w:val="0"/>
          <w:sz w:val="24"/>
          <w:szCs w:val="24"/>
        </w:rPr>
      </w:pPr>
      <w:r>
        <w:rPr>
          <w:i w:val="0"/>
          <w:sz w:val="24"/>
          <w:szCs w:val="24"/>
        </w:rPr>
        <w:t xml:space="preserve">Que la respuesta remitida observó de manera diligente el numeral 12 de la Ley de Transparencia local, porción normativa que encauza a los </w:t>
      </w:r>
      <w:r>
        <w:rPr>
          <w:b/>
          <w:bCs/>
          <w:i w:val="0"/>
          <w:sz w:val="24"/>
          <w:szCs w:val="24"/>
        </w:rPr>
        <w:lastRenderedPageBreak/>
        <w:t xml:space="preserve">Sujetos Obligados </w:t>
      </w:r>
      <w:r>
        <w:rPr>
          <w:i w:val="0"/>
          <w:sz w:val="24"/>
          <w:szCs w:val="24"/>
        </w:rPr>
        <w:t xml:space="preserve">a proporcionar los soportes documentales que obran en sus archivos, excluyendo la obligación de procesar, practicar cálculos o generar soportes documentales para colmar el derecho de acceso a la información pública. </w:t>
      </w:r>
    </w:p>
    <w:p w14:paraId="780F0CA4" w14:textId="7EB47BAC" w:rsidR="00E804D1" w:rsidRPr="001C241F" w:rsidRDefault="00E804D1">
      <w:pPr>
        <w:pStyle w:val="Citas"/>
        <w:numPr>
          <w:ilvl w:val="0"/>
          <w:numId w:val="9"/>
        </w:numPr>
        <w:ind w:right="0"/>
        <w:rPr>
          <w:b/>
          <w:bCs/>
          <w:i w:val="0"/>
          <w:sz w:val="24"/>
          <w:szCs w:val="24"/>
        </w:rPr>
      </w:pPr>
      <w:r>
        <w:rPr>
          <w:i w:val="0"/>
          <w:sz w:val="24"/>
          <w:szCs w:val="24"/>
        </w:rPr>
        <w:t xml:space="preserve">Que la respuesta puede no ser conforme a los intereses del solicitante, sin embargo, se proporcionó conforme a lo que obra en los archivos del </w:t>
      </w:r>
      <w:r>
        <w:rPr>
          <w:b/>
          <w:bCs/>
          <w:i w:val="0"/>
          <w:sz w:val="24"/>
          <w:szCs w:val="24"/>
        </w:rPr>
        <w:t xml:space="preserve">Sujeto Obligado. </w:t>
      </w:r>
    </w:p>
    <w:p w14:paraId="1692F14E" w14:textId="77777777" w:rsidR="001C241F" w:rsidRDefault="001C241F" w:rsidP="001C241F">
      <w:pPr>
        <w:pStyle w:val="Citas"/>
        <w:ind w:left="0" w:right="0"/>
        <w:rPr>
          <w:i w:val="0"/>
          <w:sz w:val="24"/>
          <w:szCs w:val="24"/>
        </w:rPr>
      </w:pPr>
    </w:p>
    <w:p w14:paraId="17A49AAD" w14:textId="5FB5D302" w:rsidR="00E804D1" w:rsidRPr="00A367FA" w:rsidRDefault="007065F0" w:rsidP="007065F0">
      <w:pPr>
        <w:pStyle w:val="infoemcitas"/>
        <w:tabs>
          <w:tab w:val="left" w:pos="7655"/>
        </w:tabs>
        <w:ind w:left="0" w:right="0"/>
        <w:rPr>
          <w:b/>
          <w:bCs/>
          <w:i w:val="0"/>
          <w:sz w:val="24"/>
          <w:szCs w:val="24"/>
          <w:u w:val="single"/>
        </w:rPr>
      </w:pPr>
      <w:r w:rsidRPr="00A367FA">
        <w:rPr>
          <w:b/>
          <w:bCs/>
          <w:i w:val="0"/>
          <w:sz w:val="24"/>
          <w:szCs w:val="24"/>
          <w:u w:val="single"/>
        </w:rPr>
        <w:t xml:space="preserve">Así las cosas, hasta aquí lo expuesto, resulta inconcuso que </w:t>
      </w:r>
      <w:r w:rsidR="00E804D1" w:rsidRPr="00A367FA">
        <w:rPr>
          <w:b/>
          <w:bCs/>
          <w:i w:val="0"/>
          <w:sz w:val="24"/>
          <w:szCs w:val="24"/>
          <w:u w:val="single"/>
        </w:rPr>
        <w:t xml:space="preserve">el informe justificado del Sujeto Obligado atendió los motivos de inconformidad expuestos por el ciudadano, al haber remitido una </w:t>
      </w:r>
      <w:r w:rsidR="00E804D1" w:rsidRPr="00A367FA">
        <w:rPr>
          <w:b/>
          <w:bCs/>
          <w:iCs/>
          <w:sz w:val="24"/>
          <w:szCs w:val="24"/>
          <w:u w:val="single"/>
        </w:rPr>
        <w:t>“respuesta sellada y firmada”.</w:t>
      </w:r>
      <w:r w:rsidR="00E804D1">
        <w:rPr>
          <w:iCs/>
          <w:sz w:val="24"/>
          <w:szCs w:val="24"/>
        </w:rPr>
        <w:t xml:space="preserve"> </w:t>
      </w:r>
      <w:r w:rsidR="00E804D1" w:rsidRPr="00A367FA">
        <w:rPr>
          <w:b/>
          <w:bCs/>
          <w:i w:val="0"/>
          <w:sz w:val="24"/>
          <w:szCs w:val="24"/>
          <w:u w:val="single"/>
        </w:rPr>
        <w:t xml:space="preserve">Luego entonces, el informe justificado a toda luz atendió los motivos de inconformidad esgrimidos, modificando la respuesta primigenia. </w:t>
      </w:r>
    </w:p>
    <w:p w14:paraId="7D8CBC1D" w14:textId="77777777" w:rsidR="00E804D1" w:rsidRDefault="00E804D1" w:rsidP="00E804D1">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En este sentido, 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w:t>
      </w:r>
      <w:r>
        <w:rPr>
          <w:rFonts w:ascii="Palatino Linotype" w:hAnsi="Palatino Linotype" w:cs="Arial"/>
          <w:b/>
          <w:sz w:val="24"/>
          <w:szCs w:val="24"/>
        </w:rPr>
        <w:t xml:space="preserve"> Recurrente </w:t>
      </w:r>
      <w:r>
        <w:rPr>
          <w:rFonts w:ascii="Palatino Linotype" w:hAnsi="Palatino Linotype" w:cs="Arial"/>
          <w:sz w:val="24"/>
          <w:szCs w:val="24"/>
        </w:rPr>
        <w:t xml:space="preserve">o que el </w:t>
      </w:r>
      <w:r>
        <w:rPr>
          <w:rFonts w:ascii="Palatino Linotype" w:hAnsi="Palatino Linotype" w:cs="Arial"/>
          <w:b/>
          <w:sz w:val="24"/>
          <w:szCs w:val="24"/>
        </w:rPr>
        <w:t xml:space="preserve">Sujeto Obligado </w:t>
      </w:r>
      <w:r>
        <w:rPr>
          <w:rFonts w:ascii="Palatino Linotype" w:hAnsi="Palatino Linotype" w:cs="Arial"/>
          <w:b/>
          <w:sz w:val="24"/>
          <w:szCs w:val="24"/>
          <w:u w:val="single"/>
        </w:rPr>
        <w:t xml:space="preserve">modifique el acto; </w:t>
      </w:r>
      <w:r>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1B1997B4" w14:textId="77777777" w:rsidR="00E804D1" w:rsidRDefault="00E804D1" w:rsidP="00E804D1">
      <w:pPr>
        <w:spacing w:line="360" w:lineRule="auto"/>
        <w:jc w:val="both"/>
        <w:rPr>
          <w:rFonts w:ascii="Palatino Linotype" w:hAnsi="Palatino Linotype" w:cs="Arial"/>
          <w:sz w:val="24"/>
          <w:szCs w:val="24"/>
        </w:rPr>
      </w:pPr>
      <w:r>
        <w:rPr>
          <w:rFonts w:ascii="Palatino Linotype" w:hAnsi="Palatino Linotype" w:cs="Arial"/>
          <w:sz w:val="24"/>
          <w:szCs w:val="24"/>
        </w:rPr>
        <w:t xml:space="preserve">Por otra parte, la doctrina del sobreseimiento provoca que un procedimiento se suspenda o se resuelva en definitiva sin que se entre al estudio de los agravios o </w:t>
      </w:r>
      <w:r>
        <w:rPr>
          <w:rFonts w:ascii="Palatino Linotype" w:hAnsi="Palatino Linotype" w:cs="Arial"/>
          <w:sz w:val="24"/>
          <w:szCs w:val="24"/>
        </w:rPr>
        <w:lastRenderedPageBreak/>
        <w:t>motivos de inconformidad. Este mismo criterio es compartido por el más alto tribunal del país en múltiples jurisprudencias, por lo que a continuación se agrega una de ellas que sirve como orientador en esta resolución:</w:t>
      </w:r>
    </w:p>
    <w:p w14:paraId="3FDD8EE9" w14:textId="77777777" w:rsidR="00E804D1" w:rsidRDefault="00E804D1" w:rsidP="00E804D1">
      <w:pPr>
        <w:spacing w:line="360" w:lineRule="auto"/>
        <w:ind w:left="851" w:right="851"/>
        <w:jc w:val="both"/>
        <w:rPr>
          <w:rFonts w:ascii="Palatino Linotype" w:hAnsi="Palatino Linotype" w:cs="Arial"/>
          <w:b/>
          <w:i/>
        </w:rPr>
      </w:pPr>
      <w:r>
        <w:rPr>
          <w:rFonts w:ascii="Palatino Linotype" w:hAnsi="Palatino Linotype" w:cs="Arial"/>
          <w:b/>
          <w:i/>
        </w:rPr>
        <w:t>“SOBRESEIMIENTO EN EL JUICIO DE AMPARO DIRECTO. IMPIDE EL ESTUDIO DE LAS VIOLACIONES PROCESALES PLANTEADAS EN LOS CONCEPTOS DE VIOLACIÓN.</w:t>
      </w:r>
    </w:p>
    <w:p w14:paraId="31C0552A" w14:textId="77777777" w:rsidR="00E804D1" w:rsidRDefault="00E804D1" w:rsidP="00E804D1">
      <w:pPr>
        <w:spacing w:line="360" w:lineRule="auto"/>
        <w:ind w:left="851" w:right="851"/>
        <w:jc w:val="both"/>
        <w:rPr>
          <w:rFonts w:ascii="Palatino Linotype" w:hAnsi="Palatino Linotype"/>
          <w:i/>
          <w:color w:val="000000"/>
        </w:rPr>
      </w:pPr>
      <w:r>
        <w:rPr>
          <w:rFonts w:ascii="Palatino Linotype" w:hAnsi="Palatino Linotype" w:cs="Arial"/>
          <w:b/>
          <w:i/>
          <w:u w:val="single"/>
        </w:rPr>
        <w:t>El sobreseimiento</w:t>
      </w:r>
      <w:r>
        <w:rPr>
          <w:rFonts w:ascii="Palatino Linotype" w:hAnsi="Palatino Linotype" w:cs="Arial"/>
          <w:b/>
          <w:i/>
        </w:rPr>
        <w:t xml:space="preserve"> </w:t>
      </w:r>
      <w:r>
        <w:rPr>
          <w:rFonts w:ascii="Palatino Linotype" w:hAnsi="Palatino Linotype" w:cs="Arial"/>
          <w:i/>
        </w:rPr>
        <w:t xml:space="preserve">en el juicio de amparo directo </w:t>
      </w:r>
      <w:r>
        <w:rPr>
          <w:rFonts w:ascii="Palatino Linotype" w:hAnsi="Palatino Linotype" w:cs="Arial"/>
          <w:b/>
          <w:i/>
          <w:u w:val="single"/>
        </w:rPr>
        <w:t>provoca la terminación de la controversia planteada</w:t>
      </w:r>
      <w:r>
        <w:rPr>
          <w:rFonts w:ascii="Palatino Linotype" w:hAnsi="Palatino Linotype" w:cs="Arial"/>
          <w:b/>
          <w:i/>
        </w:rPr>
        <w:t xml:space="preserve"> </w:t>
      </w:r>
      <w:r>
        <w:rPr>
          <w:rFonts w:ascii="Palatino Linotype" w:hAnsi="Palatino Linotype" w:cs="Arial"/>
          <w:i/>
        </w:rPr>
        <w:t>por el quejoso en la demanda de amparo</w:t>
      </w:r>
      <w:r>
        <w:rPr>
          <w:rFonts w:ascii="Calibri" w:hAnsi="Calibri"/>
          <w:color w:val="000000"/>
          <w:sz w:val="26"/>
          <w:szCs w:val="26"/>
        </w:rPr>
        <w:t xml:space="preserve"> </w:t>
      </w:r>
      <w:r>
        <w:rPr>
          <w:rFonts w:ascii="Palatino Linotype" w:hAnsi="Palatino Linotype"/>
          <w:i/>
          <w:color w:val="000000"/>
        </w:rPr>
        <w:t xml:space="preserve">provoca la terminación de la controversia planteada por el quejoso en la demanda de </w:t>
      </w:r>
      <w:r>
        <w:rPr>
          <w:rFonts w:ascii="Palatino Linotype" w:hAnsi="Palatino Linotype"/>
          <w:b/>
          <w:i/>
          <w:color w:val="000000"/>
        </w:rPr>
        <w:t>amparo</w:t>
      </w:r>
      <w:r>
        <w:rPr>
          <w:rFonts w:ascii="Palatino Linotype" w:hAnsi="Palatino Linotype"/>
          <w:i/>
          <w:color w:val="000000"/>
        </w:rPr>
        <w:t>, sin hacer un pronunciamiento de fondo sobre la legalidad o ilegalidad de la sentencia reclamada. Por consiguiente, si al sobreseerse en el</w:t>
      </w:r>
      <w:r>
        <w:rPr>
          <w:rFonts w:ascii="Palatino Linotype" w:hAnsi="Palatino Linotype"/>
          <w:b/>
          <w:i/>
          <w:color w:val="000000"/>
        </w:rPr>
        <w:t xml:space="preserve"> juicio </w:t>
      </w:r>
      <w:r>
        <w:rPr>
          <w:rFonts w:ascii="Palatino Linotype" w:hAnsi="Palatino Linotype"/>
          <w:i/>
          <w:color w:val="000000"/>
        </w:rPr>
        <w:t xml:space="preserve">de </w:t>
      </w:r>
      <w:r>
        <w:rPr>
          <w:rFonts w:ascii="Palatino Linotype" w:hAnsi="Palatino Linotype"/>
          <w:b/>
          <w:i/>
          <w:color w:val="000000"/>
        </w:rPr>
        <w:t>amparo</w:t>
      </w:r>
      <w:r>
        <w:rPr>
          <w:rFonts w:ascii="Palatino Linotype" w:hAnsi="Palatino Linotype"/>
          <w:i/>
          <w:color w:val="000000"/>
        </w:rPr>
        <w:t xml:space="preserve"> no se pueden estudiar los planteamientos que se hacen valer en contra del fallo reclamado, tampoco se deben analizar las</w:t>
      </w:r>
      <w:r>
        <w:rPr>
          <w:rFonts w:ascii="Palatino Linotype" w:hAnsi="Palatino Linotype"/>
          <w:b/>
          <w:i/>
          <w:color w:val="000000"/>
        </w:rPr>
        <w:t xml:space="preserve"> violaciones procesales</w:t>
      </w:r>
      <w:r>
        <w:rPr>
          <w:rFonts w:ascii="Palatino Linotype" w:hAnsi="Palatino Linotype"/>
          <w:i/>
          <w:color w:val="000000"/>
        </w:rPr>
        <w:t xml:space="preserve"> propuestas en los </w:t>
      </w:r>
      <w:r>
        <w:rPr>
          <w:rFonts w:ascii="Palatino Linotype" w:hAnsi="Palatino Linotype"/>
          <w:b/>
          <w:i/>
          <w:color w:val="000000"/>
        </w:rPr>
        <w:t xml:space="preserve">conceptos </w:t>
      </w:r>
      <w:r>
        <w:rPr>
          <w:rFonts w:ascii="Palatino Linotype" w:hAnsi="Palatino Linotype"/>
          <w:i/>
          <w:color w:val="000000"/>
        </w:rPr>
        <w:t xml:space="preserve">de </w:t>
      </w:r>
      <w:r>
        <w:rPr>
          <w:rFonts w:ascii="Palatino Linotype" w:hAnsi="Palatino Linotype"/>
          <w:b/>
          <w:i/>
          <w:color w:val="000000"/>
        </w:rPr>
        <w:t>violación</w:t>
      </w:r>
      <w:r>
        <w:rPr>
          <w:rFonts w:ascii="Palatino Linotype" w:hAnsi="Palatino Linotype"/>
          <w:i/>
          <w:color w:val="000000"/>
        </w:rPr>
        <w:t xml:space="preserve">, dado que, la principal consecuencia del </w:t>
      </w:r>
      <w:r>
        <w:rPr>
          <w:rFonts w:ascii="Palatino Linotype" w:hAnsi="Palatino Linotype"/>
          <w:b/>
          <w:i/>
          <w:color w:val="000000"/>
        </w:rPr>
        <w:t>sobreseimiento</w:t>
      </w:r>
      <w:r>
        <w:rPr>
          <w:rFonts w:ascii="Palatino Linotype" w:hAnsi="Palatino Linotype"/>
          <w:i/>
          <w:color w:val="000000"/>
        </w:rPr>
        <w:t xml:space="preserve"> es poner fin al </w:t>
      </w:r>
      <w:r>
        <w:rPr>
          <w:rFonts w:ascii="Palatino Linotype" w:hAnsi="Palatino Linotype"/>
          <w:b/>
          <w:i/>
          <w:color w:val="000000"/>
        </w:rPr>
        <w:t xml:space="preserve">juicio </w:t>
      </w:r>
      <w:r>
        <w:rPr>
          <w:rFonts w:ascii="Palatino Linotype" w:hAnsi="Palatino Linotype"/>
          <w:i/>
          <w:color w:val="000000"/>
        </w:rPr>
        <w:t xml:space="preserve">de </w:t>
      </w:r>
      <w:r>
        <w:rPr>
          <w:rFonts w:ascii="Palatino Linotype" w:hAnsi="Palatino Linotype"/>
          <w:b/>
          <w:i/>
          <w:color w:val="000000"/>
        </w:rPr>
        <w:t xml:space="preserve">amparo </w:t>
      </w:r>
      <w:r>
        <w:rPr>
          <w:rFonts w:ascii="Palatino Linotype" w:hAnsi="Palatino Linotype"/>
          <w:i/>
          <w:color w:val="000000"/>
        </w:rPr>
        <w:t>sin resolver la controversia en sus méritos.  </w:t>
      </w:r>
    </w:p>
    <w:p w14:paraId="3A9001E7" w14:textId="77777777" w:rsidR="00E804D1" w:rsidRDefault="00E804D1" w:rsidP="00E804D1">
      <w:pPr>
        <w:spacing w:line="360" w:lineRule="auto"/>
        <w:ind w:left="851" w:right="851"/>
        <w:jc w:val="both"/>
        <w:rPr>
          <w:rFonts w:ascii="Palatino Linotype" w:hAnsi="Palatino Linotype" w:cs="Arial"/>
          <w:b/>
          <w:i/>
        </w:rPr>
      </w:pPr>
      <w:r>
        <w:rPr>
          <w:rFonts w:ascii="Palatino Linotype" w:hAnsi="Palatino Linotype" w:cs="Arial"/>
          <w:b/>
          <w:i/>
        </w:rPr>
        <w:t>SÉPTIMO TRIBUNAL COLEGIADO EN MATERIA CIVIL DEL PRIMER CIRCUITO.</w:t>
      </w:r>
    </w:p>
    <w:p w14:paraId="41A5C5FF" w14:textId="77777777" w:rsidR="00E804D1" w:rsidRDefault="00E804D1" w:rsidP="00E804D1">
      <w:pPr>
        <w:spacing w:line="360" w:lineRule="auto"/>
        <w:ind w:left="851" w:right="851"/>
        <w:jc w:val="both"/>
        <w:rPr>
          <w:rFonts w:ascii="Palatino Linotype" w:hAnsi="Palatino Linotype" w:cs="Arial"/>
          <w:i/>
        </w:rPr>
      </w:pPr>
      <w:r>
        <w:rPr>
          <w:rFonts w:ascii="Palatino Linotype" w:hAnsi="Palatino Linotype" w:cs="Arial"/>
          <w:i/>
        </w:rPr>
        <w:t>Amparo directo 699/2008. Mariana Leticia González Steele. 13 de noviembre de 2008. Unanimidad de votos. Ponente: Sara Judith Montalvo Trejo. Secretario: Arnulfo Mateos García.”</w:t>
      </w:r>
      <w:r>
        <w:rPr>
          <w:rFonts w:ascii="Palatino Linotype" w:eastAsia="Times New Roman" w:hAnsi="Palatino Linotype" w:cs="Times New Roman"/>
          <w:b/>
          <w:i/>
          <w:lang w:val="es-ES_tradnl" w:eastAsia="es-ES"/>
        </w:rPr>
        <w:t xml:space="preserve"> [Sic]</w:t>
      </w:r>
    </w:p>
    <w:p w14:paraId="0FA9A1A1" w14:textId="77777777" w:rsidR="00E804D1" w:rsidRDefault="00E804D1" w:rsidP="00E804D1">
      <w:pPr>
        <w:ind w:right="141"/>
        <w:jc w:val="both"/>
        <w:rPr>
          <w:rFonts w:ascii="Palatino Linotype" w:hAnsi="Palatino Linotype" w:cs="Arial"/>
        </w:rPr>
      </w:pPr>
    </w:p>
    <w:p w14:paraId="79AA56BB" w14:textId="77777777" w:rsidR="00E804D1" w:rsidRDefault="00E804D1" w:rsidP="00E804D1">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Pr>
          <w:rFonts w:ascii="Palatino Linotype" w:hAnsi="Palatino Linotype" w:cs="Arial"/>
          <w:b/>
          <w:sz w:val="24"/>
          <w:szCs w:val="24"/>
        </w:rPr>
        <w:t xml:space="preserve">artículo 192 </w:t>
      </w:r>
      <w:r>
        <w:rPr>
          <w:rFonts w:ascii="Palatino Linotype" w:hAnsi="Palatino Linotype" w:cs="Arial"/>
          <w:sz w:val="24"/>
          <w:szCs w:val="24"/>
        </w:rPr>
        <w:t xml:space="preserve">de </w:t>
      </w:r>
      <w:r>
        <w:rPr>
          <w:rFonts w:ascii="Palatino Linotype" w:hAnsi="Palatino Linotype" w:cs="Arial"/>
          <w:sz w:val="24"/>
          <w:szCs w:val="24"/>
        </w:rPr>
        <w:lastRenderedPageBreak/>
        <w:t xml:space="preserve">la </w:t>
      </w:r>
      <w:r>
        <w:rPr>
          <w:rFonts w:ascii="Palatino Linotype" w:hAnsi="Palatino Linotype" w:cs="Arial"/>
          <w:b/>
          <w:sz w:val="24"/>
          <w:szCs w:val="24"/>
        </w:rPr>
        <w:t xml:space="preserve">Ley de Transparencia y Acceso a la Información Pública del Estado de México y Municipios, </w:t>
      </w:r>
      <w:r>
        <w:rPr>
          <w:rFonts w:ascii="Palatino Linotype" w:hAnsi="Palatino Linotype" w:cs="Arial"/>
          <w:sz w:val="24"/>
          <w:szCs w:val="24"/>
        </w:rPr>
        <w:t xml:space="preserve">nos encontramos ante un sobreseimiento definitivo toda vez que pone fin al procedimiento sin entrar al estudio de fondo del mismo. </w:t>
      </w:r>
    </w:p>
    <w:p w14:paraId="16CE3B72" w14:textId="77777777" w:rsidR="00E804D1" w:rsidRDefault="00E804D1" w:rsidP="00E804D1">
      <w:pPr>
        <w:spacing w:line="360" w:lineRule="auto"/>
        <w:jc w:val="both"/>
        <w:rPr>
          <w:rFonts w:ascii="Palatino Linotype" w:hAnsi="Palatino Linotype" w:cs="Arial"/>
          <w:b/>
          <w:sz w:val="24"/>
          <w:szCs w:val="24"/>
        </w:rPr>
      </w:pPr>
      <w:r>
        <w:rPr>
          <w:rFonts w:ascii="Palatino Linotype" w:hAnsi="Palatino Linotype" w:cs="Arial"/>
          <w:sz w:val="24"/>
          <w:szCs w:val="24"/>
        </w:rPr>
        <w:t xml:space="preserve">Para los efectos de esta resolución, resulta oportuno precisar los alcances jurídicos de la </w:t>
      </w:r>
      <w:r>
        <w:rPr>
          <w:rFonts w:ascii="Palatino Linotype" w:hAnsi="Palatino Linotype" w:cs="Arial"/>
          <w:b/>
          <w:sz w:val="24"/>
          <w:szCs w:val="24"/>
        </w:rPr>
        <w:t xml:space="preserve">fracción III </w:t>
      </w:r>
      <w:r>
        <w:rPr>
          <w:rFonts w:ascii="Palatino Linotype" w:hAnsi="Palatino Linotype" w:cs="Arial"/>
          <w:sz w:val="24"/>
          <w:szCs w:val="24"/>
        </w:rPr>
        <w:t xml:space="preserve">de la disposición legal transcrita. Así, procede el sobreseimiento del recurso de revisión cuando el </w:t>
      </w:r>
      <w:r>
        <w:rPr>
          <w:rFonts w:ascii="Palatino Linotype" w:hAnsi="Palatino Linotype" w:cs="Arial"/>
          <w:b/>
          <w:sz w:val="24"/>
          <w:szCs w:val="24"/>
        </w:rPr>
        <w:t xml:space="preserve">Sujeto Obligado: </w:t>
      </w:r>
    </w:p>
    <w:p w14:paraId="00CB5378" w14:textId="77777777" w:rsidR="00E804D1" w:rsidRDefault="00E804D1">
      <w:pPr>
        <w:pStyle w:val="Prrafodelista"/>
        <w:numPr>
          <w:ilvl w:val="0"/>
          <w:numId w:val="1"/>
        </w:numPr>
        <w:spacing w:line="360" w:lineRule="auto"/>
        <w:ind w:right="851"/>
        <w:jc w:val="both"/>
        <w:rPr>
          <w:rFonts w:ascii="Palatino Linotype" w:hAnsi="Palatino Linotype" w:cs="Arial"/>
          <w:b/>
        </w:rPr>
      </w:pPr>
      <w:r>
        <w:rPr>
          <w:rFonts w:ascii="Palatino Linotype" w:hAnsi="Palatino Linotype" w:cs="Arial"/>
          <w:b/>
        </w:rPr>
        <w:t xml:space="preserve">Modifique el acto impugnado: </w:t>
      </w:r>
      <w:r>
        <w:rPr>
          <w:rFonts w:ascii="Palatino Linotype" w:hAnsi="Palatino Linotype" w:cs="Arial"/>
        </w:rPr>
        <w:t xml:space="preserve">Se actualiza cuando el </w:t>
      </w:r>
      <w:r>
        <w:rPr>
          <w:rFonts w:ascii="Palatino Linotype" w:hAnsi="Palatino Linotype" w:cs="Arial"/>
          <w:b/>
        </w:rPr>
        <w:t xml:space="preserve">Sujeto Obligado </w:t>
      </w:r>
      <w:r>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134DC7E9" w14:textId="77777777" w:rsidR="00E804D1" w:rsidRDefault="00E804D1" w:rsidP="00E804D1">
      <w:pPr>
        <w:pStyle w:val="Prrafodelista"/>
        <w:spacing w:line="360" w:lineRule="auto"/>
        <w:ind w:left="720" w:right="851"/>
        <w:jc w:val="both"/>
        <w:rPr>
          <w:rFonts w:ascii="Palatino Linotype" w:hAnsi="Palatino Linotype" w:cs="Arial"/>
          <w:b/>
        </w:rPr>
      </w:pPr>
    </w:p>
    <w:p w14:paraId="29FAFAA8" w14:textId="77777777" w:rsidR="00E804D1" w:rsidRDefault="00E804D1" w:rsidP="00E804D1">
      <w:pPr>
        <w:spacing w:line="360" w:lineRule="auto"/>
        <w:jc w:val="both"/>
        <w:rPr>
          <w:rFonts w:ascii="Palatino Linotype" w:hAnsi="Palatino Linotype" w:cs="Arial"/>
          <w:sz w:val="24"/>
          <w:szCs w:val="24"/>
          <w:u w:val="single"/>
        </w:rPr>
      </w:pPr>
      <w:r>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Pr>
          <w:rFonts w:ascii="Palatino Linotype" w:hAnsi="Palatino Linotype" w:cs="Arial"/>
          <w:b/>
          <w:sz w:val="24"/>
          <w:szCs w:val="24"/>
          <w:u w:val="single"/>
        </w:rPr>
        <w:t xml:space="preserve">cuando ha sido satisfecha la pretensión del particular, </w:t>
      </w:r>
      <w:r>
        <w:rPr>
          <w:rFonts w:ascii="Palatino Linotype" w:hAnsi="Palatino Linotype" w:cs="Arial"/>
          <w:sz w:val="24"/>
          <w:szCs w:val="24"/>
        </w:rPr>
        <w:t>ya sea porque se hizo la entrega de la información solicitada o porque se completó la misma.</w:t>
      </w:r>
      <w:r>
        <w:rPr>
          <w:rFonts w:ascii="Palatino Linotype" w:hAnsi="Palatino Linotype" w:cs="Arial"/>
          <w:sz w:val="24"/>
          <w:szCs w:val="24"/>
          <w:u w:val="single"/>
        </w:rPr>
        <w:t xml:space="preserve"> </w:t>
      </w:r>
    </w:p>
    <w:p w14:paraId="1C6EC92D" w14:textId="77777777" w:rsidR="00E804D1" w:rsidRDefault="00E804D1" w:rsidP="00E804D1">
      <w:pPr>
        <w:spacing w:line="360" w:lineRule="auto"/>
        <w:jc w:val="both"/>
        <w:rPr>
          <w:rFonts w:ascii="Palatino Linotype" w:hAnsi="Palatino Linotype" w:cs="Arial"/>
          <w:sz w:val="24"/>
          <w:szCs w:val="24"/>
        </w:rPr>
      </w:pPr>
      <w:r>
        <w:rPr>
          <w:rFonts w:ascii="Palatino Linotype" w:hAnsi="Palatino Linotype" w:cs="Arial"/>
          <w:sz w:val="24"/>
          <w:szCs w:val="24"/>
        </w:rPr>
        <w:t xml:space="preserve">En este tenor, se advierte que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con la información enviada a este Órgano Garante, </w:t>
      </w:r>
      <w:r>
        <w:rPr>
          <w:rFonts w:ascii="Palatino Linotype" w:hAnsi="Palatino Linotype" w:cs="Arial"/>
          <w:b/>
          <w:sz w:val="24"/>
          <w:szCs w:val="24"/>
        </w:rPr>
        <w:t xml:space="preserve">modifica </w:t>
      </w:r>
      <w:r>
        <w:rPr>
          <w:rFonts w:ascii="Palatino Linotype" w:hAnsi="Palatino Linotype" w:cs="Arial"/>
          <w:sz w:val="24"/>
          <w:szCs w:val="24"/>
        </w:rPr>
        <w:t xml:space="preserve">el acto que le dio origen al recurso de revisión, </w:t>
      </w:r>
      <w:r>
        <w:rPr>
          <w:rFonts w:ascii="Palatino Linotype" w:hAnsi="Palatino Linotype" w:cs="Arial"/>
          <w:b/>
          <w:sz w:val="24"/>
          <w:szCs w:val="24"/>
        </w:rPr>
        <w:t xml:space="preserve">por lo que trae como consecuencia que el mismo quede sin materia, </w:t>
      </w:r>
      <w:r>
        <w:rPr>
          <w:rFonts w:ascii="Palatino Linotype" w:hAnsi="Palatino Linotype" w:cs="Arial"/>
          <w:sz w:val="24"/>
          <w:szCs w:val="24"/>
        </w:rPr>
        <w:t xml:space="preserve">actualizándose de este modo, la hipótesis jurídica contenida en la fracción III del artículo 192. </w:t>
      </w:r>
    </w:p>
    <w:p w14:paraId="61287FC7" w14:textId="77777777" w:rsidR="00E804D1" w:rsidRDefault="00E804D1" w:rsidP="00E804D1">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cuando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Sujeto Obligado</w:t>
      </w:r>
      <w:r>
        <w:rPr>
          <w:rFonts w:ascii="Palatino Linotype" w:hAnsi="Palatino Linotype" w:cs="Arial"/>
          <w:sz w:val="24"/>
          <w:szCs w:val="24"/>
        </w:rPr>
        <w:t xml:space="preserve">, antes de que se dicte resolución definitiva, entrega la información solicitada o completa la respuesta que en un momento fue </w:t>
      </w:r>
      <w:r>
        <w:rPr>
          <w:rFonts w:ascii="Palatino Linotype" w:hAnsi="Palatino Linotype" w:cs="Arial"/>
          <w:sz w:val="24"/>
          <w:szCs w:val="24"/>
        </w:rPr>
        <w:lastRenderedPageBreak/>
        <w:t xml:space="preserve">incompleta o no correspondió con lo solicitado; el recurso de revisión que al efecto se haya interpuesto queda sin materia lo que imposibilita el estudio de fondo de la </w:t>
      </w:r>
      <w:r>
        <w:rPr>
          <w:rFonts w:ascii="Palatino Linotype" w:hAnsi="Palatino Linotype" w:cs="Arial"/>
          <w:b/>
          <w:i/>
          <w:sz w:val="24"/>
          <w:szCs w:val="24"/>
        </w:rPr>
        <w:t xml:space="preserve">litis </w:t>
      </w:r>
      <w:r>
        <w:rPr>
          <w:rFonts w:ascii="Palatino Linotype" w:hAnsi="Palatino Linotype" w:cs="Arial"/>
          <w:sz w:val="24"/>
          <w:szCs w:val="24"/>
        </w:rPr>
        <w:t xml:space="preserve">planteada, debido a que la afectación en su esfera de derechos fue restituida por la propia autoridad que emitió el acto de impugnación. </w:t>
      </w:r>
    </w:p>
    <w:p w14:paraId="69BACEDE" w14:textId="77777777" w:rsidR="00E804D1" w:rsidRDefault="00E804D1" w:rsidP="00E804D1">
      <w:pPr>
        <w:tabs>
          <w:tab w:val="left" w:pos="7797"/>
        </w:tabs>
        <w:spacing w:line="360" w:lineRule="auto"/>
        <w:jc w:val="both"/>
        <w:rPr>
          <w:rFonts w:ascii="Palatino Linotype" w:hAnsi="Palatino Linotype" w:cs="Arial"/>
          <w:sz w:val="24"/>
          <w:szCs w:val="24"/>
        </w:rPr>
      </w:pPr>
      <w:r>
        <w:rPr>
          <w:rFonts w:ascii="Palatino Linotype" w:hAnsi="Palatino Linotype" w:cs="Arial"/>
          <w:sz w:val="24"/>
          <w:szCs w:val="24"/>
        </w:rPr>
        <w:t xml:space="preserve">Por lo tanto, para que se actualice el sobreseimiento de un recurso de revisión,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puede entregar o completar la información al momento de rendir su </w:t>
      </w:r>
      <w:r>
        <w:rPr>
          <w:rFonts w:ascii="Palatino Linotype" w:hAnsi="Palatino Linotype" w:cs="Arial"/>
          <w:b/>
          <w:sz w:val="24"/>
          <w:szCs w:val="24"/>
          <w:u w:val="single"/>
        </w:rPr>
        <w:t>informe de justificación dentro de los siete días</w:t>
      </w:r>
      <w:r>
        <w:rPr>
          <w:rFonts w:ascii="Palatino Linotype" w:hAnsi="Palatino Linotype" w:cs="Arial"/>
          <w:b/>
          <w:sz w:val="24"/>
          <w:szCs w:val="24"/>
        </w:rPr>
        <w:t xml:space="preserve"> </w:t>
      </w:r>
      <w:r>
        <w:rPr>
          <w:rFonts w:ascii="Palatino Linotype" w:hAnsi="Palatino Linotype" w:cs="Arial"/>
          <w:sz w:val="24"/>
          <w:szCs w:val="24"/>
        </w:rPr>
        <w:t>previstos para manifestar lo que a su derecho convenga.</w:t>
      </w:r>
    </w:p>
    <w:p w14:paraId="3E9F0D70" w14:textId="00DF4D98" w:rsidR="00E804D1" w:rsidRDefault="00E804D1" w:rsidP="00E804D1">
      <w:pPr>
        <w:tabs>
          <w:tab w:val="left" w:pos="8080"/>
        </w:tabs>
        <w:spacing w:line="360" w:lineRule="auto"/>
        <w:jc w:val="both"/>
        <w:rPr>
          <w:rFonts w:ascii="Palatino Linotype" w:hAnsi="Palatino Linotype" w:cs="Arial"/>
          <w:sz w:val="24"/>
          <w:szCs w:val="24"/>
        </w:rPr>
      </w:pPr>
      <w:r>
        <w:rPr>
          <w:rFonts w:ascii="Palatino Linotype" w:hAnsi="Palatino Linotype" w:cs="Arial"/>
          <w:sz w:val="24"/>
          <w:szCs w:val="24"/>
        </w:rPr>
        <w:t xml:space="preserve">En mérito de lo expuesto en líneas anteriores, resultan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su medio de impugnación que fue materia de estudio, por ello </w:t>
      </w:r>
      <w:r>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Pr>
          <w:rFonts w:ascii="Palatino Linotype" w:hAnsi="Palatino Linotype" w:cs="Arial"/>
          <w:sz w:val="24"/>
          <w:szCs w:val="24"/>
        </w:rPr>
        <w:t xml:space="preserve">se </w:t>
      </w:r>
      <w:r>
        <w:rPr>
          <w:rFonts w:ascii="Palatino Linotype" w:hAnsi="Palatino Linotype" w:cs="Arial"/>
          <w:b/>
          <w:sz w:val="24"/>
          <w:szCs w:val="24"/>
        </w:rPr>
        <w:t xml:space="preserve">SOBRESEE </w:t>
      </w:r>
      <w:r>
        <w:rPr>
          <w:rFonts w:ascii="Palatino Linotype" w:hAnsi="Palatino Linotype" w:cs="Arial"/>
          <w:sz w:val="24"/>
          <w:szCs w:val="24"/>
        </w:rPr>
        <w:t xml:space="preserve">el recurso de revisión </w:t>
      </w:r>
      <w:r>
        <w:rPr>
          <w:rFonts w:ascii="Palatino Linotype" w:hAnsi="Palatino Linotype" w:cs="Arial"/>
          <w:b/>
          <w:sz w:val="24"/>
          <w:szCs w:val="24"/>
        </w:rPr>
        <w:t>14400/INFOEM/IP/RR/2022</w:t>
      </w:r>
      <w:r>
        <w:rPr>
          <w:rFonts w:ascii="Palatino Linotype" w:hAnsi="Palatino Linotype" w:cs="Arial"/>
          <w:b/>
          <w:sz w:val="24"/>
          <w:szCs w:val="24"/>
          <w:lang w:val="es-ES_tradnl"/>
        </w:rPr>
        <w:t xml:space="preserve">, </w:t>
      </w:r>
      <w:r>
        <w:rPr>
          <w:rFonts w:ascii="Palatino Linotype" w:hAnsi="Palatino Linotype" w:cs="Arial"/>
          <w:sz w:val="24"/>
          <w:szCs w:val="24"/>
          <w:lang w:val="es-ES_tradnl"/>
        </w:rPr>
        <w:t xml:space="preserve">que ha sido materia del presente fallo. </w:t>
      </w:r>
    </w:p>
    <w:p w14:paraId="76D36603" w14:textId="77777777" w:rsidR="00E804D1" w:rsidRDefault="00E804D1" w:rsidP="00E804D1">
      <w:pPr>
        <w:tabs>
          <w:tab w:val="left" w:pos="8080"/>
        </w:tabs>
        <w:spacing w:line="360" w:lineRule="auto"/>
        <w:jc w:val="both"/>
        <w:rPr>
          <w:rFonts w:ascii="Palatino Linotype" w:hAnsi="Palatino Linotype" w:cs="Arial"/>
          <w:bCs/>
          <w:sz w:val="24"/>
          <w:szCs w:val="24"/>
        </w:rPr>
      </w:pPr>
      <w:r>
        <w:rPr>
          <w:rFonts w:ascii="Palatino Linotype" w:hAnsi="Palatino Linotype" w:cs="Arial"/>
          <w:bCs/>
          <w:sz w:val="24"/>
          <w:szCs w:val="24"/>
        </w:rPr>
        <w:t>Por lo antes expuesto y fundado es de resolverse y,</w:t>
      </w:r>
    </w:p>
    <w:p w14:paraId="2BE858DD" w14:textId="77777777" w:rsidR="00E804D1" w:rsidRDefault="00E804D1" w:rsidP="00E804D1">
      <w:pPr>
        <w:spacing w:after="0" w:line="360" w:lineRule="auto"/>
        <w:jc w:val="center"/>
        <w:rPr>
          <w:rFonts w:ascii="Palatino Linotype" w:eastAsia="Times New Roman" w:hAnsi="Palatino Linotype" w:cs="Times New Roman"/>
          <w:b/>
          <w:bCs/>
          <w:spacing w:val="60"/>
          <w:sz w:val="28"/>
          <w:szCs w:val="24"/>
          <w:lang w:val="es-ES_tradnl" w:eastAsia="es-ES"/>
        </w:rPr>
      </w:pPr>
    </w:p>
    <w:p w14:paraId="6794FDB6" w14:textId="77777777" w:rsidR="00E804D1" w:rsidRPr="00895C52" w:rsidRDefault="00E804D1" w:rsidP="00E804D1">
      <w:pPr>
        <w:spacing w:after="0" w:line="360" w:lineRule="auto"/>
        <w:jc w:val="center"/>
        <w:rPr>
          <w:rFonts w:ascii="Palatino Linotype" w:eastAsia="Times New Roman" w:hAnsi="Palatino Linotype" w:cs="Times New Roman"/>
          <w:b/>
          <w:bCs/>
          <w:spacing w:val="60"/>
          <w:sz w:val="28"/>
          <w:szCs w:val="24"/>
          <w:lang w:val="es-ES_tradnl" w:eastAsia="es-ES"/>
        </w:rPr>
      </w:pPr>
      <w:r w:rsidRPr="00895C52">
        <w:rPr>
          <w:rFonts w:ascii="Palatino Linotype" w:eastAsia="Times New Roman" w:hAnsi="Palatino Linotype" w:cs="Times New Roman"/>
          <w:b/>
          <w:bCs/>
          <w:spacing w:val="60"/>
          <w:sz w:val="28"/>
          <w:szCs w:val="24"/>
          <w:lang w:val="es-ES_tradnl" w:eastAsia="es-ES"/>
        </w:rPr>
        <w:t>SE    RESUELVE</w:t>
      </w:r>
    </w:p>
    <w:p w14:paraId="59D6195D" w14:textId="77777777" w:rsidR="00E804D1" w:rsidRPr="00895C52" w:rsidRDefault="00E804D1" w:rsidP="00E804D1">
      <w:pPr>
        <w:spacing w:after="0" w:line="360" w:lineRule="auto"/>
        <w:jc w:val="center"/>
        <w:rPr>
          <w:rFonts w:ascii="Palatino Linotype" w:eastAsia="Times New Roman" w:hAnsi="Palatino Linotype" w:cs="Times New Roman"/>
          <w:bCs/>
          <w:spacing w:val="60"/>
          <w:sz w:val="24"/>
          <w:szCs w:val="24"/>
          <w:lang w:val="es-ES_tradnl" w:eastAsia="es-ES"/>
        </w:rPr>
      </w:pPr>
    </w:p>
    <w:p w14:paraId="0597F45B" w14:textId="08FEED94" w:rsidR="00E804D1" w:rsidRDefault="00E804D1" w:rsidP="00E804D1">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PRIMERO.</w:t>
      </w:r>
      <w:r w:rsidRPr="00895C52">
        <w:rPr>
          <w:rFonts w:ascii="Palatino Linotype" w:eastAsiaTheme="minorEastAsia" w:hAnsi="Palatino Linotype" w:cs="Arial"/>
          <w:sz w:val="24"/>
          <w:szCs w:val="24"/>
          <w:lang w:val="es-ES_tradnl" w:eastAsia="es-ES"/>
        </w:rPr>
        <w:t xml:space="preserve"> </w:t>
      </w:r>
      <w:r w:rsidRPr="00C40C29">
        <w:rPr>
          <w:rFonts w:ascii="Palatino Linotype" w:eastAsiaTheme="minorEastAsia" w:hAnsi="Palatino Linotype" w:cs="Arial"/>
          <w:sz w:val="24"/>
          <w:szCs w:val="24"/>
          <w:lang w:val="es-ES_tradnl" w:eastAsia="es-ES"/>
        </w:rPr>
        <w:t xml:space="preserve">Se </w:t>
      </w:r>
      <w:r w:rsidRPr="00C40C29">
        <w:rPr>
          <w:rFonts w:ascii="Palatino Linotype" w:eastAsiaTheme="minorEastAsia" w:hAnsi="Palatino Linotype" w:cs="Arial"/>
          <w:b/>
          <w:sz w:val="24"/>
          <w:szCs w:val="24"/>
          <w:lang w:val="es-ES_tradnl" w:eastAsia="es-ES"/>
        </w:rPr>
        <w:t>SOBRESEE</w:t>
      </w:r>
      <w:r w:rsidRPr="00C40C29">
        <w:rPr>
          <w:rFonts w:ascii="Palatino Linotype" w:eastAsiaTheme="minorEastAsia" w:hAnsi="Palatino Linotype" w:cs="Arial"/>
          <w:sz w:val="24"/>
          <w:szCs w:val="24"/>
          <w:lang w:val="es-ES_tradnl" w:eastAsia="es-ES"/>
        </w:rPr>
        <w:t xml:space="preserve"> el recurso de revisión número </w:t>
      </w:r>
      <w:r>
        <w:rPr>
          <w:rFonts w:ascii="Palatino Linotype" w:hAnsi="Palatino Linotype" w:cs="Arial"/>
          <w:b/>
          <w:sz w:val="24"/>
          <w:szCs w:val="24"/>
        </w:rPr>
        <w:t>14400/INFOEM/IP/RR/2022</w:t>
      </w:r>
      <w:r w:rsidRPr="00C40C29">
        <w:rPr>
          <w:rFonts w:ascii="Palatino Linotype" w:eastAsiaTheme="minorEastAsia" w:hAnsi="Palatino Linotype" w:cs="Arial"/>
          <w:sz w:val="24"/>
          <w:szCs w:val="24"/>
          <w:lang w:val="es-ES_tradnl" w:eastAsia="es-ES"/>
        </w:rPr>
        <w:t>, por</w:t>
      </w:r>
      <w:r>
        <w:rPr>
          <w:rFonts w:ascii="Palatino Linotype" w:eastAsiaTheme="minorEastAsia" w:hAnsi="Palatino Linotype" w:cs="Arial"/>
          <w:sz w:val="24"/>
          <w:szCs w:val="24"/>
          <w:lang w:val="es-ES_tradnl" w:eastAsia="es-ES"/>
        </w:rPr>
        <w:t xml:space="preserve">que </w:t>
      </w:r>
      <w:r w:rsidRPr="00DB139B">
        <w:rPr>
          <w:rFonts w:ascii="Palatino Linotype" w:eastAsiaTheme="minorEastAsia" w:hAnsi="Palatino Linotype" w:cs="Arial"/>
          <w:b/>
          <w:bCs/>
          <w:sz w:val="24"/>
          <w:szCs w:val="24"/>
          <w:lang w:val="es-ES_tradnl" w:eastAsia="es-ES"/>
        </w:rPr>
        <w:t>EL SUJETO OBLIGADO</w:t>
      </w:r>
      <w:r>
        <w:rPr>
          <w:rFonts w:ascii="Palatino Linotype" w:eastAsiaTheme="minorEastAsia" w:hAnsi="Palatino Linotype" w:cs="Arial"/>
          <w:sz w:val="24"/>
          <w:szCs w:val="24"/>
          <w:lang w:val="es-ES_tradnl" w:eastAsia="es-ES"/>
        </w:rPr>
        <w:t xml:space="preserve"> al modificar su respuesta, el recurso de revisión quedó </w:t>
      </w:r>
      <w:r w:rsidRPr="00C40C29">
        <w:rPr>
          <w:rFonts w:ascii="Palatino Linotype" w:eastAsiaTheme="minorEastAsia" w:hAnsi="Palatino Linotype" w:cs="Arial"/>
          <w:sz w:val="24"/>
          <w:szCs w:val="24"/>
          <w:lang w:val="es-ES_tradnl" w:eastAsia="es-ES"/>
        </w:rPr>
        <w:t>sin materia</w:t>
      </w:r>
      <w:r>
        <w:rPr>
          <w:rFonts w:ascii="Palatino Linotype" w:eastAsiaTheme="minorEastAsia" w:hAnsi="Palatino Linotype" w:cs="Arial"/>
          <w:sz w:val="24"/>
          <w:szCs w:val="24"/>
          <w:lang w:val="es-ES_tradnl" w:eastAsia="es-ES"/>
        </w:rPr>
        <w:t xml:space="preserve">, en términos del </w:t>
      </w:r>
      <w:r w:rsidRPr="00C40C29">
        <w:rPr>
          <w:rFonts w:ascii="Palatino Linotype" w:eastAsiaTheme="minorEastAsia" w:hAnsi="Palatino Linotype" w:cs="Arial"/>
          <w:sz w:val="24"/>
          <w:szCs w:val="24"/>
          <w:lang w:val="es-ES_tradnl" w:eastAsia="es-ES"/>
        </w:rPr>
        <w:t xml:space="preserve">artículo 192 fracción III de la Ley de Transparencia y Acceso a la Información Pública del Estado </w:t>
      </w:r>
      <w:r w:rsidRPr="00C40C29">
        <w:rPr>
          <w:rFonts w:ascii="Palatino Linotype" w:eastAsiaTheme="minorEastAsia" w:hAnsi="Palatino Linotype" w:cs="Arial"/>
          <w:sz w:val="24"/>
          <w:szCs w:val="24"/>
          <w:lang w:val="es-ES_tradnl" w:eastAsia="es-ES"/>
        </w:rPr>
        <w:lastRenderedPageBreak/>
        <w:t xml:space="preserve">de México y Municipios, en términos del Considerando </w:t>
      </w:r>
      <w:r w:rsidR="00A367FA">
        <w:rPr>
          <w:rFonts w:ascii="Palatino Linotype" w:eastAsiaTheme="minorEastAsia" w:hAnsi="Palatino Linotype" w:cs="Arial"/>
          <w:b/>
          <w:sz w:val="24"/>
          <w:szCs w:val="24"/>
          <w:lang w:val="es-ES_tradnl" w:eastAsia="es-ES"/>
        </w:rPr>
        <w:t>TERCERO</w:t>
      </w:r>
      <w:r w:rsidRPr="00C40C29">
        <w:rPr>
          <w:rFonts w:ascii="Palatino Linotype" w:eastAsiaTheme="minorEastAsia" w:hAnsi="Palatino Linotype" w:cs="Arial"/>
          <w:sz w:val="24"/>
          <w:szCs w:val="24"/>
          <w:lang w:val="es-ES_tradnl" w:eastAsia="es-ES"/>
        </w:rPr>
        <w:t xml:space="preserve"> de la presente resolución.</w:t>
      </w:r>
    </w:p>
    <w:p w14:paraId="31860C4B" w14:textId="77777777" w:rsidR="00E804D1" w:rsidRPr="00895C52" w:rsidRDefault="00E804D1" w:rsidP="00E804D1">
      <w:pPr>
        <w:tabs>
          <w:tab w:val="left" w:pos="8647"/>
        </w:tabs>
        <w:spacing w:after="0" w:line="360" w:lineRule="auto"/>
        <w:ind w:right="51"/>
        <w:jc w:val="both"/>
        <w:rPr>
          <w:rFonts w:ascii="Palatino Linotype" w:eastAsiaTheme="minorEastAsia" w:hAnsi="Palatino Linotype" w:cs="Arial"/>
          <w:sz w:val="24"/>
          <w:szCs w:val="24"/>
          <w:lang w:eastAsia="es-ES"/>
        </w:rPr>
      </w:pPr>
    </w:p>
    <w:p w14:paraId="7E926CCA" w14:textId="77777777" w:rsidR="00E804D1" w:rsidRDefault="00E804D1" w:rsidP="00E804D1">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SEGUNDO</w:t>
      </w:r>
      <w:r w:rsidRPr="00895C52">
        <w:rPr>
          <w:rFonts w:ascii="Palatino Linotype" w:eastAsiaTheme="minorEastAsia" w:hAnsi="Palatino Linotype" w:cs="Arial"/>
          <w:b/>
          <w:sz w:val="24"/>
          <w:szCs w:val="24"/>
          <w:lang w:val="es-ES_tradnl" w:eastAsia="es-ES"/>
        </w:rPr>
        <w:t>.</w:t>
      </w:r>
      <w:r w:rsidRPr="00895C52">
        <w:rPr>
          <w:rFonts w:ascii="Palatino Linotype" w:eastAsiaTheme="minorEastAsia" w:hAnsi="Palatino Linotype" w:cs="Arial"/>
          <w:sz w:val="24"/>
          <w:szCs w:val="24"/>
          <w:lang w:val="es-ES_tradnl" w:eastAsia="es-ES"/>
        </w:rPr>
        <w:t xml:space="preserve"> </w:t>
      </w:r>
      <w:r w:rsidRPr="00895C52">
        <w:rPr>
          <w:rFonts w:ascii="Palatino Linotype" w:eastAsiaTheme="minorEastAsia" w:hAnsi="Palatino Linotype" w:cs="Arial"/>
          <w:b/>
          <w:sz w:val="24"/>
          <w:szCs w:val="24"/>
          <w:lang w:val="es-ES_tradnl" w:eastAsia="es-ES"/>
        </w:rPr>
        <w:t>NOTIFÍQUESE</w:t>
      </w:r>
      <w:r w:rsidRPr="00895C52">
        <w:rPr>
          <w:rFonts w:ascii="Palatino Linotype" w:eastAsiaTheme="minorEastAsia" w:hAnsi="Palatino Linotype" w:cs="Arial"/>
          <w:sz w:val="24"/>
          <w:szCs w:val="24"/>
          <w:lang w:val="es-ES_tradnl" w:eastAsia="es-ES"/>
        </w:rPr>
        <w:t xml:space="preserve"> vía </w:t>
      </w:r>
      <w:r w:rsidRPr="00895C52">
        <w:rPr>
          <w:rFonts w:ascii="Palatino Linotype" w:eastAsia="Times New Roman" w:hAnsi="Palatino Linotype" w:cs="Times New Roman"/>
          <w:sz w:val="24"/>
          <w:szCs w:val="24"/>
          <w:lang w:val="es-ES" w:eastAsia="es-ES"/>
        </w:rPr>
        <w:t>Sistema de Acceso a la Información Mexiquense</w:t>
      </w:r>
      <w:r w:rsidRPr="00DB139B">
        <w:rPr>
          <w:rFonts w:ascii="Palatino Linotype" w:eastAsiaTheme="minorEastAsia" w:hAnsi="Palatino Linotype" w:cs="Arial"/>
          <w:b/>
          <w:bCs/>
          <w:sz w:val="24"/>
          <w:szCs w:val="24"/>
          <w:lang w:val="es-ES_tradnl" w:eastAsia="es-ES"/>
        </w:rPr>
        <w:t xml:space="preserve"> </w:t>
      </w:r>
      <w:r>
        <w:rPr>
          <w:rFonts w:ascii="Palatino Linotype" w:eastAsiaTheme="minorEastAsia" w:hAnsi="Palatino Linotype" w:cs="Arial"/>
          <w:b/>
          <w:bCs/>
          <w:sz w:val="24"/>
          <w:szCs w:val="24"/>
          <w:lang w:val="es-ES_tradnl" w:eastAsia="es-ES"/>
        </w:rPr>
        <w:t>(</w:t>
      </w:r>
      <w:r w:rsidRPr="00DB139B">
        <w:rPr>
          <w:rFonts w:ascii="Palatino Linotype" w:eastAsiaTheme="minorEastAsia" w:hAnsi="Palatino Linotype" w:cs="Arial"/>
          <w:b/>
          <w:bCs/>
          <w:sz w:val="24"/>
          <w:szCs w:val="24"/>
          <w:lang w:val="es-ES_tradnl" w:eastAsia="es-ES"/>
        </w:rPr>
        <w:t>SAIMEX</w:t>
      </w:r>
      <w:r>
        <w:rPr>
          <w:rFonts w:ascii="Palatino Linotype" w:eastAsiaTheme="minorEastAsia" w:hAnsi="Palatino Linotype" w:cs="Arial"/>
          <w:b/>
          <w:bCs/>
          <w:sz w:val="24"/>
          <w:szCs w:val="24"/>
          <w:lang w:val="es-ES_tradnl" w:eastAsia="es-ES"/>
        </w:rPr>
        <w:t>)</w:t>
      </w:r>
      <w:r w:rsidRPr="00895C52">
        <w:rPr>
          <w:rFonts w:ascii="Palatino Linotype" w:eastAsiaTheme="minorEastAsia" w:hAnsi="Palatino Linotype" w:cs="Arial"/>
          <w:sz w:val="24"/>
          <w:szCs w:val="24"/>
          <w:lang w:val="es-ES_tradnl" w:eastAsia="es-ES"/>
        </w:rPr>
        <w:t xml:space="preserve"> la presente resolución al Titular de la Unidad de Transparencia del </w:t>
      </w:r>
      <w:r w:rsidRPr="00895C52">
        <w:rPr>
          <w:rFonts w:ascii="Palatino Linotype" w:eastAsiaTheme="minorEastAsia" w:hAnsi="Palatino Linotype" w:cs="Arial"/>
          <w:b/>
          <w:sz w:val="24"/>
          <w:szCs w:val="24"/>
          <w:lang w:val="es-ES_tradnl" w:eastAsia="es-ES"/>
        </w:rPr>
        <w:t>Sujeto Obligado</w:t>
      </w:r>
      <w:r w:rsidRPr="00895C52">
        <w:rPr>
          <w:rFonts w:ascii="Palatino Linotype" w:eastAsiaTheme="minorEastAsia" w:hAnsi="Palatino Linotype" w:cs="Arial"/>
          <w:sz w:val="24"/>
          <w:szCs w:val="24"/>
          <w:lang w:val="es-ES_tradnl" w:eastAsia="es-ES"/>
        </w:rPr>
        <w:t>.</w:t>
      </w:r>
    </w:p>
    <w:p w14:paraId="52646F87" w14:textId="77777777" w:rsidR="00E804D1" w:rsidRPr="00895C52" w:rsidRDefault="00E804D1" w:rsidP="00E804D1">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7217687B" w14:textId="77777777" w:rsidR="00E804D1" w:rsidRPr="00895C52" w:rsidRDefault="00E804D1" w:rsidP="00E804D1">
      <w:pPr>
        <w:spacing w:after="0" w:line="360" w:lineRule="auto"/>
        <w:jc w:val="both"/>
        <w:rPr>
          <w:rFonts w:ascii="Palatino Linotype" w:eastAsia="Times New Roman" w:hAnsi="Palatino Linotype" w:cs="Arial"/>
          <w:sz w:val="24"/>
          <w:szCs w:val="24"/>
          <w:lang w:val="es-ES" w:eastAsia="es-ES"/>
        </w:rPr>
      </w:pPr>
      <w:r w:rsidRPr="00895C52">
        <w:rPr>
          <w:rFonts w:ascii="Palatino Linotype" w:eastAsia="Times New Roman" w:hAnsi="Palatino Linotype" w:cs="Arial"/>
          <w:b/>
          <w:sz w:val="28"/>
          <w:szCs w:val="24"/>
          <w:lang w:val="es-ES" w:eastAsia="es-ES"/>
        </w:rPr>
        <w:t>TERCERO</w:t>
      </w:r>
      <w:r w:rsidRPr="00895C52">
        <w:rPr>
          <w:rFonts w:ascii="Palatino Linotype" w:eastAsia="Times New Roman" w:hAnsi="Palatino Linotype" w:cs="Arial"/>
          <w:b/>
          <w:sz w:val="24"/>
          <w:szCs w:val="24"/>
          <w:lang w:val="es-ES" w:eastAsia="es-ES"/>
        </w:rPr>
        <w:t>.</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NOTIFÍQUESE</w:t>
      </w:r>
      <w:r w:rsidRPr="00895C52">
        <w:rPr>
          <w:rFonts w:ascii="Palatino Linotype" w:eastAsia="Times New Roman" w:hAnsi="Palatino Linotype" w:cs="Arial"/>
          <w:sz w:val="24"/>
          <w:szCs w:val="24"/>
          <w:lang w:val="es-ES" w:eastAsia="es-ES"/>
        </w:rPr>
        <w:t xml:space="preserve"> a través del</w:t>
      </w:r>
      <w:r w:rsidRPr="00895C52">
        <w:rPr>
          <w:rFonts w:ascii="Palatino Linotype" w:eastAsia="Times New Roman" w:hAnsi="Palatino Linotype" w:cs="Times New Roman"/>
          <w:sz w:val="24"/>
          <w:szCs w:val="24"/>
          <w:lang w:val="es-ES" w:eastAsia="es-ES"/>
        </w:rPr>
        <w:t xml:space="preserve"> Sistema de Acceso a la Información Mexiquense </w:t>
      </w:r>
      <w:r w:rsidRPr="00DB139B">
        <w:rPr>
          <w:rFonts w:ascii="Palatino Linotype" w:eastAsia="Times New Roman" w:hAnsi="Palatino Linotype" w:cs="Times New Roman"/>
          <w:b/>
          <w:bCs/>
          <w:sz w:val="24"/>
          <w:szCs w:val="24"/>
          <w:lang w:val="es-ES" w:eastAsia="es-ES"/>
        </w:rPr>
        <w:t>(SAIMEX)</w:t>
      </w:r>
      <w:r w:rsidRPr="00DB139B">
        <w:rPr>
          <w:rFonts w:ascii="Palatino Linotype" w:eastAsia="Times New Roman" w:hAnsi="Palatino Linotype" w:cs="Arial"/>
          <w:b/>
          <w:bCs/>
          <w:sz w:val="24"/>
          <w:szCs w:val="24"/>
          <w:lang w:val="es-ES" w:eastAsia="es-ES"/>
        </w:rPr>
        <w:t>,</w:t>
      </w:r>
      <w:r w:rsidRPr="00895C52">
        <w:rPr>
          <w:rFonts w:ascii="Palatino Linotype" w:eastAsia="Times New Roman" w:hAnsi="Palatino Linotype" w:cs="Arial"/>
          <w:sz w:val="24"/>
          <w:szCs w:val="24"/>
          <w:lang w:val="es-ES" w:eastAsia="es-ES"/>
        </w:rPr>
        <w:t xml:space="preserve"> al </w:t>
      </w:r>
      <w:r w:rsidRPr="00895C52">
        <w:rPr>
          <w:rFonts w:ascii="Palatino Linotype" w:eastAsia="Times New Roman" w:hAnsi="Palatino Linotype" w:cs="Arial"/>
          <w:b/>
          <w:sz w:val="24"/>
          <w:szCs w:val="24"/>
          <w:lang w:val="es-ES" w:eastAsia="es-ES"/>
        </w:rPr>
        <w:t xml:space="preserve">RECURRENTE </w:t>
      </w:r>
      <w:r w:rsidRPr="00895C52">
        <w:rPr>
          <w:rFonts w:ascii="Palatino Linotype" w:eastAsia="Times New Roman" w:hAnsi="Palatino Linotype" w:cs="Arial"/>
          <w:sz w:val="24"/>
          <w:szCs w:val="24"/>
          <w:lang w:val="es-ES" w:eastAsia="es-ES"/>
        </w:rPr>
        <w:t>la presente resolución y hágase del conocimiento que en caso de que considere que la presente resolución le causa algún perjuicio, podrá promover el Juicio de Amparo en los términos de las leyes aplicables, de acuerdo con lo estipulado por el artículo 196 de la Ley de Transparencia y Acceso a la Información Pública del Estado de México y Municipios.</w:t>
      </w:r>
    </w:p>
    <w:p w14:paraId="360D3115" w14:textId="77777777" w:rsidR="00704A54" w:rsidRDefault="00704A54" w:rsidP="002432EB">
      <w:pPr>
        <w:tabs>
          <w:tab w:val="left" w:pos="1284"/>
        </w:tabs>
        <w:spacing w:line="360" w:lineRule="auto"/>
        <w:jc w:val="both"/>
        <w:rPr>
          <w:rFonts w:ascii="Palatino Linotype" w:hAnsi="Palatino Linotype" w:cs="Arial"/>
          <w:sz w:val="24"/>
          <w:szCs w:val="24"/>
        </w:rPr>
      </w:pPr>
    </w:p>
    <w:p w14:paraId="6E1417E4" w14:textId="395C0CA2" w:rsidR="00D52109" w:rsidRPr="00917744" w:rsidRDefault="00D52109" w:rsidP="00D52109">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917744">
        <w:rPr>
          <w:rFonts w:ascii="Palatino Linotype" w:hAnsi="Palatino Linotype" w:cs="Arial"/>
          <w:sz w:val="23"/>
          <w:szCs w:val="23"/>
        </w:rPr>
        <w:t>ASÍ LO ACORDÓ, POR UNANIMIDAD DE VOTOS, EL PLENO DEL</w:t>
      </w:r>
      <w:r w:rsidRPr="00917744">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917744">
        <w:rPr>
          <w:rFonts w:ascii="Palatino Linotype" w:hAnsi="Palatino Linotype" w:cs="Arial"/>
          <w:sz w:val="23"/>
          <w:szCs w:val="23"/>
        </w:rPr>
        <w:t xml:space="preserve">, CONFORMADO POR LOS COMISIONADOS JOSÉ MARTÍNEZ VILCHIS, MARÍA DEL ROSARIO MEJÍA AYALA, SHARON CRISTINA MORALES MARTÍNEZ, LUIS GUSTAVO PARRA NORIEGA Y GUADALUPE RAMÍREZ PEÑA; EN LA </w:t>
      </w:r>
      <w:r w:rsidR="00A367FA">
        <w:rPr>
          <w:rFonts w:ascii="Palatino Linotype" w:hAnsi="Palatino Linotype" w:cs="Arial"/>
          <w:sz w:val="23"/>
          <w:szCs w:val="23"/>
        </w:rPr>
        <w:t xml:space="preserve">PRIMERA </w:t>
      </w:r>
      <w:r>
        <w:rPr>
          <w:rFonts w:ascii="Palatino Linotype" w:hAnsi="Palatino Linotype" w:cs="Arial"/>
          <w:sz w:val="23"/>
          <w:szCs w:val="23"/>
        </w:rPr>
        <w:t xml:space="preserve">SESIÓN ORDINARIA CELEBRADA EL </w:t>
      </w:r>
      <w:r w:rsidR="00A367FA">
        <w:rPr>
          <w:rFonts w:ascii="Palatino Linotype" w:hAnsi="Palatino Linotype" w:cs="Arial"/>
          <w:sz w:val="23"/>
          <w:szCs w:val="23"/>
        </w:rPr>
        <w:t>ONCE DE ENERO DE DOS MIL VEINTITRÉS</w:t>
      </w:r>
      <w:r>
        <w:rPr>
          <w:rFonts w:ascii="Palatino Linotype" w:hAnsi="Palatino Linotype" w:cs="Arial"/>
          <w:sz w:val="23"/>
          <w:szCs w:val="23"/>
        </w:rPr>
        <w:t xml:space="preserve">, </w:t>
      </w:r>
      <w:r w:rsidRPr="00917744">
        <w:rPr>
          <w:rFonts w:ascii="Palatino Linotype" w:hAnsi="Palatino Linotype" w:cs="Arial"/>
          <w:sz w:val="23"/>
          <w:szCs w:val="23"/>
        </w:rPr>
        <w:t xml:space="preserve">ANTE </w:t>
      </w:r>
      <w:r w:rsidR="009A35CD" w:rsidRPr="00917744">
        <w:rPr>
          <w:rFonts w:ascii="Palatino Linotype" w:hAnsi="Palatino Linotype" w:cs="Arial"/>
          <w:sz w:val="23"/>
          <w:szCs w:val="23"/>
        </w:rPr>
        <w:t>EL SECRETARIO</w:t>
      </w:r>
      <w:r w:rsidRPr="00917744">
        <w:rPr>
          <w:rFonts w:ascii="Palatino Linotype" w:hAnsi="Palatino Linotype" w:cs="Arial"/>
          <w:sz w:val="23"/>
          <w:szCs w:val="23"/>
        </w:rPr>
        <w:t xml:space="preserve"> TÉCNICO DEL PLENO, ALEXIS TAPIA RAMÍREZ. </w:t>
      </w:r>
    </w:p>
    <w:p w14:paraId="2BE94CBB" w14:textId="43655052" w:rsidR="002D64A8" w:rsidRDefault="00D52109" w:rsidP="00D52109">
      <w:pPr>
        <w:spacing w:after="0" w:line="360" w:lineRule="auto"/>
        <w:jc w:val="both"/>
        <w:rPr>
          <w:rFonts w:ascii="Palatino Linotype" w:eastAsia="Times New Roman" w:hAnsi="Palatino Linotype" w:cs="Times New Roman"/>
          <w:sz w:val="24"/>
          <w:szCs w:val="24"/>
          <w:lang w:eastAsia="es-ES"/>
        </w:rPr>
      </w:pPr>
      <w:r>
        <w:rPr>
          <w:rFonts w:ascii="Palatino Linotype" w:hAnsi="Palatino Linotype"/>
          <w:bCs/>
          <w:sz w:val="18"/>
          <w:szCs w:val="18"/>
        </w:rPr>
        <w:t>CCR/J</w:t>
      </w:r>
      <w:r w:rsidRPr="00280B8B">
        <w:rPr>
          <w:rFonts w:ascii="Palatino Linotype" w:hAnsi="Palatino Linotype"/>
          <w:bCs/>
          <w:sz w:val="18"/>
          <w:szCs w:val="18"/>
        </w:rPr>
        <w:t>CMA</w:t>
      </w:r>
    </w:p>
    <w:p w14:paraId="24CC2DE2" w14:textId="1B944ED4" w:rsidR="002D64A8" w:rsidRDefault="002D64A8" w:rsidP="002D64A8">
      <w:pPr>
        <w:spacing w:after="0" w:line="360" w:lineRule="auto"/>
        <w:jc w:val="both"/>
        <w:rPr>
          <w:rFonts w:ascii="Palatino Linotype" w:eastAsia="Times New Roman" w:hAnsi="Palatino Linotype" w:cs="Times New Roman"/>
          <w:sz w:val="24"/>
          <w:szCs w:val="24"/>
          <w:lang w:eastAsia="es-ES"/>
        </w:rPr>
      </w:pPr>
    </w:p>
    <w:p w14:paraId="5314333F" w14:textId="77777777" w:rsidR="00FE4640" w:rsidRDefault="00FE4640" w:rsidP="002D64A8">
      <w:pPr>
        <w:spacing w:after="0" w:line="360" w:lineRule="auto"/>
        <w:jc w:val="both"/>
        <w:rPr>
          <w:rFonts w:ascii="Palatino Linotype" w:eastAsia="Times New Roman" w:hAnsi="Palatino Linotype" w:cs="Times New Roman"/>
          <w:sz w:val="24"/>
          <w:szCs w:val="24"/>
          <w:lang w:eastAsia="es-ES"/>
        </w:rPr>
      </w:pPr>
    </w:p>
    <w:p w14:paraId="359C9162" w14:textId="77777777" w:rsidR="002D64A8" w:rsidRDefault="002D64A8" w:rsidP="002D64A8">
      <w:pPr>
        <w:spacing w:line="360" w:lineRule="auto"/>
        <w:jc w:val="both"/>
        <w:rPr>
          <w:rFonts w:ascii="Palatino Linotype" w:hAnsi="Palatino Linotype" w:cs="Arial"/>
          <w:b/>
          <w:color w:val="000000"/>
        </w:rPr>
      </w:pPr>
    </w:p>
    <w:p w14:paraId="5655C863" w14:textId="77777777" w:rsidR="0066456D" w:rsidRDefault="0066456D" w:rsidP="002D64A8">
      <w:pPr>
        <w:spacing w:line="360" w:lineRule="auto"/>
        <w:jc w:val="both"/>
        <w:rPr>
          <w:rFonts w:ascii="Palatino Linotype" w:hAnsi="Palatino Linotype" w:cs="Arial"/>
          <w:b/>
          <w:color w:val="000000"/>
        </w:rPr>
      </w:pPr>
    </w:p>
    <w:p w14:paraId="33F55914" w14:textId="77777777" w:rsidR="0066456D" w:rsidRDefault="0066456D" w:rsidP="002D64A8">
      <w:pPr>
        <w:spacing w:line="360" w:lineRule="auto"/>
        <w:jc w:val="both"/>
        <w:rPr>
          <w:rFonts w:ascii="Palatino Linotype" w:hAnsi="Palatino Linotype" w:cs="Arial"/>
          <w:b/>
          <w:color w:val="000000"/>
        </w:rPr>
      </w:pPr>
    </w:p>
    <w:p w14:paraId="6667294F" w14:textId="77777777" w:rsidR="0066456D" w:rsidRDefault="0066456D" w:rsidP="002D64A8">
      <w:pPr>
        <w:spacing w:line="360" w:lineRule="auto"/>
        <w:jc w:val="both"/>
        <w:rPr>
          <w:rFonts w:ascii="Palatino Linotype" w:hAnsi="Palatino Linotype" w:cs="Arial"/>
          <w:b/>
          <w:color w:val="000000"/>
        </w:rPr>
      </w:pPr>
    </w:p>
    <w:p w14:paraId="1EA89BC2" w14:textId="77777777" w:rsidR="0066456D" w:rsidRDefault="0066456D" w:rsidP="002D64A8">
      <w:pPr>
        <w:spacing w:line="360" w:lineRule="auto"/>
        <w:jc w:val="both"/>
        <w:rPr>
          <w:rFonts w:ascii="Palatino Linotype" w:hAnsi="Palatino Linotype" w:cs="Arial"/>
          <w:b/>
          <w:color w:val="000000"/>
        </w:rPr>
      </w:pPr>
    </w:p>
    <w:p w14:paraId="456C3612" w14:textId="77777777" w:rsidR="0066456D" w:rsidRDefault="0066456D" w:rsidP="002D64A8">
      <w:pPr>
        <w:spacing w:line="360" w:lineRule="auto"/>
        <w:jc w:val="both"/>
        <w:rPr>
          <w:rFonts w:ascii="Palatino Linotype" w:hAnsi="Palatino Linotype" w:cs="Arial"/>
          <w:b/>
          <w:color w:val="000000"/>
        </w:rPr>
      </w:pPr>
    </w:p>
    <w:p w14:paraId="63632D26" w14:textId="77777777" w:rsidR="0066456D" w:rsidRDefault="0066456D" w:rsidP="002D64A8">
      <w:pPr>
        <w:spacing w:line="360" w:lineRule="auto"/>
        <w:jc w:val="both"/>
        <w:rPr>
          <w:rFonts w:ascii="Palatino Linotype" w:hAnsi="Palatino Linotype" w:cs="Arial"/>
          <w:b/>
          <w:color w:val="000000"/>
        </w:rPr>
      </w:pPr>
    </w:p>
    <w:p w14:paraId="6EC7F81F" w14:textId="77777777" w:rsidR="0066456D" w:rsidRDefault="0066456D" w:rsidP="002D64A8">
      <w:pPr>
        <w:spacing w:line="360" w:lineRule="auto"/>
        <w:jc w:val="both"/>
        <w:rPr>
          <w:rFonts w:ascii="Palatino Linotype" w:hAnsi="Palatino Linotype" w:cs="Arial"/>
          <w:b/>
          <w:color w:val="000000"/>
        </w:rPr>
      </w:pPr>
    </w:p>
    <w:p w14:paraId="0886BDFE" w14:textId="74F7EA77" w:rsidR="0066456D" w:rsidRDefault="0066456D" w:rsidP="002D64A8">
      <w:pPr>
        <w:spacing w:line="360" w:lineRule="auto"/>
        <w:jc w:val="both"/>
        <w:rPr>
          <w:rFonts w:ascii="Palatino Linotype" w:hAnsi="Palatino Linotype" w:cs="Arial"/>
          <w:b/>
          <w:color w:val="000000"/>
        </w:rPr>
      </w:pPr>
    </w:p>
    <w:p w14:paraId="65EAD987" w14:textId="7DA80B72" w:rsidR="00D52109" w:rsidRDefault="00D52109" w:rsidP="002D64A8">
      <w:pPr>
        <w:spacing w:line="360" w:lineRule="auto"/>
        <w:jc w:val="both"/>
        <w:rPr>
          <w:rFonts w:ascii="Palatino Linotype" w:hAnsi="Palatino Linotype" w:cs="Arial"/>
          <w:b/>
          <w:color w:val="000000"/>
        </w:rPr>
      </w:pPr>
    </w:p>
    <w:p w14:paraId="32CC1AD6" w14:textId="5B2E587C" w:rsidR="00D52109" w:rsidRDefault="00D52109" w:rsidP="002D64A8">
      <w:pPr>
        <w:spacing w:line="360" w:lineRule="auto"/>
        <w:jc w:val="both"/>
        <w:rPr>
          <w:rFonts w:ascii="Palatino Linotype" w:hAnsi="Palatino Linotype" w:cs="Arial"/>
          <w:b/>
          <w:color w:val="000000"/>
        </w:rPr>
      </w:pPr>
    </w:p>
    <w:p w14:paraId="1C057799" w14:textId="18C9E74D" w:rsidR="00D52109" w:rsidRDefault="00D52109" w:rsidP="002D64A8">
      <w:pPr>
        <w:spacing w:line="360" w:lineRule="auto"/>
        <w:jc w:val="both"/>
        <w:rPr>
          <w:rFonts w:ascii="Palatino Linotype" w:hAnsi="Palatino Linotype" w:cs="Arial"/>
          <w:b/>
          <w:color w:val="000000"/>
        </w:rPr>
      </w:pPr>
    </w:p>
    <w:p w14:paraId="14BB29BA" w14:textId="6B3C7340" w:rsidR="00D52109" w:rsidRDefault="00D52109" w:rsidP="002D64A8">
      <w:pPr>
        <w:spacing w:line="360" w:lineRule="auto"/>
        <w:jc w:val="both"/>
        <w:rPr>
          <w:rFonts w:ascii="Palatino Linotype" w:hAnsi="Palatino Linotype" w:cs="Arial"/>
          <w:b/>
          <w:color w:val="000000"/>
        </w:rPr>
      </w:pPr>
    </w:p>
    <w:p w14:paraId="091E3E50" w14:textId="68493171" w:rsidR="00D52109" w:rsidRDefault="00D52109" w:rsidP="002D64A8">
      <w:pPr>
        <w:spacing w:line="360" w:lineRule="auto"/>
        <w:jc w:val="both"/>
        <w:rPr>
          <w:rFonts w:ascii="Palatino Linotype" w:hAnsi="Palatino Linotype" w:cs="Arial"/>
          <w:b/>
          <w:color w:val="000000"/>
        </w:rPr>
      </w:pPr>
    </w:p>
    <w:p w14:paraId="5AFAA699" w14:textId="5CD620A9" w:rsidR="00D52109" w:rsidRDefault="00D52109" w:rsidP="002D64A8">
      <w:pPr>
        <w:spacing w:line="360" w:lineRule="auto"/>
        <w:jc w:val="both"/>
        <w:rPr>
          <w:rFonts w:ascii="Palatino Linotype" w:hAnsi="Palatino Linotype" w:cs="Arial"/>
          <w:b/>
          <w:color w:val="000000"/>
        </w:rPr>
      </w:pPr>
    </w:p>
    <w:p w14:paraId="1DAFCE82" w14:textId="7C922644" w:rsidR="00D52109" w:rsidRDefault="00D52109" w:rsidP="002D64A8">
      <w:pPr>
        <w:spacing w:line="360" w:lineRule="auto"/>
        <w:jc w:val="both"/>
        <w:rPr>
          <w:rFonts w:ascii="Palatino Linotype" w:hAnsi="Palatino Linotype" w:cs="Arial"/>
          <w:b/>
          <w:color w:val="000000"/>
        </w:rPr>
      </w:pPr>
    </w:p>
    <w:p w14:paraId="0DD30521" w14:textId="77777777" w:rsidR="00D52109" w:rsidRDefault="00D52109" w:rsidP="002D64A8">
      <w:pPr>
        <w:spacing w:line="360" w:lineRule="auto"/>
        <w:jc w:val="both"/>
        <w:rPr>
          <w:rFonts w:ascii="Palatino Linotype" w:hAnsi="Palatino Linotype" w:cs="Arial"/>
          <w:b/>
          <w:color w:val="000000"/>
        </w:rPr>
      </w:pPr>
    </w:p>
    <w:sectPr w:rsidR="00D52109"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5C2614" w14:textId="77777777" w:rsidR="00B541BD" w:rsidRDefault="00B541BD" w:rsidP="006168E4">
      <w:pPr>
        <w:spacing w:after="0" w:line="240" w:lineRule="auto"/>
      </w:pPr>
      <w:r>
        <w:separator/>
      </w:r>
    </w:p>
  </w:endnote>
  <w:endnote w:type="continuationSeparator" w:id="0">
    <w:p w14:paraId="7D89B946" w14:textId="77777777" w:rsidR="00B541BD" w:rsidRDefault="00B541B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2E2BC" w14:textId="114550F4" w:rsidR="00E80B0F" w:rsidRPr="000B69FA" w:rsidRDefault="00E80B0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25063">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25063">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5FBE9" w14:textId="35C0CD07" w:rsidR="00E80B0F" w:rsidRPr="000B69FA" w:rsidRDefault="00E80B0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2506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25063">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DF7AC9" w14:textId="77777777" w:rsidR="00B541BD" w:rsidRDefault="00B541BD" w:rsidP="006168E4">
      <w:pPr>
        <w:spacing w:after="0" w:line="240" w:lineRule="auto"/>
      </w:pPr>
      <w:r>
        <w:separator/>
      </w:r>
    </w:p>
  </w:footnote>
  <w:footnote w:type="continuationSeparator" w:id="0">
    <w:p w14:paraId="15D2B1BF" w14:textId="77777777" w:rsidR="00B541BD" w:rsidRDefault="00B541BD" w:rsidP="006168E4">
      <w:pPr>
        <w:spacing w:after="0" w:line="240" w:lineRule="auto"/>
      </w:pPr>
      <w:r>
        <w:continuationSeparator/>
      </w:r>
    </w:p>
  </w:footnote>
  <w:footnote w:id="1">
    <w:p w14:paraId="4072B24D" w14:textId="77777777" w:rsidR="00907C69" w:rsidRPr="00911081" w:rsidRDefault="00907C69" w:rsidP="00907C69">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B2F07BF" w14:textId="77777777" w:rsidR="00907C69" w:rsidRPr="00911081" w:rsidRDefault="00907C69" w:rsidP="00907C69">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88AE9" w14:textId="2523050D" w:rsidR="00E80B0F" w:rsidRDefault="00E80B0F">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80B0F" w14:paraId="46A8AAF9" w14:textId="77777777" w:rsidTr="00FE7729">
      <w:trPr>
        <w:trHeight w:val="227"/>
      </w:trPr>
      <w:tc>
        <w:tcPr>
          <w:tcW w:w="5529" w:type="dxa"/>
          <w:hideMark/>
        </w:tcPr>
        <w:p w14:paraId="26B5EE34" w14:textId="3BF445B5" w:rsidR="00E80B0F" w:rsidRDefault="00E80B0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7214D0FF" w:rsidR="00E80B0F" w:rsidRPr="00B4142F" w:rsidRDefault="00AB322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14400</w:t>
          </w:r>
          <w:r w:rsidR="00E80B0F">
            <w:rPr>
              <w:rFonts w:ascii="Palatino Linotype" w:hAnsi="Palatino Linotype" w:cs="Arial"/>
              <w:bCs/>
              <w:sz w:val="24"/>
              <w:lang w:eastAsia="es-MX"/>
            </w:rPr>
            <w:t>/INFOEM/IP/RR/2022</w:t>
          </w:r>
        </w:p>
      </w:tc>
    </w:tr>
    <w:tr w:rsidR="00E80B0F" w14:paraId="0E72512B" w14:textId="77777777" w:rsidTr="00FE7729">
      <w:trPr>
        <w:trHeight w:val="242"/>
      </w:trPr>
      <w:tc>
        <w:tcPr>
          <w:tcW w:w="5529" w:type="dxa"/>
          <w:hideMark/>
        </w:tcPr>
        <w:p w14:paraId="4FB3E0E8" w14:textId="77777777" w:rsidR="00E80B0F" w:rsidRDefault="00E80B0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7F31E04F" w:rsidR="00E80B0F" w:rsidRPr="00F06FED" w:rsidRDefault="00AB3221" w:rsidP="002F3269">
          <w:pPr>
            <w:spacing w:after="120" w:line="256" w:lineRule="auto"/>
            <w:ind w:left="639" w:right="214"/>
            <w:jc w:val="both"/>
            <w:rPr>
              <w:rFonts w:ascii="Palatino Linotype" w:hAnsi="Palatino Linotype" w:cs="Arial"/>
            </w:rPr>
          </w:pPr>
          <w:r>
            <w:rPr>
              <w:rFonts w:ascii="Palatino Linotype" w:hAnsi="Palatino Linotype" w:cs="Arial"/>
            </w:rPr>
            <w:t>Ayuntamiento de Huehuetoca</w:t>
          </w:r>
        </w:p>
      </w:tc>
    </w:tr>
    <w:tr w:rsidR="00E80B0F" w14:paraId="3365CD96" w14:textId="77777777" w:rsidTr="00FE7729">
      <w:trPr>
        <w:trHeight w:val="342"/>
      </w:trPr>
      <w:tc>
        <w:tcPr>
          <w:tcW w:w="5529" w:type="dxa"/>
          <w:hideMark/>
        </w:tcPr>
        <w:p w14:paraId="52A09A43" w14:textId="77777777" w:rsidR="00E80B0F" w:rsidRDefault="00E80B0F"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5E1329ED" w:rsidR="00E80B0F" w:rsidRDefault="00E80B0F"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638CC457" w14:textId="77777777" w:rsidR="00E80B0F" w:rsidRDefault="00E80B0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80B0F" w14:paraId="02D9F2E3" w14:textId="77777777" w:rsidTr="00FE7729">
      <w:trPr>
        <w:trHeight w:val="227"/>
      </w:trPr>
      <w:tc>
        <w:tcPr>
          <w:tcW w:w="5529" w:type="dxa"/>
          <w:hideMark/>
        </w:tcPr>
        <w:p w14:paraId="3EA02FD0" w14:textId="3139CF90" w:rsidR="00E80B0F" w:rsidRDefault="00E80B0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2E4D5B32" w:rsidR="00E80B0F" w:rsidRPr="00B4142F" w:rsidRDefault="001323F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14400</w:t>
          </w:r>
          <w:r w:rsidR="00E80B0F">
            <w:rPr>
              <w:rFonts w:ascii="Palatino Linotype" w:hAnsi="Palatino Linotype" w:cs="Arial"/>
              <w:bCs/>
              <w:sz w:val="24"/>
              <w:lang w:eastAsia="es-MX"/>
            </w:rPr>
            <w:t>/INFOEM/IP/RR/2022</w:t>
          </w:r>
        </w:p>
      </w:tc>
    </w:tr>
    <w:tr w:rsidR="00E80B0F" w14:paraId="5AC92493" w14:textId="77777777" w:rsidTr="00FE7729">
      <w:trPr>
        <w:trHeight w:val="196"/>
      </w:trPr>
      <w:tc>
        <w:tcPr>
          <w:tcW w:w="5529" w:type="dxa"/>
          <w:hideMark/>
        </w:tcPr>
        <w:p w14:paraId="7E479B7E" w14:textId="77777777" w:rsidR="00E80B0F" w:rsidRDefault="00E80B0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78513B7F" w:rsidR="00E80B0F" w:rsidRPr="00F06FED" w:rsidRDefault="00F25063" w:rsidP="00CC0C5F">
          <w:pPr>
            <w:spacing w:after="120" w:line="256" w:lineRule="auto"/>
            <w:ind w:left="639" w:right="214"/>
            <w:jc w:val="both"/>
            <w:rPr>
              <w:rFonts w:ascii="Palatino Linotype" w:hAnsi="Palatino Linotype" w:cs="Arial"/>
            </w:rPr>
          </w:pPr>
          <w:r>
            <w:rPr>
              <w:rFonts w:ascii="Palatino Linotype" w:hAnsi="Palatino Linotype" w:cs="Arial"/>
            </w:rPr>
            <w:t>XXXXXXXXXXXXXXXX</w:t>
          </w:r>
          <w:r w:rsidR="001323FD">
            <w:rPr>
              <w:rFonts w:ascii="Palatino Linotype" w:hAnsi="Palatino Linotype" w:cs="Arial"/>
            </w:rPr>
            <w:t xml:space="preserve"> </w:t>
          </w:r>
          <w:r w:rsidR="00E80B0F">
            <w:rPr>
              <w:rFonts w:ascii="Palatino Linotype" w:hAnsi="Palatino Linotype" w:cs="Arial"/>
            </w:rPr>
            <w:t xml:space="preserve">    </w:t>
          </w:r>
        </w:p>
      </w:tc>
    </w:tr>
    <w:tr w:rsidR="00E80B0F" w14:paraId="48DDE1B1" w14:textId="77777777" w:rsidTr="00FE7729">
      <w:trPr>
        <w:trHeight w:val="242"/>
      </w:trPr>
      <w:tc>
        <w:tcPr>
          <w:tcW w:w="5529" w:type="dxa"/>
          <w:hideMark/>
        </w:tcPr>
        <w:p w14:paraId="718D1409" w14:textId="77777777" w:rsidR="00E80B0F" w:rsidRDefault="00E80B0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0CD05AA6" w:rsidR="00E80B0F" w:rsidRDefault="001323FD" w:rsidP="002F3269">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Huehuetoca</w:t>
          </w:r>
        </w:p>
      </w:tc>
    </w:tr>
    <w:tr w:rsidR="00E80B0F" w14:paraId="2E924228" w14:textId="77777777" w:rsidTr="00FE7729">
      <w:trPr>
        <w:trHeight w:val="342"/>
      </w:trPr>
      <w:tc>
        <w:tcPr>
          <w:tcW w:w="5529" w:type="dxa"/>
          <w:hideMark/>
        </w:tcPr>
        <w:p w14:paraId="03281906" w14:textId="77777777" w:rsidR="00E80B0F" w:rsidRDefault="00E80B0F"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19B596ED" w:rsidR="00E80B0F" w:rsidRDefault="00E80B0F"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E80B0F" w:rsidRDefault="00E80B0F">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73BAA"/>
    <w:multiLevelType w:val="hybridMultilevel"/>
    <w:tmpl w:val="D7CAF8D8"/>
    <w:lvl w:ilvl="0" w:tplc="62BAE9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2B2A2EFC"/>
    <w:multiLevelType w:val="hybridMultilevel"/>
    <w:tmpl w:val="7138FBB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 w15:restartNumberingAfterBreak="0">
    <w:nsid w:val="308A6C6C"/>
    <w:multiLevelType w:val="hybridMultilevel"/>
    <w:tmpl w:val="820ED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E5554F1"/>
    <w:multiLevelType w:val="hybridMultilevel"/>
    <w:tmpl w:val="4754F7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217FE3"/>
    <w:multiLevelType w:val="hybridMultilevel"/>
    <w:tmpl w:val="D40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0"/>
  </w:num>
  <w:num w:numId="4">
    <w:abstractNumId w:val="6"/>
  </w:num>
  <w:num w:numId="5">
    <w:abstractNumId w:val="8"/>
  </w:num>
  <w:num w:numId="6">
    <w:abstractNumId w:val="1"/>
  </w:num>
  <w:num w:numId="7">
    <w:abstractNumId w:val="2"/>
  </w:num>
  <w:num w:numId="8">
    <w:abstractNumId w:val="4"/>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0A92"/>
    <w:rsid w:val="000114DC"/>
    <w:rsid w:val="00012201"/>
    <w:rsid w:val="00012220"/>
    <w:rsid w:val="000140E9"/>
    <w:rsid w:val="00014FD1"/>
    <w:rsid w:val="00015E0E"/>
    <w:rsid w:val="00022EAF"/>
    <w:rsid w:val="00022FF4"/>
    <w:rsid w:val="00023875"/>
    <w:rsid w:val="0002545B"/>
    <w:rsid w:val="000306A7"/>
    <w:rsid w:val="00030CC6"/>
    <w:rsid w:val="00031605"/>
    <w:rsid w:val="00032CE7"/>
    <w:rsid w:val="000335DF"/>
    <w:rsid w:val="0004190A"/>
    <w:rsid w:val="00041C77"/>
    <w:rsid w:val="000426E3"/>
    <w:rsid w:val="00043655"/>
    <w:rsid w:val="00044C07"/>
    <w:rsid w:val="00045379"/>
    <w:rsid w:val="00045B3C"/>
    <w:rsid w:val="0004682D"/>
    <w:rsid w:val="000478DA"/>
    <w:rsid w:val="00047EAF"/>
    <w:rsid w:val="000509CD"/>
    <w:rsid w:val="00055224"/>
    <w:rsid w:val="00061821"/>
    <w:rsid w:val="000623F9"/>
    <w:rsid w:val="00063A10"/>
    <w:rsid w:val="00063AE3"/>
    <w:rsid w:val="00063EEE"/>
    <w:rsid w:val="000662F8"/>
    <w:rsid w:val="00066B01"/>
    <w:rsid w:val="00067C47"/>
    <w:rsid w:val="00070192"/>
    <w:rsid w:val="00071571"/>
    <w:rsid w:val="0007356B"/>
    <w:rsid w:val="00073CC6"/>
    <w:rsid w:val="00073E78"/>
    <w:rsid w:val="00075123"/>
    <w:rsid w:val="00076441"/>
    <w:rsid w:val="00084221"/>
    <w:rsid w:val="000867E6"/>
    <w:rsid w:val="00087926"/>
    <w:rsid w:val="00090745"/>
    <w:rsid w:val="00091552"/>
    <w:rsid w:val="00091C3A"/>
    <w:rsid w:val="00092586"/>
    <w:rsid w:val="00094155"/>
    <w:rsid w:val="00094C05"/>
    <w:rsid w:val="000976F5"/>
    <w:rsid w:val="000A03E0"/>
    <w:rsid w:val="000A04D9"/>
    <w:rsid w:val="000A0C4B"/>
    <w:rsid w:val="000A33C2"/>
    <w:rsid w:val="000A3486"/>
    <w:rsid w:val="000A378C"/>
    <w:rsid w:val="000A4113"/>
    <w:rsid w:val="000A58EE"/>
    <w:rsid w:val="000A79DA"/>
    <w:rsid w:val="000B00AD"/>
    <w:rsid w:val="000B3E98"/>
    <w:rsid w:val="000B426F"/>
    <w:rsid w:val="000B4675"/>
    <w:rsid w:val="000B4B51"/>
    <w:rsid w:val="000B6D7D"/>
    <w:rsid w:val="000B7158"/>
    <w:rsid w:val="000C06C3"/>
    <w:rsid w:val="000C0F57"/>
    <w:rsid w:val="000C20B2"/>
    <w:rsid w:val="000C21D5"/>
    <w:rsid w:val="000C51A0"/>
    <w:rsid w:val="000C5300"/>
    <w:rsid w:val="000C5B8B"/>
    <w:rsid w:val="000C7AF0"/>
    <w:rsid w:val="000D1B34"/>
    <w:rsid w:val="000D1B55"/>
    <w:rsid w:val="000D391B"/>
    <w:rsid w:val="000D3C75"/>
    <w:rsid w:val="000D6422"/>
    <w:rsid w:val="000E0F23"/>
    <w:rsid w:val="000E2252"/>
    <w:rsid w:val="000E365E"/>
    <w:rsid w:val="000E686B"/>
    <w:rsid w:val="000F1FAB"/>
    <w:rsid w:val="000F3B9E"/>
    <w:rsid w:val="000F4793"/>
    <w:rsid w:val="001032F2"/>
    <w:rsid w:val="00105C41"/>
    <w:rsid w:val="00111DCD"/>
    <w:rsid w:val="00112E82"/>
    <w:rsid w:val="00114CF9"/>
    <w:rsid w:val="001154F7"/>
    <w:rsid w:val="00115F16"/>
    <w:rsid w:val="00121ED7"/>
    <w:rsid w:val="0012272A"/>
    <w:rsid w:val="00122859"/>
    <w:rsid w:val="0012484F"/>
    <w:rsid w:val="00124855"/>
    <w:rsid w:val="00125362"/>
    <w:rsid w:val="001254F5"/>
    <w:rsid w:val="001272B7"/>
    <w:rsid w:val="001323FD"/>
    <w:rsid w:val="00132413"/>
    <w:rsid w:val="00135828"/>
    <w:rsid w:val="00135EED"/>
    <w:rsid w:val="00136FAD"/>
    <w:rsid w:val="001448AF"/>
    <w:rsid w:val="001469C1"/>
    <w:rsid w:val="00146C08"/>
    <w:rsid w:val="00146F0A"/>
    <w:rsid w:val="00152C2B"/>
    <w:rsid w:val="00156EC9"/>
    <w:rsid w:val="001611CC"/>
    <w:rsid w:val="001612E6"/>
    <w:rsid w:val="00161D54"/>
    <w:rsid w:val="00162A4D"/>
    <w:rsid w:val="001649A0"/>
    <w:rsid w:val="001655B0"/>
    <w:rsid w:val="001678DF"/>
    <w:rsid w:val="00172C77"/>
    <w:rsid w:val="00172CEE"/>
    <w:rsid w:val="00173E45"/>
    <w:rsid w:val="00175897"/>
    <w:rsid w:val="001760E3"/>
    <w:rsid w:val="00180B9F"/>
    <w:rsid w:val="00181CC5"/>
    <w:rsid w:val="00182911"/>
    <w:rsid w:val="00183D72"/>
    <w:rsid w:val="00193784"/>
    <w:rsid w:val="0019396C"/>
    <w:rsid w:val="00193BA2"/>
    <w:rsid w:val="00193EF2"/>
    <w:rsid w:val="001957D7"/>
    <w:rsid w:val="001A02EC"/>
    <w:rsid w:val="001A1D9B"/>
    <w:rsid w:val="001A1FF5"/>
    <w:rsid w:val="001A2929"/>
    <w:rsid w:val="001A318E"/>
    <w:rsid w:val="001A3605"/>
    <w:rsid w:val="001A3CAB"/>
    <w:rsid w:val="001A4026"/>
    <w:rsid w:val="001A577E"/>
    <w:rsid w:val="001A7C9B"/>
    <w:rsid w:val="001B05B9"/>
    <w:rsid w:val="001B6B73"/>
    <w:rsid w:val="001B7B88"/>
    <w:rsid w:val="001C01B7"/>
    <w:rsid w:val="001C1363"/>
    <w:rsid w:val="001C241F"/>
    <w:rsid w:val="001C2D1E"/>
    <w:rsid w:val="001C3E7E"/>
    <w:rsid w:val="001C7319"/>
    <w:rsid w:val="001C7D87"/>
    <w:rsid w:val="001D181B"/>
    <w:rsid w:val="001D29B1"/>
    <w:rsid w:val="001D35B9"/>
    <w:rsid w:val="001D3DE9"/>
    <w:rsid w:val="001D3E87"/>
    <w:rsid w:val="001D3F08"/>
    <w:rsid w:val="001D4669"/>
    <w:rsid w:val="001D6523"/>
    <w:rsid w:val="001D6FD5"/>
    <w:rsid w:val="001D7575"/>
    <w:rsid w:val="001F3F3C"/>
    <w:rsid w:val="001F6457"/>
    <w:rsid w:val="00200064"/>
    <w:rsid w:val="00205E59"/>
    <w:rsid w:val="0021296D"/>
    <w:rsid w:val="00212CB5"/>
    <w:rsid w:val="002139C8"/>
    <w:rsid w:val="0021501E"/>
    <w:rsid w:val="00215A83"/>
    <w:rsid w:val="00216ABF"/>
    <w:rsid w:val="00217852"/>
    <w:rsid w:val="002205C0"/>
    <w:rsid w:val="00224246"/>
    <w:rsid w:val="00231D77"/>
    <w:rsid w:val="002324F1"/>
    <w:rsid w:val="0023373D"/>
    <w:rsid w:val="0023423C"/>
    <w:rsid w:val="002373F8"/>
    <w:rsid w:val="00242587"/>
    <w:rsid w:val="002432EB"/>
    <w:rsid w:val="0024638F"/>
    <w:rsid w:val="00246807"/>
    <w:rsid w:val="00247D10"/>
    <w:rsid w:val="00250470"/>
    <w:rsid w:val="00252985"/>
    <w:rsid w:val="0025592E"/>
    <w:rsid w:val="002577FE"/>
    <w:rsid w:val="00266E00"/>
    <w:rsid w:val="002674C9"/>
    <w:rsid w:val="00271EED"/>
    <w:rsid w:val="00273D0E"/>
    <w:rsid w:val="002756EE"/>
    <w:rsid w:val="002807C5"/>
    <w:rsid w:val="0028788A"/>
    <w:rsid w:val="0029367A"/>
    <w:rsid w:val="002942AD"/>
    <w:rsid w:val="00294B75"/>
    <w:rsid w:val="00297140"/>
    <w:rsid w:val="00297368"/>
    <w:rsid w:val="00297755"/>
    <w:rsid w:val="002A0104"/>
    <w:rsid w:val="002A0324"/>
    <w:rsid w:val="002A2034"/>
    <w:rsid w:val="002A24F4"/>
    <w:rsid w:val="002A38BF"/>
    <w:rsid w:val="002A597E"/>
    <w:rsid w:val="002B08DE"/>
    <w:rsid w:val="002B0D0F"/>
    <w:rsid w:val="002B1C1D"/>
    <w:rsid w:val="002B4BC1"/>
    <w:rsid w:val="002B5069"/>
    <w:rsid w:val="002B5DBD"/>
    <w:rsid w:val="002B65BE"/>
    <w:rsid w:val="002B70DD"/>
    <w:rsid w:val="002B75F0"/>
    <w:rsid w:val="002C0A40"/>
    <w:rsid w:val="002C51F7"/>
    <w:rsid w:val="002C72D2"/>
    <w:rsid w:val="002D02A6"/>
    <w:rsid w:val="002D29D7"/>
    <w:rsid w:val="002D64A8"/>
    <w:rsid w:val="002D662C"/>
    <w:rsid w:val="002E0A1A"/>
    <w:rsid w:val="002E2D7B"/>
    <w:rsid w:val="002E3488"/>
    <w:rsid w:val="002E5721"/>
    <w:rsid w:val="002E5E6A"/>
    <w:rsid w:val="002F0353"/>
    <w:rsid w:val="002F0D76"/>
    <w:rsid w:val="002F3269"/>
    <w:rsid w:val="002F37BE"/>
    <w:rsid w:val="002F5BA9"/>
    <w:rsid w:val="00300D0B"/>
    <w:rsid w:val="0030471E"/>
    <w:rsid w:val="003049C9"/>
    <w:rsid w:val="00306096"/>
    <w:rsid w:val="00306848"/>
    <w:rsid w:val="00310051"/>
    <w:rsid w:val="00311566"/>
    <w:rsid w:val="0031645D"/>
    <w:rsid w:val="00320A67"/>
    <w:rsid w:val="0032220E"/>
    <w:rsid w:val="00324DDA"/>
    <w:rsid w:val="00324EA2"/>
    <w:rsid w:val="003266DA"/>
    <w:rsid w:val="003272FB"/>
    <w:rsid w:val="00330F3C"/>
    <w:rsid w:val="003375A9"/>
    <w:rsid w:val="00341558"/>
    <w:rsid w:val="003507D3"/>
    <w:rsid w:val="00353516"/>
    <w:rsid w:val="00356E3E"/>
    <w:rsid w:val="00357457"/>
    <w:rsid w:val="003605CA"/>
    <w:rsid w:val="0036135D"/>
    <w:rsid w:val="003616D4"/>
    <w:rsid w:val="00361B9C"/>
    <w:rsid w:val="00362DB4"/>
    <w:rsid w:val="0036339F"/>
    <w:rsid w:val="00364209"/>
    <w:rsid w:val="00365DA0"/>
    <w:rsid w:val="003733F5"/>
    <w:rsid w:val="00374916"/>
    <w:rsid w:val="00375BBA"/>
    <w:rsid w:val="00376CEC"/>
    <w:rsid w:val="00377530"/>
    <w:rsid w:val="00380010"/>
    <w:rsid w:val="00380758"/>
    <w:rsid w:val="003812E0"/>
    <w:rsid w:val="0038329C"/>
    <w:rsid w:val="00385016"/>
    <w:rsid w:val="00385AEB"/>
    <w:rsid w:val="003869DF"/>
    <w:rsid w:val="003914E7"/>
    <w:rsid w:val="00394A1E"/>
    <w:rsid w:val="00397C0C"/>
    <w:rsid w:val="003A136D"/>
    <w:rsid w:val="003A3DD4"/>
    <w:rsid w:val="003A46C5"/>
    <w:rsid w:val="003A537D"/>
    <w:rsid w:val="003A5BAE"/>
    <w:rsid w:val="003A61F9"/>
    <w:rsid w:val="003B1E88"/>
    <w:rsid w:val="003B20CF"/>
    <w:rsid w:val="003B4030"/>
    <w:rsid w:val="003B439E"/>
    <w:rsid w:val="003B4A38"/>
    <w:rsid w:val="003B4A41"/>
    <w:rsid w:val="003B5FD0"/>
    <w:rsid w:val="003B67FF"/>
    <w:rsid w:val="003C2807"/>
    <w:rsid w:val="003C30C7"/>
    <w:rsid w:val="003C3377"/>
    <w:rsid w:val="003C46C4"/>
    <w:rsid w:val="003C4F65"/>
    <w:rsid w:val="003C5DEB"/>
    <w:rsid w:val="003D699D"/>
    <w:rsid w:val="003D78A3"/>
    <w:rsid w:val="003E05A5"/>
    <w:rsid w:val="003E128A"/>
    <w:rsid w:val="003E16E1"/>
    <w:rsid w:val="003E444C"/>
    <w:rsid w:val="003F3A54"/>
    <w:rsid w:val="004006DB"/>
    <w:rsid w:val="004012CF"/>
    <w:rsid w:val="004020EB"/>
    <w:rsid w:val="00402AF1"/>
    <w:rsid w:val="00402FF3"/>
    <w:rsid w:val="00403366"/>
    <w:rsid w:val="004069EB"/>
    <w:rsid w:val="004071A7"/>
    <w:rsid w:val="00412901"/>
    <w:rsid w:val="004141B4"/>
    <w:rsid w:val="00417E4F"/>
    <w:rsid w:val="00423213"/>
    <w:rsid w:val="00423ECD"/>
    <w:rsid w:val="0042416D"/>
    <w:rsid w:val="00425330"/>
    <w:rsid w:val="00425E1F"/>
    <w:rsid w:val="00426B98"/>
    <w:rsid w:val="0042798A"/>
    <w:rsid w:val="00427ABF"/>
    <w:rsid w:val="00433D7C"/>
    <w:rsid w:val="00435E9C"/>
    <w:rsid w:val="00437271"/>
    <w:rsid w:val="00442C1A"/>
    <w:rsid w:val="004469CB"/>
    <w:rsid w:val="00450B03"/>
    <w:rsid w:val="004516EB"/>
    <w:rsid w:val="004529B6"/>
    <w:rsid w:val="00453DBD"/>
    <w:rsid w:val="00454CE6"/>
    <w:rsid w:val="00455C30"/>
    <w:rsid w:val="00462881"/>
    <w:rsid w:val="004639CF"/>
    <w:rsid w:val="00472678"/>
    <w:rsid w:val="00473342"/>
    <w:rsid w:val="00475F48"/>
    <w:rsid w:val="00477CC2"/>
    <w:rsid w:val="0048180A"/>
    <w:rsid w:val="00481C7A"/>
    <w:rsid w:val="00484CC2"/>
    <w:rsid w:val="004855D1"/>
    <w:rsid w:val="004857CF"/>
    <w:rsid w:val="0049054A"/>
    <w:rsid w:val="004906C8"/>
    <w:rsid w:val="004967E2"/>
    <w:rsid w:val="004A1B6E"/>
    <w:rsid w:val="004A290F"/>
    <w:rsid w:val="004A5FFD"/>
    <w:rsid w:val="004A6DA9"/>
    <w:rsid w:val="004A7CE2"/>
    <w:rsid w:val="004B15D1"/>
    <w:rsid w:val="004B38AC"/>
    <w:rsid w:val="004B391E"/>
    <w:rsid w:val="004D08EB"/>
    <w:rsid w:val="004D0C64"/>
    <w:rsid w:val="004D2C8F"/>
    <w:rsid w:val="004D2D18"/>
    <w:rsid w:val="004D4A7D"/>
    <w:rsid w:val="004E0136"/>
    <w:rsid w:val="004E1318"/>
    <w:rsid w:val="004E2371"/>
    <w:rsid w:val="004E23A4"/>
    <w:rsid w:val="004E6BE9"/>
    <w:rsid w:val="004F17FE"/>
    <w:rsid w:val="004F47B9"/>
    <w:rsid w:val="00503655"/>
    <w:rsid w:val="005037B3"/>
    <w:rsid w:val="005039A0"/>
    <w:rsid w:val="00504E9A"/>
    <w:rsid w:val="00504FB2"/>
    <w:rsid w:val="00505015"/>
    <w:rsid w:val="00506846"/>
    <w:rsid w:val="00510556"/>
    <w:rsid w:val="00510591"/>
    <w:rsid w:val="00512DA7"/>
    <w:rsid w:val="00514054"/>
    <w:rsid w:val="00515090"/>
    <w:rsid w:val="005201B8"/>
    <w:rsid w:val="005211D9"/>
    <w:rsid w:val="00521E57"/>
    <w:rsid w:val="00522FD2"/>
    <w:rsid w:val="00524ADF"/>
    <w:rsid w:val="005305EA"/>
    <w:rsid w:val="00530F74"/>
    <w:rsid w:val="00531170"/>
    <w:rsid w:val="0053381A"/>
    <w:rsid w:val="00535F50"/>
    <w:rsid w:val="005371E7"/>
    <w:rsid w:val="00540538"/>
    <w:rsid w:val="00540ACB"/>
    <w:rsid w:val="00545E93"/>
    <w:rsid w:val="00547D93"/>
    <w:rsid w:val="005520FE"/>
    <w:rsid w:val="00556513"/>
    <w:rsid w:val="00557560"/>
    <w:rsid w:val="005575CB"/>
    <w:rsid w:val="0056015B"/>
    <w:rsid w:val="00560BC1"/>
    <w:rsid w:val="00562653"/>
    <w:rsid w:val="005646F9"/>
    <w:rsid w:val="0056474C"/>
    <w:rsid w:val="00567998"/>
    <w:rsid w:val="00572979"/>
    <w:rsid w:val="005733EB"/>
    <w:rsid w:val="00575651"/>
    <w:rsid w:val="005759BB"/>
    <w:rsid w:val="00576F03"/>
    <w:rsid w:val="005803A1"/>
    <w:rsid w:val="00580802"/>
    <w:rsid w:val="00581A22"/>
    <w:rsid w:val="00582A33"/>
    <w:rsid w:val="00584235"/>
    <w:rsid w:val="005864CD"/>
    <w:rsid w:val="0058671A"/>
    <w:rsid w:val="00593E91"/>
    <w:rsid w:val="00596DC5"/>
    <w:rsid w:val="005A0B49"/>
    <w:rsid w:val="005A6D57"/>
    <w:rsid w:val="005B021D"/>
    <w:rsid w:val="005B06D0"/>
    <w:rsid w:val="005B25A5"/>
    <w:rsid w:val="005B36D5"/>
    <w:rsid w:val="005B475E"/>
    <w:rsid w:val="005B5B70"/>
    <w:rsid w:val="005B5F05"/>
    <w:rsid w:val="005B60F0"/>
    <w:rsid w:val="005B741E"/>
    <w:rsid w:val="005B7DAD"/>
    <w:rsid w:val="005C04BB"/>
    <w:rsid w:val="005C123F"/>
    <w:rsid w:val="005C6605"/>
    <w:rsid w:val="005C6982"/>
    <w:rsid w:val="005C6DAA"/>
    <w:rsid w:val="005D0DF5"/>
    <w:rsid w:val="005D15A3"/>
    <w:rsid w:val="005D1602"/>
    <w:rsid w:val="005D18FA"/>
    <w:rsid w:val="005D2B59"/>
    <w:rsid w:val="005D362F"/>
    <w:rsid w:val="005D370F"/>
    <w:rsid w:val="005D5554"/>
    <w:rsid w:val="005E054E"/>
    <w:rsid w:val="005E1DC6"/>
    <w:rsid w:val="005E48E4"/>
    <w:rsid w:val="005E4D7C"/>
    <w:rsid w:val="005F048E"/>
    <w:rsid w:val="005F0C60"/>
    <w:rsid w:val="005F13AC"/>
    <w:rsid w:val="005F2035"/>
    <w:rsid w:val="005F4734"/>
    <w:rsid w:val="005F57F0"/>
    <w:rsid w:val="00602704"/>
    <w:rsid w:val="0060526D"/>
    <w:rsid w:val="00605A38"/>
    <w:rsid w:val="00605DCA"/>
    <w:rsid w:val="00607F06"/>
    <w:rsid w:val="00607FAD"/>
    <w:rsid w:val="0061042F"/>
    <w:rsid w:val="00610C37"/>
    <w:rsid w:val="006114BA"/>
    <w:rsid w:val="006168E4"/>
    <w:rsid w:val="00617E5B"/>
    <w:rsid w:val="00626775"/>
    <w:rsid w:val="00626A70"/>
    <w:rsid w:val="006323CA"/>
    <w:rsid w:val="006325F7"/>
    <w:rsid w:val="0063381E"/>
    <w:rsid w:val="00633DE8"/>
    <w:rsid w:val="00636327"/>
    <w:rsid w:val="006369B4"/>
    <w:rsid w:val="00637512"/>
    <w:rsid w:val="00640EE4"/>
    <w:rsid w:val="0064272B"/>
    <w:rsid w:val="00642FBD"/>
    <w:rsid w:val="006466F5"/>
    <w:rsid w:val="0064676B"/>
    <w:rsid w:val="0064761A"/>
    <w:rsid w:val="00647F14"/>
    <w:rsid w:val="00650C5E"/>
    <w:rsid w:val="00652A6B"/>
    <w:rsid w:val="00652C6C"/>
    <w:rsid w:val="0065456E"/>
    <w:rsid w:val="0065671B"/>
    <w:rsid w:val="00657DAD"/>
    <w:rsid w:val="00657E8C"/>
    <w:rsid w:val="0066072B"/>
    <w:rsid w:val="00660C59"/>
    <w:rsid w:val="00661753"/>
    <w:rsid w:val="0066456D"/>
    <w:rsid w:val="006655C9"/>
    <w:rsid w:val="00667DD9"/>
    <w:rsid w:val="00673BD3"/>
    <w:rsid w:val="006764C0"/>
    <w:rsid w:val="00676C25"/>
    <w:rsid w:val="00676FE4"/>
    <w:rsid w:val="00677379"/>
    <w:rsid w:val="006848B7"/>
    <w:rsid w:val="00686FD5"/>
    <w:rsid w:val="00695AE4"/>
    <w:rsid w:val="00697278"/>
    <w:rsid w:val="006A04CA"/>
    <w:rsid w:val="006A2BEC"/>
    <w:rsid w:val="006A6AEA"/>
    <w:rsid w:val="006B0F7D"/>
    <w:rsid w:val="006B1953"/>
    <w:rsid w:val="006B1BF1"/>
    <w:rsid w:val="006B26E3"/>
    <w:rsid w:val="006B34A6"/>
    <w:rsid w:val="006B486C"/>
    <w:rsid w:val="006B4B63"/>
    <w:rsid w:val="006B5DDC"/>
    <w:rsid w:val="006B68FC"/>
    <w:rsid w:val="006B7444"/>
    <w:rsid w:val="006C0FBD"/>
    <w:rsid w:val="006C698B"/>
    <w:rsid w:val="006D23FC"/>
    <w:rsid w:val="006D3041"/>
    <w:rsid w:val="006D3733"/>
    <w:rsid w:val="006E0918"/>
    <w:rsid w:val="006E3ED8"/>
    <w:rsid w:val="006F396A"/>
    <w:rsid w:val="006F3C14"/>
    <w:rsid w:val="006F3F71"/>
    <w:rsid w:val="006F4DFF"/>
    <w:rsid w:val="00701033"/>
    <w:rsid w:val="00701B61"/>
    <w:rsid w:val="00704A54"/>
    <w:rsid w:val="007065F0"/>
    <w:rsid w:val="007164CD"/>
    <w:rsid w:val="007172F5"/>
    <w:rsid w:val="00717625"/>
    <w:rsid w:val="00717E41"/>
    <w:rsid w:val="0072689F"/>
    <w:rsid w:val="00730443"/>
    <w:rsid w:val="00736D41"/>
    <w:rsid w:val="0074094C"/>
    <w:rsid w:val="00741327"/>
    <w:rsid w:val="00742EAF"/>
    <w:rsid w:val="007438A0"/>
    <w:rsid w:val="00744EEF"/>
    <w:rsid w:val="007456B7"/>
    <w:rsid w:val="007546C1"/>
    <w:rsid w:val="00754CAE"/>
    <w:rsid w:val="007568AD"/>
    <w:rsid w:val="00763C1A"/>
    <w:rsid w:val="00770CD1"/>
    <w:rsid w:val="00770FCE"/>
    <w:rsid w:val="00771AC2"/>
    <w:rsid w:val="00772E31"/>
    <w:rsid w:val="00773D07"/>
    <w:rsid w:val="007748C4"/>
    <w:rsid w:val="00774A9C"/>
    <w:rsid w:val="00780B57"/>
    <w:rsid w:val="00781530"/>
    <w:rsid w:val="007830E9"/>
    <w:rsid w:val="00783A07"/>
    <w:rsid w:val="00783A0F"/>
    <w:rsid w:val="007851D5"/>
    <w:rsid w:val="00794099"/>
    <w:rsid w:val="0079486A"/>
    <w:rsid w:val="00794F80"/>
    <w:rsid w:val="007953AC"/>
    <w:rsid w:val="00796D6A"/>
    <w:rsid w:val="0079735D"/>
    <w:rsid w:val="007A1C9E"/>
    <w:rsid w:val="007A3206"/>
    <w:rsid w:val="007A4692"/>
    <w:rsid w:val="007B0F1D"/>
    <w:rsid w:val="007B1B43"/>
    <w:rsid w:val="007B2303"/>
    <w:rsid w:val="007B2C77"/>
    <w:rsid w:val="007B403C"/>
    <w:rsid w:val="007B68F7"/>
    <w:rsid w:val="007B74F3"/>
    <w:rsid w:val="007C4168"/>
    <w:rsid w:val="007C45D8"/>
    <w:rsid w:val="007C7C08"/>
    <w:rsid w:val="007D1A27"/>
    <w:rsid w:val="007D1B24"/>
    <w:rsid w:val="007D1F15"/>
    <w:rsid w:val="007D25B1"/>
    <w:rsid w:val="007D2878"/>
    <w:rsid w:val="007D2F06"/>
    <w:rsid w:val="007D3203"/>
    <w:rsid w:val="007D3776"/>
    <w:rsid w:val="007D4303"/>
    <w:rsid w:val="007D6045"/>
    <w:rsid w:val="007E51E6"/>
    <w:rsid w:val="007E6161"/>
    <w:rsid w:val="007E6BD2"/>
    <w:rsid w:val="007E7BAB"/>
    <w:rsid w:val="007E7DCE"/>
    <w:rsid w:val="007F20AC"/>
    <w:rsid w:val="007F53A0"/>
    <w:rsid w:val="007F7A92"/>
    <w:rsid w:val="008024BA"/>
    <w:rsid w:val="00802C56"/>
    <w:rsid w:val="00803193"/>
    <w:rsid w:val="00811205"/>
    <w:rsid w:val="008120A3"/>
    <w:rsid w:val="00812C48"/>
    <w:rsid w:val="008146F9"/>
    <w:rsid w:val="00817345"/>
    <w:rsid w:val="00820C44"/>
    <w:rsid w:val="00822215"/>
    <w:rsid w:val="008225F1"/>
    <w:rsid w:val="00824DCD"/>
    <w:rsid w:val="0082728A"/>
    <w:rsid w:val="00833011"/>
    <w:rsid w:val="00833746"/>
    <w:rsid w:val="008356AF"/>
    <w:rsid w:val="00843314"/>
    <w:rsid w:val="00844569"/>
    <w:rsid w:val="00844902"/>
    <w:rsid w:val="008473F5"/>
    <w:rsid w:val="00847D23"/>
    <w:rsid w:val="0085196B"/>
    <w:rsid w:val="0085243A"/>
    <w:rsid w:val="00853BED"/>
    <w:rsid w:val="008556B3"/>
    <w:rsid w:val="00863327"/>
    <w:rsid w:val="00864079"/>
    <w:rsid w:val="00865065"/>
    <w:rsid w:val="00867376"/>
    <w:rsid w:val="00870F44"/>
    <w:rsid w:val="00871DC1"/>
    <w:rsid w:val="008724F6"/>
    <w:rsid w:val="0087665D"/>
    <w:rsid w:val="008776A3"/>
    <w:rsid w:val="00883241"/>
    <w:rsid w:val="00884054"/>
    <w:rsid w:val="008840E6"/>
    <w:rsid w:val="00884568"/>
    <w:rsid w:val="00887D68"/>
    <w:rsid w:val="008936E7"/>
    <w:rsid w:val="00893729"/>
    <w:rsid w:val="00895089"/>
    <w:rsid w:val="008951ED"/>
    <w:rsid w:val="00896828"/>
    <w:rsid w:val="008A0CBB"/>
    <w:rsid w:val="008A29A6"/>
    <w:rsid w:val="008A2F6C"/>
    <w:rsid w:val="008A40AD"/>
    <w:rsid w:val="008A6609"/>
    <w:rsid w:val="008A68CA"/>
    <w:rsid w:val="008A6F2F"/>
    <w:rsid w:val="008A75BE"/>
    <w:rsid w:val="008B0679"/>
    <w:rsid w:val="008B10F2"/>
    <w:rsid w:val="008B3D11"/>
    <w:rsid w:val="008B42B1"/>
    <w:rsid w:val="008B4525"/>
    <w:rsid w:val="008B5224"/>
    <w:rsid w:val="008B7087"/>
    <w:rsid w:val="008B7382"/>
    <w:rsid w:val="008C0375"/>
    <w:rsid w:val="008C121A"/>
    <w:rsid w:val="008C1E83"/>
    <w:rsid w:val="008C2023"/>
    <w:rsid w:val="008C32A8"/>
    <w:rsid w:val="008C50C4"/>
    <w:rsid w:val="008C55A3"/>
    <w:rsid w:val="008C5A03"/>
    <w:rsid w:val="008C5E94"/>
    <w:rsid w:val="008C6105"/>
    <w:rsid w:val="008D05A6"/>
    <w:rsid w:val="008D4154"/>
    <w:rsid w:val="008D4EB7"/>
    <w:rsid w:val="008D5DFD"/>
    <w:rsid w:val="008D6D04"/>
    <w:rsid w:val="008E201B"/>
    <w:rsid w:val="008E3791"/>
    <w:rsid w:val="008E6375"/>
    <w:rsid w:val="008F0117"/>
    <w:rsid w:val="008F0731"/>
    <w:rsid w:val="008F4C65"/>
    <w:rsid w:val="008F6955"/>
    <w:rsid w:val="00904E4A"/>
    <w:rsid w:val="00905422"/>
    <w:rsid w:val="00907C69"/>
    <w:rsid w:val="00911080"/>
    <w:rsid w:val="00913133"/>
    <w:rsid w:val="009145F6"/>
    <w:rsid w:val="00920128"/>
    <w:rsid w:val="00921DB9"/>
    <w:rsid w:val="00922381"/>
    <w:rsid w:val="00922957"/>
    <w:rsid w:val="00922B27"/>
    <w:rsid w:val="0092403D"/>
    <w:rsid w:val="009268BB"/>
    <w:rsid w:val="00926D4D"/>
    <w:rsid w:val="0093296F"/>
    <w:rsid w:val="00933D29"/>
    <w:rsid w:val="00934F3F"/>
    <w:rsid w:val="00935D2F"/>
    <w:rsid w:val="00940116"/>
    <w:rsid w:val="009402DB"/>
    <w:rsid w:val="00940419"/>
    <w:rsid w:val="00941DFA"/>
    <w:rsid w:val="009449B8"/>
    <w:rsid w:val="00944DC9"/>
    <w:rsid w:val="00945479"/>
    <w:rsid w:val="00945D0C"/>
    <w:rsid w:val="00946380"/>
    <w:rsid w:val="009464B0"/>
    <w:rsid w:val="009517DA"/>
    <w:rsid w:val="009542D6"/>
    <w:rsid w:val="009611E0"/>
    <w:rsid w:val="00961369"/>
    <w:rsid w:val="00964AA9"/>
    <w:rsid w:val="00965B02"/>
    <w:rsid w:val="00965FEE"/>
    <w:rsid w:val="0096607F"/>
    <w:rsid w:val="0096643B"/>
    <w:rsid w:val="009706B5"/>
    <w:rsid w:val="009712F1"/>
    <w:rsid w:val="00972BDF"/>
    <w:rsid w:val="0098182D"/>
    <w:rsid w:val="009863DD"/>
    <w:rsid w:val="00990C92"/>
    <w:rsid w:val="00991C21"/>
    <w:rsid w:val="00991F20"/>
    <w:rsid w:val="00994D66"/>
    <w:rsid w:val="00996FB8"/>
    <w:rsid w:val="00997E87"/>
    <w:rsid w:val="009A00AF"/>
    <w:rsid w:val="009A0AF8"/>
    <w:rsid w:val="009A1139"/>
    <w:rsid w:val="009A1AD9"/>
    <w:rsid w:val="009A24C2"/>
    <w:rsid w:val="009A35CD"/>
    <w:rsid w:val="009A49FE"/>
    <w:rsid w:val="009A686F"/>
    <w:rsid w:val="009A77EC"/>
    <w:rsid w:val="009B1356"/>
    <w:rsid w:val="009B2014"/>
    <w:rsid w:val="009B33A8"/>
    <w:rsid w:val="009B3487"/>
    <w:rsid w:val="009B3D6C"/>
    <w:rsid w:val="009B7200"/>
    <w:rsid w:val="009B7C61"/>
    <w:rsid w:val="009C2422"/>
    <w:rsid w:val="009C2AE5"/>
    <w:rsid w:val="009C3793"/>
    <w:rsid w:val="009C5328"/>
    <w:rsid w:val="009C5DB9"/>
    <w:rsid w:val="009C7074"/>
    <w:rsid w:val="009C78BF"/>
    <w:rsid w:val="009D25FE"/>
    <w:rsid w:val="009E0867"/>
    <w:rsid w:val="009E1411"/>
    <w:rsid w:val="009E45A0"/>
    <w:rsid w:val="009E471D"/>
    <w:rsid w:val="009E52F2"/>
    <w:rsid w:val="009F0515"/>
    <w:rsid w:val="009F1A4C"/>
    <w:rsid w:val="009F2292"/>
    <w:rsid w:val="009F3056"/>
    <w:rsid w:val="009F335B"/>
    <w:rsid w:val="009F3C1F"/>
    <w:rsid w:val="009F614E"/>
    <w:rsid w:val="009F6571"/>
    <w:rsid w:val="009F6A7C"/>
    <w:rsid w:val="009F762B"/>
    <w:rsid w:val="00A02047"/>
    <w:rsid w:val="00A036BE"/>
    <w:rsid w:val="00A05EF8"/>
    <w:rsid w:val="00A064EC"/>
    <w:rsid w:val="00A11838"/>
    <w:rsid w:val="00A12205"/>
    <w:rsid w:val="00A13BA0"/>
    <w:rsid w:val="00A14CB7"/>
    <w:rsid w:val="00A155B9"/>
    <w:rsid w:val="00A214B4"/>
    <w:rsid w:val="00A23F8F"/>
    <w:rsid w:val="00A26395"/>
    <w:rsid w:val="00A274D8"/>
    <w:rsid w:val="00A32D63"/>
    <w:rsid w:val="00A345F6"/>
    <w:rsid w:val="00A34DDD"/>
    <w:rsid w:val="00A35A87"/>
    <w:rsid w:val="00A367FA"/>
    <w:rsid w:val="00A4436A"/>
    <w:rsid w:val="00A45097"/>
    <w:rsid w:val="00A453DC"/>
    <w:rsid w:val="00A45721"/>
    <w:rsid w:val="00A45BD9"/>
    <w:rsid w:val="00A47E87"/>
    <w:rsid w:val="00A516E8"/>
    <w:rsid w:val="00A520C9"/>
    <w:rsid w:val="00A525D9"/>
    <w:rsid w:val="00A5485E"/>
    <w:rsid w:val="00A565E7"/>
    <w:rsid w:val="00A625E2"/>
    <w:rsid w:val="00A629E8"/>
    <w:rsid w:val="00A63D5A"/>
    <w:rsid w:val="00A65D0B"/>
    <w:rsid w:val="00A676DA"/>
    <w:rsid w:val="00A67B13"/>
    <w:rsid w:val="00A71080"/>
    <w:rsid w:val="00A72465"/>
    <w:rsid w:val="00A72DCB"/>
    <w:rsid w:val="00A75001"/>
    <w:rsid w:val="00A763BD"/>
    <w:rsid w:val="00A80C92"/>
    <w:rsid w:val="00A82461"/>
    <w:rsid w:val="00A83323"/>
    <w:rsid w:val="00A85006"/>
    <w:rsid w:val="00A851D8"/>
    <w:rsid w:val="00A85FF3"/>
    <w:rsid w:val="00A87394"/>
    <w:rsid w:val="00A90085"/>
    <w:rsid w:val="00A90295"/>
    <w:rsid w:val="00A9227B"/>
    <w:rsid w:val="00A927B1"/>
    <w:rsid w:val="00A93540"/>
    <w:rsid w:val="00A947CC"/>
    <w:rsid w:val="00A94812"/>
    <w:rsid w:val="00A953BA"/>
    <w:rsid w:val="00AA066E"/>
    <w:rsid w:val="00AA1A2C"/>
    <w:rsid w:val="00AA207C"/>
    <w:rsid w:val="00AA2089"/>
    <w:rsid w:val="00AA34FF"/>
    <w:rsid w:val="00AA5D62"/>
    <w:rsid w:val="00AB1A1D"/>
    <w:rsid w:val="00AB3221"/>
    <w:rsid w:val="00AB3710"/>
    <w:rsid w:val="00AB4B0F"/>
    <w:rsid w:val="00AB6C3B"/>
    <w:rsid w:val="00AB718D"/>
    <w:rsid w:val="00AC0078"/>
    <w:rsid w:val="00AC1971"/>
    <w:rsid w:val="00AC5581"/>
    <w:rsid w:val="00AC76D3"/>
    <w:rsid w:val="00AC7FB6"/>
    <w:rsid w:val="00AD15A7"/>
    <w:rsid w:val="00AD49CD"/>
    <w:rsid w:val="00AD4BD3"/>
    <w:rsid w:val="00AD6BEE"/>
    <w:rsid w:val="00AE008F"/>
    <w:rsid w:val="00AE1841"/>
    <w:rsid w:val="00AE1EF2"/>
    <w:rsid w:val="00AE23FC"/>
    <w:rsid w:val="00AE2CA1"/>
    <w:rsid w:val="00AE3471"/>
    <w:rsid w:val="00AE44A7"/>
    <w:rsid w:val="00AE5F26"/>
    <w:rsid w:val="00AF0EAF"/>
    <w:rsid w:val="00AF1248"/>
    <w:rsid w:val="00AF535B"/>
    <w:rsid w:val="00AF55AC"/>
    <w:rsid w:val="00AF713F"/>
    <w:rsid w:val="00B0236C"/>
    <w:rsid w:val="00B07D6D"/>
    <w:rsid w:val="00B1003A"/>
    <w:rsid w:val="00B11E08"/>
    <w:rsid w:val="00B12E48"/>
    <w:rsid w:val="00B13C33"/>
    <w:rsid w:val="00B14095"/>
    <w:rsid w:val="00B1443C"/>
    <w:rsid w:val="00B26C37"/>
    <w:rsid w:val="00B32CD3"/>
    <w:rsid w:val="00B353FF"/>
    <w:rsid w:val="00B35A93"/>
    <w:rsid w:val="00B361DA"/>
    <w:rsid w:val="00B3635B"/>
    <w:rsid w:val="00B3672D"/>
    <w:rsid w:val="00B36C4F"/>
    <w:rsid w:val="00B36D2B"/>
    <w:rsid w:val="00B407CA"/>
    <w:rsid w:val="00B41588"/>
    <w:rsid w:val="00B455E7"/>
    <w:rsid w:val="00B47192"/>
    <w:rsid w:val="00B4745C"/>
    <w:rsid w:val="00B477AC"/>
    <w:rsid w:val="00B47B0E"/>
    <w:rsid w:val="00B51510"/>
    <w:rsid w:val="00B527A5"/>
    <w:rsid w:val="00B5354D"/>
    <w:rsid w:val="00B541BD"/>
    <w:rsid w:val="00B547A7"/>
    <w:rsid w:val="00B54C21"/>
    <w:rsid w:val="00B61D75"/>
    <w:rsid w:val="00B62F0D"/>
    <w:rsid w:val="00B64D7A"/>
    <w:rsid w:val="00B70236"/>
    <w:rsid w:val="00B7258D"/>
    <w:rsid w:val="00B72B0F"/>
    <w:rsid w:val="00B7396E"/>
    <w:rsid w:val="00B741B2"/>
    <w:rsid w:val="00B75A86"/>
    <w:rsid w:val="00B80028"/>
    <w:rsid w:val="00B833EA"/>
    <w:rsid w:val="00B840E3"/>
    <w:rsid w:val="00B85271"/>
    <w:rsid w:val="00B871BE"/>
    <w:rsid w:val="00B9223B"/>
    <w:rsid w:val="00B9525A"/>
    <w:rsid w:val="00B95987"/>
    <w:rsid w:val="00B971AA"/>
    <w:rsid w:val="00B97604"/>
    <w:rsid w:val="00BA11EC"/>
    <w:rsid w:val="00BA4D1F"/>
    <w:rsid w:val="00BA7AD1"/>
    <w:rsid w:val="00BB04EC"/>
    <w:rsid w:val="00BB2250"/>
    <w:rsid w:val="00BB4A68"/>
    <w:rsid w:val="00BB5CE6"/>
    <w:rsid w:val="00BC0FDD"/>
    <w:rsid w:val="00BC14E6"/>
    <w:rsid w:val="00BC22E0"/>
    <w:rsid w:val="00BC3CE6"/>
    <w:rsid w:val="00BD1E01"/>
    <w:rsid w:val="00BD30FE"/>
    <w:rsid w:val="00BD36D6"/>
    <w:rsid w:val="00BD65B1"/>
    <w:rsid w:val="00BE21EF"/>
    <w:rsid w:val="00BE28ED"/>
    <w:rsid w:val="00BE3E18"/>
    <w:rsid w:val="00BE4F42"/>
    <w:rsid w:val="00BE688D"/>
    <w:rsid w:val="00BE7C9B"/>
    <w:rsid w:val="00BF01A7"/>
    <w:rsid w:val="00BF1ECA"/>
    <w:rsid w:val="00BF30B0"/>
    <w:rsid w:val="00BF37E3"/>
    <w:rsid w:val="00BF5ED1"/>
    <w:rsid w:val="00C0147E"/>
    <w:rsid w:val="00C03F20"/>
    <w:rsid w:val="00C04FE4"/>
    <w:rsid w:val="00C16182"/>
    <w:rsid w:val="00C25084"/>
    <w:rsid w:val="00C272C9"/>
    <w:rsid w:val="00C304E8"/>
    <w:rsid w:val="00C30A4F"/>
    <w:rsid w:val="00C41665"/>
    <w:rsid w:val="00C429E1"/>
    <w:rsid w:val="00C4691C"/>
    <w:rsid w:val="00C57DAE"/>
    <w:rsid w:val="00C61F96"/>
    <w:rsid w:val="00C6488B"/>
    <w:rsid w:val="00C6632C"/>
    <w:rsid w:val="00C66E9C"/>
    <w:rsid w:val="00C67A38"/>
    <w:rsid w:val="00C70B66"/>
    <w:rsid w:val="00C71C64"/>
    <w:rsid w:val="00C71CD1"/>
    <w:rsid w:val="00C72E35"/>
    <w:rsid w:val="00C73143"/>
    <w:rsid w:val="00C755B1"/>
    <w:rsid w:val="00C77685"/>
    <w:rsid w:val="00C77815"/>
    <w:rsid w:val="00C80100"/>
    <w:rsid w:val="00C8239D"/>
    <w:rsid w:val="00C85378"/>
    <w:rsid w:val="00C90AD4"/>
    <w:rsid w:val="00C9297C"/>
    <w:rsid w:val="00CA1B63"/>
    <w:rsid w:val="00CA621B"/>
    <w:rsid w:val="00CA6FDA"/>
    <w:rsid w:val="00CB0AFB"/>
    <w:rsid w:val="00CB266D"/>
    <w:rsid w:val="00CB3B6F"/>
    <w:rsid w:val="00CC071F"/>
    <w:rsid w:val="00CC0C5F"/>
    <w:rsid w:val="00CC14B6"/>
    <w:rsid w:val="00CC223A"/>
    <w:rsid w:val="00CC2F3D"/>
    <w:rsid w:val="00CC5144"/>
    <w:rsid w:val="00CC5FF3"/>
    <w:rsid w:val="00CD422C"/>
    <w:rsid w:val="00CD5CDC"/>
    <w:rsid w:val="00CD789C"/>
    <w:rsid w:val="00CE2ADF"/>
    <w:rsid w:val="00CE360C"/>
    <w:rsid w:val="00CE3713"/>
    <w:rsid w:val="00CE3992"/>
    <w:rsid w:val="00CE68C2"/>
    <w:rsid w:val="00CF0807"/>
    <w:rsid w:val="00CF0835"/>
    <w:rsid w:val="00CF1976"/>
    <w:rsid w:val="00CF1D7D"/>
    <w:rsid w:val="00CF45D3"/>
    <w:rsid w:val="00CF4D0D"/>
    <w:rsid w:val="00CF6B6C"/>
    <w:rsid w:val="00D00A58"/>
    <w:rsid w:val="00D01197"/>
    <w:rsid w:val="00D030E9"/>
    <w:rsid w:val="00D042BB"/>
    <w:rsid w:val="00D05038"/>
    <w:rsid w:val="00D058B0"/>
    <w:rsid w:val="00D05C8E"/>
    <w:rsid w:val="00D06CA0"/>
    <w:rsid w:val="00D11F7D"/>
    <w:rsid w:val="00D11FC3"/>
    <w:rsid w:val="00D13098"/>
    <w:rsid w:val="00D130A6"/>
    <w:rsid w:val="00D136F5"/>
    <w:rsid w:val="00D161C1"/>
    <w:rsid w:val="00D17789"/>
    <w:rsid w:val="00D1789C"/>
    <w:rsid w:val="00D17B5C"/>
    <w:rsid w:val="00D20C43"/>
    <w:rsid w:val="00D21565"/>
    <w:rsid w:val="00D226BE"/>
    <w:rsid w:val="00D242E5"/>
    <w:rsid w:val="00D25860"/>
    <w:rsid w:val="00D2737E"/>
    <w:rsid w:val="00D274A9"/>
    <w:rsid w:val="00D32347"/>
    <w:rsid w:val="00D32644"/>
    <w:rsid w:val="00D33229"/>
    <w:rsid w:val="00D33619"/>
    <w:rsid w:val="00D33F6F"/>
    <w:rsid w:val="00D45975"/>
    <w:rsid w:val="00D52109"/>
    <w:rsid w:val="00D52AC7"/>
    <w:rsid w:val="00D53178"/>
    <w:rsid w:val="00D53772"/>
    <w:rsid w:val="00D54CA9"/>
    <w:rsid w:val="00D555B6"/>
    <w:rsid w:val="00D556EC"/>
    <w:rsid w:val="00D56D67"/>
    <w:rsid w:val="00D61EC5"/>
    <w:rsid w:val="00D627AD"/>
    <w:rsid w:val="00D6340F"/>
    <w:rsid w:val="00D66135"/>
    <w:rsid w:val="00D72D16"/>
    <w:rsid w:val="00D74213"/>
    <w:rsid w:val="00D8049E"/>
    <w:rsid w:val="00D804D4"/>
    <w:rsid w:val="00D81914"/>
    <w:rsid w:val="00D8195B"/>
    <w:rsid w:val="00D8561C"/>
    <w:rsid w:val="00D8619F"/>
    <w:rsid w:val="00D86764"/>
    <w:rsid w:val="00D924C9"/>
    <w:rsid w:val="00D957E3"/>
    <w:rsid w:val="00D970E2"/>
    <w:rsid w:val="00DA5ABC"/>
    <w:rsid w:val="00DA6069"/>
    <w:rsid w:val="00DA7FB9"/>
    <w:rsid w:val="00DB437B"/>
    <w:rsid w:val="00DB4537"/>
    <w:rsid w:val="00DB5528"/>
    <w:rsid w:val="00DB5C0A"/>
    <w:rsid w:val="00DB5E40"/>
    <w:rsid w:val="00DC06AA"/>
    <w:rsid w:val="00DC0C93"/>
    <w:rsid w:val="00DC0E09"/>
    <w:rsid w:val="00DC168A"/>
    <w:rsid w:val="00DC721C"/>
    <w:rsid w:val="00DD13E2"/>
    <w:rsid w:val="00DD2BA7"/>
    <w:rsid w:val="00DE153B"/>
    <w:rsid w:val="00DE3B70"/>
    <w:rsid w:val="00DF003C"/>
    <w:rsid w:val="00DF4501"/>
    <w:rsid w:val="00DF45C5"/>
    <w:rsid w:val="00DF5FBA"/>
    <w:rsid w:val="00DF723C"/>
    <w:rsid w:val="00DF783E"/>
    <w:rsid w:val="00DF78AE"/>
    <w:rsid w:val="00E029A8"/>
    <w:rsid w:val="00E10879"/>
    <w:rsid w:val="00E117EC"/>
    <w:rsid w:val="00E11E2E"/>
    <w:rsid w:val="00E12542"/>
    <w:rsid w:val="00E1345D"/>
    <w:rsid w:val="00E13B3A"/>
    <w:rsid w:val="00E13CBE"/>
    <w:rsid w:val="00E1786F"/>
    <w:rsid w:val="00E24CF4"/>
    <w:rsid w:val="00E266D3"/>
    <w:rsid w:val="00E27279"/>
    <w:rsid w:val="00E31699"/>
    <w:rsid w:val="00E32707"/>
    <w:rsid w:val="00E371EC"/>
    <w:rsid w:val="00E450DB"/>
    <w:rsid w:val="00E46CE8"/>
    <w:rsid w:val="00E532D7"/>
    <w:rsid w:val="00E555D5"/>
    <w:rsid w:val="00E6063A"/>
    <w:rsid w:val="00E62A59"/>
    <w:rsid w:val="00E63ADD"/>
    <w:rsid w:val="00E64A3C"/>
    <w:rsid w:val="00E67776"/>
    <w:rsid w:val="00E72AE3"/>
    <w:rsid w:val="00E73B0B"/>
    <w:rsid w:val="00E73B51"/>
    <w:rsid w:val="00E743B7"/>
    <w:rsid w:val="00E76D3D"/>
    <w:rsid w:val="00E804D1"/>
    <w:rsid w:val="00E80B0F"/>
    <w:rsid w:val="00E81B17"/>
    <w:rsid w:val="00E83125"/>
    <w:rsid w:val="00E83F26"/>
    <w:rsid w:val="00E86A13"/>
    <w:rsid w:val="00E86CA7"/>
    <w:rsid w:val="00E913E9"/>
    <w:rsid w:val="00E96F99"/>
    <w:rsid w:val="00EA103B"/>
    <w:rsid w:val="00EA1F89"/>
    <w:rsid w:val="00EA4C15"/>
    <w:rsid w:val="00EA5BCC"/>
    <w:rsid w:val="00EB117B"/>
    <w:rsid w:val="00EB15E0"/>
    <w:rsid w:val="00EB39C0"/>
    <w:rsid w:val="00EB40D6"/>
    <w:rsid w:val="00EB5F75"/>
    <w:rsid w:val="00EB79CD"/>
    <w:rsid w:val="00EB7A2F"/>
    <w:rsid w:val="00EB7F18"/>
    <w:rsid w:val="00EC07ED"/>
    <w:rsid w:val="00EC305D"/>
    <w:rsid w:val="00EC3BF2"/>
    <w:rsid w:val="00EC3C36"/>
    <w:rsid w:val="00ED3F27"/>
    <w:rsid w:val="00ED6131"/>
    <w:rsid w:val="00EE0578"/>
    <w:rsid w:val="00EE0F2E"/>
    <w:rsid w:val="00EE1234"/>
    <w:rsid w:val="00EE1454"/>
    <w:rsid w:val="00EE26AE"/>
    <w:rsid w:val="00EE2A41"/>
    <w:rsid w:val="00EE2C8C"/>
    <w:rsid w:val="00EE2ECB"/>
    <w:rsid w:val="00EE3054"/>
    <w:rsid w:val="00EE3C07"/>
    <w:rsid w:val="00EE575D"/>
    <w:rsid w:val="00EE5F8D"/>
    <w:rsid w:val="00EF00CC"/>
    <w:rsid w:val="00EF09FB"/>
    <w:rsid w:val="00EF198F"/>
    <w:rsid w:val="00EF1C91"/>
    <w:rsid w:val="00EF1F1D"/>
    <w:rsid w:val="00EF309C"/>
    <w:rsid w:val="00EF5956"/>
    <w:rsid w:val="00EF617F"/>
    <w:rsid w:val="00F02923"/>
    <w:rsid w:val="00F02B2C"/>
    <w:rsid w:val="00F0351B"/>
    <w:rsid w:val="00F04E34"/>
    <w:rsid w:val="00F06472"/>
    <w:rsid w:val="00F06F04"/>
    <w:rsid w:val="00F0721E"/>
    <w:rsid w:val="00F0754E"/>
    <w:rsid w:val="00F110DB"/>
    <w:rsid w:val="00F12358"/>
    <w:rsid w:val="00F13693"/>
    <w:rsid w:val="00F15E88"/>
    <w:rsid w:val="00F16026"/>
    <w:rsid w:val="00F22566"/>
    <w:rsid w:val="00F22963"/>
    <w:rsid w:val="00F22D0E"/>
    <w:rsid w:val="00F25063"/>
    <w:rsid w:val="00F25D50"/>
    <w:rsid w:val="00F2654F"/>
    <w:rsid w:val="00F376BC"/>
    <w:rsid w:val="00F37993"/>
    <w:rsid w:val="00F403EA"/>
    <w:rsid w:val="00F410AC"/>
    <w:rsid w:val="00F42753"/>
    <w:rsid w:val="00F47DEC"/>
    <w:rsid w:val="00F510DB"/>
    <w:rsid w:val="00F54525"/>
    <w:rsid w:val="00F55EF2"/>
    <w:rsid w:val="00F56B30"/>
    <w:rsid w:val="00F64643"/>
    <w:rsid w:val="00F6495A"/>
    <w:rsid w:val="00F727B0"/>
    <w:rsid w:val="00F72B5D"/>
    <w:rsid w:val="00F750BE"/>
    <w:rsid w:val="00F83B40"/>
    <w:rsid w:val="00F84FFF"/>
    <w:rsid w:val="00F87CAA"/>
    <w:rsid w:val="00F90E93"/>
    <w:rsid w:val="00F91F36"/>
    <w:rsid w:val="00F94BD5"/>
    <w:rsid w:val="00F96D4C"/>
    <w:rsid w:val="00F97F52"/>
    <w:rsid w:val="00FA2545"/>
    <w:rsid w:val="00FA41C5"/>
    <w:rsid w:val="00FA5036"/>
    <w:rsid w:val="00FA7846"/>
    <w:rsid w:val="00FB0194"/>
    <w:rsid w:val="00FB2CFE"/>
    <w:rsid w:val="00FB4AAD"/>
    <w:rsid w:val="00FB4E3D"/>
    <w:rsid w:val="00FB5348"/>
    <w:rsid w:val="00FB5F2A"/>
    <w:rsid w:val="00FC02ED"/>
    <w:rsid w:val="00FC3072"/>
    <w:rsid w:val="00FC4E89"/>
    <w:rsid w:val="00FC4F9B"/>
    <w:rsid w:val="00FC59F0"/>
    <w:rsid w:val="00FD0D68"/>
    <w:rsid w:val="00FD2899"/>
    <w:rsid w:val="00FD4599"/>
    <w:rsid w:val="00FD4784"/>
    <w:rsid w:val="00FD5FA6"/>
    <w:rsid w:val="00FD65FE"/>
    <w:rsid w:val="00FD68C0"/>
    <w:rsid w:val="00FD6B1B"/>
    <w:rsid w:val="00FE3D5E"/>
    <w:rsid w:val="00FE42BB"/>
    <w:rsid w:val="00FE4640"/>
    <w:rsid w:val="00FE77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UnresolvedMention1">
    <w:name w:val="Unresolved Mention1"/>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paragraph" w:styleId="NormalWeb">
    <w:name w:val="Normal (Web)"/>
    <w:basedOn w:val="Normal"/>
    <w:uiPriority w:val="99"/>
    <w:semiHidden/>
    <w:unhideWhenUsed/>
    <w:rsid w:val="003B43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2">
    <w:name w:val="Unresolved Mention2"/>
    <w:basedOn w:val="Fuentedeprrafopredeter"/>
    <w:uiPriority w:val="99"/>
    <w:semiHidden/>
    <w:unhideWhenUsed/>
    <w:rsid w:val="008B3D11"/>
    <w:rPr>
      <w:color w:val="605E5C"/>
      <w:shd w:val="clear" w:color="auto" w:fill="E1DFDD"/>
    </w:rPr>
  </w:style>
  <w:style w:type="character" w:customStyle="1" w:styleId="UnresolvedMention3">
    <w:name w:val="Unresolved Mention3"/>
    <w:basedOn w:val="Fuentedeprrafopredeter"/>
    <w:uiPriority w:val="99"/>
    <w:semiHidden/>
    <w:unhideWhenUsed/>
    <w:rsid w:val="007B74F3"/>
    <w:rPr>
      <w:color w:val="605E5C"/>
      <w:shd w:val="clear" w:color="auto" w:fill="E1DFDD"/>
    </w:rPr>
  </w:style>
  <w:style w:type="table" w:styleId="Tabladelista6concolores-nfasis5">
    <w:name w:val="List Table 6 Colorful Accent 5"/>
    <w:basedOn w:val="Tablanormal"/>
    <w:uiPriority w:val="51"/>
    <w:rsid w:val="00A763BD"/>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infoemcitas">
    <w:name w:val="infoem citas"/>
    <w:basedOn w:val="Normal"/>
    <w:qFormat/>
    <w:rsid w:val="005864CD"/>
    <w:pPr>
      <w:spacing w:before="240" w:line="360" w:lineRule="auto"/>
      <w:ind w:left="851" w:right="851"/>
      <w:jc w:val="both"/>
    </w:pPr>
    <w:rPr>
      <w:rFonts w:ascii="Palatino Linotype" w:hAnsi="Palatino Linotype"/>
      <w:i/>
    </w:rPr>
  </w:style>
  <w:style w:type="character" w:customStyle="1" w:styleId="UnresolvedMention">
    <w:name w:val="Unresolved Mention"/>
    <w:basedOn w:val="Fuentedeprrafopredeter"/>
    <w:uiPriority w:val="99"/>
    <w:semiHidden/>
    <w:unhideWhenUsed/>
    <w:rsid w:val="000735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28691">
      <w:bodyDiv w:val="1"/>
      <w:marLeft w:val="0"/>
      <w:marRight w:val="0"/>
      <w:marTop w:val="0"/>
      <w:marBottom w:val="0"/>
      <w:divBdr>
        <w:top w:val="none" w:sz="0" w:space="0" w:color="auto"/>
        <w:left w:val="none" w:sz="0" w:space="0" w:color="auto"/>
        <w:bottom w:val="none" w:sz="0" w:space="0" w:color="auto"/>
        <w:right w:val="none" w:sz="0" w:space="0" w:color="auto"/>
      </w:divBdr>
    </w:div>
    <w:div w:id="126245755">
      <w:bodyDiv w:val="1"/>
      <w:marLeft w:val="0"/>
      <w:marRight w:val="0"/>
      <w:marTop w:val="0"/>
      <w:marBottom w:val="0"/>
      <w:divBdr>
        <w:top w:val="none" w:sz="0" w:space="0" w:color="auto"/>
        <w:left w:val="none" w:sz="0" w:space="0" w:color="auto"/>
        <w:bottom w:val="none" w:sz="0" w:space="0" w:color="auto"/>
        <w:right w:val="none" w:sz="0" w:space="0" w:color="auto"/>
      </w:divBdr>
    </w:div>
    <w:div w:id="13298449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17271203">
      <w:bodyDiv w:val="1"/>
      <w:marLeft w:val="0"/>
      <w:marRight w:val="0"/>
      <w:marTop w:val="0"/>
      <w:marBottom w:val="0"/>
      <w:divBdr>
        <w:top w:val="none" w:sz="0" w:space="0" w:color="auto"/>
        <w:left w:val="none" w:sz="0" w:space="0" w:color="auto"/>
        <w:bottom w:val="none" w:sz="0" w:space="0" w:color="auto"/>
        <w:right w:val="none" w:sz="0" w:space="0" w:color="auto"/>
      </w:divBdr>
    </w:div>
    <w:div w:id="320889120">
      <w:bodyDiv w:val="1"/>
      <w:marLeft w:val="0"/>
      <w:marRight w:val="0"/>
      <w:marTop w:val="0"/>
      <w:marBottom w:val="0"/>
      <w:divBdr>
        <w:top w:val="none" w:sz="0" w:space="0" w:color="auto"/>
        <w:left w:val="none" w:sz="0" w:space="0" w:color="auto"/>
        <w:bottom w:val="none" w:sz="0" w:space="0" w:color="auto"/>
        <w:right w:val="none" w:sz="0" w:space="0" w:color="auto"/>
      </w:divBdr>
    </w:div>
    <w:div w:id="354313148">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05151704">
      <w:bodyDiv w:val="1"/>
      <w:marLeft w:val="0"/>
      <w:marRight w:val="0"/>
      <w:marTop w:val="0"/>
      <w:marBottom w:val="0"/>
      <w:divBdr>
        <w:top w:val="none" w:sz="0" w:space="0" w:color="auto"/>
        <w:left w:val="none" w:sz="0" w:space="0" w:color="auto"/>
        <w:bottom w:val="none" w:sz="0" w:space="0" w:color="auto"/>
        <w:right w:val="none" w:sz="0" w:space="0" w:color="auto"/>
      </w:divBdr>
    </w:div>
    <w:div w:id="471098392">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08759979">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592469143">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898437093">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57725192">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18129918">
      <w:bodyDiv w:val="1"/>
      <w:marLeft w:val="0"/>
      <w:marRight w:val="0"/>
      <w:marTop w:val="0"/>
      <w:marBottom w:val="0"/>
      <w:divBdr>
        <w:top w:val="none" w:sz="0" w:space="0" w:color="auto"/>
        <w:left w:val="none" w:sz="0" w:space="0" w:color="auto"/>
        <w:bottom w:val="none" w:sz="0" w:space="0" w:color="auto"/>
        <w:right w:val="none" w:sz="0" w:space="0" w:color="auto"/>
      </w:divBdr>
    </w:div>
    <w:div w:id="1241646092">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47332922">
      <w:bodyDiv w:val="1"/>
      <w:marLeft w:val="0"/>
      <w:marRight w:val="0"/>
      <w:marTop w:val="0"/>
      <w:marBottom w:val="0"/>
      <w:divBdr>
        <w:top w:val="none" w:sz="0" w:space="0" w:color="auto"/>
        <w:left w:val="none" w:sz="0" w:space="0" w:color="auto"/>
        <w:bottom w:val="none" w:sz="0" w:space="0" w:color="auto"/>
        <w:right w:val="none" w:sz="0" w:space="0" w:color="auto"/>
      </w:divBdr>
    </w:div>
    <w:div w:id="1551303172">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0210522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2220015">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887444978">
      <w:bodyDiv w:val="1"/>
      <w:marLeft w:val="0"/>
      <w:marRight w:val="0"/>
      <w:marTop w:val="0"/>
      <w:marBottom w:val="0"/>
      <w:divBdr>
        <w:top w:val="none" w:sz="0" w:space="0" w:color="auto"/>
        <w:left w:val="none" w:sz="0" w:space="0" w:color="auto"/>
        <w:bottom w:val="none" w:sz="0" w:space="0" w:color="auto"/>
        <w:right w:val="none" w:sz="0" w:space="0" w:color="auto"/>
      </w:divBdr>
    </w:div>
    <w:div w:id="1897155888">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9/&amp;a=RRA%2014270.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8/&amp;a=RRA%205097.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consultas.ifai.org.mx/descargar.php?r=./pdf/resoluciones/2018/&amp;a=RRA%204548.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BAAEB-72AA-4AB2-A08E-A3C897805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31</Pages>
  <Words>6158</Words>
  <Characters>33874</Characters>
  <Application>Microsoft Office Word</Application>
  <DocSecurity>0</DocSecurity>
  <Lines>282</Lines>
  <Paragraphs>79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20</cp:revision>
  <cp:lastPrinted>2020-01-30T23:10:00Z</cp:lastPrinted>
  <dcterms:created xsi:type="dcterms:W3CDTF">2022-11-25T00:53:00Z</dcterms:created>
  <dcterms:modified xsi:type="dcterms:W3CDTF">2023-01-18T20:49:00Z</dcterms:modified>
</cp:coreProperties>
</file>