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E11C8" w14:textId="2B668D09" w:rsidR="00331E3B" w:rsidRPr="006C0176" w:rsidRDefault="005C2E26" w:rsidP="00591D0F">
      <w:pPr>
        <w:spacing w:before="100" w:beforeAutospacing="1" w:after="100" w:afterAutospacing="1" w:line="360" w:lineRule="auto"/>
        <w:jc w:val="both"/>
        <w:rPr>
          <w:rFonts w:ascii="Palatino Linotype" w:hAnsi="Palatino Linotype"/>
        </w:rPr>
      </w:pPr>
      <w:r w:rsidRPr="006C0176">
        <w:rPr>
          <w:rFonts w:ascii="Palatino Linotype" w:hAnsi="Palatino Linotype"/>
        </w:rPr>
        <w:t>Resolución del Pleno del Instituto de Transparencia, Acceso a la Información Pública y Protección de Datos Personales del Estado de México y Municipios, con domicili</w:t>
      </w:r>
      <w:r w:rsidR="004A0BCD" w:rsidRPr="006C0176">
        <w:rPr>
          <w:rFonts w:ascii="Palatino Linotype" w:hAnsi="Palatino Linotype"/>
        </w:rPr>
        <w:t>o en Metepec, Estado de México</w:t>
      </w:r>
      <w:r w:rsidR="00C4637B" w:rsidRPr="006C0176">
        <w:rPr>
          <w:rFonts w:ascii="Palatino Linotype" w:hAnsi="Palatino Linotype"/>
        </w:rPr>
        <w:t>, del</w:t>
      </w:r>
      <w:r w:rsidR="00331E3B" w:rsidRPr="006C0176">
        <w:rPr>
          <w:rFonts w:ascii="Palatino Linotype" w:hAnsi="Palatino Linotype"/>
        </w:rPr>
        <w:t xml:space="preserve"> </w:t>
      </w:r>
      <w:r w:rsidR="00087943" w:rsidRPr="006C0176">
        <w:rPr>
          <w:rFonts w:ascii="Palatino Linotype" w:hAnsi="Palatino Linotype"/>
        </w:rPr>
        <w:t>diez</w:t>
      </w:r>
      <w:r w:rsidR="00AB70AF" w:rsidRPr="006C0176">
        <w:rPr>
          <w:rFonts w:ascii="Palatino Linotype" w:hAnsi="Palatino Linotype"/>
        </w:rPr>
        <w:t xml:space="preserve"> de mayo</w:t>
      </w:r>
      <w:r w:rsidR="008C3626" w:rsidRPr="006C0176">
        <w:rPr>
          <w:rFonts w:ascii="Palatino Linotype" w:hAnsi="Palatino Linotype"/>
        </w:rPr>
        <w:t xml:space="preserve"> </w:t>
      </w:r>
      <w:r w:rsidR="00331E3B" w:rsidRPr="006C0176">
        <w:rPr>
          <w:rFonts w:ascii="Palatino Linotype" w:hAnsi="Palatino Linotype"/>
        </w:rPr>
        <w:t>de dos mil veintitrés.</w:t>
      </w:r>
    </w:p>
    <w:p w14:paraId="2C11FACB" w14:textId="50D31B10" w:rsidR="00457BB8" w:rsidRPr="006C0176" w:rsidRDefault="00457BB8" w:rsidP="00591D0F">
      <w:pPr>
        <w:spacing w:before="100" w:beforeAutospacing="1" w:after="100" w:afterAutospacing="1" w:line="360" w:lineRule="auto"/>
        <w:jc w:val="both"/>
        <w:rPr>
          <w:rFonts w:ascii="Palatino Linotype" w:hAnsi="Palatino Linotype"/>
          <w:b/>
        </w:rPr>
      </w:pPr>
      <w:r w:rsidRPr="006C0176">
        <w:rPr>
          <w:rFonts w:ascii="Palatino Linotype" w:hAnsi="Palatino Linotype"/>
          <w:b/>
        </w:rPr>
        <w:t>VISTO</w:t>
      </w:r>
      <w:r w:rsidRPr="006C0176">
        <w:rPr>
          <w:rFonts w:ascii="Palatino Linotype" w:hAnsi="Palatino Linotype"/>
        </w:rPr>
        <w:t xml:space="preserve"> el exp</w:t>
      </w:r>
      <w:r w:rsidR="00CB5585" w:rsidRPr="006C0176">
        <w:rPr>
          <w:rFonts w:ascii="Palatino Linotype" w:hAnsi="Palatino Linotype"/>
        </w:rPr>
        <w:t xml:space="preserve">ediente formado con motivo del </w:t>
      </w:r>
      <w:r w:rsidR="00D86297" w:rsidRPr="006C0176">
        <w:rPr>
          <w:rFonts w:ascii="Palatino Linotype" w:hAnsi="Palatino Linotype"/>
        </w:rPr>
        <w:t>Recurso Revisión</w:t>
      </w:r>
      <w:r w:rsidRPr="006C0176">
        <w:rPr>
          <w:rFonts w:ascii="Palatino Linotype" w:hAnsi="Palatino Linotype"/>
        </w:rPr>
        <w:t xml:space="preserve"> </w:t>
      </w:r>
      <w:r w:rsidR="00FB3CC4" w:rsidRPr="006C0176">
        <w:rPr>
          <w:rFonts w:ascii="Palatino Linotype" w:hAnsi="Palatino Linotype"/>
          <w:b/>
          <w:lang w:val="es-ES_tradnl"/>
        </w:rPr>
        <w:t>17242</w:t>
      </w:r>
      <w:r w:rsidR="008834CE" w:rsidRPr="006C0176">
        <w:rPr>
          <w:rFonts w:ascii="Palatino Linotype" w:hAnsi="Palatino Linotype"/>
          <w:b/>
          <w:lang w:val="es-ES_tradnl"/>
        </w:rPr>
        <w:t>/INFOEM/IP/RR/2022</w:t>
      </w:r>
      <w:r w:rsidRPr="006C0176">
        <w:rPr>
          <w:rFonts w:ascii="Palatino Linotype" w:hAnsi="Palatino Linotype"/>
        </w:rPr>
        <w:t xml:space="preserve">, </w:t>
      </w:r>
      <w:r w:rsidR="0075030B" w:rsidRPr="006C0176">
        <w:rPr>
          <w:rFonts w:ascii="Palatino Linotype" w:hAnsi="Palatino Linotype"/>
        </w:rPr>
        <w:t xml:space="preserve">promovido </w:t>
      </w:r>
      <w:r w:rsidR="001B488B" w:rsidRPr="006C0176">
        <w:rPr>
          <w:rFonts w:ascii="Palatino Linotype" w:hAnsi="Palatino Linotype"/>
        </w:rPr>
        <w:t xml:space="preserve">por </w:t>
      </w:r>
      <w:r w:rsidR="00FB3CC4" w:rsidRPr="006C0176">
        <w:rPr>
          <w:rFonts w:ascii="Palatino Linotype" w:hAnsi="Palatino Linotype"/>
        </w:rPr>
        <w:t>el</w:t>
      </w:r>
      <w:r w:rsidR="0075030B" w:rsidRPr="006C0176">
        <w:rPr>
          <w:rFonts w:ascii="Palatino Linotype" w:hAnsi="Palatino Linotype"/>
        </w:rPr>
        <w:t xml:space="preserve"> </w:t>
      </w:r>
      <w:r w:rsidR="0075030B" w:rsidRPr="006C0176">
        <w:rPr>
          <w:rFonts w:ascii="Palatino Linotype" w:hAnsi="Palatino Linotype"/>
          <w:b/>
        </w:rPr>
        <w:t xml:space="preserve">C. </w:t>
      </w:r>
      <w:bookmarkStart w:id="0" w:name="_GoBack"/>
      <w:r w:rsidR="008C4F89">
        <w:rPr>
          <w:rFonts w:ascii="Palatino Linotype" w:hAnsi="Palatino Linotype"/>
          <w:b/>
        </w:rPr>
        <w:t xml:space="preserve">XXXXXXX </w:t>
      </w:r>
      <w:proofErr w:type="spellStart"/>
      <w:r w:rsidR="008C4F89">
        <w:rPr>
          <w:rFonts w:ascii="Palatino Linotype" w:hAnsi="Palatino Linotype"/>
          <w:b/>
        </w:rPr>
        <w:t>XXXXXXX</w:t>
      </w:r>
      <w:proofErr w:type="spellEnd"/>
      <w:r w:rsidR="008C4F89">
        <w:rPr>
          <w:rFonts w:ascii="Palatino Linotype" w:hAnsi="Palatino Linotype"/>
          <w:b/>
        </w:rPr>
        <w:t xml:space="preserve"> XXXXX</w:t>
      </w:r>
      <w:bookmarkEnd w:id="0"/>
      <w:r w:rsidR="005C250B" w:rsidRPr="006C0176">
        <w:rPr>
          <w:rFonts w:ascii="Palatino Linotype" w:hAnsi="Palatino Linotype"/>
        </w:rPr>
        <w:t>,</w:t>
      </w:r>
      <w:r w:rsidR="005C250B" w:rsidRPr="006C0176">
        <w:rPr>
          <w:rFonts w:ascii="Palatino Linotype" w:hAnsi="Palatino Linotype" w:cs="Arial"/>
          <w:b/>
          <w:lang w:val="es-ES"/>
        </w:rPr>
        <w:t xml:space="preserve"> </w:t>
      </w:r>
      <w:r w:rsidR="007E09B0" w:rsidRPr="006C0176">
        <w:rPr>
          <w:rFonts w:ascii="Palatino Linotype" w:hAnsi="Palatino Linotype" w:cs="Arial"/>
          <w:lang w:val="es-ES"/>
        </w:rPr>
        <w:t xml:space="preserve">a </w:t>
      </w:r>
      <w:r w:rsidR="007E09B0" w:rsidRPr="006C0176">
        <w:rPr>
          <w:rFonts w:ascii="Palatino Linotype" w:hAnsi="Palatino Linotype"/>
          <w:lang w:val="es-ES"/>
        </w:rPr>
        <w:t>quien</w:t>
      </w:r>
      <w:r w:rsidR="005C250B" w:rsidRPr="006C0176">
        <w:rPr>
          <w:rFonts w:ascii="Palatino Linotype" w:hAnsi="Palatino Linotype" w:cs="Arial"/>
          <w:b/>
          <w:lang w:val="es-ES"/>
        </w:rPr>
        <w:t xml:space="preserve"> </w:t>
      </w:r>
      <w:r w:rsidR="005C250B" w:rsidRPr="006C0176">
        <w:rPr>
          <w:rFonts w:ascii="Palatino Linotype" w:hAnsi="Palatino Linotype"/>
        </w:rPr>
        <w:t>en lo sucesivo se</w:t>
      </w:r>
      <w:r w:rsidR="007E09B0" w:rsidRPr="006C0176">
        <w:rPr>
          <w:rFonts w:ascii="Palatino Linotype" w:hAnsi="Palatino Linotype"/>
        </w:rPr>
        <w:t xml:space="preserve"> le</w:t>
      </w:r>
      <w:r w:rsidR="005C250B" w:rsidRPr="006C0176">
        <w:rPr>
          <w:rFonts w:ascii="Palatino Linotype" w:hAnsi="Palatino Linotype"/>
        </w:rPr>
        <w:t xml:space="preserve"> denominará </w:t>
      </w:r>
      <w:r w:rsidR="00DE32E9" w:rsidRPr="006C0176">
        <w:rPr>
          <w:rFonts w:ascii="Palatino Linotype" w:hAnsi="Palatino Linotype" w:cs="Arial"/>
          <w:b/>
          <w:lang w:val="es-ES"/>
        </w:rPr>
        <w:t>EL</w:t>
      </w:r>
      <w:r w:rsidR="005C250B" w:rsidRPr="006C0176">
        <w:rPr>
          <w:rFonts w:ascii="Palatino Linotype" w:hAnsi="Palatino Linotype" w:cs="Arial"/>
          <w:b/>
          <w:lang w:val="es-ES"/>
        </w:rPr>
        <w:t xml:space="preserve"> RECURRENTE</w:t>
      </w:r>
      <w:r w:rsidR="005C250B" w:rsidRPr="006C0176">
        <w:rPr>
          <w:rFonts w:ascii="Palatino Linotype" w:hAnsi="Palatino Linotype"/>
        </w:rPr>
        <w:t>,</w:t>
      </w:r>
      <w:r w:rsidRPr="006C0176">
        <w:rPr>
          <w:rFonts w:ascii="Palatino Linotype" w:hAnsi="Palatino Linotype"/>
        </w:rPr>
        <w:t xml:space="preserve"> </w:t>
      </w:r>
      <w:r w:rsidR="00E24730" w:rsidRPr="006C0176">
        <w:rPr>
          <w:rFonts w:ascii="Palatino Linotype" w:hAnsi="Palatino Linotype"/>
        </w:rPr>
        <w:t xml:space="preserve">en contra de </w:t>
      </w:r>
      <w:r w:rsidR="00DD7C89" w:rsidRPr="006C0176">
        <w:rPr>
          <w:rFonts w:ascii="Palatino Linotype" w:hAnsi="Palatino Linotype" w:cs="Arial"/>
          <w:lang w:val="es-ES"/>
        </w:rPr>
        <w:t>la</w:t>
      </w:r>
      <w:r w:rsidR="00E24730" w:rsidRPr="006C0176">
        <w:rPr>
          <w:rFonts w:ascii="Palatino Linotype" w:hAnsi="Palatino Linotype" w:cs="Arial"/>
          <w:lang w:val="es-ES"/>
        </w:rPr>
        <w:t xml:space="preserve"> respuesta</w:t>
      </w:r>
      <w:r w:rsidR="00F74502" w:rsidRPr="006C0176">
        <w:rPr>
          <w:rFonts w:ascii="Palatino Linotype" w:hAnsi="Palatino Linotype" w:cs="Arial"/>
          <w:lang w:val="es-ES"/>
        </w:rPr>
        <w:t xml:space="preserve"> d</w:t>
      </w:r>
      <w:r w:rsidR="000C0B7F" w:rsidRPr="006C0176">
        <w:rPr>
          <w:rFonts w:ascii="Palatino Linotype" w:hAnsi="Palatino Linotype" w:cs="Arial"/>
          <w:lang w:val="es-ES"/>
        </w:rPr>
        <w:t>e</w:t>
      </w:r>
      <w:r w:rsidR="0075030B" w:rsidRPr="006C0176">
        <w:rPr>
          <w:rFonts w:ascii="Palatino Linotype" w:hAnsi="Palatino Linotype" w:cs="Arial"/>
          <w:lang w:val="es-ES"/>
        </w:rPr>
        <w:t>l</w:t>
      </w:r>
      <w:r w:rsidR="005C250B" w:rsidRPr="006C0176">
        <w:rPr>
          <w:rFonts w:ascii="Palatino Linotype" w:hAnsi="Palatino Linotype" w:cs="Arial"/>
          <w:lang w:val="es-ES"/>
        </w:rPr>
        <w:t xml:space="preserve"> </w:t>
      </w:r>
      <w:r w:rsidR="00FB3CC4" w:rsidRPr="006C0176">
        <w:rPr>
          <w:rFonts w:ascii="Palatino Linotype" w:hAnsi="Palatino Linotype" w:cs="Arial"/>
          <w:b/>
          <w:bCs/>
        </w:rPr>
        <w:t>Ayuntamiento de Ixtlahuaca</w:t>
      </w:r>
      <w:r w:rsidRPr="006C0176">
        <w:rPr>
          <w:rFonts w:ascii="Palatino Linotype" w:hAnsi="Palatino Linotype"/>
          <w:b/>
        </w:rPr>
        <w:t xml:space="preserve">, </w:t>
      </w:r>
      <w:r w:rsidR="00A66569" w:rsidRPr="006C0176">
        <w:rPr>
          <w:rFonts w:ascii="Palatino Linotype" w:hAnsi="Palatino Linotype"/>
          <w:lang w:val="es-419"/>
        </w:rPr>
        <w:t xml:space="preserve">que en </w:t>
      </w:r>
      <w:r w:rsidRPr="006C0176">
        <w:rPr>
          <w:rFonts w:ascii="Palatino Linotype" w:hAnsi="Palatino Linotype"/>
        </w:rPr>
        <w:t xml:space="preserve">lo sucesivo </w:t>
      </w:r>
      <w:r w:rsidR="009E2E2C" w:rsidRPr="006C0176">
        <w:rPr>
          <w:rFonts w:ascii="Palatino Linotype" w:hAnsi="Palatino Linotype"/>
        </w:rPr>
        <w:t xml:space="preserve">se denominará </w:t>
      </w:r>
      <w:r w:rsidRPr="006C0176">
        <w:rPr>
          <w:rFonts w:ascii="Palatino Linotype" w:hAnsi="Palatino Linotype"/>
          <w:b/>
        </w:rPr>
        <w:t>EL SUJETO OBLIGADO</w:t>
      </w:r>
      <w:r w:rsidRPr="006C0176">
        <w:rPr>
          <w:rFonts w:ascii="Palatino Linotype" w:hAnsi="Palatino Linotype"/>
        </w:rPr>
        <w:t>, se procede a dictar la presente resol</w:t>
      </w:r>
      <w:r w:rsidR="009A60AC" w:rsidRPr="006C0176">
        <w:rPr>
          <w:rFonts w:ascii="Palatino Linotype" w:hAnsi="Palatino Linotype"/>
        </w:rPr>
        <w:t>ución con base en lo siguiente:</w:t>
      </w:r>
    </w:p>
    <w:p w14:paraId="480E521A" w14:textId="1C45FB4A" w:rsidR="00457BB8" w:rsidRPr="006C0176" w:rsidRDefault="003103D9" w:rsidP="00591D0F">
      <w:pPr>
        <w:spacing w:before="100" w:beforeAutospacing="1" w:after="100" w:afterAutospacing="1" w:line="360" w:lineRule="auto"/>
        <w:jc w:val="center"/>
        <w:rPr>
          <w:rFonts w:ascii="Palatino Linotype" w:hAnsi="Palatino Linotype"/>
          <w:b/>
          <w:bCs/>
          <w:spacing w:val="40"/>
          <w:sz w:val="28"/>
        </w:rPr>
      </w:pPr>
      <w:r w:rsidRPr="006C0176">
        <w:rPr>
          <w:rFonts w:ascii="Palatino Linotype" w:hAnsi="Palatino Linotype"/>
          <w:b/>
          <w:bCs/>
          <w:spacing w:val="40"/>
          <w:sz w:val="28"/>
        </w:rPr>
        <w:t>ANTECEDENTES</w:t>
      </w:r>
    </w:p>
    <w:p w14:paraId="27A028CA" w14:textId="38A75BD8" w:rsidR="0046481A" w:rsidRPr="006C0176" w:rsidRDefault="00457BB8" w:rsidP="00591D0F">
      <w:pPr>
        <w:spacing w:before="100" w:beforeAutospacing="1" w:after="100" w:afterAutospacing="1" w:line="360" w:lineRule="auto"/>
        <w:jc w:val="both"/>
        <w:rPr>
          <w:rFonts w:ascii="Palatino Linotype" w:hAnsi="Palatino Linotype"/>
          <w:b/>
          <w:sz w:val="26"/>
          <w:szCs w:val="26"/>
        </w:rPr>
      </w:pPr>
      <w:r w:rsidRPr="006C0176">
        <w:rPr>
          <w:rFonts w:ascii="Palatino Linotype" w:hAnsi="Palatino Linotype"/>
          <w:b/>
          <w:sz w:val="26"/>
          <w:szCs w:val="26"/>
        </w:rPr>
        <w:t xml:space="preserve">I. </w:t>
      </w:r>
      <w:r w:rsidR="00747069" w:rsidRPr="006C0176">
        <w:rPr>
          <w:rFonts w:ascii="Palatino Linotype" w:hAnsi="Palatino Linotype"/>
          <w:b/>
          <w:sz w:val="26"/>
          <w:szCs w:val="26"/>
        </w:rPr>
        <w:t>De la Solicitud de Información</w:t>
      </w:r>
      <w:r w:rsidR="00E547B6" w:rsidRPr="006C0176">
        <w:rPr>
          <w:rFonts w:ascii="Palatino Linotype" w:hAnsi="Palatino Linotype"/>
          <w:b/>
          <w:sz w:val="26"/>
          <w:szCs w:val="26"/>
        </w:rPr>
        <w:t>.</w:t>
      </w:r>
    </w:p>
    <w:p w14:paraId="4EA39801" w14:textId="081308BC" w:rsidR="00F67B0E" w:rsidRPr="006C0176" w:rsidRDefault="004A0BCD" w:rsidP="00591D0F">
      <w:pPr>
        <w:spacing w:before="100" w:beforeAutospacing="1" w:after="100" w:afterAutospacing="1" w:line="360" w:lineRule="auto"/>
        <w:jc w:val="both"/>
        <w:rPr>
          <w:rFonts w:ascii="Palatino Linotype" w:hAnsi="Palatino Linotype" w:cs="Arial"/>
          <w:b/>
          <w:bCs/>
          <w:lang w:val="es-ES"/>
        </w:rPr>
      </w:pPr>
      <w:r w:rsidRPr="006C0176">
        <w:rPr>
          <w:rFonts w:ascii="Palatino Linotype" w:hAnsi="Palatino Linotype" w:cs="Arial"/>
        </w:rPr>
        <w:t xml:space="preserve">El </w:t>
      </w:r>
      <w:r w:rsidR="00FB3CC4" w:rsidRPr="006C0176">
        <w:rPr>
          <w:rFonts w:ascii="Palatino Linotype" w:hAnsi="Palatino Linotype" w:cs="Arial"/>
          <w:b/>
        </w:rPr>
        <w:t>diecisiete de noviembre</w:t>
      </w:r>
      <w:r w:rsidR="00D73171" w:rsidRPr="006C0176">
        <w:rPr>
          <w:rFonts w:ascii="Palatino Linotype" w:hAnsi="Palatino Linotype" w:cs="Arial"/>
          <w:b/>
        </w:rPr>
        <w:t xml:space="preserve"> de dos mil veintidós</w:t>
      </w:r>
      <w:r w:rsidR="00D73171" w:rsidRPr="006C0176">
        <w:rPr>
          <w:rFonts w:ascii="Palatino Linotype" w:hAnsi="Palatino Linotype" w:cs="Arial"/>
        </w:rPr>
        <w:t xml:space="preserve">, </w:t>
      </w:r>
      <w:r w:rsidR="00FB3CC4" w:rsidRPr="006C0176">
        <w:rPr>
          <w:rFonts w:ascii="Palatino Linotype" w:hAnsi="Palatino Linotype" w:cs="Arial"/>
          <w:b/>
        </w:rPr>
        <w:t>EL</w:t>
      </w:r>
      <w:r w:rsidR="00D73171" w:rsidRPr="006C0176">
        <w:rPr>
          <w:rFonts w:ascii="Palatino Linotype" w:hAnsi="Palatino Linotype" w:cs="Arial"/>
          <w:b/>
        </w:rPr>
        <w:t xml:space="preserve"> RECURRENTE</w:t>
      </w:r>
      <w:r w:rsidR="00D73171" w:rsidRPr="006C0176">
        <w:rPr>
          <w:rFonts w:ascii="Palatino Linotype" w:hAnsi="Palatino Linotype" w:cs="Arial"/>
        </w:rPr>
        <w:t xml:space="preserve"> </w:t>
      </w:r>
      <w:r w:rsidR="001B1A92" w:rsidRPr="006C0176">
        <w:rPr>
          <w:rFonts w:ascii="Palatino Linotype" w:eastAsia="Palatino Linotype" w:hAnsi="Palatino Linotype" w:cs="Palatino Linotype"/>
        </w:rPr>
        <w:t xml:space="preserve">a través de la plataforma del </w:t>
      </w:r>
      <w:r w:rsidR="007D6468" w:rsidRPr="006C0176">
        <w:rPr>
          <w:rFonts w:ascii="Palatino Linotype" w:eastAsia="Palatino Linotype" w:hAnsi="Palatino Linotype" w:cs="Palatino Linotype"/>
        </w:rPr>
        <w:t>Sistema de Acceso a la Información Mexiquense</w:t>
      </w:r>
      <w:r w:rsidR="00D73171" w:rsidRPr="006C0176">
        <w:rPr>
          <w:rFonts w:ascii="Palatino Linotype" w:hAnsi="Palatino Linotype" w:cs="Arial"/>
        </w:rPr>
        <w:t xml:space="preserve">, en lo subsecuente </w:t>
      </w:r>
      <w:r w:rsidR="00D73171" w:rsidRPr="006C0176">
        <w:rPr>
          <w:rFonts w:ascii="Palatino Linotype" w:hAnsi="Palatino Linotype" w:cs="Arial"/>
          <w:b/>
        </w:rPr>
        <w:t>EL SAIMEX</w:t>
      </w:r>
      <w:r w:rsidR="00D73171" w:rsidRPr="006C0176">
        <w:rPr>
          <w:rFonts w:ascii="Palatino Linotype" w:hAnsi="Palatino Linotype" w:cs="Arial"/>
        </w:rPr>
        <w:t xml:space="preserve"> ante </w:t>
      </w:r>
      <w:r w:rsidR="00D73171" w:rsidRPr="006C0176">
        <w:rPr>
          <w:rFonts w:ascii="Palatino Linotype" w:hAnsi="Palatino Linotype" w:cs="Arial"/>
          <w:b/>
        </w:rPr>
        <w:t>EL SUJETO OBLIGADO</w:t>
      </w:r>
      <w:r w:rsidR="004E1571" w:rsidRPr="006C0176">
        <w:rPr>
          <w:rFonts w:ascii="Palatino Linotype" w:hAnsi="Palatino Linotype" w:cs="Arial"/>
          <w:b/>
        </w:rPr>
        <w:t xml:space="preserve"> </w:t>
      </w:r>
      <w:r w:rsidR="004E1571" w:rsidRPr="006C0176">
        <w:rPr>
          <w:rFonts w:ascii="Palatino Linotype" w:hAnsi="Palatino Linotype" w:cs="Arial"/>
        </w:rPr>
        <w:t>presento</w:t>
      </w:r>
      <w:r w:rsidR="00D73171" w:rsidRPr="006C0176">
        <w:rPr>
          <w:rFonts w:ascii="Palatino Linotype" w:hAnsi="Palatino Linotype" w:cs="Arial"/>
        </w:rPr>
        <w:t>, la solicitud de acceso a la Información Pública, a la que se le</w:t>
      </w:r>
      <w:r w:rsidR="00181639" w:rsidRPr="006C0176">
        <w:rPr>
          <w:rFonts w:ascii="Palatino Linotype" w:hAnsi="Palatino Linotype" w:cs="Arial"/>
        </w:rPr>
        <w:t xml:space="preserve"> asignó el número de </w:t>
      </w:r>
      <w:r w:rsidR="00FB3CC4" w:rsidRPr="006C0176">
        <w:rPr>
          <w:rFonts w:ascii="Palatino Linotype" w:hAnsi="Palatino Linotype" w:cs="Arial"/>
        </w:rPr>
        <w:t>expediente</w:t>
      </w:r>
      <w:r w:rsidR="00FB3CC4" w:rsidRPr="006C0176">
        <w:rPr>
          <w:rFonts w:ascii="Palatino Linotype" w:hAnsi="Palatino Linotype" w:cs="Arial"/>
          <w:b/>
        </w:rPr>
        <w:t xml:space="preserve"> 00260/IXTLAHUA/IP/2022</w:t>
      </w:r>
      <w:r w:rsidR="00D73171" w:rsidRPr="006C0176">
        <w:rPr>
          <w:rFonts w:ascii="Palatino Linotype" w:hAnsi="Palatino Linotype" w:cs="Arial"/>
        </w:rPr>
        <w:t>, mediante la cual solicitó:</w:t>
      </w:r>
    </w:p>
    <w:p w14:paraId="2A3302E7" w14:textId="02B5B8E4" w:rsidR="005D1CB5" w:rsidRPr="006C0176" w:rsidRDefault="00457BB8" w:rsidP="00591D0F">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6C0176">
        <w:rPr>
          <w:rFonts w:ascii="Palatino Linotype" w:hAnsi="Palatino Linotype" w:cs="Arial"/>
          <w:i/>
          <w:sz w:val="22"/>
          <w:szCs w:val="22"/>
        </w:rPr>
        <w:t>“</w:t>
      </w:r>
      <w:r w:rsidR="00FB3CC4" w:rsidRPr="006C0176">
        <w:rPr>
          <w:rFonts w:ascii="Palatino Linotype" w:hAnsi="Palatino Linotype" w:cs="Arial"/>
          <w:i/>
          <w:sz w:val="22"/>
          <w:szCs w:val="22"/>
        </w:rPr>
        <w:t xml:space="preserve">Solicito con fundamento en el artículo 8 constitucional por escrito no por consulta directa, </w:t>
      </w:r>
      <w:proofErr w:type="spellStart"/>
      <w:r w:rsidR="00FB3CC4" w:rsidRPr="006C0176">
        <w:rPr>
          <w:rFonts w:ascii="Palatino Linotype" w:hAnsi="Palatino Linotype" w:cs="Arial"/>
          <w:i/>
          <w:sz w:val="22"/>
          <w:szCs w:val="22"/>
        </w:rPr>
        <w:t>asi</w:t>
      </w:r>
      <w:proofErr w:type="spellEnd"/>
      <w:r w:rsidR="00FB3CC4" w:rsidRPr="006C0176">
        <w:rPr>
          <w:rFonts w:ascii="Palatino Linotype" w:hAnsi="Palatino Linotype" w:cs="Arial"/>
          <w:i/>
          <w:sz w:val="22"/>
          <w:szCs w:val="22"/>
        </w:rPr>
        <w:t xml:space="preserve"> como medio </w:t>
      </w:r>
      <w:proofErr w:type="spellStart"/>
      <w:r w:rsidR="00FB3CC4" w:rsidRPr="006C0176">
        <w:rPr>
          <w:rFonts w:ascii="Palatino Linotype" w:hAnsi="Palatino Linotype" w:cs="Arial"/>
          <w:i/>
          <w:sz w:val="22"/>
          <w:szCs w:val="22"/>
        </w:rPr>
        <w:t>magnetico</w:t>
      </w:r>
      <w:proofErr w:type="spellEnd"/>
      <w:r w:rsidR="00FB3CC4" w:rsidRPr="006C0176">
        <w:rPr>
          <w:rFonts w:ascii="Palatino Linotype" w:hAnsi="Palatino Linotype" w:cs="Arial"/>
          <w:i/>
          <w:sz w:val="22"/>
          <w:szCs w:val="22"/>
        </w:rPr>
        <w:t xml:space="preserve"> la siguiente información: Copia del contrato, expediente técnico de obra, avance físico, presupuesto ejercido de la obra programada denominada OP 176 Construcción de pavimentación concreto hidráulico en bulevar 16 de septiembre precisamente frente Al Auditorio en Ixtlahuaca Méx. Copia del contrato, expediente técnico de obra, avance físico, presupuesto ejercido de la obra programada denominada OP 177 Construcción de pavimentación concreto hidráulico en calle 16 de septiembre en Ixtlahuaca Méx. Copia del contrato, </w:t>
      </w:r>
      <w:r w:rsidR="00FB3CC4" w:rsidRPr="006C0176">
        <w:rPr>
          <w:rFonts w:ascii="Palatino Linotype" w:hAnsi="Palatino Linotype" w:cs="Arial"/>
          <w:i/>
          <w:sz w:val="22"/>
          <w:szCs w:val="22"/>
        </w:rPr>
        <w:lastRenderedPageBreak/>
        <w:t xml:space="preserve">expediente técnico de obra, avance físico, presupuesto ejercido de la obra programada denominada OP 179 Construcción de pavimentación concreto hidráulico 16 de septiembre por la Unidad deportiva en Ixtlahuaca </w:t>
      </w:r>
      <w:proofErr w:type="spellStart"/>
      <w:r w:rsidR="00FB3CC4" w:rsidRPr="006C0176">
        <w:rPr>
          <w:rFonts w:ascii="Palatino Linotype" w:hAnsi="Palatino Linotype" w:cs="Arial"/>
          <w:i/>
          <w:sz w:val="22"/>
          <w:szCs w:val="22"/>
        </w:rPr>
        <w:t>Méx</w:t>
      </w:r>
      <w:proofErr w:type="spellEnd"/>
      <w:r w:rsidR="00FB3CC4" w:rsidRPr="006C0176">
        <w:rPr>
          <w:rFonts w:ascii="Palatino Linotype" w:hAnsi="Palatino Linotype" w:cs="Arial"/>
          <w:i/>
          <w:sz w:val="22"/>
          <w:szCs w:val="22"/>
        </w:rPr>
        <w:t xml:space="preserve">, Copia del contrato, expediente técnico de obra, avance físico, presupuesto ejercido de la obra programada denominada OP 203 Mejoramiento de la imagen urbana del mercado 1de septiembre en Ixtlahuaca Méx. Copia del padrón de comerciantes establecidos y no fijos de </w:t>
      </w:r>
      <w:proofErr w:type="spellStart"/>
      <w:r w:rsidR="00FB3CC4" w:rsidRPr="006C0176">
        <w:rPr>
          <w:rFonts w:ascii="Palatino Linotype" w:hAnsi="Palatino Linotype" w:cs="Arial"/>
          <w:i/>
          <w:sz w:val="22"/>
          <w:szCs w:val="22"/>
        </w:rPr>
        <w:t>Ixtlahuca</w:t>
      </w:r>
      <w:proofErr w:type="spellEnd"/>
      <w:r w:rsidR="00FB3CC4" w:rsidRPr="006C0176">
        <w:rPr>
          <w:rFonts w:ascii="Palatino Linotype" w:hAnsi="Palatino Linotype" w:cs="Arial"/>
          <w:i/>
          <w:sz w:val="22"/>
          <w:szCs w:val="22"/>
        </w:rPr>
        <w:t xml:space="preserve"> México, ingresos totales que obtiene el ayuntamiento por concepto de piso de plaza de los días lunes, y entre semana. Copia del padrón de locatarios y comerciantes establecidos tanto en el interior como exterior en el mercado 1 de septiembre en Ixtlahuaca Méx</w:t>
      </w:r>
      <w:r w:rsidR="001B488B" w:rsidRPr="006C0176">
        <w:rPr>
          <w:rFonts w:ascii="Palatino Linotype" w:hAnsi="Palatino Linotype" w:cs="Arial"/>
          <w:i/>
          <w:sz w:val="22"/>
          <w:szCs w:val="22"/>
        </w:rPr>
        <w:t>.</w:t>
      </w:r>
      <w:r w:rsidR="00681016" w:rsidRPr="006C0176">
        <w:rPr>
          <w:rFonts w:ascii="Palatino Linotype" w:hAnsi="Palatino Linotype" w:cs="Arial"/>
          <w:i/>
          <w:sz w:val="22"/>
          <w:szCs w:val="22"/>
        </w:rPr>
        <w:t xml:space="preserve">” </w:t>
      </w:r>
      <w:r w:rsidR="004E74D1" w:rsidRPr="006C0176">
        <w:rPr>
          <w:rFonts w:ascii="Palatino Linotype" w:hAnsi="Palatino Linotype" w:cs="Arial"/>
          <w:i/>
          <w:sz w:val="22"/>
          <w:szCs w:val="22"/>
        </w:rPr>
        <w:t>(S</w:t>
      </w:r>
      <w:r w:rsidRPr="006C0176">
        <w:rPr>
          <w:rFonts w:ascii="Palatino Linotype" w:hAnsi="Palatino Linotype" w:cs="Arial"/>
          <w:i/>
          <w:sz w:val="22"/>
          <w:szCs w:val="22"/>
        </w:rPr>
        <w:t>ic)</w:t>
      </w:r>
      <w:r w:rsidR="004E74D1" w:rsidRPr="006C0176">
        <w:rPr>
          <w:rFonts w:ascii="Palatino Linotype" w:hAnsi="Palatino Linotype" w:cs="Arial"/>
          <w:i/>
          <w:sz w:val="22"/>
          <w:szCs w:val="22"/>
        </w:rPr>
        <w:t>.</w:t>
      </w:r>
    </w:p>
    <w:p w14:paraId="0FB2753E" w14:textId="2C794DDE" w:rsidR="002B5838" w:rsidRPr="006C0176" w:rsidRDefault="00457BB8" w:rsidP="00591D0F">
      <w:pPr>
        <w:widowControl w:val="0"/>
        <w:spacing w:before="100" w:beforeAutospacing="1" w:after="100" w:afterAutospacing="1" w:line="360" w:lineRule="auto"/>
        <w:jc w:val="both"/>
        <w:rPr>
          <w:rFonts w:ascii="Palatino Linotype" w:eastAsia="Palatino Linotype" w:hAnsi="Palatino Linotype" w:cs="Palatino Linotype"/>
        </w:rPr>
      </w:pPr>
      <w:r w:rsidRPr="006C0176">
        <w:rPr>
          <w:rFonts w:ascii="Palatino Linotype" w:hAnsi="Palatino Linotype" w:cs="Arial"/>
          <w:b/>
          <w:sz w:val="26"/>
          <w:szCs w:val="26"/>
        </w:rPr>
        <w:t>MODALIDAD DE ENTREGA</w:t>
      </w:r>
      <w:r w:rsidRPr="006C0176">
        <w:rPr>
          <w:rFonts w:ascii="Palatino Linotype" w:hAnsi="Palatino Linotype" w:cs="Arial"/>
          <w:b/>
        </w:rPr>
        <w:t>:</w:t>
      </w:r>
      <w:r w:rsidRPr="006C0176">
        <w:rPr>
          <w:rFonts w:ascii="Palatino Linotype" w:hAnsi="Palatino Linotype" w:cs="Arial"/>
        </w:rPr>
        <w:t xml:space="preserve"> </w:t>
      </w:r>
      <w:r w:rsidR="007D6468" w:rsidRPr="006C0176">
        <w:rPr>
          <w:rFonts w:ascii="Palatino Linotype" w:eastAsia="Palatino Linotype" w:hAnsi="Palatino Linotype" w:cs="Palatino Linotype"/>
        </w:rPr>
        <w:t xml:space="preserve">Sistema de Acceso a la </w:t>
      </w:r>
      <w:r w:rsidR="00302F1B" w:rsidRPr="006C0176">
        <w:rPr>
          <w:rFonts w:ascii="Palatino Linotype" w:eastAsia="Palatino Linotype" w:hAnsi="Palatino Linotype" w:cs="Palatino Linotype"/>
        </w:rPr>
        <w:t>I</w:t>
      </w:r>
      <w:r w:rsidR="00681016" w:rsidRPr="006C0176">
        <w:rPr>
          <w:rFonts w:ascii="Palatino Linotype" w:eastAsia="Palatino Linotype" w:hAnsi="Palatino Linotype" w:cs="Palatino Linotype"/>
        </w:rPr>
        <w:t>nformación Mexiquense (SAIMEX)</w:t>
      </w:r>
      <w:r w:rsidR="001B488B" w:rsidRPr="006C0176">
        <w:rPr>
          <w:rFonts w:ascii="Palatino Linotype" w:eastAsia="Palatino Linotype" w:hAnsi="Palatino Linotype" w:cs="Palatino Linotype"/>
        </w:rPr>
        <w:t>.</w:t>
      </w:r>
      <w:r w:rsidR="00EE3BBB" w:rsidRPr="006C0176">
        <w:rPr>
          <w:rFonts w:ascii="Palatino Linotype" w:eastAsia="Palatino Linotype" w:hAnsi="Palatino Linotype" w:cs="Palatino Linotype"/>
        </w:rPr>
        <w:t xml:space="preserve"> </w:t>
      </w:r>
    </w:p>
    <w:p w14:paraId="2135ED93" w14:textId="56B48E95" w:rsidR="0075030B" w:rsidRPr="006C0176" w:rsidRDefault="001B488B" w:rsidP="00591D0F">
      <w:pPr>
        <w:spacing w:before="100" w:beforeAutospacing="1" w:after="100" w:afterAutospacing="1" w:line="360" w:lineRule="auto"/>
        <w:jc w:val="both"/>
        <w:rPr>
          <w:rFonts w:ascii="Palatino Linotype" w:hAnsi="Palatino Linotype" w:cs="Arial"/>
          <w:b/>
          <w:sz w:val="26"/>
          <w:szCs w:val="26"/>
        </w:rPr>
      </w:pPr>
      <w:r w:rsidRPr="006C0176">
        <w:rPr>
          <w:rFonts w:ascii="Palatino Linotype" w:hAnsi="Palatino Linotype"/>
          <w:b/>
          <w:sz w:val="26"/>
          <w:szCs w:val="26"/>
        </w:rPr>
        <w:t>II.</w:t>
      </w:r>
      <w:r w:rsidR="0075030B" w:rsidRPr="006C0176">
        <w:rPr>
          <w:rFonts w:ascii="Palatino Linotype" w:hAnsi="Palatino Linotype" w:cs="Arial"/>
          <w:b/>
          <w:sz w:val="26"/>
          <w:szCs w:val="26"/>
        </w:rPr>
        <w:t xml:space="preserve"> Respuesta del Sujeto Obligado</w:t>
      </w:r>
    </w:p>
    <w:p w14:paraId="7C3BA728" w14:textId="4C756F79" w:rsidR="00C9398D" w:rsidRPr="006C0176" w:rsidRDefault="00641A03" w:rsidP="00591D0F">
      <w:pPr>
        <w:spacing w:before="100" w:beforeAutospacing="1" w:after="100" w:afterAutospacing="1" w:line="360" w:lineRule="auto"/>
        <w:jc w:val="both"/>
        <w:rPr>
          <w:rFonts w:ascii="Palatino Linotype" w:hAnsi="Palatino Linotype" w:cs="Arial"/>
        </w:rPr>
      </w:pPr>
      <w:r w:rsidRPr="006C0176">
        <w:rPr>
          <w:rFonts w:ascii="Palatino Linotype" w:hAnsi="Palatino Linotype"/>
        </w:rPr>
        <w:t xml:space="preserve">De las constancias que obran en el </w:t>
      </w:r>
      <w:r w:rsidRPr="006C0176">
        <w:rPr>
          <w:rFonts w:ascii="Palatino Linotype" w:hAnsi="Palatino Linotype"/>
          <w:b/>
        </w:rPr>
        <w:t>SAIMEX,</w:t>
      </w:r>
      <w:r w:rsidRPr="006C0176">
        <w:rPr>
          <w:rFonts w:ascii="Palatino Linotype" w:hAnsi="Palatino Linotype"/>
        </w:rPr>
        <w:t xml:space="preserve"> se advierte que</w:t>
      </w:r>
      <w:r w:rsidR="00773AE3" w:rsidRPr="006C0176">
        <w:rPr>
          <w:rFonts w:ascii="Palatino Linotype" w:hAnsi="Palatino Linotype"/>
        </w:rPr>
        <w:t xml:space="preserve"> el</w:t>
      </w:r>
      <w:r w:rsidR="00293B80" w:rsidRPr="006C0176">
        <w:rPr>
          <w:rFonts w:ascii="Palatino Linotype" w:hAnsi="Palatino Linotype"/>
        </w:rPr>
        <w:t xml:space="preserve"> </w:t>
      </w:r>
      <w:r w:rsidR="00FB3CC4" w:rsidRPr="006C0176">
        <w:rPr>
          <w:rFonts w:ascii="Palatino Linotype" w:hAnsi="Palatino Linotype"/>
          <w:b/>
          <w:bCs/>
        </w:rPr>
        <w:t>siete de diciembre</w:t>
      </w:r>
      <w:r w:rsidR="00D0570C" w:rsidRPr="006C0176">
        <w:rPr>
          <w:rFonts w:ascii="Palatino Linotype" w:hAnsi="Palatino Linotype"/>
          <w:b/>
        </w:rPr>
        <w:t xml:space="preserve"> del </w:t>
      </w:r>
      <w:r w:rsidR="004A0BCD" w:rsidRPr="006C0176">
        <w:rPr>
          <w:rFonts w:ascii="Palatino Linotype" w:hAnsi="Palatino Linotype"/>
          <w:b/>
        </w:rPr>
        <w:t xml:space="preserve">dos mil </w:t>
      </w:r>
      <w:r w:rsidR="00081385" w:rsidRPr="006C0176">
        <w:rPr>
          <w:rFonts w:ascii="Palatino Linotype" w:hAnsi="Palatino Linotype"/>
          <w:b/>
        </w:rPr>
        <w:t>veintidós</w:t>
      </w:r>
      <w:r w:rsidR="00D0570C" w:rsidRPr="006C0176">
        <w:rPr>
          <w:rFonts w:ascii="Palatino Linotype" w:hAnsi="Palatino Linotype"/>
        </w:rPr>
        <w:t>,</w:t>
      </w:r>
      <w:r w:rsidRPr="006C0176">
        <w:rPr>
          <w:rFonts w:ascii="Palatino Linotype" w:hAnsi="Palatino Linotype"/>
        </w:rPr>
        <w:t xml:space="preserve"> </w:t>
      </w:r>
      <w:r w:rsidRPr="006C0176">
        <w:rPr>
          <w:rFonts w:ascii="Palatino Linotype" w:hAnsi="Palatino Linotype" w:cs="Arial"/>
          <w:b/>
        </w:rPr>
        <w:t>EL SUJETO OBLIGADO</w:t>
      </w:r>
      <w:r w:rsidRPr="006C0176">
        <w:rPr>
          <w:rFonts w:ascii="Palatino Linotype" w:hAnsi="Palatino Linotype" w:cs="Arial"/>
        </w:rPr>
        <w:t xml:space="preserve"> </w:t>
      </w:r>
      <w:r w:rsidR="001B488B" w:rsidRPr="006C0176">
        <w:rPr>
          <w:rFonts w:ascii="Palatino Linotype" w:hAnsi="Palatino Linotype" w:cs="Arial"/>
        </w:rPr>
        <w:t>dio</w:t>
      </w:r>
      <w:r w:rsidRPr="006C0176">
        <w:rPr>
          <w:rFonts w:ascii="Palatino Linotype" w:hAnsi="Palatino Linotype" w:cs="Arial"/>
        </w:rPr>
        <w:t xml:space="preserve"> la respuesta a la solicitud de </w:t>
      </w:r>
      <w:r w:rsidR="00D86297" w:rsidRPr="006C0176">
        <w:rPr>
          <w:rFonts w:ascii="Palatino Linotype" w:hAnsi="Palatino Linotype" w:cs="Arial"/>
        </w:rPr>
        <w:t>Información Pública</w:t>
      </w:r>
      <w:r w:rsidR="0068657B" w:rsidRPr="006C0176">
        <w:rPr>
          <w:rFonts w:ascii="Palatino Linotype" w:hAnsi="Palatino Linotype" w:cs="Arial"/>
        </w:rPr>
        <w:t xml:space="preserve"> del particular</w:t>
      </w:r>
      <w:r w:rsidR="00C9398D" w:rsidRPr="006C0176">
        <w:rPr>
          <w:rFonts w:ascii="Palatino Linotype" w:hAnsi="Palatino Linotype" w:cs="Arial"/>
        </w:rPr>
        <w:t xml:space="preserve"> en los siguientes términos:</w:t>
      </w:r>
    </w:p>
    <w:p w14:paraId="76A9CCE0" w14:textId="52080A6D" w:rsidR="00924A3A" w:rsidRPr="006C0176" w:rsidRDefault="003945BA" w:rsidP="00591D0F">
      <w:pPr>
        <w:spacing w:before="100" w:beforeAutospacing="1" w:after="100" w:afterAutospacing="1" w:line="276" w:lineRule="auto"/>
        <w:ind w:left="851" w:right="899"/>
        <w:jc w:val="both"/>
        <w:rPr>
          <w:rFonts w:ascii="Palatino Linotype" w:hAnsi="Palatino Linotype" w:cs="Arial"/>
          <w:i/>
          <w:sz w:val="22"/>
        </w:rPr>
      </w:pPr>
      <w:r w:rsidRPr="006C0176">
        <w:rPr>
          <w:rFonts w:ascii="Palatino Linotype" w:hAnsi="Palatino Linotype" w:cs="Arial"/>
          <w:i/>
          <w:sz w:val="22"/>
        </w:rPr>
        <w:t>“</w:t>
      </w:r>
      <w:r w:rsidR="004A0BCD" w:rsidRPr="006C0176">
        <w:rPr>
          <w:rFonts w:ascii="Palatino Linotype" w:hAnsi="Palatino Linotype" w:cs="Arial"/>
          <w:i/>
          <w:sz w:val="22"/>
        </w:rPr>
        <w:t>…</w:t>
      </w:r>
      <w:r w:rsidR="00FB3CC4" w:rsidRPr="006C0176">
        <w:rPr>
          <w:rFonts w:ascii="Palatino Linotype" w:hAnsi="Palatino Linotype" w:cs="Arial"/>
          <w:i/>
          <w:sz w:val="22"/>
        </w:rPr>
        <w:t xml:space="preserve">Por medio del presente me permito enviarle un cordial y afectuoso saludo, al mismo tiempo y en atención a su solicitud 00260/IXTLAHUA/IP/2022, de fecha diecisiete de noviembre de dos mil veintidós; donde solicita lo siguiente: …”Solicito con fundamento en el artículo 8 constitucional por escrito no por consulta directa, así como medio magnético la siguiente información: Copia del contrato, expediente técnico de obra, avance físico, presupuesto ejercido de la obra programada denominada OP 176 Construcción de pavimentación concreto hidráulico en bulevar 16 de septiembre precisamente frente Al Auditorio en Ixtlahuaca Méx. Copia del contrato, expediente técnico de obra, avance físico, presupuesto ejercido de la obra programada denominada OP 177 Construcción de pavimentación concreto hidráulico en calle 16 de septiembre en Ixtlahuaca Méx. Copia del contrato, expediente técnico de obra, avance físico, presupuesto ejercido de la obra programada </w:t>
      </w:r>
      <w:r w:rsidR="00FB3CC4" w:rsidRPr="006C0176">
        <w:rPr>
          <w:rFonts w:ascii="Palatino Linotype" w:hAnsi="Palatino Linotype" w:cs="Arial"/>
          <w:i/>
          <w:sz w:val="22"/>
        </w:rPr>
        <w:lastRenderedPageBreak/>
        <w:t xml:space="preserve">denominada OP 179 Construcción de pavimentación concreto hidráulico 16 de septiembre por la Unidad deportiva en Ixtlahuaca </w:t>
      </w:r>
      <w:proofErr w:type="spellStart"/>
      <w:r w:rsidR="00FB3CC4" w:rsidRPr="006C0176">
        <w:rPr>
          <w:rFonts w:ascii="Palatino Linotype" w:hAnsi="Palatino Linotype" w:cs="Arial"/>
          <w:i/>
          <w:sz w:val="22"/>
        </w:rPr>
        <w:t>Méx</w:t>
      </w:r>
      <w:proofErr w:type="spellEnd"/>
      <w:r w:rsidR="00FB3CC4" w:rsidRPr="006C0176">
        <w:rPr>
          <w:rFonts w:ascii="Palatino Linotype" w:hAnsi="Palatino Linotype" w:cs="Arial"/>
          <w:i/>
          <w:sz w:val="22"/>
        </w:rPr>
        <w:t xml:space="preserve">, Copia del contrato, expediente técnico de obra, avance físico, presupuesto ejercido de la obra programada denominada OP 203 Mejoramiento de la imagen urbana del mercado 1de septiembre en Ixtlahuaca Méx. Copia del padrón de comerciantes establecidos y no fijos de </w:t>
      </w:r>
      <w:proofErr w:type="spellStart"/>
      <w:r w:rsidR="00FB3CC4" w:rsidRPr="006C0176">
        <w:rPr>
          <w:rFonts w:ascii="Palatino Linotype" w:hAnsi="Palatino Linotype" w:cs="Arial"/>
          <w:i/>
          <w:sz w:val="22"/>
        </w:rPr>
        <w:t>Ixtlahuca</w:t>
      </w:r>
      <w:proofErr w:type="spellEnd"/>
      <w:r w:rsidR="00FB3CC4" w:rsidRPr="006C0176">
        <w:rPr>
          <w:rFonts w:ascii="Palatino Linotype" w:hAnsi="Palatino Linotype" w:cs="Arial"/>
          <w:i/>
          <w:sz w:val="22"/>
        </w:rPr>
        <w:t xml:space="preserve"> México, ingresos totales que obtiene el ayuntamiento por concepto de piso de plaza de los días lunes, y entre semana. Copia del padrón de locatarios y comerciantes establecidos tanto en el interior como exterior en el mercado 1 de septiembre en Ixtlahuaca Méx.….”, 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al respecto envió a Usted la información siguiente: envió en formato PDF (RESPUESTA 00260 ) Sin otro particular por el momento quedo de Usted; para cualquier duda y/o aclaración al respecto</w:t>
      </w:r>
      <w:r w:rsidR="004A0BCD" w:rsidRPr="006C0176">
        <w:rPr>
          <w:rFonts w:ascii="Palatino Linotype" w:hAnsi="Palatino Linotype" w:cs="Arial"/>
          <w:i/>
          <w:sz w:val="22"/>
        </w:rPr>
        <w:t>…</w:t>
      </w:r>
      <w:r w:rsidRPr="006C0176">
        <w:rPr>
          <w:rFonts w:ascii="Palatino Linotype" w:hAnsi="Palatino Linotype" w:cs="Arial"/>
          <w:i/>
          <w:sz w:val="22"/>
        </w:rPr>
        <w:t>” (Sic)</w:t>
      </w:r>
    </w:p>
    <w:p w14:paraId="7ECA3764" w14:textId="77777777" w:rsidR="00FB3CC4" w:rsidRPr="006C0176" w:rsidRDefault="00740807" w:rsidP="00591D0F">
      <w:pPr>
        <w:pStyle w:val="Prrafodelista"/>
        <w:tabs>
          <w:tab w:val="left" w:pos="709"/>
        </w:tabs>
        <w:spacing w:before="100" w:beforeAutospacing="1" w:after="100" w:afterAutospacing="1" w:line="360" w:lineRule="auto"/>
        <w:ind w:left="0"/>
        <w:jc w:val="both"/>
        <w:rPr>
          <w:rFonts w:ascii="Palatino Linotype" w:hAnsi="Palatino Linotype" w:cs="Arial"/>
          <w:szCs w:val="26"/>
        </w:rPr>
      </w:pPr>
      <w:r w:rsidRPr="006C0176">
        <w:rPr>
          <w:rFonts w:ascii="Palatino Linotype" w:hAnsi="Palatino Linotype" w:cs="Arial"/>
          <w:szCs w:val="26"/>
        </w:rPr>
        <w:t>A la respuesta,</w:t>
      </w:r>
      <w:r w:rsidRPr="006C0176">
        <w:rPr>
          <w:rFonts w:ascii="Palatino Linotype" w:hAnsi="Palatino Linotype" w:cs="Arial"/>
          <w:b/>
          <w:szCs w:val="26"/>
        </w:rPr>
        <w:t xml:space="preserve"> EL SUJETO OBLIGADO </w:t>
      </w:r>
      <w:r w:rsidRPr="006C0176">
        <w:rPr>
          <w:rFonts w:ascii="Palatino Linotype" w:hAnsi="Palatino Linotype" w:cs="Arial"/>
          <w:szCs w:val="26"/>
        </w:rPr>
        <w:t xml:space="preserve">adjuntó </w:t>
      </w:r>
      <w:r w:rsidR="00FB3CC4" w:rsidRPr="006C0176">
        <w:rPr>
          <w:rFonts w:ascii="Palatino Linotype" w:hAnsi="Palatino Linotype" w:cs="Arial"/>
          <w:szCs w:val="26"/>
        </w:rPr>
        <w:t>los</w:t>
      </w:r>
      <w:r w:rsidR="001B488B" w:rsidRPr="006C0176">
        <w:rPr>
          <w:rFonts w:ascii="Palatino Linotype" w:hAnsi="Palatino Linotype" w:cs="Arial"/>
          <w:szCs w:val="26"/>
        </w:rPr>
        <w:t xml:space="preserve"> documento</w:t>
      </w:r>
      <w:r w:rsidR="00FB3CC4" w:rsidRPr="006C0176">
        <w:rPr>
          <w:rFonts w:ascii="Palatino Linotype" w:hAnsi="Palatino Linotype" w:cs="Arial"/>
          <w:szCs w:val="26"/>
        </w:rPr>
        <w:t>s</w:t>
      </w:r>
      <w:r w:rsidR="001B488B" w:rsidRPr="006C0176">
        <w:rPr>
          <w:rFonts w:ascii="Palatino Linotype" w:hAnsi="Palatino Linotype" w:cs="Arial"/>
          <w:szCs w:val="26"/>
        </w:rPr>
        <w:t xml:space="preserve"> electrónico</w:t>
      </w:r>
      <w:r w:rsidR="00FB3CC4" w:rsidRPr="006C0176">
        <w:rPr>
          <w:rFonts w:ascii="Palatino Linotype" w:hAnsi="Palatino Linotype" w:cs="Arial"/>
          <w:szCs w:val="26"/>
        </w:rPr>
        <w:t>s que a continuación:</w:t>
      </w:r>
    </w:p>
    <w:p w14:paraId="10724796" w14:textId="6EBF23E6" w:rsidR="00FB3CC4" w:rsidRPr="006C0176" w:rsidRDefault="00FB3CC4" w:rsidP="00591D0F">
      <w:pPr>
        <w:tabs>
          <w:tab w:val="left" w:pos="709"/>
        </w:tabs>
        <w:spacing w:before="100" w:beforeAutospacing="1" w:after="100" w:afterAutospacing="1" w:line="360" w:lineRule="auto"/>
        <w:jc w:val="both"/>
        <w:rPr>
          <w:rFonts w:ascii="Palatino Linotype" w:hAnsi="Palatino Linotype" w:cs="Arial"/>
          <w:bCs/>
        </w:rPr>
      </w:pPr>
      <w:r w:rsidRPr="006C0176">
        <w:rPr>
          <w:rFonts w:ascii="Palatino Linotype" w:hAnsi="Palatino Linotype" w:cs="Arial"/>
          <w:b/>
        </w:rPr>
        <w:t>PADRON DE LOCATARIOS.pdf:</w:t>
      </w:r>
      <w:r w:rsidR="005A726B" w:rsidRPr="006C0176">
        <w:rPr>
          <w:rFonts w:ascii="Palatino Linotype" w:hAnsi="Palatino Linotype" w:cs="Arial"/>
          <w:b/>
        </w:rPr>
        <w:t xml:space="preserve"> </w:t>
      </w:r>
      <w:r w:rsidR="005A726B" w:rsidRPr="006C0176">
        <w:rPr>
          <w:rFonts w:ascii="Palatino Linotype" w:hAnsi="Palatino Linotype" w:cs="Arial"/>
          <w:bCs/>
        </w:rPr>
        <w:t>documento electrónico que contiene 3 f</w:t>
      </w:r>
      <w:r w:rsidR="008507E9" w:rsidRPr="006C0176">
        <w:rPr>
          <w:rFonts w:ascii="Palatino Linotype" w:hAnsi="Palatino Linotype" w:cs="Arial"/>
          <w:bCs/>
        </w:rPr>
        <w:t>o</w:t>
      </w:r>
      <w:r w:rsidR="005A726B" w:rsidRPr="006C0176">
        <w:rPr>
          <w:rFonts w:ascii="Palatino Linotype" w:hAnsi="Palatino Linotype" w:cs="Arial"/>
          <w:bCs/>
        </w:rPr>
        <w:t>jas útiles, que contiene un listado de 151 personas y el giro que desempeñan.</w:t>
      </w:r>
    </w:p>
    <w:p w14:paraId="0B310BB4" w14:textId="1A731009" w:rsidR="00FB3CC4" w:rsidRPr="006C0176" w:rsidRDefault="00FB3CC4" w:rsidP="00591D0F">
      <w:pPr>
        <w:tabs>
          <w:tab w:val="left" w:pos="709"/>
        </w:tabs>
        <w:spacing w:before="100" w:beforeAutospacing="1" w:after="100" w:afterAutospacing="1" w:line="360" w:lineRule="auto"/>
        <w:jc w:val="both"/>
        <w:rPr>
          <w:rFonts w:ascii="Palatino Linotype" w:hAnsi="Palatino Linotype" w:cs="Arial"/>
          <w:b/>
        </w:rPr>
      </w:pPr>
      <w:bookmarkStart w:id="1" w:name="_Hlk132626707"/>
      <w:r w:rsidRPr="006C0176">
        <w:rPr>
          <w:rFonts w:ascii="Palatino Linotype" w:hAnsi="Palatino Linotype" w:cs="Arial"/>
          <w:b/>
        </w:rPr>
        <w:t>TRANSPARENCIA PADRON DE COMERCIANTES ESTABLECIDOS</w:t>
      </w:r>
      <w:bookmarkEnd w:id="1"/>
      <w:r w:rsidRPr="006C0176">
        <w:rPr>
          <w:rFonts w:ascii="Palatino Linotype" w:hAnsi="Palatino Linotype" w:cs="Arial"/>
          <w:b/>
        </w:rPr>
        <w:t>.pdf:</w:t>
      </w:r>
      <w:r w:rsidR="005A726B" w:rsidRPr="006C0176">
        <w:rPr>
          <w:rFonts w:ascii="Palatino Linotype" w:hAnsi="Palatino Linotype" w:cs="Arial"/>
          <w:b/>
        </w:rPr>
        <w:t xml:space="preserve"> </w:t>
      </w:r>
      <w:r w:rsidR="005A726B" w:rsidRPr="006C0176">
        <w:rPr>
          <w:rFonts w:ascii="Palatino Linotype" w:hAnsi="Palatino Linotype" w:cs="Arial"/>
          <w:bCs/>
        </w:rPr>
        <w:t>contiene 44 fojas, que contiene el padrón de comerciantes establecidos.</w:t>
      </w:r>
    </w:p>
    <w:p w14:paraId="739AB36E" w14:textId="26ABE18D" w:rsidR="00FB3CC4" w:rsidRPr="006C0176" w:rsidRDefault="00FB3CC4" w:rsidP="00591D0F">
      <w:pPr>
        <w:tabs>
          <w:tab w:val="left" w:pos="709"/>
        </w:tabs>
        <w:spacing w:before="100" w:beforeAutospacing="1" w:after="100" w:afterAutospacing="1" w:line="360" w:lineRule="auto"/>
        <w:jc w:val="both"/>
        <w:rPr>
          <w:rFonts w:ascii="Palatino Linotype" w:hAnsi="Palatino Linotype" w:cs="Arial"/>
          <w:b/>
        </w:rPr>
      </w:pPr>
      <w:r w:rsidRPr="006C0176">
        <w:rPr>
          <w:rFonts w:ascii="Palatino Linotype" w:hAnsi="Palatino Linotype" w:cs="Arial"/>
          <w:b/>
        </w:rPr>
        <w:t xml:space="preserve">ACTA DE COMITE.pdf: </w:t>
      </w:r>
      <w:r w:rsidR="005A726B" w:rsidRPr="006C0176">
        <w:rPr>
          <w:rFonts w:ascii="Palatino Linotype" w:hAnsi="Palatino Linotype" w:cs="Arial"/>
          <w:bCs/>
        </w:rPr>
        <w:t xml:space="preserve">Contiene el acta de la Quincuagésima Octava Sesión Ordinaria del Comité de Transparencia, en el cual clasifican como información confidencial el </w:t>
      </w:r>
      <w:r w:rsidR="00AB70AF" w:rsidRPr="006C0176">
        <w:rPr>
          <w:rFonts w:ascii="Palatino Linotype" w:hAnsi="Palatino Linotype" w:cs="Arial"/>
          <w:bCs/>
        </w:rPr>
        <w:t>número</w:t>
      </w:r>
      <w:r w:rsidR="005A726B" w:rsidRPr="006C0176">
        <w:rPr>
          <w:rFonts w:ascii="Palatino Linotype" w:hAnsi="Palatino Linotype" w:cs="Arial"/>
          <w:bCs/>
        </w:rPr>
        <w:t xml:space="preserve"> telefónico y el nombre del representante legal que se encuentra en el padrón de los comerciantes. </w:t>
      </w:r>
    </w:p>
    <w:p w14:paraId="73D3662E" w14:textId="41D95B62" w:rsidR="00FB3CC4" w:rsidRPr="006C0176" w:rsidRDefault="00FB3CC4" w:rsidP="00591D0F">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6C0176">
        <w:rPr>
          <w:rFonts w:ascii="Palatino Linotype" w:hAnsi="Palatino Linotype" w:cs="Arial"/>
          <w:b/>
        </w:rPr>
        <w:t xml:space="preserve">RESPUESTAS.pdf: </w:t>
      </w:r>
      <w:r w:rsidR="005A726B" w:rsidRPr="006C0176">
        <w:rPr>
          <w:rFonts w:ascii="Palatino Linotype" w:hAnsi="Palatino Linotype" w:cs="Arial"/>
          <w:bCs/>
        </w:rPr>
        <w:t xml:space="preserve">este documento electrónico contiene el Oficio PMIX/DIM/2008/2022, signado por el Director de Infraestructura Municipal del Ayuntamiento de Ixtlahuaca. </w:t>
      </w:r>
    </w:p>
    <w:p w14:paraId="5AF077F6" w14:textId="554C8692" w:rsidR="007D38BB" w:rsidRPr="006C0176" w:rsidRDefault="003257FF" w:rsidP="00591D0F">
      <w:pPr>
        <w:pStyle w:val="Prrafodelista"/>
        <w:tabs>
          <w:tab w:val="left" w:pos="709"/>
        </w:tabs>
        <w:spacing w:before="100" w:beforeAutospacing="1" w:after="100" w:afterAutospacing="1" w:line="360" w:lineRule="auto"/>
        <w:ind w:left="0"/>
        <w:jc w:val="both"/>
        <w:rPr>
          <w:rFonts w:ascii="Palatino Linotype" w:hAnsi="Palatino Linotype" w:cs="Arial"/>
          <w:szCs w:val="26"/>
        </w:rPr>
      </w:pPr>
      <w:r w:rsidRPr="006C0176">
        <w:rPr>
          <w:rFonts w:ascii="Palatino Linotype" w:hAnsi="Palatino Linotype" w:cs="Arial"/>
          <w:b/>
          <w:sz w:val="26"/>
          <w:szCs w:val="26"/>
        </w:rPr>
        <w:t>III</w:t>
      </w:r>
      <w:r w:rsidR="00E24730" w:rsidRPr="006C0176">
        <w:rPr>
          <w:rFonts w:ascii="Palatino Linotype" w:hAnsi="Palatino Linotype" w:cs="Arial"/>
          <w:b/>
          <w:sz w:val="26"/>
          <w:szCs w:val="26"/>
        </w:rPr>
        <w:t>.</w:t>
      </w:r>
      <w:r w:rsidR="000171D8" w:rsidRPr="006C0176">
        <w:rPr>
          <w:rFonts w:ascii="Palatino Linotype" w:hAnsi="Palatino Linotype" w:cs="Arial"/>
          <w:b/>
          <w:sz w:val="26"/>
          <w:szCs w:val="26"/>
        </w:rPr>
        <w:t xml:space="preserve"> </w:t>
      </w:r>
      <w:r w:rsidR="007D38BB" w:rsidRPr="006C0176">
        <w:rPr>
          <w:rFonts w:ascii="Palatino Linotype" w:hAnsi="Palatino Linotype" w:cs="Arial"/>
          <w:b/>
          <w:bCs/>
          <w:sz w:val="26"/>
          <w:szCs w:val="26"/>
        </w:rPr>
        <w:t xml:space="preserve">Del </w:t>
      </w:r>
      <w:r w:rsidR="00D86297" w:rsidRPr="006C0176">
        <w:rPr>
          <w:rFonts w:ascii="Palatino Linotype" w:hAnsi="Palatino Linotype" w:cs="Arial"/>
          <w:b/>
          <w:bCs/>
          <w:sz w:val="26"/>
          <w:szCs w:val="26"/>
        </w:rPr>
        <w:t>Recurso Revisión</w:t>
      </w:r>
      <w:r w:rsidR="00D73171" w:rsidRPr="006C0176">
        <w:rPr>
          <w:rFonts w:ascii="Palatino Linotype" w:hAnsi="Palatino Linotype" w:cs="Arial"/>
          <w:b/>
          <w:bCs/>
          <w:sz w:val="26"/>
          <w:szCs w:val="26"/>
        </w:rPr>
        <w:t>.</w:t>
      </w:r>
    </w:p>
    <w:p w14:paraId="66BB23E8" w14:textId="654D63AD" w:rsidR="00EA6DA7" w:rsidRPr="006C0176" w:rsidRDefault="000171D8" w:rsidP="00591D0F">
      <w:pPr>
        <w:spacing w:before="100" w:beforeAutospacing="1" w:after="100" w:afterAutospacing="1" w:line="360" w:lineRule="auto"/>
        <w:jc w:val="both"/>
        <w:rPr>
          <w:rFonts w:ascii="Palatino Linotype" w:hAnsi="Palatino Linotype" w:cs="Arial"/>
          <w:lang w:val="es-419"/>
        </w:rPr>
      </w:pPr>
      <w:r w:rsidRPr="006C0176">
        <w:rPr>
          <w:rFonts w:ascii="Palatino Linotype" w:hAnsi="Palatino Linotype" w:cs="Arial"/>
        </w:rPr>
        <w:t xml:space="preserve">Inconforme </w:t>
      </w:r>
      <w:r w:rsidR="00FA3204" w:rsidRPr="006C0176">
        <w:rPr>
          <w:rFonts w:ascii="Palatino Linotype" w:hAnsi="Palatino Linotype" w:cs="Arial"/>
        </w:rPr>
        <w:t xml:space="preserve">con la </w:t>
      </w:r>
      <w:r w:rsidRPr="006C0176">
        <w:rPr>
          <w:rFonts w:ascii="Palatino Linotype" w:hAnsi="Palatino Linotype" w:cs="Arial"/>
        </w:rPr>
        <w:t xml:space="preserve">respuesta, </w:t>
      </w:r>
      <w:r w:rsidR="00C4637B" w:rsidRPr="006C0176">
        <w:rPr>
          <w:rFonts w:ascii="Palatino Linotype" w:hAnsi="Palatino Linotype" w:cs="Arial"/>
        </w:rPr>
        <w:t>el</w:t>
      </w:r>
      <w:r w:rsidRPr="006C0176">
        <w:rPr>
          <w:rFonts w:ascii="Palatino Linotype" w:hAnsi="Palatino Linotype" w:cs="Arial"/>
        </w:rPr>
        <w:t xml:space="preserve"> </w:t>
      </w:r>
      <w:r w:rsidR="005A726B" w:rsidRPr="006C0176">
        <w:rPr>
          <w:rFonts w:ascii="Palatino Linotype" w:hAnsi="Palatino Linotype" w:cs="Arial"/>
          <w:b/>
        </w:rPr>
        <w:t>nueve de diciembre</w:t>
      </w:r>
      <w:r w:rsidR="003945BA" w:rsidRPr="006C0176">
        <w:rPr>
          <w:rFonts w:ascii="Palatino Linotype" w:hAnsi="Palatino Linotype" w:cs="Arial"/>
          <w:b/>
          <w:bCs/>
        </w:rPr>
        <w:t xml:space="preserve"> </w:t>
      </w:r>
      <w:r w:rsidR="00B41543" w:rsidRPr="006C0176">
        <w:rPr>
          <w:rFonts w:ascii="Palatino Linotype" w:hAnsi="Palatino Linotype" w:cs="Arial"/>
          <w:b/>
          <w:bCs/>
        </w:rPr>
        <w:t>de dos mil veintidós</w:t>
      </w:r>
      <w:r w:rsidRPr="006C0176">
        <w:rPr>
          <w:rFonts w:ascii="Palatino Linotype" w:hAnsi="Palatino Linotype" w:cs="Arial"/>
        </w:rPr>
        <w:t xml:space="preserve">, </w:t>
      </w:r>
      <w:r w:rsidR="005A726B" w:rsidRPr="006C0176">
        <w:rPr>
          <w:rFonts w:ascii="Palatino Linotype" w:hAnsi="Palatino Linotype" w:cs="Arial"/>
          <w:b/>
        </w:rPr>
        <w:t>EL</w:t>
      </w:r>
      <w:r w:rsidR="00B41543" w:rsidRPr="006C0176">
        <w:rPr>
          <w:rFonts w:ascii="Palatino Linotype" w:hAnsi="Palatino Linotype" w:cs="Arial"/>
          <w:b/>
        </w:rPr>
        <w:t xml:space="preserve"> </w:t>
      </w:r>
      <w:r w:rsidRPr="006C0176">
        <w:rPr>
          <w:rFonts w:ascii="Palatino Linotype" w:hAnsi="Palatino Linotype" w:cs="Arial"/>
          <w:b/>
        </w:rPr>
        <w:t>RECURRENTE</w:t>
      </w:r>
      <w:r w:rsidRPr="006C0176">
        <w:rPr>
          <w:rFonts w:ascii="Palatino Linotype" w:hAnsi="Palatino Linotype" w:cs="Arial"/>
        </w:rPr>
        <w:t xml:space="preserve"> interpuso el </w:t>
      </w:r>
      <w:r w:rsidR="00D86297" w:rsidRPr="006C0176">
        <w:rPr>
          <w:rFonts w:ascii="Palatino Linotype" w:hAnsi="Palatino Linotype" w:cs="Arial"/>
        </w:rPr>
        <w:t>Recurso Revisión</w:t>
      </w:r>
      <w:r w:rsidRPr="006C0176">
        <w:rPr>
          <w:rFonts w:ascii="Palatino Linotype" w:hAnsi="Palatino Linotype" w:cs="Arial"/>
        </w:rPr>
        <w:t xml:space="preserve"> sujeto del presente estudio, el cual fue registrado en </w:t>
      </w:r>
      <w:r w:rsidRPr="006C0176">
        <w:rPr>
          <w:rFonts w:ascii="Palatino Linotype" w:hAnsi="Palatino Linotype" w:cs="Arial"/>
          <w:b/>
        </w:rPr>
        <w:t xml:space="preserve">EL SAIMEX, </w:t>
      </w:r>
      <w:r w:rsidRPr="006C0176">
        <w:rPr>
          <w:rFonts w:ascii="Palatino Linotype" w:hAnsi="Palatino Linotype" w:cs="Arial"/>
          <w:bCs/>
        </w:rPr>
        <w:t>y</w:t>
      </w:r>
      <w:r w:rsidRPr="006C0176">
        <w:rPr>
          <w:rFonts w:ascii="Palatino Linotype" w:hAnsi="Palatino Linotype" w:cs="Arial"/>
        </w:rPr>
        <w:t xml:space="preserve"> se le asignó el número de expediente </w:t>
      </w:r>
      <w:r w:rsidR="005A726B" w:rsidRPr="006C0176">
        <w:rPr>
          <w:rFonts w:ascii="Palatino Linotype" w:hAnsi="Palatino Linotype" w:cs="Arial"/>
          <w:b/>
          <w:lang w:val="es-ES"/>
        </w:rPr>
        <w:t>17242</w:t>
      </w:r>
      <w:r w:rsidR="00CD3BC9" w:rsidRPr="006C0176">
        <w:rPr>
          <w:rFonts w:ascii="Palatino Linotype" w:hAnsi="Palatino Linotype" w:cs="Arial"/>
          <w:b/>
          <w:lang w:val="es-ES"/>
        </w:rPr>
        <w:t>/INFOEM/IP/RR/2022</w:t>
      </w:r>
      <w:r w:rsidRPr="006C0176">
        <w:rPr>
          <w:rFonts w:ascii="Palatino Linotype" w:hAnsi="Palatino Linotype" w:cs="Arial"/>
          <w:b/>
        </w:rPr>
        <w:t>,</w:t>
      </w:r>
      <w:r w:rsidRPr="006C0176">
        <w:rPr>
          <w:rFonts w:ascii="Palatino Linotype" w:hAnsi="Palatino Linotype" w:cs="Arial"/>
        </w:rPr>
        <w:t xml:space="preserve"> en el que señaló como</w:t>
      </w:r>
      <w:r w:rsidR="00EA6DA7" w:rsidRPr="006C0176">
        <w:rPr>
          <w:rFonts w:ascii="Palatino Linotype" w:hAnsi="Palatino Linotype" w:cs="Arial"/>
          <w:lang w:val="es-419"/>
        </w:rPr>
        <w:t>:</w:t>
      </w:r>
    </w:p>
    <w:p w14:paraId="2FF577A5" w14:textId="26D18D1C" w:rsidR="004F149E" w:rsidRPr="006C0176" w:rsidRDefault="00EA6DA7" w:rsidP="00591D0F">
      <w:pPr>
        <w:pStyle w:val="Prrafodelista"/>
        <w:numPr>
          <w:ilvl w:val="0"/>
          <w:numId w:val="30"/>
        </w:numPr>
        <w:spacing w:before="100" w:beforeAutospacing="1" w:after="100" w:afterAutospacing="1" w:line="360" w:lineRule="auto"/>
        <w:ind w:left="700"/>
        <w:jc w:val="both"/>
        <w:rPr>
          <w:rFonts w:ascii="Palatino Linotype" w:hAnsi="Palatino Linotype" w:cs="Arial"/>
          <w:b/>
        </w:rPr>
      </w:pPr>
      <w:r w:rsidRPr="006C0176">
        <w:rPr>
          <w:rFonts w:ascii="Palatino Linotype" w:hAnsi="Palatino Linotype" w:cs="Arial"/>
          <w:b/>
          <w:lang w:val="es-419"/>
        </w:rPr>
        <w:t>A</w:t>
      </w:r>
      <w:proofErr w:type="spellStart"/>
      <w:r w:rsidRPr="006C0176">
        <w:rPr>
          <w:rFonts w:ascii="Palatino Linotype" w:hAnsi="Palatino Linotype" w:cs="Arial"/>
          <w:b/>
        </w:rPr>
        <w:t>cto</w:t>
      </w:r>
      <w:proofErr w:type="spellEnd"/>
      <w:r w:rsidR="000171D8" w:rsidRPr="006C0176">
        <w:rPr>
          <w:rFonts w:ascii="Palatino Linotype" w:hAnsi="Palatino Linotype" w:cs="Arial"/>
          <w:b/>
        </w:rPr>
        <w:t xml:space="preserve"> impugnado</w:t>
      </w:r>
      <w:r w:rsidRPr="006C0176">
        <w:rPr>
          <w:rFonts w:ascii="Palatino Linotype" w:hAnsi="Palatino Linotype" w:cs="Arial"/>
          <w:b/>
        </w:rPr>
        <w:t>:</w:t>
      </w:r>
    </w:p>
    <w:p w14:paraId="4981CCD3" w14:textId="6D0E9001" w:rsidR="00EA6DA7" w:rsidRPr="006C0176" w:rsidRDefault="00EA6DA7" w:rsidP="00591D0F">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6C0176">
        <w:rPr>
          <w:rFonts w:ascii="Palatino Linotype" w:hAnsi="Palatino Linotype" w:cs="Arial"/>
          <w:i/>
          <w:sz w:val="22"/>
          <w:szCs w:val="22"/>
        </w:rPr>
        <w:t>“</w:t>
      </w:r>
      <w:r w:rsidR="005A726B" w:rsidRPr="006C0176">
        <w:rPr>
          <w:rFonts w:ascii="Palatino Linotype" w:hAnsi="Palatino Linotype" w:cs="Arial"/>
          <w:i/>
          <w:sz w:val="22"/>
          <w:szCs w:val="22"/>
        </w:rPr>
        <w:t>La respuesta de la obligada</w:t>
      </w:r>
      <w:r w:rsidRPr="006C0176">
        <w:rPr>
          <w:rFonts w:ascii="Palatino Linotype" w:hAnsi="Palatino Linotype" w:cs="Arial"/>
          <w:i/>
          <w:sz w:val="22"/>
          <w:szCs w:val="22"/>
        </w:rPr>
        <w:t>” (</w:t>
      </w:r>
      <w:r w:rsidR="008608BC" w:rsidRPr="006C0176">
        <w:rPr>
          <w:rFonts w:ascii="Palatino Linotype" w:hAnsi="Palatino Linotype" w:cs="Arial"/>
          <w:i/>
          <w:sz w:val="22"/>
          <w:szCs w:val="22"/>
        </w:rPr>
        <w:t>s</w:t>
      </w:r>
      <w:r w:rsidRPr="006C0176">
        <w:rPr>
          <w:rFonts w:ascii="Palatino Linotype" w:hAnsi="Palatino Linotype" w:cs="Arial"/>
          <w:i/>
          <w:sz w:val="22"/>
          <w:szCs w:val="22"/>
        </w:rPr>
        <w:t>ic)</w:t>
      </w:r>
    </w:p>
    <w:p w14:paraId="48FBAD77" w14:textId="72485E94" w:rsidR="000F5ABB" w:rsidRPr="006C0176" w:rsidRDefault="000F5ABB" w:rsidP="00591D0F">
      <w:pPr>
        <w:pStyle w:val="Prrafodelista"/>
        <w:numPr>
          <w:ilvl w:val="0"/>
          <w:numId w:val="30"/>
        </w:numPr>
        <w:tabs>
          <w:tab w:val="left" w:pos="851"/>
        </w:tabs>
        <w:spacing w:before="100" w:beforeAutospacing="1" w:after="100" w:afterAutospacing="1" w:line="360" w:lineRule="auto"/>
        <w:ind w:left="700" w:right="901"/>
        <w:jc w:val="both"/>
        <w:rPr>
          <w:rFonts w:ascii="Palatino Linotype" w:hAnsi="Palatino Linotype" w:cs="Arial"/>
          <w:b/>
          <w:szCs w:val="22"/>
        </w:rPr>
      </w:pPr>
      <w:r w:rsidRPr="006C0176">
        <w:rPr>
          <w:rFonts w:ascii="Palatino Linotype" w:hAnsi="Palatino Linotype" w:cs="Arial"/>
          <w:b/>
          <w:szCs w:val="22"/>
        </w:rPr>
        <w:t>Razones o motivos de inconformidad:</w:t>
      </w:r>
    </w:p>
    <w:p w14:paraId="4DC32BEE" w14:textId="3F18B927" w:rsidR="000F5ABB" w:rsidRPr="006C0176" w:rsidRDefault="000F5ABB" w:rsidP="00591D0F">
      <w:pPr>
        <w:tabs>
          <w:tab w:val="left" w:pos="851"/>
        </w:tabs>
        <w:spacing w:before="100" w:beforeAutospacing="1" w:after="100" w:afterAutospacing="1" w:line="276" w:lineRule="auto"/>
        <w:ind w:left="850" w:right="901"/>
        <w:jc w:val="both"/>
        <w:rPr>
          <w:rFonts w:ascii="Palatino Linotype" w:hAnsi="Palatino Linotype" w:cs="Arial"/>
          <w:i/>
          <w:sz w:val="22"/>
          <w:szCs w:val="22"/>
        </w:rPr>
      </w:pPr>
      <w:r w:rsidRPr="006C0176">
        <w:rPr>
          <w:rFonts w:ascii="Palatino Linotype" w:hAnsi="Palatino Linotype" w:cs="Arial"/>
          <w:i/>
          <w:sz w:val="22"/>
          <w:szCs w:val="22"/>
        </w:rPr>
        <w:t>“</w:t>
      </w:r>
      <w:r w:rsidR="005A726B" w:rsidRPr="006C0176">
        <w:rPr>
          <w:rFonts w:ascii="Palatino Linotype" w:hAnsi="Palatino Linotype" w:cs="Arial"/>
          <w:i/>
          <w:sz w:val="22"/>
          <w:szCs w:val="22"/>
        </w:rPr>
        <w:t xml:space="preserve">Como es de explorado derecho la Obligada tiene la Obligación de informar puntual, veraz y documentalmente , esto es dar respuesta motivada y fundamentada a la solicitud que se le hiciera en tiempo y forma, lo que resulta en su respuesta una total y absoluta violación </w:t>
      </w:r>
      <w:proofErr w:type="spellStart"/>
      <w:r w:rsidR="005A726B" w:rsidRPr="006C0176">
        <w:rPr>
          <w:rFonts w:ascii="Palatino Linotype" w:hAnsi="Palatino Linotype" w:cs="Arial"/>
          <w:i/>
          <w:sz w:val="22"/>
          <w:szCs w:val="22"/>
        </w:rPr>
        <w:t>sistematica</w:t>
      </w:r>
      <w:proofErr w:type="spellEnd"/>
      <w:r w:rsidR="005A726B" w:rsidRPr="006C0176">
        <w:rPr>
          <w:rFonts w:ascii="Palatino Linotype" w:hAnsi="Palatino Linotype" w:cs="Arial"/>
          <w:i/>
          <w:sz w:val="22"/>
          <w:szCs w:val="22"/>
        </w:rPr>
        <w:t xml:space="preserve"> de la Ley, en razón que manda parcialmente información , faltando a la verdad y teniendo responsabilidad al referir en su contestación " al respecto envió a Usted la información siguiente: envió en formato PDF (RESPUESTA 00260 ), documento que no contempla la totalidad de in formación solicitada, acción que no es la primera vez que lo realiza esto con la finalidad de ocultar información pública que por le Ley esta obligada a proporcionar, por lo que desde este momento solicito se tenga a la vista los </w:t>
      </w:r>
      <w:proofErr w:type="spellStart"/>
      <w:r w:rsidR="005A726B" w:rsidRPr="006C0176">
        <w:rPr>
          <w:rFonts w:ascii="Palatino Linotype" w:hAnsi="Palatino Linotype" w:cs="Arial"/>
          <w:i/>
          <w:sz w:val="22"/>
          <w:szCs w:val="22"/>
        </w:rPr>
        <w:t>multiples</w:t>
      </w:r>
      <w:proofErr w:type="spellEnd"/>
      <w:r w:rsidR="005A726B" w:rsidRPr="006C0176">
        <w:rPr>
          <w:rFonts w:ascii="Palatino Linotype" w:hAnsi="Palatino Linotype" w:cs="Arial"/>
          <w:i/>
          <w:sz w:val="22"/>
          <w:szCs w:val="22"/>
        </w:rPr>
        <w:t xml:space="preserve"> recursos interpuestos en contra de las respuestas que da la obligada en las mismas condiciones lo que lleva la sistemática conducta que lleva un objetivo que sanciona la Ley; aportando desde este momento a efecto de considerar las pruebas en su momento las documentales públicas que se encuentran en este Tribunal y que se relacionan con el acto hoy impugnado solicitando se agreguen las mismas en razón que el suscrito se encuentra limitado técnicamente para hacerlas llegar a este Tribunal, </w:t>
      </w:r>
      <w:proofErr w:type="spellStart"/>
      <w:r w:rsidR="005A726B" w:rsidRPr="006C0176">
        <w:rPr>
          <w:rFonts w:ascii="Palatino Linotype" w:hAnsi="Palatino Linotype" w:cs="Arial"/>
          <w:i/>
          <w:sz w:val="22"/>
          <w:szCs w:val="22"/>
        </w:rPr>
        <w:t>asi</w:t>
      </w:r>
      <w:proofErr w:type="spellEnd"/>
      <w:r w:rsidR="005A726B" w:rsidRPr="006C0176">
        <w:rPr>
          <w:rFonts w:ascii="Palatino Linotype" w:hAnsi="Palatino Linotype" w:cs="Arial"/>
          <w:i/>
          <w:sz w:val="22"/>
          <w:szCs w:val="22"/>
        </w:rPr>
        <w:t xml:space="preserve"> mismo la instrumental de actuaciones en todo lo que beneficie a la verdad jurídica y esclarecimiento de hechos.</w:t>
      </w:r>
      <w:r w:rsidRPr="006C0176">
        <w:rPr>
          <w:rFonts w:ascii="Palatino Linotype" w:hAnsi="Palatino Linotype" w:cs="Arial"/>
          <w:i/>
          <w:sz w:val="22"/>
          <w:szCs w:val="22"/>
        </w:rPr>
        <w:t xml:space="preserve">” </w:t>
      </w:r>
      <w:r w:rsidR="005D72B3" w:rsidRPr="006C0176">
        <w:rPr>
          <w:rFonts w:ascii="Palatino Linotype" w:hAnsi="Palatino Linotype" w:cs="Arial"/>
          <w:i/>
          <w:sz w:val="22"/>
          <w:szCs w:val="22"/>
        </w:rPr>
        <w:t>(S</w:t>
      </w:r>
      <w:r w:rsidRPr="006C0176">
        <w:rPr>
          <w:rFonts w:ascii="Palatino Linotype" w:hAnsi="Palatino Linotype" w:cs="Arial"/>
          <w:i/>
          <w:sz w:val="22"/>
          <w:szCs w:val="22"/>
        </w:rPr>
        <w:t>ic).</w:t>
      </w:r>
    </w:p>
    <w:p w14:paraId="30A8B244" w14:textId="4572FC1A" w:rsidR="000F0F9E" w:rsidRPr="006C0176" w:rsidRDefault="000F0F9E" w:rsidP="00591D0F">
      <w:pPr>
        <w:tabs>
          <w:tab w:val="left" w:pos="851"/>
        </w:tabs>
        <w:spacing w:before="100" w:beforeAutospacing="1" w:after="100" w:afterAutospacing="1" w:line="360" w:lineRule="auto"/>
        <w:jc w:val="both"/>
        <w:rPr>
          <w:rFonts w:ascii="Palatino Linotype" w:hAnsi="Palatino Linotype" w:cs="Arial"/>
          <w:iCs/>
        </w:rPr>
      </w:pPr>
      <w:r w:rsidRPr="006C0176">
        <w:rPr>
          <w:rFonts w:ascii="Palatino Linotype" w:hAnsi="Palatino Linotype" w:cs="Arial"/>
          <w:iCs/>
        </w:rPr>
        <w:t xml:space="preserve">No es de omitir que </w:t>
      </w:r>
      <w:r w:rsidRPr="006C0176">
        <w:rPr>
          <w:rFonts w:ascii="Palatino Linotype" w:hAnsi="Palatino Linotype" w:cs="Arial"/>
          <w:b/>
          <w:bCs/>
          <w:iCs/>
        </w:rPr>
        <w:t>EL RECURRENTE</w:t>
      </w:r>
      <w:r w:rsidRPr="006C0176">
        <w:rPr>
          <w:rFonts w:ascii="Palatino Linotype" w:hAnsi="Palatino Linotype" w:cs="Arial"/>
          <w:iCs/>
        </w:rPr>
        <w:t xml:space="preserve"> adjunto el archivo electrónico denominado </w:t>
      </w:r>
      <w:r w:rsidRPr="006C0176">
        <w:rPr>
          <w:rFonts w:ascii="Palatino Linotype" w:hAnsi="Palatino Linotype" w:cs="Arial"/>
          <w:b/>
          <w:bCs/>
          <w:i/>
        </w:rPr>
        <w:t>“TRANSPARENCIA PADRON DE COMERCIANTES ESTABLECIDOS”</w:t>
      </w:r>
      <w:r w:rsidRPr="006C0176">
        <w:rPr>
          <w:rFonts w:ascii="Palatino Linotype" w:hAnsi="Palatino Linotype" w:cs="Arial"/>
          <w:iCs/>
        </w:rPr>
        <w:t xml:space="preserve">, mismo que se trata de un archivo electrónico que adjuntó en su respuesta </w:t>
      </w:r>
      <w:r w:rsidRPr="006C0176">
        <w:rPr>
          <w:rFonts w:ascii="Palatino Linotype" w:hAnsi="Palatino Linotype" w:cs="Arial"/>
          <w:b/>
          <w:bCs/>
          <w:iCs/>
        </w:rPr>
        <w:t>EL SUJETO OBLIGADO</w:t>
      </w:r>
      <w:r w:rsidRPr="006C0176">
        <w:rPr>
          <w:rFonts w:ascii="Palatino Linotype" w:hAnsi="Palatino Linotype" w:cs="Arial"/>
          <w:iCs/>
        </w:rPr>
        <w:t xml:space="preserve">, mismo que fue descrito en el </w:t>
      </w:r>
      <w:r w:rsidRPr="006C0176">
        <w:rPr>
          <w:rFonts w:ascii="Palatino Linotype" w:hAnsi="Palatino Linotype" w:cs="Arial"/>
          <w:b/>
          <w:bCs/>
          <w:iCs/>
        </w:rPr>
        <w:t>Antecedente II.</w:t>
      </w:r>
      <w:r w:rsidRPr="006C0176">
        <w:rPr>
          <w:rFonts w:ascii="Palatino Linotype" w:hAnsi="Palatino Linotype" w:cs="Arial"/>
          <w:iCs/>
        </w:rPr>
        <w:t xml:space="preserve"> </w:t>
      </w:r>
    </w:p>
    <w:p w14:paraId="11CDF804" w14:textId="0274E2F6" w:rsidR="007D38BB" w:rsidRPr="006C0176" w:rsidRDefault="006B2CB0" w:rsidP="00591D0F">
      <w:pPr>
        <w:spacing w:before="100" w:beforeAutospacing="1" w:after="100" w:afterAutospacing="1" w:line="360" w:lineRule="auto"/>
        <w:jc w:val="both"/>
        <w:rPr>
          <w:rFonts w:ascii="Palatino Linotype" w:hAnsi="Palatino Linotype" w:cs="Arial"/>
          <w:b/>
          <w:sz w:val="26"/>
          <w:szCs w:val="26"/>
        </w:rPr>
      </w:pPr>
      <w:r w:rsidRPr="006C0176">
        <w:rPr>
          <w:rFonts w:ascii="Palatino Linotype" w:hAnsi="Palatino Linotype" w:cs="Arial"/>
          <w:b/>
          <w:sz w:val="26"/>
          <w:szCs w:val="26"/>
        </w:rPr>
        <w:t>I</w:t>
      </w:r>
      <w:r w:rsidR="00FA3204" w:rsidRPr="006C0176">
        <w:rPr>
          <w:rFonts w:ascii="Palatino Linotype" w:hAnsi="Palatino Linotype" w:cs="Arial"/>
          <w:b/>
          <w:sz w:val="26"/>
          <w:szCs w:val="26"/>
        </w:rPr>
        <w:t>V</w:t>
      </w:r>
      <w:r w:rsidR="000171D8" w:rsidRPr="006C0176">
        <w:rPr>
          <w:rFonts w:ascii="Palatino Linotype" w:hAnsi="Palatino Linotype" w:cs="Arial"/>
          <w:b/>
          <w:sz w:val="26"/>
          <w:szCs w:val="26"/>
        </w:rPr>
        <w:t xml:space="preserve">. </w:t>
      </w:r>
      <w:r w:rsidR="007D38BB" w:rsidRPr="006C0176">
        <w:rPr>
          <w:rFonts w:ascii="Palatino Linotype" w:hAnsi="Palatino Linotype" w:cs="Arial"/>
          <w:b/>
          <w:sz w:val="26"/>
          <w:szCs w:val="26"/>
        </w:rPr>
        <w:t xml:space="preserve">Del turno del </w:t>
      </w:r>
      <w:r w:rsidR="00D86297" w:rsidRPr="006C0176">
        <w:rPr>
          <w:rFonts w:ascii="Palatino Linotype" w:hAnsi="Palatino Linotype" w:cs="Arial"/>
          <w:b/>
          <w:sz w:val="26"/>
          <w:szCs w:val="26"/>
        </w:rPr>
        <w:t>Recurso Revisión</w:t>
      </w:r>
      <w:r w:rsidR="00D8393F" w:rsidRPr="006C0176">
        <w:rPr>
          <w:rFonts w:ascii="Palatino Linotype" w:hAnsi="Palatino Linotype" w:cs="Arial"/>
          <w:b/>
          <w:sz w:val="26"/>
          <w:szCs w:val="26"/>
        </w:rPr>
        <w:t>.</w:t>
      </w:r>
    </w:p>
    <w:p w14:paraId="7F32BE8B" w14:textId="29A7CE71" w:rsidR="001E3F54" w:rsidRPr="006C0176" w:rsidRDefault="004E1571" w:rsidP="00591D0F">
      <w:pPr>
        <w:spacing w:before="100" w:beforeAutospacing="1" w:after="100" w:afterAutospacing="1" w:line="360" w:lineRule="auto"/>
        <w:jc w:val="both"/>
        <w:rPr>
          <w:rFonts w:ascii="Palatino Linotype" w:hAnsi="Palatino Linotype" w:cs="Arial"/>
        </w:rPr>
      </w:pPr>
      <w:r w:rsidRPr="006C0176">
        <w:rPr>
          <w:rFonts w:ascii="Palatino Linotype" w:hAnsi="Palatino Linotype" w:cs="Arial"/>
        </w:rPr>
        <w:t>El</w:t>
      </w:r>
      <w:r w:rsidR="000171D8" w:rsidRPr="006C0176">
        <w:rPr>
          <w:rFonts w:ascii="Palatino Linotype" w:hAnsi="Palatino Linotype" w:cs="Arial"/>
        </w:rPr>
        <w:t xml:space="preserve"> </w:t>
      </w:r>
      <w:r w:rsidR="000F0F9E" w:rsidRPr="006C0176">
        <w:rPr>
          <w:rFonts w:ascii="Palatino Linotype" w:hAnsi="Palatino Linotype" w:cs="Arial"/>
          <w:b/>
        </w:rPr>
        <w:t>nueve de diciembre</w:t>
      </w:r>
      <w:r w:rsidR="00863810" w:rsidRPr="006C0176">
        <w:rPr>
          <w:rFonts w:ascii="Palatino Linotype" w:hAnsi="Palatino Linotype" w:cs="Arial"/>
          <w:b/>
        </w:rPr>
        <w:t xml:space="preserve"> </w:t>
      </w:r>
      <w:r w:rsidR="00081385" w:rsidRPr="006C0176">
        <w:rPr>
          <w:rFonts w:ascii="Palatino Linotype" w:hAnsi="Palatino Linotype" w:cs="Arial"/>
          <w:b/>
          <w:bCs/>
        </w:rPr>
        <w:t>de dos mil veintidós</w:t>
      </w:r>
      <w:r w:rsidR="000171D8" w:rsidRPr="006C0176">
        <w:rPr>
          <w:rFonts w:ascii="Palatino Linotype" w:hAnsi="Palatino Linotype" w:cs="Arial"/>
        </w:rPr>
        <w:t xml:space="preserve">, el </w:t>
      </w:r>
      <w:r w:rsidR="00D8393F" w:rsidRPr="006C0176">
        <w:rPr>
          <w:rFonts w:ascii="Palatino Linotype" w:hAnsi="Palatino Linotype" w:cs="Arial"/>
        </w:rPr>
        <w:t>medio de impugnación</w:t>
      </w:r>
      <w:r w:rsidR="000171D8" w:rsidRPr="006C0176">
        <w:rPr>
          <w:rFonts w:ascii="Palatino Linotype" w:hAnsi="Palatino Linotype" w:cs="Arial"/>
        </w:rPr>
        <w:t xml:space="preserve"> que se trata se envió electrónicamente al Instituto de </w:t>
      </w:r>
      <w:r w:rsidR="000171D8" w:rsidRPr="006C0176">
        <w:rPr>
          <w:rFonts w:ascii="Palatino Linotype" w:eastAsia="Arial Unicode MS" w:hAnsi="Palatino Linotype" w:cs="Arial"/>
        </w:rPr>
        <w:t>Transparencia</w:t>
      </w:r>
      <w:r w:rsidR="000171D8" w:rsidRPr="006C0176">
        <w:rPr>
          <w:rFonts w:ascii="Palatino Linotype" w:hAnsi="Palatino Linotype" w:cs="Arial"/>
        </w:rPr>
        <w:t xml:space="preserve">, Acceso a la </w:t>
      </w:r>
      <w:r w:rsidR="00D86297" w:rsidRPr="006C0176">
        <w:rPr>
          <w:rFonts w:ascii="Palatino Linotype" w:hAnsi="Palatino Linotype" w:cs="Arial"/>
        </w:rPr>
        <w:t>Información Pública</w:t>
      </w:r>
      <w:r w:rsidR="000171D8" w:rsidRPr="006C0176">
        <w:rPr>
          <w:rFonts w:ascii="Palatino Linotype" w:hAnsi="Palatino Linotype" w:cs="Arial"/>
        </w:rPr>
        <w:t xml:space="preserve"> y Protección de Datos Personales del Estado de México y Municipios; </w:t>
      </w:r>
      <w:r w:rsidR="009E2E2C" w:rsidRPr="006C0176">
        <w:rPr>
          <w:rFonts w:ascii="Palatino Linotype" w:hAnsi="Palatino Linotype" w:cs="Arial"/>
        </w:rPr>
        <w:t xml:space="preserve">por lo que, </w:t>
      </w:r>
      <w:r w:rsidR="000171D8" w:rsidRPr="006C0176">
        <w:rPr>
          <w:rFonts w:ascii="Palatino Linotype" w:hAnsi="Palatino Linotype" w:cs="Arial"/>
        </w:rPr>
        <w:t xml:space="preserve">con fundamento en el artículo 185, fracción I de la </w:t>
      </w:r>
      <w:r w:rsidR="000171D8" w:rsidRPr="006C0176">
        <w:rPr>
          <w:rFonts w:ascii="Palatino Linotype" w:hAnsi="Palatino Linotype"/>
        </w:rPr>
        <w:t xml:space="preserve">Ley de Transparencia y Acceso a la </w:t>
      </w:r>
      <w:r w:rsidR="00D86297" w:rsidRPr="006C0176">
        <w:rPr>
          <w:rFonts w:ascii="Palatino Linotype" w:hAnsi="Palatino Linotype"/>
        </w:rPr>
        <w:t>Información Pública</w:t>
      </w:r>
      <w:r w:rsidR="000171D8" w:rsidRPr="006C0176">
        <w:rPr>
          <w:rFonts w:ascii="Palatino Linotype" w:hAnsi="Palatino Linotype"/>
        </w:rPr>
        <w:t xml:space="preserve"> del Estado de México y Municipios</w:t>
      </w:r>
      <w:r w:rsidR="000171D8" w:rsidRPr="006C0176">
        <w:rPr>
          <w:rFonts w:ascii="Palatino Linotype" w:hAnsi="Palatino Linotype" w:cs="Arial"/>
        </w:rPr>
        <w:t xml:space="preserve">, se turnó </w:t>
      </w:r>
      <w:r w:rsidR="00727578" w:rsidRPr="006C0176">
        <w:rPr>
          <w:rFonts w:ascii="Palatino Linotype" w:hAnsi="Palatino Linotype" w:cs="Arial"/>
        </w:rPr>
        <w:t xml:space="preserve">mediante </w:t>
      </w:r>
      <w:r w:rsidR="00727578" w:rsidRPr="006C0176">
        <w:rPr>
          <w:rFonts w:ascii="Palatino Linotype" w:hAnsi="Palatino Linotype" w:cs="Arial"/>
          <w:b/>
        </w:rPr>
        <w:t xml:space="preserve">EL </w:t>
      </w:r>
      <w:r w:rsidR="000171D8" w:rsidRPr="006C0176">
        <w:rPr>
          <w:rFonts w:ascii="Palatino Linotype" w:eastAsia="Arial Unicode MS" w:hAnsi="Palatino Linotype" w:cs="Arial"/>
          <w:b/>
        </w:rPr>
        <w:t>SAIMEX</w:t>
      </w:r>
      <w:r w:rsidR="00B41543" w:rsidRPr="006C0176">
        <w:rPr>
          <w:rFonts w:ascii="Palatino Linotype" w:hAnsi="Palatino Linotype"/>
        </w:rPr>
        <w:t xml:space="preserve">, </w:t>
      </w:r>
      <w:r w:rsidR="00A20CBF" w:rsidRPr="006C0176">
        <w:rPr>
          <w:rFonts w:ascii="Palatino Linotype" w:hAnsi="Palatino Linotype"/>
        </w:rPr>
        <w:t>a</w:t>
      </w:r>
      <w:r w:rsidR="00FA3204" w:rsidRPr="006C0176">
        <w:rPr>
          <w:rFonts w:ascii="Palatino Linotype" w:hAnsi="Palatino Linotype"/>
        </w:rPr>
        <w:t xml:space="preserve"> </w:t>
      </w:r>
      <w:r w:rsidR="0094062A" w:rsidRPr="006C0176">
        <w:rPr>
          <w:rFonts w:ascii="Palatino Linotype" w:hAnsi="Palatino Linotype"/>
        </w:rPr>
        <w:t>l</w:t>
      </w:r>
      <w:r w:rsidR="00FA3204" w:rsidRPr="006C0176">
        <w:rPr>
          <w:rFonts w:ascii="Palatino Linotype" w:hAnsi="Palatino Linotype"/>
        </w:rPr>
        <w:t>a</w:t>
      </w:r>
      <w:r w:rsidR="00CE22BE" w:rsidRPr="006C0176">
        <w:rPr>
          <w:rFonts w:ascii="Palatino Linotype" w:hAnsi="Palatino Linotype"/>
        </w:rPr>
        <w:t xml:space="preserve"> </w:t>
      </w:r>
      <w:r w:rsidR="0046481A" w:rsidRPr="006C0176">
        <w:rPr>
          <w:rFonts w:ascii="Palatino Linotype" w:hAnsi="Palatino Linotype"/>
          <w:b/>
        </w:rPr>
        <w:t>C</w:t>
      </w:r>
      <w:r w:rsidR="000171D8" w:rsidRPr="006C0176">
        <w:rPr>
          <w:rFonts w:ascii="Palatino Linotype" w:hAnsi="Palatino Linotype" w:cs="Arial"/>
          <w:b/>
        </w:rPr>
        <w:t>omisionad</w:t>
      </w:r>
      <w:r w:rsidR="00FA3204" w:rsidRPr="006C0176">
        <w:rPr>
          <w:rFonts w:ascii="Palatino Linotype" w:hAnsi="Palatino Linotype" w:cs="Arial"/>
          <w:b/>
        </w:rPr>
        <w:t>a</w:t>
      </w:r>
      <w:r w:rsidR="00F02503" w:rsidRPr="006C0176">
        <w:rPr>
          <w:rFonts w:ascii="Palatino Linotype" w:hAnsi="Palatino Linotype" w:cs="Arial"/>
        </w:rPr>
        <w:t xml:space="preserve"> </w:t>
      </w:r>
      <w:r w:rsidR="00FA3204" w:rsidRPr="006C0176">
        <w:rPr>
          <w:rFonts w:ascii="Palatino Linotype" w:hAnsi="Palatino Linotype" w:cs="Arial"/>
          <w:b/>
        </w:rPr>
        <w:t>Sharon Cristina Morales Martínez</w:t>
      </w:r>
      <w:r w:rsidR="000171D8" w:rsidRPr="006C0176">
        <w:rPr>
          <w:rFonts w:ascii="Palatino Linotype" w:hAnsi="Palatino Linotype" w:cs="Arial"/>
        </w:rPr>
        <w:t xml:space="preserve"> a efecto de decretar su admisión o desechamiento.</w:t>
      </w:r>
    </w:p>
    <w:p w14:paraId="6E2E972C" w14:textId="65595861" w:rsidR="007D38BB" w:rsidRPr="006C0176" w:rsidRDefault="007D38BB" w:rsidP="00591D0F">
      <w:pPr>
        <w:tabs>
          <w:tab w:val="center" w:pos="4252"/>
          <w:tab w:val="right" w:pos="8504"/>
        </w:tabs>
        <w:spacing w:before="100" w:beforeAutospacing="1" w:after="100" w:afterAutospacing="1" w:line="360" w:lineRule="auto"/>
        <w:jc w:val="both"/>
        <w:rPr>
          <w:rFonts w:ascii="Palatino Linotype" w:hAnsi="Palatino Linotype" w:cs="Arial"/>
          <w:b/>
        </w:rPr>
      </w:pPr>
      <w:r w:rsidRPr="006C0176">
        <w:rPr>
          <w:rFonts w:ascii="Palatino Linotype" w:hAnsi="Palatino Linotype" w:cs="Arial"/>
          <w:b/>
        </w:rPr>
        <w:t xml:space="preserve">a) Admisión del </w:t>
      </w:r>
      <w:r w:rsidR="00D86297" w:rsidRPr="006C0176">
        <w:rPr>
          <w:rFonts w:ascii="Palatino Linotype" w:hAnsi="Palatino Linotype" w:cs="Arial"/>
          <w:b/>
        </w:rPr>
        <w:t>Recurso Revisión</w:t>
      </w:r>
      <w:r w:rsidR="00D8393F" w:rsidRPr="006C0176">
        <w:rPr>
          <w:rFonts w:ascii="Palatino Linotype" w:hAnsi="Palatino Linotype" w:cs="Arial"/>
          <w:b/>
        </w:rPr>
        <w:t>.</w:t>
      </w:r>
    </w:p>
    <w:p w14:paraId="700EE037" w14:textId="15CAC9B5" w:rsidR="00F74502" w:rsidRPr="006C0176" w:rsidRDefault="000171D8" w:rsidP="00591D0F">
      <w:pPr>
        <w:tabs>
          <w:tab w:val="center" w:pos="4252"/>
          <w:tab w:val="right" w:pos="8504"/>
        </w:tabs>
        <w:spacing w:before="100" w:beforeAutospacing="1" w:after="100" w:afterAutospacing="1" w:line="360" w:lineRule="auto"/>
        <w:jc w:val="both"/>
        <w:rPr>
          <w:rFonts w:ascii="Palatino Linotype" w:hAnsi="Palatino Linotype" w:cs="Arial"/>
        </w:rPr>
      </w:pPr>
      <w:r w:rsidRPr="006C0176">
        <w:rPr>
          <w:rFonts w:ascii="Palatino Linotype" w:hAnsi="Palatino Linotype" w:cs="Arial"/>
        </w:rPr>
        <w:t>De las constancias del expediente electrónico del</w:t>
      </w:r>
      <w:r w:rsidRPr="006C0176">
        <w:rPr>
          <w:rFonts w:ascii="Palatino Linotype" w:hAnsi="Palatino Linotype" w:cs="Arial"/>
          <w:b/>
        </w:rPr>
        <w:t xml:space="preserve"> SAIMEX</w:t>
      </w:r>
      <w:r w:rsidRPr="006C0176">
        <w:rPr>
          <w:rFonts w:ascii="Palatino Linotype" w:hAnsi="Palatino Linotype" w:cs="Arial"/>
        </w:rPr>
        <w:t xml:space="preserve">, se advierte que </w:t>
      </w:r>
      <w:r w:rsidR="00727578" w:rsidRPr="006C0176">
        <w:rPr>
          <w:rFonts w:ascii="Palatino Linotype" w:hAnsi="Palatino Linotype" w:cs="Arial"/>
          <w:bCs/>
        </w:rPr>
        <w:t>el</w:t>
      </w:r>
      <w:r w:rsidR="00123FB4" w:rsidRPr="006C0176">
        <w:rPr>
          <w:rFonts w:ascii="Palatino Linotype" w:hAnsi="Palatino Linotype" w:cs="Arial"/>
          <w:b/>
        </w:rPr>
        <w:t xml:space="preserve"> </w:t>
      </w:r>
      <w:r w:rsidR="000F0F9E" w:rsidRPr="006C0176">
        <w:rPr>
          <w:rFonts w:ascii="Palatino Linotype" w:hAnsi="Palatino Linotype" w:cs="Arial"/>
          <w:b/>
        </w:rPr>
        <w:t>doce de diciembre</w:t>
      </w:r>
      <w:r w:rsidR="00081385" w:rsidRPr="006C0176">
        <w:rPr>
          <w:rFonts w:ascii="Palatino Linotype" w:hAnsi="Palatino Linotype" w:cs="Arial"/>
          <w:b/>
        </w:rPr>
        <w:t xml:space="preserve"> </w:t>
      </w:r>
      <w:r w:rsidR="00B41543" w:rsidRPr="006C0176">
        <w:rPr>
          <w:rFonts w:ascii="Palatino Linotype" w:hAnsi="Palatino Linotype" w:cs="Arial"/>
          <w:b/>
          <w:bCs/>
        </w:rPr>
        <w:t>de dos mil veintidós</w:t>
      </w:r>
      <w:r w:rsidRPr="006C0176">
        <w:rPr>
          <w:rFonts w:ascii="Palatino Linotype" w:hAnsi="Palatino Linotype" w:cs="Arial"/>
        </w:rPr>
        <w:t xml:space="preserve">, se </w:t>
      </w:r>
      <w:r w:rsidR="004D1753" w:rsidRPr="006C0176">
        <w:rPr>
          <w:rFonts w:ascii="Palatino Linotype" w:hAnsi="Palatino Linotype" w:cs="Arial"/>
        </w:rPr>
        <w:t>notificó</w:t>
      </w:r>
      <w:r w:rsidRPr="006C0176">
        <w:rPr>
          <w:rFonts w:ascii="Palatino Linotype" w:hAnsi="Palatino Linotype" w:cs="Arial"/>
        </w:rPr>
        <w:t xml:space="preserve"> la admisión a trámite del </w:t>
      </w:r>
      <w:r w:rsidR="00D86297" w:rsidRPr="006C0176">
        <w:rPr>
          <w:rFonts w:ascii="Palatino Linotype" w:hAnsi="Palatino Linotype" w:cs="Arial"/>
        </w:rPr>
        <w:t>Recurso Revisión</w:t>
      </w:r>
      <w:r w:rsidRPr="006C0176">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C0176">
        <w:rPr>
          <w:rFonts w:ascii="Palatino Linotype" w:hAnsi="Palatino Linotype" w:cs="Arial"/>
        </w:rPr>
        <w:t>Información Pública</w:t>
      </w:r>
      <w:r w:rsidRPr="006C0176">
        <w:rPr>
          <w:rFonts w:ascii="Palatino Linotype" w:hAnsi="Palatino Linotype" w:cs="Arial"/>
        </w:rPr>
        <w:t xml:space="preserve"> del Estado de México y Municipios</w:t>
      </w:r>
      <w:r w:rsidR="00F74A05" w:rsidRPr="006C0176">
        <w:rPr>
          <w:rFonts w:ascii="Palatino Linotype" w:hAnsi="Palatino Linotype" w:cs="Arial"/>
        </w:rPr>
        <w:t>;</w:t>
      </w:r>
      <w:r w:rsidRPr="006C0176">
        <w:rPr>
          <w:rFonts w:ascii="Palatino Linotype" w:hAnsi="Palatino Linotype" w:cs="Arial"/>
        </w:rPr>
        <w:t xml:space="preserve"> </w:t>
      </w:r>
      <w:r w:rsidR="0094062A" w:rsidRPr="006C0176">
        <w:rPr>
          <w:rFonts w:ascii="Palatino Linotype" w:hAnsi="Palatino Linotype" w:cs="Arial"/>
          <w:b/>
        </w:rPr>
        <w:t>EL</w:t>
      </w:r>
      <w:r w:rsidR="00F74A05" w:rsidRPr="006C0176">
        <w:rPr>
          <w:rFonts w:ascii="Palatino Linotype" w:hAnsi="Palatino Linotype" w:cs="Arial"/>
          <w:b/>
        </w:rPr>
        <w:t xml:space="preserve"> RECURRENTE </w:t>
      </w:r>
      <w:r w:rsidRPr="006C0176">
        <w:rPr>
          <w:rFonts w:ascii="Palatino Linotype" w:hAnsi="Palatino Linotype" w:cs="Arial"/>
        </w:rPr>
        <w:t>manifestara</w:t>
      </w:r>
      <w:r w:rsidR="00F74A05" w:rsidRPr="006C0176">
        <w:rPr>
          <w:rFonts w:ascii="Palatino Linotype" w:hAnsi="Palatino Linotype" w:cs="Arial"/>
        </w:rPr>
        <w:t xml:space="preserve"> </w:t>
      </w:r>
      <w:r w:rsidRPr="006C0176">
        <w:rPr>
          <w:rFonts w:ascii="Palatino Linotype" w:hAnsi="Palatino Linotype" w:cs="Arial"/>
        </w:rPr>
        <w:t xml:space="preserve">lo que a su derecho conviniera, a efecto de presentar pruebas </w:t>
      </w:r>
      <w:r w:rsidR="00727578" w:rsidRPr="006C0176">
        <w:rPr>
          <w:rFonts w:ascii="Palatino Linotype" w:hAnsi="Palatino Linotype" w:cs="Arial"/>
        </w:rPr>
        <w:t>o</w:t>
      </w:r>
      <w:r w:rsidRPr="006C0176">
        <w:rPr>
          <w:rFonts w:ascii="Palatino Linotype" w:hAnsi="Palatino Linotype" w:cs="Arial"/>
        </w:rPr>
        <w:t xml:space="preserve"> alegatos</w:t>
      </w:r>
      <w:r w:rsidR="00727578" w:rsidRPr="006C0176">
        <w:rPr>
          <w:rFonts w:ascii="Palatino Linotype" w:hAnsi="Palatino Linotype" w:cs="Arial"/>
        </w:rPr>
        <w:t xml:space="preserve"> y</w:t>
      </w:r>
      <w:r w:rsidR="00D5111B" w:rsidRPr="006C0176">
        <w:rPr>
          <w:rFonts w:ascii="Palatino Linotype" w:hAnsi="Palatino Linotype" w:cs="Arial"/>
        </w:rPr>
        <w:t>,</w:t>
      </w:r>
      <w:r w:rsidR="00727578" w:rsidRPr="006C0176">
        <w:rPr>
          <w:rFonts w:ascii="Palatino Linotype" w:hAnsi="Palatino Linotype" w:cs="Arial"/>
        </w:rPr>
        <w:t xml:space="preserve"> en su caso, </w:t>
      </w:r>
      <w:r w:rsidRPr="006C0176">
        <w:rPr>
          <w:rFonts w:ascii="Palatino Linotype" w:hAnsi="Palatino Linotype" w:cs="Arial"/>
          <w:b/>
        </w:rPr>
        <w:t xml:space="preserve">EL SUJETO OBLIGADO </w:t>
      </w:r>
      <w:r w:rsidRPr="006C0176">
        <w:rPr>
          <w:rFonts w:ascii="Palatino Linotype" w:hAnsi="Palatino Linotype" w:cs="Arial"/>
        </w:rPr>
        <w:t>rindiera su</w:t>
      </w:r>
      <w:r w:rsidR="00727578" w:rsidRPr="006C0176">
        <w:rPr>
          <w:rFonts w:ascii="Palatino Linotype" w:hAnsi="Palatino Linotype" w:cs="Arial"/>
        </w:rPr>
        <w:t xml:space="preserve"> correspondiente </w:t>
      </w:r>
      <w:r w:rsidRPr="006C0176">
        <w:rPr>
          <w:rFonts w:ascii="Palatino Linotype" w:hAnsi="Palatino Linotype" w:cs="Arial"/>
        </w:rPr>
        <w:t>Informe Justificado.</w:t>
      </w:r>
    </w:p>
    <w:p w14:paraId="28CF2940" w14:textId="4370F684" w:rsidR="00F74A05" w:rsidRPr="006C0176" w:rsidRDefault="00FA3204" w:rsidP="00591D0F">
      <w:pPr>
        <w:spacing w:before="100" w:beforeAutospacing="1" w:after="100" w:afterAutospacing="1" w:line="360" w:lineRule="auto"/>
        <w:jc w:val="both"/>
        <w:rPr>
          <w:rFonts w:ascii="Palatino Linotype" w:eastAsia="Arial Unicode MS" w:hAnsi="Palatino Linotype" w:cs="Arial"/>
          <w:b/>
        </w:rPr>
      </w:pPr>
      <w:r w:rsidRPr="006C0176">
        <w:rPr>
          <w:rFonts w:ascii="Palatino Linotype" w:eastAsia="Arial Unicode MS" w:hAnsi="Palatino Linotype" w:cs="Arial"/>
          <w:b/>
        </w:rPr>
        <w:t>b</w:t>
      </w:r>
      <w:r w:rsidR="00F74A05" w:rsidRPr="006C0176">
        <w:rPr>
          <w:rFonts w:ascii="Palatino Linotype" w:eastAsia="Arial Unicode MS" w:hAnsi="Palatino Linotype" w:cs="Arial"/>
          <w:b/>
        </w:rPr>
        <w:t xml:space="preserve">) </w:t>
      </w:r>
      <w:r w:rsidR="00E437E8" w:rsidRPr="006C0176">
        <w:rPr>
          <w:rFonts w:ascii="Palatino Linotype" w:hAnsi="Palatino Linotype" w:cs="Arial"/>
          <w:b/>
          <w:bCs/>
        </w:rPr>
        <w:t>Manifestaciones.</w:t>
      </w:r>
    </w:p>
    <w:p w14:paraId="7E5D6F63" w14:textId="69E0AA4B" w:rsidR="00DE648C" w:rsidRPr="006C0176" w:rsidRDefault="003C2C41" w:rsidP="00591D0F">
      <w:pPr>
        <w:spacing w:before="100" w:beforeAutospacing="1" w:after="100" w:afterAutospacing="1" w:line="360" w:lineRule="auto"/>
        <w:jc w:val="both"/>
        <w:rPr>
          <w:rFonts w:ascii="Palatino Linotype" w:eastAsia="Arial Unicode MS" w:hAnsi="Palatino Linotype" w:cs="Arial"/>
        </w:rPr>
      </w:pPr>
      <w:r w:rsidRPr="006C0176">
        <w:rPr>
          <w:rFonts w:ascii="Palatino Linotype" w:eastAsia="Arial Unicode MS" w:hAnsi="Palatino Linotype" w:cs="Arial"/>
        </w:rPr>
        <w:t xml:space="preserve">De acuerdo </w:t>
      </w:r>
      <w:r w:rsidR="000171D8" w:rsidRPr="006C0176">
        <w:rPr>
          <w:rFonts w:ascii="Palatino Linotype" w:eastAsia="Arial Unicode MS" w:hAnsi="Palatino Linotype" w:cs="Arial"/>
        </w:rPr>
        <w:t xml:space="preserve">a las constancias </w:t>
      </w:r>
      <w:r w:rsidRPr="006C0176">
        <w:rPr>
          <w:rFonts w:ascii="Palatino Linotype" w:eastAsia="Arial Unicode MS" w:hAnsi="Palatino Linotype" w:cs="Arial"/>
        </w:rPr>
        <w:t xml:space="preserve">digitales que obran en </w:t>
      </w:r>
      <w:r w:rsidRPr="006C0176">
        <w:rPr>
          <w:rFonts w:ascii="Palatino Linotype" w:eastAsia="Arial Unicode MS" w:hAnsi="Palatino Linotype" w:cs="Arial"/>
          <w:b/>
        </w:rPr>
        <w:t>EL</w:t>
      </w:r>
      <w:r w:rsidR="000171D8" w:rsidRPr="006C0176">
        <w:rPr>
          <w:rFonts w:ascii="Palatino Linotype" w:eastAsia="Arial Unicode MS" w:hAnsi="Palatino Linotype" w:cs="Arial"/>
        </w:rPr>
        <w:t xml:space="preserve"> </w:t>
      </w:r>
      <w:r w:rsidR="000171D8" w:rsidRPr="006C0176">
        <w:rPr>
          <w:rFonts w:ascii="Palatino Linotype" w:eastAsia="Arial Unicode MS" w:hAnsi="Palatino Linotype" w:cs="Arial"/>
          <w:b/>
        </w:rPr>
        <w:t>SAIMEX</w:t>
      </w:r>
      <w:r w:rsidR="004E1571" w:rsidRPr="006C0176">
        <w:rPr>
          <w:rFonts w:ascii="Palatino Linotype" w:eastAsia="Arial Unicode MS" w:hAnsi="Palatino Linotype" w:cs="Arial"/>
          <w:b/>
        </w:rPr>
        <w:t xml:space="preserve"> </w:t>
      </w:r>
      <w:r w:rsidR="004E1571" w:rsidRPr="006C0176">
        <w:rPr>
          <w:rFonts w:ascii="Palatino Linotype" w:eastAsia="Arial Unicode MS" w:hAnsi="Palatino Linotype" w:cs="Arial"/>
        </w:rPr>
        <w:t>del expediente materia del presente asunto</w:t>
      </w:r>
      <w:r w:rsidR="000171D8" w:rsidRPr="006C0176">
        <w:rPr>
          <w:rFonts w:ascii="Palatino Linotype" w:eastAsia="Arial Unicode MS" w:hAnsi="Palatino Linotype" w:cs="Arial"/>
        </w:rPr>
        <w:t xml:space="preserve"> se desprende que </w:t>
      </w:r>
      <w:r w:rsidRPr="006C0176">
        <w:rPr>
          <w:rFonts w:ascii="Palatino Linotype" w:eastAsia="Arial Unicode MS" w:hAnsi="Palatino Linotype" w:cs="Arial"/>
        </w:rPr>
        <w:t>conforme</w:t>
      </w:r>
      <w:r w:rsidR="000171D8" w:rsidRPr="006C0176">
        <w:rPr>
          <w:rFonts w:ascii="Palatino Linotype" w:eastAsia="Arial Unicode MS" w:hAnsi="Palatino Linotype" w:cs="Arial"/>
        </w:rPr>
        <w:t xml:space="preserve"> a </w:t>
      </w:r>
      <w:r w:rsidR="006951F3" w:rsidRPr="006C0176">
        <w:rPr>
          <w:rFonts w:ascii="Palatino Linotype" w:eastAsia="Arial Unicode MS" w:hAnsi="Palatino Linotype" w:cs="Arial"/>
        </w:rPr>
        <w:t xml:space="preserve">lo dispuesto en el artículo 185, fracciones II y IV </w:t>
      </w:r>
      <w:r w:rsidR="000171D8" w:rsidRPr="006C0176">
        <w:rPr>
          <w:rFonts w:ascii="Palatino Linotype" w:eastAsia="Arial Unicode MS" w:hAnsi="Palatino Linotype" w:cs="Arial"/>
        </w:rPr>
        <w:t xml:space="preserve">de la Ley de Transparencia y Acceso a la </w:t>
      </w:r>
      <w:r w:rsidR="00D86297" w:rsidRPr="006C0176">
        <w:rPr>
          <w:rFonts w:ascii="Palatino Linotype" w:eastAsia="Arial Unicode MS" w:hAnsi="Palatino Linotype" w:cs="Arial"/>
        </w:rPr>
        <w:t>Información Pública</w:t>
      </w:r>
      <w:r w:rsidR="000171D8" w:rsidRPr="006C0176">
        <w:rPr>
          <w:rFonts w:ascii="Palatino Linotype" w:eastAsia="Arial Unicode MS" w:hAnsi="Palatino Linotype" w:cs="Arial"/>
        </w:rPr>
        <w:t xml:space="preserve"> del Estado de México y Municipios, dentro del término legalmente concedido a</w:t>
      </w:r>
      <w:r w:rsidR="00B6479E" w:rsidRPr="006C0176">
        <w:rPr>
          <w:rFonts w:ascii="Palatino Linotype" w:eastAsia="Arial Unicode MS" w:hAnsi="Palatino Linotype" w:cs="Arial"/>
        </w:rPr>
        <w:t xml:space="preserve"> </w:t>
      </w:r>
      <w:r w:rsidR="000F0F9E" w:rsidRPr="006C0176">
        <w:rPr>
          <w:rFonts w:ascii="Palatino Linotype" w:eastAsia="Arial Unicode MS" w:hAnsi="Palatino Linotype" w:cs="Arial"/>
          <w:b/>
        </w:rPr>
        <w:t>EL</w:t>
      </w:r>
      <w:r w:rsidR="000171D8" w:rsidRPr="006C0176">
        <w:rPr>
          <w:rFonts w:ascii="Palatino Linotype" w:eastAsia="Arial Unicode MS" w:hAnsi="Palatino Linotype" w:cs="Arial"/>
        </w:rPr>
        <w:t xml:space="preserve"> </w:t>
      </w:r>
      <w:r w:rsidR="000171D8" w:rsidRPr="006C0176">
        <w:rPr>
          <w:rFonts w:ascii="Palatino Linotype" w:eastAsia="Arial Unicode MS" w:hAnsi="Palatino Linotype" w:cs="Arial"/>
          <w:b/>
        </w:rPr>
        <w:t>RECURRENTE</w:t>
      </w:r>
      <w:r w:rsidR="000171D8" w:rsidRPr="006C0176">
        <w:rPr>
          <w:rFonts w:ascii="Palatino Linotype" w:eastAsia="Arial Unicode MS" w:hAnsi="Palatino Linotype" w:cs="Arial"/>
        </w:rPr>
        <w:t xml:space="preserve"> </w:t>
      </w:r>
      <w:r w:rsidR="006951F3" w:rsidRPr="006C0176">
        <w:rPr>
          <w:rFonts w:ascii="Palatino Linotype" w:eastAsia="Arial Unicode MS" w:hAnsi="Palatino Linotype" w:cs="Arial"/>
        </w:rPr>
        <w:t>no realizó manifestación alguna</w:t>
      </w:r>
      <w:r w:rsidR="00B6479E" w:rsidRPr="006C0176">
        <w:rPr>
          <w:rFonts w:ascii="Palatino Linotype" w:eastAsia="Arial Unicode MS" w:hAnsi="Palatino Linotype" w:cs="Arial"/>
        </w:rPr>
        <w:t xml:space="preserve">; </w:t>
      </w:r>
      <w:r w:rsidR="00081385" w:rsidRPr="006C0176">
        <w:rPr>
          <w:rFonts w:ascii="Palatino Linotype" w:eastAsia="Arial Unicode MS" w:hAnsi="Palatino Linotype" w:cs="Arial"/>
        </w:rPr>
        <w:t>por su parte</w:t>
      </w:r>
      <w:r w:rsidR="00B6479E" w:rsidRPr="006C0176">
        <w:rPr>
          <w:rFonts w:ascii="Palatino Linotype" w:eastAsia="Arial Unicode MS" w:hAnsi="Palatino Linotype" w:cs="Arial"/>
        </w:rPr>
        <w:t>,</w:t>
      </w:r>
      <w:r w:rsidR="00E1073B" w:rsidRPr="006C0176">
        <w:rPr>
          <w:rFonts w:ascii="Palatino Linotype" w:eastAsia="Arial Unicode MS" w:hAnsi="Palatino Linotype" w:cs="Arial"/>
        </w:rPr>
        <w:t xml:space="preserve"> </w:t>
      </w:r>
      <w:r w:rsidR="00E1073B" w:rsidRPr="006C0176">
        <w:rPr>
          <w:rFonts w:ascii="Palatino Linotype" w:eastAsia="Arial Unicode MS" w:hAnsi="Palatino Linotype" w:cs="Arial"/>
          <w:b/>
        </w:rPr>
        <w:t xml:space="preserve">EL SUJETO OBLIGADO </w:t>
      </w:r>
      <w:r w:rsidR="00C8252C" w:rsidRPr="006C0176">
        <w:rPr>
          <w:rFonts w:ascii="Palatino Linotype" w:eastAsia="Arial Unicode MS" w:hAnsi="Palatino Linotype" w:cs="Arial"/>
        </w:rPr>
        <w:t xml:space="preserve">rindió su </w:t>
      </w:r>
      <w:r w:rsidR="003257FF" w:rsidRPr="006C0176">
        <w:rPr>
          <w:rFonts w:ascii="Palatino Linotype" w:eastAsia="Arial Unicode MS" w:hAnsi="Palatino Linotype" w:cs="Arial"/>
        </w:rPr>
        <w:t xml:space="preserve">Informe Justificado </w:t>
      </w:r>
      <w:r w:rsidR="000F0F9E" w:rsidRPr="006C0176">
        <w:rPr>
          <w:rFonts w:ascii="Palatino Linotype" w:eastAsia="Arial Unicode MS" w:hAnsi="Palatino Linotype" w:cs="Arial"/>
        </w:rPr>
        <w:t>veintiuno de diciembre</w:t>
      </w:r>
      <w:r w:rsidR="00D20BCC" w:rsidRPr="006C0176">
        <w:rPr>
          <w:rFonts w:ascii="Palatino Linotype" w:eastAsia="Arial Unicode MS" w:hAnsi="Palatino Linotype" w:cs="Arial"/>
        </w:rPr>
        <w:t xml:space="preserve"> </w:t>
      </w:r>
      <w:r w:rsidR="00863810" w:rsidRPr="006C0176">
        <w:rPr>
          <w:rFonts w:ascii="Palatino Linotype" w:eastAsia="Arial Unicode MS" w:hAnsi="Palatino Linotype" w:cs="Arial"/>
        </w:rPr>
        <w:t>de dos mil veintidós</w:t>
      </w:r>
      <w:r w:rsidR="00C8252C" w:rsidRPr="006C0176">
        <w:rPr>
          <w:rFonts w:ascii="Palatino Linotype" w:eastAsia="Arial Unicode MS" w:hAnsi="Palatino Linotype" w:cs="Arial"/>
        </w:rPr>
        <w:t>,</w:t>
      </w:r>
      <w:r w:rsidR="00E1073B" w:rsidRPr="006C0176">
        <w:rPr>
          <w:rFonts w:ascii="Palatino Linotype" w:eastAsia="Arial Unicode MS" w:hAnsi="Palatino Linotype" w:cs="Arial"/>
        </w:rPr>
        <w:t xml:space="preserve"> </w:t>
      </w:r>
      <w:r w:rsidR="004E1571" w:rsidRPr="006C0176">
        <w:rPr>
          <w:rFonts w:ascii="Palatino Linotype" w:eastAsia="Arial Unicode MS" w:hAnsi="Palatino Linotype" w:cs="Arial"/>
        </w:rPr>
        <w:t>como se observa de la imagen que se anexa a continuación:</w:t>
      </w:r>
    </w:p>
    <w:p w14:paraId="1642B179" w14:textId="75262B8B" w:rsidR="00081385" w:rsidRPr="006C0176" w:rsidRDefault="000F0F9E" w:rsidP="00591D0F">
      <w:pPr>
        <w:spacing w:before="100" w:beforeAutospacing="1" w:after="100" w:afterAutospacing="1" w:line="360" w:lineRule="auto"/>
        <w:jc w:val="center"/>
        <w:rPr>
          <w:rFonts w:ascii="Palatino Linotype" w:hAnsi="Palatino Linotype"/>
          <w:b/>
          <w:sz w:val="26"/>
          <w:szCs w:val="26"/>
        </w:rPr>
      </w:pPr>
      <w:r w:rsidRPr="006C0176">
        <w:rPr>
          <w:rFonts w:ascii="Palatino Linotype" w:hAnsi="Palatino Linotype"/>
          <w:b/>
          <w:noProof/>
          <w:sz w:val="26"/>
          <w:szCs w:val="26"/>
          <w:lang w:eastAsia="es-MX"/>
        </w:rPr>
        <w:drawing>
          <wp:inline distT="0" distB="0" distL="0" distR="0" wp14:anchorId="5461640A" wp14:editId="6E99951E">
            <wp:extent cx="5791835" cy="20427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042795"/>
                    </a:xfrm>
                    <a:prstGeom prst="rect">
                      <a:avLst/>
                    </a:prstGeom>
                  </pic:spPr>
                </pic:pic>
              </a:graphicData>
            </a:graphic>
          </wp:inline>
        </w:drawing>
      </w:r>
    </w:p>
    <w:p w14:paraId="7803CA29" w14:textId="169477C6" w:rsidR="00BC6188" w:rsidRPr="006C0176" w:rsidRDefault="00081385" w:rsidP="00591D0F">
      <w:pPr>
        <w:spacing w:before="100" w:beforeAutospacing="1" w:after="100" w:afterAutospacing="1" w:line="360" w:lineRule="auto"/>
        <w:jc w:val="both"/>
        <w:rPr>
          <w:rFonts w:ascii="Palatino Linotype" w:hAnsi="Palatino Linotype"/>
          <w:szCs w:val="26"/>
        </w:rPr>
      </w:pPr>
      <w:r w:rsidRPr="006C0176">
        <w:rPr>
          <w:rFonts w:ascii="Palatino Linotype" w:hAnsi="Palatino Linotype"/>
          <w:szCs w:val="26"/>
        </w:rPr>
        <w:t xml:space="preserve">Informe Justificado </w:t>
      </w:r>
      <w:r w:rsidR="00D20BCC" w:rsidRPr="006C0176">
        <w:rPr>
          <w:rFonts w:ascii="Palatino Linotype" w:hAnsi="Palatino Linotype"/>
          <w:szCs w:val="26"/>
        </w:rPr>
        <w:t>puesto</w:t>
      </w:r>
      <w:r w:rsidRPr="006C0176">
        <w:rPr>
          <w:rFonts w:ascii="Palatino Linotype" w:hAnsi="Palatino Linotype"/>
          <w:szCs w:val="26"/>
        </w:rPr>
        <w:t xml:space="preserve"> a la vista de</w:t>
      </w:r>
      <w:r w:rsidR="00D20BCC" w:rsidRPr="006C0176">
        <w:rPr>
          <w:rFonts w:ascii="Palatino Linotype" w:hAnsi="Palatino Linotype"/>
          <w:szCs w:val="26"/>
        </w:rPr>
        <w:t xml:space="preserve"> la</w:t>
      </w:r>
      <w:r w:rsidRPr="006C0176">
        <w:rPr>
          <w:rFonts w:ascii="Palatino Linotype" w:hAnsi="Palatino Linotype"/>
          <w:szCs w:val="26"/>
        </w:rPr>
        <w:t xml:space="preserve"> particular mediante acuerdo </w:t>
      </w:r>
      <w:r w:rsidR="00C4637B" w:rsidRPr="006C0176">
        <w:rPr>
          <w:rFonts w:ascii="Palatino Linotype" w:hAnsi="Palatino Linotype"/>
          <w:szCs w:val="26"/>
        </w:rPr>
        <w:t>de</w:t>
      </w:r>
      <w:r w:rsidRPr="006C0176">
        <w:rPr>
          <w:rFonts w:ascii="Palatino Linotype" w:hAnsi="Palatino Linotype"/>
          <w:szCs w:val="26"/>
        </w:rPr>
        <w:t xml:space="preserve"> </w:t>
      </w:r>
      <w:r w:rsidR="000F0F9E" w:rsidRPr="006C0176">
        <w:rPr>
          <w:rFonts w:ascii="Palatino Linotype" w:hAnsi="Palatino Linotype"/>
          <w:szCs w:val="26"/>
        </w:rPr>
        <w:t>diecisiete de febrero</w:t>
      </w:r>
      <w:r w:rsidRPr="006C0176">
        <w:rPr>
          <w:rFonts w:ascii="Palatino Linotype" w:hAnsi="Palatino Linotype"/>
          <w:szCs w:val="26"/>
        </w:rPr>
        <w:t xml:space="preserve"> de dos mil </w:t>
      </w:r>
      <w:r w:rsidR="00D20BCC" w:rsidRPr="006C0176">
        <w:rPr>
          <w:rFonts w:ascii="Palatino Linotype" w:hAnsi="Palatino Linotype"/>
          <w:szCs w:val="26"/>
        </w:rPr>
        <w:t xml:space="preserve">veintitrés, en donde </w:t>
      </w:r>
      <w:r w:rsidRPr="006C0176">
        <w:rPr>
          <w:rFonts w:ascii="Palatino Linotype" w:hAnsi="Palatino Linotype"/>
          <w:b/>
          <w:szCs w:val="26"/>
        </w:rPr>
        <w:t xml:space="preserve">EL SUJETO OBLIGADO </w:t>
      </w:r>
      <w:r w:rsidR="00BC6188" w:rsidRPr="006C0176">
        <w:rPr>
          <w:rFonts w:ascii="Palatino Linotype" w:hAnsi="Palatino Linotype"/>
          <w:szCs w:val="26"/>
        </w:rPr>
        <w:t>que ratifica su respuesta primigenia</w:t>
      </w:r>
      <w:r w:rsidR="009F512D" w:rsidRPr="006C0176">
        <w:rPr>
          <w:rFonts w:ascii="Palatino Linotype" w:hAnsi="Palatino Linotype"/>
          <w:szCs w:val="26"/>
        </w:rPr>
        <w:t>.</w:t>
      </w:r>
    </w:p>
    <w:p w14:paraId="36EF9DD5" w14:textId="190CF6C5" w:rsidR="0013097E" w:rsidRPr="006C0176" w:rsidRDefault="0013097E" w:rsidP="00591D0F">
      <w:pPr>
        <w:spacing w:before="100" w:beforeAutospacing="1" w:after="100" w:afterAutospacing="1" w:line="360" w:lineRule="auto"/>
        <w:jc w:val="both"/>
        <w:rPr>
          <w:rFonts w:ascii="Palatino Linotype" w:hAnsi="Palatino Linotype"/>
          <w:b/>
          <w:bCs/>
          <w:szCs w:val="26"/>
        </w:rPr>
      </w:pPr>
      <w:r w:rsidRPr="006C0176">
        <w:rPr>
          <w:rFonts w:ascii="Palatino Linotype" w:hAnsi="Palatino Linotype"/>
          <w:b/>
          <w:szCs w:val="26"/>
        </w:rPr>
        <w:t xml:space="preserve">c) </w:t>
      </w:r>
      <w:r w:rsidRPr="006C0176">
        <w:rPr>
          <w:rFonts w:ascii="Palatino Linotype" w:hAnsi="Palatino Linotype"/>
          <w:b/>
          <w:bCs/>
          <w:szCs w:val="26"/>
        </w:rPr>
        <w:t>Ampliación del plazo para resolver el Recurso de Revisión</w:t>
      </w:r>
    </w:p>
    <w:p w14:paraId="2186D6C3" w14:textId="0B967E39" w:rsidR="0013097E" w:rsidRPr="006C0176" w:rsidRDefault="0013097E" w:rsidP="00591D0F">
      <w:pPr>
        <w:spacing w:before="100" w:beforeAutospacing="1" w:after="100" w:afterAutospacing="1" w:line="360" w:lineRule="auto"/>
        <w:jc w:val="both"/>
        <w:rPr>
          <w:rFonts w:ascii="Palatino Linotype" w:hAnsi="Palatino Linotype"/>
        </w:rPr>
      </w:pPr>
      <w:r w:rsidRPr="006C0176">
        <w:rPr>
          <w:rFonts w:ascii="Palatino Linotype" w:eastAsia="Palatino Linotype" w:hAnsi="Palatino Linotype" w:cs="Palatino Linotype"/>
          <w:lang w:val="es-ES"/>
        </w:rPr>
        <w:t xml:space="preserve">El </w:t>
      </w:r>
      <w:r w:rsidR="00BC6188" w:rsidRPr="006C0176">
        <w:rPr>
          <w:rFonts w:ascii="Palatino Linotype" w:hAnsi="Palatino Linotype" w:cs="Arial"/>
          <w:b/>
        </w:rPr>
        <w:t>trece de febrero de dos mil veintitrés</w:t>
      </w:r>
      <w:r w:rsidR="00081385" w:rsidRPr="006C0176">
        <w:rPr>
          <w:rFonts w:ascii="Palatino Linotype" w:hAnsi="Palatino Linotype" w:cs="Arial"/>
          <w:b/>
        </w:rPr>
        <w:t>,</w:t>
      </w:r>
      <w:r w:rsidRPr="006C0176">
        <w:rPr>
          <w:rFonts w:ascii="Palatino Linotype" w:eastAsia="Palatino Linotype" w:hAnsi="Palatino Linotype" w:cs="Palatino Linotype"/>
          <w:lang w:val="es-ES"/>
        </w:rPr>
        <w:t xml:space="preserve"> se acordó ampliar por un periodo de quince días hábiles, el plazo para resolver el Recurso de Revisión que nos ocupa; acto que fue notificado a las partes, mediante el Sistema de Acceso a la Información Mexiquense (SAIMEX)</w:t>
      </w:r>
      <w:r w:rsidRPr="006C0176">
        <w:rPr>
          <w:rFonts w:ascii="Palatino Linotype" w:hAnsi="Palatino Linotype"/>
        </w:rPr>
        <w:t>.</w:t>
      </w:r>
    </w:p>
    <w:p w14:paraId="3E0EF661" w14:textId="77777777" w:rsidR="0013097E" w:rsidRPr="006C0176" w:rsidRDefault="0013097E" w:rsidP="00591D0F">
      <w:pPr>
        <w:spacing w:before="100" w:beforeAutospacing="1" w:after="100" w:afterAutospacing="1" w:line="360" w:lineRule="auto"/>
        <w:jc w:val="both"/>
        <w:rPr>
          <w:rFonts w:ascii="Palatino Linotype" w:hAnsi="Palatino Linotype" w:cs="Arial"/>
          <w:lang w:eastAsia="es-MX"/>
        </w:rPr>
      </w:pPr>
      <w:r w:rsidRPr="006C0176">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2FB1A7B" w14:textId="77777777" w:rsidR="0013097E" w:rsidRPr="006C0176" w:rsidRDefault="0013097E" w:rsidP="00591D0F">
      <w:pPr>
        <w:spacing w:before="100" w:beforeAutospacing="1" w:after="100" w:afterAutospacing="1" w:line="360" w:lineRule="auto"/>
        <w:jc w:val="both"/>
        <w:rPr>
          <w:rFonts w:ascii="Palatino Linotype" w:hAnsi="Palatino Linotype" w:cs="Arial"/>
          <w:lang w:eastAsia="es-MX"/>
        </w:rPr>
      </w:pPr>
      <w:r w:rsidRPr="006C0176">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BE03D53" w14:textId="77777777" w:rsidR="0013097E" w:rsidRPr="006C0176" w:rsidRDefault="0013097E" w:rsidP="00591D0F">
      <w:pPr>
        <w:spacing w:before="100" w:beforeAutospacing="1" w:after="100" w:afterAutospacing="1" w:line="360" w:lineRule="auto"/>
        <w:jc w:val="both"/>
        <w:rPr>
          <w:rFonts w:ascii="Palatino Linotype" w:hAnsi="Palatino Linotype" w:cs="Arial"/>
          <w:lang w:eastAsia="es-MX"/>
        </w:rPr>
      </w:pPr>
      <w:r w:rsidRPr="006C0176">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A80A99" w14:textId="77777777" w:rsidR="0013097E" w:rsidRPr="006C0176" w:rsidRDefault="0013097E" w:rsidP="00591D0F">
      <w:pPr>
        <w:spacing w:before="100" w:beforeAutospacing="1" w:after="100" w:afterAutospacing="1" w:line="360" w:lineRule="auto"/>
        <w:jc w:val="both"/>
        <w:rPr>
          <w:rFonts w:ascii="Palatino Linotype" w:hAnsi="Palatino Linotype" w:cs="Arial"/>
          <w:lang w:eastAsia="es-MX"/>
        </w:rPr>
      </w:pPr>
      <w:r w:rsidRPr="006C0176">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0CAAA82" w14:textId="77777777" w:rsidR="0013097E" w:rsidRPr="006C0176" w:rsidRDefault="0013097E" w:rsidP="00591D0F">
      <w:pPr>
        <w:spacing w:before="100" w:beforeAutospacing="1" w:after="100" w:afterAutospacing="1" w:line="360" w:lineRule="auto"/>
        <w:jc w:val="both"/>
        <w:rPr>
          <w:rFonts w:ascii="Palatino Linotype" w:hAnsi="Palatino Linotype" w:cs="Arial"/>
          <w:lang w:eastAsia="es-MX"/>
        </w:rPr>
      </w:pPr>
      <w:r w:rsidRPr="006C0176">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4DFEAFA3" w:rsidR="0013097E" w:rsidRPr="006C0176" w:rsidRDefault="0013097E" w:rsidP="00591D0F">
      <w:pPr>
        <w:spacing w:before="100" w:beforeAutospacing="1" w:after="100" w:afterAutospacing="1" w:line="360" w:lineRule="auto"/>
        <w:jc w:val="both"/>
        <w:rPr>
          <w:rFonts w:ascii="Palatino Linotype" w:hAnsi="Palatino Linotype" w:cs="Arial"/>
          <w:lang w:eastAsia="es-MX"/>
        </w:rPr>
      </w:pPr>
      <w:r w:rsidRPr="006C0176">
        <w:rPr>
          <w:rFonts w:ascii="Palatino Linotype" w:hAnsi="Palatino Linotype" w:cs="Arial"/>
          <w:lang w:eastAsia="es-MX"/>
        </w:rPr>
        <w:t>a)      Complejidad del asunto: La complejidad de la prueba, la pluralidad de sujetos procesales, el tiempo transcurrido, las características y contexto del recurso.</w:t>
      </w:r>
    </w:p>
    <w:p w14:paraId="7061CA0E" w14:textId="77777777" w:rsidR="0013097E" w:rsidRPr="006C0176" w:rsidRDefault="0013097E" w:rsidP="00591D0F">
      <w:pPr>
        <w:spacing w:before="100" w:beforeAutospacing="1" w:after="100" w:afterAutospacing="1" w:line="360" w:lineRule="auto"/>
        <w:jc w:val="both"/>
        <w:rPr>
          <w:rFonts w:ascii="Palatino Linotype" w:hAnsi="Palatino Linotype" w:cs="Arial"/>
          <w:lang w:eastAsia="es-MX"/>
        </w:rPr>
      </w:pPr>
      <w:r w:rsidRPr="006C0176">
        <w:rPr>
          <w:rFonts w:ascii="Palatino Linotype" w:hAnsi="Palatino Linotype" w:cs="Arial"/>
          <w:lang w:eastAsia="es-MX"/>
        </w:rPr>
        <w:t>b)     Actividad Procesal del interesado: Acciones u omisiones del interesado.</w:t>
      </w:r>
    </w:p>
    <w:p w14:paraId="7291736B" w14:textId="3EA4EEBC" w:rsidR="0013097E" w:rsidRPr="006C0176" w:rsidRDefault="0013097E" w:rsidP="00591D0F">
      <w:pPr>
        <w:spacing w:before="100" w:beforeAutospacing="1" w:after="100" w:afterAutospacing="1" w:line="360" w:lineRule="auto"/>
        <w:jc w:val="both"/>
        <w:rPr>
          <w:rFonts w:ascii="Palatino Linotype" w:hAnsi="Palatino Linotype" w:cs="Arial"/>
          <w:lang w:eastAsia="es-MX"/>
        </w:rPr>
      </w:pPr>
      <w:r w:rsidRPr="006C0176">
        <w:rPr>
          <w:rFonts w:ascii="Palatino Linotype" w:hAnsi="Palatino Linotype" w:cs="Arial"/>
          <w:lang w:eastAsia="es-MX"/>
        </w:rPr>
        <w:t>c)      Conducta de la Autoridad: Las Acciones u omisiones realizadas en el procedimiento. Así como si la autoridad actuó con la debida diligencia.</w:t>
      </w:r>
    </w:p>
    <w:p w14:paraId="5105C548" w14:textId="77777777" w:rsidR="0013097E" w:rsidRPr="006C0176" w:rsidRDefault="0013097E" w:rsidP="00591D0F">
      <w:pPr>
        <w:spacing w:before="100" w:beforeAutospacing="1" w:after="100" w:afterAutospacing="1" w:line="360" w:lineRule="auto"/>
        <w:jc w:val="both"/>
        <w:rPr>
          <w:rFonts w:ascii="Palatino Linotype" w:hAnsi="Palatino Linotype" w:cs="Arial"/>
          <w:lang w:eastAsia="es-MX"/>
        </w:rPr>
      </w:pPr>
      <w:r w:rsidRPr="006C0176">
        <w:rPr>
          <w:rFonts w:ascii="Palatino Linotype" w:hAnsi="Palatino Linotype" w:cs="Arial"/>
          <w:lang w:eastAsia="es-MX"/>
        </w:rPr>
        <w:t>d) La afectación generada en la situación jurídica de la persona involucrada en el proceso: Violación a sus derechos humanos.</w:t>
      </w:r>
    </w:p>
    <w:p w14:paraId="3716AC49" w14:textId="58677910" w:rsidR="000641B2" w:rsidRPr="006C0176" w:rsidRDefault="0013097E" w:rsidP="00591D0F">
      <w:pPr>
        <w:spacing w:before="100" w:beforeAutospacing="1" w:after="100" w:afterAutospacing="1" w:line="360" w:lineRule="auto"/>
        <w:jc w:val="both"/>
        <w:rPr>
          <w:rFonts w:ascii="Palatino Linotype" w:hAnsi="Palatino Linotype" w:cs="Arial"/>
          <w:lang w:eastAsia="es-MX"/>
        </w:rPr>
      </w:pPr>
      <w:r w:rsidRPr="006C0176">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6C0176">
        <w:rPr>
          <w:rFonts w:ascii="Palatino Linotype" w:hAnsi="Palatino Linotype" w:cs="Arial"/>
          <w:lang w:eastAsia="es-MX"/>
        </w:rPr>
        <w:br/>
      </w:r>
      <w:r w:rsidRPr="006C0176">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6C0176">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6C0176">
        <w:rPr>
          <w:rFonts w:ascii="Palatino Linotype" w:hAnsi="Palatino Linotype" w:cs="Arial"/>
          <w:lang w:eastAsia="es-MX"/>
        </w:rPr>
        <w:br/>
      </w:r>
      <w:r w:rsidRPr="006C0176">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656E4D45" w14:textId="149C41B1" w:rsidR="0013097E" w:rsidRPr="006C0176" w:rsidRDefault="0013097E" w:rsidP="00591D0F">
      <w:pPr>
        <w:spacing w:before="100" w:beforeAutospacing="1" w:after="100" w:afterAutospacing="1" w:line="360" w:lineRule="auto"/>
        <w:jc w:val="both"/>
        <w:rPr>
          <w:rFonts w:ascii="Palatino Linotype" w:hAnsi="Palatino Linotype" w:cs="Arial"/>
          <w:lang w:eastAsia="es-MX"/>
        </w:rPr>
      </w:pPr>
      <w:r w:rsidRPr="006C0176">
        <w:rPr>
          <w:rFonts w:ascii="Palatino Linotype" w:hAnsi="Palatino Linotype" w:cs="Arial"/>
          <w:i/>
          <w:iCs/>
          <w:lang w:eastAsia="es-MX"/>
        </w:rPr>
        <w:t>“PLAZO RAZONABLE PARA RESOLVER. DIMENSIÓN Y EFECTOS DE ESTE CONCEPTO CUANDO SE ADUCE EXCESIVA CARGA DE TRABAJO.”</w:t>
      </w:r>
      <w:r w:rsidRPr="006C0176">
        <w:rPr>
          <w:rFonts w:ascii="Palatino Linotype" w:hAnsi="Palatino Linotype" w:cs="Arial"/>
          <w:lang w:eastAsia="es-MX"/>
        </w:rPr>
        <w:t xml:space="preserve"> consultable en el Seminario Judicial de la Federación y su gaceta, con el registro digital 2002351.</w:t>
      </w:r>
    </w:p>
    <w:p w14:paraId="53974268" w14:textId="0EA6D156" w:rsidR="0013097E" w:rsidRPr="006C0176" w:rsidRDefault="0013097E" w:rsidP="00591D0F">
      <w:pPr>
        <w:spacing w:before="100" w:beforeAutospacing="1" w:after="100" w:afterAutospacing="1" w:line="360" w:lineRule="auto"/>
        <w:jc w:val="both"/>
        <w:rPr>
          <w:rFonts w:ascii="Palatino Linotype" w:hAnsi="Palatino Linotype" w:cs="Arial"/>
          <w:lang w:eastAsia="es-MX"/>
        </w:rPr>
      </w:pPr>
      <w:r w:rsidRPr="006C0176">
        <w:rPr>
          <w:rFonts w:ascii="Palatino Linotype" w:hAnsi="Palatino Linotype" w:cs="Arial"/>
          <w:i/>
          <w:iCs/>
          <w:lang w:eastAsia="es-MX"/>
        </w:rPr>
        <w:t>“PLAZO RAZONABLE PARA RESOLVER. CONCEPTO Y ELEMENTOS QUE LO INTEGRAN A LA LUZ DEL DERECHO INTERNACIONAL DE LOS DERECHOS HUMANOS.”,</w:t>
      </w:r>
      <w:r w:rsidRPr="006C0176">
        <w:rPr>
          <w:rFonts w:ascii="Palatino Linotype" w:hAnsi="Palatino Linotype" w:cs="Arial"/>
          <w:lang w:eastAsia="es-MX"/>
        </w:rPr>
        <w:t xml:space="preserve"> visible en el Seminario Judicial de la Federación y su gaceta, con el registro digital 2002350.</w:t>
      </w:r>
    </w:p>
    <w:p w14:paraId="6CDB70A9" w14:textId="30B9776E" w:rsidR="0013097E" w:rsidRPr="006C0176" w:rsidRDefault="0013097E" w:rsidP="00591D0F">
      <w:pPr>
        <w:spacing w:before="100" w:beforeAutospacing="1" w:after="100" w:afterAutospacing="1" w:line="360" w:lineRule="auto"/>
        <w:jc w:val="both"/>
        <w:rPr>
          <w:rFonts w:ascii="Palatino Linotype" w:hAnsi="Palatino Linotype" w:cs="Arial"/>
          <w:lang w:eastAsia="es-MX"/>
        </w:rPr>
      </w:pPr>
      <w:r w:rsidRPr="006C0176">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49E94EF4" w14:textId="04AC126A" w:rsidR="00F74A05" w:rsidRPr="006C0176" w:rsidRDefault="0013097E" w:rsidP="00591D0F">
      <w:pPr>
        <w:pStyle w:val="Prrafodelista"/>
        <w:spacing w:before="100" w:beforeAutospacing="1" w:after="100" w:afterAutospacing="1" w:line="360" w:lineRule="auto"/>
        <w:ind w:left="0"/>
        <w:jc w:val="both"/>
        <w:rPr>
          <w:rFonts w:ascii="Palatino Linotype" w:hAnsi="Palatino Linotype" w:cs="Arial"/>
          <w:b/>
          <w:bCs/>
        </w:rPr>
      </w:pPr>
      <w:r w:rsidRPr="006C0176">
        <w:rPr>
          <w:rFonts w:ascii="Palatino Linotype" w:hAnsi="Palatino Linotype" w:cs="Arial"/>
          <w:b/>
          <w:bCs/>
        </w:rPr>
        <w:t>d</w:t>
      </w:r>
      <w:r w:rsidR="00F74A05" w:rsidRPr="006C0176">
        <w:rPr>
          <w:rFonts w:ascii="Palatino Linotype" w:hAnsi="Palatino Linotype" w:cs="Arial"/>
          <w:b/>
          <w:bCs/>
        </w:rPr>
        <w:t>) Cierre de Instrucción</w:t>
      </w:r>
      <w:r w:rsidR="00D8393F" w:rsidRPr="006C0176">
        <w:rPr>
          <w:rFonts w:ascii="Palatino Linotype" w:hAnsi="Palatino Linotype" w:cs="Arial"/>
          <w:b/>
          <w:bCs/>
        </w:rPr>
        <w:t>.</w:t>
      </w:r>
    </w:p>
    <w:p w14:paraId="26AA748E" w14:textId="68B057BA" w:rsidR="006A717A" w:rsidRPr="006C0176" w:rsidRDefault="009E2E2C" w:rsidP="00591D0F">
      <w:pPr>
        <w:spacing w:before="100" w:beforeAutospacing="1" w:after="100" w:afterAutospacing="1" w:line="360" w:lineRule="auto"/>
        <w:jc w:val="both"/>
        <w:rPr>
          <w:rFonts w:ascii="Palatino Linotype" w:hAnsi="Palatino Linotype" w:cs="Arial"/>
        </w:rPr>
      </w:pPr>
      <w:r w:rsidRPr="006C0176">
        <w:rPr>
          <w:rFonts w:ascii="Palatino Linotype" w:hAnsi="Palatino Linotype"/>
        </w:rPr>
        <w:t>Una vez analizado el estado procesal que guarda el expediente, el</w:t>
      </w:r>
      <w:r w:rsidR="00986DC4" w:rsidRPr="006C0176">
        <w:rPr>
          <w:rFonts w:ascii="Palatino Linotype" w:hAnsi="Palatino Linotype"/>
        </w:rPr>
        <w:t xml:space="preserve"> </w:t>
      </w:r>
      <w:r w:rsidR="006E0C3A">
        <w:rPr>
          <w:rFonts w:ascii="Palatino Linotype" w:hAnsi="Palatino Linotype"/>
          <w:b/>
        </w:rPr>
        <w:t>nueve de mayo</w:t>
      </w:r>
      <w:r w:rsidR="00081385" w:rsidRPr="006C0176">
        <w:rPr>
          <w:rFonts w:ascii="Palatino Linotype" w:hAnsi="Palatino Linotype"/>
          <w:b/>
          <w:bCs/>
        </w:rPr>
        <w:t xml:space="preserve"> </w:t>
      </w:r>
      <w:r w:rsidR="00B7018D" w:rsidRPr="006C0176">
        <w:rPr>
          <w:rFonts w:ascii="Palatino Linotype" w:hAnsi="Palatino Linotype"/>
          <w:b/>
          <w:bCs/>
        </w:rPr>
        <w:t>de dos mil veintitrés</w:t>
      </w:r>
      <w:r w:rsidR="000171D8" w:rsidRPr="006C0176">
        <w:rPr>
          <w:rFonts w:ascii="Palatino Linotype" w:hAnsi="Palatino Linotype"/>
        </w:rPr>
        <w:t xml:space="preserve">, </w:t>
      </w:r>
      <w:r w:rsidR="00CE22BE" w:rsidRPr="006C0176">
        <w:rPr>
          <w:rFonts w:ascii="Palatino Linotype" w:hAnsi="Palatino Linotype"/>
        </w:rPr>
        <w:t>la</w:t>
      </w:r>
      <w:r w:rsidR="00F74502" w:rsidRPr="006C0176">
        <w:rPr>
          <w:rFonts w:ascii="Palatino Linotype" w:hAnsi="Palatino Linotype"/>
        </w:rPr>
        <w:t xml:space="preserve"> </w:t>
      </w:r>
      <w:r w:rsidR="00C77536" w:rsidRPr="006C0176">
        <w:rPr>
          <w:rFonts w:ascii="Palatino Linotype" w:hAnsi="Palatino Linotype"/>
          <w:b/>
        </w:rPr>
        <w:t>Comisionada Sharon Cristina Morales Martínez</w:t>
      </w:r>
      <w:r w:rsidR="00C77536" w:rsidRPr="006C0176">
        <w:rPr>
          <w:rFonts w:ascii="Palatino Linotype" w:hAnsi="Palatino Linotype"/>
          <w:lang w:val="es-419"/>
        </w:rPr>
        <w:t xml:space="preserve"> </w:t>
      </w:r>
      <w:r w:rsidRPr="006C0176">
        <w:rPr>
          <w:rFonts w:ascii="Palatino Linotype" w:hAnsi="Palatino Linotype"/>
        </w:rPr>
        <w:t>acordó el cierre de instrucción;</w:t>
      </w:r>
      <w:r w:rsidR="00C2778A" w:rsidRPr="006C0176">
        <w:rPr>
          <w:rFonts w:ascii="Palatino Linotype" w:hAnsi="Palatino Linotype" w:cs="Arial"/>
        </w:rPr>
        <w:t xml:space="preserve"> así como</w:t>
      </w:r>
      <w:r w:rsidRPr="006C0176">
        <w:rPr>
          <w:rFonts w:ascii="Palatino Linotype" w:hAnsi="Palatino Linotype" w:cs="Arial"/>
        </w:rPr>
        <w:t>,</w:t>
      </w:r>
      <w:r w:rsidR="00C2778A" w:rsidRPr="006C017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C0176">
        <w:rPr>
          <w:rFonts w:ascii="Palatino Linotype" w:hAnsi="Palatino Linotype" w:cs="Arial"/>
        </w:rPr>
        <w:t>Información Pública</w:t>
      </w:r>
      <w:r w:rsidR="00C2778A" w:rsidRPr="006C0176">
        <w:rPr>
          <w:rFonts w:ascii="Palatino Linotype" w:hAnsi="Palatino Linotype" w:cs="Arial"/>
        </w:rPr>
        <w:t xml:space="preserve"> del Estado de México y Municipios</w:t>
      </w:r>
      <w:r w:rsidR="0028330F" w:rsidRPr="006C0176">
        <w:rPr>
          <w:rFonts w:ascii="Palatino Linotype" w:hAnsi="Palatino Linotype" w:cs="Arial"/>
        </w:rPr>
        <w:t>.</w:t>
      </w:r>
    </w:p>
    <w:p w14:paraId="3AB9D768" w14:textId="7EB528FC" w:rsidR="000171D8" w:rsidRPr="006C0176" w:rsidRDefault="000171D8" w:rsidP="00591D0F">
      <w:pPr>
        <w:spacing w:before="100" w:beforeAutospacing="1" w:after="100" w:afterAutospacing="1" w:line="360" w:lineRule="auto"/>
        <w:jc w:val="center"/>
        <w:rPr>
          <w:rFonts w:ascii="Palatino Linotype" w:hAnsi="Palatino Linotype" w:cs="Arial"/>
          <w:b/>
          <w:bCs/>
          <w:spacing w:val="60"/>
          <w:sz w:val="28"/>
        </w:rPr>
      </w:pPr>
      <w:r w:rsidRPr="006C0176">
        <w:rPr>
          <w:rFonts w:ascii="Palatino Linotype" w:hAnsi="Palatino Linotype" w:cs="Arial"/>
          <w:b/>
          <w:bCs/>
          <w:spacing w:val="60"/>
          <w:sz w:val="28"/>
        </w:rPr>
        <w:t>CONSIDERANDO</w:t>
      </w:r>
      <w:r w:rsidR="00DC75AB" w:rsidRPr="006C0176">
        <w:rPr>
          <w:rFonts w:ascii="Palatino Linotype" w:hAnsi="Palatino Linotype" w:cs="Arial"/>
          <w:b/>
          <w:bCs/>
          <w:spacing w:val="60"/>
          <w:sz w:val="28"/>
        </w:rPr>
        <w:t>S</w:t>
      </w:r>
    </w:p>
    <w:p w14:paraId="7F105395" w14:textId="2EDBBF94" w:rsidR="00964F6B" w:rsidRPr="006C0176" w:rsidRDefault="000171D8" w:rsidP="00591D0F">
      <w:pPr>
        <w:spacing w:before="100" w:beforeAutospacing="1" w:after="100" w:afterAutospacing="1" w:line="360" w:lineRule="auto"/>
        <w:ind w:right="50"/>
        <w:jc w:val="both"/>
        <w:rPr>
          <w:rFonts w:ascii="Palatino Linotype" w:hAnsi="Palatino Linotype"/>
          <w:b/>
          <w:sz w:val="26"/>
          <w:szCs w:val="26"/>
        </w:rPr>
      </w:pPr>
      <w:r w:rsidRPr="006C0176">
        <w:rPr>
          <w:rFonts w:ascii="Palatino Linotype" w:hAnsi="Palatino Linotype"/>
          <w:b/>
          <w:sz w:val="26"/>
          <w:szCs w:val="26"/>
        </w:rPr>
        <w:t>PRIMERO.</w:t>
      </w:r>
      <w:r w:rsidRPr="006C0176">
        <w:rPr>
          <w:rFonts w:ascii="Palatino Linotype" w:hAnsi="Palatino Linotype"/>
          <w:sz w:val="26"/>
          <w:szCs w:val="26"/>
        </w:rPr>
        <w:t xml:space="preserve"> </w:t>
      </w:r>
      <w:r w:rsidRPr="006C0176">
        <w:rPr>
          <w:rFonts w:ascii="Palatino Linotype" w:hAnsi="Palatino Linotype"/>
          <w:b/>
          <w:sz w:val="26"/>
          <w:szCs w:val="26"/>
        </w:rPr>
        <w:t>Competencia</w:t>
      </w:r>
      <w:r w:rsidRPr="006C0176">
        <w:rPr>
          <w:rFonts w:ascii="Palatino Linotype" w:hAnsi="Palatino Linotype"/>
          <w:sz w:val="26"/>
          <w:szCs w:val="26"/>
        </w:rPr>
        <w:t>.</w:t>
      </w:r>
    </w:p>
    <w:p w14:paraId="07007E92" w14:textId="511B45A9" w:rsidR="008B239D" w:rsidRPr="006C0176" w:rsidRDefault="008B239D" w:rsidP="00591D0F">
      <w:pPr>
        <w:spacing w:before="100" w:beforeAutospacing="1" w:after="100" w:afterAutospacing="1" w:line="360" w:lineRule="auto"/>
        <w:ind w:right="50"/>
        <w:jc w:val="both"/>
        <w:rPr>
          <w:rFonts w:ascii="Palatino Linotype" w:hAnsi="Palatino Linotype" w:cs="Arial"/>
        </w:rPr>
      </w:pPr>
      <w:r w:rsidRPr="006C0176">
        <w:rPr>
          <w:rFonts w:ascii="Palatino Linotype" w:hAnsi="Palatino Linotype"/>
        </w:rPr>
        <w:t xml:space="preserve">Este Instituto de Transparencia, Acceso a la </w:t>
      </w:r>
      <w:r w:rsidR="00D86297" w:rsidRPr="006C0176">
        <w:rPr>
          <w:rFonts w:ascii="Palatino Linotype" w:hAnsi="Palatino Linotype"/>
        </w:rPr>
        <w:t>Información Pública</w:t>
      </w:r>
      <w:r w:rsidRPr="006C0176">
        <w:rPr>
          <w:rFonts w:ascii="Palatino Linotype" w:hAnsi="Palatino Linotype"/>
        </w:rPr>
        <w:t xml:space="preserve"> y Protección de Datos Personales del Estado de México y Municipios, es competente para </w:t>
      </w:r>
      <w:r w:rsidR="00CB5585" w:rsidRPr="006C0176">
        <w:rPr>
          <w:rFonts w:ascii="Palatino Linotype" w:hAnsi="Palatino Linotype"/>
        </w:rPr>
        <w:t xml:space="preserve">conocer y resolver el presente </w:t>
      </w:r>
      <w:r w:rsidR="00D86297" w:rsidRPr="006C0176">
        <w:rPr>
          <w:rFonts w:ascii="Palatino Linotype" w:hAnsi="Palatino Linotype"/>
        </w:rPr>
        <w:t>Recurso Revisión</w:t>
      </w:r>
      <w:r w:rsidRPr="006C0176">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C0176">
        <w:rPr>
          <w:rFonts w:ascii="Palatino Linotype" w:hAnsi="Palatino Linotype"/>
        </w:rPr>
        <w:t xml:space="preserve"> ordinal</w:t>
      </w:r>
      <w:r w:rsidRPr="006C0176">
        <w:rPr>
          <w:rFonts w:ascii="Palatino Linotype" w:hAnsi="Palatino Linotype"/>
        </w:rPr>
        <w:t xml:space="preserve"> 2</w:t>
      </w:r>
      <w:r w:rsidR="00727578" w:rsidRPr="006C0176">
        <w:rPr>
          <w:rFonts w:ascii="Palatino Linotype" w:hAnsi="Palatino Linotype"/>
        </w:rPr>
        <w:t>,</w:t>
      </w:r>
      <w:r w:rsidRPr="006C0176">
        <w:rPr>
          <w:rFonts w:ascii="Palatino Linotype" w:hAnsi="Palatino Linotype"/>
        </w:rPr>
        <w:t xml:space="preserve"> fracción II, 13, 29, 36, fracciones I y II, 176, 178, 179, 181 párrafo tercero y 185 de la Ley de Transparencia y Acceso a la </w:t>
      </w:r>
      <w:r w:rsidR="00D86297" w:rsidRPr="006C0176">
        <w:rPr>
          <w:rFonts w:ascii="Palatino Linotype" w:hAnsi="Palatino Linotype"/>
        </w:rPr>
        <w:t>Información Pública</w:t>
      </w:r>
      <w:r w:rsidRPr="006C0176">
        <w:rPr>
          <w:rFonts w:ascii="Palatino Linotype" w:hAnsi="Palatino Linotype"/>
        </w:rPr>
        <w:t xml:space="preserve"> del Estado de México y Municipios</w:t>
      </w:r>
      <w:r w:rsidRPr="006C0176">
        <w:rPr>
          <w:rFonts w:ascii="Palatino Linotype" w:hAnsi="Palatino Linotype" w:cs="Arial"/>
        </w:rPr>
        <w:t xml:space="preserve">; 9, fracciones I y XXIV y 11 del Reglamento Interior del Instituto de Transparencia, Acceso a la </w:t>
      </w:r>
      <w:r w:rsidR="00D86297" w:rsidRPr="006C0176">
        <w:rPr>
          <w:rFonts w:ascii="Palatino Linotype" w:hAnsi="Palatino Linotype" w:cs="Arial"/>
        </w:rPr>
        <w:t>Información Pública</w:t>
      </w:r>
      <w:r w:rsidRPr="006C0176">
        <w:rPr>
          <w:rFonts w:ascii="Palatino Linotype" w:hAnsi="Palatino Linotype" w:cs="Arial"/>
        </w:rPr>
        <w:t xml:space="preserve"> y Protección de Datos Personales del Estado de México y Municipios.</w:t>
      </w:r>
    </w:p>
    <w:p w14:paraId="508C9D22" w14:textId="35439B0C" w:rsidR="004510AB" w:rsidRPr="006C0176" w:rsidRDefault="00E74792" w:rsidP="00591D0F">
      <w:pPr>
        <w:spacing w:before="100" w:beforeAutospacing="1" w:after="100" w:afterAutospacing="1" w:line="360" w:lineRule="auto"/>
        <w:jc w:val="both"/>
        <w:rPr>
          <w:rFonts w:ascii="Palatino Linotype" w:hAnsi="Palatino Linotype" w:cs="Arial"/>
          <w:b/>
          <w:sz w:val="26"/>
          <w:szCs w:val="26"/>
        </w:rPr>
      </w:pPr>
      <w:r w:rsidRPr="006C0176">
        <w:rPr>
          <w:rFonts w:ascii="Palatino Linotype" w:hAnsi="Palatino Linotype" w:cs="Arial"/>
          <w:b/>
          <w:sz w:val="26"/>
          <w:szCs w:val="26"/>
        </w:rPr>
        <w:t>SEGUNDO. Interés.</w:t>
      </w:r>
    </w:p>
    <w:p w14:paraId="42239410" w14:textId="3F515434" w:rsidR="0028330F" w:rsidRPr="006C0176" w:rsidRDefault="000171D8" w:rsidP="00591D0F">
      <w:pPr>
        <w:spacing w:before="100" w:beforeAutospacing="1" w:after="100" w:afterAutospacing="1" w:line="360" w:lineRule="auto"/>
        <w:jc w:val="both"/>
        <w:rPr>
          <w:rFonts w:ascii="Palatino Linotype" w:hAnsi="Palatino Linotype" w:cs="Arial"/>
          <w:lang w:eastAsia="es-MX"/>
        </w:rPr>
      </w:pPr>
      <w:r w:rsidRPr="006C0176">
        <w:rPr>
          <w:rFonts w:ascii="Palatino Linotype" w:hAnsi="Palatino Linotype" w:cs="Arial"/>
          <w:bCs/>
        </w:rPr>
        <w:t xml:space="preserve">El </w:t>
      </w:r>
      <w:r w:rsidR="00D86297" w:rsidRPr="006C0176">
        <w:rPr>
          <w:rFonts w:ascii="Palatino Linotype" w:hAnsi="Palatino Linotype" w:cs="Arial"/>
          <w:bCs/>
        </w:rPr>
        <w:t>Recurso Revisión</w:t>
      </w:r>
      <w:r w:rsidRPr="006C0176">
        <w:rPr>
          <w:rFonts w:ascii="Palatino Linotype" w:hAnsi="Palatino Linotype" w:cs="Arial"/>
          <w:bCs/>
        </w:rPr>
        <w:t xml:space="preserve"> fue interpuesto por parte legítima, en atención a que se presentó por </w:t>
      </w:r>
      <w:r w:rsidR="00AE51C8" w:rsidRPr="006C0176">
        <w:rPr>
          <w:rFonts w:ascii="Palatino Linotype" w:hAnsi="Palatino Linotype" w:cs="Arial"/>
          <w:b/>
        </w:rPr>
        <w:t>EL</w:t>
      </w:r>
      <w:r w:rsidRPr="006C0176">
        <w:rPr>
          <w:rFonts w:ascii="Palatino Linotype" w:hAnsi="Palatino Linotype" w:cs="Arial"/>
          <w:b/>
          <w:bCs/>
        </w:rPr>
        <w:t xml:space="preserve"> RECURRENTE,</w:t>
      </w:r>
      <w:r w:rsidRPr="006C0176">
        <w:rPr>
          <w:rFonts w:ascii="Palatino Linotype" w:hAnsi="Palatino Linotype" w:cs="Arial"/>
          <w:bCs/>
        </w:rPr>
        <w:t xml:space="preserve"> quien es la misma persona que formuló la solicitud de acceso a la </w:t>
      </w:r>
      <w:r w:rsidR="00D86297" w:rsidRPr="006C0176">
        <w:rPr>
          <w:rFonts w:ascii="Palatino Linotype" w:hAnsi="Palatino Linotype" w:cs="Arial"/>
          <w:bCs/>
        </w:rPr>
        <w:t>Información Pública</w:t>
      </w:r>
      <w:r w:rsidRPr="006C0176">
        <w:rPr>
          <w:rFonts w:ascii="Palatino Linotype" w:hAnsi="Palatino Linotype" w:cs="Arial"/>
          <w:bCs/>
        </w:rPr>
        <w:t xml:space="preserve"> al </w:t>
      </w:r>
      <w:r w:rsidRPr="006C0176">
        <w:rPr>
          <w:rFonts w:ascii="Palatino Linotype" w:hAnsi="Palatino Linotype" w:cs="Arial"/>
          <w:b/>
          <w:bCs/>
        </w:rPr>
        <w:t>SUJETO OBLIGADO</w:t>
      </w:r>
      <w:r w:rsidR="005B5043" w:rsidRPr="006C0176">
        <w:rPr>
          <w:rFonts w:ascii="Palatino Linotype" w:hAnsi="Palatino Linotype" w:cs="Arial"/>
          <w:b/>
          <w:bCs/>
        </w:rPr>
        <w:t xml:space="preserve">, </w:t>
      </w:r>
      <w:r w:rsidR="005B5043" w:rsidRPr="006C0176">
        <w:rPr>
          <w:rFonts w:ascii="Palatino Linotype" w:hAnsi="Palatino Linotype" w:cs="Arial"/>
          <w:bCs/>
        </w:rPr>
        <w:t xml:space="preserve">pues para ello, es </w:t>
      </w:r>
      <w:r w:rsidR="005B5043" w:rsidRPr="006C0176">
        <w:rPr>
          <w:rFonts w:ascii="Palatino Linotype" w:hAnsi="Palatino Linotype" w:cs="Arial"/>
          <w:lang w:eastAsia="es-MX"/>
        </w:rPr>
        <w:t xml:space="preserve">necesario que el particular ingrese al </w:t>
      </w:r>
      <w:r w:rsidR="005B5043" w:rsidRPr="006C0176">
        <w:rPr>
          <w:rFonts w:ascii="Palatino Linotype" w:hAnsi="Palatino Linotype" w:cs="Arial"/>
          <w:b/>
          <w:lang w:eastAsia="es-MX"/>
        </w:rPr>
        <w:t xml:space="preserve">SAIMEX </w:t>
      </w:r>
      <w:r w:rsidR="005B5043" w:rsidRPr="006C0176">
        <w:rPr>
          <w:rFonts w:ascii="Palatino Linotype" w:hAnsi="Palatino Linotype" w:cs="Arial"/>
          <w:lang w:eastAsia="es-MX"/>
        </w:rPr>
        <w:t>mediante la utilización de su clave de usuario y contraseña.</w:t>
      </w:r>
    </w:p>
    <w:p w14:paraId="73B57685" w14:textId="77777777" w:rsidR="005C250B" w:rsidRPr="006C0176" w:rsidRDefault="005C250B" w:rsidP="00591D0F">
      <w:pPr>
        <w:autoSpaceDE w:val="0"/>
        <w:autoSpaceDN w:val="0"/>
        <w:adjustRightInd w:val="0"/>
        <w:spacing w:before="100" w:beforeAutospacing="1" w:after="100" w:afterAutospacing="1" w:line="360" w:lineRule="auto"/>
        <w:ind w:right="49"/>
        <w:jc w:val="both"/>
        <w:rPr>
          <w:rFonts w:ascii="Palatino Linotype" w:hAnsi="Palatino Linotype" w:cs="Arial"/>
          <w:b/>
          <w:sz w:val="26"/>
          <w:szCs w:val="26"/>
          <w:lang w:val="es-ES"/>
        </w:rPr>
      </w:pPr>
      <w:r w:rsidRPr="006C0176">
        <w:rPr>
          <w:rFonts w:ascii="Palatino Linotype" w:hAnsi="Palatino Linotype" w:cs="Arial"/>
          <w:b/>
          <w:sz w:val="26"/>
          <w:szCs w:val="26"/>
        </w:rPr>
        <w:t xml:space="preserve">TERCERO. </w:t>
      </w:r>
      <w:r w:rsidRPr="006C0176">
        <w:rPr>
          <w:rFonts w:ascii="Palatino Linotype" w:hAnsi="Palatino Linotype" w:cs="Arial"/>
          <w:b/>
          <w:sz w:val="26"/>
          <w:szCs w:val="26"/>
          <w:lang w:val="es-ES"/>
        </w:rPr>
        <w:t xml:space="preserve">Oportunidad. </w:t>
      </w:r>
    </w:p>
    <w:p w14:paraId="4CAF7CD0" w14:textId="77777777" w:rsidR="0028330F" w:rsidRPr="006C0176" w:rsidRDefault="0028330F" w:rsidP="00591D0F">
      <w:pPr>
        <w:spacing w:before="100" w:beforeAutospacing="1" w:after="100" w:afterAutospacing="1" w:line="360" w:lineRule="auto"/>
        <w:jc w:val="both"/>
        <w:rPr>
          <w:rFonts w:ascii="Palatino Linotype" w:hAnsi="Palatino Linotype" w:cs="Arial"/>
          <w:lang w:val="es-ES"/>
        </w:rPr>
      </w:pPr>
      <w:r w:rsidRPr="006C0176">
        <w:rPr>
          <w:rFonts w:ascii="Palatino Linotype" w:hAnsi="Palatino Linotype" w:cs="Arial"/>
          <w:lang w:val="es-ES"/>
        </w:rPr>
        <w:t xml:space="preserve">El Recurso de Revisión fue interpuesto dentro del plazo de quince días hábiles, contados a partir del día siguiente al en que </w:t>
      </w:r>
      <w:r w:rsidRPr="006C0176">
        <w:rPr>
          <w:rFonts w:ascii="Palatino Linotype" w:hAnsi="Palatino Linotype" w:cs="Arial"/>
          <w:b/>
          <w:lang w:val="es-ES"/>
        </w:rPr>
        <w:t>EL RECURRENTE</w:t>
      </w:r>
      <w:r w:rsidRPr="006C0176">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6C0176" w:rsidRDefault="0028330F" w:rsidP="00591D0F">
      <w:pPr>
        <w:spacing w:before="100" w:beforeAutospacing="1" w:after="100" w:afterAutospacing="1" w:line="276" w:lineRule="auto"/>
        <w:ind w:left="851" w:right="616"/>
        <w:jc w:val="both"/>
        <w:rPr>
          <w:rFonts w:ascii="Palatino Linotype" w:hAnsi="Palatino Linotype" w:cs="Arial"/>
          <w:i/>
          <w:sz w:val="22"/>
          <w:lang w:val="es-ES"/>
        </w:rPr>
      </w:pPr>
      <w:r w:rsidRPr="006C0176">
        <w:rPr>
          <w:rFonts w:ascii="Palatino Linotype" w:hAnsi="Palatino Linotype" w:cs="Arial"/>
          <w:b/>
          <w:i/>
          <w:sz w:val="22"/>
          <w:lang w:val="es-ES"/>
        </w:rPr>
        <w:t>“Artículo 178</w:t>
      </w:r>
      <w:r w:rsidRPr="006C0176">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FBF997" w14:textId="77777777" w:rsidR="0028330F" w:rsidRPr="006C0176" w:rsidRDefault="0028330F" w:rsidP="00591D0F">
      <w:pPr>
        <w:spacing w:before="100" w:beforeAutospacing="1" w:after="100" w:afterAutospacing="1" w:line="276" w:lineRule="auto"/>
        <w:ind w:left="851" w:right="616"/>
        <w:jc w:val="both"/>
        <w:rPr>
          <w:rFonts w:ascii="Palatino Linotype" w:hAnsi="Palatino Linotype" w:cs="Arial"/>
          <w:i/>
          <w:sz w:val="22"/>
          <w:lang w:val="es-ES"/>
        </w:rPr>
      </w:pPr>
      <w:r w:rsidRPr="006C0176">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2A9651C" w14:textId="1E7481D5" w:rsidR="0028330F" w:rsidRPr="006C0176" w:rsidRDefault="0028330F" w:rsidP="00591D0F">
      <w:pPr>
        <w:spacing w:before="100" w:beforeAutospacing="1" w:after="100" w:afterAutospacing="1" w:line="276" w:lineRule="auto"/>
        <w:ind w:left="851" w:right="616"/>
        <w:jc w:val="both"/>
        <w:rPr>
          <w:rFonts w:ascii="Palatino Linotype" w:hAnsi="Palatino Linotype" w:cs="Arial"/>
          <w:i/>
          <w:sz w:val="22"/>
          <w:lang w:val="es-ES"/>
        </w:rPr>
      </w:pPr>
      <w:r w:rsidRPr="006C0176">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6C0176">
        <w:rPr>
          <w:rFonts w:ascii="Palatino Linotype" w:hAnsi="Palatino Linotype" w:cs="Arial"/>
          <w:sz w:val="22"/>
          <w:lang w:val="es-ES"/>
        </w:rPr>
        <w:t>(Sic)</w:t>
      </w:r>
      <w:r w:rsidR="00DC75AB" w:rsidRPr="006C0176">
        <w:rPr>
          <w:rFonts w:ascii="Palatino Linotype" w:hAnsi="Palatino Linotype" w:cs="Arial"/>
          <w:sz w:val="22"/>
          <w:lang w:val="es-ES"/>
        </w:rPr>
        <w:t>.</w:t>
      </w:r>
    </w:p>
    <w:p w14:paraId="694AFF06" w14:textId="3737DAA5" w:rsidR="00AB5BCE" w:rsidRPr="006C0176" w:rsidRDefault="0028330F" w:rsidP="00591D0F">
      <w:pPr>
        <w:spacing w:before="100" w:beforeAutospacing="1" w:after="100" w:afterAutospacing="1" w:line="360" w:lineRule="auto"/>
        <w:jc w:val="both"/>
        <w:rPr>
          <w:rFonts w:ascii="Palatino Linotype" w:eastAsia="Palatino Linotype" w:hAnsi="Palatino Linotype" w:cs="Palatino Linotype"/>
          <w:color w:val="000000"/>
        </w:rPr>
      </w:pPr>
      <w:r w:rsidRPr="006C0176">
        <w:rPr>
          <w:rFonts w:ascii="Palatino Linotype" w:hAnsi="Palatino Linotype" w:cs="Arial"/>
          <w:lang w:val="es-ES"/>
        </w:rPr>
        <w:t xml:space="preserve">En esa tesitura, atendiendo a que </w:t>
      </w:r>
      <w:r w:rsidRPr="006C0176">
        <w:rPr>
          <w:rFonts w:ascii="Palatino Linotype" w:hAnsi="Palatino Linotype" w:cs="Arial"/>
          <w:b/>
          <w:lang w:val="es-ES"/>
        </w:rPr>
        <w:t>EL SUJETO OBLIGADO</w:t>
      </w:r>
      <w:r w:rsidRPr="006C0176">
        <w:rPr>
          <w:rFonts w:ascii="Palatino Linotype" w:hAnsi="Palatino Linotype" w:cs="Arial"/>
          <w:lang w:val="es-ES"/>
        </w:rPr>
        <w:t xml:space="preserve"> notificó la respuesta a la solicitud de Acceso a la Información Pública el día</w:t>
      </w:r>
      <w:r w:rsidRPr="006C0176">
        <w:rPr>
          <w:rFonts w:ascii="Palatino Linotype" w:hAnsi="Palatino Linotype" w:cs="Arial"/>
          <w:b/>
          <w:lang w:val="es-ES"/>
        </w:rPr>
        <w:t xml:space="preserve"> </w:t>
      </w:r>
      <w:r w:rsidR="00AB5BCE" w:rsidRPr="006C0176">
        <w:rPr>
          <w:rFonts w:ascii="Palatino Linotype" w:hAnsi="Palatino Linotype" w:cs="Arial"/>
          <w:b/>
          <w:lang w:val="es-ES"/>
        </w:rPr>
        <w:t>siete de diciembre</w:t>
      </w:r>
      <w:r w:rsidRPr="006C0176">
        <w:rPr>
          <w:rFonts w:ascii="Palatino Linotype" w:hAnsi="Palatino Linotype" w:cs="Arial"/>
          <w:b/>
          <w:lang w:val="es-ES"/>
        </w:rPr>
        <w:t xml:space="preserve"> de dos mil veintidós</w:t>
      </w:r>
      <w:r w:rsidRPr="006C0176">
        <w:rPr>
          <w:rFonts w:ascii="Palatino Linotype" w:hAnsi="Palatino Linotype" w:cs="Arial"/>
          <w:lang w:val="es-ES"/>
        </w:rPr>
        <w:t xml:space="preserve">, así, el plazo de quince días hábiles que el artículo 178 de la Ley de la materia otorga a la hoy </w:t>
      </w:r>
      <w:r w:rsidRPr="006C0176">
        <w:rPr>
          <w:rFonts w:ascii="Palatino Linotype" w:hAnsi="Palatino Linotype" w:cs="Arial"/>
          <w:b/>
          <w:lang w:val="es-ES"/>
        </w:rPr>
        <w:t>RECURRENTE</w:t>
      </w:r>
      <w:r w:rsidRPr="006C0176">
        <w:rPr>
          <w:rFonts w:ascii="Palatino Linotype" w:hAnsi="Palatino Linotype" w:cs="Arial"/>
          <w:lang w:val="es-ES"/>
        </w:rPr>
        <w:t xml:space="preserve"> para presentar el respectivo Recurso de Revisión, transcurrió del </w:t>
      </w:r>
      <w:r w:rsidR="00AB5BCE" w:rsidRPr="006C0176">
        <w:rPr>
          <w:rFonts w:ascii="Palatino Linotype" w:hAnsi="Palatino Linotype" w:cs="Arial"/>
          <w:b/>
          <w:lang w:val="es-ES"/>
        </w:rPr>
        <w:t>ocho de diciembre</w:t>
      </w:r>
      <w:r w:rsidR="00F81576" w:rsidRPr="006C0176">
        <w:rPr>
          <w:rFonts w:ascii="Palatino Linotype" w:hAnsi="Palatino Linotype" w:cs="Arial"/>
          <w:b/>
          <w:lang w:val="es-ES"/>
        </w:rPr>
        <w:t xml:space="preserve"> </w:t>
      </w:r>
      <w:r w:rsidRPr="006C0176">
        <w:rPr>
          <w:rFonts w:ascii="Palatino Linotype" w:hAnsi="Palatino Linotype" w:cs="Arial"/>
          <w:b/>
          <w:lang w:val="es-ES"/>
        </w:rPr>
        <w:t>de dos mil veintidós</w:t>
      </w:r>
      <w:r w:rsidR="00AB5BCE" w:rsidRPr="006C0176">
        <w:rPr>
          <w:rFonts w:ascii="Palatino Linotype" w:hAnsi="Palatino Linotype" w:cs="Arial"/>
          <w:b/>
          <w:lang w:val="es-ES"/>
        </w:rPr>
        <w:t xml:space="preserve"> al trece de enero de dos mil veintitrés</w:t>
      </w:r>
      <w:r w:rsidRPr="006C0176">
        <w:rPr>
          <w:rFonts w:ascii="Palatino Linotype" w:hAnsi="Palatino Linotype" w:cs="Arial"/>
          <w:lang w:val="es-ES"/>
        </w:rPr>
        <w:t xml:space="preserve">, </w:t>
      </w:r>
      <w:r w:rsidR="00AB5BCE" w:rsidRPr="006C0176">
        <w:rPr>
          <w:rFonts w:ascii="Palatino Linotype" w:eastAsia="Palatino Linotype" w:hAnsi="Palatino Linotype" w:cs="Palatino Linotype"/>
        </w:rPr>
        <w:t xml:space="preserve">sin contemplar en el cómputo los días </w:t>
      </w:r>
      <w:r w:rsidR="009E2174" w:rsidRPr="006C0176">
        <w:rPr>
          <w:rFonts w:ascii="Palatino Linotype" w:eastAsia="Palatino Linotype" w:hAnsi="Palatino Linotype" w:cs="Palatino Linotype"/>
        </w:rPr>
        <w:t xml:space="preserve">diez, once, diecisiete, dieciocho, </w:t>
      </w:r>
      <w:r w:rsidR="00AB5BCE" w:rsidRPr="006C0176">
        <w:rPr>
          <w:rFonts w:ascii="Palatino Linotype" w:eastAsia="Palatino Linotype" w:hAnsi="Palatino Linotype" w:cs="Palatino Linotype"/>
        </w:rPr>
        <w:t>veinticuatro, veinticinco y  treinta y uno de diciembre de dos mil veintidós, así como, uno, siete</w:t>
      </w:r>
      <w:r w:rsidR="009E2174" w:rsidRPr="006C0176">
        <w:rPr>
          <w:rFonts w:ascii="Palatino Linotype" w:eastAsia="Palatino Linotype" w:hAnsi="Palatino Linotype" w:cs="Palatino Linotype"/>
        </w:rPr>
        <w:t xml:space="preserve"> y ocho de enero </w:t>
      </w:r>
      <w:r w:rsidR="00AB5BCE" w:rsidRPr="006C0176">
        <w:rPr>
          <w:rFonts w:ascii="Palatino Linotype" w:eastAsia="Palatino Linotype" w:hAnsi="Palatino Linotype" w:cs="Palatino Linotype"/>
        </w:rPr>
        <w:t>de dos mil veintitrés por corresponder a sábados y domingos, es decir, son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AB5BCE" w:rsidRPr="006C0176">
        <w:rPr>
          <w:rFonts w:ascii="Palatino Linotype" w:eastAsia="Palatino Linotype" w:hAnsi="Palatino Linotype" w:cs="Palatino Linotype"/>
          <w:color w:val="000000"/>
        </w:rPr>
        <w:t xml:space="preserve">, </w:t>
      </w:r>
      <w:r w:rsidR="00AB5BCE" w:rsidRPr="006C0176">
        <w:rPr>
          <w:rFonts w:ascii="Palatino Linotype" w:hAnsi="Palatino Linotype" w:cs="Arial"/>
        </w:rPr>
        <w:t>así mismo, no se considera los días veintidós, veintitrés, veintiséis, veintisiete, veintiocho, veintinueve, treinta de diciembre de dos mil veintidós, así como, dos, tres y cuatro de enero de dos mil veintitrés,</w:t>
      </w:r>
      <w:r w:rsidR="00AB5BCE" w:rsidRPr="006C0176">
        <w:rPr>
          <w:rFonts w:ascii="Palatino Linotype" w:eastAsia="Palatino Linotype" w:hAnsi="Palatino Linotype" w:cs="Palatino Linotype"/>
          <w:color w:val="000000"/>
        </w:rPr>
        <w:t xml:space="preserve"> por ser considerados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40FB6340" w14:textId="31155FD2" w:rsidR="00986DC4" w:rsidRPr="006C0176" w:rsidRDefault="00986DC4" w:rsidP="00591D0F">
      <w:pPr>
        <w:spacing w:before="100" w:beforeAutospacing="1" w:after="100" w:afterAutospacing="1" w:line="360" w:lineRule="auto"/>
        <w:jc w:val="both"/>
        <w:rPr>
          <w:rFonts w:ascii="Palatino Linotype" w:hAnsi="Palatino Linotype" w:cs="Arial"/>
          <w:lang w:val="es-ES"/>
        </w:rPr>
      </w:pPr>
      <w:r w:rsidRPr="006C0176">
        <w:rPr>
          <w:rFonts w:ascii="Palatino Linotype" w:hAnsi="Palatino Linotype" w:cs="Arial"/>
          <w:lang w:val="es-ES"/>
        </w:rPr>
        <w:t xml:space="preserve">Por tanto, si el Recurso de Revisión que nos ocupa, se interpuso el </w:t>
      </w:r>
      <w:r w:rsidR="009E2174" w:rsidRPr="006C0176">
        <w:rPr>
          <w:rFonts w:ascii="Palatino Linotype" w:hAnsi="Palatino Linotype" w:cs="Arial"/>
          <w:b/>
          <w:lang w:val="es-ES"/>
        </w:rPr>
        <w:t>nueve de diciembre</w:t>
      </w:r>
      <w:r w:rsidRPr="006C0176">
        <w:rPr>
          <w:rFonts w:ascii="Palatino Linotype" w:hAnsi="Palatino Linotype" w:cs="Arial"/>
          <w:b/>
          <w:lang w:val="es-ES"/>
        </w:rPr>
        <w:t xml:space="preserve"> de dos mil veintidós</w:t>
      </w:r>
      <w:r w:rsidRPr="006C0176">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1D326AF" w14:textId="09A3C9AE" w:rsidR="005C250B" w:rsidRPr="006C0176" w:rsidRDefault="005C250B" w:rsidP="00591D0F">
      <w:pPr>
        <w:autoSpaceDE w:val="0"/>
        <w:autoSpaceDN w:val="0"/>
        <w:adjustRightInd w:val="0"/>
        <w:spacing w:before="100" w:beforeAutospacing="1" w:after="100" w:afterAutospacing="1" w:line="360" w:lineRule="auto"/>
        <w:ind w:right="49"/>
        <w:jc w:val="both"/>
        <w:rPr>
          <w:rFonts w:ascii="Palatino Linotype" w:hAnsi="Palatino Linotype"/>
          <w:b/>
          <w:sz w:val="26"/>
          <w:szCs w:val="26"/>
        </w:rPr>
      </w:pPr>
      <w:r w:rsidRPr="006C0176">
        <w:rPr>
          <w:rFonts w:ascii="Palatino Linotype" w:hAnsi="Palatino Linotype" w:cs="Arial"/>
          <w:b/>
          <w:sz w:val="26"/>
          <w:szCs w:val="26"/>
        </w:rPr>
        <w:t>CUARTO</w:t>
      </w:r>
      <w:r w:rsidR="0030772C" w:rsidRPr="006C0176">
        <w:rPr>
          <w:rFonts w:ascii="Palatino Linotype" w:hAnsi="Palatino Linotype"/>
          <w:b/>
          <w:sz w:val="26"/>
          <w:szCs w:val="26"/>
        </w:rPr>
        <w:t>. Procedibilidad.</w:t>
      </w:r>
    </w:p>
    <w:p w14:paraId="55D2D44A" w14:textId="26A2C314" w:rsidR="007857BC" w:rsidRPr="006C0176" w:rsidRDefault="007857BC" w:rsidP="00591D0F">
      <w:pPr>
        <w:spacing w:before="100" w:beforeAutospacing="1" w:after="100" w:afterAutospacing="1" w:line="360" w:lineRule="auto"/>
        <w:jc w:val="both"/>
        <w:rPr>
          <w:rFonts w:ascii="Palatino Linotype" w:eastAsia="Palatino Linotype" w:hAnsi="Palatino Linotype" w:cs="Palatino Linotype"/>
        </w:rPr>
      </w:pPr>
      <w:r w:rsidRPr="006C0176">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w:t>
      </w:r>
      <w:r w:rsidR="00986DC4" w:rsidRPr="006C0176">
        <w:rPr>
          <w:rFonts w:ascii="Palatino Linotype" w:eastAsia="Palatino Linotype" w:hAnsi="Palatino Linotype" w:cs="Palatino Linotype"/>
        </w:rPr>
        <w:t>,</w:t>
      </w:r>
      <w:r w:rsidRPr="006C0176">
        <w:rPr>
          <w:rFonts w:ascii="Palatino Linotype" w:eastAsia="Palatino Linotype" w:hAnsi="Palatino Linotype" w:cs="Palatino Linotype"/>
        </w:rPr>
        <w:t xml:space="preserve"> de la Ley de Transparencia y Acceso a la Información Pública del Estado de México y Municipios, en atención a que fueron presentados mediante el formato visible en EL SAIMEX.</w:t>
      </w:r>
    </w:p>
    <w:p w14:paraId="1845814D" w14:textId="23B96A52" w:rsidR="005B5043" w:rsidRPr="006C0176" w:rsidRDefault="000171D8" w:rsidP="00591D0F">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6C0176">
        <w:rPr>
          <w:rFonts w:ascii="Palatino Linotype" w:hAnsi="Palatino Linotype"/>
          <w:b/>
          <w:sz w:val="26"/>
          <w:szCs w:val="26"/>
          <w:lang w:eastAsia="es-MX"/>
        </w:rPr>
        <w:t>QUINTO</w:t>
      </w:r>
      <w:r w:rsidRPr="006C0176">
        <w:rPr>
          <w:rFonts w:ascii="Palatino Linotype" w:hAnsi="Palatino Linotype" w:cs="Arial"/>
          <w:b/>
          <w:sz w:val="26"/>
          <w:szCs w:val="26"/>
          <w:lang w:eastAsia="es-MX"/>
        </w:rPr>
        <w:t xml:space="preserve">. </w:t>
      </w:r>
      <w:r w:rsidRPr="006C0176">
        <w:rPr>
          <w:rFonts w:ascii="Palatino Linotype" w:hAnsi="Palatino Linotype" w:cs="Arial"/>
          <w:b/>
          <w:sz w:val="26"/>
          <w:szCs w:val="26"/>
          <w:lang w:val="es-ES" w:eastAsia="es-MX"/>
        </w:rPr>
        <w:t>Estudio y resolución del asunto.</w:t>
      </w:r>
    </w:p>
    <w:p w14:paraId="3A41A4BB" w14:textId="77777777" w:rsidR="009E2174" w:rsidRPr="006C0176" w:rsidRDefault="009E2174" w:rsidP="00591D0F">
      <w:pPr>
        <w:spacing w:before="100" w:beforeAutospacing="1" w:after="100" w:afterAutospacing="1" w:line="360" w:lineRule="auto"/>
        <w:jc w:val="both"/>
        <w:rPr>
          <w:rFonts w:ascii="Palatino Linotype" w:hAnsi="Palatino Linotype" w:cs="Arial"/>
          <w:color w:val="000000" w:themeColor="text1"/>
        </w:rPr>
      </w:pPr>
      <w:r w:rsidRPr="006C0176">
        <w:rPr>
          <w:rFonts w:ascii="Palatino Linotype" w:hAnsi="Palatino Linotype" w:cs="Arial"/>
          <w:color w:val="000000" w:themeColor="text1"/>
        </w:rPr>
        <w:t xml:space="preserve">Una vez determinada la vía sobre la que versará el presente recurso, y previa revisión del expediente electrónico formado en </w:t>
      </w:r>
      <w:r w:rsidRPr="006C0176">
        <w:rPr>
          <w:rFonts w:ascii="Palatino Linotype" w:hAnsi="Palatino Linotype" w:cs="Arial"/>
          <w:b/>
          <w:color w:val="000000" w:themeColor="text1"/>
        </w:rPr>
        <w:t>EL SAIMEX</w:t>
      </w:r>
      <w:r w:rsidRPr="006C017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6C0176">
        <w:rPr>
          <w:rFonts w:ascii="Palatino Linotype" w:hAnsi="Palatino Linotype"/>
          <w:lang w:val="es-ES"/>
        </w:rPr>
        <w:t>Constitución Política de los Estados Unidos Mexicanos, Constitución Política del Estado Libre y Soberano de México</w:t>
      </w:r>
      <w:r w:rsidRPr="006C017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C0176">
        <w:rPr>
          <w:rFonts w:ascii="Palatino Linotype" w:hAnsi="Palatino Linotype"/>
          <w:lang w:val="es-ES"/>
        </w:rPr>
        <w:t>Constitución Política de los Estados Unidos Mexicanos</w:t>
      </w:r>
      <w:r w:rsidRPr="006C0176">
        <w:rPr>
          <w:rFonts w:ascii="Palatino Linotype" w:hAnsi="Palatino Linotype" w:cs="Arial"/>
          <w:color w:val="000000" w:themeColor="text1"/>
        </w:rPr>
        <w:t xml:space="preserve"> y los numerales 8 y 9 de la </w:t>
      </w:r>
      <w:r w:rsidRPr="006C0176">
        <w:rPr>
          <w:rFonts w:ascii="Palatino Linotype" w:hAnsi="Palatino Linotype" w:cs="Arial"/>
          <w:lang w:val="es-ES"/>
        </w:rPr>
        <w:t>Ley de Transparencia y Acceso a la Información Pública del Estado de México y Municipios.</w:t>
      </w:r>
    </w:p>
    <w:p w14:paraId="03597DD1" w14:textId="77777777" w:rsidR="009E2174" w:rsidRPr="006C0176" w:rsidRDefault="009E2174" w:rsidP="00591D0F">
      <w:pPr>
        <w:spacing w:before="100" w:beforeAutospacing="1" w:after="100" w:afterAutospacing="1" w:line="360" w:lineRule="auto"/>
        <w:jc w:val="both"/>
        <w:rPr>
          <w:rFonts w:ascii="Palatino Linotype" w:hAnsi="Palatino Linotype" w:cs="Arial"/>
          <w:color w:val="000000" w:themeColor="text1"/>
        </w:rPr>
      </w:pPr>
      <w:r w:rsidRPr="006C0176">
        <w:rPr>
          <w:rFonts w:ascii="Palatino Linotype" w:hAnsi="Palatino Linotype"/>
          <w:color w:val="222222"/>
          <w:lang w:eastAsia="es-MX"/>
        </w:rPr>
        <w:t xml:space="preserve">Primeramente, es importante señalar que </w:t>
      </w:r>
      <w:r w:rsidRPr="006C0176">
        <w:rPr>
          <w:rFonts w:ascii="Palatino Linotype" w:hAnsi="Palatino Linotype"/>
          <w:b/>
          <w:color w:val="222222"/>
          <w:lang w:eastAsia="es-MX"/>
        </w:rPr>
        <w:t xml:space="preserve">EL SUJETO OBLIGADO </w:t>
      </w:r>
      <w:r w:rsidRPr="006C0176">
        <w:rPr>
          <w:rFonts w:ascii="Palatino Linotype" w:hAnsi="Palatino Linotype"/>
          <w:color w:val="222222"/>
          <w:lang w:eastAsia="es-MX"/>
        </w:rPr>
        <w:t>es competente para generar, administrar o poseer la información solicitada, derivado de que éste ha asumido la misma, ya que en la respuesta adjuntó diversos documentos solicitados</w:t>
      </w:r>
      <w:r w:rsidRPr="006C0176">
        <w:rPr>
          <w:rFonts w:ascii="Palatino Linotype" w:hAnsi="Palatino Linotype" w:cs="Arial"/>
          <w:color w:val="000000" w:themeColor="text1"/>
        </w:rPr>
        <w:t xml:space="preserve">. </w:t>
      </w:r>
    </w:p>
    <w:p w14:paraId="1B3C7346" w14:textId="77777777" w:rsidR="009E2174" w:rsidRPr="006C0176" w:rsidRDefault="009E2174" w:rsidP="00591D0F">
      <w:pPr>
        <w:spacing w:before="100" w:beforeAutospacing="1" w:after="100" w:afterAutospacing="1" w:line="360" w:lineRule="auto"/>
        <w:jc w:val="both"/>
        <w:rPr>
          <w:rFonts w:ascii="Palatino Linotype" w:hAnsi="Palatino Linotype"/>
          <w:color w:val="222222"/>
          <w:lang w:eastAsia="es-MX"/>
        </w:rPr>
      </w:pPr>
      <w:r w:rsidRPr="006C0176">
        <w:rPr>
          <w:rFonts w:ascii="Palatino Linotype" w:hAnsi="Palatino Linotype"/>
          <w:color w:val="222222"/>
          <w:lang w:eastAsia="es-MX"/>
        </w:rPr>
        <w:t xml:space="preserve">Por lo que, el hecho de que </w:t>
      </w:r>
      <w:r w:rsidRPr="006C0176">
        <w:rPr>
          <w:rFonts w:ascii="Palatino Linotype" w:hAnsi="Palatino Linotype"/>
          <w:b/>
          <w:bCs/>
          <w:color w:val="222222"/>
          <w:lang w:eastAsia="es-MX"/>
        </w:rPr>
        <w:t>EL SUJETO OBLIGADO</w:t>
      </w:r>
      <w:r w:rsidRPr="006C0176">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791F0EAE" w14:textId="77777777" w:rsidR="009E2174" w:rsidRPr="006C0176" w:rsidRDefault="009E2174" w:rsidP="00591D0F">
      <w:pPr>
        <w:spacing w:before="100" w:beforeAutospacing="1" w:after="100" w:afterAutospacing="1"/>
        <w:ind w:left="851" w:right="902"/>
        <w:jc w:val="both"/>
        <w:rPr>
          <w:rFonts w:ascii="Palatino Linotype" w:hAnsi="Palatino Linotype"/>
          <w:i/>
          <w:iCs/>
          <w:color w:val="222222"/>
          <w:sz w:val="22"/>
          <w:szCs w:val="22"/>
          <w:lang w:eastAsia="es-MX"/>
        </w:rPr>
      </w:pPr>
      <w:r w:rsidRPr="006C0176">
        <w:rPr>
          <w:rFonts w:ascii="Palatino Linotype" w:hAnsi="Palatino Linotype"/>
          <w:i/>
          <w:iCs/>
          <w:color w:val="222222"/>
          <w:sz w:val="22"/>
          <w:szCs w:val="22"/>
          <w:lang w:eastAsia="es-MX"/>
        </w:rPr>
        <w:t>“</w:t>
      </w:r>
      <w:r w:rsidRPr="006C0176">
        <w:rPr>
          <w:rFonts w:ascii="Palatino Linotype" w:hAnsi="Palatino Linotype"/>
          <w:b/>
          <w:bCs/>
          <w:i/>
          <w:iCs/>
          <w:color w:val="222222"/>
          <w:sz w:val="22"/>
          <w:szCs w:val="22"/>
          <w:lang w:eastAsia="es-MX"/>
        </w:rPr>
        <w:t>Artículo 12.</w:t>
      </w:r>
      <w:r w:rsidRPr="006C0176">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78329A4" w14:textId="77777777" w:rsidR="009E2174" w:rsidRPr="006C0176" w:rsidRDefault="009E2174" w:rsidP="00591D0F">
      <w:pPr>
        <w:spacing w:before="100" w:beforeAutospacing="1" w:after="100" w:afterAutospacing="1"/>
        <w:ind w:left="851" w:right="902"/>
        <w:jc w:val="both"/>
        <w:rPr>
          <w:rFonts w:ascii="Palatino Linotype" w:hAnsi="Palatino Linotype"/>
          <w:i/>
          <w:iCs/>
          <w:color w:val="222222"/>
          <w:sz w:val="22"/>
          <w:szCs w:val="22"/>
          <w:lang w:eastAsia="es-MX"/>
        </w:rPr>
      </w:pPr>
      <w:r w:rsidRPr="006C0176">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E138F1" w14:textId="77777777" w:rsidR="009E2174" w:rsidRPr="006C0176" w:rsidRDefault="009E2174" w:rsidP="00591D0F">
      <w:pPr>
        <w:spacing w:before="100" w:beforeAutospacing="1" w:after="100" w:afterAutospacing="1" w:line="360" w:lineRule="auto"/>
        <w:jc w:val="both"/>
        <w:rPr>
          <w:rFonts w:ascii="Palatino Linotype" w:hAnsi="Palatino Linotype"/>
          <w:color w:val="222222"/>
          <w:lang w:eastAsia="es-MX"/>
        </w:rPr>
      </w:pPr>
      <w:r w:rsidRPr="006C0176">
        <w:rPr>
          <w:rFonts w:ascii="Palatino Linotype" w:hAnsi="Palatino Linotype"/>
          <w:color w:val="222222"/>
          <w:lang w:eastAsia="es-MX"/>
        </w:rPr>
        <w:t xml:space="preserve">En atención a lo anterior, el estudio de la naturaleza jurídica de la información pública solicitada, tiene por objeto determinar si </w:t>
      </w:r>
      <w:r w:rsidRPr="006C0176">
        <w:rPr>
          <w:rFonts w:ascii="Palatino Linotype" w:hAnsi="Palatino Linotype"/>
          <w:b/>
          <w:color w:val="222222"/>
          <w:lang w:eastAsia="es-MX"/>
        </w:rPr>
        <w:t xml:space="preserve">EL SUJETO OBLIGADO </w:t>
      </w:r>
      <w:r w:rsidRPr="006C0176">
        <w:rPr>
          <w:rFonts w:ascii="Palatino Linotype" w:hAnsi="Palatino Linotype"/>
          <w:color w:val="222222"/>
          <w:lang w:eastAsia="es-MX"/>
        </w:rPr>
        <w:t>la</w:t>
      </w:r>
      <w:r w:rsidRPr="006C0176">
        <w:rPr>
          <w:rFonts w:ascii="Palatino Linotype" w:hAnsi="Palatino Linotype"/>
          <w:b/>
          <w:color w:val="222222"/>
          <w:lang w:eastAsia="es-MX"/>
        </w:rPr>
        <w:t xml:space="preserve"> </w:t>
      </w:r>
      <w:r w:rsidRPr="006C0176">
        <w:rPr>
          <w:rFonts w:ascii="Palatino Linotype" w:hAnsi="Palatino Linotype"/>
          <w:color w:val="222222"/>
          <w:lang w:eastAsia="es-MX"/>
        </w:rPr>
        <w:t xml:space="preserve">genera, posee o administra; sin embargo, en aquellos casos en que éste la asume, a nada práctico nos conduciría su estudio, ya que como se observa de la respuesta vertida por </w:t>
      </w:r>
      <w:r w:rsidRPr="006C0176">
        <w:rPr>
          <w:rFonts w:ascii="Palatino Linotype" w:hAnsi="Palatino Linotype"/>
          <w:b/>
          <w:color w:val="222222"/>
          <w:lang w:eastAsia="es-MX"/>
        </w:rPr>
        <w:t>EL SUJETO OBLIGADO</w:t>
      </w:r>
      <w:r w:rsidRPr="006C0176">
        <w:rPr>
          <w:rFonts w:ascii="Palatino Linotype" w:hAnsi="Palatino Linotype"/>
          <w:color w:val="222222"/>
          <w:lang w:eastAsia="es-MX"/>
        </w:rPr>
        <w:t>, dicha información, fue admitida por el mismo; actualizándose el supuesto artículo 12 de la Ley de la materia, anteriormente referido.</w:t>
      </w:r>
    </w:p>
    <w:p w14:paraId="04525085" w14:textId="77777777" w:rsidR="009E2174" w:rsidRPr="006C0176" w:rsidRDefault="009E2174" w:rsidP="00591D0F">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C0176">
        <w:rPr>
          <w:rFonts w:ascii="Palatino Linotype" w:hAnsi="Palatino Linotype" w:cs="Arial"/>
          <w:color w:val="000000" w:themeColor="text1"/>
        </w:rPr>
        <w:t xml:space="preserve">Una vez determinada la vía sobre la que versará el presente Recurso y previa revisión del expediente </w:t>
      </w:r>
      <w:r w:rsidRPr="006C0176">
        <w:rPr>
          <w:rFonts w:ascii="Palatino Linotype" w:hAnsi="Palatino Linotype"/>
          <w:color w:val="000000" w:themeColor="text1"/>
        </w:rPr>
        <w:t>electrónico</w:t>
      </w:r>
      <w:r w:rsidRPr="006C0176">
        <w:rPr>
          <w:rFonts w:ascii="Palatino Linotype" w:hAnsi="Palatino Linotype" w:cs="Arial"/>
          <w:color w:val="000000" w:themeColor="text1"/>
        </w:rPr>
        <w:t xml:space="preserve"> formado en el</w:t>
      </w:r>
      <w:r w:rsidRPr="006C0176">
        <w:rPr>
          <w:rFonts w:ascii="Palatino Linotype" w:hAnsi="Palatino Linotype" w:cs="Arial"/>
          <w:b/>
          <w:color w:val="000000" w:themeColor="text1"/>
        </w:rPr>
        <w:t xml:space="preserve"> SAIMEX</w:t>
      </w:r>
      <w:r w:rsidRPr="006C0176">
        <w:rPr>
          <w:rFonts w:ascii="Palatino Linotype" w:hAnsi="Palatino Linotype" w:cs="Arial"/>
          <w:color w:val="000000" w:themeColor="text1"/>
        </w:rPr>
        <w:t xml:space="preserve">, es conveniente analizar si la respuesta del </w:t>
      </w:r>
      <w:r w:rsidRPr="006C0176">
        <w:rPr>
          <w:rFonts w:ascii="Palatino Linotype" w:hAnsi="Palatino Linotype" w:cs="Arial"/>
          <w:b/>
          <w:color w:val="000000" w:themeColor="text1"/>
          <w:lang w:eastAsia="es-MX"/>
        </w:rPr>
        <w:t>SUJETO OBLIGADO</w:t>
      </w:r>
      <w:r w:rsidRPr="006C0176">
        <w:rPr>
          <w:rFonts w:ascii="Palatino Linotype" w:hAnsi="Palatino Linotype" w:cs="Arial"/>
          <w:color w:val="000000" w:themeColor="text1"/>
        </w:rPr>
        <w:t xml:space="preserve"> cumple con los requisitos del Derecho de Acceso a la Información Pública, por lo que, para efectos de mejor estudio y comprensión, conviene citar la petición del </w:t>
      </w:r>
      <w:r w:rsidRPr="006C0176">
        <w:rPr>
          <w:rFonts w:ascii="Palatino Linotype" w:hAnsi="Palatino Linotype" w:cs="Arial"/>
          <w:b/>
          <w:bCs/>
          <w:color w:val="000000" w:themeColor="text1"/>
        </w:rPr>
        <w:t>RECURRENTE</w:t>
      </w:r>
      <w:r w:rsidRPr="006C0176">
        <w:rPr>
          <w:rFonts w:ascii="Palatino Linotype" w:hAnsi="Palatino Linotype" w:cs="Arial"/>
          <w:color w:val="000000" w:themeColor="text1"/>
        </w:rPr>
        <w:t xml:space="preserve">, así como, la respuesta otorgada por </w:t>
      </w:r>
      <w:r w:rsidRPr="006C0176">
        <w:rPr>
          <w:rFonts w:ascii="Palatino Linotype" w:hAnsi="Palatino Linotype" w:cs="Arial"/>
          <w:b/>
          <w:color w:val="000000" w:themeColor="text1"/>
        </w:rPr>
        <w:t xml:space="preserve">EL SUJETO OBLIGADO, </w:t>
      </w:r>
      <w:r w:rsidRPr="006C0176">
        <w:rPr>
          <w:rFonts w:ascii="Palatino Linotype" w:hAnsi="Palatino Linotype" w:cs="Arial"/>
          <w:color w:val="000000" w:themeColor="text1"/>
        </w:rPr>
        <w:t xml:space="preserve">motivo por el cual se </w:t>
      </w:r>
      <w:r w:rsidRPr="006C0176">
        <w:rPr>
          <w:rFonts w:ascii="Palatino Linotype" w:hAnsi="Palatino Linotype" w:cs="Arial"/>
        </w:rPr>
        <w:t>realiza la siguiente tabla, para mayor entendimiento:</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1"/>
        <w:gridCol w:w="3402"/>
        <w:gridCol w:w="2268"/>
      </w:tblGrid>
      <w:tr w:rsidR="0041102D" w:rsidRPr="006C0176" w14:paraId="2764F9E0" w14:textId="77777777" w:rsidTr="00087943">
        <w:trPr>
          <w:tblHeader/>
        </w:trPr>
        <w:tc>
          <w:tcPr>
            <w:tcW w:w="426"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6FFAC7D9" w14:textId="77777777" w:rsidR="0041102D" w:rsidRPr="006C0176" w:rsidRDefault="0041102D" w:rsidP="00591D0F">
            <w:pPr>
              <w:suppressAutoHyphens/>
              <w:spacing w:before="100" w:beforeAutospacing="1" w:after="100" w:afterAutospacing="1" w:line="360" w:lineRule="auto"/>
              <w:jc w:val="center"/>
              <w:rPr>
                <w:rFonts w:ascii="Palatino Linotype" w:eastAsia="Calibri" w:hAnsi="Palatino Linotype" w:cs="Arial"/>
                <w:b/>
                <w:color w:val="FFFFFF" w:themeColor="background1"/>
                <w:sz w:val="22"/>
                <w:szCs w:val="22"/>
                <w:lang w:val="es-ES_tradnl"/>
              </w:rPr>
            </w:pPr>
          </w:p>
        </w:tc>
        <w:tc>
          <w:tcPr>
            <w:tcW w:w="2971"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4E79F0F" w14:textId="4B57523D" w:rsidR="0041102D" w:rsidRPr="006C0176" w:rsidRDefault="0041102D" w:rsidP="00591D0F">
            <w:pPr>
              <w:suppressAutoHyphens/>
              <w:spacing w:before="100" w:beforeAutospacing="1" w:after="100" w:afterAutospacing="1" w:line="360" w:lineRule="auto"/>
              <w:jc w:val="center"/>
              <w:rPr>
                <w:rFonts w:ascii="Palatino Linotype" w:eastAsia="Calibri" w:hAnsi="Palatino Linotype" w:cs="Arial"/>
                <w:b/>
                <w:color w:val="FFFFFF" w:themeColor="background1"/>
                <w:sz w:val="22"/>
                <w:szCs w:val="22"/>
                <w:lang w:val="es-ES_tradnl"/>
              </w:rPr>
            </w:pPr>
            <w:r w:rsidRPr="006C0176">
              <w:rPr>
                <w:rFonts w:ascii="Palatino Linotype" w:eastAsia="Calibri" w:hAnsi="Palatino Linotype" w:cs="Arial"/>
                <w:b/>
                <w:color w:val="FFFFFF" w:themeColor="background1"/>
                <w:sz w:val="22"/>
                <w:szCs w:val="22"/>
                <w:lang w:val="es-ES_tradnl"/>
              </w:rPr>
              <w:t>Solicitud</w:t>
            </w:r>
          </w:p>
        </w:tc>
        <w:tc>
          <w:tcPr>
            <w:tcW w:w="340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4CDEAC0" w14:textId="0E9B504B" w:rsidR="0041102D" w:rsidRPr="006C0176" w:rsidRDefault="0041102D" w:rsidP="00591D0F">
            <w:pPr>
              <w:suppressAutoHyphens/>
              <w:spacing w:before="100" w:beforeAutospacing="1" w:after="100" w:afterAutospacing="1" w:line="360" w:lineRule="auto"/>
              <w:jc w:val="center"/>
              <w:rPr>
                <w:rFonts w:ascii="Palatino Linotype" w:eastAsia="Calibri" w:hAnsi="Palatino Linotype" w:cs="Arial"/>
                <w:b/>
                <w:color w:val="FFFFFF" w:themeColor="background1"/>
                <w:sz w:val="22"/>
                <w:szCs w:val="22"/>
                <w:lang w:val="es-ES_tradnl"/>
              </w:rPr>
            </w:pPr>
            <w:r w:rsidRPr="006C0176">
              <w:rPr>
                <w:rFonts w:ascii="Palatino Linotype" w:eastAsia="Calibri" w:hAnsi="Palatino Linotype" w:cs="Arial"/>
                <w:b/>
                <w:color w:val="FFFFFF" w:themeColor="background1"/>
                <w:sz w:val="22"/>
                <w:szCs w:val="22"/>
                <w:lang w:val="es-ES_tradnl" w:eastAsia="en-US"/>
              </w:rPr>
              <w:t>Respuesta/Informe Justificado</w:t>
            </w:r>
          </w:p>
        </w:tc>
        <w:tc>
          <w:tcPr>
            <w:tcW w:w="226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AB39B99" w14:textId="77777777" w:rsidR="0041102D" w:rsidRPr="006C0176" w:rsidRDefault="0041102D" w:rsidP="00591D0F">
            <w:pPr>
              <w:suppressAutoHyphens/>
              <w:spacing w:before="100" w:beforeAutospacing="1" w:after="100" w:afterAutospacing="1" w:line="360" w:lineRule="auto"/>
              <w:jc w:val="center"/>
              <w:rPr>
                <w:rFonts w:ascii="Palatino Linotype" w:eastAsia="Calibri" w:hAnsi="Palatino Linotype" w:cs="Arial"/>
                <w:b/>
                <w:color w:val="FFFFFF" w:themeColor="background1"/>
                <w:sz w:val="22"/>
                <w:szCs w:val="22"/>
                <w:lang w:val="es-ES_tradnl" w:eastAsia="en-US"/>
              </w:rPr>
            </w:pPr>
            <w:r w:rsidRPr="006C0176">
              <w:rPr>
                <w:rFonts w:ascii="Palatino Linotype" w:eastAsia="Calibri" w:hAnsi="Palatino Linotype" w:cs="Arial"/>
                <w:b/>
                <w:color w:val="FFFFFF" w:themeColor="background1"/>
                <w:sz w:val="22"/>
                <w:szCs w:val="22"/>
                <w:lang w:val="es-ES_tradnl" w:eastAsia="en-US"/>
              </w:rPr>
              <w:t>Comentarios</w:t>
            </w:r>
          </w:p>
        </w:tc>
      </w:tr>
      <w:tr w:rsidR="0041102D" w:rsidRPr="006C0176" w14:paraId="654F1647" w14:textId="77777777" w:rsidTr="00087943">
        <w:trPr>
          <w:trHeight w:val="387"/>
        </w:trPr>
        <w:tc>
          <w:tcPr>
            <w:tcW w:w="426" w:type="dxa"/>
            <w:tcBorders>
              <w:top w:val="single" w:sz="2" w:space="0" w:color="auto"/>
              <w:bottom w:val="single" w:sz="2" w:space="0" w:color="auto"/>
            </w:tcBorders>
          </w:tcPr>
          <w:p w14:paraId="6547FEF6" w14:textId="77777777" w:rsidR="0041102D" w:rsidRPr="006C0176" w:rsidRDefault="0041102D" w:rsidP="00591D0F">
            <w:pPr>
              <w:pStyle w:val="Prrafodelista"/>
              <w:numPr>
                <w:ilvl w:val="0"/>
                <w:numId w:val="39"/>
              </w:numPr>
              <w:autoSpaceDE w:val="0"/>
              <w:autoSpaceDN w:val="0"/>
              <w:adjustRightInd w:val="0"/>
              <w:spacing w:before="100" w:beforeAutospacing="1" w:after="100" w:afterAutospacing="1" w:line="360" w:lineRule="auto"/>
              <w:ind w:left="360"/>
              <w:jc w:val="center"/>
              <w:rPr>
                <w:rFonts w:ascii="Palatino Linotype" w:eastAsia="Calibri" w:hAnsi="Palatino Linotype" w:cs="Verdana"/>
                <w:i/>
                <w:sz w:val="22"/>
                <w:szCs w:val="22"/>
                <w:lang w:val="es-ES_tradnl" w:eastAsia="en-US"/>
              </w:rPr>
            </w:pPr>
          </w:p>
        </w:tc>
        <w:tc>
          <w:tcPr>
            <w:tcW w:w="2971" w:type="dxa"/>
            <w:tcBorders>
              <w:top w:val="single" w:sz="2" w:space="0" w:color="auto"/>
              <w:bottom w:val="single" w:sz="2" w:space="0" w:color="auto"/>
            </w:tcBorders>
            <w:shd w:val="clear" w:color="auto" w:fill="auto"/>
          </w:tcPr>
          <w:p w14:paraId="67D2D02D" w14:textId="43BA8332" w:rsidR="0041102D" w:rsidRPr="006C0176" w:rsidRDefault="0041102D" w:rsidP="00591D0F">
            <w:pPr>
              <w:autoSpaceDE w:val="0"/>
              <w:autoSpaceDN w:val="0"/>
              <w:adjustRightInd w:val="0"/>
              <w:spacing w:before="100" w:beforeAutospacing="1" w:after="100" w:afterAutospacing="1" w:line="360" w:lineRule="auto"/>
              <w:jc w:val="both"/>
              <w:rPr>
                <w:rFonts w:ascii="Palatino Linotype" w:eastAsia="Calibri" w:hAnsi="Palatino Linotype" w:cs="Verdana"/>
                <w:i/>
                <w:sz w:val="22"/>
                <w:szCs w:val="22"/>
                <w:lang w:val="es-ES_tradnl" w:eastAsia="en-US"/>
              </w:rPr>
            </w:pPr>
            <w:r w:rsidRPr="006C0176">
              <w:rPr>
                <w:rFonts w:ascii="Palatino Linotype" w:eastAsia="Calibri" w:hAnsi="Palatino Linotype" w:cs="Verdana"/>
                <w:i/>
                <w:sz w:val="22"/>
                <w:szCs w:val="22"/>
                <w:lang w:val="es-ES_tradnl" w:eastAsia="en-US"/>
              </w:rPr>
              <w:t>Copia del contrato, expediente técnico de obra, avance físico, presupuesto ejercido de la obra programada denominada OP 176 Construcción de pavimentación concreto hidráulico en bulevar 16 de septiembre precisamente frente Al Auditorio en Ixtlahuaca Méx.</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9B00B2F" w14:textId="77777777" w:rsidR="0041102D" w:rsidRPr="006C0176" w:rsidRDefault="0041102D" w:rsidP="00591D0F">
            <w:pPr>
              <w:spacing w:before="100" w:beforeAutospacing="1" w:after="100" w:afterAutospacing="1" w:line="360" w:lineRule="auto"/>
              <w:jc w:val="both"/>
              <w:rPr>
                <w:rFonts w:ascii="Palatino Linotype" w:hAnsi="Palatino Linotype" w:cs="Segoe UI"/>
                <w:b/>
                <w:iCs/>
                <w:sz w:val="22"/>
                <w:szCs w:val="22"/>
                <w:lang w:val="es-ES_tradnl" w:eastAsia="es-MX"/>
              </w:rPr>
            </w:pPr>
            <w:r w:rsidRPr="006C0176">
              <w:rPr>
                <w:rFonts w:ascii="Palatino Linotype" w:hAnsi="Palatino Linotype" w:cs="Segoe UI"/>
                <w:b/>
                <w:iCs/>
                <w:sz w:val="22"/>
                <w:szCs w:val="22"/>
                <w:lang w:val="es-ES_tradnl" w:eastAsia="es-MX"/>
              </w:rPr>
              <w:t>Respuesta:</w:t>
            </w:r>
          </w:p>
          <w:p w14:paraId="651913CE" w14:textId="12693FAD" w:rsidR="0041102D" w:rsidRPr="006C0176" w:rsidRDefault="0041102D" w:rsidP="00591D0F">
            <w:pPr>
              <w:spacing w:before="100" w:beforeAutospacing="1" w:after="100" w:afterAutospacing="1" w:line="360" w:lineRule="auto"/>
              <w:jc w:val="both"/>
              <w:rPr>
                <w:rFonts w:ascii="Palatino Linotype" w:hAnsi="Palatino Linotype" w:cs="Segoe UI"/>
                <w:bCs/>
                <w:iCs/>
                <w:sz w:val="22"/>
                <w:szCs w:val="22"/>
                <w:lang w:val="es-ES_tradnl" w:eastAsia="es-MX"/>
              </w:rPr>
            </w:pPr>
            <w:r w:rsidRPr="006C0176">
              <w:rPr>
                <w:rFonts w:ascii="Palatino Linotype" w:hAnsi="Palatino Linotype" w:cs="Segoe UI"/>
                <w:bCs/>
                <w:iCs/>
                <w:sz w:val="22"/>
                <w:szCs w:val="22"/>
                <w:lang w:val="es-ES_tradnl" w:eastAsia="es-MX"/>
              </w:rPr>
              <w:t xml:space="preserve">Adjunta el contrato el cual se precisar la modalidad de adjudicación, fecha de inicio y de </w:t>
            </w:r>
            <w:r w:rsidR="00B21A0A" w:rsidRPr="006C0176">
              <w:rPr>
                <w:rFonts w:ascii="Palatino Linotype" w:hAnsi="Palatino Linotype" w:cs="Segoe UI"/>
                <w:bCs/>
                <w:iCs/>
                <w:sz w:val="22"/>
                <w:szCs w:val="22"/>
                <w:lang w:val="es-ES_tradnl" w:eastAsia="es-MX"/>
              </w:rPr>
              <w:t>término</w:t>
            </w:r>
            <w:r w:rsidRPr="006C0176">
              <w:rPr>
                <w:rFonts w:ascii="Palatino Linotype" w:hAnsi="Palatino Linotype" w:cs="Segoe UI"/>
                <w:bCs/>
                <w:iCs/>
                <w:sz w:val="22"/>
                <w:szCs w:val="22"/>
                <w:lang w:val="es-ES_tradnl" w:eastAsia="es-MX"/>
              </w:rPr>
              <w:t xml:space="preserve">, </w:t>
            </w:r>
            <w:r w:rsidR="00AB70AF" w:rsidRPr="006C0176">
              <w:rPr>
                <w:rFonts w:ascii="Palatino Linotype" w:hAnsi="Palatino Linotype" w:cs="Segoe UI"/>
                <w:bCs/>
                <w:iCs/>
                <w:sz w:val="22"/>
                <w:szCs w:val="22"/>
                <w:lang w:val="es-ES_tradnl" w:eastAsia="es-MX"/>
              </w:rPr>
              <w:t>así</w:t>
            </w:r>
            <w:r w:rsidRPr="006C0176">
              <w:rPr>
                <w:rFonts w:ascii="Palatino Linotype" w:hAnsi="Palatino Linotype" w:cs="Segoe UI"/>
                <w:bCs/>
                <w:iCs/>
                <w:sz w:val="22"/>
                <w:szCs w:val="22"/>
                <w:lang w:val="es-ES_tradnl" w:eastAsia="es-MX"/>
              </w:rPr>
              <w:t xml:space="preserve"> como, el monto total; el avance a la fecha de la solicitud es del 90%, se observa el presupuesto ejercido para la obra es de $ 14, 348, 942. 50. </w:t>
            </w:r>
          </w:p>
          <w:p w14:paraId="5592E9DB" w14:textId="77777777" w:rsidR="0041102D" w:rsidRPr="006C0176" w:rsidRDefault="0041102D" w:rsidP="00591D0F">
            <w:pPr>
              <w:spacing w:before="100" w:beforeAutospacing="1" w:after="100" w:afterAutospacing="1" w:line="360" w:lineRule="auto"/>
              <w:jc w:val="both"/>
              <w:rPr>
                <w:rFonts w:ascii="Palatino Linotype" w:hAnsi="Palatino Linotype" w:cs="Segoe UI"/>
                <w:b/>
                <w:iCs/>
                <w:sz w:val="22"/>
                <w:szCs w:val="22"/>
                <w:lang w:val="es-ES_tradnl" w:eastAsia="es-MX"/>
              </w:rPr>
            </w:pPr>
            <w:r w:rsidRPr="006C0176">
              <w:rPr>
                <w:rFonts w:ascii="Palatino Linotype" w:hAnsi="Palatino Linotype" w:cs="Segoe UI"/>
                <w:b/>
                <w:iCs/>
                <w:sz w:val="22"/>
                <w:szCs w:val="22"/>
                <w:lang w:val="es-ES_tradnl" w:eastAsia="es-MX"/>
              </w:rPr>
              <w:t>Informe Justificado:</w:t>
            </w:r>
          </w:p>
          <w:p w14:paraId="12D1FC91" w14:textId="78ADCE9B" w:rsidR="0041102D" w:rsidRPr="006C0176" w:rsidRDefault="0041102D" w:rsidP="00591D0F">
            <w:pPr>
              <w:spacing w:before="100" w:beforeAutospacing="1" w:after="100" w:afterAutospacing="1" w:line="360" w:lineRule="auto"/>
              <w:jc w:val="both"/>
              <w:rPr>
                <w:rFonts w:ascii="Palatino Linotype" w:hAnsi="Palatino Linotype" w:cs="Segoe UI"/>
                <w:bCs/>
                <w:iCs/>
                <w:sz w:val="22"/>
                <w:szCs w:val="22"/>
                <w:lang w:val="es-ES_tradnl" w:eastAsia="es-MX"/>
              </w:rPr>
            </w:pPr>
            <w:r w:rsidRPr="006C0176">
              <w:rPr>
                <w:rFonts w:ascii="Palatino Linotype" w:hAnsi="Palatino Linotype" w:cs="Segoe UI"/>
                <w:bCs/>
                <w:iCs/>
                <w:sz w:val="22"/>
                <w:szCs w:val="22"/>
                <w:lang w:val="es-ES_tradnl" w:eastAsia="es-MX"/>
              </w:rPr>
              <w:t xml:space="preserve">Confirma respuesta primigenia.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BD64736" w14:textId="3844D34D" w:rsidR="0041102D" w:rsidRPr="006C0176" w:rsidRDefault="00EE73E6" w:rsidP="00591D0F">
            <w:pPr>
              <w:tabs>
                <w:tab w:val="left" w:pos="567"/>
              </w:tabs>
              <w:suppressAutoHyphens/>
              <w:spacing w:before="100" w:beforeAutospacing="1" w:after="100" w:afterAutospacing="1" w:line="360" w:lineRule="auto"/>
              <w:jc w:val="both"/>
              <w:rPr>
                <w:rFonts w:ascii="Palatino Linotype" w:hAnsi="Palatino Linotype"/>
                <w:b/>
                <w:bCs/>
                <w:sz w:val="22"/>
                <w:szCs w:val="22"/>
                <w:lang w:val="es-ES_tradnl"/>
              </w:rPr>
            </w:pPr>
            <w:r>
              <w:rPr>
                <w:rFonts w:ascii="Palatino Linotype" w:hAnsi="Palatino Linotype"/>
                <w:b/>
                <w:bCs/>
                <w:sz w:val="22"/>
                <w:szCs w:val="22"/>
                <w:lang w:val="es-ES_tradnl"/>
              </w:rPr>
              <w:t>Parcial</w:t>
            </w:r>
            <w:r w:rsidR="00087943" w:rsidRPr="006C0176">
              <w:rPr>
                <w:rFonts w:ascii="Palatino Linotype" w:hAnsi="Palatino Linotype"/>
                <w:b/>
                <w:bCs/>
                <w:sz w:val="22"/>
                <w:szCs w:val="22"/>
                <w:lang w:val="es-ES_tradnl"/>
              </w:rPr>
              <w:t xml:space="preserve"> (este Órgano Garante advierte que el contrato se encuentra de manera incompleta y no entrega el expediente)</w:t>
            </w:r>
          </w:p>
          <w:p w14:paraId="1CD2FD60" w14:textId="0618EEFB" w:rsidR="0041102D" w:rsidRPr="006C0176" w:rsidRDefault="0041102D" w:rsidP="00591D0F">
            <w:pPr>
              <w:tabs>
                <w:tab w:val="left" w:pos="567"/>
              </w:tabs>
              <w:suppressAutoHyphens/>
              <w:spacing w:before="100" w:beforeAutospacing="1" w:after="100" w:afterAutospacing="1" w:line="360" w:lineRule="auto"/>
              <w:jc w:val="center"/>
              <w:rPr>
                <w:rFonts w:ascii="Palatino Linotype" w:hAnsi="Palatino Linotype"/>
                <w:b/>
                <w:bCs/>
                <w:sz w:val="22"/>
                <w:szCs w:val="22"/>
                <w:lang w:val="es-ES_tradnl"/>
              </w:rPr>
            </w:pPr>
          </w:p>
        </w:tc>
      </w:tr>
      <w:tr w:rsidR="0041102D" w:rsidRPr="006C0176" w14:paraId="4092C74C" w14:textId="77777777" w:rsidTr="00087943">
        <w:trPr>
          <w:trHeight w:val="387"/>
        </w:trPr>
        <w:tc>
          <w:tcPr>
            <w:tcW w:w="426" w:type="dxa"/>
            <w:tcBorders>
              <w:top w:val="single" w:sz="2" w:space="0" w:color="auto"/>
              <w:bottom w:val="single" w:sz="2" w:space="0" w:color="auto"/>
            </w:tcBorders>
          </w:tcPr>
          <w:p w14:paraId="3DAB071C" w14:textId="77777777" w:rsidR="0041102D" w:rsidRPr="006C0176" w:rsidRDefault="0041102D" w:rsidP="00591D0F">
            <w:pPr>
              <w:pStyle w:val="Prrafodelista"/>
              <w:numPr>
                <w:ilvl w:val="0"/>
                <w:numId w:val="39"/>
              </w:numPr>
              <w:autoSpaceDE w:val="0"/>
              <w:autoSpaceDN w:val="0"/>
              <w:adjustRightInd w:val="0"/>
              <w:spacing w:before="100" w:beforeAutospacing="1" w:after="100" w:afterAutospacing="1" w:line="360" w:lineRule="auto"/>
              <w:ind w:left="360"/>
              <w:jc w:val="both"/>
              <w:rPr>
                <w:rFonts w:ascii="Palatino Linotype" w:eastAsia="Calibri" w:hAnsi="Palatino Linotype" w:cs="Verdana"/>
                <w:i/>
                <w:sz w:val="22"/>
                <w:szCs w:val="22"/>
                <w:lang w:val="es-ES_tradnl" w:eastAsia="en-US"/>
              </w:rPr>
            </w:pPr>
          </w:p>
        </w:tc>
        <w:tc>
          <w:tcPr>
            <w:tcW w:w="2971" w:type="dxa"/>
            <w:tcBorders>
              <w:top w:val="single" w:sz="2" w:space="0" w:color="auto"/>
              <w:bottom w:val="single" w:sz="2" w:space="0" w:color="auto"/>
            </w:tcBorders>
            <w:shd w:val="clear" w:color="auto" w:fill="auto"/>
          </w:tcPr>
          <w:p w14:paraId="49B10F15" w14:textId="4B9F69CF" w:rsidR="0041102D" w:rsidRPr="006C0176" w:rsidRDefault="0041102D" w:rsidP="00591D0F">
            <w:pPr>
              <w:autoSpaceDE w:val="0"/>
              <w:autoSpaceDN w:val="0"/>
              <w:adjustRightInd w:val="0"/>
              <w:spacing w:before="100" w:beforeAutospacing="1" w:after="100" w:afterAutospacing="1" w:line="360" w:lineRule="auto"/>
              <w:jc w:val="both"/>
              <w:rPr>
                <w:rFonts w:ascii="Palatino Linotype" w:eastAsia="Calibri" w:hAnsi="Palatino Linotype" w:cs="Verdana"/>
                <w:i/>
                <w:sz w:val="22"/>
                <w:szCs w:val="22"/>
                <w:lang w:val="es-ES_tradnl" w:eastAsia="en-US"/>
              </w:rPr>
            </w:pPr>
            <w:r w:rsidRPr="006C0176">
              <w:rPr>
                <w:rFonts w:ascii="Palatino Linotype" w:eastAsia="Calibri" w:hAnsi="Palatino Linotype" w:cs="Verdana"/>
                <w:i/>
                <w:sz w:val="22"/>
                <w:szCs w:val="22"/>
                <w:lang w:val="es-ES_tradnl" w:eastAsia="en-US"/>
              </w:rPr>
              <w:t>Copia del contrato, expediente técnico de obra, avance físico, presupuesto ejercido de la obra programada denominada OP 177 Construcción de pavimentación concreto hidráulico en calle 16 de septiembre en Ixtlahuaca Méx.</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00A8AD06" w14:textId="77777777" w:rsidR="0041102D" w:rsidRPr="006C0176" w:rsidRDefault="0041102D" w:rsidP="00591D0F">
            <w:pPr>
              <w:spacing w:before="100" w:beforeAutospacing="1" w:after="100" w:afterAutospacing="1" w:line="360" w:lineRule="auto"/>
              <w:jc w:val="both"/>
              <w:rPr>
                <w:rFonts w:ascii="Palatino Linotype" w:hAnsi="Palatino Linotype" w:cs="Segoe UI"/>
                <w:b/>
                <w:bCs/>
                <w:iCs/>
                <w:sz w:val="22"/>
                <w:szCs w:val="22"/>
                <w:lang w:val="es-ES_tradnl" w:eastAsia="es-MX"/>
              </w:rPr>
            </w:pPr>
            <w:r w:rsidRPr="006C0176">
              <w:rPr>
                <w:rFonts w:ascii="Palatino Linotype" w:hAnsi="Palatino Linotype" w:cs="Segoe UI"/>
                <w:b/>
                <w:bCs/>
                <w:iCs/>
                <w:sz w:val="22"/>
                <w:szCs w:val="22"/>
                <w:lang w:val="es-ES_tradnl" w:eastAsia="es-MX"/>
              </w:rPr>
              <w:t>Respuesta:</w:t>
            </w:r>
          </w:p>
          <w:p w14:paraId="62026910" w14:textId="0F399D2C" w:rsidR="0041102D" w:rsidRPr="006C0176" w:rsidRDefault="0041102D" w:rsidP="00591D0F">
            <w:pPr>
              <w:spacing w:before="100" w:beforeAutospacing="1" w:after="100" w:afterAutospacing="1" w:line="360" w:lineRule="auto"/>
              <w:jc w:val="both"/>
              <w:rPr>
                <w:rFonts w:ascii="Palatino Linotype" w:hAnsi="Palatino Linotype" w:cs="Segoe UI"/>
                <w:iCs/>
                <w:sz w:val="22"/>
                <w:szCs w:val="22"/>
                <w:lang w:val="es-ES_tradnl" w:eastAsia="es-MX"/>
              </w:rPr>
            </w:pPr>
            <w:r w:rsidRPr="006C0176">
              <w:rPr>
                <w:rFonts w:ascii="Palatino Linotype" w:hAnsi="Palatino Linotype" w:cs="Segoe UI"/>
                <w:iCs/>
                <w:sz w:val="22"/>
                <w:szCs w:val="22"/>
                <w:lang w:val="es-ES_tradnl" w:eastAsia="es-MX"/>
              </w:rPr>
              <w:t xml:space="preserve">Adjunta el contrato el cual se precisar la modalidad de adjudicación por invitación restringida, fecha de inicio y de termino, así como, el monto total; el avance a la fecha de la solicitud es del 100%; y el presupuesto ejercido para la obra es de $ 2, 498, 011. 91. </w:t>
            </w:r>
          </w:p>
          <w:p w14:paraId="11857943" w14:textId="77777777" w:rsidR="0041102D" w:rsidRPr="006C0176" w:rsidRDefault="0041102D" w:rsidP="00591D0F">
            <w:pPr>
              <w:spacing w:before="100" w:beforeAutospacing="1" w:after="100" w:afterAutospacing="1" w:line="360" w:lineRule="auto"/>
              <w:jc w:val="both"/>
              <w:rPr>
                <w:rFonts w:ascii="Palatino Linotype" w:hAnsi="Palatino Linotype" w:cs="Segoe UI"/>
                <w:b/>
                <w:bCs/>
                <w:iCs/>
                <w:sz w:val="22"/>
                <w:szCs w:val="22"/>
                <w:lang w:val="es-ES_tradnl" w:eastAsia="es-MX"/>
              </w:rPr>
            </w:pPr>
            <w:r w:rsidRPr="006C0176">
              <w:rPr>
                <w:rFonts w:ascii="Palatino Linotype" w:hAnsi="Palatino Linotype" w:cs="Segoe UI"/>
                <w:b/>
                <w:bCs/>
                <w:iCs/>
                <w:sz w:val="22"/>
                <w:szCs w:val="22"/>
                <w:lang w:val="es-ES_tradnl" w:eastAsia="es-MX"/>
              </w:rPr>
              <w:t>Informe Justificado:</w:t>
            </w:r>
          </w:p>
          <w:p w14:paraId="13116C17" w14:textId="4889B43D" w:rsidR="0041102D" w:rsidRPr="006C0176" w:rsidRDefault="0041102D" w:rsidP="00591D0F">
            <w:pPr>
              <w:spacing w:before="100" w:beforeAutospacing="1" w:after="100" w:afterAutospacing="1" w:line="360" w:lineRule="auto"/>
              <w:jc w:val="both"/>
              <w:rPr>
                <w:rFonts w:ascii="Palatino Linotype" w:hAnsi="Palatino Linotype" w:cs="Segoe UI"/>
                <w:iCs/>
                <w:sz w:val="22"/>
                <w:szCs w:val="22"/>
                <w:lang w:val="es-ES_tradnl" w:eastAsia="es-MX"/>
              </w:rPr>
            </w:pPr>
            <w:r w:rsidRPr="006C0176">
              <w:rPr>
                <w:rFonts w:ascii="Palatino Linotype" w:hAnsi="Palatino Linotype" w:cs="Segoe UI"/>
                <w:iCs/>
                <w:sz w:val="22"/>
                <w:szCs w:val="22"/>
                <w:lang w:val="es-ES_tradnl" w:eastAsia="es-MX"/>
              </w:rPr>
              <w:t>Confirma respuesta primigenia.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45ACB71" w14:textId="77777777" w:rsidR="00087943" w:rsidRPr="006C0176" w:rsidRDefault="00087943" w:rsidP="00591D0F">
            <w:pPr>
              <w:tabs>
                <w:tab w:val="left" w:pos="567"/>
              </w:tabs>
              <w:suppressAutoHyphens/>
              <w:spacing w:before="100" w:beforeAutospacing="1" w:after="100" w:afterAutospacing="1" w:line="360" w:lineRule="auto"/>
              <w:jc w:val="both"/>
              <w:rPr>
                <w:rFonts w:ascii="Palatino Linotype" w:hAnsi="Palatino Linotype"/>
                <w:b/>
                <w:bCs/>
                <w:sz w:val="22"/>
                <w:szCs w:val="22"/>
                <w:lang w:val="es-ES_tradnl"/>
              </w:rPr>
            </w:pPr>
            <w:r w:rsidRPr="006C0176">
              <w:rPr>
                <w:rFonts w:ascii="Palatino Linotype" w:hAnsi="Palatino Linotype"/>
                <w:b/>
                <w:bCs/>
                <w:sz w:val="22"/>
                <w:szCs w:val="22"/>
                <w:lang w:val="es-ES_tradnl"/>
              </w:rPr>
              <w:t>Parcial (este Órgano Garante advierte que el contrato se encuentra de manera incompleta y no entrega el expediente)</w:t>
            </w:r>
          </w:p>
          <w:p w14:paraId="1E6C6CB3" w14:textId="46E32DA4" w:rsidR="0041102D" w:rsidRPr="006C0176" w:rsidRDefault="0041102D" w:rsidP="00591D0F">
            <w:pPr>
              <w:tabs>
                <w:tab w:val="left" w:pos="567"/>
              </w:tabs>
              <w:suppressAutoHyphens/>
              <w:spacing w:before="100" w:beforeAutospacing="1" w:after="100" w:afterAutospacing="1" w:line="360" w:lineRule="auto"/>
              <w:jc w:val="center"/>
              <w:rPr>
                <w:rFonts w:ascii="Palatino Linotype" w:hAnsi="Palatino Linotype"/>
                <w:b/>
                <w:bCs/>
                <w:sz w:val="22"/>
                <w:szCs w:val="22"/>
                <w:lang w:val="es-ES_tradnl"/>
              </w:rPr>
            </w:pPr>
          </w:p>
        </w:tc>
      </w:tr>
      <w:tr w:rsidR="0041102D" w:rsidRPr="006C0176" w14:paraId="20CD8FB4" w14:textId="77777777" w:rsidTr="00087943">
        <w:trPr>
          <w:trHeight w:val="387"/>
        </w:trPr>
        <w:tc>
          <w:tcPr>
            <w:tcW w:w="426" w:type="dxa"/>
            <w:tcBorders>
              <w:top w:val="single" w:sz="2" w:space="0" w:color="auto"/>
              <w:bottom w:val="single" w:sz="2" w:space="0" w:color="auto"/>
            </w:tcBorders>
          </w:tcPr>
          <w:p w14:paraId="4D951EFD" w14:textId="77777777" w:rsidR="0041102D" w:rsidRPr="006C0176" w:rsidRDefault="0041102D" w:rsidP="00591D0F">
            <w:pPr>
              <w:pStyle w:val="Prrafodelista"/>
              <w:numPr>
                <w:ilvl w:val="0"/>
                <w:numId w:val="39"/>
              </w:numPr>
              <w:autoSpaceDE w:val="0"/>
              <w:autoSpaceDN w:val="0"/>
              <w:adjustRightInd w:val="0"/>
              <w:spacing w:before="100" w:beforeAutospacing="1" w:after="100" w:afterAutospacing="1" w:line="360" w:lineRule="auto"/>
              <w:ind w:left="360"/>
              <w:jc w:val="both"/>
              <w:rPr>
                <w:rFonts w:ascii="Palatino Linotype" w:eastAsia="Calibri" w:hAnsi="Palatino Linotype" w:cs="Verdana"/>
                <w:i/>
                <w:sz w:val="22"/>
                <w:szCs w:val="22"/>
                <w:lang w:val="es-ES_tradnl" w:eastAsia="en-US"/>
              </w:rPr>
            </w:pPr>
          </w:p>
        </w:tc>
        <w:tc>
          <w:tcPr>
            <w:tcW w:w="2971" w:type="dxa"/>
            <w:tcBorders>
              <w:top w:val="single" w:sz="2" w:space="0" w:color="auto"/>
              <w:bottom w:val="single" w:sz="2" w:space="0" w:color="auto"/>
            </w:tcBorders>
            <w:shd w:val="clear" w:color="auto" w:fill="auto"/>
          </w:tcPr>
          <w:p w14:paraId="7D8498BA" w14:textId="7922F81B" w:rsidR="0041102D" w:rsidRPr="006C0176" w:rsidRDefault="0041102D" w:rsidP="00591D0F">
            <w:pPr>
              <w:autoSpaceDE w:val="0"/>
              <w:autoSpaceDN w:val="0"/>
              <w:adjustRightInd w:val="0"/>
              <w:spacing w:before="100" w:beforeAutospacing="1" w:after="100" w:afterAutospacing="1" w:line="360" w:lineRule="auto"/>
              <w:jc w:val="both"/>
              <w:rPr>
                <w:rFonts w:ascii="Palatino Linotype" w:eastAsia="Calibri" w:hAnsi="Palatino Linotype" w:cs="Verdana"/>
                <w:i/>
                <w:sz w:val="22"/>
                <w:szCs w:val="22"/>
                <w:lang w:val="es-ES_tradnl" w:eastAsia="en-US"/>
              </w:rPr>
            </w:pPr>
            <w:r w:rsidRPr="006C0176">
              <w:rPr>
                <w:rFonts w:ascii="Palatino Linotype" w:eastAsia="Calibri" w:hAnsi="Palatino Linotype" w:cs="Verdana"/>
                <w:i/>
                <w:sz w:val="22"/>
                <w:szCs w:val="22"/>
                <w:lang w:val="es-ES_tradnl" w:eastAsia="en-US"/>
              </w:rPr>
              <w:t xml:space="preserve">Copia del contrato, expediente técnico de obra, avance físico, presupuesto ejercido de la obra programada denominada OP 179 Construcción de pavimentación concreto hidráulico 16 de septiembre por la Unidad deportiva en Ixtlahuaca </w:t>
            </w:r>
            <w:proofErr w:type="spellStart"/>
            <w:r w:rsidRPr="006C0176">
              <w:rPr>
                <w:rFonts w:ascii="Palatino Linotype" w:eastAsia="Calibri" w:hAnsi="Palatino Linotype" w:cs="Verdana"/>
                <w:i/>
                <w:sz w:val="22"/>
                <w:szCs w:val="22"/>
                <w:lang w:val="es-ES_tradnl" w:eastAsia="en-US"/>
              </w:rPr>
              <w:t>Méx</w:t>
            </w:r>
            <w:proofErr w:type="spellEnd"/>
            <w:r w:rsidRPr="006C0176">
              <w:rPr>
                <w:rFonts w:ascii="Palatino Linotype" w:eastAsia="Calibri" w:hAnsi="Palatino Linotype" w:cs="Verdana"/>
                <w:i/>
                <w:sz w:val="22"/>
                <w:szCs w:val="22"/>
                <w:lang w:val="es-ES_tradnl" w:eastAsia="en-US"/>
              </w:rPr>
              <w:t>,</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9604D98" w14:textId="77777777" w:rsidR="0041102D" w:rsidRPr="006C0176" w:rsidRDefault="0041102D" w:rsidP="00591D0F">
            <w:pPr>
              <w:spacing w:before="100" w:beforeAutospacing="1" w:after="100" w:afterAutospacing="1" w:line="360" w:lineRule="auto"/>
              <w:jc w:val="both"/>
              <w:rPr>
                <w:rFonts w:ascii="Palatino Linotype" w:hAnsi="Palatino Linotype" w:cs="Segoe UI"/>
                <w:b/>
                <w:bCs/>
                <w:iCs/>
                <w:sz w:val="22"/>
                <w:szCs w:val="22"/>
                <w:lang w:val="es-ES_tradnl" w:eastAsia="es-MX"/>
              </w:rPr>
            </w:pPr>
            <w:r w:rsidRPr="006C0176">
              <w:rPr>
                <w:rFonts w:ascii="Palatino Linotype" w:hAnsi="Palatino Linotype" w:cs="Segoe UI"/>
                <w:b/>
                <w:bCs/>
                <w:iCs/>
                <w:sz w:val="22"/>
                <w:szCs w:val="22"/>
                <w:lang w:val="es-ES_tradnl" w:eastAsia="es-MX"/>
              </w:rPr>
              <w:t>Respuesta:</w:t>
            </w:r>
          </w:p>
          <w:p w14:paraId="7E8DB0FB" w14:textId="503236C0" w:rsidR="0041102D" w:rsidRPr="006C0176" w:rsidRDefault="0041102D" w:rsidP="00591D0F">
            <w:pPr>
              <w:spacing w:before="100" w:beforeAutospacing="1" w:after="100" w:afterAutospacing="1" w:line="360" w:lineRule="auto"/>
              <w:jc w:val="both"/>
              <w:rPr>
                <w:rFonts w:ascii="Palatino Linotype" w:hAnsi="Palatino Linotype" w:cs="Segoe UI"/>
                <w:iCs/>
                <w:sz w:val="22"/>
                <w:szCs w:val="22"/>
                <w:lang w:val="es-ES_tradnl" w:eastAsia="es-MX"/>
              </w:rPr>
            </w:pPr>
            <w:r w:rsidRPr="006C0176">
              <w:rPr>
                <w:rFonts w:ascii="Palatino Linotype" w:hAnsi="Palatino Linotype" w:cs="Segoe UI"/>
                <w:iCs/>
                <w:sz w:val="22"/>
                <w:szCs w:val="22"/>
                <w:lang w:val="es-ES_tradnl" w:eastAsia="es-MX"/>
              </w:rPr>
              <w:t xml:space="preserve">Adjunta el contrato el cual se precisar la modalidad de adjudicación por licitación pública, fecha de inicio y de termino, así como, el monto total; el avance a la fecha de la solicitud es del 98%; y el presupuesto ejercido para la obra es de $ 6, 472, 592. 52. </w:t>
            </w:r>
          </w:p>
          <w:p w14:paraId="1CCB9BA0" w14:textId="77777777" w:rsidR="0041102D" w:rsidRPr="006C0176" w:rsidRDefault="0041102D" w:rsidP="00591D0F">
            <w:pPr>
              <w:spacing w:before="100" w:beforeAutospacing="1" w:after="100" w:afterAutospacing="1" w:line="360" w:lineRule="auto"/>
              <w:jc w:val="both"/>
              <w:rPr>
                <w:rFonts w:ascii="Palatino Linotype" w:hAnsi="Palatino Linotype" w:cs="Segoe UI"/>
                <w:b/>
                <w:bCs/>
                <w:iCs/>
                <w:sz w:val="22"/>
                <w:szCs w:val="22"/>
                <w:lang w:val="es-ES_tradnl" w:eastAsia="es-MX"/>
              </w:rPr>
            </w:pPr>
            <w:r w:rsidRPr="006C0176">
              <w:rPr>
                <w:rFonts w:ascii="Palatino Linotype" w:hAnsi="Palatino Linotype" w:cs="Segoe UI"/>
                <w:b/>
                <w:bCs/>
                <w:iCs/>
                <w:sz w:val="22"/>
                <w:szCs w:val="22"/>
                <w:lang w:val="es-ES_tradnl" w:eastAsia="es-MX"/>
              </w:rPr>
              <w:t>Informe Justificado:</w:t>
            </w:r>
          </w:p>
          <w:p w14:paraId="62E41094" w14:textId="4A1E0824" w:rsidR="0041102D" w:rsidRPr="006C0176" w:rsidRDefault="0041102D" w:rsidP="00591D0F">
            <w:pPr>
              <w:spacing w:before="100" w:beforeAutospacing="1" w:after="100" w:afterAutospacing="1" w:line="360" w:lineRule="auto"/>
              <w:jc w:val="both"/>
              <w:rPr>
                <w:rFonts w:ascii="Palatino Linotype" w:hAnsi="Palatino Linotype" w:cs="Segoe UI"/>
                <w:iCs/>
                <w:sz w:val="22"/>
                <w:szCs w:val="22"/>
                <w:lang w:val="es-ES_tradnl" w:eastAsia="es-MX"/>
              </w:rPr>
            </w:pPr>
            <w:r w:rsidRPr="006C0176">
              <w:rPr>
                <w:rFonts w:ascii="Palatino Linotype" w:hAnsi="Palatino Linotype" w:cs="Segoe UI"/>
                <w:iCs/>
                <w:sz w:val="22"/>
                <w:szCs w:val="22"/>
                <w:lang w:val="es-ES_tradnl" w:eastAsia="es-MX"/>
              </w:rPr>
              <w:t>Confirma respuesta primigenia.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2666F0A" w14:textId="77777777" w:rsidR="00087943" w:rsidRPr="006C0176" w:rsidRDefault="00087943" w:rsidP="00591D0F">
            <w:pPr>
              <w:tabs>
                <w:tab w:val="left" w:pos="567"/>
              </w:tabs>
              <w:suppressAutoHyphens/>
              <w:spacing w:before="100" w:beforeAutospacing="1" w:after="100" w:afterAutospacing="1" w:line="360" w:lineRule="auto"/>
              <w:jc w:val="both"/>
              <w:rPr>
                <w:rFonts w:ascii="Palatino Linotype" w:hAnsi="Palatino Linotype"/>
                <w:b/>
                <w:bCs/>
                <w:sz w:val="22"/>
                <w:szCs w:val="22"/>
                <w:lang w:val="es-ES_tradnl"/>
              </w:rPr>
            </w:pPr>
            <w:r w:rsidRPr="006C0176">
              <w:rPr>
                <w:rFonts w:ascii="Palatino Linotype" w:hAnsi="Palatino Linotype"/>
                <w:b/>
                <w:bCs/>
                <w:sz w:val="22"/>
                <w:szCs w:val="22"/>
                <w:lang w:val="es-ES_tradnl"/>
              </w:rPr>
              <w:t xml:space="preserve">Parcial (este Órgano Garante </w:t>
            </w:r>
            <w:bookmarkStart w:id="4" w:name="_Hlk134087641"/>
            <w:r w:rsidRPr="006C0176">
              <w:rPr>
                <w:rFonts w:ascii="Palatino Linotype" w:hAnsi="Palatino Linotype"/>
                <w:b/>
                <w:bCs/>
                <w:sz w:val="22"/>
                <w:szCs w:val="22"/>
                <w:lang w:val="es-ES_tradnl"/>
              </w:rPr>
              <w:t>advierte que el contrato se encuentra de manera incompleta y no entrega el expediente</w:t>
            </w:r>
            <w:bookmarkEnd w:id="4"/>
            <w:r w:rsidRPr="006C0176">
              <w:rPr>
                <w:rFonts w:ascii="Palatino Linotype" w:hAnsi="Palatino Linotype"/>
                <w:b/>
                <w:bCs/>
                <w:sz w:val="22"/>
                <w:szCs w:val="22"/>
                <w:lang w:val="es-ES_tradnl"/>
              </w:rPr>
              <w:t>)</w:t>
            </w:r>
          </w:p>
          <w:p w14:paraId="625CE517" w14:textId="77777777" w:rsidR="0041102D" w:rsidRPr="006C0176" w:rsidRDefault="0041102D" w:rsidP="00591D0F">
            <w:pPr>
              <w:tabs>
                <w:tab w:val="left" w:pos="567"/>
              </w:tabs>
              <w:suppressAutoHyphens/>
              <w:spacing w:before="100" w:beforeAutospacing="1" w:after="100" w:afterAutospacing="1" w:line="360" w:lineRule="auto"/>
              <w:jc w:val="both"/>
              <w:rPr>
                <w:rFonts w:ascii="Palatino Linotype" w:hAnsi="Palatino Linotype"/>
                <w:b/>
                <w:bCs/>
                <w:sz w:val="22"/>
                <w:szCs w:val="22"/>
                <w:lang w:val="es-ES_tradnl"/>
              </w:rPr>
            </w:pPr>
          </w:p>
        </w:tc>
      </w:tr>
      <w:tr w:rsidR="0041102D" w:rsidRPr="006C0176" w14:paraId="69E66EA8" w14:textId="77777777" w:rsidTr="00087943">
        <w:trPr>
          <w:trHeight w:val="387"/>
        </w:trPr>
        <w:tc>
          <w:tcPr>
            <w:tcW w:w="426" w:type="dxa"/>
            <w:tcBorders>
              <w:top w:val="single" w:sz="2" w:space="0" w:color="auto"/>
              <w:bottom w:val="single" w:sz="2" w:space="0" w:color="auto"/>
            </w:tcBorders>
          </w:tcPr>
          <w:p w14:paraId="06614C3F" w14:textId="77777777" w:rsidR="0041102D" w:rsidRPr="006C0176" w:rsidRDefault="0041102D" w:rsidP="00591D0F">
            <w:pPr>
              <w:pStyle w:val="Prrafodelista"/>
              <w:numPr>
                <w:ilvl w:val="0"/>
                <w:numId w:val="39"/>
              </w:numPr>
              <w:autoSpaceDE w:val="0"/>
              <w:autoSpaceDN w:val="0"/>
              <w:adjustRightInd w:val="0"/>
              <w:spacing w:before="100" w:beforeAutospacing="1" w:after="100" w:afterAutospacing="1" w:line="360" w:lineRule="auto"/>
              <w:ind w:left="360"/>
              <w:jc w:val="both"/>
              <w:rPr>
                <w:rFonts w:ascii="Palatino Linotype" w:eastAsia="Calibri" w:hAnsi="Palatino Linotype" w:cs="Verdana"/>
                <w:i/>
                <w:sz w:val="22"/>
                <w:szCs w:val="22"/>
                <w:lang w:val="es-ES_tradnl" w:eastAsia="en-US"/>
              </w:rPr>
            </w:pPr>
          </w:p>
        </w:tc>
        <w:tc>
          <w:tcPr>
            <w:tcW w:w="2971" w:type="dxa"/>
            <w:tcBorders>
              <w:top w:val="single" w:sz="2" w:space="0" w:color="auto"/>
              <w:bottom w:val="single" w:sz="2" w:space="0" w:color="auto"/>
            </w:tcBorders>
            <w:shd w:val="clear" w:color="auto" w:fill="auto"/>
          </w:tcPr>
          <w:p w14:paraId="090EB8E5" w14:textId="53B94A39" w:rsidR="0041102D" w:rsidRPr="006C0176" w:rsidRDefault="0041102D" w:rsidP="00591D0F">
            <w:pPr>
              <w:autoSpaceDE w:val="0"/>
              <w:autoSpaceDN w:val="0"/>
              <w:adjustRightInd w:val="0"/>
              <w:spacing w:before="100" w:beforeAutospacing="1" w:after="100" w:afterAutospacing="1" w:line="360" w:lineRule="auto"/>
              <w:jc w:val="both"/>
              <w:rPr>
                <w:rFonts w:ascii="Palatino Linotype" w:eastAsia="Calibri" w:hAnsi="Palatino Linotype" w:cs="Verdana"/>
                <w:i/>
                <w:sz w:val="22"/>
                <w:szCs w:val="22"/>
                <w:lang w:val="es-ES_tradnl" w:eastAsia="en-US"/>
              </w:rPr>
            </w:pPr>
            <w:r w:rsidRPr="006C0176">
              <w:rPr>
                <w:rFonts w:ascii="Palatino Linotype" w:eastAsia="Calibri" w:hAnsi="Palatino Linotype" w:cs="Verdana"/>
                <w:i/>
                <w:sz w:val="22"/>
                <w:szCs w:val="22"/>
                <w:lang w:val="es-ES_tradnl" w:eastAsia="en-US"/>
              </w:rPr>
              <w:t>Copia del contrato, expediente técnico de obra, avance físico, presupuesto ejercido de la obra programada denominada OP 203 Mejoramiento de la imagen urbana del mercado 1de septiembre en Ixtlahuaca Méx.</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A974507" w14:textId="77777777" w:rsidR="0041102D" w:rsidRPr="006C0176" w:rsidRDefault="0041102D" w:rsidP="00591D0F">
            <w:pPr>
              <w:spacing w:before="100" w:beforeAutospacing="1" w:after="100" w:afterAutospacing="1" w:line="360" w:lineRule="auto"/>
              <w:jc w:val="both"/>
              <w:rPr>
                <w:rFonts w:ascii="Palatino Linotype" w:hAnsi="Palatino Linotype" w:cs="Segoe UI"/>
                <w:b/>
                <w:bCs/>
                <w:iCs/>
                <w:sz w:val="22"/>
                <w:szCs w:val="22"/>
                <w:lang w:val="es-ES_tradnl" w:eastAsia="es-MX"/>
              </w:rPr>
            </w:pPr>
            <w:r w:rsidRPr="006C0176">
              <w:rPr>
                <w:rFonts w:ascii="Palatino Linotype" w:hAnsi="Palatino Linotype" w:cs="Segoe UI"/>
                <w:b/>
                <w:bCs/>
                <w:iCs/>
                <w:sz w:val="22"/>
                <w:szCs w:val="22"/>
                <w:lang w:val="es-ES_tradnl" w:eastAsia="es-MX"/>
              </w:rPr>
              <w:t>Respuesta:</w:t>
            </w:r>
          </w:p>
          <w:p w14:paraId="1E7BE967" w14:textId="59F2EB43" w:rsidR="0041102D" w:rsidRPr="006C0176" w:rsidRDefault="0041102D" w:rsidP="00591D0F">
            <w:pPr>
              <w:spacing w:before="100" w:beforeAutospacing="1" w:after="100" w:afterAutospacing="1" w:line="360" w:lineRule="auto"/>
              <w:jc w:val="both"/>
              <w:rPr>
                <w:rFonts w:ascii="Palatino Linotype" w:hAnsi="Palatino Linotype" w:cs="Segoe UI"/>
                <w:iCs/>
                <w:sz w:val="22"/>
                <w:szCs w:val="22"/>
                <w:lang w:val="es-ES_tradnl" w:eastAsia="es-MX"/>
              </w:rPr>
            </w:pPr>
            <w:r w:rsidRPr="006C0176">
              <w:rPr>
                <w:rFonts w:ascii="Palatino Linotype" w:hAnsi="Palatino Linotype" w:cs="Segoe UI"/>
                <w:iCs/>
                <w:sz w:val="22"/>
                <w:szCs w:val="22"/>
                <w:lang w:val="es-ES_tradnl" w:eastAsia="es-MX"/>
              </w:rPr>
              <w:t>El director de Infraestructura Municipal, quien actúa como servidor público habilitado, informa que la obra “Mejoramiento de la imagen urbana del mercado 1de septiembre en Ixtlahuaca”, no se encuentra contemplada dentro del Programa Anual de Obra del ejercicio fiscal 2022 aprobado por el cabildo.</w:t>
            </w:r>
          </w:p>
          <w:p w14:paraId="283FEED8" w14:textId="77777777" w:rsidR="0041102D" w:rsidRPr="006C0176" w:rsidRDefault="0041102D" w:rsidP="00591D0F">
            <w:pPr>
              <w:spacing w:before="100" w:beforeAutospacing="1" w:after="100" w:afterAutospacing="1" w:line="360" w:lineRule="auto"/>
              <w:jc w:val="both"/>
              <w:rPr>
                <w:rFonts w:ascii="Palatino Linotype" w:hAnsi="Palatino Linotype" w:cs="Segoe UI"/>
                <w:b/>
                <w:bCs/>
                <w:iCs/>
                <w:sz w:val="22"/>
                <w:szCs w:val="22"/>
                <w:lang w:val="es-ES_tradnl" w:eastAsia="es-MX"/>
              </w:rPr>
            </w:pPr>
            <w:r w:rsidRPr="006C0176">
              <w:rPr>
                <w:rFonts w:ascii="Palatino Linotype" w:hAnsi="Palatino Linotype" w:cs="Segoe UI"/>
                <w:b/>
                <w:bCs/>
                <w:iCs/>
                <w:sz w:val="22"/>
                <w:szCs w:val="22"/>
                <w:lang w:val="es-ES_tradnl" w:eastAsia="es-MX"/>
              </w:rPr>
              <w:t>Informe Justificado:</w:t>
            </w:r>
          </w:p>
          <w:p w14:paraId="14D7EE21" w14:textId="37BA8B04" w:rsidR="0041102D" w:rsidRPr="006C0176" w:rsidRDefault="0041102D" w:rsidP="00591D0F">
            <w:pPr>
              <w:spacing w:before="100" w:beforeAutospacing="1" w:after="100" w:afterAutospacing="1" w:line="360" w:lineRule="auto"/>
              <w:jc w:val="both"/>
              <w:rPr>
                <w:rFonts w:ascii="Palatino Linotype" w:hAnsi="Palatino Linotype" w:cs="Segoe UI"/>
                <w:iCs/>
                <w:sz w:val="22"/>
                <w:szCs w:val="22"/>
                <w:lang w:val="es-ES_tradnl" w:eastAsia="es-MX"/>
              </w:rPr>
            </w:pPr>
            <w:r w:rsidRPr="006C0176">
              <w:rPr>
                <w:rFonts w:ascii="Palatino Linotype" w:hAnsi="Palatino Linotype" w:cs="Segoe UI"/>
                <w:iCs/>
                <w:sz w:val="22"/>
                <w:szCs w:val="22"/>
                <w:lang w:val="es-ES_tradnl" w:eastAsia="es-MX"/>
              </w:rPr>
              <w:t>Confirma respuesta primigenia.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C706A75" w14:textId="661F6232" w:rsidR="00591D0F" w:rsidRPr="006C0176" w:rsidRDefault="0041102D" w:rsidP="00591D0F">
            <w:pPr>
              <w:tabs>
                <w:tab w:val="left" w:pos="567"/>
              </w:tabs>
              <w:suppressAutoHyphens/>
              <w:spacing w:before="100" w:beforeAutospacing="1" w:after="100" w:afterAutospacing="1" w:line="360" w:lineRule="auto"/>
              <w:jc w:val="center"/>
              <w:rPr>
                <w:rFonts w:ascii="Palatino Linotype" w:hAnsi="Palatino Linotype"/>
                <w:b/>
                <w:bCs/>
                <w:sz w:val="22"/>
                <w:szCs w:val="22"/>
                <w:lang w:val="es-ES_tradnl"/>
              </w:rPr>
            </w:pPr>
            <w:r w:rsidRPr="006C0176">
              <w:rPr>
                <w:rFonts w:ascii="Palatino Linotype" w:hAnsi="Palatino Linotype"/>
                <w:b/>
                <w:bCs/>
                <w:sz w:val="22"/>
                <w:szCs w:val="22"/>
                <w:lang w:val="es-ES_tradnl"/>
              </w:rPr>
              <w:t>COLMA</w:t>
            </w:r>
          </w:p>
          <w:p w14:paraId="3AD71FA9" w14:textId="4ECE9462" w:rsidR="0041102D" w:rsidRPr="006C0176" w:rsidRDefault="00CF4823" w:rsidP="00591D0F">
            <w:pPr>
              <w:tabs>
                <w:tab w:val="left" w:pos="567"/>
              </w:tabs>
              <w:suppressAutoHyphens/>
              <w:spacing w:before="100" w:beforeAutospacing="1" w:after="100" w:afterAutospacing="1" w:line="360" w:lineRule="auto"/>
              <w:jc w:val="both"/>
              <w:rPr>
                <w:rFonts w:ascii="Palatino Linotype" w:hAnsi="Palatino Linotype"/>
                <w:sz w:val="22"/>
                <w:szCs w:val="22"/>
                <w:lang w:val="es-ES_tradnl"/>
              </w:rPr>
            </w:pPr>
            <w:r w:rsidRPr="006C0176">
              <w:rPr>
                <w:rFonts w:ascii="Palatino Linotype" w:hAnsi="Palatino Linotype"/>
                <w:sz w:val="20"/>
                <w:szCs w:val="20"/>
                <w:lang w:val="es-ES_tradnl"/>
              </w:rPr>
              <w:t xml:space="preserve">(Se pronuncia el </w:t>
            </w:r>
            <w:r w:rsidR="00591D0F" w:rsidRPr="006C0176">
              <w:rPr>
                <w:rFonts w:ascii="Palatino Linotype" w:hAnsi="Palatino Linotype"/>
                <w:sz w:val="20"/>
                <w:szCs w:val="20"/>
                <w:lang w:val="es-ES_tradnl"/>
              </w:rPr>
              <w:t>servidor público habilitado competente</w:t>
            </w:r>
            <w:r w:rsidRPr="006C0176">
              <w:rPr>
                <w:rFonts w:ascii="Palatino Linotype" w:hAnsi="Palatino Linotype"/>
                <w:sz w:val="20"/>
                <w:szCs w:val="20"/>
                <w:lang w:val="es-ES_tradnl"/>
              </w:rPr>
              <w:t xml:space="preserve">, es decir, </w:t>
            </w:r>
            <w:r w:rsidR="00591D0F" w:rsidRPr="006C0176">
              <w:rPr>
                <w:rFonts w:ascii="Palatino Linotype" w:hAnsi="Palatino Linotype"/>
                <w:sz w:val="20"/>
                <w:szCs w:val="20"/>
                <w:lang w:val="es-ES_tradnl"/>
              </w:rPr>
              <w:t xml:space="preserve">el Director </w:t>
            </w:r>
            <w:r w:rsidRPr="006C0176">
              <w:rPr>
                <w:rFonts w:ascii="Palatino Linotype" w:hAnsi="Palatino Linotype"/>
                <w:sz w:val="20"/>
                <w:szCs w:val="20"/>
                <w:lang w:val="es-ES_tradnl"/>
              </w:rPr>
              <w:t>de Infraestructura Municipal.)</w:t>
            </w:r>
          </w:p>
        </w:tc>
      </w:tr>
      <w:tr w:rsidR="0041102D" w:rsidRPr="006C0176" w14:paraId="14ADB9C7" w14:textId="77777777" w:rsidTr="00087943">
        <w:trPr>
          <w:trHeight w:val="387"/>
        </w:trPr>
        <w:tc>
          <w:tcPr>
            <w:tcW w:w="426" w:type="dxa"/>
            <w:tcBorders>
              <w:top w:val="single" w:sz="2" w:space="0" w:color="auto"/>
              <w:bottom w:val="single" w:sz="2" w:space="0" w:color="auto"/>
            </w:tcBorders>
          </w:tcPr>
          <w:p w14:paraId="28612B0A" w14:textId="77777777" w:rsidR="0041102D" w:rsidRPr="006C0176" w:rsidRDefault="0041102D" w:rsidP="00591D0F">
            <w:pPr>
              <w:pStyle w:val="Prrafodelista"/>
              <w:numPr>
                <w:ilvl w:val="0"/>
                <w:numId w:val="39"/>
              </w:numPr>
              <w:autoSpaceDE w:val="0"/>
              <w:autoSpaceDN w:val="0"/>
              <w:adjustRightInd w:val="0"/>
              <w:spacing w:before="100" w:beforeAutospacing="1" w:after="100" w:afterAutospacing="1" w:line="360" w:lineRule="auto"/>
              <w:ind w:left="360"/>
              <w:jc w:val="both"/>
              <w:rPr>
                <w:rFonts w:ascii="Palatino Linotype" w:eastAsia="Calibri" w:hAnsi="Palatino Linotype" w:cs="Verdana"/>
                <w:i/>
                <w:sz w:val="22"/>
                <w:szCs w:val="22"/>
                <w:lang w:val="es-ES_tradnl" w:eastAsia="en-US"/>
              </w:rPr>
            </w:pPr>
          </w:p>
        </w:tc>
        <w:tc>
          <w:tcPr>
            <w:tcW w:w="2971" w:type="dxa"/>
            <w:tcBorders>
              <w:top w:val="single" w:sz="2" w:space="0" w:color="auto"/>
              <w:bottom w:val="single" w:sz="2" w:space="0" w:color="auto"/>
            </w:tcBorders>
            <w:shd w:val="clear" w:color="auto" w:fill="auto"/>
          </w:tcPr>
          <w:p w14:paraId="0895F038" w14:textId="253CCBBF" w:rsidR="0041102D" w:rsidRPr="006C0176" w:rsidRDefault="0041102D" w:rsidP="00591D0F">
            <w:pPr>
              <w:autoSpaceDE w:val="0"/>
              <w:autoSpaceDN w:val="0"/>
              <w:adjustRightInd w:val="0"/>
              <w:spacing w:before="100" w:beforeAutospacing="1" w:after="100" w:afterAutospacing="1" w:line="360" w:lineRule="auto"/>
              <w:jc w:val="both"/>
              <w:rPr>
                <w:rFonts w:ascii="Palatino Linotype" w:eastAsia="Calibri" w:hAnsi="Palatino Linotype" w:cs="Verdana"/>
                <w:i/>
                <w:sz w:val="22"/>
                <w:szCs w:val="22"/>
                <w:lang w:val="es-ES_tradnl" w:eastAsia="en-US"/>
              </w:rPr>
            </w:pPr>
            <w:r w:rsidRPr="006C0176">
              <w:rPr>
                <w:rFonts w:ascii="Palatino Linotype" w:eastAsia="Calibri" w:hAnsi="Palatino Linotype" w:cs="Verdana"/>
                <w:i/>
                <w:sz w:val="22"/>
                <w:szCs w:val="22"/>
                <w:lang w:val="es-ES_tradnl" w:eastAsia="en-US"/>
              </w:rPr>
              <w:t xml:space="preserve">Copia del padrón de comerciantes establecidos y no fijos de </w:t>
            </w:r>
            <w:proofErr w:type="spellStart"/>
            <w:r w:rsidRPr="006C0176">
              <w:rPr>
                <w:rFonts w:ascii="Palatino Linotype" w:eastAsia="Calibri" w:hAnsi="Palatino Linotype" w:cs="Verdana"/>
                <w:i/>
                <w:sz w:val="22"/>
                <w:szCs w:val="22"/>
                <w:lang w:val="es-ES_tradnl" w:eastAsia="en-US"/>
              </w:rPr>
              <w:t>Ixtlahuca</w:t>
            </w:r>
            <w:proofErr w:type="spellEnd"/>
            <w:r w:rsidRPr="006C0176">
              <w:rPr>
                <w:rFonts w:ascii="Palatino Linotype" w:eastAsia="Calibri" w:hAnsi="Palatino Linotype" w:cs="Verdana"/>
                <w:i/>
                <w:sz w:val="22"/>
                <w:szCs w:val="22"/>
                <w:lang w:val="es-ES_tradnl" w:eastAsia="en-US"/>
              </w:rPr>
              <w:t xml:space="preserve"> México, ingresos totales que obtiene el ayuntamiento por concepto de piso de plaza de los días lunes, y entre semana.</w:t>
            </w: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8340E07" w14:textId="0189B96E" w:rsidR="0041102D" w:rsidRPr="006C0176" w:rsidRDefault="0041102D" w:rsidP="00591D0F">
            <w:pPr>
              <w:spacing w:before="100" w:beforeAutospacing="1" w:after="100" w:afterAutospacing="1" w:line="360" w:lineRule="auto"/>
              <w:jc w:val="both"/>
              <w:rPr>
                <w:rFonts w:ascii="Palatino Linotype" w:hAnsi="Palatino Linotype"/>
                <w:szCs w:val="26"/>
              </w:rPr>
            </w:pPr>
            <w:r w:rsidRPr="006C0176">
              <w:rPr>
                <w:rFonts w:ascii="Palatino Linotype" w:hAnsi="Palatino Linotype" w:cs="Segoe UI"/>
                <w:iCs/>
                <w:sz w:val="22"/>
                <w:szCs w:val="22"/>
                <w:lang w:val="es-ES_tradnl" w:eastAsia="es-MX"/>
              </w:rPr>
              <w:t xml:space="preserve">Mediante respuesta adjunta en versión publica el padrón de comerciantes, así mismo, se adjuntan </w:t>
            </w:r>
            <w:r w:rsidRPr="006C0176">
              <w:rPr>
                <w:rFonts w:ascii="Palatino Linotype" w:hAnsi="Palatino Linotype"/>
                <w:sz w:val="22"/>
              </w:rPr>
              <w:t>los ingresos totales que obtiene el Ayuntamiento de por concepto de piso de la plaza de lunes a viernes, de acuerdo a lo siguientes:</w:t>
            </w:r>
          </w:p>
          <w:p w14:paraId="7B2D3DA0" w14:textId="6A98E842" w:rsidR="0041102D" w:rsidRPr="006C0176" w:rsidRDefault="0041102D" w:rsidP="00591D0F">
            <w:pPr>
              <w:spacing w:before="100" w:beforeAutospacing="1" w:after="100" w:afterAutospacing="1" w:line="360" w:lineRule="auto"/>
              <w:jc w:val="center"/>
              <w:rPr>
                <w:rFonts w:ascii="Palatino Linotype" w:hAnsi="Palatino Linotype"/>
                <w:szCs w:val="26"/>
              </w:rPr>
            </w:pPr>
            <w:r w:rsidRPr="006C0176">
              <w:rPr>
                <w:rFonts w:ascii="Palatino Linotype" w:hAnsi="Palatino Linotype"/>
                <w:noProof/>
                <w:szCs w:val="26"/>
                <w:lang w:eastAsia="es-MX"/>
              </w:rPr>
              <w:drawing>
                <wp:inline distT="0" distB="0" distL="0" distR="0" wp14:anchorId="4AC7F3FE" wp14:editId="54E0D3BE">
                  <wp:extent cx="1971923" cy="659722"/>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2210" cy="666509"/>
                          </a:xfrm>
                          <a:prstGeom prst="rect">
                            <a:avLst/>
                          </a:prstGeom>
                          <a:noFill/>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1A2268D" w14:textId="7C2FAD74" w:rsidR="0041102D" w:rsidRPr="006C0176" w:rsidRDefault="0041102D" w:rsidP="00591D0F">
            <w:pPr>
              <w:tabs>
                <w:tab w:val="left" w:pos="567"/>
              </w:tabs>
              <w:suppressAutoHyphens/>
              <w:spacing w:before="100" w:beforeAutospacing="1" w:after="100" w:afterAutospacing="1" w:line="360" w:lineRule="auto"/>
              <w:jc w:val="center"/>
              <w:rPr>
                <w:rFonts w:ascii="Palatino Linotype" w:hAnsi="Palatino Linotype"/>
                <w:b/>
                <w:bCs/>
                <w:sz w:val="22"/>
                <w:szCs w:val="22"/>
                <w:lang w:val="es-ES_tradnl"/>
              </w:rPr>
            </w:pPr>
            <w:r w:rsidRPr="006C0176">
              <w:rPr>
                <w:rFonts w:ascii="Palatino Linotype" w:hAnsi="Palatino Linotype"/>
                <w:b/>
                <w:bCs/>
                <w:sz w:val="22"/>
                <w:szCs w:val="22"/>
                <w:lang w:val="es-ES_tradnl"/>
              </w:rPr>
              <w:t>PARCIAL</w:t>
            </w:r>
            <w:r w:rsidR="00087943" w:rsidRPr="006C0176">
              <w:rPr>
                <w:rFonts w:ascii="Palatino Linotype" w:hAnsi="Palatino Linotype"/>
                <w:b/>
                <w:bCs/>
                <w:sz w:val="22"/>
                <w:szCs w:val="22"/>
                <w:lang w:val="es-ES_tradnl"/>
              </w:rPr>
              <w:t xml:space="preserve"> (En la versión publica el padrón de comerciantes testa información </w:t>
            </w:r>
            <w:r w:rsidR="00E57269" w:rsidRPr="006C0176">
              <w:rPr>
                <w:rFonts w:ascii="Palatino Linotype" w:hAnsi="Palatino Linotype"/>
                <w:b/>
                <w:bCs/>
                <w:sz w:val="22"/>
                <w:szCs w:val="22"/>
                <w:lang w:val="es-ES_tradnl"/>
              </w:rPr>
              <w:t>pública</w:t>
            </w:r>
            <w:r w:rsidR="00087943" w:rsidRPr="006C0176">
              <w:rPr>
                <w:rFonts w:ascii="Palatino Linotype" w:hAnsi="Palatino Linotype"/>
                <w:b/>
                <w:bCs/>
                <w:sz w:val="22"/>
                <w:szCs w:val="22"/>
                <w:lang w:val="es-ES_tradnl"/>
              </w:rPr>
              <w:t>)</w:t>
            </w:r>
          </w:p>
        </w:tc>
      </w:tr>
      <w:tr w:rsidR="0041102D" w:rsidRPr="006C0176" w14:paraId="4FEF457C" w14:textId="77777777" w:rsidTr="00087943">
        <w:trPr>
          <w:trHeight w:val="387"/>
        </w:trPr>
        <w:tc>
          <w:tcPr>
            <w:tcW w:w="426" w:type="dxa"/>
            <w:tcBorders>
              <w:top w:val="single" w:sz="2" w:space="0" w:color="auto"/>
              <w:bottom w:val="single" w:sz="2" w:space="0" w:color="auto"/>
            </w:tcBorders>
          </w:tcPr>
          <w:p w14:paraId="3AFE7B1B" w14:textId="77777777" w:rsidR="0041102D" w:rsidRPr="006C0176" w:rsidRDefault="0041102D" w:rsidP="00591D0F">
            <w:pPr>
              <w:pStyle w:val="Prrafodelista"/>
              <w:numPr>
                <w:ilvl w:val="0"/>
                <w:numId w:val="39"/>
              </w:numPr>
              <w:autoSpaceDE w:val="0"/>
              <w:autoSpaceDN w:val="0"/>
              <w:adjustRightInd w:val="0"/>
              <w:spacing w:before="100" w:beforeAutospacing="1" w:after="100" w:afterAutospacing="1" w:line="360" w:lineRule="auto"/>
              <w:ind w:left="360"/>
              <w:jc w:val="both"/>
              <w:rPr>
                <w:rFonts w:ascii="Palatino Linotype" w:eastAsia="Calibri" w:hAnsi="Palatino Linotype" w:cs="Verdana"/>
                <w:i/>
                <w:sz w:val="22"/>
                <w:szCs w:val="22"/>
                <w:lang w:val="es-ES_tradnl" w:eastAsia="en-US"/>
              </w:rPr>
            </w:pPr>
          </w:p>
        </w:tc>
        <w:tc>
          <w:tcPr>
            <w:tcW w:w="2971" w:type="dxa"/>
            <w:tcBorders>
              <w:top w:val="single" w:sz="2" w:space="0" w:color="auto"/>
              <w:bottom w:val="single" w:sz="2" w:space="0" w:color="auto"/>
            </w:tcBorders>
            <w:shd w:val="clear" w:color="auto" w:fill="auto"/>
          </w:tcPr>
          <w:p w14:paraId="67BCD6DD" w14:textId="5F57810B" w:rsidR="0041102D" w:rsidRPr="006C0176" w:rsidRDefault="0041102D" w:rsidP="00591D0F">
            <w:pPr>
              <w:autoSpaceDE w:val="0"/>
              <w:autoSpaceDN w:val="0"/>
              <w:adjustRightInd w:val="0"/>
              <w:spacing w:before="100" w:beforeAutospacing="1" w:after="100" w:afterAutospacing="1" w:line="360" w:lineRule="auto"/>
              <w:jc w:val="both"/>
              <w:rPr>
                <w:rFonts w:ascii="Palatino Linotype" w:eastAsia="Calibri" w:hAnsi="Palatino Linotype" w:cs="Verdana"/>
                <w:i/>
                <w:sz w:val="22"/>
                <w:szCs w:val="22"/>
                <w:lang w:val="es-ES_tradnl" w:eastAsia="en-US"/>
              </w:rPr>
            </w:pPr>
            <w:r w:rsidRPr="006C0176">
              <w:rPr>
                <w:rFonts w:ascii="Palatino Linotype" w:eastAsia="Calibri" w:hAnsi="Palatino Linotype" w:cs="Verdana"/>
                <w:i/>
                <w:sz w:val="22"/>
                <w:szCs w:val="22"/>
                <w:lang w:val="es-ES_tradnl" w:eastAsia="en-US"/>
              </w:rPr>
              <w:t xml:space="preserve">Copia del padrón de locatarios y comerciantes establecidos tanto en el interior como exterior en el mercado 1 de septiembre en Ixtlahuaca </w:t>
            </w:r>
            <w:proofErr w:type="spellStart"/>
            <w:r w:rsidRPr="006C0176">
              <w:rPr>
                <w:rFonts w:ascii="Palatino Linotype" w:eastAsia="Calibri" w:hAnsi="Palatino Linotype" w:cs="Verdana"/>
                <w:i/>
                <w:sz w:val="22"/>
                <w:szCs w:val="22"/>
                <w:lang w:val="es-ES_tradnl" w:eastAsia="en-US"/>
              </w:rPr>
              <w:t>Méx</w:t>
            </w:r>
            <w:proofErr w:type="spellEnd"/>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28BD8BE" w14:textId="7C1CDAAE" w:rsidR="0041102D" w:rsidRPr="006C0176" w:rsidRDefault="0041102D" w:rsidP="00591D0F">
            <w:pPr>
              <w:spacing w:before="100" w:beforeAutospacing="1" w:after="100" w:afterAutospacing="1" w:line="360" w:lineRule="auto"/>
              <w:jc w:val="both"/>
              <w:rPr>
                <w:rFonts w:ascii="Palatino Linotype" w:hAnsi="Palatino Linotype" w:cs="Segoe UI"/>
                <w:iCs/>
                <w:sz w:val="22"/>
                <w:szCs w:val="22"/>
                <w:lang w:val="es-ES_tradnl" w:eastAsia="es-MX"/>
              </w:rPr>
            </w:pPr>
            <w:r w:rsidRPr="006C0176">
              <w:rPr>
                <w:rFonts w:ascii="Palatino Linotype" w:hAnsi="Palatino Linotype" w:cs="Segoe UI"/>
                <w:iCs/>
                <w:sz w:val="22"/>
                <w:szCs w:val="22"/>
                <w:lang w:val="es-ES_tradnl" w:eastAsia="es-MX"/>
              </w:rPr>
              <w:t xml:space="preserve">De acuerdo a la respuesta se advierte un listado </w:t>
            </w:r>
            <w:r w:rsidRPr="006C0176">
              <w:rPr>
                <w:rFonts w:ascii="Palatino Linotype" w:hAnsi="Palatino Linotype" w:cs="Arial"/>
                <w:bCs/>
                <w:sz w:val="22"/>
                <w:szCs w:val="22"/>
              </w:rPr>
              <w:t xml:space="preserve">de 151 personas y el giro que desempeñan en el interior y exterior del mercado.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52F94D8" w14:textId="77777777" w:rsidR="0041102D" w:rsidRPr="006C0176" w:rsidRDefault="0041102D" w:rsidP="00591D0F">
            <w:pPr>
              <w:tabs>
                <w:tab w:val="left" w:pos="567"/>
              </w:tabs>
              <w:suppressAutoHyphens/>
              <w:spacing w:before="100" w:beforeAutospacing="1" w:after="100" w:afterAutospacing="1" w:line="360" w:lineRule="auto"/>
              <w:jc w:val="center"/>
              <w:rPr>
                <w:rFonts w:ascii="Palatino Linotype" w:hAnsi="Palatino Linotype"/>
                <w:b/>
                <w:bCs/>
                <w:sz w:val="22"/>
                <w:szCs w:val="22"/>
                <w:lang w:val="es-ES_tradnl"/>
              </w:rPr>
            </w:pPr>
            <w:r w:rsidRPr="006C0176">
              <w:rPr>
                <w:rFonts w:ascii="Palatino Linotype" w:hAnsi="Palatino Linotype"/>
                <w:b/>
                <w:bCs/>
                <w:sz w:val="22"/>
                <w:szCs w:val="22"/>
                <w:lang w:val="es-ES_tradnl"/>
              </w:rPr>
              <w:t>COLMA</w:t>
            </w:r>
          </w:p>
          <w:p w14:paraId="5A06BF8C" w14:textId="7D598A27" w:rsidR="00AB70AF" w:rsidRPr="006C0176" w:rsidRDefault="00AB70AF" w:rsidP="00591D0F">
            <w:pPr>
              <w:tabs>
                <w:tab w:val="left" w:pos="567"/>
              </w:tabs>
              <w:suppressAutoHyphens/>
              <w:spacing w:before="100" w:beforeAutospacing="1" w:after="100" w:afterAutospacing="1" w:line="360" w:lineRule="auto"/>
              <w:jc w:val="center"/>
              <w:rPr>
                <w:rFonts w:ascii="Palatino Linotype" w:hAnsi="Palatino Linotype"/>
                <w:b/>
                <w:bCs/>
                <w:sz w:val="22"/>
                <w:szCs w:val="22"/>
                <w:lang w:val="es-ES_tradnl"/>
              </w:rPr>
            </w:pPr>
          </w:p>
        </w:tc>
      </w:tr>
    </w:tbl>
    <w:p w14:paraId="69F89453" w14:textId="77777777" w:rsidR="00FC7758" w:rsidRPr="006C0176" w:rsidRDefault="00FC7758" w:rsidP="00591D0F">
      <w:pPr>
        <w:spacing w:before="100" w:beforeAutospacing="1" w:after="100" w:afterAutospacing="1"/>
        <w:jc w:val="both"/>
        <w:rPr>
          <w:rFonts w:ascii="Palatino Linotype" w:hAnsi="Palatino Linotype"/>
          <w:lang w:val="es-ES"/>
        </w:rPr>
      </w:pPr>
    </w:p>
    <w:p w14:paraId="6AAF652D" w14:textId="2E955527" w:rsidR="0041102D" w:rsidRPr="006C0176" w:rsidRDefault="00056FAA" w:rsidP="00591D0F">
      <w:pPr>
        <w:spacing w:before="100" w:beforeAutospacing="1" w:after="100" w:afterAutospacing="1" w:line="360" w:lineRule="auto"/>
        <w:jc w:val="both"/>
        <w:rPr>
          <w:rFonts w:ascii="Palatino Linotype" w:eastAsiaTheme="minorEastAsia" w:hAnsi="Palatino Linotype" w:cstheme="minorBidi"/>
          <w:i/>
          <w:iCs/>
          <w:sz w:val="22"/>
          <w:szCs w:val="22"/>
          <w:lang w:val="es-ES_tradnl"/>
        </w:rPr>
      </w:pPr>
      <w:r w:rsidRPr="006C0176">
        <w:rPr>
          <w:rFonts w:ascii="Palatino Linotype" w:hAnsi="Palatino Linotype"/>
          <w:lang w:val="es-ES"/>
        </w:rPr>
        <w:t xml:space="preserve">En ese contexto, este Instituto analizó la totalidad de las constancias que integran el expediente electrónico del </w:t>
      </w:r>
      <w:r w:rsidRPr="006C0176">
        <w:rPr>
          <w:rFonts w:ascii="Palatino Linotype" w:hAnsi="Palatino Linotype"/>
          <w:b/>
          <w:bCs/>
          <w:lang w:val="es-ES"/>
        </w:rPr>
        <w:t>SAIMEX</w:t>
      </w:r>
      <w:r w:rsidR="0041102D" w:rsidRPr="006C0176">
        <w:rPr>
          <w:rFonts w:ascii="Palatino Linotype" w:hAnsi="Palatino Linotype"/>
          <w:b/>
          <w:bCs/>
          <w:lang w:val="es-ES"/>
        </w:rPr>
        <w:t xml:space="preserve"> </w:t>
      </w:r>
      <w:r w:rsidR="0041102D" w:rsidRPr="006C0176">
        <w:rPr>
          <w:rFonts w:ascii="Palatino Linotype" w:hAnsi="Palatino Linotype"/>
          <w:lang w:val="es-ES"/>
        </w:rPr>
        <w:t>mediante el recuadro anterior,</w:t>
      </w:r>
      <w:r w:rsidRPr="006C0176">
        <w:rPr>
          <w:rFonts w:ascii="Palatino Linotype" w:hAnsi="Palatino Linotype"/>
          <w:lang w:val="es-ES"/>
        </w:rPr>
        <w:t xml:space="preserve"> se concluye</w:t>
      </w:r>
      <w:r w:rsidR="006C6AEA" w:rsidRPr="006C0176">
        <w:rPr>
          <w:rFonts w:ascii="Palatino Linotype" w:eastAsiaTheme="minorEastAsia" w:hAnsi="Palatino Linotype" w:cs="Arial"/>
          <w:lang w:val="es-ES_tradnl"/>
        </w:rPr>
        <w:t xml:space="preserve"> algunos rubros colmados.</w:t>
      </w:r>
    </w:p>
    <w:p w14:paraId="7A8FF3FD" w14:textId="77777777" w:rsidR="0041102D" w:rsidRPr="006C0176" w:rsidRDefault="0041102D" w:rsidP="00591D0F">
      <w:pPr>
        <w:spacing w:before="100" w:beforeAutospacing="1" w:after="100" w:afterAutospacing="1" w:line="360" w:lineRule="auto"/>
        <w:jc w:val="both"/>
        <w:rPr>
          <w:rFonts w:ascii="Palatino Linotype" w:eastAsiaTheme="minorEastAsia" w:hAnsi="Palatino Linotype" w:cstheme="minorBidi"/>
          <w:lang w:val="es-ES_tradnl"/>
        </w:rPr>
      </w:pPr>
      <w:r w:rsidRPr="006C0176">
        <w:rPr>
          <w:rFonts w:ascii="Palatino Linotype" w:eastAsiaTheme="minorEastAsia" w:hAnsi="Palatino Linotype" w:cstheme="minorBidi"/>
          <w:lang w:val="es-ES_tradnl"/>
        </w:rPr>
        <w:t xml:space="preserve">Asimismo, no se omite comentar que respecto a las documentales remitidas y del pronunciamiento por parte del </w:t>
      </w:r>
      <w:r w:rsidRPr="006C0176">
        <w:rPr>
          <w:rFonts w:ascii="Palatino Linotype" w:eastAsiaTheme="minorEastAsia" w:hAnsi="Palatino Linotype" w:cstheme="minorBidi"/>
          <w:b/>
          <w:lang w:val="es-ES_tradnl"/>
        </w:rPr>
        <w:t>SUJETO OBLIGADO</w:t>
      </w:r>
      <w:r w:rsidRPr="006C0176">
        <w:rPr>
          <w:rFonts w:ascii="Palatino Linotype" w:eastAsiaTheme="minorEastAsia" w:hAnsi="Palatino Linotype" w:cstheme="minorBidi"/>
          <w:lang w:val="es-ES_tradnl"/>
        </w:rPr>
        <w:t xml:space="preserve">, a fin de dar respuesta a la solicitud planteada, este Instituto no está facultado para manifestarse sobre la veracidad de la información proporcionada, pues este Órgano Garante conforme al artículo 36 de la </w:t>
      </w:r>
      <w:r w:rsidRPr="006C0176">
        <w:rPr>
          <w:rFonts w:ascii="Palatino Linotype" w:hAnsi="Palatino Linotype" w:cs="Arial"/>
        </w:rPr>
        <w:t>Ley de Transparencia y Acceso a la Información Pública del Estado de México y Municipios</w:t>
      </w:r>
      <w:r w:rsidRPr="006C0176">
        <w:rPr>
          <w:rFonts w:ascii="Palatino Linotype" w:eastAsiaTheme="minorEastAsia" w:hAnsi="Palatino Linotype" w:cstheme="minorBidi"/>
          <w:lang w:val="es-ES_tradnl"/>
        </w:rPr>
        <w:t>, no se encuentra facultado para pronunciarse acerca de la veracidad de la información remitida por los Sujetos Obligados.</w:t>
      </w:r>
    </w:p>
    <w:p w14:paraId="57FB6B40" w14:textId="06324523" w:rsidR="0041102D" w:rsidRPr="006C0176" w:rsidRDefault="0041102D" w:rsidP="00591D0F">
      <w:pPr>
        <w:spacing w:before="100" w:beforeAutospacing="1" w:after="100" w:afterAutospacing="1" w:line="360" w:lineRule="auto"/>
        <w:jc w:val="both"/>
        <w:rPr>
          <w:rFonts w:ascii="Palatino Linotype" w:eastAsiaTheme="minorEastAsia" w:hAnsi="Palatino Linotype" w:cs="Arial"/>
          <w:lang w:val="es-ES_tradnl"/>
        </w:rPr>
      </w:pPr>
      <w:r w:rsidRPr="006C0176">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w:t>
      </w:r>
      <w:r w:rsidR="00AB70AF" w:rsidRPr="006C0176">
        <w:rPr>
          <w:rFonts w:ascii="Palatino Linotype" w:eastAsiaTheme="minorEastAsia" w:hAnsi="Palatino Linotype" w:cs="Arial"/>
          <w:lang w:val="es-ES_tradnl"/>
        </w:rPr>
        <w:t>Datos, el</w:t>
      </w:r>
      <w:r w:rsidRPr="006C0176">
        <w:rPr>
          <w:rFonts w:ascii="Palatino Linotype" w:eastAsiaTheme="minorEastAsia" w:hAnsi="Palatino Linotype" w:cs="Arial"/>
          <w:lang w:val="es-ES_tradnl"/>
        </w:rPr>
        <w:t xml:space="preserve"> cual refiere: </w:t>
      </w:r>
    </w:p>
    <w:p w14:paraId="1DD31613" w14:textId="3F0F9BA2" w:rsidR="0041102D" w:rsidRPr="006C0176" w:rsidRDefault="0041102D" w:rsidP="00591D0F">
      <w:pPr>
        <w:spacing w:before="100" w:beforeAutospacing="1" w:after="100" w:afterAutospacing="1"/>
        <w:ind w:left="709" w:right="899"/>
        <w:jc w:val="both"/>
        <w:rPr>
          <w:rFonts w:ascii="Palatino Linotype" w:eastAsiaTheme="minorEastAsia" w:hAnsi="Palatino Linotype" w:cs="Arial"/>
          <w:b/>
          <w:i/>
          <w:sz w:val="22"/>
          <w:szCs w:val="20"/>
          <w:lang w:val="es-ES_tradnl"/>
        </w:rPr>
      </w:pPr>
      <w:r w:rsidRPr="006C0176">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6C0176">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C0176">
        <w:rPr>
          <w:rFonts w:ascii="Palatino Linotype" w:eastAsiaTheme="minorEastAsia" w:hAnsi="Palatino Linotype" w:cs="Arial"/>
          <w:b/>
          <w:i/>
          <w:sz w:val="22"/>
          <w:szCs w:val="20"/>
          <w:lang w:val="es-ES_tradnl"/>
        </w:rPr>
        <w:t>”</w:t>
      </w:r>
      <w:r w:rsidRPr="006C0176">
        <w:rPr>
          <w:rFonts w:ascii="Palatino Linotype" w:eastAsiaTheme="minorEastAsia" w:hAnsi="Palatino Linotype" w:cs="Arial"/>
          <w:i/>
          <w:sz w:val="22"/>
          <w:szCs w:val="20"/>
          <w:lang w:val="es-ES_tradnl"/>
        </w:rPr>
        <w:t xml:space="preserve"> (sic)</w:t>
      </w:r>
    </w:p>
    <w:p w14:paraId="69F0E381" w14:textId="77777777" w:rsidR="0041102D" w:rsidRPr="006C0176" w:rsidRDefault="0041102D" w:rsidP="00591D0F">
      <w:pPr>
        <w:spacing w:before="100" w:beforeAutospacing="1" w:after="100" w:afterAutospacing="1" w:line="360" w:lineRule="auto"/>
        <w:jc w:val="both"/>
        <w:rPr>
          <w:rFonts w:ascii="Palatino Linotype" w:hAnsi="Palatino Linotype" w:cs="Arial"/>
          <w:color w:val="000000" w:themeColor="text1"/>
          <w:lang w:eastAsia="es-MX"/>
        </w:rPr>
      </w:pPr>
      <w:r w:rsidRPr="006C0176">
        <w:rPr>
          <w:rFonts w:ascii="Palatino Linotype" w:hAnsi="Palatino Linotype" w:cs="Arial"/>
          <w:color w:val="000000" w:themeColor="text1"/>
          <w:lang w:eastAsia="es-MX"/>
        </w:rPr>
        <w:t xml:space="preserve">En ese contexto, esta Ponencia considera conveniente entrar al estudio de los rubros que fueron impugnados por el hoy </w:t>
      </w:r>
      <w:r w:rsidRPr="006C0176">
        <w:rPr>
          <w:rFonts w:ascii="Palatino Linotype" w:hAnsi="Palatino Linotype" w:cs="Arial"/>
          <w:b/>
          <w:color w:val="000000" w:themeColor="text1"/>
          <w:lang w:eastAsia="es-MX"/>
        </w:rPr>
        <w:t>RECURRENTE</w:t>
      </w:r>
      <w:r w:rsidRPr="006C0176">
        <w:rPr>
          <w:rFonts w:ascii="Palatino Linotype" w:hAnsi="Palatino Linotype" w:cs="Arial"/>
          <w:color w:val="000000" w:themeColor="text1"/>
          <w:lang w:eastAsia="es-MX"/>
        </w:rPr>
        <w:t xml:space="preserve">, a fin de verificar si la respuesta del </w:t>
      </w:r>
      <w:r w:rsidRPr="006C0176">
        <w:rPr>
          <w:rFonts w:ascii="Palatino Linotype" w:hAnsi="Palatino Linotype" w:cs="Arial"/>
          <w:b/>
          <w:color w:val="000000" w:themeColor="text1"/>
          <w:lang w:eastAsia="es-MX"/>
        </w:rPr>
        <w:t>SUJETO OBLIGADO</w:t>
      </w:r>
      <w:r w:rsidRPr="006C0176">
        <w:rPr>
          <w:rFonts w:ascii="Palatino Linotype" w:hAnsi="Palatino Linotype" w:cs="Arial"/>
          <w:color w:val="000000" w:themeColor="text1"/>
          <w:lang w:eastAsia="es-MX"/>
        </w:rPr>
        <w:t xml:space="preserve"> cumplió con el derecho de acceso a la información pública del particular.</w:t>
      </w:r>
    </w:p>
    <w:p w14:paraId="7192CFF2" w14:textId="01955BCE" w:rsidR="006C6AEA" w:rsidRPr="006C0176" w:rsidRDefault="006C6AEA" w:rsidP="00591D0F">
      <w:pPr>
        <w:spacing w:before="100" w:beforeAutospacing="1" w:after="100" w:afterAutospacing="1" w:line="360" w:lineRule="auto"/>
        <w:jc w:val="both"/>
        <w:rPr>
          <w:rFonts w:ascii="Palatino Linotype" w:hAnsi="Palatino Linotype" w:cs="Arial"/>
          <w:color w:val="000000" w:themeColor="text1"/>
          <w:lang w:eastAsia="es-MX"/>
        </w:rPr>
      </w:pPr>
      <w:r w:rsidRPr="006C0176">
        <w:rPr>
          <w:rFonts w:ascii="Palatino Linotype" w:hAnsi="Palatino Linotype" w:cs="Arial"/>
          <w:color w:val="000000" w:themeColor="text1"/>
          <w:lang w:eastAsia="es-MX"/>
        </w:rPr>
        <w:t>Respecto a los numerales 1, 2 y 3 advierte que el contrato se encuentra de manera incompleta y no entrega el expediente</w:t>
      </w:r>
      <w:r w:rsidR="00CF4823" w:rsidRPr="006C0176">
        <w:rPr>
          <w:rFonts w:ascii="Palatino Linotype" w:hAnsi="Palatino Linotype" w:cs="Arial"/>
          <w:color w:val="000000" w:themeColor="text1"/>
          <w:lang w:eastAsia="es-MX"/>
        </w:rPr>
        <w:t>,</w:t>
      </w:r>
      <w:r w:rsidRPr="006C0176">
        <w:rPr>
          <w:rFonts w:ascii="Palatino Linotype" w:hAnsi="Palatino Linotype" w:cs="Arial"/>
          <w:color w:val="000000" w:themeColor="text1"/>
          <w:lang w:eastAsia="es-MX"/>
        </w:rPr>
        <w:t xml:space="preserve"> además de tratarse </w:t>
      </w:r>
      <w:r w:rsidR="00CF4823" w:rsidRPr="006C0176">
        <w:rPr>
          <w:rFonts w:ascii="Palatino Linotype" w:hAnsi="Palatino Linotype" w:cs="Arial"/>
          <w:color w:val="000000" w:themeColor="text1"/>
          <w:lang w:eastAsia="es-MX"/>
        </w:rPr>
        <w:t>de</w:t>
      </w:r>
      <w:r w:rsidRPr="006C0176">
        <w:rPr>
          <w:rFonts w:ascii="Palatino Linotype" w:hAnsi="Palatino Linotype" w:cs="Arial"/>
          <w:color w:val="000000" w:themeColor="text1"/>
          <w:lang w:eastAsia="es-MX"/>
        </w:rPr>
        <w:t xml:space="preserve"> una obligación de transparencia puede que conste en los archivos del </w:t>
      </w:r>
      <w:r w:rsidRPr="006C0176">
        <w:rPr>
          <w:rFonts w:ascii="Palatino Linotype" w:hAnsi="Palatino Linotype" w:cs="Arial"/>
          <w:b/>
          <w:bCs/>
          <w:color w:val="000000" w:themeColor="text1"/>
          <w:lang w:eastAsia="es-MX"/>
        </w:rPr>
        <w:t>SUJETO OBLIGADO.</w:t>
      </w:r>
    </w:p>
    <w:p w14:paraId="2276E079" w14:textId="77777777" w:rsidR="00CB5A79" w:rsidRPr="006C0176" w:rsidRDefault="00CB5A79" w:rsidP="00591D0F">
      <w:pPr>
        <w:shd w:val="clear" w:color="auto" w:fill="FFFFFF"/>
        <w:spacing w:before="100" w:beforeAutospacing="1" w:after="100" w:afterAutospacing="1" w:line="360" w:lineRule="auto"/>
        <w:jc w:val="both"/>
        <w:rPr>
          <w:rFonts w:ascii="Palatino Linotype" w:hAnsi="Palatino Linotype" w:cs="Arial"/>
          <w:bCs/>
        </w:rPr>
      </w:pPr>
      <w:r w:rsidRPr="006C0176">
        <w:rPr>
          <w:rFonts w:ascii="Palatino Linotype" w:hAnsi="Palatino Linotype" w:cs="Arial"/>
        </w:rPr>
        <w:t xml:space="preserve">Así, y de conformidad con lo establecido en el artículo 12 de la Ley de Transparencia y Acceso a la Información Pública del Estado de México y Municipios </w:t>
      </w:r>
      <w:r w:rsidRPr="006C0176">
        <w:rPr>
          <w:rFonts w:ascii="Palatino Linotype" w:hAnsi="Palatino Linotype" w:cs="Arial"/>
          <w:b/>
        </w:rPr>
        <w:t>EL SUJETO OBLIGADO</w:t>
      </w:r>
      <w:r w:rsidRPr="006C0176">
        <w:rPr>
          <w:rFonts w:ascii="Palatino Linotype" w:hAnsi="Palatino Linotype" w:cs="Arial"/>
        </w:rPr>
        <w:t xml:space="preserve"> sólo proporcionará la información que se les requiera y que obre en sus archivos; </w:t>
      </w:r>
      <w:r w:rsidRPr="006C0176">
        <w:rPr>
          <w:rFonts w:ascii="Palatino Linotype" w:hAnsi="Palatino Linotype" w:cs="Arial"/>
          <w:bCs/>
        </w:rPr>
        <w:t>se privilegia el principio de simplicidad y rapidez que rigen las actuaciones de la Autoridades en materia de acceso a la información pública, consagradas en la Ley de Transparencia y Acceso a la Información Pública del Estado de México y Municipios, en sus artículos 2, fracciones I y II, 150 y 173, que señalan:</w:t>
      </w:r>
    </w:p>
    <w:p w14:paraId="458E562D" w14:textId="77777777" w:rsidR="00CB5A79" w:rsidRPr="006C0176" w:rsidRDefault="00CB5A79" w:rsidP="00591D0F">
      <w:pPr>
        <w:shd w:val="clear" w:color="auto" w:fill="FFFFFF"/>
        <w:spacing w:before="100" w:beforeAutospacing="1" w:after="100" w:afterAutospacing="1" w:line="360" w:lineRule="auto"/>
        <w:jc w:val="both"/>
        <w:rPr>
          <w:rFonts w:ascii="Palatino Linotype" w:hAnsi="Palatino Linotype" w:cs="Arial"/>
          <w:bCs/>
          <w:sz w:val="8"/>
        </w:rPr>
      </w:pPr>
    </w:p>
    <w:p w14:paraId="008CDC7C"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bCs/>
          <w:i/>
          <w:sz w:val="22"/>
          <w:szCs w:val="22"/>
        </w:rPr>
        <w:t xml:space="preserve">“Artículo 2. </w:t>
      </w:r>
      <w:r w:rsidRPr="006C0176">
        <w:rPr>
          <w:rFonts w:ascii="Palatino Linotype" w:hAnsi="Palatino Linotype" w:cs="Arial"/>
          <w:i/>
          <w:sz w:val="22"/>
          <w:szCs w:val="22"/>
        </w:rPr>
        <w:t>Son objetivos de esta Ley:</w:t>
      </w:r>
    </w:p>
    <w:p w14:paraId="36F3363F"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bCs/>
          <w:i/>
          <w:sz w:val="22"/>
          <w:szCs w:val="22"/>
        </w:rPr>
        <w:t xml:space="preserve">I. </w:t>
      </w:r>
      <w:r w:rsidRPr="006C0176">
        <w:rPr>
          <w:rFonts w:ascii="Palatino Linotype" w:hAnsi="Palatino Linotype" w:cs="Arial"/>
          <w:i/>
          <w:sz w:val="22"/>
          <w:szCs w:val="22"/>
        </w:rPr>
        <w:t>Establecer la competencia, operación y funcionamiento del Instituto, en materia de transparencia y acceso a la información;</w:t>
      </w:r>
    </w:p>
    <w:p w14:paraId="2B74E761"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bCs/>
          <w:i/>
          <w:sz w:val="22"/>
          <w:szCs w:val="22"/>
        </w:rPr>
        <w:t xml:space="preserve">II. </w:t>
      </w:r>
      <w:r w:rsidRPr="006C0176">
        <w:rPr>
          <w:rFonts w:ascii="Palatino Linotype" w:hAnsi="Palatino Linotype" w:cs="Arial"/>
          <w:i/>
          <w:sz w:val="22"/>
          <w:szCs w:val="22"/>
        </w:rPr>
        <w:t>Proveer lo necesario para garantizar a toda persona el derecho de acceso a la información pública, a través de procedimientos sencillos, expeditos, oportunos y gratuitos, determinando las bases mínimas sobre las cuales se regirán los mismos;</w:t>
      </w:r>
    </w:p>
    <w:p w14:paraId="49FAF318"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bCs/>
          <w:i/>
          <w:sz w:val="22"/>
          <w:szCs w:val="22"/>
        </w:rPr>
        <w:t xml:space="preserve">Artículo 150. </w:t>
      </w:r>
      <w:r w:rsidRPr="006C0176">
        <w:rPr>
          <w:rFonts w:ascii="Palatino Linotype" w:hAnsi="Palatino Linotype" w:cs="Arial"/>
          <w:i/>
          <w:sz w:val="22"/>
          <w:szCs w:val="22"/>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09F5EEEF"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bCs/>
          <w:i/>
          <w:sz w:val="22"/>
          <w:szCs w:val="22"/>
        </w:rPr>
        <w:t xml:space="preserve">Artículo 173. </w:t>
      </w:r>
      <w:r w:rsidRPr="006C0176">
        <w:rPr>
          <w:rFonts w:ascii="Palatino Linotype" w:hAnsi="Palatino Linotype" w:cs="Arial"/>
          <w:i/>
          <w:sz w:val="22"/>
          <w:szCs w:val="22"/>
        </w:rPr>
        <w:t>Sin perjuicio de lo anteriormente establecido, el procedimiento de acceso a la información se rige por los siguientes principios:</w:t>
      </w:r>
    </w:p>
    <w:p w14:paraId="3ADC0457"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bCs/>
          <w:i/>
          <w:sz w:val="22"/>
          <w:szCs w:val="22"/>
        </w:rPr>
        <w:t xml:space="preserve">I. </w:t>
      </w:r>
      <w:r w:rsidRPr="006C0176">
        <w:rPr>
          <w:rFonts w:ascii="Palatino Linotype" w:hAnsi="Palatino Linotype" w:cs="Arial"/>
          <w:i/>
          <w:sz w:val="22"/>
          <w:szCs w:val="22"/>
        </w:rPr>
        <w:t>Simplicidad y rapidez;</w:t>
      </w:r>
    </w:p>
    <w:p w14:paraId="259F5C51"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bCs/>
          <w:i/>
          <w:sz w:val="22"/>
          <w:szCs w:val="22"/>
        </w:rPr>
        <w:t xml:space="preserve">II. </w:t>
      </w:r>
      <w:r w:rsidRPr="006C0176">
        <w:rPr>
          <w:rFonts w:ascii="Palatino Linotype" w:hAnsi="Palatino Linotype" w:cs="Arial"/>
          <w:i/>
          <w:sz w:val="22"/>
          <w:szCs w:val="22"/>
        </w:rPr>
        <w:t>Gratuidad del procedimiento; y</w:t>
      </w:r>
    </w:p>
    <w:p w14:paraId="6DA559AD"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hAnsi="Palatino Linotype"/>
          <w:i/>
          <w:sz w:val="22"/>
          <w:szCs w:val="22"/>
        </w:rPr>
      </w:pPr>
      <w:r w:rsidRPr="006C0176">
        <w:rPr>
          <w:rFonts w:ascii="Palatino Linotype" w:hAnsi="Palatino Linotype" w:cs="Arial"/>
          <w:b/>
          <w:bCs/>
          <w:i/>
          <w:sz w:val="22"/>
          <w:szCs w:val="22"/>
        </w:rPr>
        <w:t xml:space="preserve">III. </w:t>
      </w:r>
      <w:r w:rsidRPr="006C0176">
        <w:rPr>
          <w:rFonts w:ascii="Palatino Linotype" w:hAnsi="Palatino Linotype" w:cs="Arial"/>
          <w:i/>
          <w:sz w:val="22"/>
          <w:szCs w:val="22"/>
        </w:rPr>
        <w:t>Auxilio y orientación a los particulares</w:t>
      </w:r>
      <w:r w:rsidRPr="006C0176">
        <w:rPr>
          <w:rFonts w:ascii="Palatino Linotype" w:hAnsi="Palatino Linotype"/>
          <w:i/>
          <w:sz w:val="22"/>
          <w:szCs w:val="22"/>
        </w:rPr>
        <w:t>“</w:t>
      </w:r>
    </w:p>
    <w:p w14:paraId="4FF15E28" w14:textId="77777777" w:rsidR="00CB5A79" w:rsidRPr="006C0176" w:rsidRDefault="00CB5A79" w:rsidP="00591D0F">
      <w:pPr>
        <w:autoSpaceDE w:val="0"/>
        <w:autoSpaceDN w:val="0"/>
        <w:adjustRightInd w:val="0"/>
        <w:spacing w:before="100" w:beforeAutospacing="1" w:after="100" w:afterAutospacing="1" w:line="360" w:lineRule="auto"/>
        <w:ind w:right="49"/>
        <w:jc w:val="both"/>
        <w:rPr>
          <w:rFonts w:ascii="Palatino Linotype" w:eastAsia="Calibri" w:hAnsi="Palatino Linotype" w:cs="Arial"/>
          <w:bCs/>
          <w:lang w:eastAsia="en-US"/>
        </w:rPr>
      </w:pPr>
      <w:r w:rsidRPr="006C0176">
        <w:rPr>
          <w:rFonts w:ascii="Palatino Linotype" w:hAnsi="Palatino Linotype" w:cs="Arial"/>
        </w:rPr>
        <w:t xml:space="preserve">De esta forma, la </w:t>
      </w:r>
      <w:r w:rsidRPr="006C0176">
        <w:rPr>
          <w:rFonts w:ascii="Palatino Linotype" w:eastAsia="Calibri" w:hAnsi="Palatino Linotype" w:cs="Arial"/>
          <w:bCs/>
          <w:lang w:eastAsia="en-US"/>
        </w:rPr>
        <w:t>Ley de Contratación Pública del Estado de México y Municipios dispone lo siguiente:</w:t>
      </w:r>
    </w:p>
    <w:p w14:paraId="79B5FF91"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Cs/>
          <w:i/>
          <w:sz w:val="22"/>
          <w:szCs w:val="22"/>
          <w:lang w:eastAsia="en-US"/>
        </w:rPr>
        <w:t>“</w:t>
      </w:r>
      <w:r w:rsidRPr="006C0176">
        <w:rPr>
          <w:rFonts w:ascii="Palatino Linotype" w:eastAsia="Calibri" w:hAnsi="Palatino Linotype" w:cs="Arial"/>
          <w:b/>
          <w:bCs/>
          <w:i/>
          <w:sz w:val="22"/>
          <w:szCs w:val="22"/>
          <w:lang w:eastAsia="en-US"/>
        </w:rPr>
        <w:t>Artículo 1.-</w:t>
      </w:r>
      <w:r w:rsidRPr="006C0176">
        <w:rPr>
          <w:rFonts w:ascii="Palatino Linotype" w:eastAsia="Calibri" w:hAnsi="Palatino Linotype" w:cs="Arial"/>
          <w:bCs/>
          <w:i/>
          <w:sz w:val="22"/>
          <w:szCs w:val="22"/>
          <w:lang w:eastAsia="en-US"/>
        </w:rPr>
        <w:t xml:space="preserve"> Esta Ley tiene por objeto regular los actos relativos a la planeación, programación, presupuestación, ejecución y control de la adquisición, enajenación y arrendamiento de bienes, y la contratación de servicios de cualquier naturaleza, que realicen:</w:t>
      </w:r>
    </w:p>
    <w:p w14:paraId="561A521D"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I.</w:t>
      </w:r>
      <w:r w:rsidRPr="006C0176">
        <w:rPr>
          <w:rFonts w:ascii="Palatino Linotype" w:eastAsia="Calibri" w:hAnsi="Palatino Linotype" w:cs="Arial"/>
          <w:bCs/>
          <w:i/>
          <w:sz w:val="22"/>
          <w:szCs w:val="22"/>
          <w:lang w:eastAsia="en-US"/>
        </w:rPr>
        <w:t xml:space="preserve"> Las secretarías y las unidades administrativas del Poder Ejecutivo del Estado.</w:t>
      </w:r>
    </w:p>
    <w:p w14:paraId="4ACD06DD"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II.</w:t>
      </w:r>
      <w:r w:rsidRPr="006C0176">
        <w:rPr>
          <w:rFonts w:ascii="Palatino Linotype" w:eastAsia="Calibri" w:hAnsi="Palatino Linotype" w:cs="Arial"/>
          <w:bCs/>
          <w:i/>
          <w:sz w:val="22"/>
          <w:szCs w:val="22"/>
          <w:lang w:eastAsia="en-US"/>
        </w:rPr>
        <w:t xml:space="preserve"> La Procuraduría General de Justicia.</w:t>
      </w:r>
    </w:p>
    <w:p w14:paraId="368D2E71"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
          <w:bCs/>
          <w:i/>
          <w:sz w:val="22"/>
          <w:szCs w:val="22"/>
          <w:u w:val="single"/>
          <w:lang w:eastAsia="en-US"/>
        </w:rPr>
      </w:pPr>
      <w:r w:rsidRPr="006C0176">
        <w:rPr>
          <w:rFonts w:ascii="Palatino Linotype" w:eastAsia="Calibri" w:hAnsi="Palatino Linotype" w:cs="Arial"/>
          <w:b/>
          <w:bCs/>
          <w:i/>
          <w:sz w:val="22"/>
          <w:szCs w:val="22"/>
          <w:u w:val="single"/>
          <w:lang w:eastAsia="en-US"/>
        </w:rPr>
        <w:t>III. Los ayuntamientos de los municipios del Estado.</w:t>
      </w:r>
    </w:p>
    <w:p w14:paraId="613B7CF1"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IV.</w:t>
      </w:r>
      <w:r w:rsidRPr="006C0176">
        <w:rPr>
          <w:rFonts w:ascii="Palatino Linotype" w:eastAsia="Calibri" w:hAnsi="Palatino Linotype" w:cs="Arial"/>
          <w:bCs/>
          <w:i/>
          <w:sz w:val="22"/>
          <w:szCs w:val="22"/>
          <w:lang w:eastAsia="en-US"/>
        </w:rPr>
        <w:t xml:space="preserve"> Los organismos auxiliares y fideicomisos públicos, de carácter estatal o municipal.</w:t>
      </w:r>
    </w:p>
    <w:p w14:paraId="423505DD"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V.</w:t>
      </w:r>
      <w:r w:rsidRPr="006C0176">
        <w:rPr>
          <w:rFonts w:ascii="Palatino Linotype" w:eastAsia="Calibri" w:hAnsi="Palatino Linotype" w:cs="Arial"/>
          <w:bCs/>
          <w:i/>
          <w:sz w:val="22"/>
          <w:szCs w:val="22"/>
          <w:lang w:eastAsia="en-US"/>
        </w:rPr>
        <w:t xml:space="preserve"> Los tribunales administrativos.</w:t>
      </w:r>
    </w:p>
    <w:p w14:paraId="072EC0BC"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Cs/>
          <w:i/>
          <w:sz w:val="22"/>
          <w:szCs w:val="22"/>
          <w:lang w:eastAsia="en-US"/>
        </w:rPr>
        <w:t>Los actos a los que se refiere este artículo que se realicen con cargo total o parcial a fondos del Gobierno del Estado de México, se estarán a lo dispuesto por esta Ley. Los actos a que se refiere este artículo que se realicen con cargo total o parcial a fondos del Gobierno Federal, estarán a lo dispuesto por la legislación federal.</w:t>
      </w:r>
    </w:p>
    <w:p w14:paraId="27A4B0C8"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Cs/>
          <w:i/>
          <w:sz w:val="22"/>
          <w:szCs w:val="22"/>
          <w:lang w:eastAsia="en-US"/>
        </w:rPr>
        <w:t>También serán aplicables las disposiciones de esta Ley a los particulares que participen en los procedimientos, operaciones o contratos regulados en esta Ley.</w:t>
      </w:r>
    </w:p>
    <w:p w14:paraId="741EC33E"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Cs/>
          <w:i/>
          <w:sz w:val="22"/>
          <w:szCs w:val="22"/>
          <w:lang w:eastAsia="en-US"/>
        </w:rPr>
        <w:t>Los poderes Legislativo y Judicial, así como los organismos autónomos aplicarán las disposiciones de esta Ley en lo que no se oponga a los ordenamientos legales que los regulan, sujetándose a sus propios órganos de control.</w:t>
      </w:r>
    </w:p>
    <w:p w14:paraId="5B351284"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Artículo 4.-</w:t>
      </w:r>
      <w:r w:rsidRPr="006C0176">
        <w:rPr>
          <w:rFonts w:ascii="Palatino Linotype" w:eastAsia="Calibri" w:hAnsi="Palatino Linotype" w:cs="Arial"/>
          <w:bCs/>
          <w:i/>
          <w:sz w:val="22"/>
          <w:szCs w:val="22"/>
          <w:lang w:eastAsia="en-US"/>
        </w:rPr>
        <w:t xml:space="preserve"> Para los efectos de esta Ley, en las adquisiciones, enajenaciones, arrendamientos y servicios, quedan comprendidos:</w:t>
      </w:r>
    </w:p>
    <w:p w14:paraId="1E14287F"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I.</w:t>
      </w:r>
      <w:r w:rsidRPr="006C0176">
        <w:rPr>
          <w:rFonts w:ascii="Palatino Linotype" w:eastAsia="Calibri" w:hAnsi="Palatino Linotype" w:cs="Arial"/>
          <w:bCs/>
          <w:i/>
          <w:sz w:val="22"/>
          <w:szCs w:val="22"/>
          <w:lang w:eastAsia="en-US"/>
        </w:rPr>
        <w:t xml:space="preserve"> La adquisición de bienes muebles.</w:t>
      </w:r>
    </w:p>
    <w:p w14:paraId="0662621D"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 xml:space="preserve">II. </w:t>
      </w:r>
      <w:r w:rsidRPr="006C0176">
        <w:rPr>
          <w:rFonts w:ascii="Palatino Linotype" w:eastAsia="Calibri" w:hAnsi="Palatino Linotype" w:cs="Arial"/>
          <w:bCs/>
          <w:i/>
          <w:sz w:val="22"/>
          <w:szCs w:val="22"/>
          <w:lang w:eastAsia="en-US"/>
        </w:rPr>
        <w:t>La adquisición de bienes inmuebles, a través de compraventa.</w:t>
      </w:r>
    </w:p>
    <w:p w14:paraId="075A9B13"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III.</w:t>
      </w:r>
      <w:r w:rsidRPr="006C0176">
        <w:rPr>
          <w:rFonts w:ascii="Palatino Linotype" w:eastAsia="Calibri" w:hAnsi="Palatino Linotype" w:cs="Arial"/>
          <w:bCs/>
          <w:i/>
          <w:sz w:val="22"/>
          <w:szCs w:val="22"/>
          <w:lang w:eastAsia="en-US"/>
        </w:rPr>
        <w:t xml:space="preserve"> La enajenación de bienes muebles e inmuebles.</w:t>
      </w:r>
    </w:p>
    <w:p w14:paraId="39FBE5A5"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IV.</w:t>
      </w:r>
      <w:r w:rsidRPr="006C0176">
        <w:rPr>
          <w:rFonts w:ascii="Palatino Linotype" w:eastAsia="Calibri" w:hAnsi="Palatino Linotype" w:cs="Arial"/>
          <w:bCs/>
          <w:i/>
          <w:sz w:val="22"/>
          <w:szCs w:val="22"/>
          <w:lang w:eastAsia="en-US"/>
        </w:rPr>
        <w:t xml:space="preserve"> El arrendamiento de bienes muebles e inmuebles.</w:t>
      </w:r>
    </w:p>
    <w:p w14:paraId="0FA5B832"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 xml:space="preserve">V. </w:t>
      </w:r>
      <w:r w:rsidRPr="006C0176">
        <w:rPr>
          <w:rFonts w:ascii="Palatino Linotype" w:eastAsia="Calibri" w:hAnsi="Palatino Linotype" w:cs="Arial"/>
          <w:bCs/>
          <w:i/>
          <w:sz w:val="22"/>
          <w:szCs w:val="22"/>
          <w:lang w:eastAsia="en-US"/>
        </w:rPr>
        <w:t>La contratación de los servicios, relacionados con bienes muebles que se encuentran incorporados o adheridos a bienes inmuebles, cuya instalación o mantenimiento no implique modificación al bien inmueble.</w:t>
      </w:r>
    </w:p>
    <w:p w14:paraId="6398140E"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VI.</w:t>
      </w:r>
      <w:r w:rsidRPr="006C0176">
        <w:rPr>
          <w:rFonts w:ascii="Palatino Linotype" w:eastAsia="Calibri" w:hAnsi="Palatino Linotype" w:cs="Arial"/>
          <w:bCs/>
          <w:i/>
          <w:sz w:val="22"/>
          <w:szCs w:val="22"/>
          <w:lang w:eastAsia="en-US"/>
        </w:rPr>
        <w:t xml:space="preserve"> La contratación de los servicios de reconstrucción y mantenimiento de bienes muebles.</w:t>
      </w:r>
    </w:p>
    <w:p w14:paraId="5C463846"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VII.</w:t>
      </w:r>
      <w:r w:rsidRPr="006C0176">
        <w:rPr>
          <w:rFonts w:ascii="Palatino Linotype" w:eastAsia="Calibri" w:hAnsi="Palatino Linotype" w:cs="Arial"/>
          <w:bCs/>
          <w:i/>
          <w:sz w:val="22"/>
          <w:szCs w:val="22"/>
          <w:lang w:eastAsia="en-US"/>
        </w:rPr>
        <w:t xml:space="preserve"> La contratación de los servicios de maquila, seguros y transportación, así como de los de limpieza y vigilancia de bienes inmuebles.</w:t>
      </w:r>
    </w:p>
    <w:p w14:paraId="0CE9B172"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VIII.</w:t>
      </w:r>
      <w:r w:rsidRPr="006C0176">
        <w:rPr>
          <w:rFonts w:ascii="Palatino Linotype" w:eastAsia="Calibri" w:hAnsi="Palatino Linotype" w:cs="Arial"/>
          <w:bCs/>
          <w:i/>
          <w:sz w:val="22"/>
          <w:szCs w:val="22"/>
          <w:lang w:eastAsia="en-US"/>
        </w:rPr>
        <w:t xml:space="preserve"> La prestación de servicios profesionales, la contratación de consultorías, asesorías y estudios e investigaciones, excepto la contratación de servicios personales de personas físicas bajo el régimen de honorarios.</w:t>
      </w:r>
    </w:p>
    <w:p w14:paraId="7C4917FC"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Cs/>
          <w:i/>
          <w:sz w:val="22"/>
          <w:szCs w:val="22"/>
          <w:lang w:eastAsia="en-US"/>
        </w:rPr>
        <w:t>En general, otros actos que impliquen la contratación de servicios de cualquier naturaleza.</w:t>
      </w:r>
    </w:p>
    <w:p w14:paraId="1B2A19E2"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Cs/>
          <w:i/>
          <w:sz w:val="22"/>
          <w:szCs w:val="22"/>
          <w:lang w:eastAsia="en-US"/>
        </w:rPr>
        <w:t>No aplicarán las disposiciones de la presente Ley a la operación, administración, uso, goce, disposición o cualquier otro acto jurídico sobre bienes muebles o inmuebles que pudieren regularse  por esta Ley, si dichos actos derivan de la prestación de servicios bajo la modalidad de proyectos para prestación de servicios; en estos casos, aplicarán las disposiciones del Libro Décimo Sexto del Código Administrativo del Estado de México.</w:t>
      </w:r>
    </w:p>
    <w:p w14:paraId="392FA5FB"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Cs/>
          <w:i/>
          <w:sz w:val="22"/>
          <w:szCs w:val="22"/>
          <w:lang w:eastAsia="en-US"/>
        </w:rPr>
        <w:t>La contratación de seguros de garantía financiera, así como de servicios profesionales, consultorías, asesorías, estudios e investigaciones en relación con créditos, empréstitos, préstamos o financiamientos de cualquier naturaleza, incluyendo la emisión de valores, o cualquier otro servicio financiero no estarán sujetos a lo dispuesto por esta Ley.</w:t>
      </w:r>
    </w:p>
    <w:p w14:paraId="73FF4E78"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Cs/>
          <w:i/>
          <w:sz w:val="22"/>
          <w:szCs w:val="22"/>
          <w:lang w:eastAsia="en-US"/>
        </w:rPr>
        <w:t>Tampoco aplicará esta ley a la contratación de servicios financieros relacionados con la apertura de cuentas bancarias para la recepción y manejo, inversión y pago de recursos públicos.</w:t>
      </w:r>
    </w:p>
    <w:p w14:paraId="24724BF4"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Artículo 14.-</w:t>
      </w:r>
      <w:r w:rsidRPr="006C0176">
        <w:rPr>
          <w:rFonts w:ascii="Palatino Linotype" w:eastAsia="Calibri" w:hAnsi="Palatino Linotype" w:cs="Arial"/>
          <w:bCs/>
          <w:i/>
          <w:sz w:val="22"/>
          <w:szCs w:val="22"/>
          <w:lang w:eastAsia="en-US"/>
        </w:rPr>
        <w:t xml:space="preserve"> Únicamente se pueden tramitar, convocar, adjudicar o llevar a cabo adquisiciones, arrendamientos y servicios, cuando las dependencias, entidades, tribunales administrativos y ayuntamientos cuenten con saldo disponible dentro de su presupuesto aprobado.</w:t>
      </w:r>
    </w:p>
    <w:p w14:paraId="1E5CDBAB"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Artículo 65.-</w:t>
      </w:r>
      <w:r w:rsidRPr="006C0176">
        <w:rPr>
          <w:rFonts w:ascii="Palatino Linotype" w:eastAsia="Calibri" w:hAnsi="Palatino Linotype" w:cs="Arial"/>
          <w:bCs/>
          <w:i/>
          <w:sz w:val="22"/>
          <w:szCs w:val="22"/>
          <w:lang w:eastAsia="en-US"/>
        </w:rPr>
        <w:t xml:space="preserve"> La adjudicación de los contratos derivados de los procedimientos de adquisiciones de bienes o servicios, obligará a la convocante y al licitante ganador a suscribir el contrato respectivo, dentro de los diez días hábiles siguientes al de la notificación del fallo. Los contratos podrán suscribirse mediante el uso de la firma electrónica, en apego a las disposiciones de la Ley de Medios Electrónicos y de su Reglamento.</w:t>
      </w:r>
    </w:p>
    <w:p w14:paraId="6B63F387"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Artículo 66.-</w:t>
      </w:r>
      <w:r w:rsidRPr="006C0176">
        <w:rPr>
          <w:rFonts w:ascii="Palatino Linotype" w:eastAsia="Calibri" w:hAnsi="Palatino Linotype" w:cs="Arial"/>
          <w:bCs/>
          <w:i/>
          <w:sz w:val="22"/>
          <w:szCs w:val="22"/>
          <w:lang w:eastAsia="en-US"/>
        </w:rPr>
        <w:t xml:space="preserve"> Los derechos y las obligaciones que se deriven del contrato no podrán cederse en forma parcial ni total, con excepción de los derechos de cobro, en cuyo caso se deberá contar con el consentimiento de la dependencia, de la entidad o del ayuntamiento.</w:t>
      </w:r>
    </w:p>
    <w:p w14:paraId="74827C06"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Cs/>
          <w:i/>
          <w:sz w:val="22"/>
          <w:szCs w:val="22"/>
          <w:lang w:eastAsia="en-US"/>
        </w:rPr>
        <w:t>El proveedor o el prestador de servicios no podrá subcontratar, total o parcialmente, el suministro de bienes o la prestación de servicios, salvo que cuente con la autorización previa y expresa de la    contratante, en cuyo caso el proveedor o prestador de servicios será el único responsable del cumplimiento de las obligaciones a su cargo.</w:t>
      </w:r>
    </w:p>
    <w:p w14:paraId="4CDCE74B"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Artículo 67.-</w:t>
      </w:r>
      <w:r w:rsidRPr="006C0176">
        <w:rPr>
          <w:rFonts w:ascii="Palatino Linotype" w:eastAsia="Calibri" w:hAnsi="Palatino Linotype" w:cs="Arial"/>
          <w:bCs/>
          <w:i/>
          <w:sz w:val="22"/>
          <w:szCs w:val="22"/>
          <w:lang w:eastAsia="en-US"/>
        </w:rPr>
        <w:t xml:space="preserve"> En los contratos se pactarán penas convencionales, a cargo del proveedor o prestador de servicios, por incumplimiento de sus obligaciones. En los contratos en que se pacte ajuste de precios, la penalización se calculará sobre el precio ajustado. </w:t>
      </w:r>
    </w:p>
    <w:p w14:paraId="51A1FE7D"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Cs/>
          <w:i/>
          <w:sz w:val="22"/>
          <w:szCs w:val="22"/>
          <w:lang w:eastAsia="en-US"/>
        </w:rPr>
        <w:t>El proveedor o prestador de servicios estará obligado a responder de los defectos y vicios ocultos de los bienes y servicios.</w:t>
      </w:r>
    </w:p>
    <w:p w14:paraId="4EACDDDF"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Artículo 68.-</w:t>
      </w:r>
      <w:r w:rsidRPr="006C0176">
        <w:rPr>
          <w:rFonts w:ascii="Palatino Linotype" w:eastAsia="Calibri" w:hAnsi="Palatino Linotype" w:cs="Arial"/>
          <w:bCs/>
          <w:i/>
          <w:sz w:val="22"/>
          <w:szCs w:val="22"/>
          <w:lang w:eastAsia="en-US"/>
        </w:rPr>
        <w:t xml:space="preserve"> En los contratos se estipularán las diversas consecuencias de la cancelación, de la terminación anticipada o de la rescisión por causas imputables al proveedor o prestador de servicios.</w:t>
      </w:r>
    </w:p>
    <w:p w14:paraId="58C89365"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Cs/>
          <w:i/>
          <w:sz w:val="22"/>
          <w:szCs w:val="22"/>
          <w:lang w:eastAsia="en-US"/>
        </w:rPr>
        <w:t>Los contratos contendrán los elementos que establezca el reglamento de esta Ley y se elaborarán conforme con los modelos que establezca la Secretaría o los ayuntamientos, en su caso.</w:t>
      </w:r>
    </w:p>
    <w:p w14:paraId="21CB6C4D"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
          <w:bCs/>
          <w:i/>
          <w:sz w:val="22"/>
          <w:szCs w:val="22"/>
          <w:lang w:eastAsia="en-US"/>
        </w:rPr>
        <w:t>Artículo 69.-</w:t>
      </w:r>
      <w:r w:rsidRPr="006C0176">
        <w:rPr>
          <w:rFonts w:ascii="Palatino Linotype" w:eastAsia="Calibri" w:hAnsi="Palatino Linotype" w:cs="Arial"/>
          <w:bCs/>
          <w:i/>
          <w:sz w:val="22"/>
          <w:szCs w:val="22"/>
          <w:lang w:eastAsia="en-US"/>
        </w:rPr>
        <w:t xml:space="preserve"> En los contratos deberá pactarse la condición de precio fijo.</w:t>
      </w:r>
    </w:p>
    <w:p w14:paraId="14067AF3" w14:textId="77777777" w:rsidR="00CB5A79" w:rsidRPr="006C0176" w:rsidRDefault="00CB5A79" w:rsidP="00591D0F">
      <w:pPr>
        <w:autoSpaceDE w:val="0"/>
        <w:autoSpaceDN w:val="0"/>
        <w:adjustRightInd w:val="0"/>
        <w:spacing w:before="100" w:beforeAutospacing="1" w:after="100" w:afterAutospacing="1" w:line="276" w:lineRule="auto"/>
        <w:ind w:left="851" w:right="902"/>
        <w:jc w:val="both"/>
        <w:rPr>
          <w:rFonts w:ascii="Palatino Linotype" w:eastAsia="Calibri" w:hAnsi="Palatino Linotype" w:cs="Arial"/>
          <w:bCs/>
          <w:i/>
          <w:sz w:val="22"/>
          <w:szCs w:val="22"/>
          <w:lang w:eastAsia="en-US"/>
        </w:rPr>
      </w:pPr>
      <w:r w:rsidRPr="006C0176">
        <w:rPr>
          <w:rFonts w:ascii="Palatino Linotype" w:eastAsia="Calibri" w:hAnsi="Palatino Linotype" w:cs="Arial"/>
          <w:bCs/>
          <w:i/>
          <w:sz w:val="22"/>
          <w:szCs w:val="22"/>
          <w:lang w:eastAsia="en-US"/>
        </w:rPr>
        <w:t xml:space="preserve">Cuando con posterioridad a la celebración de los contratos, se presenten circunstancias económicas de tipo general ajenas a la responsabilidad de las partes y que incidan en las condiciones pactadas, la Secretaría, las entidades, los tribunales administrativos y los ayuntamientos podrán, dentro de su presupuesto autorizado, reconocer incrementos o exigir reducciones en monto o plazo, la convocante podrá acordar incrementos en la cantidad de bienes adquiridos mediante modificación a sus contratos vigentes, dentro de los doce meses posteriores a su suscripción, siempre que el monto total de la modificación no rebase en conjunto el treinta por ciento del importe original y el precio de los bienes sea igual al pactado inicialmente. </w:t>
      </w:r>
    </w:p>
    <w:p w14:paraId="4FE114FB" w14:textId="77777777" w:rsidR="00CB5A79" w:rsidRPr="006C0176" w:rsidRDefault="00CB5A79" w:rsidP="00591D0F">
      <w:pPr>
        <w:autoSpaceDE w:val="0"/>
        <w:autoSpaceDN w:val="0"/>
        <w:adjustRightInd w:val="0"/>
        <w:spacing w:before="100" w:beforeAutospacing="1" w:after="100" w:afterAutospacing="1" w:line="360" w:lineRule="auto"/>
        <w:ind w:right="49"/>
        <w:jc w:val="both"/>
        <w:rPr>
          <w:rFonts w:ascii="Palatino Linotype" w:eastAsia="Calibri" w:hAnsi="Palatino Linotype" w:cs="Arial"/>
          <w:bCs/>
          <w:lang w:eastAsia="en-US"/>
        </w:rPr>
      </w:pPr>
      <w:r w:rsidRPr="006C0176">
        <w:rPr>
          <w:rFonts w:ascii="Palatino Linotype" w:eastAsia="Calibri" w:hAnsi="Palatino Linotype" w:cs="Arial"/>
          <w:bCs/>
          <w:lang w:eastAsia="en-US"/>
        </w:rPr>
        <w:t>Es de la normativa en cita que, se establece el regular los actos relativos a la planeación, programación, presupuestación, ejecución y control de la adquisición, enajenación y arrendamiento de bienes, y la contratación de servicios de cualquier naturaleza, que realicen los entes públicos.</w:t>
      </w:r>
    </w:p>
    <w:p w14:paraId="5F13B765" w14:textId="77777777" w:rsidR="00CB5A79" w:rsidRPr="006C0176" w:rsidRDefault="00CB5A79" w:rsidP="00591D0F">
      <w:pPr>
        <w:suppressAutoHyphens/>
        <w:spacing w:before="100" w:beforeAutospacing="1" w:after="100" w:afterAutospacing="1" w:line="360" w:lineRule="auto"/>
        <w:jc w:val="both"/>
        <w:rPr>
          <w:rFonts w:ascii="Palatino Linotype" w:hAnsi="Palatino Linotype" w:cs="Arial"/>
        </w:rPr>
      </w:pPr>
      <w:r w:rsidRPr="006C0176">
        <w:rPr>
          <w:rFonts w:ascii="Palatino Linotype" w:hAnsi="Palatino Linotype" w:cs="Arial"/>
        </w:rPr>
        <w:t>Así pues, el artículo 92 de la de la Ley de Transparencia y Acceso a la Información Pública del Estado de México y Municipios, en su fracción XXIX, dispone lo siguiente:</w:t>
      </w:r>
    </w:p>
    <w:p w14:paraId="126F9641"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b/>
          <w:bCs/>
          <w:i/>
          <w:iCs/>
          <w:sz w:val="22"/>
          <w:szCs w:val="22"/>
          <w:lang w:eastAsia="es-MX"/>
        </w:rPr>
        <w:t>“Artículo 92. </w:t>
      </w:r>
      <w:r w:rsidRPr="006C0176">
        <w:rPr>
          <w:rFonts w:ascii="Palatino Linotype" w:hAnsi="Palatino Linotype" w:cs="Arial"/>
          <w:i/>
          <w:iCs/>
          <w:sz w:val="22"/>
          <w:szCs w:val="22"/>
          <w:lang w:eastAsia="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DE3F90E" w14:textId="77777777" w:rsidR="00CB5A79" w:rsidRPr="006C0176" w:rsidRDefault="00CB5A79" w:rsidP="00591D0F">
      <w:pPr>
        <w:shd w:val="clear" w:color="auto" w:fill="FFFFFF"/>
        <w:suppressAutoHyphens/>
        <w:spacing w:before="100" w:beforeAutospacing="1" w:after="100" w:afterAutospacing="1"/>
        <w:ind w:left="851" w:right="851"/>
        <w:jc w:val="both"/>
        <w:rPr>
          <w:rFonts w:ascii="Palatino Linotype" w:hAnsi="Palatino Linotype" w:cs="Arial"/>
          <w:i/>
          <w:iCs/>
          <w:sz w:val="22"/>
          <w:szCs w:val="22"/>
          <w:lang w:eastAsia="es-MX"/>
        </w:rPr>
      </w:pPr>
      <w:r w:rsidRPr="006C0176">
        <w:rPr>
          <w:rFonts w:ascii="Palatino Linotype" w:hAnsi="Palatino Linotype" w:cs="Arial"/>
          <w:b/>
          <w:bCs/>
          <w:i/>
          <w:iCs/>
          <w:sz w:val="22"/>
          <w:szCs w:val="22"/>
          <w:lang w:eastAsia="es-MX"/>
        </w:rPr>
        <w:t>XXIX. </w:t>
      </w:r>
      <w:r w:rsidRPr="006C0176">
        <w:rPr>
          <w:rFonts w:ascii="Palatino Linotype" w:hAnsi="Palatino Linotype" w:cs="Arial"/>
          <w:i/>
          <w:iCs/>
          <w:sz w:val="22"/>
          <w:szCs w:val="22"/>
          <w:lang w:eastAsia="es-MX"/>
        </w:rPr>
        <w:t xml:space="preserve">La información sobre los procesos y resultados sobre procedimientos de </w:t>
      </w:r>
      <w:r w:rsidRPr="00BA6F11">
        <w:rPr>
          <w:rFonts w:ascii="Palatino Linotype" w:hAnsi="Palatino Linotype" w:cs="Arial"/>
          <w:i/>
          <w:iCs/>
          <w:sz w:val="22"/>
          <w:szCs w:val="22"/>
          <w:lang w:eastAsia="es-MX"/>
        </w:rPr>
        <w:t>adjudicación directa, invitación restringida y licitación de cualquier naturaleza, </w:t>
      </w:r>
      <w:r w:rsidRPr="00BA6F11">
        <w:rPr>
          <w:rFonts w:ascii="Palatino Linotype" w:hAnsi="Palatino Linotype" w:cs="Arial"/>
          <w:b/>
          <w:bCs/>
          <w:i/>
          <w:iCs/>
          <w:sz w:val="22"/>
          <w:szCs w:val="22"/>
          <w:u w:val="single"/>
          <w:lang w:eastAsia="es-MX"/>
        </w:rPr>
        <w:t xml:space="preserve">incluyendo la versión pública del expediente respectivo </w:t>
      </w:r>
      <w:r w:rsidRPr="00BA6F11">
        <w:rPr>
          <w:rFonts w:ascii="Palatino Linotype" w:hAnsi="Palatino Linotype" w:cs="Arial"/>
          <w:b/>
          <w:bCs/>
          <w:i/>
          <w:iCs/>
          <w:sz w:val="22"/>
          <w:szCs w:val="22"/>
          <w:lang w:eastAsia="es-MX"/>
        </w:rPr>
        <w:t xml:space="preserve">y de los </w:t>
      </w:r>
      <w:r w:rsidRPr="00BA6F11">
        <w:rPr>
          <w:rFonts w:ascii="Palatino Linotype" w:hAnsi="Palatino Linotype" w:cs="Arial"/>
          <w:b/>
          <w:bCs/>
          <w:i/>
          <w:iCs/>
          <w:sz w:val="22"/>
          <w:szCs w:val="22"/>
          <w:u w:val="single"/>
          <w:lang w:eastAsia="es-MX"/>
        </w:rPr>
        <w:t>contratos</w:t>
      </w:r>
      <w:r w:rsidRPr="00BA6F11">
        <w:rPr>
          <w:rFonts w:ascii="Palatino Linotype" w:hAnsi="Palatino Linotype" w:cs="Arial"/>
          <w:b/>
          <w:i/>
          <w:iCs/>
          <w:sz w:val="22"/>
          <w:szCs w:val="22"/>
          <w:u w:val="single"/>
          <w:lang w:eastAsia="es-MX"/>
        </w:rPr>
        <w:t> celebrados</w:t>
      </w:r>
      <w:r w:rsidRPr="00BA6F11">
        <w:rPr>
          <w:rFonts w:ascii="Palatino Linotype" w:hAnsi="Palatino Linotype" w:cs="Arial"/>
          <w:i/>
          <w:iCs/>
          <w:sz w:val="22"/>
          <w:szCs w:val="22"/>
          <w:lang w:eastAsia="es-MX"/>
        </w:rPr>
        <w:t>, que deberán contener,</w:t>
      </w:r>
      <w:r w:rsidRPr="006C0176">
        <w:rPr>
          <w:rFonts w:ascii="Palatino Linotype" w:hAnsi="Palatino Linotype" w:cs="Arial"/>
          <w:i/>
          <w:iCs/>
          <w:sz w:val="22"/>
          <w:szCs w:val="22"/>
          <w:lang w:eastAsia="es-MX"/>
        </w:rPr>
        <w:t xml:space="preserve"> por los menos, lo siguiente:</w:t>
      </w:r>
    </w:p>
    <w:p w14:paraId="750D4463" w14:textId="77777777" w:rsidR="00CB5A79" w:rsidRPr="00B21A0A" w:rsidRDefault="00CB5A79" w:rsidP="00591D0F">
      <w:pPr>
        <w:numPr>
          <w:ilvl w:val="0"/>
          <w:numId w:val="40"/>
        </w:numPr>
        <w:shd w:val="clear" w:color="auto" w:fill="FFFFFF"/>
        <w:suppressAutoHyphens/>
        <w:spacing w:before="100" w:beforeAutospacing="1" w:after="100" w:afterAutospacing="1"/>
        <w:ind w:right="851"/>
        <w:jc w:val="both"/>
        <w:rPr>
          <w:rFonts w:ascii="Palatino Linotype" w:hAnsi="Palatino Linotype" w:cs="Arial"/>
          <w:b/>
          <w:i/>
          <w:iCs/>
          <w:sz w:val="22"/>
          <w:szCs w:val="22"/>
          <w:u w:val="single"/>
          <w:lang w:val="es-ES" w:eastAsia="es-MX"/>
        </w:rPr>
      </w:pPr>
      <w:r w:rsidRPr="00B21A0A">
        <w:rPr>
          <w:rFonts w:ascii="Palatino Linotype" w:hAnsi="Palatino Linotype" w:cs="Arial"/>
          <w:b/>
          <w:i/>
          <w:iCs/>
          <w:sz w:val="22"/>
          <w:szCs w:val="22"/>
          <w:u w:val="single"/>
          <w:lang w:val="es-ES" w:eastAsia="es-MX"/>
        </w:rPr>
        <w:t>De licitaciones públicas o procedimientos de invitación restringida:</w:t>
      </w:r>
    </w:p>
    <w:p w14:paraId="048CA5A1"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i/>
          <w:iCs/>
          <w:sz w:val="22"/>
          <w:szCs w:val="22"/>
          <w:lang w:eastAsia="es-MX"/>
        </w:rPr>
        <w:t>1) La convocatoria o invitación emitida, así como los fundamentos legales aplicados para llevarla a cabo;</w:t>
      </w:r>
    </w:p>
    <w:p w14:paraId="22BAD3BA"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i/>
          <w:iCs/>
          <w:sz w:val="22"/>
          <w:szCs w:val="22"/>
          <w:lang w:eastAsia="es-MX"/>
        </w:rPr>
        <w:t>2) Los nombres de los participantes o invitados;</w:t>
      </w:r>
    </w:p>
    <w:p w14:paraId="74594FEC"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bCs/>
          <w:sz w:val="22"/>
          <w:szCs w:val="22"/>
          <w:lang w:eastAsia="es-MX"/>
        </w:rPr>
      </w:pPr>
      <w:r w:rsidRPr="006C0176">
        <w:rPr>
          <w:rFonts w:ascii="Palatino Linotype" w:hAnsi="Palatino Linotype" w:cs="Arial"/>
          <w:i/>
          <w:iCs/>
          <w:sz w:val="22"/>
          <w:szCs w:val="22"/>
          <w:lang w:eastAsia="es-MX"/>
        </w:rPr>
        <w:t>3) El nombre</w:t>
      </w:r>
      <w:r w:rsidRPr="006C0176">
        <w:rPr>
          <w:rFonts w:ascii="Palatino Linotype" w:hAnsi="Palatino Linotype" w:cs="Arial"/>
          <w:bCs/>
          <w:i/>
          <w:iCs/>
          <w:sz w:val="22"/>
          <w:szCs w:val="22"/>
          <w:lang w:eastAsia="es-MX"/>
        </w:rPr>
        <w:t xml:space="preserve"> del ganador y las razones que lo justifican;</w:t>
      </w:r>
    </w:p>
    <w:p w14:paraId="215C0A45"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bCs/>
          <w:sz w:val="22"/>
          <w:szCs w:val="22"/>
          <w:lang w:eastAsia="es-MX"/>
        </w:rPr>
      </w:pPr>
      <w:r w:rsidRPr="006C0176">
        <w:rPr>
          <w:rFonts w:ascii="Palatino Linotype" w:hAnsi="Palatino Linotype" w:cs="Arial"/>
          <w:bCs/>
          <w:i/>
          <w:iCs/>
          <w:sz w:val="22"/>
          <w:szCs w:val="22"/>
          <w:lang w:eastAsia="es-MX"/>
        </w:rPr>
        <w:t>4) El área solicitante y la responsable de su ejecución;</w:t>
      </w:r>
    </w:p>
    <w:p w14:paraId="6302C484"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bCs/>
          <w:sz w:val="22"/>
          <w:szCs w:val="22"/>
          <w:lang w:eastAsia="es-MX"/>
        </w:rPr>
      </w:pPr>
      <w:r w:rsidRPr="006C0176">
        <w:rPr>
          <w:rFonts w:ascii="Palatino Linotype" w:hAnsi="Palatino Linotype" w:cs="Arial"/>
          <w:bCs/>
          <w:i/>
          <w:iCs/>
          <w:sz w:val="22"/>
          <w:szCs w:val="22"/>
          <w:lang w:eastAsia="es-MX"/>
        </w:rPr>
        <w:t>5) Las convocatorias e invitaciones emitidas;</w:t>
      </w:r>
    </w:p>
    <w:p w14:paraId="7C39F8C8"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bCs/>
          <w:sz w:val="22"/>
          <w:szCs w:val="22"/>
          <w:lang w:eastAsia="es-MX"/>
        </w:rPr>
      </w:pPr>
      <w:r w:rsidRPr="006C0176">
        <w:rPr>
          <w:rFonts w:ascii="Palatino Linotype" w:hAnsi="Palatino Linotype" w:cs="Arial"/>
          <w:bCs/>
          <w:i/>
          <w:iCs/>
          <w:sz w:val="22"/>
          <w:szCs w:val="22"/>
          <w:lang w:eastAsia="es-MX"/>
        </w:rPr>
        <w:t>6) Los dictámenes y fallo de adjudicación;</w:t>
      </w:r>
    </w:p>
    <w:p w14:paraId="570A0206"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bCs/>
          <w:sz w:val="22"/>
          <w:szCs w:val="22"/>
          <w:lang w:eastAsia="es-MX"/>
        </w:rPr>
      </w:pPr>
      <w:r w:rsidRPr="006C0176">
        <w:rPr>
          <w:rFonts w:ascii="Palatino Linotype" w:hAnsi="Palatino Linotype" w:cs="Arial"/>
          <w:bCs/>
          <w:i/>
          <w:iCs/>
          <w:sz w:val="22"/>
          <w:szCs w:val="22"/>
          <w:lang w:eastAsia="es-MX"/>
        </w:rPr>
        <w:t>7) El contrato y, en su caso, sus anexos;</w:t>
      </w:r>
    </w:p>
    <w:p w14:paraId="35FC7347"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b/>
          <w:bCs/>
          <w:i/>
          <w:iCs/>
          <w:sz w:val="22"/>
          <w:szCs w:val="22"/>
          <w:lang w:eastAsia="es-MX"/>
        </w:rPr>
        <w:t>8) </w:t>
      </w:r>
      <w:r w:rsidRPr="006C0176">
        <w:rPr>
          <w:rFonts w:ascii="Palatino Linotype" w:hAnsi="Palatino Linotype" w:cs="Arial"/>
          <w:i/>
          <w:iCs/>
          <w:sz w:val="22"/>
          <w:szCs w:val="22"/>
          <w:lang w:eastAsia="es-MX"/>
        </w:rPr>
        <w:t>Los mecanismos de vigilancia y supervisión, incluyendo en su caso, los estudios de impacto urbano y ambiental, según corresponda;</w:t>
      </w:r>
    </w:p>
    <w:p w14:paraId="30DF2F21"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b/>
          <w:bCs/>
          <w:i/>
          <w:iCs/>
          <w:sz w:val="22"/>
          <w:szCs w:val="22"/>
          <w:lang w:eastAsia="es-MX"/>
        </w:rPr>
        <w:t>9) </w:t>
      </w:r>
      <w:r w:rsidRPr="006C0176">
        <w:rPr>
          <w:rFonts w:ascii="Palatino Linotype" w:hAnsi="Palatino Linotype" w:cs="Arial"/>
          <w:i/>
          <w:iCs/>
          <w:sz w:val="22"/>
          <w:szCs w:val="22"/>
          <w:lang w:eastAsia="es-MX"/>
        </w:rPr>
        <w:t>La partida presupuestal, de conformidad con el clasificador por objeto del gasto, en el caso de ser aplicable;</w:t>
      </w:r>
    </w:p>
    <w:p w14:paraId="7D1FD1A3"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b/>
          <w:bCs/>
          <w:i/>
          <w:iCs/>
          <w:sz w:val="22"/>
          <w:szCs w:val="22"/>
          <w:lang w:eastAsia="es-MX"/>
        </w:rPr>
        <w:t>10) </w:t>
      </w:r>
      <w:r w:rsidRPr="006C0176">
        <w:rPr>
          <w:rFonts w:ascii="Palatino Linotype" w:hAnsi="Palatino Linotype" w:cs="Arial"/>
          <w:i/>
          <w:iCs/>
          <w:sz w:val="22"/>
          <w:szCs w:val="22"/>
          <w:lang w:eastAsia="es-MX"/>
        </w:rPr>
        <w:t>Origen de los recursos especificando si son federales, estatales o municipales, así como el tipo de fondo de participación o aportación respectiva;</w:t>
      </w:r>
    </w:p>
    <w:p w14:paraId="48BA5373"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b/>
          <w:bCs/>
          <w:i/>
          <w:iCs/>
          <w:sz w:val="22"/>
          <w:szCs w:val="22"/>
          <w:lang w:eastAsia="es-MX"/>
        </w:rPr>
        <w:t>11) </w:t>
      </w:r>
      <w:r w:rsidRPr="006C0176">
        <w:rPr>
          <w:rFonts w:ascii="Palatino Linotype" w:hAnsi="Palatino Linotype" w:cs="Arial"/>
          <w:i/>
          <w:iCs/>
          <w:sz w:val="22"/>
          <w:szCs w:val="22"/>
          <w:lang w:eastAsia="es-MX"/>
        </w:rPr>
        <w:t>Los convenios modificatorios que, en su caso, sean firmados, precisando el objeto y la fecha de celebración;</w:t>
      </w:r>
    </w:p>
    <w:p w14:paraId="2F2038B9"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bCs/>
          <w:sz w:val="22"/>
          <w:szCs w:val="22"/>
          <w:lang w:eastAsia="es-MX"/>
        </w:rPr>
      </w:pPr>
      <w:r w:rsidRPr="006C0176">
        <w:rPr>
          <w:rFonts w:ascii="Palatino Linotype" w:hAnsi="Palatino Linotype" w:cs="Arial"/>
          <w:b/>
          <w:bCs/>
          <w:i/>
          <w:iCs/>
          <w:sz w:val="22"/>
          <w:szCs w:val="22"/>
          <w:lang w:eastAsia="es-MX"/>
        </w:rPr>
        <w:t>12) </w:t>
      </w:r>
      <w:r w:rsidRPr="006C0176">
        <w:rPr>
          <w:rFonts w:ascii="Palatino Linotype" w:hAnsi="Palatino Linotype" w:cs="Arial"/>
          <w:bCs/>
          <w:i/>
          <w:iCs/>
          <w:sz w:val="22"/>
          <w:szCs w:val="22"/>
          <w:lang w:eastAsia="es-MX"/>
        </w:rPr>
        <w:t>Los informes de avance físico y financiero sobre las obras o servicios contratados;</w:t>
      </w:r>
    </w:p>
    <w:p w14:paraId="022CD1CD"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b/>
          <w:bCs/>
          <w:i/>
          <w:iCs/>
          <w:sz w:val="22"/>
          <w:szCs w:val="22"/>
          <w:lang w:eastAsia="es-MX"/>
        </w:rPr>
        <w:t>13) </w:t>
      </w:r>
      <w:r w:rsidRPr="006C0176">
        <w:rPr>
          <w:rFonts w:ascii="Palatino Linotype" w:hAnsi="Palatino Linotype" w:cs="Arial"/>
          <w:i/>
          <w:iCs/>
          <w:sz w:val="22"/>
          <w:szCs w:val="22"/>
          <w:lang w:eastAsia="es-MX"/>
        </w:rPr>
        <w:t>El convenio de terminación; y</w:t>
      </w:r>
    </w:p>
    <w:p w14:paraId="0C79489E" w14:textId="77777777" w:rsidR="00CB5A79" w:rsidRPr="006C0176" w:rsidRDefault="00CB5A79" w:rsidP="00591D0F">
      <w:pPr>
        <w:shd w:val="clear" w:color="auto" w:fill="FFFFFF"/>
        <w:suppressAutoHyphens/>
        <w:spacing w:before="100" w:beforeAutospacing="1" w:after="100" w:afterAutospacing="1"/>
        <w:ind w:left="851" w:right="851"/>
        <w:jc w:val="both"/>
        <w:rPr>
          <w:rFonts w:ascii="Palatino Linotype" w:hAnsi="Palatino Linotype" w:cs="Arial"/>
          <w:i/>
          <w:iCs/>
          <w:sz w:val="22"/>
          <w:szCs w:val="22"/>
          <w:lang w:eastAsia="es-MX"/>
        </w:rPr>
      </w:pPr>
      <w:r w:rsidRPr="006C0176">
        <w:rPr>
          <w:rFonts w:ascii="Palatino Linotype" w:hAnsi="Palatino Linotype" w:cs="Arial"/>
          <w:b/>
          <w:bCs/>
          <w:i/>
          <w:iCs/>
          <w:sz w:val="22"/>
          <w:szCs w:val="22"/>
          <w:lang w:eastAsia="es-MX"/>
        </w:rPr>
        <w:t>14) </w:t>
      </w:r>
      <w:r w:rsidRPr="006C0176">
        <w:rPr>
          <w:rFonts w:ascii="Palatino Linotype" w:hAnsi="Palatino Linotype" w:cs="Arial"/>
          <w:i/>
          <w:iCs/>
          <w:sz w:val="22"/>
          <w:szCs w:val="22"/>
          <w:lang w:eastAsia="es-MX"/>
        </w:rPr>
        <w:t>El finiquito.</w:t>
      </w:r>
    </w:p>
    <w:p w14:paraId="6C1DB57E" w14:textId="77777777" w:rsidR="00CB5A79" w:rsidRPr="006C0176" w:rsidRDefault="00CB5A79" w:rsidP="00591D0F">
      <w:pPr>
        <w:shd w:val="clear" w:color="auto" w:fill="FFFFFF"/>
        <w:suppressAutoHyphens/>
        <w:spacing w:before="100" w:beforeAutospacing="1" w:after="100" w:afterAutospacing="1"/>
        <w:ind w:left="851" w:right="851"/>
        <w:jc w:val="both"/>
        <w:rPr>
          <w:rFonts w:ascii="Palatino Linotype" w:hAnsi="Palatino Linotype" w:cs="Arial"/>
          <w:i/>
          <w:iCs/>
          <w:sz w:val="22"/>
          <w:szCs w:val="22"/>
          <w:lang w:eastAsia="es-MX"/>
        </w:rPr>
      </w:pPr>
      <w:r w:rsidRPr="006C0176">
        <w:rPr>
          <w:rFonts w:ascii="Palatino Linotype" w:hAnsi="Palatino Linotype" w:cs="Arial"/>
          <w:b/>
          <w:bCs/>
          <w:i/>
          <w:iCs/>
          <w:sz w:val="22"/>
          <w:szCs w:val="22"/>
          <w:lang w:eastAsia="es-MX"/>
        </w:rPr>
        <w:t>b) </w:t>
      </w:r>
      <w:r w:rsidRPr="006C0176">
        <w:rPr>
          <w:rFonts w:ascii="Palatino Linotype" w:hAnsi="Palatino Linotype" w:cs="Arial"/>
          <w:b/>
          <w:i/>
          <w:iCs/>
          <w:sz w:val="22"/>
          <w:szCs w:val="22"/>
          <w:u w:val="single"/>
          <w:lang w:eastAsia="es-MX"/>
        </w:rPr>
        <w:t>De las adjudicaciones directas:</w:t>
      </w:r>
    </w:p>
    <w:p w14:paraId="0DC0D6DE"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b/>
          <w:bCs/>
          <w:i/>
          <w:iCs/>
          <w:sz w:val="22"/>
          <w:szCs w:val="22"/>
          <w:lang w:eastAsia="es-MX"/>
        </w:rPr>
        <w:t>1) </w:t>
      </w:r>
      <w:r w:rsidRPr="006C0176">
        <w:rPr>
          <w:rFonts w:ascii="Palatino Linotype" w:hAnsi="Palatino Linotype" w:cs="Arial"/>
          <w:i/>
          <w:iCs/>
          <w:sz w:val="22"/>
          <w:szCs w:val="22"/>
          <w:lang w:eastAsia="es-MX"/>
        </w:rPr>
        <w:t>La propuesta enviada por el participante;</w:t>
      </w:r>
    </w:p>
    <w:p w14:paraId="39FFA9C3"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b/>
          <w:bCs/>
          <w:i/>
          <w:iCs/>
          <w:sz w:val="22"/>
          <w:szCs w:val="22"/>
          <w:lang w:eastAsia="es-MX"/>
        </w:rPr>
        <w:t>2) </w:t>
      </w:r>
      <w:r w:rsidRPr="006C0176">
        <w:rPr>
          <w:rFonts w:ascii="Palatino Linotype" w:hAnsi="Palatino Linotype" w:cs="Arial"/>
          <w:i/>
          <w:iCs/>
          <w:sz w:val="22"/>
          <w:szCs w:val="22"/>
          <w:lang w:eastAsia="es-MX"/>
        </w:rPr>
        <w:t>Los motivos y fundamentos legales aplicados para llevarla a cabo;</w:t>
      </w:r>
    </w:p>
    <w:p w14:paraId="202070A3"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b/>
          <w:bCs/>
          <w:i/>
          <w:iCs/>
          <w:sz w:val="22"/>
          <w:szCs w:val="22"/>
          <w:lang w:eastAsia="es-MX"/>
        </w:rPr>
        <w:t>3) </w:t>
      </w:r>
      <w:r w:rsidRPr="006C0176">
        <w:rPr>
          <w:rFonts w:ascii="Palatino Linotype" w:hAnsi="Palatino Linotype" w:cs="Arial"/>
          <w:i/>
          <w:iCs/>
          <w:sz w:val="22"/>
          <w:szCs w:val="22"/>
          <w:lang w:eastAsia="es-MX"/>
        </w:rPr>
        <w:t>La autorización del ejercicio de la opción;</w:t>
      </w:r>
    </w:p>
    <w:p w14:paraId="178DEC0B"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bCs/>
          <w:sz w:val="22"/>
          <w:szCs w:val="22"/>
          <w:lang w:eastAsia="es-MX"/>
        </w:rPr>
      </w:pPr>
      <w:r w:rsidRPr="006C0176">
        <w:rPr>
          <w:rFonts w:ascii="Palatino Linotype" w:hAnsi="Palatino Linotype" w:cs="Arial"/>
          <w:b/>
          <w:bCs/>
          <w:i/>
          <w:iCs/>
          <w:sz w:val="22"/>
          <w:szCs w:val="22"/>
          <w:lang w:eastAsia="es-MX"/>
        </w:rPr>
        <w:t>4) </w:t>
      </w:r>
      <w:r w:rsidRPr="006C0176">
        <w:rPr>
          <w:rFonts w:ascii="Palatino Linotype" w:hAnsi="Palatino Linotype" w:cs="Arial"/>
          <w:i/>
          <w:iCs/>
          <w:sz w:val="22"/>
          <w:szCs w:val="22"/>
          <w:lang w:eastAsia="es-MX"/>
        </w:rPr>
        <w:t xml:space="preserve">En su caso, las cotizaciones consideradas, especificando </w:t>
      </w:r>
      <w:r w:rsidRPr="006C0176">
        <w:rPr>
          <w:rFonts w:ascii="Palatino Linotype" w:hAnsi="Palatino Linotype" w:cs="Arial"/>
          <w:bCs/>
          <w:i/>
          <w:iCs/>
          <w:sz w:val="22"/>
          <w:szCs w:val="22"/>
          <w:lang w:eastAsia="es-MX"/>
        </w:rPr>
        <w:t>los nombres de los proveedores y sus montos;</w:t>
      </w:r>
    </w:p>
    <w:p w14:paraId="3AA518C5"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b/>
          <w:bCs/>
          <w:i/>
          <w:iCs/>
          <w:sz w:val="22"/>
          <w:szCs w:val="22"/>
          <w:lang w:eastAsia="es-MX"/>
        </w:rPr>
        <w:t>5) </w:t>
      </w:r>
      <w:r w:rsidRPr="006C0176">
        <w:rPr>
          <w:rFonts w:ascii="Palatino Linotype" w:hAnsi="Palatino Linotype" w:cs="Arial"/>
          <w:bCs/>
          <w:i/>
          <w:iCs/>
          <w:sz w:val="22"/>
          <w:szCs w:val="22"/>
          <w:lang w:eastAsia="es-MX"/>
        </w:rPr>
        <w:t>El nombre de la persona física o jurídica colectiva adjudicada;</w:t>
      </w:r>
    </w:p>
    <w:p w14:paraId="6AB40EF0"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b/>
          <w:bCs/>
          <w:i/>
          <w:iCs/>
          <w:sz w:val="22"/>
          <w:szCs w:val="22"/>
          <w:lang w:eastAsia="es-MX"/>
        </w:rPr>
        <w:t>6) </w:t>
      </w:r>
      <w:r w:rsidRPr="006C0176">
        <w:rPr>
          <w:rFonts w:ascii="Palatino Linotype" w:hAnsi="Palatino Linotype" w:cs="Arial"/>
          <w:i/>
          <w:iCs/>
          <w:sz w:val="22"/>
          <w:szCs w:val="22"/>
          <w:lang w:eastAsia="es-MX"/>
        </w:rPr>
        <w:t>La unidad administrativa solicitante y la responsable de su ejecución;</w:t>
      </w:r>
    </w:p>
    <w:p w14:paraId="18ADF112"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bCs/>
          <w:sz w:val="22"/>
          <w:szCs w:val="22"/>
          <w:lang w:eastAsia="es-MX"/>
        </w:rPr>
      </w:pPr>
      <w:r w:rsidRPr="006C0176">
        <w:rPr>
          <w:rFonts w:ascii="Palatino Linotype" w:hAnsi="Palatino Linotype" w:cs="Arial"/>
          <w:b/>
          <w:bCs/>
          <w:i/>
          <w:iCs/>
          <w:sz w:val="22"/>
          <w:szCs w:val="22"/>
          <w:lang w:eastAsia="es-MX"/>
        </w:rPr>
        <w:t>7)</w:t>
      </w:r>
      <w:r w:rsidRPr="006C0176">
        <w:rPr>
          <w:rFonts w:ascii="Palatino Linotype" w:hAnsi="Palatino Linotype" w:cs="Arial"/>
          <w:bCs/>
          <w:i/>
          <w:iCs/>
          <w:sz w:val="22"/>
          <w:szCs w:val="22"/>
          <w:lang w:eastAsia="es-MX"/>
        </w:rPr>
        <w:t> El número, fecha, el monto del contrato y el plazo de entrega o de ejecución de los servicios u obra;</w:t>
      </w:r>
    </w:p>
    <w:p w14:paraId="6405F7E2"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b/>
          <w:bCs/>
          <w:i/>
          <w:iCs/>
          <w:sz w:val="22"/>
          <w:szCs w:val="22"/>
          <w:lang w:eastAsia="es-MX"/>
        </w:rPr>
        <w:t>8) </w:t>
      </w:r>
      <w:r w:rsidRPr="006C0176">
        <w:rPr>
          <w:rFonts w:ascii="Palatino Linotype" w:hAnsi="Palatino Linotype" w:cs="Arial"/>
          <w:i/>
          <w:iCs/>
          <w:sz w:val="22"/>
          <w:szCs w:val="22"/>
          <w:lang w:eastAsia="es-MX"/>
        </w:rPr>
        <w:t>Los mecanismos de vigilancia y supervisión, incluyendo, en su caso, los estudios de impacto urbano y ambiental, según corresponda;</w:t>
      </w:r>
    </w:p>
    <w:p w14:paraId="540389B8"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b/>
          <w:bCs/>
          <w:i/>
          <w:iCs/>
          <w:sz w:val="22"/>
          <w:szCs w:val="22"/>
          <w:lang w:eastAsia="es-MX"/>
        </w:rPr>
        <w:t>9) </w:t>
      </w:r>
      <w:r w:rsidRPr="006C0176">
        <w:rPr>
          <w:rFonts w:ascii="Palatino Linotype" w:hAnsi="Palatino Linotype" w:cs="Arial"/>
          <w:i/>
          <w:iCs/>
          <w:sz w:val="22"/>
          <w:szCs w:val="22"/>
          <w:lang w:eastAsia="es-MX"/>
        </w:rPr>
        <w:t>Los informes de avance sobre las obras o servicios contratados;</w:t>
      </w:r>
    </w:p>
    <w:p w14:paraId="26C731E9" w14:textId="77777777" w:rsidR="00CB5A79" w:rsidRPr="006C0176" w:rsidRDefault="00CB5A79" w:rsidP="00591D0F">
      <w:pPr>
        <w:shd w:val="clear" w:color="auto" w:fill="FFFFFF"/>
        <w:suppressAutoHyphens/>
        <w:spacing w:before="100" w:beforeAutospacing="1" w:after="100" w:afterAutospacing="1"/>
        <w:ind w:left="851" w:right="851"/>
        <w:jc w:val="both"/>
        <w:rPr>
          <w:rFonts w:ascii="Arial" w:hAnsi="Arial" w:cs="Arial"/>
          <w:sz w:val="22"/>
          <w:szCs w:val="22"/>
          <w:lang w:eastAsia="es-MX"/>
        </w:rPr>
      </w:pPr>
      <w:r w:rsidRPr="006C0176">
        <w:rPr>
          <w:rFonts w:ascii="Palatino Linotype" w:hAnsi="Palatino Linotype" w:cs="Arial"/>
          <w:b/>
          <w:bCs/>
          <w:i/>
          <w:iCs/>
          <w:sz w:val="22"/>
          <w:szCs w:val="22"/>
          <w:lang w:eastAsia="es-MX"/>
        </w:rPr>
        <w:t>10) </w:t>
      </w:r>
      <w:r w:rsidRPr="006C0176">
        <w:rPr>
          <w:rFonts w:ascii="Palatino Linotype" w:hAnsi="Palatino Linotype" w:cs="Arial"/>
          <w:bCs/>
          <w:i/>
          <w:iCs/>
          <w:sz w:val="22"/>
          <w:szCs w:val="22"/>
          <w:lang w:eastAsia="es-MX"/>
        </w:rPr>
        <w:t>El convenio de terminación; y</w:t>
      </w:r>
    </w:p>
    <w:p w14:paraId="082A2BC5" w14:textId="77777777" w:rsidR="005049B5" w:rsidRPr="006C0176" w:rsidRDefault="00CB5A79" w:rsidP="00591D0F">
      <w:pPr>
        <w:shd w:val="clear" w:color="auto" w:fill="FFFFFF"/>
        <w:suppressAutoHyphens/>
        <w:spacing w:before="100" w:beforeAutospacing="1" w:after="100" w:afterAutospacing="1"/>
        <w:ind w:left="851" w:right="851"/>
        <w:jc w:val="both"/>
        <w:rPr>
          <w:rFonts w:ascii="Palatino Linotype" w:hAnsi="Palatino Linotype" w:cs="Arial"/>
          <w:b/>
          <w:i/>
          <w:iCs/>
          <w:sz w:val="22"/>
          <w:szCs w:val="22"/>
          <w:lang w:eastAsia="es-MX"/>
        </w:rPr>
      </w:pPr>
      <w:r w:rsidRPr="006C0176">
        <w:rPr>
          <w:rFonts w:ascii="Palatino Linotype" w:hAnsi="Palatino Linotype" w:cs="Arial"/>
          <w:b/>
          <w:bCs/>
          <w:i/>
          <w:iCs/>
          <w:sz w:val="22"/>
          <w:szCs w:val="22"/>
          <w:lang w:eastAsia="es-MX"/>
        </w:rPr>
        <w:t>11) </w:t>
      </w:r>
      <w:r w:rsidRPr="006C0176">
        <w:rPr>
          <w:rFonts w:ascii="Palatino Linotype" w:hAnsi="Palatino Linotype" w:cs="Arial"/>
          <w:i/>
          <w:iCs/>
          <w:sz w:val="22"/>
          <w:szCs w:val="22"/>
          <w:lang w:eastAsia="es-MX"/>
        </w:rPr>
        <w:t>El finiquito.</w:t>
      </w:r>
      <w:r w:rsidRPr="006C0176">
        <w:rPr>
          <w:rFonts w:ascii="Palatino Linotype" w:hAnsi="Palatino Linotype" w:cs="Arial"/>
          <w:b/>
          <w:i/>
          <w:iCs/>
          <w:sz w:val="22"/>
          <w:szCs w:val="22"/>
          <w:lang w:eastAsia="es-MX"/>
        </w:rPr>
        <w:t xml:space="preserve">” </w:t>
      </w:r>
    </w:p>
    <w:p w14:paraId="42D277DC" w14:textId="761469C2" w:rsidR="00CB5A79" w:rsidRPr="006C0176" w:rsidRDefault="00CB5A79" w:rsidP="00591D0F">
      <w:pPr>
        <w:shd w:val="clear" w:color="auto" w:fill="FFFFFF"/>
        <w:suppressAutoHyphens/>
        <w:spacing w:before="100" w:beforeAutospacing="1" w:after="100" w:afterAutospacing="1"/>
        <w:ind w:left="851" w:right="851"/>
        <w:jc w:val="both"/>
        <w:rPr>
          <w:rFonts w:ascii="Palatino Linotype" w:hAnsi="Palatino Linotype" w:cs="Arial"/>
          <w:b/>
          <w:i/>
          <w:iCs/>
          <w:sz w:val="22"/>
          <w:szCs w:val="22"/>
          <w:lang w:eastAsia="es-MX"/>
        </w:rPr>
      </w:pPr>
      <w:r w:rsidRPr="006C0176">
        <w:rPr>
          <w:rFonts w:ascii="Palatino Linotype" w:hAnsi="Palatino Linotype" w:cs="Arial"/>
          <w:i/>
          <w:iCs/>
          <w:sz w:val="22"/>
          <w:szCs w:val="22"/>
          <w:lang w:eastAsia="es-MX"/>
        </w:rPr>
        <w:t>(Énfasis añadido)</w:t>
      </w:r>
    </w:p>
    <w:p w14:paraId="2658FD5F" w14:textId="253A5D30" w:rsidR="00260FF7" w:rsidRPr="00BA6F11" w:rsidRDefault="00260FF7" w:rsidP="00591D0F">
      <w:pPr>
        <w:suppressAutoHyphens/>
        <w:spacing w:before="100" w:beforeAutospacing="1" w:after="100" w:afterAutospacing="1" w:line="360" w:lineRule="auto"/>
        <w:jc w:val="both"/>
        <w:rPr>
          <w:rFonts w:ascii="Palatino Linotype" w:hAnsi="Palatino Linotype" w:cs="Arial"/>
        </w:rPr>
      </w:pPr>
      <w:r w:rsidRPr="00BA6F11">
        <w:rPr>
          <w:rFonts w:ascii="Palatino Linotype" w:hAnsi="Palatino Linotype" w:cs="Arial"/>
        </w:rPr>
        <w:t xml:space="preserve">Aunado, que dentro del expediente técnico </w:t>
      </w:r>
      <w:r w:rsidR="00A01C5B" w:rsidRPr="00BA6F11">
        <w:rPr>
          <w:rFonts w:ascii="Palatino Linotype" w:hAnsi="Palatino Linotype" w:cs="Arial"/>
        </w:rPr>
        <w:t>prevé</w:t>
      </w:r>
      <w:r w:rsidRPr="00BA6F11">
        <w:rPr>
          <w:rFonts w:ascii="Palatino Linotype" w:hAnsi="Palatino Linotype" w:cs="Arial"/>
        </w:rPr>
        <w:t xml:space="preserve"> otras documentales que constan en lo siguiente como lo establece </w:t>
      </w:r>
      <w:r w:rsidR="00A01C5B" w:rsidRPr="00BA6F11">
        <w:rPr>
          <w:rFonts w:ascii="Palatino Linotype" w:hAnsi="Palatino Linotype" w:cs="Arial"/>
        </w:rPr>
        <w:t xml:space="preserve">el Acuerdo del secretario de infraestructura por el que se establece el índice de expediente único de obra pública e instructivos de llenado en las modalidades de adjudicación directa, invitación restringida y licitación pública, consultable en la dirección electrónica siguiente </w:t>
      </w:r>
      <w:hyperlink r:id="rId10" w:history="1">
        <w:r w:rsidR="00A01C5B" w:rsidRPr="00BA6F11">
          <w:rPr>
            <w:rStyle w:val="Hipervnculo"/>
            <w:rFonts w:ascii="Palatino Linotype" w:hAnsi="Palatino Linotype" w:cs="Arial"/>
          </w:rPr>
          <w:t>https://share.sisop.edomex.gob.mx/archivos/8e883ec83b015d8a8387384d438ea53c</w:t>
        </w:r>
      </w:hyperlink>
      <w:r w:rsidR="00A01C5B" w:rsidRPr="00BA6F11">
        <w:rPr>
          <w:rFonts w:ascii="Palatino Linotype" w:hAnsi="Palatino Linotype" w:cs="Arial"/>
        </w:rPr>
        <w:t>, que indica lo siguiente:</w:t>
      </w:r>
    </w:p>
    <w:p w14:paraId="7FDBC453" w14:textId="3D7A666F" w:rsidR="00A01C5B" w:rsidRPr="00BA6F11" w:rsidRDefault="00A01C5B" w:rsidP="00A01C5B">
      <w:pPr>
        <w:suppressAutoHyphens/>
        <w:spacing w:before="100" w:beforeAutospacing="1" w:after="100" w:afterAutospacing="1" w:line="360" w:lineRule="auto"/>
        <w:ind w:left="1134" w:right="1134"/>
        <w:jc w:val="both"/>
        <w:rPr>
          <w:rFonts w:ascii="Palatino Linotype" w:hAnsi="Palatino Linotype" w:cs="Arial"/>
        </w:rPr>
      </w:pPr>
      <w:r w:rsidRPr="00BA6F11">
        <w:rPr>
          <w:rFonts w:ascii="Palatino Linotype" w:hAnsi="Palatino Linotype" w:cs="Arial"/>
        </w:rPr>
        <w:t xml:space="preserve">Documentación que debe de contener el Expediente Único de Obra en la modalidad de Adjudicación Directa, </w:t>
      </w:r>
      <w:r w:rsidRPr="00BA6F11">
        <w:rPr>
          <w:rFonts w:ascii="Palatino Linotype" w:hAnsi="Palatino Linotype"/>
        </w:rPr>
        <w:t>e Invitación Restringida y licitación pública:</w:t>
      </w:r>
    </w:p>
    <w:p w14:paraId="4B15C524" w14:textId="121A991D" w:rsidR="00A01C5B" w:rsidRPr="00BA6F11" w:rsidRDefault="00A01C5B" w:rsidP="00A01C5B">
      <w:pPr>
        <w:suppressAutoHyphens/>
        <w:spacing w:before="100" w:beforeAutospacing="1" w:after="100" w:afterAutospacing="1" w:line="360" w:lineRule="auto"/>
        <w:ind w:left="1134" w:right="1134"/>
        <w:jc w:val="both"/>
        <w:rPr>
          <w:rFonts w:ascii="Palatino Linotype" w:hAnsi="Palatino Linotype" w:cs="Arial"/>
        </w:rPr>
      </w:pPr>
      <w:r w:rsidRPr="00BA6F11">
        <w:rPr>
          <w:rFonts w:ascii="Palatino Linotype" w:hAnsi="Palatino Linotype" w:cs="Arial"/>
        </w:rPr>
        <w:t>Expediente Técnico: Aplica para las obras o servicios que se ejecutan con cargo al Programa de Acciones para el Desarrollo (PAD) (normatividad estatal), es el documento que se integra de acuerdo a lo establecido en el Manual de Operación del PAD del ejercicio fiscal correspondiente, emitido por la Secretaría de Finanzas y contiene la información financiera, metas, beneficiarios, descripción de la obra o servicio, croquis de localización, avances físicos y financieros programados. En este punto se incluirán para la normatividad federal, los dictámenes, permisos, licencias, autorizaciones, derechos de vía y expropiación de inmuebles.</w:t>
      </w:r>
    </w:p>
    <w:p w14:paraId="1F4CFFF3" w14:textId="7786F242" w:rsidR="00CB5A79" w:rsidRPr="00BA6F11" w:rsidRDefault="00CB5A79" w:rsidP="00591D0F">
      <w:pPr>
        <w:suppressAutoHyphens/>
        <w:spacing w:before="100" w:beforeAutospacing="1" w:after="100" w:afterAutospacing="1" w:line="360" w:lineRule="auto"/>
        <w:jc w:val="both"/>
        <w:rPr>
          <w:rFonts w:ascii="Palatino Linotype" w:hAnsi="Palatino Linotype" w:cs="Arial"/>
        </w:rPr>
      </w:pPr>
      <w:r w:rsidRPr="00BA6F11">
        <w:rPr>
          <w:rFonts w:ascii="Palatino Linotype" w:hAnsi="Palatino Linotype" w:cs="Arial"/>
        </w:rPr>
        <w:t xml:space="preserve">De lo anterior, se desprende que es obligación de los Sujetos Obligados poner a disposición del público de manera constante y actualizada, de forma sencilla, precisa y entendible, en los respectivos medios electrónicos, la información referente a los procesos y resultados </w:t>
      </w:r>
      <w:r w:rsidRPr="00BA6F11">
        <w:rPr>
          <w:rFonts w:ascii="Palatino Linotype" w:hAnsi="Palatino Linotype" w:cs="Arial"/>
          <w:b/>
        </w:rPr>
        <w:t>sobre procedimientos de adjudicación directa</w:t>
      </w:r>
      <w:r w:rsidRPr="00BA6F11">
        <w:rPr>
          <w:rFonts w:ascii="Palatino Linotype" w:hAnsi="Palatino Linotype" w:cs="Arial"/>
        </w:rPr>
        <w:t xml:space="preserve">, </w:t>
      </w:r>
      <w:r w:rsidRPr="00BA6F11">
        <w:rPr>
          <w:rFonts w:ascii="Palatino Linotype" w:hAnsi="Palatino Linotype" w:cs="Arial"/>
          <w:b/>
        </w:rPr>
        <w:t>invitación restringida y licitación de cualquier naturaleza</w:t>
      </w:r>
      <w:r w:rsidRPr="00BA6F11">
        <w:rPr>
          <w:rFonts w:ascii="Palatino Linotype" w:hAnsi="Palatino Linotype" w:cs="Arial"/>
        </w:rPr>
        <w:t>, en el que se debe contener dentro de la versión pública del expediente respectivo y de los contratos celebrados</w:t>
      </w:r>
      <w:r w:rsidR="00E57269" w:rsidRPr="00BA6F11">
        <w:rPr>
          <w:rFonts w:ascii="Palatino Linotype" w:hAnsi="Palatino Linotype" w:cs="Arial"/>
        </w:rPr>
        <w:t xml:space="preserve"> y demás información requerida por el particular.</w:t>
      </w:r>
    </w:p>
    <w:p w14:paraId="2214BD28" w14:textId="34A96C0F" w:rsidR="0041102D" w:rsidRPr="006C0176" w:rsidRDefault="0041102D" w:rsidP="00591D0F">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themeColor="text1"/>
          <w:lang w:eastAsia="es-MX"/>
        </w:rPr>
      </w:pPr>
      <w:r w:rsidRPr="00BA6F11">
        <w:rPr>
          <w:rFonts w:ascii="Palatino Linotype" w:hAnsi="Palatino Linotype" w:cs="Arial"/>
          <w:color w:val="000000" w:themeColor="text1"/>
          <w:lang w:eastAsia="es-MX"/>
        </w:rPr>
        <w:t>Es así que, respecto al requerimiento realizado</w:t>
      </w:r>
      <w:r w:rsidRPr="006C0176">
        <w:rPr>
          <w:rFonts w:ascii="Palatino Linotype" w:hAnsi="Palatino Linotype" w:cs="Arial"/>
          <w:color w:val="000000" w:themeColor="text1"/>
          <w:lang w:eastAsia="es-MX"/>
        </w:rPr>
        <w:t xml:space="preserve"> por el particular relacionado con el </w:t>
      </w:r>
      <w:r w:rsidRPr="006C0176">
        <w:rPr>
          <w:rFonts w:ascii="Palatino Linotype" w:hAnsi="Palatino Linotype" w:cs="Arial"/>
          <w:b/>
          <w:color w:val="000000" w:themeColor="text1"/>
          <w:lang w:eastAsia="es-MX"/>
        </w:rPr>
        <w:t xml:space="preserve">numeral </w:t>
      </w:r>
      <w:r w:rsidR="00F91F38" w:rsidRPr="006C0176">
        <w:rPr>
          <w:rFonts w:ascii="Palatino Linotype" w:hAnsi="Palatino Linotype" w:cs="Arial"/>
          <w:b/>
          <w:color w:val="000000" w:themeColor="text1"/>
          <w:lang w:eastAsia="es-MX"/>
        </w:rPr>
        <w:t>5</w:t>
      </w:r>
      <w:r w:rsidRPr="006C0176">
        <w:rPr>
          <w:rFonts w:ascii="Palatino Linotype" w:hAnsi="Palatino Linotype" w:cs="Arial"/>
          <w:color w:val="000000" w:themeColor="text1"/>
          <w:lang w:eastAsia="es-MX"/>
        </w:rPr>
        <w:t xml:space="preserve">, relacionado con la experiencia; al respecto, </w:t>
      </w:r>
      <w:r w:rsidRPr="006C0176">
        <w:rPr>
          <w:rFonts w:ascii="Palatino Linotype" w:hAnsi="Palatino Linotype" w:cs="Arial"/>
          <w:b/>
          <w:color w:val="000000" w:themeColor="text1"/>
          <w:lang w:eastAsia="es-MX"/>
        </w:rPr>
        <w:t>EL SUJETO OBLIGADO</w:t>
      </w:r>
      <w:r w:rsidR="001B1ABB" w:rsidRPr="006C0176">
        <w:rPr>
          <w:rFonts w:ascii="Palatino Linotype" w:hAnsi="Palatino Linotype" w:cs="Arial"/>
          <w:b/>
          <w:color w:val="000000" w:themeColor="text1"/>
          <w:lang w:eastAsia="es-MX"/>
        </w:rPr>
        <w:t xml:space="preserve"> </w:t>
      </w:r>
      <w:r w:rsidR="001B1ABB" w:rsidRPr="006C0176">
        <w:rPr>
          <w:rFonts w:ascii="Palatino Linotype" w:hAnsi="Palatino Linotype" w:cs="Arial"/>
          <w:bCs/>
          <w:color w:val="000000" w:themeColor="text1"/>
          <w:lang w:eastAsia="es-MX"/>
        </w:rPr>
        <w:t>testó</w:t>
      </w:r>
      <w:r w:rsidR="001B1ABB" w:rsidRPr="006C0176">
        <w:rPr>
          <w:rFonts w:ascii="Palatino Linotype" w:hAnsi="Palatino Linotype" w:cs="Arial"/>
          <w:b/>
          <w:color w:val="000000" w:themeColor="text1"/>
          <w:lang w:eastAsia="es-MX"/>
        </w:rPr>
        <w:t xml:space="preserve"> </w:t>
      </w:r>
      <w:r w:rsidR="001B1ABB" w:rsidRPr="006C0176">
        <w:rPr>
          <w:rFonts w:ascii="Palatino Linotype" w:hAnsi="Palatino Linotype" w:cs="Arial"/>
          <w:bCs/>
          <w:color w:val="000000" w:themeColor="text1"/>
          <w:lang w:eastAsia="es-MX"/>
        </w:rPr>
        <w:t xml:space="preserve">información de carácter </w:t>
      </w:r>
      <w:r w:rsidR="006C0176" w:rsidRPr="006C0176">
        <w:rPr>
          <w:rFonts w:ascii="Palatino Linotype" w:hAnsi="Palatino Linotype" w:cs="Arial"/>
          <w:bCs/>
          <w:color w:val="000000" w:themeColor="text1"/>
          <w:lang w:eastAsia="es-MX"/>
        </w:rPr>
        <w:t>pública</w:t>
      </w:r>
      <w:r w:rsidR="001B1ABB" w:rsidRPr="006C0176">
        <w:rPr>
          <w:rFonts w:ascii="Palatino Linotype" w:hAnsi="Palatino Linotype" w:cs="Arial"/>
          <w:bCs/>
          <w:color w:val="000000" w:themeColor="text1"/>
          <w:lang w:eastAsia="es-MX"/>
        </w:rPr>
        <w:t xml:space="preserve"> como lo son,</w:t>
      </w:r>
      <w:r w:rsidR="001B1ABB" w:rsidRPr="006C0176">
        <w:rPr>
          <w:rFonts w:ascii="Palatino Linotype" w:hAnsi="Palatino Linotype" w:cs="Arial"/>
          <w:b/>
          <w:color w:val="000000" w:themeColor="text1"/>
          <w:lang w:eastAsia="es-MX"/>
        </w:rPr>
        <w:t xml:space="preserve"> </w:t>
      </w:r>
      <w:bookmarkStart w:id="5" w:name="_Hlk132654733"/>
      <w:r w:rsidR="001B1ABB" w:rsidRPr="006C0176">
        <w:rPr>
          <w:rFonts w:ascii="Palatino Linotype" w:hAnsi="Palatino Linotype" w:cs="Arial"/>
          <w:b/>
          <w:color w:val="000000" w:themeColor="text1"/>
          <w:lang w:eastAsia="es-MX"/>
        </w:rPr>
        <w:t>los nombres comerciales, domicilios, fecha de expedición de las licencias de los establecimientos.</w:t>
      </w:r>
    </w:p>
    <w:bookmarkEnd w:id="5"/>
    <w:p w14:paraId="05FC15F5" w14:textId="3ACE721A" w:rsidR="0041102D" w:rsidRPr="006C0176" w:rsidRDefault="001B1ABB" w:rsidP="00591D0F">
      <w:pPr>
        <w:spacing w:before="100" w:beforeAutospacing="1" w:after="100" w:afterAutospacing="1" w:line="360" w:lineRule="auto"/>
        <w:jc w:val="both"/>
        <w:rPr>
          <w:rFonts w:ascii="Palatino Linotype" w:hAnsi="Palatino Linotype"/>
        </w:rPr>
      </w:pPr>
      <w:r w:rsidRPr="006C0176">
        <w:rPr>
          <w:rFonts w:ascii="Palatino Linotype" w:hAnsi="Palatino Linotype"/>
        </w:rPr>
        <w:t>Luego entonces, una vez analizada el acta de la Quincuagésima Octava Sesión Ordinaria del Comité de Transparencia, en el cual clasifican como información confidencial el número telefónico y el nombre del representante legal que se encuentran en el padrón de los comerciantes, tal y como se precisa en la siguiente imagen ilustrativa:</w:t>
      </w:r>
    </w:p>
    <w:p w14:paraId="10640BB9" w14:textId="08C8F118" w:rsidR="001B1ABB" w:rsidRPr="006C0176" w:rsidRDefault="001B1ABB" w:rsidP="00591D0F">
      <w:pPr>
        <w:spacing w:before="100" w:beforeAutospacing="1" w:after="100" w:afterAutospacing="1" w:line="360" w:lineRule="auto"/>
        <w:jc w:val="center"/>
        <w:rPr>
          <w:rFonts w:ascii="Palatino Linotype" w:hAnsi="Palatino Linotype"/>
        </w:rPr>
      </w:pPr>
      <w:r w:rsidRPr="006C0176">
        <w:rPr>
          <w:rFonts w:ascii="Palatino Linotype" w:hAnsi="Palatino Linotype"/>
          <w:noProof/>
          <w:lang w:eastAsia="es-MX"/>
        </w:rPr>
        <w:drawing>
          <wp:inline distT="0" distB="0" distL="0" distR="0" wp14:anchorId="1FD5DEBE" wp14:editId="5E546B50">
            <wp:extent cx="5143500" cy="3902879"/>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45386" cy="3904310"/>
                    </a:xfrm>
                    <a:prstGeom prst="rect">
                      <a:avLst/>
                    </a:prstGeom>
                  </pic:spPr>
                </pic:pic>
              </a:graphicData>
            </a:graphic>
          </wp:inline>
        </w:drawing>
      </w:r>
    </w:p>
    <w:p w14:paraId="78435091" w14:textId="4DCEEBC0" w:rsidR="00C65B9C" w:rsidRPr="006C0176" w:rsidRDefault="001B1ABB" w:rsidP="00591D0F">
      <w:pPr>
        <w:spacing w:before="100" w:beforeAutospacing="1" w:after="100" w:afterAutospacing="1" w:line="360" w:lineRule="auto"/>
        <w:jc w:val="both"/>
        <w:rPr>
          <w:rFonts w:ascii="Palatino Linotype" w:hAnsi="Palatino Linotype" w:cs="Arial"/>
          <w:bCs/>
          <w:lang w:val="es-ES"/>
        </w:rPr>
      </w:pPr>
      <w:r w:rsidRPr="006C0176">
        <w:rPr>
          <w:rFonts w:ascii="Palatino Linotype" w:hAnsi="Palatino Linotype"/>
          <w:lang w:val="es-ES"/>
        </w:rPr>
        <w:t>Por consiguiente, no se advierte que se haya aprobado la clasificación de</w:t>
      </w:r>
      <w:r w:rsidR="00C65B9C" w:rsidRPr="006C0176">
        <w:rPr>
          <w:rFonts w:ascii="Palatino Linotype" w:hAnsi="Palatino Linotype"/>
          <w:lang w:val="es-ES"/>
        </w:rPr>
        <w:t xml:space="preserve"> los nombres comerciales, domicilios, fecha de expedición de las licencias de los establecimientos, siendo esta información pública, que no afecta a particulares, por lo que no existen </w:t>
      </w:r>
      <w:r w:rsidR="00C65B9C" w:rsidRPr="006C0176">
        <w:rPr>
          <w:rFonts w:ascii="Palatino Linotype" w:hAnsi="Palatino Linotype" w:cs="Arial"/>
          <w:bCs/>
          <w:lang w:val="es-ES"/>
        </w:rPr>
        <w:t xml:space="preserve">las razones suficientes y necesarias para poder </w:t>
      </w:r>
      <w:r w:rsidR="00144EB3" w:rsidRPr="006C0176">
        <w:rPr>
          <w:rFonts w:ascii="Palatino Linotype" w:hAnsi="Palatino Linotype" w:cs="Arial"/>
          <w:bCs/>
          <w:lang w:val="es-ES"/>
        </w:rPr>
        <w:t>testar información</w:t>
      </w:r>
      <w:r w:rsidR="00C65B9C" w:rsidRPr="006C0176">
        <w:rPr>
          <w:rFonts w:ascii="Palatino Linotype" w:hAnsi="Palatino Linotype" w:cs="Arial"/>
          <w:bCs/>
          <w:lang w:val="es-ES"/>
        </w:rPr>
        <w:t xml:space="preserve"> sin la debida aprobación de su Comité de Transparencia.</w:t>
      </w:r>
    </w:p>
    <w:p w14:paraId="6C469796" w14:textId="77777777" w:rsidR="00C65B9C" w:rsidRPr="006C0176" w:rsidRDefault="00C65B9C" w:rsidP="00591D0F">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rPr>
      </w:pPr>
      <w:r w:rsidRPr="006C0176">
        <w:rPr>
          <w:rFonts w:ascii="Palatino Linotype" w:hAnsi="Palatino Linotype" w:cs="Arial"/>
        </w:rPr>
        <w:t>En esa tesitura, es importante referir que las determinaciones del ente recurrido deben tener fundamentación y motivación consiste en la obligación que tiene todo ente público de expresar los preceptos jurídicos aplicables al asunto motivo del acto y las razones o argumentos de su actuar.</w:t>
      </w:r>
    </w:p>
    <w:p w14:paraId="0145AB13" w14:textId="77777777" w:rsidR="00C65B9C" w:rsidRPr="006C0176" w:rsidRDefault="00C65B9C" w:rsidP="00591D0F">
      <w:pPr>
        <w:spacing w:before="100" w:beforeAutospacing="1" w:after="100" w:afterAutospacing="1" w:line="360" w:lineRule="auto"/>
        <w:ind w:right="49"/>
        <w:contextualSpacing/>
        <w:jc w:val="both"/>
        <w:rPr>
          <w:rFonts w:ascii="Palatino Linotype" w:hAnsi="Palatino Linotype" w:cs="Arial"/>
        </w:rPr>
      </w:pPr>
      <w:r w:rsidRPr="006C0176">
        <w:rPr>
          <w:rFonts w:ascii="Palatino Linotype" w:hAnsi="Palatino Linotype" w:cs="Arial"/>
        </w:rPr>
        <w:t>Al respecto, el máximo tribunal del país ha establecido jurisprudencia respecto a qué debe entenderse por fundamentación y motivación, en los siguientes términos:</w:t>
      </w:r>
    </w:p>
    <w:p w14:paraId="68C09A4B" w14:textId="77777777" w:rsidR="00C65B9C" w:rsidRPr="006C0176" w:rsidRDefault="00C65B9C" w:rsidP="00591D0F">
      <w:pPr>
        <w:spacing w:before="100" w:beforeAutospacing="1" w:after="100" w:afterAutospacing="1"/>
        <w:ind w:left="850" w:right="900"/>
        <w:contextualSpacing/>
        <w:jc w:val="both"/>
        <w:rPr>
          <w:rFonts w:ascii="Palatino Linotype" w:hAnsi="Palatino Linotype" w:cs="Arial"/>
          <w:i/>
          <w:sz w:val="22"/>
          <w:szCs w:val="22"/>
        </w:rPr>
      </w:pPr>
    </w:p>
    <w:p w14:paraId="3FEC1766" w14:textId="77777777" w:rsidR="00C65B9C" w:rsidRPr="006C0176" w:rsidRDefault="00C65B9C" w:rsidP="00591D0F">
      <w:pPr>
        <w:spacing w:before="100" w:beforeAutospacing="1" w:after="100" w:afterAutospacing="1"/>
        <w:ind w:left="850" w:right="900"/>
        <w:contextualSpacing/>
        <w:jc w:val="both"/>
        <w:rPr>
          <w:rFonts w:ascii="Palatino Linotype" w:hAnsi="Palatino Linotype" w:cs="Arial"/>
          <w:i/>
          <w:sz w:val="22"/>
          <w:szCs w:val="22"/>
        </w:rPr>
      </w:pPr>
      <w:r w:rsidRPr="006C0176">
        <w:rPr>
          <w:rFonts w:ascii="Palatino Linotype" w:hAnsi="Palatino Linotype" w:cs="Arial"/>
          <w:i/>
          <w:sz w:val="22"/>
          <w:szCs w:val="22"/>
        </w:rPr>
        <w:t>“</w:t>
      </w:r>
      <w:r w:rsidRPr="006C0176">
        <w:rPr>
          <w:rFonts w:ascii="Palatino Linotype" w:hAnsi="Palatino Linotype" w:cs="Arial"/>
          <w:b/>
          <w:i/>
          <w:sz w:val="22"/>
          <w:szCs w:val="22"/>
        </w:rPr>
        <w:t xml:space="preserve">FUNDAMENTACION Y MOTIVACION. </w:t>
      </w:r>
      <w:r w:rsidRPr="006C0176">
        <w:rPr>
          <w:rFonts w:ascii="Palatino Linotype" w:hAnsi="Palatino Linotype" w:cs="Arial"/>
          <w:i/>
          <w:sz w:val="22"/>
          <w:szCs w:val="22"/>
        </w:rPr>
        <w:t xml:space="preserve">La </w:t>
      </w:r>
      <w:r w:rsidRPr="006C0176">
        <w:rPr>
          <w:rFonts w:ascii="Palatino Linotype" w:hAnsi="Palatino Linotype" w:cs="Arial"/>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C0176">
        <w:rPr>
          <w:rFonts w:ascii="Palatino Linotype" w:hAnsi="Palatino Linotype" w:cs="Arial"/>
          <w:i/>
          <w:sz w:val="22"/>
          <w:szCs w:val="22"/>
        </w:rPr>
        <w:t>.</w:t>
      </w:r>
    </w:p>
    <w:p w14:paraId="5F4A756D" w14:textId="77777777" w:rsidR="00C65B9C" w:rsidRPr="006C0176" w:rsidRDefault="00C65B9C" w:rsidP="00591D0F">
      <w:pPr>
        <w:spacing w:before="100" w:beforeAutospacing="1" w:after="100" w:afterAutospacing="1"/>
        <w:ind w:left="850" w:right="900"/>
        <w:contextualSpacing/>
        <w:jc w:val="both"/>
        <w:rPr>
          <w:rFonts w:ascii="Palatino Linotype" w:hAnsi="Palatino Linotype" w:cs="Arial"/>
          <w:i/>
          <w:sz w:val="22"/>
          <w:szCs w:val="22"/>
        </w:rPr>
      </w:pPr>
      <w:r w:rsidRPr="006C0176">
        <w:rPr>
          <w:rFonts w:ascii="Palatino Linotype" w:hAnsi="Palatino Linotype" w:cs="Arial"/>
          <w:b/>
          <w:i/>
          <w:sz w:val="22"/>
          <w:szCs w:val="22"/>
        </w:rPr>
        <w:t xml:space="preserve">…” </w:t>
      </w:r>
      <w:r w:rsidRPr="006C0176">
        <w:rPr>
          <w:rFonts w:ascii="Palatino Linotype" w:hAnsi="Palatino Linotype" w:cs="Arial"/>
          <w:i/>
          <w:sz w:val="22"/>
          <w:szCs w:val="22"/>
        </w:rPr>
        <w:t>(Sic)</w:t>
      </w:r>
    </w:p>
    <w:p w14:paraId="4687BA7A" w14:textId="77777777" w:rsidR="00C65B9C" w:rsidRPr="006C0176" w:rsidRDefault="00C65B9C" w:rsidP="00591D0F">
      <w:pPr>
        <w:spacing w:before="100" w:beforeAutospacing="1" w:after="100" w:afterAutospacing="1"/>
        <w:ind w:left="850" w:right="900"/>
        <w:contextualSpacing/>
        <w:jc w:val="both"/>
        <w:rPr>
          <w:rFonts w:ascii="Palatino Linotype" w:hAnsi="Palatino Linotype" w:cs="Arial"/>
          <w:i/>
          <w:sz w:val="22"/>
          <w:szCs w:val="22"/>
        </w:rPr>
      </w:pPr>
    </w:p>
    <w:p w14:paraId="6009B907" w14:textId="77777777" w:rsidR="00C65B9C" w:rsidRPr="006C0176" w:rsidRDefault="00C65B9C" w:rsidP="00591D0F">
      <w:pPr>
        <w:spacing w:before="100" w:beforeAutospacing="1" w:after="100" w:afterAutospacing="1" w:line="360" w:lineRule="auto"/>
        <w:ind w:right="51"/>
        <w:contextualSpacing/>
        <w:jc w:val="both"/>
        <w:rPr>
          <w:rFonts w:ascii="Palatino Linotype" w:hAnsi="Palatino Linotype" w:cs="Arial"/>
        </w:rPr>
      </w:pPr>
      <w:r w:rsidRPr="006C0176">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00C3228" w14:textId="77777777" w:rsidR="00C65B9C" w:rsidRPr="006C0176" w:rsidRDefault="00C65B9C" w:rsidP="00591D0F">
      <w:pPr>
        <w:spacing w:before="100" w:beforeAutospacing="1" w:after="100" w:afterAutospacing="1" w:line="360" w:lineRule="auto"/>
        <w:ind w:right="51"/>
        <w:contextualSpacing/>
        <w:jc w:val="both"/>
        <w:rPr>
          <w:rFonts w:ascii="Palatino Linotype" w:hAnsi="Palatino Linotype" w:cs="Arial"/>
        </w:rPr>
      </w:pPr>
    </w:p>
    <w:p w14:paraId="1EED28F6" w14:textId="77777777" w:rsidR="00C65B9C" w:rsidRPr="006C0176" w:rsidRDefault="00C65B9C" w:rsidP="00591D0F">
      <w:pPr>
        <w:spacing w:before="100" w:beforeAutospacing="1" w:after="100" w:afterAutospacing="1" w:line="360" w:lineRule="auto"/>
        <w:ind w:right="51"/>
        <w:contextualSpacing/>
        <w:jc w:val="both"/>
        <w:rPr>
          <w:rFonts w:ascii="Palatino Linotype" w:hAnsi="Palatino Linotype" w:cs="Arial"/>
        </w:rPr>
      </w:pPr>
      <w:r w:rsidRPr="006C0176">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0B4925BC" w14:textId="77777777" w:rsidR="00C65B9C" w:rsidRPr="006C0176" w:rsidRDefault="00C65B9C" w:rsidP="00591D0F">
      <w:pPr>
        <w:spacing w:before="100" w:beforeAutospacing="1" w:after="100" w:afterAutospacing="1"/>
        <w:ind w:left="850" w:right="900"/>
        <w:contextualSpacing/>
        <w:jc w:val="both"/>
        <w:rPr>
          <w:rFonts w:ascii="Palatino Linotype" w:hAnsi="Palatino Linotype" w:cs="Arial"/>
          <w:b/>
          <w:i/>
          <w:sz w:val="22"/>
          <w:szCs w:val="22"/>
        </w:rPr>
      </w:pPr>
    </w:p>
    <w:p w14:paraId="103951E6" w14:textId="77777777" w:rsidR="00C65B9C" w:rsidRPr="006C0176" w:rsidRDefault="00C65B9C" w:rsidP="00591D0F">
      <w:pPr>
        <w:spacing w:before="100" w:beforeAutospacing="1" w:after="100" w:afterAutospacing="1"/>
        <w:ind w:left="850" w:right="900"/>
        <w:contextualSpacing/>
        <w:jc w:val="both"/>
        <w:rPr>
          <w:rFonts w:ascii="Palatino Linotype" w:hAnsi="Palatino Linotype" w:cs="Arial"/>
          <w:i/>
          <w:sz w:val="22"/>
          <w:szCs w:val="22"/>
        </w:rPr>
      </w:pPr>
      <w:r w:rsidRPr="006C0176">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6C0176">
        <w:rPr>
          <w:rFonts w:ascii="Palatino Linotype" w:hAnsi="Palatino Linotype" w:cs="Arial"/>
          <w:i/>
          <w:sz w:val="22"/>
          <w:szCs w:val="22"/>
        </w:rPr>
        <w:t xml:space="preserve">. El contenido formal de la garantía de legalidad prevista en el artículo 16 constitucional relativa a la </w:t>
      </w:r>
      <w:r w:rsidRPr="006C0176">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6C0176">
        <w:rPr>
          <w:rFonts w:ascii="Palatino Linotype" w:hAnsi="Palatino Linotype" w:cs="Arial"/>
          <w:i/>
          <w:sz w:val="22"/>
          <w:szCs w:val="22"/>
        </w:rPr>
        <w:t xml:space="preserve">. Por tanto, </w:t>
      </w:r>
      <w:r w:rsidRPr="006C0176">
        <w:rPr>
          <w:rFonts w:ascii="Palatino Linotype" w:hAnsi="Palatino Linotype" w:cs="Arial"/>
          <w:b/>
          <w:i/>
          <w:sz w:val="22"/>
          <w:szCs w:val="22"/>
          <w:u w:val="single"/>
        </w:rPr>
        <w:t>no basta que el acto de autoridad apenas observe una motivación pro forma pero de una manera incongruente, insuficiente o imprecisa</w:t>
      </w:r>
      <w:r w:rsidRPr="006C0176">
        <w:rPr>
          <w:rFonts w:ascii="Palatino Linotype" w:hAnsi="Palatino Linotype" w:cs="Arial"/>
          <w:i/>
          <w:sz w:val="22"/>
          <w:szCs w:val="22"/>
        </w:rPr>
        <w:t>, que impida la finalidad del conocimiento, comprobación y defensa pertinente</w:t>
      </w:r>
      <w:r w:rsidRPr="006C0176">
        <w:rPr>
          <w:rFonts w:ascii="Palatino Linotype" w:hAnsi="Palatino Linotype" w:cs="Arial"/>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C0176">
        <w:rPr>
          <w:rFonts w:ascii="Palatino Linotype" w:hAnsi="Palatino Linotype" w:cs="Arial"/>
          <w:i/>
          <w:sz w:val="22"/>
          <w:szCs w:val="22"/>
        </w:rPr>
        <w:t>.”</w:t>
      </w:r>
      <w:r w:rsidRPr="006C0176">
        <w:rPr>
          <w:rFonts w:ascii="Palatino Linotype" w:hAnsi="Palatino Linotype"/>
        </w:rPr>
        <w:t xml:space="preserve"> </w:t>
      </w:r>
      <w:r w:rsidRPr="006C0176">
        <w:rPr>
          <w:rFonts w:ascii="Palatino Linotype" w:hAnsi="Palatino Linotype" w:cs="Arial"/>
          <w:i/>
          <w:sz w:val="22"/>
          <w:szCs w:val="22"/>
        </w:rPr>
        <w:t>(Sic)</w:t>
      </w:r>
    </w:p>
    <w:p w14:paraId="0207ABAA" w14:textId="77777777" w:rsidR="00C65B9C" w:rsidRPr="006C0176" w:rsidRDefault="00C65B9C" w:rsidP="00591D0F">
      <w:pPr>
        <w:spacing w:before="100" w:beforeAutospacing="1" w:after="100" w:afterAutospacing="1"/>
        <w:ind w:left="850" w:right="900"/>
        <w:contextualSpacing/>
        <w:jc w:val="both"/>
        <w:rPr>
          <w:rFonts w:ascii="Palatino Linotype" w:hAnsi="Palatino Linotype" w:cs="Arial"/>
          <w:i/>
          <w:sz w:val="22"/>
          <w:szCs w:val="22"/>
        </w:rPr>
      </w:pPr>
    </w:p>
    <w:p w14:paraId="7B515AB1" w14:textId="77777777" w:rsidR="00C65B9C" w:rsidRPr="006C0176" w:rsidRDefault="00C65B9C" w:rsidP="00591D0F">
      <w:pPr>
        <w:spacing w:before="100" w:beforeAutospacing="1" w:after="100" w:afterAutospacing="1"/>
        <w:ind w:left="850" w:right="900"/>
        <w:contextualSpacing/>
        <w:jc w:val="both"/>
        <w:rPr>
          <w:rFonts w:ascii="Palatino Linotype" w:hAnsi="Palatino Linotype" w:cs="Arial"/>
          <w:i/>
          <w:sz w:val="22"/>
          <w:szCs w:val="22"/>
        </w:rPr>
      </w:pPr>
    </w:p>
    <w:p w14:paraId="37DE1FCC" w14:textId="77777777" w:rsidR="00C65B9C" w:rsidRPr="006C0176" w:rsidRDefault="00C65B9C" w:rsidP="00591D0F">
      <w:pPr>
        <w:spacing w:before="100" w:beforeAutospacing="1" w:after="100" w:afterAutospacing="1" w:line="360" w:lineRule="auto"/>
        <w:ind w:right="49"/>
        <w:contextualSpacing/>
        <w:jc w:val="both"/>
        <w:rPr>
          <w:rFonts w:ascii="Palatino Linotype" w:hAnsi="Palatino Linotype" w:cs="Arial"/>
        </w:rPr>
      </w:pPr>
      <w:r w:rsidRPr="006C0176">
        <w:rPr>
          <w:rFonts w:ascii="Palatino Linotype" w:hAnsi="Palatino Linotype" w:cs="Arial"/>
        </w:rPr>
        <w:t xml:space="preserve">En consecuencia, la fundamentación y motivación implica que, en el acto de autoridad, además de contenerse los supuestos jurídicos aplicables se expliquen claramente, por qué, a través de la utilización de la norma se emitió el acto. </w:t>
      </w:r>
    </w:p>
    <w:p w14:paraId="6328F6BB" w14:textId="77777777" w:rsidR="00C65B9C" w:rsidRPr="006C0176" w:rsidRDefault="00C65B9C" w:rsidP="00591D0F">
      <w:pPr>
        <w:spacing w:before="100" w:beforeAutospacing="1" w:after="100" w:afterAutospacing="1" w:line="360" w:lineRule="auto"/>
        <w:ind w:right="49"/>
        <w:contextualSpacing/>
        <w:jc w:val="both"/>
        <w:rPr>
          <w:rFonts w:ascii="Palatino Linotype" w:hAnsi="Palatino Linotype" w:cs="Arial"/>
        </w:rPr>
      </w:pPr>
    </w:p>
    <w:p w14:paraId="57E5AC1C" w14:textId="3BC575FB" w:rsidR="00144EB3" w:rsidRPr="006C0176" w:rsidRDefault="00C65B9C" w:rsidP="00591D0F">
      <w:pPr>
        <w:spacing w:before="100" w:beforeAutospacing="1" w:after="100" w:afterAutospacing="1" w:line="360" w:lineRule="auto"/>
        <w:ind w:right="49"/>
        <w:contextualSpacing/>
        <w:jc w:val="both"/>
        <w:rPr>
          <w:rFonts w:ascii="Palatino Linotype" w:eastAsia="Calibri" w:hAnsi="Palatino Linotype" w:cs="Arial"/>
          <w:i/>
          <w:strike/>
          <w:sz w:val="22"/>
          <w:szCs w:val="22"/>
        </w:rPr>
      </w:pPr>
      <w:r w:rsidRPr="006C0176">
        <w:rPr>
          <w:rFonts w:ascii="Palatino Linotype" w:hAnsi="Palatino Linotype" w:cs="Arial"/>
        </w:rPr>
        <w:t xml:space="preserve">De este modo, la persona que se siente afectada pueda impugnar la decisión, permitiéndole una real y auténtica defensa. </w:t>
      </w:r>
    </w:p>
    <w:p w14:paraId="7AC46C5B" w14:textId="7187A44C" w:rsidR="00144EB3" w:rsidRPr="006C0176" w:rsidRDefault="00144EB3" w:rsidP="00591D0F">
      <w:pPr>
        <w:spacing w:before="100" w:beforeAutospacing="1" w:after="100" w:afterAutospacing="1" w:line="360" w:lineRule="auto"/>
        <w:ind w:right="49"/>
        <w:contextualSpacing/>
        <w:jc w:val="both"/>
        <w:rPr>
          <w:rFonts w:ascii="Palatino Linotype" w:eastAsia="Calibri" w:hAnsi="Palatino Linotype" w:cs="Arial"/>
          <w:iCs/>
        </w:rPr>
      </w:pPr>
      <w:r w:rsidRPr="006C0176">
        <w:rPr>
          <w:rFonts w:ascii="Palatino Linotype" w:eastAsia="Calibri" w:hAnsi="Palatino Linotype" w:cs="Arial"/>
          <w:iCs/>
        </w:rPr>
        <w:t xml:space="preserve">Por lo que, </w:t>
      </w:r>
      <w:r w:rsidRPr="006C0176">
        <w:rPr>
          <w:rFonts w:ascii="Palatino Linotype" w:eastAsia="Calibri" w:hAnsi="Palatino Linotype" w:cs="Arial"/>
          <w:b/>
          <w:bCs/>
          <w:iCs/>
        </w:rPr>
        <w:t>EL SUJETO OBLIGADO</w:t>
      </w:r>
      <w:r w:rsidRPr="006C0176">
        <w:rPr>
          <w:rFonts w:ascii="Palatino Linotype" w:eastAsia="Calibri" w:hAnsi="Palatino Linotype" w:cs="Arial"/>
          <w:iCs/>
        </w:rPr>
        <w:t xml:space="preserve"> deberá de considerar la información que es confidencial y publica, ya que Ley de competitividad y ordenamiento comercial del Estado de México, </w:t>
      </w:r>
      <w:r w:rsidR="009F512D" w:rsidRPr="006C0176">
        <w:rPr>
          <w:rFonts w:ascii="Palatino Linotype" w:eastAsia="Calibri" w:hAnsi="Palatino Linotype" w:cs="Arial"/>
          <w:iCs/>
        </w:rPr>
        <w:t>prevé</w:t>
      </w:r>
      <w:r w:rsidRPr="006C0176">
        <w:rPr>
          <w:rFonts w:ascii="Palatino Linotype" w:eastAsia="Calibri" w:hAnsi="Palatino Linotype" w:cs="Arial"/>
          <w:iCs/>
        </w:rPr>
        <w:t xml:space="preserve"> lo siguiente:</w:t>
      </w:r>
    </w:p>
    <w:p w14:paraId="3040F718" w14:textId="77777777" w:rsidR="00144EB3" w:rsidRPr="006C0176" w:rsidRDefault="00144EB3" w:rsidP="00591D0F">
      <w:pPr>
        <w:spacing w:before="100" w:beforeAutospacing="1" w:after="100" w:afterAutospacing="1" w:line="360" w:lineRule="auto"/>
        <w:ind w:right="49"/>
        <w:contextualSpacing/>
        <w:jc w:val="both"/>
        <w:rPr>
          <w:rFonts w:ascii="Palatino Linotype" w:eastAsia="Calibri" w:hAnsi="Palatino Linotype" w:cs="Arial"/>
          <w:iCs/>
          <w:sz w:val="22"/>
          <w:szCs w:val="22"/>
        </w:rPr>
      </w:pPr>
    </w:p>
    <w:p w14:paraId="02BDE020" w14:textId="6BCEBD11"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b/>
          <w:bCs/>
          <w:i/>
          <w:sz w:val="22"/>
          <w:szCs w:val="22"/>
        </w:rPr>
      </w:pPr>
      <w:r w:rsidRPr="006C0176">
        <w:rPr>
          <w:rFonts w:ascii="Palatino Linotype" w:eastAsia="Calibri" w:hAnsi="Palatino Linotype" w:cs="Arial"/>
          <w:b/>
          <w:bCs/>
          <w:i/>
          <w:sz w:val="22"/>
          <w:szCs w:val="22"/>
        </w:rPr>
        <w:t xml:space="preserve">“Artículo 7. Corresponde a los municipios: </w:t>
      </w:r>
    </w:p>
    <w:p w14:paraId="3B3D729E" w14:textId="77777777" w:rsidR="00FC7758" w:rsidRPr="006C0176" w:rsidRDefault="00FC7758" w:rsidP="00591D0F">
      <w:pPr>
        <w:spacing w:before="100" w:beforeAutospacing="1" w:after="100" w:afterAutospacing="1" w:line="276" w:lineRule="auto"/>
        <w:ind w:left="850" w:right="901"/>
        <w:contextualSpacing/>
        <w:jc w:val="both"/>
        <w:rPr>
          <w:rFonts w:ascii="Palatino Linotype" w:eastAsia="Calibri" w:hAnsi="Palatino Linotype" w:cs="Arial"/>
          <w:b/>
          <w:bCs/>
          <w:i/>
          <w:sz w:val="22"/>
          <w:szCs w:val="22"/>
        </w:rPr>
      </w:pPr>
    </w:p>
    <w:p w14:paraId="1B51550C" w14:textId="77777777"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b/>
          <w:bCs/>
          <w:i/>
          <w:sz w:val="22"/>
          <w:szCs w:val="22"/>
        </w:rPr>
      </w:pPr>
      <w:r w:rsidRPr="006C0176">
        <w:rPr>
          <w:rFonts w:ascii="Palatino Linotype" w:eastAsia="Calibri" w:hAnsi="Palatino Linotype" w:cs="Arial"/>
          <w:b/>
          <w:bCs/>
          <w:i/>
          <w:sz w:val="22"/>
          <w:szCs w:val="22"/>
        </w:rPr>
        <w:t xml:space="preserve">I. </w:t>
      </w:r>
      <w:r w:rsidRPr="006C0176">
        <w:rPr>
          <w:rFonts w:ascii="Palatino Linotype" w:eastAsia="Calibri" w:hAnsi="Palatino Linotype" w:cs="Arial"/>
          <w:b/>
          <w:bCs/>
          <w:i/>
          <w:sz w:val="22"/>
          <w:szCs w:val="22"/>
          <w:u w:val="single"/>
        </w:rPr>
        <w:t xml:space="preserve">Crear el registro municipal, </w:t>
      </w:r>
      <w:bookmarkStart w:id="6" w:name="_Hlk132665498"/>
      <w:r w:rsidRPr="006C0176">
        <w:rPr>
          <w:rFonts w:ascii="Palatino Linotype" w:eastAsia="Calibri" w:hAnsi="Palatino Linotype" w:cs="Arial"/>
          <w:b/>
          <w:bCs/>
          <w:i/>
          <w:sz w:val="22"/>
          <w:szCs w:val="22"/>
          <w:u w:val="single"/>
        </w:rPr>
        <w:t>donde se especifica la licencia de funcionamiento con la actividad de la unidad económica e impacto que generen, así como las demás características que se determinen</w:t>
      </w:r>
      <w:bookmarkEnd w:id="6"/>
      <w:r w:rsidRPr="006C0176">
        <w:rPr>
          <w:rFonts w:ascii="Palatino Linotype" w:eastAsia="Calibri" w:hAnsi="Palatino Linotype" w:cs="Arial"/>
          <w:b/>
          <w:bCs/>
          <w:i/>
          <w:sz w:val="22"/>
          <w:szCs w:val="22"/>
        </w:rPr>
        <w:t xml:space="preserve">. </w:t>
      </w:r>
    </w:p>
    <w:p w14:paraId="6B86A72F" w14:textId="39BA38FF"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rPr>
      </w:pPr>
      <w:r w:rsidRPr="006C0176">
        <w:rPr>
          <w:rFonts w:ascii="Palatino Linotype" w:eastAsia="Calibri" w:hAnsi="Palatino Linotype" w:cs="Arial"/>
          <w:i/>
          <w:sz w:val="22"/>
          <w:szCs w:val="22"/>
        </w:rPr>
        <w:t>(…)</w:t>
      </w:r>
    </w:p>
    <w:p w14:paraId="78F8E473" w14:textId="7FFCABA2"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rPr>
      </w:pPr>
      <w:r w:rsidRPr="006C0176">
        <w:rPr>
          <w:rFonts w:ascii="Palatino Linotype" w:eastAsia="Calibri" w:hAnsi="Palatino Linotype" w:cs="Arial"/>
          <w:b/>
          <w:bCs/>
          <w:i/>
          <w:sz w:val="22"/>
          <w:szCs w:val="22"/>
        </w:rPr>
        <w:t>III.</w:t>
      </w:r>
      <w:r w:rsidRPr="006C0176">
        <w:rPr>
          <w:rFonts w:ascii="Palatino Linotype" w:eastAsia="Calibri" w:hAnsi="Palatino Linotype" w:cs="Arial"/>
          <w:i/>
          <w:sz w:val="22"/>
          <w:szCs w:val="22"/>
        </w:rPr>
        <w:t xml:space="preserve"> Operar, digitalizar y </w:t>
      </w:r>
      <w:r w:rsidRPr="006C0176">
        <w:rPr>
          <w:rFonts w:ascii="Palatino Linotype" w:eastAsia="Calibri" w:hAnsi="Palatino Linotype" w:cs="Arial"/>
          <w:b/>
          <w:bCs/>
          <w:i/>
          <w:sz w:val="22"/>
          <w:szCs w:val="22"/>
          <w:u w:val="single"/>
        </w:rPr>
        <w:t>mantener</w:t>
      </w:r>
      <w:r w:rsidRPr="006C0176">
        <w:rPr>
          <w:rFonts w:ascii="Palatino Linotype" w:eastAsia="Calibri" w:hAnsi="Palatino Linotype" w:cs="Arial"/>
          <w:i/>
          <w:sz w:val="22"/>
          <w:szCs w:val="22"/>
        </w:rPr>
        <w:t xml:space="preserve">, </w:t>
      </w:r>
      <w:r w:rsidRPr="006C0176">
        <w:rPr>
          <w:rFonts w:ascii="Palatino Linotype" w:eastAsia="Calibri" w:hAnsi="Palatino Linotype" w:cs="Arial"/>
          <w:b/>
          <w:bCs/>
          <w:i/>
          <w:sz w:val="22"/>
          <w:szCs w:val="22"/>
          <w:u w:val="single"/>
        </w:rPr>
        <w:t>semanalmente actualizado, el registro municipal</w:t>
      </w:r>
      <w:r w:rsidRPr="006C0176">
        <w:rPr>
          <w:rFonts w:ascii="Palatino Linotype" w:eastAsia="Calibri" w:hAnsi="Palatino Linotype" w:cs="Arial"/>
          <w:i/>
          <w:sz w:val="22"/>
          <w:szCs w:val="22"/>
        </w:rPr>
        <w:t xml:space="preserve">, a través de la Dirección de Desarrollo Económico o su equivalente, que opere en su demarcación, </w:t>
      </w:r>
      <w:r w:rsidRPr="006C0176">
        <w:rPr>
          <w:rFonts w:ascii="Palatino Linotype" w:eastAsia="Calibri" w:hAnsi="Palatino Linotype" w:cs="Arial"/>
          <w:b/>
          <w:bCs/>
          <w:i/>
          <w:sz w:val="22"/>
          <w:szCs w:val="22"/>
          <w:u w:val="single"/>
        </w:rPr>
        <w:t>el cual deberá publicarse en el portal de Internet del municipio</w:t>
      </w:r>
      <w:r w:rsidRPr="006C0176">
        <w:rPr>
          <w:rFonts w:ascii="Palatino Linotype" w:eastAsia="Calibri" w:hAnsi="Palatino Linotype" w:cs="Arial"/>
          <w:i/>
          <w:sz w:val="22"/>
          <w:szCs w:val="22"/>
        </w:rPr>
        <w:t>.</w:t>
      </w:r>
    </w:p>
    <w:p w14:paraId="3FDCD0E4" w14:textId="77777777"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rPr>
      </w:pPr>
    </w:p>
    <w:p w14:paraId="26B3EC57" w14:textId="178B5513"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rPr>
      </w:pPr>
      <w:r w:rsidRPr="006C0176">
        <w:rPr>
          <w:rFonts w:ascii="Palatino Linotype" w:eastAsia="Calibri" w:hAnsi="Palatino Linotype" w:cs="Arial"/>
          <w:b/>
          <w:bCs/>
          <w:i/>
          <w:sz w:val="22"/>
          <w:szCs w:val="22"/>
        </w:rPr>
        <w:t>Artículo 10.</w:t>
      </w:r>
      <w:r w:rsidRPr="006C0176">
        <w:rPr>
          <w:rFonts w:ascii="Palatino Linotype" w:eastAsia="Calibri" w:hAnsi="Palatino Linotype" w:cs="Arial"/>
          <w:b/>
          <w:bCs/>
          <w:i/>
          <w:sz w:val="22"/>
          <w:szCs w:val="22"/>
          <w:u w:val="single"/>
        </w:rPr>
        <w:t xml:space="preserve"> Los registros tienen como finalidad crear una base de datos confiable, actualizada e integrada a nivel</w:t>
      </w:r>
      <w:r w:rsidRPr="006C0176">
        <w:rPr>
          <w:rFonts w:ascii="Palatino Linotype" w:eastAsia="Calibri" w:hAnsi="Palatino Linotype" w:cs="Arial"/>
          <w:i/>
          <w:sz w:val="22"/>
          <w:szCs w:val="22"/>
        </w:rPr>
        <w:t xml:space="preserve"> estatal y </w:t>
      </w:r>
      <w:r w:rsidRPr="006C0176">
        <w:rPr>
          <w:rFonts w:ascii="Palatino Linotype" w:eastAsia="Calibri" w:hAnsi="Palatino Linotype" w:cs="Arial"/>
          <w:b/>
          <w:bCs/>
          <w:i/>
          <w:sz w:val="22"/>
          <w:szCs w:val="22"/>
          <w:u w:val="single"/>
        </w:rPr>
        <w:t xml:space="preserve">municipal de las unidades económicas que se </w:t>
      </w:r>
      <w:proofErr w:type="spellStart"/>
      <w:r w:rsidRPr="006C0176">
        <w:rPr>
          <w:rFonts w:ascii="Palatino Linotype" w:eastAsia="Calibri" w:hAnsi="Palatino Linotype" w:cs="Arial"/>
          <w:b/>
          <w:bCs/>
          <w:i/>
          <w:sz w:val="22"/>
          <w:szCs w:val="22"/>
          <w:u w:val="single"/>
        </w:rPr>
        <w:t>aperturen</w:t>
      </w:r>
      <w:proofErr w:type="spellEnd"/>
      <w:r w:rsidRPr="006C0176">
        <w:rPr>
          <w:rFonts w:ascii="Palatino Linotype" w:eastAsia="Calibri" w:hAnsi="Palatino Linotype" w:cs="Arial"/>
          <w:b/>
          <w:bCs/>
          <w:i/>
          <w:sz w:val="22"/>
          <w:szCs w:val="22"/>
          <w:u w:val="single"/>
        </w:rPr>
        <w:t xml:space="preserve"> en el territorio de la Entidad.</w:t>
      </w:r>
    </w:p>
    <w:p w14:paraId="6D9CF60A" w14:textId="77777777"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rPr>
      </w:pPr>
    </w:p>
    <w:p w14:paraId="0CF4B55C" w14:textId="77777777"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rPr>
      </w:pPr>
      <w:r w:rsidRPr="006C0176">
        <w:rPr>
          <w:rFonts w:ascii="Palatino Linotype" w:eastAsia="Calibri" w:hAnsi="Palatino Linotype" w:cs="Arial"/>
          <w:b/>
          <w:bCs/>
          <w:i/>
          <w:sz w:val="22"/>
          <w:szCs w:val="22"/>
        </w:rPr>
        <w:t>Artículo 11.</w:t>
      </w:r>
      <w:r w:rsidRPr="006C0176">
        <w:rPr>
          <w:rFonts w:ascii="Palatino Linotype" w:eastAsia="Calibri" w:hAnsi="Palatino Linotype" w:cs="Arial"/>
          <w:i/>
          <w:sz w:val="22"/>
          <w:szCs w:val="22"/>
        </w:rPr>
        <w:t xml:space="preserve"> El registro incluirá al menos los datos siguientes:</w:t>
      </w:r>
    </w:p>
    <w:p w14:paraId="1E488816" w14:textId="77777777"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rPr>
      </w:pPr>
    </w:p>
    <w:p w14:paraId="22DE3189" w14:textId="77777777"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r w:rsidRPr="006C0176">
        <w:rPr>
          <w:rFonts w:ascii="Palatino Linotype" w:eastAsia="Calibri" w:hAnsi="Palatino Linotype" w:cs="Arial"/>
          <w:i/>
          <w:sz w:val="22"/>
          <w:szCs w:val="22"/>
          <w:u w:val="single"/>
        </w:rPr>
        <w:t>I. Clave única, que se integrará de una serie alfanumérica.</w:t>
      </w:r>
    </w:p>
    <w:p w14:paraId="52042060" w14:textId="77777777" w:rsidR="00FC7758" w:rsidRPr="006C0176" w:rsidRDefault="00FC7758"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p>
    <w:p w14:paraId="411F2791" w14:textId="77777777"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r w:rsidRPr="006C0176">
        <w:rPr>
          <w:rFonts w:ascii="Palatino Linotype" w:eastAsia="Calibri" w:hAnsi="Palatino Linotype" w:cs="Arial"/>
          <w:i/>
          <w:sz w:val="22"/>
          <w:szCs w:val="22"/>
          <w:u w:val="single"/>
        </w:rPr>
        <w:t>II. Nombre del municipio.</w:t>
      </w:r>
    </w:p>
    <w:p w14:paraId="4997D96E" w14:textId="77777777" w:rsidR="00FC7758" w:rsidRPr="006C0176" w:rsidRDefault="00FC7758"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p>
    <w:p w14:paraId="633DB480" w14:textId="77777777"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r w:rsidRPr="006C0176">
        <w:rPr>
          <w:rFonts w:ascii="Palatino Linotype" w:eastAsia="Calibri" w:hAnsi="Palatino Linotype" w:cs="Arial"/>
          <w:i/>
          <w:sz w:val="22"/>
          <w:szCs w:val="22"/>
          <w:u w:val="single"/>
        </w:rPr>
        <w:t>III. Nombre del titular.</w:t>
      </w:r>
    </w:p>
    <w:p w14:paraId="1C1052EE" w14:textId="77777777" w:rsidR="00FC7758" w:rsidRPr="006C0176" w:rsidRDefault="00FC7758"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p>
    <w:p w14:paraId="51426FA3" w14:textId="77777777"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r w:rsidRPr="006C0176">
        <w:rPr>
          <w:rFonts w:ascii="Palatino Linotype" w:eastAsia="Calibri" w:hAnsi="Palatino Linotype" w:cs="Arial"/>
          <w:i/>
          <w:sz w:val="22"/>
          <w:szCs w:val="22"/>
          <w:u w:val="single"/>
        </w:rPr>
        <w:t>IV. Actividad económica.</w:t>
      </w:r>
    </w:p>
    <w:p w14:paraId="6D275124" w14:textId="77777777" w:rsidR="00FC7758" w:rsidRPr="006C0176" w:rsidRDefault="00FC7758"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p>
    <w:p w14:paraId="7CC19195" w14:textId="77777777"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r w:rsidRPr="006C0176">
        <w:rPr>
          <w:rFonts w:ascii="Palatino Linotype" w:eastAsia="Calibri" w:hAnsi="Palatino Linotype" w:cs="Arial"/>
          <w:i/>
          <w:sz w:val="22"/>
          <w:szCs w:val="22"/>
          <w:u w:val="single"/>
        </w:rPr>
        <w:t>V. Fecha de inicio de actividades.</w:t>
      </w:r>
    </w:p>
    <w:p w14:paraId="53E617B2" w14:textId="77777777" w:rsidR="00FC7758" w:rsidRPr="006C0176" w:rsidRDefault="00FC7758"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p>
    <w:p w14:paraId="28FB0B60" w14:textId="77777777"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r w:rsidRPr="006C0176">
        <w:rPr>
          <w:rFonts w:ascii="Palatino Linotype" w:eastAsia="Calibri" w:hAnsi="Palatino Linotype" w:cs="Arial"/>
          <w:i/>
          <w:sz w:val="22"/>
          <w:szCs w:val="22"/>
          <w:u w:val="single"/>
        </w:rPr>
        <w:t>VI. Tipo de impacto.</w:t>
      </w:r>
    </w:p>
    <w:p w14:paraId="3E677F02" w14:textId="77777777" w:rsidR="00FC7758" w:rsidRPr="006C0176" w:rsidRDefault="00FC7758"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p>
    <w:p w14:paraId="41F01A4C" w14:textId="77777777"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r w:rsidRPr="006C0176">
        <w:rPr>
          <w:rFonts w:ascii="Palatino Linotype" w:eastAsia="Calibri" w:hAnsi="Palatino Linotype" w:cs="Arial"/>
          <w:i/>
          <w:sz w:val="22"/>
          <w:szCs w:val="22"/>
          <w:u w:val="single"/>
        </w:rPr>
        <w:t>VII. Domicilio de la unidad económica.</w:t>
      </w:r>
    </w:p>
    <w:p w14:paraId="0CE36238" w14:textId="77777777" w:rsidR="00FC7758" w:rsidRPr="006C0176" w:rsidRDefault="00FC7758"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p>
    <w:p w14:paraId="332DA6D5" w14:textId="77777777"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r w:rsidRPr="006C0176">
        <w:rPr>
          <w:rFonts w:ascii="Palatino Linotype" w:eastAsia="Calibri" w:hAnsi="Palatino Linotype" w:cs="Arial"/>
          <w:i/>
          <w:sz w:val="22"/>
          <w:szCs w:val="22"/>
          <w:u w:val="single"/>
        </w:rPr>
        <w:t>VIII. Visitas y procedimientos de verificación en su caso.</w:t>
      </w:r>
    </w:p>
    <w:p w14:paraId="318B9B28" w14:textId="77777777" w:rsidR="00FC7758" w:rsidRPr="006C0176" w:rsidRDefault="00FC7758"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p>
    <w:p w14:paraId="79660F52" w14:textId="77777777"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r w:rsidRPr="006C0176">
        <w:rPr>
          <w:rFonts w:ascii="Palatino Linotype" w:eastAsia="Calibri" w:hAnsi="Palatino Linotype" w:cs="Arial"/>
          <w:i/>
          <w:sz w:val="22"/>
          <w:szCs w:val="22"/>
          <w:u w:val="single"/>
        </w:rPr>
        <w:t>IX. Sanciones en su caso.</w:t>
      </w:r>
    </w:p>
    <w:p w14:paraId="5971204C" w14:textId="77777777" w:rsidR="00FC7758" w:rsidRPr="006C0176" w:rsidRDefault="00FC7758"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p>
    <w:p w14:paraId="155085C4" w14:textId="0EE72883" w:rsidR="00144EB3" w:rsidRPr="006C0176" w:rsidRDefault="00144EB3" w:rsidP="00591D0F">
      <w:pPr>
        <w:spacing w:before="100" w:beforeAutospacing="1" w:after="100" w:afterAutospacing="1" w:line="276" w:lineRule="auto"/>
        <w:ind w:left="850" w:right="901"/>
        <w:contextualSpacing/>
        <w:jc w:val="both"/>
        <w:rPr>
          <w:rFonts w:ascii="Palatino Linotype" w:eastAsia="Calibri" w:hAnsi="Palatino Linotype" w:cs="Arial"/>
          <w:i/>
          <w:sz w:val="22"/>
          <w:szCs w:val="22"/>
          <w:u w:val="single"/>
        </w:rPr>
      </w:pPr>
      <w:r w:rsidRPr="006C0176">
        <w:rPr>
          <w:rFonts w:ascii="Palatino Linotype" w:eastAsia="Calibri" w:hAnsi="Palatino Linotype" w:cs="Arial"/>
          <w:i/>
          <w:sz w:val="22"/>
          <w:szCs w:val="22"/>
          <w:u w:val="single"/>
        </w:rPr>
        <w:t>X. Las demás que le confieran esta Ley y otras disposiciones aplicables”</w:t>
      </w:r>
    </w:p>
    <w:p w14:paraId="68B27FAD" w14:textId="77777777" w:rsidR="005049B5" w:rsidRPr="006C0176" w:rsidRDefault="005049B5" w:rsidP="00591D0F">
      <w:pPr>
        <w:spacing w:before="100" w:beforeAutospacing="1" w:after="100" w:afterAutospacing="1" w:line="360" w:lineRule="auto"/>
        <w:jc w:val="both"/>
        <w:rPr>
          <w:rFonts w:ascii="Palatino Linotype" w:hAnsi="Palatino Linotype"/>
        </w:rPr>
      </w:pPr>
    </w:p>
    <w:p w14:paraId="02C1B7CA" w14:textId="7C15BAF7" w:rsidR="00144EB3" w:rsidRPr="006C0176" w:rsidRDefault="00144EB3" w:rsidP="00591D0F">
      <w:pPr>
        <w:spacing w:before="100" w:beforeAutospacing="1" w:after="100" w:afterAutospacing="1" w:line="360" w:lineRule="auto"/>
        <w:jc w:val="both"/>
        <w:rPr>
          <w:rFonts w:ascii="Palatino Linotype" w:hAnsi="Palatino Linotype"/>
        </w:rPr>
      </w:pPr>
      <w:r w:rsidRPr="006C0176">
        <w:rPr>
          <w:rFonts w:ascii="Palatino Linotype" w:hAnsi="Palatino Linotype"/>
        </w:rPr>
        <w:t>Luego de la interpretación armónica de los preceptos legales se precisa que los registro o padrones municipales de unidades económicas tienen como finalidad crear una base de datos a nivel</w:t>
      </w:r>
      <w:r w:rsidR="009F512D" w:rsidRPr="006C0176">
        <w:rPr>
          <w:rFonts w:ascii="Palatino Linotype" w:hAnsi="Palatino Linotype"/>
        </w:rPr>
        <w:t xml:space="preserve"> </w:t>
      </w:r>
      <w:r w:rsidRPr="006C0176">
        <w:rPr>
          <w:rFonts w:ascii="Palatino Linotype" w:hAnsi="Palatino Linotype"/>
        </w:rPr>
        <w:t xml:space="preserve">municipal de las unidades económicas que se </w:t>
      </w:r>
      <w:r w:rsidR="009F512D" w:rsidRPr="006C0176">
        <w:rPr>
          <w:rFonts w:ascii="Palatino Linotype" w:hAnsi="Palatino Linotype"/>
        </w:rPr>
        <w:t>apertura</w:t>
      </w:r>
      <w:r w:rsidRPr="006C0176">
        <w:rPr>
          <w:rFonts w:ascii="Palatino Linotype" w:hAnsi="Palatino Linotype"/>
        </w:rPr>
        <w:t xml:space="preserve"> en el territorio</w:t>
      </w:r>
      <w:r w:rsidR="009F512D" w:rsidRPr="006C0176">
        <w:rPr>
          <w:rFonts w:ascii="Palatino Linotype" w:hAnsi="Palatino Linotype"/>
        </w:rPr>
        <w:t>, así como, actualización semanal, de cual se especificara</w:t>
      </w:r>
      <w:r w:rsidRPr="006C0176">
        <w:rPr>
          <w:rFonts w:ascii="Palatino Linotype" w:hAnsi="Palatino Linotype"/>
        </w:rPr>
        <w:t xml:space="preserve"> la licencia de funcionamiento con la actividad de la unidad económica e impacto que generen, así como las demás características que se determinen</w:t>
      </w:r>
      <w:r w:rsidR="009F512D" w:rsidRPr="006C0176">
        <w:rPr>
          <w:rFonts w:ascii="Palatino Linotype" w:hAnsi="Palatino Linotype"/>
        </w:rPr>
        <w:t xml:space="preserve"> y teniendo la obligación de</w:t>
      </w:r>
      <w:r w:rsidRPr="006C0176">
        <w:rPr>
          <w:rFonts w:ascii="Palatino Linotype" w:hAnsi="Palatino Linotype"/>
        </w:rPr>
        <w:t xml:space="preserve"> deberá publicarse en el portal de Internet del municipio</w:t>
      </w:r>
      <w:r w:rsidR="009F512D" w:rsidRPr="006C0176">
        <w:rPr>
          <w:rFonts w:ascii="Palatino Linotype" w:hAnsi="Palatino Linotype"/>
        </w:rPr>
        <w:t>, por lo que algunos datos al estar en fuentes de acceso público</w:t>
      </w:r>
      <w:r w:rsidR="009F512D" w:rsidRPr="006C0176">
        <w:rPr>
          <w:rStyle w:val="Refdenotaalpie"/>
          <w:rFonts w:ascii="Palatino Linotype" w:hAnsi="Palatino Linotype"/>
        </w:rPr>
        <w:footnoteReference w:id="1"/>
      </w:r>
      <w:r w:rsidR="009F512D" w:rsidRPr="006C0176">
        <w:rPr>
          <w:rFonts w:ascii="Palatino Linotype" w:hAnsi="Palatino Linotype"/>
        </w:rPr>
        <w:t xml:space="preserve"> deben de ser de conocimiento de la sociedad ya que existe normatividad que permita conocer la información contenida en los soportes documentales.</w:t>
      </w:r>
    </w:p>
    <w:p w14:paraId="6212DE9B" w14:textId="2D28DF48" w:rsidR="00C65B9C" w:rsidRPr="006C0176" w:rsidRDefault="00B476D9" w:rsidP="00591D0F">
      <w:pPr>
        <w:spacing w:before="100" w:beforeAutospacing="1" w:after="100" w:afterAutospacing="1" w:line="360" w:lineRule="auto"/>
        <w:jc w:val="both"/>
        <w:rPr>
          <w:rFonts w:ascii="Palatino Linotype" w:hAnsi="Palatino Linotype"/>
        </w:rPr>
      </w:pPr>
      <w:r w:rsidRPr="006C0176">
        <w:rPr>
          <w:rFonts w:ascii="Palatino Linotype" w:hAnsi="Palatino Linotype"/>
        </w:rPr>
        <w:t xml:space="preserve">En ese sentido, es evidente que no hubo congruencia en el documento testado y lo aprobado por en el Acta del Comité de Transparencia, por lo que </w:t>
      </w:r>
      <w:r w:rsidRPr="006C0176">
        <w:rPr>
          <w:rFonts w:ascii="Palatino Linotype" w:hAnsi="Palatino Linotype"/>
          <w:b/>
          <w:bCs/>
        </w:rPr>
        <w:t>EL SUJETO OBLIGADO</w:t>
      </w:r>
      <w:r w:rsidRPr="006C0176">
        <w:rPr>
          <w:rFonts w:ascii="Palatino Linotype" w:hAnsi="Palatino Linotype"/>
        </w:rPr>
        <w:t xml:space="preserve"> deberá de entregar en </w:t>
      </w:r>
      <w:bookmarkStart w:id="7" w:name="_Hlk132666341"/>
      <w:r w:rsidRPr="006C0176">
        <w:rPr>
          <w:rFonts w:ascii="Palatino Linotype" w:hAnsi="Palatino Linotype"/>
        </w:rPr>
        <w:t xml:space="preserve">una correcta versión publica el padrón de </w:t>
      </w:r>
      <w:r w:rsidR="00FC7758" w:rsidRPr="006C0176">
        <w:rPr>
          <w:rFonts w:ascii="Palatino Linotype" w:hAnsi="Palatino Linotype"/>
        </w:rPr>
        <w:t xml:space="preserve">comerciantes </w:t>
      </w:r>
      <w:r w:rsidRPr="006C0176">
        <w:rPr>
          <w:rFonts w:ascii="Palatino Linotype" w:hAnsi="Palatino Linotype"/>
        </w:rPr>
        <w:t>establecidos y no fijos del Municipio de Ixtlahuaca al 17 de noviembre de 2022</w:t>
      </w:r>
      <w:bookmarkEnd w:id="7"/>
      <w:r w:rsidRPr="006C0176">
        <w:rPr>
          <w:rFonts w:ascii="Palatino Linotype" w:hAnsi="Palatino Linotype"/>
        </w:rPr>
        <w:t xml:space="preserve">, en versión </w:t>
      </w:r>
      <w:r w:rsidR="006C0176" w:rsidRPr="006C0176">
        <w:rPr>
          <w:rFonts w:ascii="Palatino Linotype" w:hAnsi="Palatino Linotype"/>
        </w:rPr>
        <w:t>pública</w:t>
      </w:r>
      <w:r w:rsidRPr="006C0176">
        <w:rPr>
          <w:rFonts w:ascii="Palatino Linotype" w:hAnsi="Palatino Linotype"/>
        </w:rPr>
        <w:t>.</w:t>
      </w:r>
    </w:p>
    <w:p w14:paraId="3FB72722" w14:textId="571F39C7" w:rsidR="00B476D9" w:rsidRPr="006C0176" w:rsidRDefault="00B476D9" w:rsidP="00591D0F">
      <w:pPr>
        <w:spacing w:before="100" w:beforeAutospacing="1" w:after="100" w:afterAutospacing="1" w:line="360" w:lineRule="auto"/>
        <w:jc w:val="both"/>
        <w:rPr>
          <w:rFonts w:ascii="Palatino Linotype" w:eastAsia="MS Mincho" w:hAnsi="Palatino Linotype" w:cs="Arial"/>
          <w:color w:val="000000" w:themeColor="text1"/>
          <w:lang w:val="es-ES_tradnl"/>
        </w:rPr>
      </w:pPr>
      <w:r w:rsidRPr="006C0176">
        <w:rPr>
          <w:rFonts w:ascii="Palatino Linotype" w:eastAsia="MS Mincho" w:hAnsi="Palatino Linotype" w:cs="Arial"/>
          <w:color w:val="000000" w:themeColor="text1"/>
          <w:lang w:val="es-ES_tradnl"/>
        </w:rPr>
        <w:t xml:space="preserve">Sirve de sustento el Criterio 02/17 emitido por el Instituto de Transparencia, Acceso a la Información y Protección de Datos Personales, que de la literalidad señala lo siguiente: </w:t>
      </w:r>
    </w:p>
    <w:p w14:paraId="7065116D" w14:textId="77777777" w:rsidR="00B476D9" w:rsidRPr="006C0176" w:rsidRDefault="00B476D9" w:rsidP="00591D0F">
      <w:pPr>
        <w:autoSpaceDE w:val="0"/>
        <w:autoSpaceDN w:val="0"/>
        <w:adjustRightInd w:val="0"/>
        <w:spacing w:before="100" w:beforeAutospacing="1" w:after="100" w:afterAutospacing="1"/>
        <w:ind w:left="851" w:right="899"/>
        <w:contextualSpacing/>
        <w:jc w:val="both"/>
        <w:rPr>
          <w:rFonts w:ascii="Palatino Linotype" w:eastAsia="MS Mincho" w:hAnsi="Palatino Linotype" w:cs="Arial"/>
          <w:i/>
          <w:color w:val="000000" w:themeColor="text1"/>
          <w:sz w:val="22"/>
          <w:szCs w:val="18"/>
          <w:lang w:val="es-ES_tradnl"/>
        </w:rPr>
      </w:pPr>
      <w:r w:rsidRPr="006C0176">
        <w:rPr>
          <w:rFonts w:ascii="Palatino Linotype" w:eastAsia="MS Mincho" w:hAnsi="Palatino Linotype" w:cs="Arial"/>
          <w:b/>
          <w:i/>
          <w:color w:val="000000" w:themeColor="text1"/>
          <w:sz w:val="22"/>
          <w:szCs w:val="22"/>
          <w:lang w:val="es-ES_tradnl"/>
        </w:rPr>
        <w:t>Congruencia y exhaustividad. Sus alcances para garantizar el derecho de acceso a la información.</w:t>
      </w:r>
      <w:r w:rsidRPr="006C0176">
        <w:rPr>
          <w:rFonts w:ascii="Palatino Linotype" w:eastAsia="MS Mincho" w:hAnsi="Palatino Linotype" w:cs="Arial"/>
          <w:i/>
          <w:color w:val="000000" w:themeColor="text1"/>
          <w:sz w:val="22"/>
          <w:szCs w:val="22"/>
          <w:lang w:val="es-ES_tradnl"/>
        </w:rPr>
        <w:t xml:space="preserve"> De conformidad con el artículo 3 de la Ley Federal de Procedimiento</w:t>
      </w:r>
      <w:r w:rsidRPr="006C0176">
        <w:rPr>
          <w:rFonts w:ascii="Palatino Linotype" w:eastAsia="MS Mincho" w:hAnsi="Palatino Linotype" w:cs="Arial"/>
          <w:i/>
          <w:color w:val="000000" w:themeColor="text1"/>
          <w:sz w:val="22"/>
          <w:szCs w:val="18"/>
          <w:lang w:val="es-ES_tradnl"/>
        </w:rPr>
        <w:t xml:space="preserve"> Administrativo, de aplicación supletoria a la Ley Federal de Transparencia y Acceso a la Información Pública, en términos de su artículo 7; todo acto administrativo debe cumplir con los principios de congruencia y exhaustividad</w:t>
      </w:r>
      <w:r w:rsidRPr="006C0176">
        <w:rPr>
          <w:rFonts w:ascii="Palatino Linotype" w:eastAsia="MS Mincho" w:hAnsi="Palatino Linotype" w:cs="Arial"/>
          <w:b/>
          <w:bCs/>
          <w:i/>
          <w:color w:val="000000" w:themeColor="text1"/>
          <w:sz w:val="22"/>
          <w:szCs w:val="18"/>
          <w:lang w:val="es-ES_tradnl"/>
        </w:rPr>
        <w:t>.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w:t>
      </w:r>
      <w:r w:rsidRPr="006C0176">
        <w:rPr>
          <w:rFonts w:ascii="Palatino Linotype" w:eastAsia="MS Mincho" w:hAnsi="Palatino Linotype" w:cs="Arial"/>
          <w:i/>
          <w:color w:val="000000" w:themeColor="text1"/>
          <w:sz w:val="22"/>
          <w:szCs w:val="18"/>
          <w:lang w:val="es-ES_tradnl"/>
        </w:rPr>
        <w:t xml:space="preserve">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EAE4326" w14:textId="77777777" w:rsidR="00FC7758" w:rsidRPr="006C0176" w:rsidRDefault="00FC7758" w:rsidP="00591D0F">
      <w:pPr>
        <w:autoSpaceDE w:val="0"/>
        <w:autoSpaceDN w:val="0"/>
        <w:adjustRightInd w:val="0"/>
        <w:spacing w:before="100" w:beforeAutospacing="1" w:after="100" w:afterAutospacing="1"/>
        <w:ind w:left="851" w:right="899"/>
        <w:contextualSpacing/>
        <w:jc w:val="both"/>
        <w:rPr>
          <w:rFonts w:ascii="Palatino Linotype" w:eastAsia="MS Mincho" w:hAnsi="Palatino Linotype" w:cs="Arial"/>
          <w:i/>
          <w:color w:val="000000" w:themeColor="text1"/>
          <w:szCs w:val="20"/>
          <w:lang w:val="es-ES_tradnl"/>
        </w:rPr>
      </w:pPr>
    </w:p>
    <w:p w14:paraId="421572E9" w14:textId="77777777" w:rsidR="00FF3D6A" w:rsidRPr="006C0176" w:rsidRDefault="00FF3D6A" w:rsidP="00591D0F">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6C0176">
        <w:rPr>
          <w:rFonts w:ascii="Palatino Linotype" w:hAnsi="Palatino Linotype" w:cs="Arial"/>
        </w:rPr>
        <w:t>A</w:t>
      </w:r>
      <w:r w:rsidRPr="006C0176">
        <w:rPr>
          <w:rFonts w:ascii="Palatino Linotype" w:hAnsi="Palatino Linotype"/>
        </w:rPr>
        <w:t xml:space="preserve">hora </w:t>
      </w:r>
      <w:r w:rsidRPr="006C0176">
        <w:rPr>
          <w:rFonts w:ascii="Palatino Linotype" w:hAnsi="Palatino Linotype" w:cs="Arial"/>
          <w:noProof/>
          <w:lang w:eastAsia="es-MX"/>
        </w:rPr>
        <w:t>bien</w:t>
      </w:r>
      <w:r w:rsidRPr="006C0176">
        <w:rPr>
          <w:rFonts w:ascii="Palatino Linotype" w:hAnsi="Palatino Linotype"/>
        </w:rPr>
        <w:t xml:space="preserve">, en relación a la </w:t>
      </w:r>
      <w:r w:rsidRPr="006C0176">
        <w:rPr>
          <w:rFonts w:ascii="Palatino Linotype" w:hAnsi="Palatino Linotype"/>
          <w:b/>
        </w:rPr>
        <w:t xml:space="preserve">versión pública </w:t>
      </w:r>
      <w:r w:rsidRPr="006C0176">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6C0176">
        <w:rPr>
          <w:rFonts w:ascii="Palatino Linotype" w:eastAsia="Arial Unicode MS" w:hAnsi="Palatino Linotype" w:cs="Arial"/>
        </w:rPr>
        <w:t>omitirse, eliminarse o suprimirse la</w:t>
      </w:r>
      <w:r w:rsidRPr="006C0176">
        <w:rPr>
          <w:rFonts w:ascii="Palatino Linotype" w:hAnsi="Palatino Linotype"/>
        </w:rPr>
        <w:t xml:space="preserve"> información </w:t>
      </w:r>
      <w:r w:rsidRPr="006C0176">
        <w:rPr>
          <w:rFonts w:ascii="Palatino Linotype" w:hAnsi="Palatino Linotype"/>
          <w:b/>
        </w:rPr>
        <w:t>confidencial</w:t>
      </w:r>
      <w:r w:rsidRPr="006C0176">
        <w:rPr>
          <w:rFonts w:ascii="Palatino Linotype" w:eastAsia="Arial Unicode MS" w:hAnsi="Palatino Linotype" w:cs="Arial"/>
        </w:rPr>
        <w:t xml:space="preserve">. </w:t>
      </w:r>
    </w:p>
    <w:p w14:paraId="368E0B2A" w14:textId="77777777" w:rsidR="005049B5" w:rsidRPr="006C0176" w:rsidRDefault="005049B5" w:rsidP="005049B5">
      <w:pPr>
        <w:spacing w:before="100" w:beforeAutospacing="1" w:after="100" w:afterAutospacing="1" w:line="360" w:lineRule="auto"/>
        <w:jc w:val="both"/>
        <w:rPr>
          <w:rFonts w:ascii="Palatino Linotype" w:hAnsi="Palatino Linotype" w:cs="Arial"/>
        </w:rPr>
      </w:pPr>
      <w:r w:rsidRPr="006C0176">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24F1A96"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 xml:space="preserve">“Artículo 49. </w:t>
      </w:r>
      <w:r w:rsidRPr="006C0176">
        <w:rPr>
          <w:rFonts w:ascii="Palatino Linotype" w:hAnsi="Palatino Linotype" w:cs="Arial"/>
          <w:i/>
          <w:sz w:val="22"/>
          <w:szCs w:val="22"/>
        </w:rPr>
        <w:t>Los Comités de Transparencia tendrán las siguientes atribuciones:</w:t>
      </w:r>
    </w:p>
    <w:p w14:paraId="2FBB952E"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VIII.</w:t>
      </w:r>
      <w:r w:rsidRPr="006C0176">
        <w:rPr>
          <w:rFonts w:ascii="Palatino Linotype" w:hAnsi="Palatino Linotype" w:cs="Arial"/>
          <w:i/>
          <w:sz w:val="22"/>
          <w:szCs w:val="22"/>
        </w:rPr>
        <w:t xml:space="preserve"> Aprobar, modificar o revocar la clasificación de la información;</w:t>
      </w:r>
    </w:p>
    <w:p w14:paraId="4A56D164"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Artículo 132.</w:t>
      </w:r>
      <w:r w:rsidRPr="006C0176">
        <w:rPr>
          <w:rFonts w:ascii="Palatino Linotype" w:hAnsi="Palatino Linotype" w:cs="Arial"/>
          <w:i/>
          <w:sz w:val="22"/>
          <w:szCs w:val="22"/>
        </w:rPr>
        <w:t xml:space="preserve"> La clasificación de la información se llevará a cabo en el momento en que:</w:t>
      </w:r>
    </w:p>
    <w:p w14:paraId="7FABC556"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I.</w:t>
      </w:r>
      <w:r w:rsidRPr="006C0176">
        <w:rPr>
          <w:rFonts w:ascii="Palatino Linotype" w:hAnsi="Palatino Linotype" w:cs="Arial"/>
          <w:i/>
          <w:sz w:val="22"/>
          <w:szCs w:val="22"/>
        </w:rPr>
        <w:t xml:space="preserve"> Se reciba una solicitud de acceso a la información;</w:t>
      </w:r>
    </w:p>
    <w:p w14:paraId="7BBE768A"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II.</w:t>
      </w:r>
      <w:r w:rsidRPr="006C0176">
        <w:rPr>
          <w:rFonts w:ascii="Palatino Linotype" w:hAnsi="Palatino Linotype" w:cs="Arial"/>
          <w:i/>
          <w:sz w:val="22"/>
          <w:szCs w:val="22"/>
        </w:rPr>
        <w:t xml:space="preserve"> Se determine mediante resolución de autoridad competente; o</w:t>
      </w:r>
    </w:p>
    <w:p w14:paraId="54D6878A"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b/>
          <w:i/>
          <w:sz w:val="22"/>
          <w:szCs w:val="22"/>
        </w:rPr>
      </w:pPr>
      <w:r w:rsidRPr="006C0176">
        <w:rPr>
          <w:rFonts w:ascii="Palatino Linotype" w:hAnsi="Palatino Linotype" w:cs="Arial"/>
          <w:i/>
          <w:sz w:val="22"/>
          <w:szCs w:val="22"/>
        </w:rPr>
        <w:t>III. Se generen versiones públicas para dar cumplimiento a las obligaciones de transparencia previstas en esta Ley.</w:t>
      </w:r>
      <w:r w:rsidRPr="006C0176">
        <w:rPr>
          <w:rFonts w:ascii="Palatino Linotype" w:hAnsi="Palatino Linotype" w:cs="Arial"/>
          <w:b/>
          <w:i/>
          <w:sz w:val="22"/>
          <w:szCs w:val="22"/>
        </w:rPr>
        <w:t>”</w:t>
      </w:r>
    </w:p>
    <w:p w14:paraId="451A9944"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“Segundo.-</w:t>
      </w:r>
      <w:r w:rsidRPr="006C0176">
        <w:rPr>
          <w:rFonts w:ascii="Palatino Linotype" w:hAnsi="Palatino Linotype" w:cs="Arial"/>
          <w:i/>
          <w:sz w:val="22"/>
          <w:szCs w:val="22"/>
        </w:rPr>
        <w:t xml:space="preserve"> Para efectos de los presentes Lineamientos Generales, se entenderá por:</w:t>
      </w:r>
    </w:p>
    <w:p w14:paraId="2876A144"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XVIII.</w:t>
      </w:r>
      <w:r w:rsidRPr="006C0176">
        <w:rPr>
          <w:rFonts w:ascii="Palatino Linotype" w:hAnsi="Palatino Linotype" w:cs="Arial"/>
          <w:i/>
          <w:sz w:val="22"/>
          <w:szCs w:val="22"/>
        </w:rPr>
        <w:t xml:space="preserve">  </w:t>
      </w:r>
      <w:r w:rsidRPr="006C0176">
        <w:rPr>
          <w:rFonts w:ascii="Palatino Linotype" w:hAnsi="Palatino Linotype" w:cs="Arial"/>
          <w:b/>
          <w:i/>
          <w:sz w:val="22"/>
          <w:szCs w:val="22"/>
        </w:rPr>
        <w:t>Versión pública:</w:t>
      </w:r>
      <w:r w:rsidRPr="006C017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A158631"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Cuarto.</w:t>
      </w:r>
      <w:r w:rsidRPr="006C017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6C9F37F"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C8F25FB"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Quinto.</w:t>
      </w:r>
      <w:r w:rsidRPr="006C017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AB0D5AA"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Sexto.</w:t>
      </w:r>
      <w:r w:rsidRPr="006C017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D01BF8A"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71DD060"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Séptimo.</w:t>
      </w:r>
      <w:r w:rsidRPr="006C0176">
        <w:rPr>
          <w:rFonts w:ascii="Palatino Linotype" w:hAnsi="Palatino Linotype" w:cs="Arial"/>
          <w:i/>
          <w:sz w:val="22"/>
          <w:szCs w:val="22"/>
        </w:rPr>
        <w:t xml:space="preserve"> La clasificación de la información se llevará a cabo en el momento en que:</w:t>
      </w:r>
    </w:p>
    <w:p w14:paraId="0DCFB20B"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I.</w:t>
      </w:r>
      <w:r w:rsidRPr="006C0176">
        <w:rPr>
          <w:rFonts w:ascii="Palatino Linotype" w:hAnsi="Palatino Linotype" w:cs="Arial"/>
          <w:i/>
          <w:sz w:val="22"/>
          <w:szCs w:val="22"/>
        </w:rPr>
        <w:t xml:space="preserve">        Se reciba una solicitud de acceso a la información;</w:t>
      </w:r>
    </w:p>
    <w:p w14:paraId="73EE0831"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II.</w:t>
      </w:r>
      <w:r w:rsidRPr="006C0176">
        <w:rPr>
          <w:rFonts w:ascii="Palatino Linotype" w:hAnsi="Palatino Linotype" w:cs="Arial"/>
          <w:i/>
          <w:sz w:val="22"/>
          <w:szCs w:val="22"/>
        </w:rPr>
        <w:t xml:space="preserve">       Se determine mediante resolución de autoridad competente, o</w:t>
      </w:r>
    </w:p>
    <w:p w14:paraId="0DBD227C"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III.</w:t>
      </w:r>
      <w:r w:rsidRPr="006C017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BE0AB11"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50F719B"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Octavo.</w:t>
      </w:r>
      <w:r w:rsidRPr="006C017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C863D9F"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4F6CF55"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B7CD029"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E4A9E65"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7FAB58F0"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Noveno.</w:t>
      </w:r>
      <w:r w:rsidRPr="006C017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B7FDDA1"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b/>
          <w:i/>
          <w:sz w:val="22"/>
          <w:szCs w:val="22"/>
        </w:rPr>
        <w:t>Décimo.</w:t>
      </w:r>
      <w:r w:rsidRPr="006C017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3665FCD" w14:textId="77777777" w:rsidR="005049B5" w:rsidRPr="006C0176" w:rsidRDefault="005049B5" w:rsidP="005049B5">
      <w:pPr>
        <w:spacing w:before="100" w:beforeAutospacing="1" w:after="100" w:afterAutospacing="1" w:line="276" w:lineRule="auto"/>
        <w:ind w:left="851" w:right="902"/>
        <w:jc w:val="both"/>
        <w:rPr>
          <w:rFonts w:ascii="Palatino Linotype" w:hAnsi="Palatino Linotype" w:cs="Arial"/>
          <w:i/>
          <w:sz w:val="22"/>
          <w:szCs w:val="22"/>
        </w:rPr>
      </w:pPr>
      <w:r w:rsidRPr="006C017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9760E1F" w14:textId="77777777" w:rsidR="005049B5" w:rsidRPr="006C0176" w:rsidRDefault="005049B5" w:rsidP="005049B5">
      <w:pPr>
        <w:spacing w:before="100" w:beforeAutospacing="1" w:after="100" w:afterAutospacing="1" w:line="276" w:lineRule="auto"/>
        <w:ind w:left="851" w:right="899"/>
        <w:jc w:val="both"/>
        <w:rPr>
          <w:rFonts w:ascii="Palatino Linotype" w:hAnsi="Palatino Linotype" w:cs="Arial"/>
          <w:b/>
          <w:i/>
          <w:sz w:val="22"/>
          <w:szCs w:val="22"/>
        </w:rPr>
      </w:pPr>
      <w:r w:rsidRPr="006C0176">
        <w:rPr>
          <w:rFonts w:ascii="Palatino Linotype" w:hAnsi="Palatino Linotype" w:cs="Arial"/>
          <w:b/>
          <w:i/>
          <w:sz w:val="22"/>
          <w:szCs w:val="22"/>
        </w:rPr>
        <w:t>Décimo primero.</w:t>
      </w:r>
      <w:r w:rsidRPr="006C017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C0176">
        <w:rPr>
          <w:rFonts w:ascii="Palatino Linotype" w:hAnsi="Palatino Linotype" w:cs="Arial"/>
          <w:b/>
          <w:i/>
          <w:sz w:val="22"/>
          <w:szCs w:val="22"/>
        </w:rPr>
        <w:t>”</w:t>
      </w:r>
    </w:p>
    <w:p w14:paraId="66D5118F" w14:textId="1571AFB8" w:rsidR="00FF3D6A" w:rsidRPr="006C0176" w:rsidRDefault="00FF3D6A" w:rsidP="00591D0F">
      <w:pPr>
        <w:spacing w:before="100" w:beforeAutospacing="1" w:after="100" w:afterAutospacing="1" w:line="360" w:lineRule="auto"/>
        <w:jc w:val="both"/>
        <w:rPr>
          <w:rFonts w:ascii="Palatino Linotype" w:hAnsi="Palatino Linotype" w:cs="Arial"/>
        </w:rPr>
      </w:pPr>
      <w:r w:rsidRPr="006C0176">
        <w:rPr>
          <w:rFonts w:ascii="Palatino Linotype" w:hAnsi="Palatino Linotype"/>
        </w:rPr>
        <w:t xml:space="preserve">Es importante referir que, </w:t>
      </w:r>
      <w:r w:rsidRPr="006C0176">
        <w:rPr>
          <w:rFonts w:ascii="Palatino Linotype" w:hAnsi="Palatino Linotype"/>
          <w:b/>
        </w:rPr>
        <w:t>EL SUJETO OBLIGADO</w:t>
      </w:r>
      <w:r w:rsidRPr="006C0176">
        <w:rPr>
          <w:rFonts w:ascii="Palatino Linotype" w:hAnsi="Palatino Linotype"/>
        </w:rPr>
        <w:t xml:space="preserve"> deberá seguir el procedimiento legal establecido para su </w:t>
      </w:r>
      <w:r w:rsidRPr="006C0176">
        <w:rPr>
          <w:rFonts w:ascii="Palatino Linotype" w:hAnsi="Palatino Linotype"/>
          <w:lang w:eastAsia="es-MX"/>
        </w:rPr>
        <w:t>clasificación</w:t>
      </w:r>
      <w:r w:rsidRPr="006C0176">
        <w:rPr>
          <w:rFonts w:ascii="Palatino Linotype" w:hAnsi="Palatino Linotype"/>
        </w:rPr>
        <w:t>, esto es, que su Comité de</w:t>
      </w:r>
      <w:r w:rsidRPr="006C0176">
        <w:rPr>
          <w:rFonts w:ascii="Palatino Linotype" w:hAnsi="Palatino Linotype" w:cs="Arial"/>
        </w:rPr>
        <w:t xml:space="preserve"> Transparencia emita un Acuerdo de Clasificación que cumpla con las formalidades previstas, antes citadas</w:t>
      </w:r>
      <w:r w:rsidRPr="006C0176">
        <w:rPr>
          <w:rFonts w:ascii="Palatino Linotype" w:hAnsi="Palatino Linotype" w:cs="Arial"/>
          <w:b/>
        </w:rPr>
        <w:t xml:space="preserve"> </w:t>
      </w:r>
      <w:r w:rsidRPr="006C0176">
        <w:rPr>
          <w:rFonts w:ascii="Palatino Linotype" w:hAnsi="Palatino Linotype" w:cs="Arial"/>
        </w:rPr>
        <w:t xml:space="preserve">que lo sustente, en el </w:t>
      </w:r>
      <w:r w:rsidRPr="006C0176">
        <w:rPr>
          <w:rFonts w:ascii="Palatino Linotype" w:hAnsi="Palatino Linotype" w:cs="Arial"/>
          <w:lang w:eastAsia="es-MX"/>
        </w:rPr>
        <w:t>que</w:t>
      </w:r>
      <w:r w:rsidRPr="006C017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8B3CDE" w14:textId="27D3AE05" w:rsidR="003D67E1" w:rsidRPr="006C0176" w:rsidRDefault="003D67E1" w:rsidP="00591D0F">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6C0176">
        <w:rPr>
          <w:rFonts w:ascii="Palatino Linotype" w:hAnsi="Palatino Linotype" w:cs="Arial"/>
          <w:color w:val="000000" w:themeColor="text1"/>
        </w:rPr>
        <w:t xml:space="preserve">En razón de lo anteriormente expuesto, este Instituto estima que las razones o motivos de inconformidad hechos valer por </w:t>
      </w:r>
      <w:r w:rsidRPr="006C0176">
        <w:rPr>
          <w:rFonts w:ascii="Palatino Linotype" w:hAnsi="Palatino Linotype" w:cs="Arial"/>
          <w:b/>
          <w:color w:val="000000" w:themeColor="text1"/>
        </w:rPr>
        <w:t>EL RECURRENTE</w:t>
      </w:r>
      <w:r w:rsidRPr="006C0176">
        <w:rPr>
          <w:rFonts w:ascii="Palatino Linotype" w:hAnsi="Palatino Linotype" w:cs="Arial"/>
          <w:color w:val="000000" w:themeColor="text1"/>
        </w:rPr>
        <w:t xml:space="preserve"> devienen </w:t>
      </w:r>
      <w:r w:rsidR="009F3039" w:rsidRPr="006C0176">
        <w:rPr>
          <w:rFonts w:ascii="Palatino Linotype" w:hAnsi="Palatino Linotype" w:cs="Arial"/>
          <w:b/>
          <w:bCs/>
          <w:lang w:val="es-ES"/>
        </w:rPr>
        <w:t>parcialmente</w:t>
      </w:r>
      <w:r w:rsidR="009F3039" w:rsidRPr="006C0176">
        <w:rPr>
          <w:rFonts w:ascii="Palatino Linotype" w:hAnsi="Palatino Linotype" w:cs="Arial"/>
          <w:lang w:val="es-ES"/>
        </w:rPr>
        <w:t xml:space="preserve"> </w:t>
      </w:r>
      <w:r w:rsidRPr="006C0176">
        <w:rPr>
          <w:rFonts w:ascii="Palatino Linotype" w:hAnsi="Palatino Linotype" w:cs="Arial"/>
          <w:b/>
          <w:color w:val="000000" w:themeColor="text1"/>
        </w:rPr>
        <w:t>fundadas</w:t>
      </w:r>
      <w:r w:rsidRPr="006C0176">
        <w:rPr>
          <w:rFonts w:ascii="Palatino Linotype" w:hAnsi="Palatino Linotype" w:cs="Arial"/>
          <w:color w:val="000000" w:themeColor="text1"/>
        </w:rPr>
        <w:t xml:space="preserve"> y suficientes para </w:t>
      </w:r>
      <w:r w:rsidR="00F91F38" w:rsidRPr="006C0176">
        <w:rPr>
          <w:rFonts w:ascii="Palatino Linotype" w:hAnsi="Palatino Linotype" w:cs="Arial"/>
          <w:b/>
          <w:color w:val="000000" w:themeColor="text1"/>
        </w:rPr>
        <w:t>MODIFICAR</w:t>
      </w:r>
      <w:r w:rsidRPr="006C0176">
        <w:rPr>
          <w:rFonts w:ascii="Palatino Linotype" w:hAnsi="Palatino Linotype" w:cs="Arial"/>
          <w:color w:val="000000" w:themeColor="text1"/>
        </w:rPr>
        <w:t xml:space="preserve"> la respuesta del </w:t>
      </w:r>
      <w:r w:rsidRPr="006C0176">
        <w:rPr>
          <w:rFonts w:ascii="Palatino Linotype" w:hAnsi="Palatino Linotype" w:cs="Arial"/>
          <w:b/>
          <w:color w:val="000000" w:themeColor="text1"/>
        </w:rPr>
        <w:t>SUJETO OBLIGADO</w:t>
      </w:r>
      <w:r w:rsidRPr="006C0176">
        <w:rPr>
          <w:rFonts w:ascii="Palatino Linotype" w:hAnsi="Palatino Linotype" w:cs="Arial"/>
          <w:color w:val="000000" w:themeColor="text1"/>
        </w:rPr>
        <w:t xml:space="preserve"> y ordenarle haga entrega de la información descrita en el presente Considerando.</w:t>
      </w:r>
    </w:p>
    <w:p w14:paraId="12575A48" w14:textId="39B578FE" w:rsidR="003215E1" w:rsidRPr="006C0176" w:rsidRDefault="003215E1" w:rsidP="00591D0F">
      <w:pPr>
        <w:spacing w:before="100" w:beforeAutospacing="1" w:after="100" w:afterAutospacing="1" w:line="360" w:lineRule="auto"/>
        <w:jc w:val="both"/>
        <w:rPr>
          <w:rFonts w:ascii="Palatino Linotype" w:eastAsia="Calibri" w:hAnsi="Palatino Linotype" w:cs="Arial"/>
          <w:color w:val="000000" w:themeColor="text1"/>
        </w:rPr>
      </w:pPr>
      <w:r w:rsidRPr="006C0176">
        <w:rPr>
          <w:rFonts w:ascii="Palatino Linotype" w:eastAsia="Calibri" w:hAnsi="Palatino Linotype" w:cs="Arial"/>
          <w:color w:val="000000" w:themeColor="text1"/>
        </w:rPr>
        <w:t xml:space="preserve">Así, con fundamento en lo previsto en los artículos 5, párrafos </w:t>
      </w:r>
      <w:r w:rsidRPr="006C0176">
        <w:rPr>
          <w:rFonts w:ascii="Palatino Linotype" w:hAnsi="Palatino Linotype"/>
          <w:color w:val="000000" w:themeColor="text1"/>
        </w:rPr>
        <w:t>trigésimo, trigésimo primero y trigésimo segundo</w:t>
      </w:r>
      <w:r w:rsidRPr="006C0176">
        <w:rPr>
          <w:rFonts w:ascii="Palatino Linotype" w:eastAsia="Calibri" w:hAnsi="Palatino Linotype" w:cs="Arial"/>
          <w:color w:val="000000" w:themeColor="text1"/>
        </w:rPr>
        <w:t xml:space="preserve">, fracciones IV y V de la Constitución Política del Estado Libre y Soberano de México; </w:t>
      </w:r>
      <w:r w:rsidRPr="006C0176">
        <w:rPr>
          <w:rFonts w:ascii="Palatino Linotype" w:hAnsi="Palatino Linotype" w:cs="Arial"/>
          <w:color w:val="000000" w:themeColor="text1"/>
        </w:rPr>
        <w:t>2, fracción II, 29, 36, fracciones I y II, 176, 178, 179, 181, 185 fracción I, 186 y 188</w:t>
      </w:r>
      <w:r w:rsidRPr="006C0176">
        <w:rPr>
          <w:rFonts w:ascii="Palatino Linotype" w:eastAsia="Calibri" w:hAnsi="Palatino Linotype" w:cs="Arial"/>
          <w:color w:val="000000" w:themeColor="text1"/>
        </w:rPr>
        <w:t xml:space="preserve"> de la Ley de Transparencia y Acceso a la Información Pública del Estado de México y Municipios, este Pleno: </w:t>
      </w:r>
    </w:p>
    <w:p w14:paraId="3C2F3554" w14:textId="77777777" w:rsidR="003215E1" w:rsidRPr="006C0176" w:rsidRDefault="003215E1" w:rsidP="00591D0F">
      <w:pPr>
        <w:spacing w:before="100" w:beforeAutospacing="1" w:after="100" w:afterAutospacing="1" w:line="360" w:lineRule="auto"/>
        <w:jc w:val="center"/>
        <w:rPr>
          <w:rFonts w:ascii="Palatino Linotype" w:hAnsi="Palatino Linotype"/>
          <w:b/>
          <w:sz w:val="28"/>
        </w:rPr>
      </w:pPr>
      <w:r w:rsidRPr="006C0176">
        <w:rPr>
          <w:rFonts w:ascii="Palatino Linotype" w:hAnsi="Palatino Linotype"/>
          <w:b/>
          <w:sz w:val="28"/>
        </w:rPr>
        <w:t>R E S U E L V E</w:t>
      </w:r>
    </w:p>
    <w:p w14:paraId="489D1241" w14:textId="64FDD3B7" w:rsidR="0051121E" w:rsidRPr="006C0176" w:rsidRDefault="0051121E" w:rsidP="00591D0F">
      <w:pPr>
        <w:spacing w:before="100" w:beforeAutospacing="1" w:after="100" w:afterAutospacing="1" w:line="360" w:lineRule="auto"/>
        <w:jc w:val="both"/>
        <w:rPr>
          <w:rFonts w:ascii="Palatino Linotype" w:hAnsi="Palatino Linotype" w:cs="Arial"/>
          <w:lang w:val="es-ES"/>
        </w:rPr>
      </w:pPr>
      <w:r w:rsidRPr="006C0176">
        <w:rPr>
          <w:rFonts w:ascii="Palatino Linotype" w:hAnsi="Palatino Linotype" w:cs="Arial"/>
          <w:b/>
          <w:sz w:val="28"/>
          <w:szCs w:val="28"/>
          <w:lang w:val="es-ES"/>
        </w:rPr>
        <w:t>PRIMERO</w:t>
      </w:r>
      <w:r w:rsidRPr="006C0176">
        <w:rPr>
          <w:rFonts w:ascii="Palatino Linotype" w:hAnsi="Palatino Linotype" w:cs="Arial"/>
          <w:sz w:val="28"/>
          <w:szCs w:val="28"/>
          <w:lang w:val="es-ES"/>
        </w:rPr>
        <w:t>.</w:t>
      </w:r>
      <w:r w:rsidRPr="006C0176">
        <w:rPr>
          <w:rFonts w:ascii="Palatino Linotype" w:hAnsi="Palatino Linotype" w:cs="Arial"/>
          <w:lang w:val="es-ES"/>
        </w:rPr>
        <w:t xml:space="preserve"> Resultan </w:t>
      </w:r>
      <w:r w:rsidR="009F3039" w:rsidRPr="006C0176">
        <w:rPr>
          <w:rFonts w:ascii="Palatino Linotype" w:hAnsi="Palatino Linotype" w:cs="Arial"/>
          <w:b/>
          <w:bCs/>
          <w:lang w:val="es-ES"/>
        </w:rPr>
        <w:t>parcialmente</w:t>
      </w:r>
      <w:r w:rsidR="009F3039" w:rsidRPr="006C0176">
        <w:rPr>
          <w:rFonts w:ascii="Palatino Linotype" w:hAnsi="Palatino Linotype" w:cs="Arial"/>
          <w:lang w:val="es-ES"/>
        </w:rPr>
        <w:t xml:space="preserve"> </w:t>
      </w:r>
      <w:r w:rsidRPr="006C0176">
        <w:rPr>
          <w:rFonts w:ascii="Palatino Linotype" w:hAnsi="Palatino Linotype" w:cs="Arial"/>
          <w:b/>
          <w:lang w:val="es-ES"/>
        </w:rPr>
        <w:t>fundadas</w:t>
      </w:r>
      <w:r w:rsidRPr="006C0176">
        <w:rPr>
          <w:rFonts w:ascii="Palatino Linotype" w:hAnsi="Palatino Linotype" w:cs="Arial"/>
          <w:lang w:val="es-ES"/>
        </w:rPr>
        <w:t xml:space="preserve"> las razones o motivos de inconformidad planteadas por </w:t>
      </w:r>
      <w:r w:rsidRPr="006C0176">
        <w:rPr>
          <w:rFonts w:ascii="Palatino Linotype" w:hAnsi="Palatino Linotype" w:cs="Arial"/>
          <w:b/>
          <w:lang w:val="es-ES"/>
        </w:rPr>
        <w:t xml:space="preserve">EL RECURRENTE </w:t>
      </w:r>
      <w:r w:rsidRPr="006C0176">
        <w:rPr>
          <w:rFonts w:ascii="Palatino Linotype" w:hAnsi="Palatino Linotype" w:cs="Arial"/>
          <w:bCs/>
          <w:lang w:val="es-ES"/>
        </w:rPr>
        <w:t>en el Recurso de Revisión</w:t>
      </w:r>
      <w:r w:rsidRPr="006C0176">
        <w:rPr>
          <w:rFonts w:ascii="Palatino Linotype" w:hAnsi="Palatino Linotype" w:cs="Arial"/>
          <w:b/>
          <w:lang w:val="es-ES"/>
        </w:rPr>
        <w:t xml:space="preserve"> </w:t>
      </w:r>
      <w:r w:rsidR="006B2CB0" w:rsidRPr="006C0176">
        <w:rPr>
          <w:rFonts w:ascii="Palatino Linotype" w:hAnsi="Palatino Linotype" w:cs="Arial"/>
          <w:b/>
          <w:bCs/>
          <w:szCs w:val="22"/>
        </w:rPr>
        <w:t>1</w:t>
      </w:r>
      <w:r w:rsidR="00FC7758" w:rsidRPr="006C0176">
        <w:rPr>
          <w:rFonts w:ascii="Palatino Linotype" w:hAnsi="Palatino Linotype" w:cs="Arial"/>
          <w:b/>
          <w:bCs/>
          <w:szCs w:val="22"/>
        </w:rPr>
        <w:t>7242</w:t>
      </w:r>
      <w:r w:rsidRPr="006C0176">
        <w:rPr>
          <w:rFonts w:ascii="Palatino Linotype" w:hAnsi="Palatino Linotype" w:cs="Arial"/>
          <w:b/>
          <w:lang w:val="es-ES"/>
        </w:rPr>
        <w:t>/INFOEM/IP/RR/2022</w:t>
      </w:r>
      <w:r w:rsidRPr="006C0176">
        <w:rPr>
          <w:rFonts w:ascii="Palatino Linotype" w:hAnsi="Palatino Linotype" w:cs="Arial"/>
          <w:lang w:val="es-ES"/>
        </w:rPr>
        <w:t xml:space="preserve"> y en términos del </w:t>
      </w:r>
      <w:r w:rsidR="00F91F38" w:rsidRPr="006C0176">
        <w:rPr>
          <w:rFonts w:ascii="Palatino Linotype" w:hAnsi="Palatino Linotype" w:cs="Arial"/>
          <w:b/>
          <w:bCs/>
        </w:rPr>
        <w:t>CONSIDERANDO QUINTO</w:t>
      </w:r>
      <w:r w:rsidR="00F91F38" w:rsidRPr="006C0176">
        <w:rPr>
          <w:rFonts w:ascii="Palatino Linotype" w:hAnsi="Palatino Linotype" w:cs="Arial"/>
        </w:rPr>
        <w:t xml:space="preserve"> </w:t>
      </w:r>
      <w:r w:rsidRPr="006C0176">
        <w:rPr>
          <w:rFonts w:ascii="Palatino Linotype" w:hAnsi="Palatino Linotype" w:cs="Arial"/>
          <w:lang w:val="es-ES"/>
        </w:rPr>
        <w:t>de la presente Resolución.</w:t>
      </w:r>
    </w:p>
    <w:p w14:paraId="4CD22FEA" w14:textId="140AA859" w:rsidR="0051121E" w:rsidRPr="00BA6F11" w:rsidRDefault="0051121E" w:rsidP="00591D0F">
      <w:pPr>
        <w:spacing w:before="100" w:beforeAutospacing="1" w:after="100" w:afterAutospacing="1" w:line="360" w:lineRule="auto"/>
        <w:jc w:val="both"/>
        <w:rPr>
          <w:rFonts w:ascii="Palatino Linotype" w:eastAsia="Palatino Linotype" w:hAnsi="Palatino Linotype" w:cs="Palatino Linotype"/>
        </w:rPr>
      </w:pPr>
      <w:r w:rsidRPr="006C0176">
        <w:rPr>
          <w:rFonts w:ascii="Palatino Linotype" w:hAnsi="Palatino Linotype" w:cs="Arial"/>
          <w:b/>
          <w:sz w:val="28"/>
          <w:szCs w:val="28"/>
          <w:lang w:val="es-ES"/>
        </w:rPr>
        <w:t>SEGUNDO</w:t>
      </w:r>
      <w:r w:rsidRPr="006C0176">
        <w:rPr>
          <w:rFonts w:ascii="Palatino Linotype" w:hAnsi="Palatino Linotype" w:cs="Arial"/>
          <w:sz w:val="28"/>
          <w:szCs w:val="28"/>
          <w:lang w:val="es-ES"/>
        </w:rPr>
        <w:t>.</w:t>
      </w:r>
      <w:r w:rsidRPr="006C0176">
        <w:rPr>
          <w:rFonts w:ascii="Palatino Linotype" w:hAnsi="Palatino Linotype" w:cs="Arial"/>
          <w:lang w:val="es-ES"/>
        </w:rPr>
        <w:t xml:space="preserve"> </w:t>
      </w:r>
      <w:r w:rsidRPr="006C0176">
        <w:rPr>
          <w:rFonts w:ascii="Palatino Linotype" w:eastAsia="Calibri" w:hAnsi="Palatino Linotype" w:cs="Arial"/>
        </w:rPr>
        <w:t xml:space="preserve">Se </w:t>
      </w:r>
      <w:r w:rsidR="00F91F38" w:rsidRPr="006C0176">
        <w:rPr>
          <w:rFonts w:ascii="Palatino Linotype" w:eastAsia="Calibri" w:hAnsi="Palatino Linotype" w:cs="Arial"/>
          <w:b/>
        </w:rPr>
        <w:t>MODIFICA</w:t>
      </w:r>
      <w:r w:rsidRPr="006C0176">
        <w:rPr>
          <w:rFonts w:ascii="Palatino Linotype" w:eastAsia="Calibri" w:hAnsi="Palatino Linotype" w:cs="Arial"/>
          <w:b/>
        </w:rPr>
        <w:t xml:space="preserve"> </w:t>
      </w:r>
      <w:r w:rsidRPr="006C0176">
        <w:rPr>
          <w:rFonts w:ascii="Palatino Linotype" w:eastAsia="Calibri" w:hAnsi="Palatino Linotype" w:cs="Arial"/>
        </w:rPr>
        <w:t xml:space="preserve">la respuesta proporcionada por </w:t>
      </w:r>
      <w:r w:rsidR="00056FAA" w:rsidRPr="006C0176">
        <w:rPr>
          <w:rFonts w:ascii="Palatino Linotype" w:eastAsia="Calibri" w:hAnsi="Palatino Linotype" w:cs="Arial"/>
        </w:rPr>
        <w:t>el</w:t>
      </w:r>
      <w:r w:rsidR="00595E0F" w:rsidRPr="006C0176">
        <w:rPr>
          <w:rFonts w:ascii="Palatino Linotype" w:eastAsia="Calibri" w:hAnsi="Palatino Linotype" w:cs="Arial"/>
        </w:rPr>
        <w:t xml:space="preserve"> </w:t>
      </w:r>
      <w:r w:rsidR="00F91F38" w:rsidRPr="006C0176">
        <w:rPr>
          <w:rFonts w:ascii="Palatino Linotype" w:eastAsia="Calibri" w:hAnsi="Palatino Linotype" w:cs="Arial"/>
          <w:b/>
          <w:bCs/>
        </w:rPr>
        <w:t xml:space="preserve">Ayuntamiento de </w:t>
      </w:r>
      <w:r w:rsidR="00F91F38" w:rsidRPr="00A01C5B">
        <w:rPr>
          <w:rFonts w:ascii="Palatino Linotype" w:eastAsia="Calibri" w:hAnsi="Palatino Linotype" w:cs="Arial"/>
          <w:b/>
          <w:bCs/>
        </w:rPr>
        <w:t xml:space="preserve">Ixtlahuaca </w:t>
      </w:r>
      <w:r w:rsidRPr="00A01C5B">
        <w:rPr>
          <w:rFonts w:ascii="Palatino Linotype" w:eastAsia="Calibri" w:hAnsi="Palatino Linotype" w:cs="Arial"/>
          <w:bCs/>
          <w:lang w:val="es-ES"/>
        </w:rPr>
        <w:t xml:space="preserve">y </w:t>
      </w:r>
      <w:r w:rsidRPr="00A01C5B">
        <w:rPr>
          <w:rFonts w:ascii="Palatino Linotype" w:hAnsi="Palatino Linotype" w:cs="Arial"/>
          <w:bCs/>
          <w:lang w:val="es-ES"/>
        </w:rPr>
        <w:t>se</w:t>
      </w:r>
      <w:r w:rsidRPr="00A01C5B">
        <w:rPr>
          <w:rFonts w:ascii="Palatino Linotype" w:hAnsi="Palatino Linotype" w:cs="Arial"/>
          <w:lang w:val="es-ES"/>
        </w:rPr>
        <w:t xml:space="preserve"> </w:t>
      </w:r>
      <w:r w:rsidR="00F91F38" w:rsidRPr="00A01C5B">
        <w:rPr>
          <w:rFonts w:ascii="Palatino Linotype" w:hAnsi="Palatino Linotype" w:cs="Arial"/>
          <w:b/>
          <w:bCs/>
          <w:lang w:val="es-ES"/>
        </w:rPr>
        <w:t>ORDENA</w:t>
      </w:r>
      <w:r w:rsidR="00F91F38" w:rsidRPr="00A01C5B">
        <w:rPr>
          <w:rFonts w:ascii="Palatino Linotype" w:hAnsi="Palatino Linotype" w:cs="Arial"/>
          <w:lang w:val="es-ES"/>
        </w:rPr>
        <w:t xml:space="preserve"> </w:t>
      </w:r>
      <w:r w:rsidRPr="00A01C5B">
        <w:rPr>
          <w:rFonts w:ascii="Palatino Linotype" w:hAnsi="Palatino Linotype" w:cs="Arial"/>
          <w:lang w:val="es-ES"/>
        </w:rPr>
        <w:t xml:space="preserve">haga entrega al </w:t>
      </w:r>
      <w:r w:rsidRPr="00A01C5B">
        <w:rPr>
          <w:rFonts w:ascii="Palatino Linotype" w:hAnsi="Palatino Linotype" w:cs="Arial"/>
          <w:b/>
          <w:lang w:val="es-ES"/>
        </w:rPr>
        <w:t>RECURRENTE</w:t>
      </w:r>
      <w:r w:rsidRPr="00A01C5B">
        <w:rPr>
          <w:rFonts w:ascii="Palatino Linotype" w:hAnsi="Palatino Linotype" w:cs="Arial"/>
          <w:lang w:val="es-ES"/>
        </w:rPr>
        <w:t xml:space="preserve">, vía el Sistema de Acceso a la </w:t>
      </w:r>
      <w:r w:rsidRPr="00BA6F11">
        <w:rPr>
          <w:rFonts w:ascii="Palatino Linotype" w:hAnsi="Palatino Linotype" w:cs="Arial"/>
          <w:lang w:val="es-ES"/>
        </w:rPr>
        <w:t>Información Mexiquense (</w:t>
      </w:r>
      <w:r w:rsidRPr="00BA6F11">
        <w:rPr>
          <w:rFonts w:ascii="Palatino Linotype" w:hAnsi="Palatino Linotype" w:cs="Arial"/>
          <w:b/>
          <w:lang w:val="es-ES"/>
        </w:rPr>
        <w:t>SAIMEX</w:t>
      </w:r>
      <w:r w:rsidRPr="00BA6F11">
        <w:rPr>
          <w:rFonts w:ascii="Palatino Linotype" w:hAnsi="Palatino Linotype" w:cs="Arial"/>
          <w:lang w:val="es-ES"/>
        </w:rPr>
        <w:t>),</w:t>
      </w:r>
      <w:r w:rsidRPr="00BA6F11">
        <w:rPr>
          <w:rFonts w:ascii="Palatino Linotype" w:eastAsia="Palatino Linotype" w:hAnsi="Palatino Linotype" w:cs="Palatino Linotype"/>
        </w:rPr>
        <w:t xml:space="preserve"> en versión pública,</w:t>
      </w:r>
      <w:r w:rsidR="00595E0F" w:rsidRPr="00BA6F11">
        <w:rPr>
          <w:rFonts w:ascii="Palatino Linotype" w:eastAsia="Palatino Linotype" w:hAnsi="Palatino Linotype" w:cs="Palatino Linotype"/>
        </w:rPr>
        <w:t xml:space="preserve"> </w:t>
      </w:r>
      <w:r w:rsidRPr="00BA6F11">
        <w:rPr>
          <w:rFonts w:ascii="Palatino Linotype" w:eastAsia="Palatino Linotype" w:hAnsi="Palatino Linotype" w:cs="Palatino Linotype"/>
        </w:rPr>
        <w:t xml:space="preserve">lo siguiente: </w:t>
      </w:r>
    </w:p>
    <w:p w14:paraId="02AACA29" w14:textId="137ABE44" w:rsidR="00E57269" w:rsidRPr="00BA6F11" w:rsidRDefault="0051121E" w:rsidP="00591D0F">
      <w:pPr>
        <w:spacing w:before="100" w:beforeAutospacing="1" w:after="100" w:afterAutospacing="1" w:line="276" w:lineRule="auto"/>
        <w:ind w:left="850" w:right="901"/>
        <w:jc w:val="both"/>
        <w:rPr>
          <w:rFonts w:ascii="Palatino Linotype" w:hAnsi="Palatino Linotype"/>
          <w:i/>
          <w:color w:val="000000" w:themeColor="text1"/>
          <w:sz w:val="22"/>
          <w:szCs w:val="22"/>
        </w:rPr>
      </w:pPr>
      <w:bookmarkStart w:id="8" w:name="_Hlk125997019"/>
      <w:r w:rsidRPr="00BA6F11">
        <w:rPr>
          <w:rFonts w:ascii="Palatino Linotype" w:hAnsi="Palatino Linotype"/>
          <w:i/>
          <w:color w:val="000000" w:themeColor="text1"/>
          <w:sz w:val="22"/>
          <w:szCs w:val="22"/>
        </w:rPr>
        <w:t>“</w:t>
      </w:r>
      <w:r w:rsidR="00E57269" w:rsidRPr="00BA6F11">
        <w:rPr>
          <w:rFonts w:ascii="Palatino Linotype" w:hAnsi="Palatino Linotype"/>
          <w:i/>
          <w:color w:val="000000" w:themeColor="text1"/>
          <w:sz w:val="22"/>
          <w:szCs w:val="22"/>
        </w:rPr>
        <w:t xml:space="preserve">a) Copia del contrato </w:t>
      </w:r>
      <w:r w:rsidR="00A01C5B" w:rsidRPr="00BA6F11">
        <w:rPr>
          <w:rFonts w:ascii="Palatino Linotype" w:hAnsi="Palatino Linotype"/>
          <w:i/>
          <w:color w:val="000000" w:themeColor="text1"/>
          <w:sz w:val="22"/>
          <w:szCs w:val="22"/>
        </w:rPr>
        <w:t xml:space="preserve">y expediente técnico </w:t>
      </w:r>
      <w:r w:rsidR="00E57269" w:rsidRPr="00BA6F11">
        <w:rPr>
          <w:rFonts w:ascii="Palatino Linotype" w:hAnsi="Palatino Linotype"/>
          <w:i/>
          <w:color w:val="000000" w:themeColor="text1"/>
          <w:sz w:val="22"/>
          <w:szCs w:val="22"/>
        </w:rPr>
        <w:t xml:space="preserve">de las obras </w:t>
      </w:r>
      <w:r w:rsidR="006F11C5" w:rsidRPr="00BA6F11">
        <w:rPr>
          <w:rFonts w:ascii="Palatino Linotype" w:hAnsi="Palatino Linotype"/>
          <w:i/>
          <w:color w:val="000000" w:themeColor="text1"/>
          <w:sz w:val="22"/>
          <w:szCs w:val="22"/>
        </w:rPr>
        <w:t>públicas</w:t>
      </w:r>
      <w:r w:rsidR="002F159C" w:rsidRPr="00BA6F11">
        <w:rPr>
          <w:rFonts w:ascii="Palatino Linotype" w:hAnsi="Palatino Linotype"/>
          <w:i/>
          <w:color w:val="000000" w:themeColor="text1"/>
          <w:sz w:val="22"/>
          <w:szCs w:val="22"/>
        </w:rPr>
        <w:t xml:space="preserve"> del Municipio de Ixtlahuaca,</w:t>
      </w:r>
      <w:r w:rsidR="006F11C5" w:rsidRPr="00BA6F11">
        <w:rPr>
          <w:rFonts w:ascii="Palatino Linotype" w:hAnsi="Palatino Linotype"/>
          <w:i/>
          <w:color w:val="000000" w:themeColor="text1"/>
          <w:sz w:val="22"/>
          <w:szCs w:val="22"/>
        </w:rPr>
        <w:t xml:space="preserve"> vigente al diecisiete de noviembre de dos mil veintidós, denominadas:</w:t>
      </w:r>
    </w:p>
    <w:p w14:paraId="2856CF16" w14:textId="2E3F1B9D" w:rsidR="00E57269" w:rsidRPr="006C0176" w:rsidRDefault="00E57269" w:rsidP="00591D0F">
      <w:pPr>
        <w:pStyle w:val="Prrafodelista"/>
        <w:numPr>
          <w:ilvl w:val="0"/>
          <w:numId w:val="42"/>
        </w:numPr>
        <w:spacing w:before="100" w:beforeAutospacing="1" w:after="100" w:afterAutospacing="1" w:line="276" w:lineRule="auto"/>
        <w:ind w:right="901"/>
        <w:jc w:val="both"/>
        <w:rPr>
          <w:rFonts w:ascii="Palatino Linotype" w:hAnsi="Palatino Linotype"/>
          <w:i/>
          <w:color w:val="000000" w:themeColor="text1"/>
          <w:sz w:val="22"/>
          <w:szCs w:val="22"/>
        </w:rPr>
      </w:pPr>
      <w:r w:rsidRPr="00BA6F11">
        <w:rPr>
          <w:rFonts w:ascii="Palatino Linotype" w:hAnsi="Palatino Linotype"/>
          <w:i/>
          <w:color w:val="000000" w:themeColor="text1"/>
          <w:sz w:val="22"/>
          <w:szCs w:val="22"/>
        </w:rPr>
        <w:t>OP 176 Construcción de pavimentación concreto</w:t>
      </w:r>
      <w:r w:rsidRPr="006C0176">
        <w:rPr>
          <w:rFonts w:ascii="Palatino Linotype" w:hAnsi="Palatino Linotype"/>
          <w:i/>
          <w:color w:val="000000" w:themeColor="text1"/>
          <w:sz w:val="22"/>
          <w:szCs w:val="22"/>
        </w:rPr>
        <w:t xml:space="preserve"> hidráulico en bulevar 16 de septiembre precisamente frente </w:t>
      </w:r>
      <w:r w:rsidR="002F159C" w:rsidRPr="006C0176">
        <w:rPr>
          <w:rFonts w:ascii="Palatino Linotype" w:hAnsi="Palatino Linotype"/>
          <w:i/>
          <w:color w:val="000000" w:themeColor="text1"/>
          <w:sz w:val="22"/>
          <w:szCs w:val="22"/>
        </w:rPr>
        <w:t xml:space="preserve">al </w:t>
      </w:r>
      <w:r w:rsidRPr="006C0176">
        <w:rPr>
          <w:rFonts w:ascii="Palatino Linotype" w:hAnsi="Palatino Linotype"/>
          <w:i/>
          <w:color w:val="000000" w:themeColor="text1"/>
          <w:sz w:val="22"/>
          <w:szCs w:val="22"/>
        </w:rPr>
        <w:t>Auditorio</w:t>
      </w:r>
      <w:r w:rsidR="002F159C" w:rsidRPr="006C0176">
        <w:rPr>
          <w:rFonts w:ascii="Palatino Linotype" w:hAnsi="Palatino Linotype"/>
          <w:i/>
          <w:color w:val="000000" w:themeColor="text1"/>
          <w:sz w:val="22"/>
          <w:szCs w:val="22"/>
        </w:rPr>
        <w:t>.</w:t>
      </w:r>
    </w:p>
    <w:p w14:paraId="1F92EF44" w14:textId="5124CE3E" w:rsidR="00E57269" w:rsidRPr="006C0176" w:rsidRDefault="00E57269" w:rsidP="00591D0F">
      <w:pPr>
        <w:pStyle w:val="Prrafodelista"/>
        <w:numPr>
          <w:ilvl w:val="0"/>
          <w:numId w:val="42"/>
        </w:numPr>
        <w:spacing w:before="100" w:beforeAutospacing="1" w:after="100" w:afterAutospacing="1" w:line="276" w:lineRule="auto"/>
        <w:ind w:right="901"/>
        <w:jc w:val="both"/>
        <w:rPr>
          <w:rFonts w:ascii="Palatino Linotype" w:hAnsi="Palatino Linotype"/>
          <w:i/>
          <w:color w:val="000000" w:themeColor="text1"/>
          <w:sz w:val="22"/>
          <w:szCs w:val="22"/>
        </w:rPr>
      </w:pPr>
      <w:r w:rsidRPr="006C0176">
        <w:rPr>
          <w:rFonts w:ascii="Palatino Linotype" w:hAnsi="Palatino Linotype"/>
          <w:i/>
          <w:color w:val="000000" w:themeColor="text1"/>
          <w:sz w:val="22"/>
          <w:szCs w:val="22"/>
        </w:rPr>
        <w:t>OP 177 Construcción de pavimentación concreto hidráulico en calle 16 de septiembre</w:t>
      </w:r>
      <w:r w:rsidR="002F159C" w:rsidRPr="006C0176">
        <w:rPr>
          <w:rFonts w:ascii="Palatino Linotype" w:hAnsi="Palatino Linotype"/>
          <w:i/>
          <w:color w:val="000000" w:themeColor="text1"/>
          <w:sz w:val="22"/>
          <w:szCs w:val="22"/>
        </w:rPr>
        <w:t>.</w:t>
      </w:r>
    </w:p>
    <w:p w14:paraId="2CB91EF4" w14:textId="67FEEA3A" w:rsidR="00E57269" w:rsidRPr="006C0176" w:rsidRDefault="00E57269" w:rsidP="00591D0F">
      <w:pPr>
        <w:pStyle w:val="Prrafodelista"/>
        <w:numPr>
          <w:ilvl w:val="0"/>
          <w:numId w:val="42"/>
        </w:numPr>
        <w:spacing w:before="100" w:beforeAutospacing="1" w:after="100" w:afterAutospacing="1" w:line="276" w:lineRule="auto"/>
        <w:ind w:right="901"/>
        <w:jc w:val="both"/>
        <w:rPr>
          <w:rFonts w:ascii="Palatino Linotype" w:hAnsi="Palatino Linotype"/>
          <w:i/>
          <w:color w:val="000000" w:themeColor="text1"/>
          <w:sz w:val="22"/>
          <w:szCs w:val="22"/>
        </w:rPr>
      </w:pPr>
      <w:r w:rsidRPr="006C0176">
        <w:rPr>
          <w:rFonts w:ascii="Palatino Linotype" w:hAnsi="Palatino Linotype"/>
          <w:i/>
          <w:color w:val="000000" w:themeColor="text1"/>
          <w:sz w:val="22"/>
          <w:szCs w:val="22"/>
        </w:rPr>
        <w:t>OP 179 Construcción de pavimentación concreto hidráulico 16 de septiembre por la Unidad deportiva</w:t>
      </w:r>
      <w:r w:rsidR="002F159C" w:rsidRPr="006C0176">
        <w:rPr>
          <w:rFonts w:ascii="Palatino Linotype" w:hAnsi="Palatino Linotype"/>
          <w:i/>
          <w:color w:val="000000" w:themeColor="text1"/>
          <w:sz w:val="22"/>
          <w:szCs w:val="22"/>
        </w:rPr>
        <w:t>.</w:t>
      </w:r>
    </w:p>
    <w:p w14:paraId="5E10B21A" w14:textId="6A887153" w:rsidR="00602BA9" w:rsidRPr="00BA6F11" w:rsidRDefault="00A01C5B" w:rsidP="00DB749C">
      <w:pPr>
        <w:pStyle w:val="Prrafodelista"/>
        <w:numPr>
          <w:ilvl w:val="0"/>
          <w:numId w:val="40"/>
        </w:numPr>
        <w:spacing w:before="100" w:beforeAutospacing="1" w:after="100" w:afterAutospacing="1" w:line="276" w:lineRule="auto"/>
        <w:ind w:left="850" w:right="901"/>
        <w:jc w:val="both"/>
        <w:rPr>
          <w:rFonts w:ascii="Palatino Linotype" w:hAnsi="Palatino Linotype"/>
          <w:i/>
          <w:color w:val="000000" w:themeColor="text1"/>
          <w:sz w:val="22"/>
          <w:szCs w:val="22"/>
        </w:rPr>
      </w:pPr>
      <w:r w:rsidRPr="00BA6F11">
        <w:rPr>
          <w:rFonts w:ascii="Palatino Linotype" w:hAnsi="Palatino Linotype"/>
          <w:i/>
          <w:color w:val="000000" w:themeColor="text1"/>
          <w:sz w:val="22"/>
          <w:szCs w:val="22"/>
        </w:rPr>
        <w:t>En una correcta versión publica del</w:t>
      </w:r>
      <w:r w:rsidR="00FC7758" w:rsidRPr="00BA6F11">
        <w:rPr>
          <w:rFonts w:ascii="Palatino Linotype" w:hAnsi="Palatino Linotype"/>
          <w:i/>
          <w:color w:val="000000" w:themeColor="text1"/>
          <w:sz w:val="22"/>
          <w:szCs w:val="22"/>
        </w:rPr>
        <w:t xml:space="preserve"> padrón de</w:t>
      </w:r>
      <w:r w:rsidR="00FC7758" w:rsidRPr="00BA6F11">
        <w:t xml:space="preserve"> </w:t>
      </w:r>
      <w:r w:rsidR="00FC7758" w:rsidRPr="00BA6F11">
        <w:rPr>
          <w:rFonts w:ascii="Palatino Linotype" w:hAnsi="Palatino Linotype"/>
          <w:i/>
          <w:color w:val="000000" w:themeColor="text1"/>
          <w:sz w:val="22"/>
          <w:szCs w:val="22"/>
        </w:rPr>
        <w:t>comerciantes establecidos y no fijos del Municipio de Ixtlahuaca</w:t>
      </w:r>
      <w:r w:rsidRPr="00BA6F11">
        <w:rPr>
          <w:rFonts w:ascii="Palatino Linotype" w:hAnsi="Palatino Linotype"/>
          <w:i/>
          <w:color w:val="000000" w:themeColor="text1"/>
          <w:sz w:val="22"/>
          <w:szCs w:val="22"/>
        </w:rPr>
        <w:t xml:space="preserve"> re</w:t>
      </w:r>
      <w:r w:rsidR="00602BA9" w:rsidRPr="00BA6F11">
        <w:rPr>
          <w:rFonts w:ascii="Palatino Linotype" w:hAnsi="Palatino Linotype"/>
          <w:i/>
          <w:color w:val="000000" w:themeColor="text1"/>
          <w:sz w:val="22"/>
          <w:szCs w:val="22"/>
        </w:rPr>
        <w:t>mitido</w:t>
      </w:r>
      <w:r w:rsidRPr="00BA6F11">
        <w:rPr>
          <w:rFonts w:ascii="Palatino Linotype" w:hAnsi="Palatino Linotype"/>
          <w:i/>
          <w:color w:val="000000" w:themeColor="text1"/>
          <w:sz w:val="22"/>
          <w:szCs w:val="22"/>
        </w:rPr>
        <w:t xml:space="preserve"> en respuesta</w:t>
      </w:r>
      <w:r w:rsidR="00602BA9" w:rsidRPr="00BA6F11">
        <w:rPr>
          <w:rFonts w:ascii="Palatino Linotype" w:hAnsi="Palatino Linotype"/>
          <w:i/>
          <w:color w:val="000000" w:themeColor="text1"/>
          <w:sz w:val="22"/>
          <w:szCs w:val="22"/>
        </w:rPr>
        <w:t>.</w:t>
      </w:r>
    </w:p>
    <w:p w14:paraId="262549DA" w14:textId="674F08C7" w:rsidR="0051121E" w:rsidRPr="00BA6F11" w:rsidRDefault="0051121E" w:rsidP="00602BA9">
      <w:pPr>
        <w:pStyle w:val="Prrafodelista"/>
        <w:spacing w:before="100" w:beforeAutospacing="1" w:after="100" w:afterAutospacing="1" w:line="276" w:lineRule="auto"/>
        <w:ind w:left="850" w:right="901"/>
        <w:jc w:val="both"/>
        <w:rPr>
          <w:rFonts w:ascii="Palatino Linotype" w:hAnsi="Palatino Linotype"/>
          <w:i/>
          <w:color w:val="000000" w:themeColor="text1"/>
          <w:sz w:val="22"/>
          <w:szCs w:val="22"/>
        </w:rPr>
      </w:pPr>
      <w:r w:rsidRPr="00BA6F11">
        <w:rPr>
          <w:rFonts w:ascii="Palatino Linotype" w:hAnsi="Palatino Linotype"/>
          <w:i/>
          <w:color w:val="000000" w:themeColor="text1"/>
          <w:sz w:val="22"/>
          <w:szCs w:val="22"/>
        </w:rPr>
        <w:t xml:space="preserve">Debiendo notificar al </w:t>
      </w:r>
      <w:r w:rsidRPr="00BA6F11">
        <w:rPr>
          <w:rFonts w:ascii="Palatino Linotype" w:hAnsi="Palatino Linotype"/>
          <w:b/>
          <w:i/>
          <w:color w:val="000000" w:themeColor="text1"/>
          <w:sz w:val="22"/>
          <w:szCs w:val="22"/>
        </w:rPr>
        <w:t>RECURRENTE</w:t>
      </w:r>
      <w:r w:rsidRPr="00BA6F11">
        <w:rPr>
          <w:rFonts w:ascii="Palatino Linotype" w:hAnsi="Palatino Linotype"/>
          <w:i/>
          <w:color w:val="000000" w:themeColor="text1"/>
          <w:sz w:val="22"/>
          <w:szCs w:val="22"/>
        </w:rPr>
        <w:t xml:space="preserve"> el Acuerdo de Clasificación de la información que emita el Comité de Transparencia con motivo de la versión pública.”</w:t>
      </w:r>
    </w:p>
    <w:bookmarkEnd w:id="8"/>
    <w:p w14:paraId="7F8EF9FF" w14:textId="6F2E3F49" w:rsidR="0051121E" w:rsidRPr="006C0176" w:rsidRDefault="0051121E" w:rsidP="00591D0F">
      <w:pPr>
        <w:tabs>
          <w:tab w:val="left" w:pos="709"/>
        </w:tabs>
        <w:spacing w:before="100" w:beforeAutospacing="1" w:after="100" w:afterAutospacing="1" w:line="360" w:lineRule="auto"/>
        <w:ind w:right="51"/>
        <w:jc w:val="both"/>
        <w:rPr>
          <w:rFonts w:ascii="Palatino Linotype" w:eastAsia="Palatino Linotype" w:hAnsi="Palatino Linotype" w:cs="Palatino Linotype"/>
          <w:lang w:eastAsia="es-MX"/>
        </w:rPr>
      </w:pPr>
      <w:r w:rsidRPr="00BA6F11">
        <w:rPr>
          <w:rFonts w:ascii="Palatino Linotype" w:hAnsi="Palatino Linotype"/>
          <w:b/>
          <w:sz w:val="28"/>
          <w:szCs w:val="28"/>
        </w:rPr>
        <w:t>TERCERO.</w:t>
      </w:r>
      <w:r w:rsidRPr="00BA6F11">
        <w:rPr>
          <w:rFonts w:ascii="Palatino Linotype" w:hAnsi="Palatino Linotype"/>
          <w:b/>
        </w:rPr>
        <w:t> </w:t>
      </w:r>
      <w:r w:rsidR="00AB70AF" w:rsidRPr="00BA6F11">
        <w:rPr>
          <w:rFonts w:ascii="Palatino Linotype" w:eastAsia="Palatino Linotype" w:hAnsi="Palatino Linotype" w:cs="Palatino Linotype"/>
          <w:b/>
          <w:lang w:eastAsia="es-MX"/>
        </w:rPr>
        <w:t xml:space="preserve">NOTIFÍQUESE </w:t>
      </w:r>
      <w:r w:rsidR="00AB70AF" w:rsidRPr="00BA6F11">
        <w:rPr>
          <w:rFonts w:ascii="Palatino Linotype" w:eastAsia="Palatino Linotype" w:hAnsi="Palatino Linotype" w:cs="Palatino Linotype"/>
          <w:lang w:eastAsia="es-MX"/>
        </w:rPr>
        <w:t>vía Sistema de Acceso a la Información Mexiquense (SAIMEX) la presente resolución al Titular de la Unidad de Transparencia</w:t>
      </w:r>
      <w:r w:rsidR="00AB70AF" w:rsidRPr="006C0176">
        <w:rPr>
          <w:rFonts w:ascii="Palatino Linotype" w:eastAsia="Palatino Linotype" w:hAnsi="Palatino Linotype" w:cs="Palatino Linotype"/>
          <w:lang w:eastAsia="es-MX"/>
        </w:rPr>
        <w:t xml:space="preserve">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B19A89E" w14:textId="43D8D828" w:rsidR="0051121E" w:rsidRPr="006C0176" w:rsidRDefault="0051121E" w:rsidP="00591D0F">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r w:rsidRPr="006C0176">
        <w:rPr>
          <w:rFonts w:ascii="Palatino Linotype" w:hAnsi="Palatino Linotype" w:cs="Arial"/>
          <w:b/>
          <w:bCs/>
          <w:sz w:val="28"/>
        </w:rPr>
        <w:t>CUARTO.</w:t>
      </w:r>
      <w:r w:rsidRPr="006C0176">
        <w:rPr>
          <w:rFonts w:ascii="Palatino Linotype" w:hAnsi="Palatino Linotype"/>
          <w:szCs w:val="17"/>
          <w:lang w:eastAsia="es-ES_tradnl"/>
        </w:rPr>
        <w:t xml:space="preserve"> </w:t>
      </w:r>
      <w:r w:rsidR="00F91F38" w:rsidRPr="006C0176">
        <w:rPr>
          <w:rFonts w:ascii="Palatino Linotype" w:hAnsi="Palatino Linotype"/>
          <w:b/>
          <w:lang w:eastAsia="es-ES_tradnl"/>
        </w:rPr>
        <w:t>NOTIFÍQUESE</w:t>
      </w:r>
      <w:r w:rsidR="00F91F38" w:rsidRPr="006C0176">
        <w:rPr>
          <w:rFonts w:ascii="Palatino Linotype" w:hAnsi="Palatino Linotype"/>
          <w:lang w:eastAsia="es-ES_tradnl"/>
        </w:rPr>
        <w:t xml:space="preserve"> </w:t>
      </w:r>
      <w:r w:rsidRPr="006C0176">
        <w:rPr>
          <w:rFonts w:ascii="Palatino Linotype" w:hAnsi="Palatino Linotype"/>
          <w:lang w:eastAsia="es-ES_tradnl"/>
        </w:rPr>
        <w:t xml:space="preserve">al </w:t>
      </w:r>
      <w:r w:rsidRPr="006C0176">
        <w:rPr>
          <w:rFonts w:ascii="Palatino Linotype" w:hAnsi="Palatino Linotype"/>
          <w:b/>
          <w:lang w:eastAsia="es-ES_tradnl"/>
        </w:rPr>
        <w:t>RECURRENTE</w:t>
      </w:r>
      <w:r w:rsidRPr="006C0176">
        <w:rPr>
          <w:rFonts w:ascii="Palatino Linotype" w:hAnsi="Palatino Linotype"/>
          <w:lang w:eastAsia="es-ES_tradnl"/>
        </w:rPr>
        <w:t xml:space="preserve"> la presente resolución vía </w:t>
      </w:r>
      <w:r w:rsidRPr="006C0176">
        <w:rPr>
          <w:rFonts w:ascii="Palatino Linotype" w:hAnsi="Palatino Linotype" w:cs="Arial"/>
        </w:rPr>
        <w:t>Sistema de Acceso a la Información Mexiquense</w:t>
      </w:r>
      <w:r w:rsidRPr="006C0176">
        <w:rPr>
          <w:rFonts w:ascii="Palatino Linotype" w:hAnsi="Palatino Linotype"/>
          <w:lang w:eastAsia="es-ES_tradnl"/>
        </w:rPr>
        <w:t xml:space="preserve"> </w:t>
      </w:r>
      <w:r w:rsidRPr="006C0176">
        <w:rPr>
          <w:rFonts w:ascii="Palatino Linotype" w:hAnsi="Palatino Linotype"/>
          <w:b/>
          <w:lang w:eastAsia="es-ES_tradnl"/>
        </w:rPr>
        <w:t>(</w:t>
      </w:r>
      <w:r w:rsidRPr="006C0176">
        <w:rPr>
          <w:rFonts w:ascii="Palatino Linotype" w:hAnsi="Palatino Linotype"/>
          <w:b/>
          <w:bCs/>
          <w:lang w:eastAsia="es-ES_tradnl"/>
        </w:rPr>
        <w:t>SAIMEX)</w:t>
      </w:r>
      <w:r w:rsidR="00EE3BBB" w:rsidRPr="006C0176">
        <w:rPr>
          <w:rFonts w:ascii="Palatino Linotype" w:eastAsia="Palatino Linotype" w:hAnsi="Palatino Linotype" w:cs="Palatino Linotype"/>
          <w:bCs/>
        </w:rPr>
        <w:t>.</w:t>
      </w:r>
      <w:r w:rsidR="00EE3BBB" w:rsidRPr="006C0176">
        <w:rPr>
          <w:rFonts w:ascii="Palatino Linotype" w:eastAsia="Palatino Linotype" w:hAnsi="Palatino Linotype" w:cs="Palatino Linotype"/>
          <w:b/>
        </w:rPr>
        <w:t xml:space="preserve"> </w:t>
      </w:r>
    </w:p>
    <w:p w14:paraId="752E50EF" w14:textId="77777777" w:rsidR="00AB70AF" w:rsidRPr="006C0176" w:rsidRDefault="00AB70AF" w:rsidP="00591D0F">
      <w:pPr>
        <w:tabs>
          <w:tab w:val="left" w:pos="709"/>
        </w:tabs>
        <w:spacing w:before="100" w:beforeAutospacing="1" w:after="100" w:afterAutospacing="1" w:line="360" w:lineRule="auto"/>
        <w:ind w:right="51"/>
        <w:jc w:val="both"/>
        <w:rPr>
          <w:rFonts w:ascii="Palatino Linotype" w:eastAsia="Palatino Linotype" w:hAnsi="Palatino Linotype" w:cs="Palatino Linotype"/>
          <w:b/>
        </w:rPr>
      </w:pPr>
    </w:p>
    <w:p w14:paraId="036F6A63" w14:textId="3D75B50D" w:rsidR="0051121E" w:rsidRPr="006C0176" w:rsidRDefault="0051121E" w:rsidP="00591D0F">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6C0176">
        <w:rPr>
          <w:rFonts w:ascii="Palatino Linotype" w:hAnsi="Palatino Linotype" w:cs="Arial"/>
          <w:b/>
          <w:bCs/>
          <w:sz w:val="28"/>
        </w:rPr>
        <w:t>QUINTO.</w:t>
      </w:r>
      <w:r w:rsidRPr="006C0176">
        <w:rPr>
          <w:rFonts w:ascii="Palatino Linotype" w:hAnsi="Palatino Linotype"/>
          <w:szCs w:val="17"/>
          <w:lang w:eastAsia="es-ES_tradnl"/>
        </w:rPr>
        <w:t xml:space="preserve"> </w:t>
      </w:r>
      <w:r w:rsidR="00F91F38" w:rsidRPr="006C0176">
        <w:rPr>
          <w:rFonts w:ascii="Palatino Linotype" w:hAnsi="Palatino Linotype"/>
          <w:b/>
          <w:szCs w:val="17"/>
          <w:lang w:eastAsia="es-ES_tradnl"/>
        </w:rPr>
        <w:t>HÁGASE</w:t>
      </w:r>
      <w:r w:rsidR="00F91F38" w:rsidRPr="006C0176">
        <w:rPr>
          <w:rFonts w:ascii="Palatino Linotype" w:hAnsi="Palatino Linotype"/>
          <w:szCs w:val="17"/>
          <w:lang w:eastAsia="es-ES_tradnl"/>
        </w:rPr>
        <w:t xml:space="preserve"> </w:t>
      </w:r>
      <w:r w:rsidRPr="006C0176">
        <w:rPr>
          <w:rFonts w:ascii="Palatino Linotype" w:hAnsi="Palatino Linotype"/>
          <w:szCs w:val="17"/>
          <w:lang w:eastAsia="es-ES_tradnl"/>
        </w:rPr>
        <w:t xml:space="preserve">del conocimiento al </w:t>
      </w:r>
      <w:r w:rsidRPr="006C0176">
        <w:rPr>
          <w:rFonts w:ascii="Palatino Linotype" w:hAnsi="Palatino Linotype"/>
          <w:b/>
          <w:szCs w:val="17"/>
          <w:lang w:eastAsia="es-ES_tradnl"/>
        </w:rPr>
        <w:t>RECURRENTE</w:t>
      </w:r>
      <w:r w:rsidRPr="006C0176">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4511614" w14:textId="77777777" w:rsidR="0051121E" w:rsidRPr="006C0176" w:rsidRDefault="0051121E" w:rsidP="00591D0F">
      <w:pPr>
        <w:tabs>
          <w:tab w:val="left" w:pos="709"/>
        </w:tabs>
        <w:spacing w:before="100" w:beforeAutospacing="1" w:after="100" w:afterAutospacing="1" w:line="360" w:lineRule="auto"/>
        <w:ind w:right="51"/>
        <w:jc w:val="both"/>
        <w:rPr>
          <w:rFonts w:ascii="Palatino Linotype" w:hAnsi="Palatino Linotype"/>
          <w:szCs w:val="17"/>
          <w:lang w:eastAsia="es-ES_tradnl"/>
        </w:rPr>
      </w:pPr>
      <w:r w:rsidRPr="006C0176">
        <w:rPr>
          <w:rFonts w:ascii="Palatino Linotype" w:hAnsi="Palatino Linotype"/>
          <w:b/>
          <w:sz w:val="28"/>
          <w:szCs w:val="28"/>
          <w:lang w:eastAsia="es-ES_tradnl"/>
        </w:rPr>
        <w:t>SEXTO.</w:t>
      </w:r>
      <w:r w:rsidRPr="006C0176">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3636F56" w14:textId="67AF4E46" w:rsidR="00F91F38" w:rsidRPr="006C0176" w:rsidRDefault="00F91F38" w:rsidP="005049B5">
      <w:pPr>
        <w:spacing w:line="360" w:lineRule="auto"/>
        <w:jc w:val="both"/>
        <w:rPr>
          <w:rFonts w:ascii="Palatino Linotype" w:hAnsi="Palatino Linotype"/>
        </w:rPr>
      </w:pPr>
      <w:r w:rsidRPr="006C0176">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005049B5" w:rsidRPr="006C0176">
        <w:rPr>
          <w:rFonts w:ascii="Palatino Linotype" w:hAnsi="Palatino Linotype"/>
        </w:rPr>
        <w:t xml:space="preserve">NORIEGA Y GUADALUPE RAMÍREZ PEÑA; EN LA DECIMA SÉPTIMA SESIÓN ORDINARIA CELEBRADA EL DIEZ </w:t>
      </w:r>
      <w:r w:rsidR="00AB70AF" w:rsidRPr="006C0176">
        <w:rPr>
          <w:rFonts w:ascii="Palatino Linotype" w:hAnsi="Palatino Linotype"/>
        </w:rPr>
        <w:t>DE MAYO</w:t>
      </w:r>
      <w:r w:rsidRPr="006C0176">
        <w:rPr>
          <w:rFonts w:ascii="Palatino Linotype" w:hAnsi="Palatino Linotype"/>
        </w:rPr>
        <w:t xml:space="preserve"> DE DOS MIL VEINTITRÉS</w:t>
      </w:r>
      <w:r w:rsidR="00DA06B4" w:rsidRPr="006C0176">
        <w:rPr>
          <w:rFonts w:ascii="Palatino Linotype" w:hAnsi="Palatino Linotype"/>
        </w:rPr>
        <w:t xml:space="preserve"> </w:t>
      </w:r>
      <w:r w:rsidRPr="006C0176">
        <w:rPr>
          <w:rFonts w:ascii="Palatino Linotype" w:hAnsi="Palatino Linotype"/>
        </w:rPr>
        <w:t>, ANTE EL SECRETARIO TÉCNICO DEL PLENO, ALEXIS TAPIA RAMÍREZ.</w:t>
      </w:r>
    </w:p>
    <w:p w14:paraId="6517AFAB" w14:textId="2A8B7710" w:rsidR="003215E1" w:rsidRPr="004E48ED" w:rsidRDefault="003215E1" w:rsidP="005049B5">
      <w:pPr>
        <w:spacing w:line="360" w:lineRule="auto"/>
        <w:jc w:val="both"/>
        <w:rPr>
          <w:rFonts w:ascii="Palatino Linotype" w:hAnsi="Palatino Linotype"/>
          <w:sz w:val="20"/>
          <w:szCs w:val="20"/>
        </w:rPr>
      </w:pPr>
      <w:r w:rsidRPr="006C0176">
        <w:rPr>
          <w:rFonts w:ascii="Palatino Linotype" w:hAnsi="Palatino Linotype"/>
          <w:sz w:val="20"/>
          <w:szCs w:val="20"/>
        </w:rPr>
        <w:t>SCMM/BLA/DEMF/CCC</w:t>
      </w:r>
    </w:p>
    <w:p w14:paraId="1C4D1F5D" w14:textId="40BE29DB" w:rsidR="00EE52D0" w:rsidRPr="00E63B02" w:rsidRDefault="00EE52D0" w:rsidP="00591D0F">
      <w:pPr>
        <w:spacing w:before="100" w:beforeAutospacing="1" w:after="100" w:afterAutospacing="1" w:line="360" w:lineRule="auto"/>
        <w:rPr>
          <w:rFonts w:ascii="Palatino Linotype" w:hAnsi="Palatino Linotype"/>
          <w:b/>
          <w:sz w:val="28"/>
          <w:szCs w:val="28"/>
        </w:rPr>
      </w:pPr>
    </w:p>
    <w:p w14:paraId="5A5899D6" w14:textId="77777777" w:rsidR="00E60BC9" w:rsidRPr="00E63B02" w:rsidRDefault="00E60BC9" w:rsidP="00591D0F">
      <w:pPr>
        <w:spacing w:before="100" w:beforeAutospacing="1" w:after="100" w:afterAutospacing="1" w:line="360" w:lineRule="auto"/>
        <w:rPr>
          <w:rFonts w:ascii="Palatino Linotype" w:hAnsi="Palatino Linotype"/>
          <w:b/>
          <w:sz w:val="28"/>
          <w:szCs w:val="28"/>
        </w:rPr>
      </w:pPr>
    </w:p>
    <w:p w14:paraId="14129A6F" w14:textId="77777777" w:rsidR="00E60BC9" w:rsidRPr="00E63B02" w:rsidRDefault="00E60BC9" w:rsidP="00591D0F">
      <w:pPr>
        <w:spacing w:before="100" w:beforeAutospacing="1" w:after="100" w:afterAutospacing="1" w:line="360" w:lineRule="auto"/>
        <w:rPr>
          <w:rFonts w:ascii="Palatino Linotype" w:hAnsi="Palatino Linotype"/>
          <w:b/>
          <w:sz w:val="28"/>
          <w:szCs w:val="28"/>
        </w:rPr>
      </w:pPr>
    </w:p>
    <w:p w14:paraId="28BB592F" w14:textId="77777777" w:rsidR="00E60BC9" w:rsidRPr="00E63B02" w:rsidRDefault="00E60BC9" w:rsidP="00591D0F">
      <w:pPr>
        <w:spacing w:before="100" w:beforeAutospacing="1" w:after="100" w:afterAutospacing="1" w:line="360" w:lineRule="auto"/>
        <w:rPr>
          <w:rFonts w:ascii="Palatino Linotype" w:hAnsi="Palatino Linotype"/>
          <w:b/>
          <w:sz w:val="28"/>
          <w:szCs w:val="28"/>
        </w:rPr>
      </w:pPr>
    </w:p>
    <w:p w14:paraId="70CC180A" w14:textId="77777777" w:rsidR="00A85848" w:rsidRPr="00E63B02" w:rsidRDefault="00A85848" w:rsidP="00591D0F">
      <w:pPr>
        <w:spacing w:before="100" w:beforeAutospacing="1" w:after="100" w:afterAutospacing="1" w:line="360" w:lineRule="auto"/>
        <w:rPr>
          <w:rFonts w:ascii="Palatino Linotype" w:hAnsi="Palatino Linotype"/>
          <w:b/>
          <w:sz w:val="28"/>
          <w:szCs w:val="28"/>
        </w:rPr>
      </w:pPr>
    </w:p>
    <w:p w14:paraId="36E1560A" w14:textId="77777777" w:rsidR="00003E22" w:rsidRPr="00E63B02" w:rsidRDefault="00003E22" w:rsidP="00591D0F">
      <w:pPr>
        <w:spacing w:before="100" w:beforeAutospacing="1" w:after="100" w:afterAutospacing="1" w:line="360" w:lineRule="auto"/>
        <w:rPr>
          <w:rFonts w:ascii="Palatino Linotype" w:hAnsi="Palatino Linotype"/>
          <w:b/>
          <w:sz w:val="28"/>
          <w:szCs w:val="28"/>
        </w:rPr>
      </w:pPr>
    </w:p>
    <w:p w14:paraId="7DAE978B" w14:textId="77777777" w:rsidR="00003E22" w:rsidRPr="00E63B02" w:rsidRDefault="00003E22" w:rsidP="00591D0F">
      <w:pPr>
        <w:spacing w:before="100" w:beforeAutospacing="1" w:after="100" w:afterAutospacing="1" w:line="360" w:lineRule="auto"/>
        <w:rPr>
          <w:rFonts w:ascii="Palatino Linotype" w:hAnsi="Palatino Linotype"/>
          <w:b/>
          <w:sz w:val="28"/>
          <w:szCs w:val="28"/>
        </w:rPr>
      </w:pPr>
    </w:p>
    <w:p w14:paraId="2DF8AE80" w14:textId="77777777" w:rsidR="00003E22" w:rsidRPr="00E63B02" w:rsidRDefault="00003E22" w:rsidP="00591D0F">
      <w:pPr>
        <w:spacing w:before="100" w:beforeAutospacing="1" w:after="100" w:afterAutospacing="1" w:line="360" w:lineRule="auto"/>
        <w:rPr>
          <w:rFonts w:ascii="Palatino Linotype" w:hAnsi="Palatino Linotype"/>
          <w:b/>
          <w:sz w:val="28"/>
          <w:szCs w:val="28"/>
        </w:rPr>
      </w:pPr>
    </w:p>
    <w:p w14:paraId="384B39D8" w14:textId="77777777" w:rsidR="00003E22" w:rsidRPr="00E63B02" w:rsidRDefault="00003E22" w:rsidP="00591D0F">
      <w:pPr>
        <w:spacing w:before="100" w:beforeAutospacing="1" w:after="100" w:afterAutospacing="1" w:line="360" w:lineRule="auto"/>
        <w:rPr>
          <w:rFonts w:ascii="Palatino Linotype" w:hAnsi="Palatino Linotype"/>
          <w:b/>
          <w:sz w:val="28"/>
          <w:szCs w:val="28"/>
        </w:rPr>
      </w:pPr>
    </w:p>
    <w:p w14:paraId="38F6E90A" w14:textId="77777777" w:rsidR="00003E22" w:rsidRPr="00E63B02" w:rsidRDefault="00003E22" w:rsidP="00591D0F">
      <w:pPr>
        <w:spacing w:before="100" w:beforeAutospacing="1" w:after="100" w:afterAutospacing="1" w:line="360" w:lineRule="auto"/>
        <w:rPr>
          <w:rFonts w:ascii="Palatino Linotype" w:hAnsi="Palatino Linotype"/>
          <w:b/>
          <w:sz w:val="28"/>
          <w:szCs w:val="28"/>
        </w:rPr>
      </w:pPr>
    </w:p>
    <w:p w14:paraId="7356E8BD" w14:textId="77777777" w:rsidR="00003E22" w:rsidRPr="00E63B02" w:rsidRDefault="00003E22" w:rsidP="00591D0F">
      <w:pPr>
        <w:spacing w:before="100" w:beforeAutospacing="1" w:after="100" w:afterAutospacing="1" w:line="360" w:lineRule="auto"/>
        <w:rPr>
          <w:rFonts w:ascii="Palatino Linotype" w:hAnsi="Palatino Linotype"/>
          <w:b/>
          <w:sz w:val="28"/>
          <w:szCs w:val="28"/>
        </w:rPr>
      </w:pPr>
    </w:p>
    <w:p w14:paraId="099B0530" w14:textId="77777777" w:rsidR="005173B4" w:rsidRPr="00E63B02" w:rsidRDefault="005173B4" w:rsidP="00591D0F">
      <w:pPr>
        <w:spacing w:before="100" w:beforeAutospacing="1" w:after="100" w:afterAutospacing="1" w:line="360" w:lineRule="auto"/>
        <w:rPr>
          <w:rFonts w:ascii="Palatino Linotype" w:hAnsi="Palatino Linotype"/>
          <w:b/>
          <w:sz w:val="28"/>
          <w:szCs w:val="28"/>
        </w:rPr>
      </w:pPr>
    </w:p>
    <w:sectPr w:rsidR="005173B4" w:rsidRPr="00E63B02"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6E0C3A" w:rsidRDefault="006E0C3A" w:rsidP="00C80F8C">
      <w:r>
        <w:separator/>
      </w:r>
    </w:p>
  </w:endnote>
  <w:endnote w:type="continuationSeparator" w:id="0">
    <w:p w14:paraId="2CA1E1DE" w14:textId="77777777" w:rsidR="006E0C3A" w:rsidRDefault="006E0C3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3E09AB8" w:rsidR="006E0C3A" w:rsidRPr="0010196A" w:rsidRDefault="006E0C3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C4F89">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C4F89">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28D51FA" w:rsidR="006E0C3A" w:rsidRPr="0010196A" w:rsidRDefault="006E0C3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C4F8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C4F89">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6E0C3A" w:rsidRDefault="006E0C3A" w:rsidP="00C80F8C">
      <w:r>
        <w:separator/>
      </w:r>
    </w:p>
  </w:footnote>
  <w:footnote w:type="continuationSeparator" w:id="0">
    <w:p w14:paraId="2D50F1A5" w14:textId="77777777" w:rsidR="006E0C3A" w:rsidRDefault="006E0C3A" w:rsidP="00C80F8C">
      <w:r>
        <w:continuationSeparator/>
      </w:r>
    </w:p>
  </w:footnote>
  <w:footnote w:id="1">
    <w:p w14:paraId="312E37E5" w14:textId="4DE5419A" w:rsidR="006E0C3A" w:rsidRPr="009F512D" w:rsidRDefault="006E0C3A" w:rsidP="00FC7758">
      <w:pPr>
        <w:pStyle w:val="Textonotapie"/>
        <w:spacing w:line="276" w:lineRule="auto"/>
        <w:jc w:val="both"/>
        <w:rPr>
          <w:rFonts w:ascii="Palatino Linotype" w:hAnsi="Palatino Linotype"/>
          <w:i/>
          <w:iCs/>
        </w:rPr>
      </w:pPr>
      <w:r>
        <w:rPr>
          <w:rStyle w:val="Refdenotaalpie"/>
        </w:rPr>
        <w:footnoteRef/>
      </w:r>
      <w:r>
        <w:t xml:space="preserve"> </w:t>
      </w:r>
      <w:r w:rsidRPr="009F512D">
        <w:rPr>
          <w:rFonts w:ascii="Palatino Linotype" w:hAnsi="Palatino Linotype"/>
          <w:b/>
          <w:bCs/>
          <w:i/>
          <w:iCs/>
        </w:rPr>
        <w:t>Ley de Protección de Datos Personales en Posesión de Sujetos Obligados del Estado de México y Municipios</w:t>
      </w:r>
    </w:p>
    <w:p w14:paraId="36ECE0FA" w14:textId="1084C92A" w:rsidR="006E0C3A" w:rsidRPr="009F512D" w:rsidRDefault="006E0C3A" w:rsidP="00FC7758">
      <w:pPr>
        <w:pStyle w:val="Textonotapie"/>
        <w:spacing w:line="276" w:lineRule="auto"/>
        <w:jc w:val="both"/>
        <w:rPr>
          <w:rFonts w:ascii="Palatino Linotype" w:hAnsi="Palatino Linotype"/>
          <w:i/>
          <w:iCs/>
        </w:rPr>
      </w:pPr>
      <w:r w:rsidRPr="009F512D">
        <w:rPr>
          <w:rFonts w:ascii="Palatino Linotype" w:hAnsi="Palatino Linotype"/>
          <w:b/>
          <w:bCs/>
          <w:i/>
          <w:iCs/>
        </w:rPr>
        <w:t>Artículo 4.</w:t>
      </w:r>
      <w:r w:rsidRPr="009F512D">
        <w:rPr>
          <w:rFonts w:ascii="Palatino Linotype" w:hAnsi="Palatino Linotype"/>
          <w:i/>
          <w:iCs/>
        </w:rPr>
        <w:t xml:space="preserve"> Para los efectos de esta Ley se entenderá por:</w:t>
      </w:r>
    </w:p>
    <w:p w14:paraId="3D2A6C4A" w14:textId="4BB9BD2C" w:rsidR="006E0C3A" w:rsidRPr="009F512D" w:rsidRDefault="006E0C3A" w:rsidP="00FC7758">
      <w:pPr>
        <w:pStyle w:val="Textonotapie"/>
        <w:spacing w:line="276" w:lineRule="auto"/>
        <w:jc w:val="both"/>
        <w:rPr>
          <w:rFonts w:ascii="Palatino Linotype" w:hAnsi="Palatino Linotype"/>
          <w:i/>
          <w:iCs/>
        </w:rPr>
      </w:pPr>
      <w:r w:rsidRPr="009F512D">
        <w:rPr>
          <w:rFonts w:ascii="Palatino Linotype" w:hAnsi="Palatino Linotype"/>
          <w:i/>
          <w:iCs/>
        </w:rPr>
        <w:t>(…)</w:t>
      </w:r>
    </w:p>
    <w:p w14:paraId="6CDAAA6B" w14:textId="3905DE4E" w:rsidR="006E0C3A" w:rsidRPr="009F512D" w:rsidRDefault="006E0C3A" w:rsidP="00FC7758">
      <w:pPr>
        <w:pStyle w:val="Textonotapie"/>
        <w:spacing w:line="276" w:lineRule="auto"/>
        <w:jc w:val="both"/>
        <w:rPr>
          <w:rFonts w:ascii="Palatino Linotype" w:hAnsi="Palatino Linotype"/>
          <w:i/>
          <w:iCs/>
        </w:rPr>
      </w:pPr>
      <w:r w:rsidRPr="009F512D">
        <w:rPr>
          <w:rFonts w:ascii="Palatino Linotype" w:hAnsi="Palatino Linotype"/>
          <w:b/>
          <w:bCs/>
          <w:i/>
          <w:iCs/>
        </w:rPr>
        <w:t>XXI. Fuentes de acceso público:</w:t>
      </w:r>
      <w:r w:rsidRPr="009F512D">
        <w:rPr>
          <w:rFonts w:ascii="Palatino Linotype" w:hAnsi="Palatino Linotype"/>
          <w:i/>
          <w:iCs/>
        </w:rPr>
        <w:t xml:space="preserve"> a los sistemas y bases de datos que por disposición de Ley puedan ser consultadas públicamente, cuando no exista impedimento por una norma limitativa y sin más exigencia en su caso, el pago de una contraprestación, tarifa o contribución. No se considerará fuente de acceso público cuando la información contenida en la misma sea obtenida o tenga una procedencia ilícita.</w:t>
      </w:r>
    </w:p>
    <w:p w14:paraId="15CC9991" w14:textId="77777777" w:rsidR="006E0C3A" w:rsidRPr="009F512D" w:rsidRDefault="006E0C3A" w:rsidP="00FC7758">
      <w:pPr>
        <w:pStyle w:val="Textonotapie"/>
        <w:spacing w:line="276" w:lineRule="auto"/>
        <w:jc w:val="both"/>
        <w:rPr>
          <w:rFonts w:ascii="Palatino Linotype" w:hAnsi="Palatino Linotype"/>
          <w:b/>
          <w:bCs/>
          <w:i/>
          <w:iCs/>
        </w:rPr>
      </w:pPr>
      <w:r w:rsidRPr="009F512D">
        <w:rPr>
          <w:rFonts w:ascii="Palatino Linotype" w:hAnsi="Palatino Linotype"/>
          <w:b/>
          <w:bCs/>
          <w:i/>
          <w:iCs/>
        </w:rPr>
        <w:t xml:space="preserve">Fuentes de acceso público </w:t>
      </w:r>
    </w:p>
    <w:p w14:paraId="68199774" w14:textId="77777777" w:rsidR="006E0C3A" w:rsidRPr="009F512D" w:rsidRDefault="006E0C3A" w:rsidP="00FC7758">
      <w:pPr>
        <w:pStyle w:val="Textonotapie"/>
        <w:spacing w:line="276" w:lineRule="auto"/>
        <w:jc w:val="both"/>
        <w:rPr>
          <w:rFonts w:ascii="Palatino Linotype" w:hAnsi="Palatino Linotype"/>
          <w:i/>
          <w:iCs/>
        </w:rPr>
      </w:pPr>
      <w:r w:rsidRPr="009F512D">
        <w:rPr>
          <w:rFonts w:ascii="Palatino Linotype" w:hAnsi="Palatino Linotype"/>
          <w:b/>
          <w:bCs/>
          <w:i/>
          <w:iCs/>
        </w:rPr>
        <w:t>Artículo 9.</w:t>
      </w:r>
      <w:r w:rsidRPr="009F512D">
        <w:rPr>
          <w:rFonts w:ascii="Palatino Linotype" w:hAnsi="Palatino Linotype"/>
          <w:i/>
          <w:iCs/>
        </w:rPr>
        <w:t xml:space="preserve"> Para los efectos de la presente Ley, se consideran fuentes de acceso público: </w:t>
      </w:r>
    </w:p>
    <w:p w14:paraId="3F09043F" w14:textId="77777777" w:rsidR="006E0C3A" w:rsidRPr="009F512D" w:rsidRDefault="006E0C3A" w:rsidP="00FC7758">
      <w:pPr>
        <w:pStyle w:val="Textonotapie"/>
        <w:spacing w:line="276" w:lineRule="auto"/>
        <w:jc w:val="both"/>
        <w:rPr>
          <w:rFonts w:ascii="Palatino Linotype" w:hAnsi="Palatino Linotype"/>
          <w:i/>
          <w:iCs/>
        </w:rPr>
      </w:pPr>
      <w:r w:rsidRPr="009F512D">
        <w:rPr>
          <w:rFonts w:ascii="Palatino Linotype" w:hAnsi="Palatino Linotype"/>
          <w:i/>
          <w:iCs/>
        </w:rPr>
        <w:t xml:space="preserve">I. Los portales informativos o medios remotos y locales de comunicación electrónica, óptica y de otra tecnología, siempre que el sitio donde se encuentren los datos personales esté concebido para facilitar información al público y esté abierto a la consulta general. </w:t>
      </w:r>
    </w:p>
    <w:p w14:paraId="29636C9E" w14:textId="77777777" w:rsidR="006E0C3A" w:rsidRPr="009F512D" w:rsidRDefault="006E0C3A" w:rsidP="00FC7758">
      <w:pPr>
        <w:pStyle w:val="Textonotapie"/>
        <w:spacing w:line="276" w:lineRule="auto"/>
        <w:jc w:val="both"/>
        <w:rPr>
          <w:rFonts w:ascii="Palatino Linotype" w:hAnsi="Palatino Linotype"/>
          <w:i/>
          <w:iCs/>
        </w:rPr>
      </w:pPr>
      <w:r w:rsidRPr="009F512D">
        <w:rPr>
          <w:rFonts w:ascii="Palatino Linotype" w:hAnsi="Palatino Linotype"/>
          <w:i/>
          <w:iCs/>
        </w:rPr>
        <w:t xml:space="preserve">II. Los directorios telefónicos en términos de la normativa específica. </w:t>
      </w:r>
    </w:p>
    <w:p w14:paraId="6BAEAA57" w14:textId="63C8CCBD" w:rsidR="006E0C3A" w:rsidRPr="009F512D" w:rsidRDefault="006E0C3A" w:rsidP="00FC7758">
      <w:pPr>
        <w:pStyle w:val="Textonotapie"/>
        <w:spacing w:line="276" w:lineRule="auto"/>
        <w:jc w:val="both"/>
        <w:rPr>
          <w:rFonts w:ascii="Palatino Linotype" w:hAnsi="Palatino Linotype"/>
          <w:i/>
          <w:iCs/>
        </w:rPr>
      </w:pPr>
      <w:r w:rsidRPr="009F512D">
        <w:rPr>
          <w:rFonts w:ascii="Palatino Linotype" w:hAnsi="Palatino Linotype"/>
          <w:i/>
          <w:iCs/>
        </w:rPr>
        <w:t>III. Los diarios, gacetas o boletines oficiales, de acuerdo con su normativa.</w:t>
      </w:r>
    </w:p>
    <w:p w14:paraId="5344982F" w14:textId="742E7F86" w:rsidR="006E0C3A" w:rsidRPr="009F512D" w:rsidRDefault="006E0C3A" w:rsidP="00FC7758">
      <w:pPr>
        <w:pStyle w:val="Textonotapie"/>
        <w:spacing w:line="276" w:lineRule="auto"/>
        <w:jc w:val="both"/>
        <w:rPr>
          <w:rFonts w:ascii="Palatino Linotype" w:hAnsi="Palatino Linotype"/>
          <w:i/>
          <w:iCs/>
        </w:rPr>
      </w:pPr>
      <w:r w:rsidRPr="009F512D">
        <w:rPr>
          <w:rFonts w:ascii="Palatino Linotype" w:hAnsi="Palatino Linotype"/>
          <w:i/>
          <w:iCs/>
        </w:rPr>
        <w:t>IV. Los medios de comunicación social.</w:t>
      </w:r>
    </w:p>
    <w:p w14:paraId="098F24B6" w14:textId="77777777" w:rsidR="006E0C3A" w:rsidRPr="009F512D" w:rsidRDefault="006E0C3A" w:rsidP="00FC7758">
      <w:pPr>
        <w:pStyle w:val="Textonotapie"/>
        <w:spacing w:line="276" w:lineRule="auto"/>
        <w:jc w:val="both"/>
        <w:rPr>
          <w:rFonts w:ascii="Palatino Linotype" w:hAnsi="Palatino Linotype"/>
          <w:i/>
          <w:iCs/>
        </w:rPr>
      </w:pPr>
      <w:r w:rsidRPr="009F512D">
        <w:rPr>
          <w:rFonts w:ascii="Palatino Linotype" w:hAnsi="Palatino Linotype"/>
          <w:i/>
          <w:iCs/>
        </w:rPr>
        <w:t>V. Los registros públicos conforme a las disposiciones que les resulten</w:t>
      </w:r>
    </w:p>
    <w:p w14:paraId="596258AC" w14:textId="5380183B" w:rsidR="006E0C3A" w:rsidRDefault="006E0C3A" w:rsidP="00FC7758">
      <w:pPr>
        <w:pStyle w:val="Textonotapie"/>
        <w:spacing w:line="276" w:lineRule="auto"/>
        <w:jc w:val="both"/>
      </w:pPr>
      <w:r w:rsidRPr="009F512D">
        <w:rPr>
          <w:rFonts w:ascii="Palatino Linotype" w:hAnsi="Palatino Linotype"/>
          <w:i/>
          <w:iCs/>
        </w:rPr>
        <w:t>aplicables.</w:t>
      </w:r>
      <w:r w:rsidRPr="009F512D">
        <w:rPr>
          <w:rFonts w:ascii="Palatino Linotype" w:hAnsi="Palatino Linotype"/>
          <w:i/>
          <w:iCs/>
        </w:rP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E0C3A" w:rsidRDefault="008C4F8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E0C3A" w:rsidRPr="0010196A" w:rsidRDefault="008C4F8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15pt;margin-top:-52.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E0C3A" w:rsidRPr="008F2CCC" w14:paraId="1F097D8A" w14:textId="77777777" w:rsidTr="00DA50F6">
      <w:tc>
        <w:tcPr>
          <w:tcW w:w="3261" w:type="dxa"/>
          <w:vMerge w:val="restart"/>
        </w:tcPr>
        <w:p w14:paraId="1F780A0C" w14:textId="1EFF25F4" w:rsidR="006E0C3A" w:rsidRPr="008F2CCC" w:rsidRDefault="006E0C3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E0C3A" w:rsidRPr="005C023C" w:rsidRDefault="006E0C3A" w:rsidP="00070856">
          <w:pPr>
            <w:rPr>
              <w:rFonts w:ascii="Palatino Linotype" w:hAnsi="Palatino Linotype"/>
              <w:b/>
              <w:sz w:val="22"/>
              <w:szCs w:val="22"/>
              <w:lang w:val="es-ES_tradnl"/>
            </w:rPr>
          </w:pPr>
          <w:r w:rsidRPr="005C023C">
            <w:rPr>
              <w:rFonts w:ascii="Palatino Linotype" w:hAnsi="Palatino Linotype"/>
              <w:b/>
              <w:sz w:val="22"/>
              <w:szCs w:val="22"/>
              <w:lang w:val="es-ES_tradnl"/>
            </w:rPr>
            <w:t>Recurso de Revisión:</w:t>
          </w:r>
        </w:p>
      </w:tc>
      <w:tc>
        <w:tcPr>
          <w:tcW w:w="3722" w:type="dxa"/>
          <w:shd w:val="clear" w:color="auto" w:fill="auto"/>
          <w:vAlign w:val="center"/>
        </w:tcPr>
        <w:p w14:paraId="65AFA994" w14:textId="2FFE49D3" w:rsidR="006E0C3A" w:rsidRPr="005C023C" w:rsidRDefault="006E0C3A" w:rsidP="005C250B">
          <w:pPr>
            <w:jc w:val="both"/>
            <w:rPr>
              <w:rFonts w:ascii="Palatino Linotype" w:hAnsi="Palatino Linotype"/>
              <w:b/>
              <w:sz w:val="22"/>
              <w:szCs w:val="22"/>
              <w:lang w:val="es-ES_tradnl"/>
            </w:rPr>
          </w:pPr>
          <w:r w:rsidRPr="00FB3CC4">
            <w:rPr>
              <w:rFonts w:ascii="Palatino Linotype" w:hAnsi="Palatino Linotype"/>
              <w:b/>
              <w:bCs/>
              <w:sz w:val="22"/>
              <w:szCs w:val="22"/>
            </w:rPr>
            <w:t>17242</w:t>
          </w:r>
          <w:r w:rsidRPr="005C023C">
            <w:rPr>
              <w:rFonts w:ascii="Palatino Linotype" w:hAnsi="Palatino Linotype"/>
              <w:b/>
              <w:sz w:val="22"/>
              <w:szCs w:val="22"/>
              <w:lang w:val="es-ES_tradnl"/>
            </w:rPr>
            <w:t>/INFOEM/IP/RR/2022</w:t>
          </w:r>
        </w:p>
      </w:tc>
    </w:tr>
    <w:tr w:rsidR="006E0C3A" w:rsidRPr="008F2CCC" w14:paraId="049677A3" w14:textId="77777777" w:rsidTr="00DA50F6">
      <w:tc>
        <w:tcPr>
          <w:tcW w:w="3261" w:type="dxa"/>
          <w:vMerge/>
        </w:tcPr>
        <w:p w14:paraId="4A21EAC1" w14:textId="5C1F145E" w:rsidR="006E0C3A" w:rsidRPr="008F2CCC" w:rsidRDefault="006E0C3A" w:rsidP="00D41D47">
          <w:pPr>
            <w:rPr>
              <w:rFonts w:ascii="Palatino Linotype" w:hAnsi="Palatino Linotype"/>
              <w:b/>
              <w:sz w:val="22"/>
              <w:szCs w:val="22"/>
              <w:lang w:val="es-ES_tradnl"/>
            </w:rPr>
          </w:pPr>
        </w:p>
      </w:tc>
      <w:tc>
        <w:tcPr>
          <w:tcW w:w="2551" w:type="dxa"/>
          <w:shd w:val="clear" w:color="auto" w:fill="auto"/>
        </w:tcPr>
        <w:p w14:paraId="1237BCDE" w14:textId="77777777" w:rsidR="006E0C3A" w:rsidRPr="005C023C" w:rsidRDefault="006E0C3A" w:rsidP="00D41D47">
          <w:pPr>
            <w:rPr>
              <w:rFonts w:ascii="Palatino Linotype" w:hAnsi="Palatino Linotype"/>
              <w:b/>
              <w:sz w:val="22"/>
              <w:szCs w:val="22"/>
              <w:lang w:val="es-ES_tradnl"/>
            </w:rPr>
          </w:pPr>
          <w:r w:rsidRPr="005C023C">
            <w:rPr>
              <w:rFonts w:ascii="Palatino Linotype" w:hAnsi="Palatino Linotype"/>
              <w:b/>
              <w:sz w:val="22"/>
              <w:szCs w:val="22"/>
              <w:lang w:val="es-ES_tradnl"/>
            </w:rPr>
            <w:t>Sujeto Obligado:</w:t>
          </w:r>
        </w:p>
      </w:tc>
      <w:tc>
        <w:tcPr>
          <w:tcW w:w="3722" w:type="dxa"/>
          <w:shd w:val="clear" w:color="auto" w:fill="auto"/>
          <w:vAlign w:val="center"/>
        </w:tcPr>
        <w:p w14:paraId="7F554073" w14:textId="2F76619C" w:rsidR="006E0C3A" w:rsidRPr="005C023C" w:rsidRDefault="006E0C3A" w:rsidP="001B488B">
          <w:pPr>
            <w:jc w:val="both"/>
            <w:rPr>
              <w:sz w:val="22"/>
              <w:szCs w:val="22"/>
              <w:lang w:val="es-419"/>
            </w:rPr>
          </w:pPr>
          <w:r w:rsidRPr="00FB3CC4">
            <w:rPr>
              <w:rFonts w:ascii="Palatino Linotype" w:hAnsi="Palatino Linotype"/>
              <w:b/>
              <w:sz w:val="22"/>
              <w:szCs w:val="22"/>
              <w:lang w:val="es-ES_tradnl"/>
            </w:rPr>
            <w:t>Ayuntamiento de Ixtlahuaca</w:t>
          </w:r>
        </w:p>
      </w:tc>
    </w:tr>
    <w:tr w:rsidR="006E0C3A" w:rsidRPr="008F2CCC" w14:paraId="72CD087D" w14:textId="77777777" w:rsidTr="00DA50F6">
      <w:trPr>
        <w:trHeight w:val="228"/>
      </w:trPr>
      <w:tc>
        <w:tcPr>
          <w:tcW w:w="3261" w:type="dxa"/>
          <w:vMerge/>
        </w:tcPr>
        <w:p w14:paraId="1B78656F" w14:textId="01E6F6F6" w:rsidR="006E0C3A" w:rsidRPr="008F2CCC" w:rsidRDefault="006E0C3A" w:rsidP="00070856">
          <w:pPr>
            <w:rPr>
              <w:rFonts w:ascii="Palatino Linotype" w:hAnsi="Palatino Linotype"/>
              <w:b/>
              <w:sz w:val="22"/>
              <w:szCs w:val="22"/>
              <w:lang w:val="es-ES_tradnl"/>
            </w:rPr>
          </w:pPr>
        </w:p>
      </w:tc>
      <w:tc>
        <w:tcPr>
          <w:tcW w:w="2551" w:type="dxa"/>
          <w:shd w:val="clear" w:color="auto" w:fill="auto"/>
        </w:tcPr>
        <w:p w14:paraId="74D81628" w14:textId="3839B3E6" w:rsidR="006E0C3A" w:rsidRPr="005C023C" w:rsidRDefault="006E0C3A" w:rsidP="00B41543">
          <w:pPr>
            <w:rPr>
              <w:rFonts w:ascii="Palatino Linotype" w:hAnsi="Palatino Linotype"/>
              <w:b/>
              <w:sz w:val="22"/>
              <w:szCs w:val="22"/>
              <w:lang w:val="es-ES_tradnl"/>
            </w:rPr>
          </w:pPr>
          <w:r w:rsidRPr="005C023C">
            <w:rPr>
              <w:rFonts w:ascii="Palatino Linotype" w:hAnsi="Palatino Linotype"/>
              <w:b/>
              <w:sz w:val="22"/>
              <w:szCs w:val="22"/>
              <w:lang w:val="es-ES_tradnl"/>
            </w:rPr>
            <w:t>Comisionada Ponente:</w:t>
          </w:r>
        </w:p>
      </w:tc>
      <w:tc>
        <w:tcPr>
          <w:tcW w:w="3722" w:type="dxa"/>
          <w:shd w:val="clear" w:color="auto" w:fill="auto"/>
        </w:tcPr>
        <w:p w14:paraId="20D6FDA3" w14:textId="39A658C5" w:rsidR="006E0C3A" w:rsidRPr="005C023C" w:rsidRDefault="006E0C3A" w:rsidP="00070856">
          <w:pPr>
            <w:jc w:val="both"/>
            <w:rPr>
              <w:rFonts w:ascii="Palatino Linotype" w:hAnsi="Palatino Linotype"/>
              <w:b/>
              <w:sz w:val="22"/>
              <w:szCs w:val="22"/>
              <w:lang w:val="es-ES_tradnl"/>
            </w:rPr>
          </w:pPr>
          <w:r w:rsidRPr="005C023C">
            <w:rPr>
              <w:rFonts w:ascii="Palatino Linotype" w:hAnsi="Palatino Linotype"/>
              <w:b/>
              <w:sz w:val="22"/>
              <w:szCs w:val="22"/>
              <w:lang w:val="es-ES_tradnl"/>
            </w:rPr>
            <w:t>Sharon Cristina Morales Martínez</w:t>
          </w:r>
        </w:p>
      </w:tc>
    </w:tr>
  </w:tbl>
  <w:p w14:paraId="3ECB9F0B" w14:textId="77777777" w:rsidR="006E0C3A" w:rsidRPr="0010196A" w:rsidRDefault="006E0C3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E0C3A" w:rsidRPr="0010196A" w:rsidRDefault="008C4F8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4175" w:type="dxa"/>
      <w:tblInd w:w="-1276" w:type="dxa"/>
      <w:tblLayout w:type="fixed"/>
      <w:tblLook w:val="04A0" w:firstRow="1" w:lastRow="0" w:firstColumn="1" w:lastColumn="0" w:noHBand="0" w:noVBand="1"/>
    </w:tblPr>
    <w:tblGrid>
      <w:gridCol w:w="4253"/>
      <w:gridCol w:w="2552"/>
      <w:gridCol w:w="3685"/>
      <w:gridCol w:w="3685"/>
    </w:tblGrid>
    <w:tr w:rsidR="006E0C3A" w:rsidRPr="008F2CCC" w14:paraId="6ABABA57" w14:textId="463F2C7F" w:rsidTr="00FB3CC4">
      <w:tc>
        <w:tcPr>
          <w:tcW w:w="4253" w:type="dxa"/>
          <w:vMerge w:val="restart"/>
          <w:shd w:val="clear" w:color="auto" w:fill="auto"/>
        </w:tcPr>
        <w:p w14:paraId="6AA376CC" w14:textId="1E62217E" w:rsidR="006E0C3A" w:rsidRPr="008F2CCC" w:rsidRDefault="006E0C3A"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E0C3A" w:rsidRPr="008F2CCC" w:rsidRDefault="006E0C3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B3B2532" w:rsidR="006E0C3A" w:rsidRPr="008F2CCC" w:rsidRDefault="006E0C3A" w:rsidP="003305CB">
          <w:pPr>
            <w:jc w:val="both"/>
            <w:rPr>
              <w:rFonts w:ascii="Palatino Linotype" w:hAnsi="Palatino Linotype"/>
              <w:b/>
              <w:sz w:val="22"/>
              <w:szCs w:val="22"/>
              <w:lang w:val="es-ES_tradnl"/>
            </w:rPr>
          </w:pPr>
          <w:r>
            <w:rPr>
              <w:rFonts w:ascii="Palatino Linotype" w:hAnsi="Palatino Linotype"/>
              <w:b/>
              <w:sz w:val="22"/>
              <w:szCs w:val="22"/>
              <w:lang w:val="es-ES_tradnl"/>
            </w:rPr>
            <w:t>17242</w:t>
          </w:r>
          <w:r w:rsidRPr="00F67B0E">
            <w:rPr>
              <w:rFonts w:ascii="Palatino Linotype" w:hAnsi="Palatino Linotype"/>
              <w:b/>
              <w:sz w:val="22"/>
              <w:szCs w:val="22"/>
              <w:lang w:val="es-ES_tradnl"/>
            </w:rPr>
            <w:t>/INFOEM/IP/RR/2022</w:t>
          </w:r>
        </w:p>
      </w:tc>
      <w:tc>
        <w:tcPr>
          <w:tcW w:w="3685" w:type="dxa"/>
        </w:tcPr>
        <w:p w14:paraId="009AE459" w14:textId="77777777" w:rsidR="006E0C3A" w:rsidRDefault="006E0C3A" w:rsidP="003305CB">
          <w:pPr>
            <w:jc w:val="both"/>
            <w:rPr>
              <w:rFonts w:ascii="Palatino Linotype" w:hAnsi="Palatino Linotype"/>
              <w:b/>
              <w:sz w:val="22"/>
              <w:szCs w:val="22"/>
              <w:lang w:val="es-ES_tradnl"/>
            </w:rPr>
          </w:pPr>
        </w:p>
      </w:tc>
    </w:tr>
    <w:tr w:rsidR="006E0C3A" w:rsidRPr="008F2CCC" w14:paraId="3B45FB53" w14:textId="333E999D" w:rsidTr="00FB3CC4">
      <w:tc>
        <w:tcPr>
          <w:tcW w:w="4253" w:type="dxa"/>
          <w:vMerge/>
          <w:shd w:val="clear" w:color="auto" w:fill="auto"/>
        </w:tcPr>
        <w:p w14:paraId="188B82EF" w14:textId="77777777" w:rsidR="006E0C3A" w:rsidRPr="008F2CCC" w:rsidRDefault="006E0C3A" w:rsidP="00A2780F">
          <w:pPr>
            <w:rPr>
              <w:rFonts w:ascii="Palatino Linotype" w:hAnsi="Palatino Linotype"/>
              <w:b/>
              <w:sz w:val="22"/>
              <w:szCs w:val="22"/>
              <w:lang w:val="es-ES_tradnl"/>
            </w:rPr>
          </w:pPr>
        </w:p>
      </w:tc>
      <w:tc>
        <w:tcPr>
          <w:tcW w:w="2552" w:type="dxa"/>
          <w:shd w:val="clear" w:color="auto" w:fill="auto"/>
        </w:tcPr>
        <w:p w14:paraId="3B2AD0CF" w14:textId="77777777" w:rsidR="006E0C3A" w:rsidRPr="008F2CCC" w:rsidRDefault="006E0C3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86EE248" w:rsidR="006E0C3A" w:rsidRPr="003305CB" w:rsidRDefault="008C4F89"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XXXXXXX </w:t>
          </w:r>
          <w:proofErr w:type="spellStart"/>
          <w:r>
            <w:rPr>
              <w:rFonts w:ascii="Palatino Linotype" w:hAnsi="Palatino Linotype"/>
              <w:b/>
              <w:sz w:val="22"/>
              <w:szCs w:val="22"/>
              <w:lang w:val="es-419"/>
            </w:rPr>
            <w:t>XXXXXXX</w:t>
          </w:r>
          <w:proofErr w:type="spellEnd"/>
          <w:r>
            <w:rPr>
              <w:rFonts w:ascii="Palatino Linotype" w:hAnsi="Palatino Linotype"/>
              <w:b/>
              <w:sz w:val="22"/>
              <w:szCs w:val="22"/>
              <w:lang w:val="es-419"/>
            </w:rPr>
            <w:t xml:space="preserve"> XXXXX</w:t>
          </w:r>
        </w:p>
      </w:tc>
      <w:tc>
        <w:tcPr>
          <w:tcW w:w="3685" w:type="dxa"/>
        </w:tcPr>
        <w:p w14:paraId="0397FC06" w14:textId="77777777" w:rsidR="006E0C3A" w:rsidRPr="001B488B" w:rsidRDefault="006E0C3A" w:rsidP="00DD7C89">
          <w:pPr>
            <w:jc w:val="both"/>
            <w:rPr>
              <w:rFonts w:ascii="Palatino Linotype" w:hAnsi="Palatino Linotype"/>
              <w:b/>
              <w:sz w:val="22"/>
              <w:szCs w:val="22"/>
              <w:lang w:val="es-419"/>
            </w:rPr>
          </w:pPr>
        </w:p>
      </w:tc>
    </w:tr>
    <w:tr w:rsidR="006E0C3A" w:rsidRPr="008F2CCC" w14:paraId="28A493EB" w14:textId="564DB9AD" w:rsidTr="00FB3CC4">
      <w:trPr>
        <w:trHeight w:val="228"/>
      </w:trPr>
      <w:tc>
        <w:tcPr>
          <w:tcW w:w="4253" w:type="dxa"/>
          <w:vMerge/>
          <w:shd w:val="clear" w:color="auto" w:fill="auto"/>
        </w:tcPr>
        <w:p w14:paraId="06C77D31" w14:textId="77777777" w:rsidR="006E0C3A" w:rsidRPr="008F2CCC" w:rsidRDefault="006E0C3A" w:rsidP="00E37C88">
          <w:pPr>
            <w:rPr>
              <w:rFonts w:ascii="Palatino Linotype" w:hAnsi="Palatino Linotype"/>
              <w:b/>
              <w:sz w:val="22"/>
              <w:szCs w:val="22"/>
              <w:lang w:val="es-ES_tradnl"/>
            </w:rPr>
          </w:pPr>
        </w:p>
      </w:tc>
      <w:tc>
        <w:tcPr>
          <w:tcW w:w="2552" w:type="dxa"/>
          <w:shd w:val="clear" w:color="auto" w:fill="auto"/>
        </w:tcPr>
        <w:p w14:paraId="2E1A72B4" w14:textId="77777777" w:rsidR="006E0C3A" w:rsidRPr="008F2CCC" w:rsidRDefault="006E0C3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D1A3F7D" w:rsidR="006E0C3A" w:rsidRPr="00F67B0E" w:rsidRDefault="006E0C3A" w:rsidP="00331E3B">
          <w:pPr>
            <w:jc w:val="both"/>
            <w:rPr>
              <w:lang w:val="es-419"/>
            </w:rPr>
          </w:pPr>
          <w:r w:rsidRPr="00FB3CC4">
            <w:rPr>
              <w:rFonts w:ascii="Palatino Linotype" w:hAnsi="Palatino Linotype"/>
              <w:b/>
              <w:sz w:val="22"/>
              <w:szCs w:val="22"/>
              <w:lang w:val="es-ES_tradnl"/>
            </w:rPr>
            <w:t>Ayuntamiento de Ixtlahuaca</w:t>
          </w:r>
        </w:p>
      </w:tc>
      <w:tc>
        <w:tcPr>
          <w:tcW w:w="3685" w:type="dxa"/>
        </w:tcPr>
        <w:p w14:paraId="7ED906C6" w14:textId="77777777" w:rsidR="006E0C3A" w:rsidRPr="001B488B" w:rsidRDefault="006E0C3A" w:rsidP="00331E3B">
          <w:pPr>
            <w:jc w:val="both"/>
            <w:rPr>
              <w:rFonts w:ascii="Palatino Linotype" w:hAnsi="Palatino Linotype"/>
              <w:b/>
              <w:sz w:val="22"/>
              <w:szCs w:val="22"/>
              <w:lang w:val="es-ES_tradnl"/>
            </w:rPr>
          </w:pPr>
        </w:p>
      </w:tc>
    </w:tr>
    <w:tr w:rsidR="006E0C3A" w:rsidRPr="008F2CCC" w14:paraId="0F114FF0" w14:textId="6F3FC3C9" w:rsidTr="00FB3CC4">
      <w:tc>
        <w:tcPr>
          <w:tcW w:w="4253" w:type="dxa"/>
          <w:vMerge/>
          <w:shd w:val="clear" w:color="auto" w:fill="auto"/>
        </w:tcPr>
        <w:p w14:paraId="4CCB64BA" w14:textId="77777777" w:rsidR="006E0C3A" w:rsidRPr="008F2CCC" w:rsidRDefault="006E0C3A" w:rsidP="00A2780F">
          <w:pPr>
            <w:rPr>
              <w:rFonts w:ascii="Palatino Linotype" w:hAnsi="Palatino Linotype"/>
              <w:b/>
              <w:sz w:val="22"/>
              <w:szCs w:val="22"/>
              <w:lang w:val="es-ES_tradnl"/>
            </w:rPr>
          </w:pPr>
        </w:p>
      </w:tc>
      <w:tc>
        <w:tcPr>
          <w:tcW w:w="2552" w:type="dxa"/>
          <w:shd w:val="clear" w:color="auto" w:fill="auto"/>
        </w:tcPr>
        <w:p w14:paraId="31E422EA" w14:textId="63649A07" w:rsidR="006E0C3A" w:rsidRPr="008F2CCC" w:rsidRDefault="006E0C3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E0C3A" w:rsidRPr="008F2CCC" w:rsidRDefault="006E0C3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c>
        <w:tcPr>
          <w:tcW w:w="3685" w:type="dxa"/>
        </w:tcPr>
        <w:p w14:paraId="7C46EFC6" w14:textId="77777777" w:rsidR="006E0C3A" w:rsidRDefault="006E0C3A" w:rsidP="003C718E">
          <w:pPr>
            <w:jc w:val="both"/>
            <w:rPr>
              <w:rFonts w:ascii="Palatino Linotype" w:hAnsi="Palatino Linotype"/>
              <w:b/>
              <w:sz w:val="22"/>
              <w:szCs w:val="22"/>
              <w:lang w:val="es-ES_tradnl"/>
            </w:rPr>
          </w:pPr>
        </w:p>
      </w:tc>
    </w:tr>
  </w:tbl>
  <w:p w14:paraId="263470D9" w14:textId="1A25BE81" w:rsidR="006E0C3A" w:rsidRPr="0010196A" w:rsidRDefault="006E0C3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2573CD"/>
    <w:multiLevelType w:val="hybridMultilevel"/>
    <w:tmpl w:val="6080688E"/>
    <w:lvl w:ilvl="0" w:tplc="8E24817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7A576B9"/>
    <w:multiLevelType w:val="hybridMultilevel"/>
    <w:tmpl w:val="DE842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E90E8C"/>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D0E76"/>
    <w:multiLevelType w:val="hybridMultilevel"/>
    <w:tmpl w:val="D4F08158"/>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0397225"/>
    <w:multiLevelType w:val="hybridMultilevel"/>
    <w:tmpl w:val="9780A62A"/>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12"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562B39"/>
    <w:multiLevelType w:val="hybridMultilevel"/>
    <w:tmpl w:val="B0A08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AE3BF7"/>
    <w:multiLevelType w:val="hybridMultilevel"/>
    <w:tmpl w:val="63541080"/>
    <w:lvl w:ilvl="0" w:tplc="78E6A04C">
      <w:start w:val="1"/>
      <w:numFmt w:val="bullet"/>
      <w:lvlText w:val="●"/>
      <w:lvlJc w:val="left"/>
      <w:pPr>
        <w:ind w:left="4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7D4B98"/>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844AC6"/>
    <w:multiLevelType w:val="hybridMultilevel"/>
    <w:tmpl w:val="5D166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48971141"/>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EF41F12"/>
    <w:multiLevelType w:val="hybridMultilevel"/>
    <w:tmpl w:val="7E948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B85AA3"/>
    <w:multiLevelType w:val="hybridMultilevel"/>
    <w:tmpl w:val="1722E65E"/>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32"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2"/>
  </w:num>
  <w:num w:numId="7">
    <w:abstractNumId w:val="4"/>
  </w:num>
  <w:num w:numId="8">
    <w:abstractNumId w:val="26"/>
  </w:num>
  <w:num w:numId="9">
    <w:abstractNumId w:val="21"/>
  </w:num>
  <w:num w:numId="10">
    <w:abstractNumId w:val="32"/>
  </w:num>
  <w:num w:numId="11">
    <w:abstractNumId w:val="10"/>
  </w:num>
  <w:num w:numId="12">
    <w:abstractNumId w:val="38"/>
  </w:num>
  <w:num w:numId="13">
    <w:abstractNumId w:val="33"/>
  </w:num>
  <w:num w:numId="14">
    <w:abstractNumId w:val="6"/>
  </w:num>
  <w:num w:numId="15">
    <w:abstractNumId w:val="36"/>
  </w:num>
  <w:num w:numId="16">
    <w:abstractNumId w:val="13"/>
  </w:num>
  <w:num w:numId="17">
    <w:abstractNumId w:val="16"/>
  </w:num>
  <w:num w:numId="18">
    <w:abstractNumId w:val="24"/>
  </w:num>
  <w:num w:numId="19">
    <w:abstractNumId w:val="0"/>
  </w:num>
  <w:num w:numId="20">
    <w:abstractNumId w:val="30"/>
  </w:num>
  <w:num w:numId="21">
    <w:abstractNumId w:val="34"/>
  </w:num>
  <w:num w:numId="22">
    <w:abstractNumId w:val="39"/>
  </w:num>
  <w:num w:numId="23">
    <w:abstractNumId w:val="35"/>
  </w:num>
  <w:num w:numId="24">
    <w:abstractNumId w:val="12"/>
  </w:num>
  <w:num w:numId="25">
    <w:abstractNumId w:val="9"/>
  </w:num>
  <w:num w:numId="26">
    <w:abstractNumId w:val="20"/>
  </w:num>
  <w:num w:numId="27">
    <w:abstractNumId w:val="37"/>
  </w:num>
  <w:num w:numId="28">
    <w:abstractNumId w:val="15"/>
  </w:num>
  <w:num w:numId="29">
    <w:abstractNumId w:val="23"/>
  </w:num>
  <w:num w:numId="30">
    <w:abstractNumId w:val="29"/>
  </w:num>
  <w:num w:numId="31">
    <w:abstractNumId w:val="27"/>
  </w:num>
  <w:num w:numId="32">
    <w:abstractNumId w:val="5"/>
  </w:num>
  <w:num w:numId="33">
    <w:abstractNumId w:val="14"/>
  </w:num>
  <w:num w:numId="34">
    <w:abstractNumId w:val="17"/>
  </w:num>
  <w:num w:numId="35">
    <w:abstractNumId w:val="31"/>
  </w:num>
  <w:num w:numId="36">
    <w:abstractNumId w:val="19"/>
  </w:num>
  <w:num w:numId="37">
    <w:abstractNumId w:val="25"/>
  </w:num>
  <w:num w:numId="38">
    <w:abstractNumId w:val="28"/>
  </w:num>
  <w:num w:numId="39">
    <w:abstractNumId w:val="2"/>
  </w:num>
  <w:num w:numId="40">
    <w:abstractNumId w:val="1"/>
  </w:num>
  <w:num w:numId="41">
    <w:abstractNumId w:val="7"/>
  </w:num>
  <w:num w:numId="42">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131078" w:nlCheck="1" w:checkStyle="1"/>
  <w:activeWritingStyle w:appName="MSWord" w:lang="es-MX"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48D"/>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52B"/>
    <w:rsid w:val="00014E91"/>
    <w:rsid w:val="00015B2C"/>
    <w:rsid w:val="00015BBF"/>
    <w:rsid w:val="00015DDC"/>
    <w:rsid w:val="000160C6"/>
    <w:rsid w:val="00016A2B"/>
    <w:rsid w:val="000171D8"/>
    <w:rsid w:val="00017746"/>
    <w:rsid w:val="0001796B"/>
    <w:rsid w:val="00017EBE"/>
    <w:rsid w:val="00020BD7"/>
    <w:rsid w:val="00020C9F"/>
    <w:rsid w:val="00021C60"/>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CC"/>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2E3F"/>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6FAA"/>
    <w:rsid w:val="00057476"/>
    <w:rsid w:val="00057716"/>
    <w:rsid w:val="00057C91"/>
    <w:rsid w:val="000606B4"/>
    <w:rsid w:val="000613E3"/>
    <w:rsid w:val="0006146B"/>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4F2F"/>
    <w:rsid w:val="00075283"/>
    <w:rsid w:val="00075615"/>
    <w:rsid w:val="00075C5E"/>
    <w:rsid w:val="00075EA3"/>
    <w:rsid w:val="00076754"/>
    <w:rsid w:val="00076FD9"/>
    <w:rsid w:val="000770D8"/>
    <w:rsid w:val="00077AC1"/>
    <w:rsid w:val="00077B79"/>
    <w:rsid w:val="00077BB8"/>
    <w:rsid w:val="00077BC0"/>
    <w:rsid w:val="0008043B"/>
    <w:rsid w:val="00081385"/>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943"/>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0F9E"/>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49"/>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1BA"/>
    <w:rsid w:val="00121567"/>
    <w:rsid w:val="00121773"/>
    <w:rsid w:val="00121BB3"/>
    <w:rsid w:val="00121CB5"/>
    <w:rsid w:val="00121F77"/>
    <w:rsid w:val="00122866"/>
    <w:rsid w:val="00123FB4"/>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4EB3"/>
    <w:rsid w:val="0014538F"/>
    <w:rsid w:val="00145F32"/>
    <w:rsid w:val="00146317"/>
    <w:rsid w:val="00146CE4"/>
    <w:rsid w:val="00146D8A"/>
    <w:rsid w:val="001471C8"/>
    <w:rsid w:val="0014732A"/>
    <w:rsid w:val="00147FCE"/>
    <w:rsid w:val="00150353"/>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878AE"/>
    <w:rsid w:val="001900D7"/>
    <w:rsid w:val="00190687"/>
    <w:rsid w:val="00190BFD"/>
    <w:rsid w:val="00190F98"/>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B"/>
    <w:rsid w:val="001B1ABC"/>
    <w:rsid w:val="001B1D04"/>
    <w:rsid w:val="001B2536"/>
    <w:rsid w:val="001B27AD"/>
    <w:rsid w:val="001B281C"/>
    <w:rsid w:val="001B2E89"/>
    <w:rsid w:val="001B3698"/>
    <w:rsid w:val="001B3C5C"/>
    <w:rsid w:val="001B449C"/>
    <w:rsid w:val="001B47B3"/>
    <w:rsid w:val="001B488B"/>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1958"/>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997"/>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0B9"/>
    <w:rsid w:val="002243D9"/>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0FF7"/>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272"/>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B80"/>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59C"/>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0780E"/>
    <w:rsid w:val="003103D9"/>
    <w:rsid w:val="0031045D"/>
    <w:rsid w:val="003109E6"/>
    <w:rsid w:val="00310EF9"/>
    <w:rsid w:val="003115D4"/>
    <w:rsid w:val="0031165B"/>
    <w:rsid w:val="0031182B"/>
    <w:rsid w:val="003123CB"/>
    <w:rsid w:val="00312C01"/>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5E1"/>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7FF"/>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1E3B"/>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3998"/>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54F"/>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7E1"/>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02D"/>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49C"/>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394"/>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BCD"/>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B5"/>
    <w:rsid w:val="00504A63"/>
    <w:rsid w:val="00504F2C"/>
    <w:rsid w:val="00505143"/>
    <w:rsid w:val="00505332"/>
    <w:rsid w:val="005054A1"/>
    <w:rsid w:val="005055E4"/>
    <w:rsid w:val="00505E88"/>
    <w:rsid w:val="00506111"/>
    <w:rsid w:val="00506349"/>
    <w:rsid w:val="00506DE7"/>
    <w:rsid w:val="005071D8"/>
    <w:rsid w:val="005072B6"/>
    <w:rsid w:val="005076BE"/>
    <w:rsid w:val="00507ADC"/>
    <w:rsid w:val="00507CD8"/>
    <w:rsid w:val="00507ED8"/>
    <w:rsid w:val="00510359"/>
    <w:rsid w:val="0051056F"/>
    <w:rsid w:val="005107B7"/>
    <w:rsid w:val="00510993"/>
    <w:rsid w:val="00510DE0"/>
    <w:rsid w:val="0051121E"/>
    <w:rsid w:val="00511C3A"/>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1E6"/>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0F"/>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5E0F"/>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26B"/>
    <w:rsid w:val="005A76E6"/>
    <w:rsid w:val="005A7E33"/>
    <w:rsid w:val="005B0786"/>
    <w:rsid w:val="005B12C5"/>
    <w:rsid w:val="005B1384"/>
    <w:rsid w:val="005B1571"/>
    <w:rsid w:val="005B1BAB"/>
    <w:rsid w:val="005B1DCF"/>
    <w:rsid w:val="005B23C8"/>
    <w:rsid w:val="005B331F"/>
    <w:rsid w:val="005B442E"/>
    <w:rsid w:val="005B5043"/>
    <w:rsid w:val="005B5501"/>
    <w:rsid w:val="005B598C"/>
    <w:rsid w:val="005B6571"/>
    <w:rsid w:val="005B690A"/>
    <w:rsid w:val="005B6AFF"/>
    <w:rsid w:val="005B6C71"/>
    <w:rsid w:val="005B70A2"/>
    <w:rsid w:val="005B7AD1"/>
    <w:rsid w:val="005C023C"/>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098"/>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3B1"/>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2BA9"/>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6CD"/>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8E"/>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A26"/>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6E2"/>
    <w:rsid w:val="006A5B63"/>
    <w:rsid w:val="006A6BEF"/>
    <w:rsid w:val="006A717A"/>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2CB0"/>
    <w:rsid w:val="006B3800"/>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176"/>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AEA"/>
    <w:rsid w:val="006C6E05"/>
    <w:rsid w:val="006C7192"/>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0C3A"/>
    <w:rsid w:val="006E1976"/>
    <w:rsid w:val="006E1BB0"/>
    <w:rsid w:val="006E25F7"/>
    <w:rsid w:val="006E33F7"/>
    <w:rsid w:val="006E3455"/>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1C5"/>
    <w:rsid w:val="006F2C5A"/>
    <w:rsid w:val="006F3004"/>
    <w:rsid w:val="006F3059"/>
    <w:rsid w:val="006F30F8"/>
    <w:rsid w:val="006F33AE"/>
    <w:rsid w:val="006F3599"/>
    <w:rsid w:val="006F3D42"/>
    <w:rsid w:val="006F3F86"/>
    <w:rsid w:val="006F4369"/>
    <w:rsid w:val="006F4D1A"/>
    <w:rsid w:val="006F55F2"/>
    <w:rsid w:val="006F5A76"/>
    <w:rsid w:val="006F5AB6"/>
    <w:rsid w:val="006F5AD6"/>
    <w:rsid w:val="006F5F90"/>
    <w:rsid w:val="006F61C5"/>
    <w:rsid w:val="006F61D7"/>
    <w:rsid w:val="006F7279"/>
    <w:rsid w:val="006F7A70"/>
    <w:rsid w:val="006F7DC8"/>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482"/>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B"/>
    <w:rsid w:val="0075030F"/>
    <w:rsid w:val="00750D6F"/>
    <w:rsid w:val="00750F1A"/>
    <w:rsid w:val="00751099"/>
    <w:rsid w:val="00751237"/>
    <w:rsid w:val="00752248"/>
    <w:rsid w:val="007523B1"/>
    <w:rsid w:val="00752A67"/>
    <w:rsid w:val="00752E1F"/>
    <w:rsid w:val="0075343A"/>
    <w:rsid w:val="00753688"/>
    <w:rsid w:val="00753E07"/>
    <w:rsid w:val="00753E3E"/>
    <w:rsid w:val="00753E6C"/>
    <w:rsid w:val="007540D2"/>
    <w:rsid w:val="00754ECB"/>
    <w:rsid w:val="00755188"/>
    <w:rsid w:val="007552CD"/>
    <w:rsid w:val="007553E5"/>
    <w:rsid w:val="007566BA"/>
    <w:rsid w:val="0075685E"/>
    <w:rsid w:val="00756B7E"/>
    <w:rsid w:val="00756C9C"/>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2F6"/>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57BC"/>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39E"/>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A93"/>
    <w:rsid w:val="007A3B0A"/>
    <w:rsid w:val="007A453B"/>
    <w:rsid w:val="007A4A82"/>
    <w:rsid w:val="007A4FB6"/>
    <w:rsid w:val="007A520F"/>
    <w:rsid w:val="007A537D"/>
    <w:rsid w:val="007A53F8"/>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6D9"/>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9C3"/>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0C4B"/>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6B5"/>
    <w:rsid w:val="008068F8"/>
    <w:rsid w:val="00806C71"/>
    <w:rsid w:val="00806D9B"/>
    <w:rsid w:val="0080775D"/>
    <w:rsid w:val="008079A9"/>
    <w:rsid w:val="00807DA0"/>
    <w:rsid w:val="00810766"/>
    <w:rsid w:val="00810B4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7E9"/>
    <w:rsid w:val="00850AD7"/>
    <w:rsid w:val="00851BAB"/>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810"/>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3F6"/>
    <w:rsid w:val="008C2DDE"/>
    <w:rsid w:val="008C35C0"/>
    <w:rsid w:val="008C3626"/>
    <w:rsid w:val="008C3786"/>
    <w:rsid w:val="008C3913"/>
    <w:rsid w:val="008C3ECF"/>
    <w:rsid w:val="008C3FBC"/>
    <w:rsid w:val="008C3FD5"/>
    <w:rsid w:val="008C3FDA"/>
    <w:rsid w:val="008C41C7"/>
    <w:rsid w:val="008C45F4"/>
    <w:rsid w:val="008C473A"/>
    <w:rsid w:val="008C4836"/>
    <w:rsid w:val="008C48E7"/>
    <w:rsid w:val="008C4F89"/>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11"/>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512"/>
    <w:rsid w:val="0098667C"/>
    <w:rsid w:val="00986820"/>
    <w:rsid w:val="00986DC4"/>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0E"/>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A02"/>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C7333"/>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174"/>
    <w:rsid w:val="009E2354"/>
    <w:rsid w:val="009E23CA"/>
    <w:rsid w:val="009E29D0"/>
    <w:rsid w:val="009E2D79"/>
    <w:rsid w:val="009E2E2C"/>
    <w:rsid w:val="009E37B2"/>
    <w:rsid w:val="009E3AEE"/>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9A3"/>
    <w:rsid w:val="009F0B42"/>
    <w:rsid w:val="009F0D06"/>
    <w:rsid w:val="009F0EA8"/>
    <w:rsid w:val="009F0EF5"/>
    <w:rsid w:val="009F150F"/>
    <w:rsid w:val="009F19D4"/>
    <w:rsid w:val="009F1AB6"/>
    <w:rsid w:val="009F1CCE"/>
    <w:rsid w:val="009F2046"/>
    <w:rsid w:val="009F23C2"/>
    <w:rsid w:val="009F2705"/>
    <w:rsid w:val="009F2CCB"/>
    <w:rsid w:val="009F3039"/>
    <w:rsid w:val="009F40B2"/>
    <w:rsid w:val="009F42AA"/>
    <w:rsid w:val="009F473C"/>
    <w:rsid w:val="009F4A50"/>
    <w:rsid w:val="009F512D"/>
    <w:rsid w:val="009F5384"/>
    <w:rsid w:val="009F565F"/>
    <w:rsid w:val="009F5915"/>
    <w:rsid w:val="009F5E8B"/>
    <w:rsid w:val="009F65C8"/>
    <w:rsid w:val="009F66F6"/>
    <w:rsid w:val="009F68BC"/>
    <w:rsid w:val="009F6BD2"/>
    <w:rsid w:val="009F6E60"/>
    <w:rsid w:val="009F6F9F"/>
    <w:rsid w:val="00A00E64"/>
    <w:rsid w:val="00A01032"/>
    <w:rsid w:val="00A01C5B"/>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3FA0"/>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1B0"/>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5BCE"/>
    <w:rsid w:val="00AB61B4"/>
    <w:rsid w:val="00AB64B8"/>
    <w:rsid w:val="00AB6C32"/>
    <w:rsid w:val="00AB6C73"/>
    <w:rsid w:val="00AB70AF"/>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B0"/>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1A0A"/>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6D9"/>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18D"/>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5D85"/>
    <w:rsid w:val="00B76130"/>
    <w:rsid w:val="00B76548"/>
    <w:rsid w:val="00B76607"/>
    <w:rsid w:val="00B772D7"/>
    <w:rsid w:val="00B775DF"/>
    <w:rsid w:val="00B77A3F"/>
    <w:rsid w:val="00B77AF1"/>
    <w:rsid w:val="00B77C4F"/>
    <w:rsid w:val="00B80037"/>
    <w:rsid w:val="00B8014D"/>
    <w:rsid w:val="00B80592"/>
    <w:rsid w:val="00B807F8"/>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6F1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188"/>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5FC"/>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37B"/>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50"/>
    <w:rsid w:val="00C649F1"/>
    <w:rsid w:val="00C64D6F"/>
    <w:rsid w:val="00C65825"/>
    <w:rsid w:val="00C65B9C"/>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0C"/>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A79"/>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D0A"/>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23"/>
    <w:rsid w:val="00CF48AE"/>
    <w:rsid w:val="00CF5A72"/>
    <w:rsid w:val="00CF5B6A"/>
    <w:rsid w:val="00CF6421"/>
    <w:rsid w:val="00CF7117"/>
    <w:rsid w:val="00CF7515"/>
    <w:rsid w:val="00D00664"/>
    <w:rsid w:val="00D00A64"/>
    <w:rsid w:val="00D00A7F"/>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BCC"/>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55A"/>
    <w:rsid w:val="00D756C2"/>
    <w:rsid w:val="00D75F1C"/>
    <w:rsid w:val="00D76134"/>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6B4"/>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57C"/>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25B"/>
    <w:rsid w:val="00E5559D"/>
    <w:rsid w:val="00E55C0B"/>
    <w:rsid w:val="00E5610C"/>
    <w:rsid w:val="00E5626A"/>
    <w:rsid w:val="00E5676C"/>
    <w:rsid w:val="00E56E8D"/>
    <w:rsid w:val="00E56EE0"/>
    <w:rsid w:val="00E57269"/>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B02"/>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372"/>
    <w:rsid w:val="00EE2AB3"/>
    <w:rsid w:val="00EE2F3F"/>
    <w:rsid w:val="00EE3398"/>
    <w:rsid w:val="00EE3BBB"/>
    <w:rsid w:val="00EE3CB6"/>
    <w:rsid w:val="00EE4801"/>
    <w:rsid w:val="00EE4B1D"/>
    <w:rsid w:val="00EE4CD3"/>
    <w:rsid w:val="00EE4D66"/>
    <w:rsid w:val="00EE50D3"/>
    <w:rsid w:val="00EE52D0"/>
    <w:rsid w:val="00EE5AB7"/>
    <w:rsid w:val="00EE73E6"/>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5D5"/>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798"/>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576"/>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1F38"/>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CC4"/>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758"/>
    <w:rsid w:val="00FC7DF3"/>
    <w:rsid w:val="00FD0744"/>
    <w:rsid w:val="00FD0CD3"/>
    <w:rsid w:val="00FD15D9"/>
    <w:rsid w:val="00FD22CB"/>
    <w:rsid w:val="00FD241D"/>
    <w:rsid w:val="00FD37A4"/>
    <w:rsid w:val="00FD387E"/>
    <w:rsid w:val="00FD3CA5"/>
    <w:rsid w:val="00FD3CB1"/>
    <w:rsid w:val="00FD41F6"/>
    <w:rsid w:val="00FD4F02"/>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3160"/>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3D6A"/>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943"/>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3215E1"/>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CD5D0A"/>
    <w:rPr>
      <w:color w:val="605E5C"/>
      <w:shd w:val="clear" w:color="auto" w:fill="E1DFDD"/>
    </w:rPr>
  </w:style>
  <w:style w:type="paragraph" w:customStyle="1" w:styleId="Citas">
    <w:name w:val="Citas"/>
    <w:basedOn w:val="Normal"/>
    <w:qFormat/>
    <w:rsid w:val="008066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32">
    <w:name w:val="Tabla con cuadrícula11112132"/>
    <w:basedOn w:val="Tablanormal"/>
    <w:uiPriority w:val="39"/>
    <w:rsid w:val="00FF3D6A"/>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726277">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922017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hare.sisop.edomex.gob.mx/archivos/8e883ec83b015d8a8387384d438ea53c"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A8953-45E7-4416-9BFB-7D01A7D07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41</Pages>
  <Words>9477</Words>
  <Characters>52126</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2023-05-12T16:30:00Z</cp:lastPrinted>
  <dcterms:created xsi:type="dcterms:W3CDTF">2023-05-04T18:39:00Z</dcterms:created>
  <dcterms:modified xsi:type="dcterms:W3CDTF">2023-05-18T18:27:00Z</dcterms:modified>
</cp:coreProperties>
</file>