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DE35DC" w14:textId="77777777" w:rsidR="00DD4A35" w:rsidRDefault="00DD4A35" w:rsidP="00261F7E">
      <w:pPr>
        <w:spacing w:line="360" w:lineRule="auto"/>
        <w:contextualSpacing/>
        <w:jc w:val="both"/>
        <w:rPr>
          <w:rFonts w:ascii="Palatino Linotype" w:hAnsi="Palatino Linotype" w:cs="Tahoma"/>
          <w:bCs/>
          <w:sz w:val="22"/>
          <w:szCs w:val="22"/>
        </w:rPr>
      </w:pPr>
    </w:p>
    <w:p w14:paraId="2F1F87E7" w14:textId="72AB80EE" w:rsidR="00B03EDE" w:rsidRPr="00375C9E" w:rsidRDefault="00B03EDE" w:rsidP="00261F7E">
      <w:pPr>
        <w:spacing w:line="360" w:lineRule="auto"/>
        <w:contextualSpacing/>
        <w:jc w:val="both"/>
        <w:rPr>
          <w:rFonts w:ascii="Palatino Linotype" w:hAnsi="Palatino Linotype"/>
          <w:noProof/>
          <w:sz w:val="22"/>
          <w:szCs w:val="22"/>
          <w:lang w:val="es-ES"/>
        </w:rPr>
      </w:pPr>
      <w:r w:rsidRPr="00375C9E">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w:t>
      </w:r>
      <w:r w:rsidRPr="00E0050F">
        <w:rPr>
          <w:rFonts w:ascii="Palatino Linotype" w:hAnsi="Palatino Linotype" w:cs="Tahoma"/>
          <w:bCs/>
          <w:sz w:val="22"/>
          <w:szCs w:val="22"/>
        </w:rPr>
        <w:t xml:space="preserve">fecha </w:t>
      </w:r>
      <w:r w:rsidR="003259F3">
        <w:rPr>
          <w:rFonts w:ascii="Palatino Linotype" w:hAnsi="Palatino Linotype" w:cs="Tahoma"/>
          <w:bCs/>
          <w:sz w:val="22"/>
          <w:szCs w:val="22"/>
        </w:rPr>
        <w:t>veintidós</w:t>
      </w:r>
      <w:r w:rsidR="00994371">
        <w:rPr>
          <w:rFonts w:ascii="Palatino Linotype" w:hAnsi="Palatino Linotype" w:cs="Tahoma"/>
          <w:bCs/>
          <w:sz w:val="22"/>
          <w:szCs w:val="22"/>
        </w:rPr>
        <w:t xml:space="preserve"> de febrero de dos mil veintitrés</w:t>
      </w:r>
      <w:r w:rsidRPr="00E0050F">
        <w:rPr>
          <w:rFonts w:ascii="Palatino Linotype" w:hAnsi="Palatino Linotype" w:cs="Tahoma"/>
          <w:bCs/>
          <w:sz w:val="22"/>
          <w:szCs w:val="22"/>
        </w:rPr>
        <w:t>.</w:t>
      </w:r>
    </w:p>
    <w:p w14:paraId="67AD71AC" w14:textId="77777777" w:rsidR="00B03EDE" w:rsidRPr="00375C9E" w:rsidRDefault="00B03EDE" w:rsidP="00261F7E">
      <w:pPr>
        <w:spacing w:line="360" w:lineRule="auto"/>
        <w:contextualSpacing/>
        <w:jc w:val="both"/>
        <w:rPr>
          <w:rFonts w:ascii="Palatino Linotype" w:hAnsi="Palatino Linotype"/>
          <w:noProof/>
          <w:sz w:val="22"/>
          <w:szCs w:val="22"/>
          <w:lang w:val="es-ES"/>
        </w:rPr>
      </w:pPr>
    </w:p>
    <w:p w14:paraId="03EEBBA4" w14:textId="4BCD02BE" w:rsidR="00B03EDE" w:rsidRPr="00375C9E" w:rsidRDefault="00B03EDE" w:rsidP="00261F7E">
      <w:pPr>
        <w:spacing w:line="360" w:lineRule="auto"/>
        <w:contextualSpacing/>
        <w:jc w:val="both"/>
        <w:rPr>
          <w:rFonts w:ascii="Palatino Linotype" w:eastAsia="Calibri" w:hAnsi="Palatino Linotype" w:cs="Tahoma"/>
          <w:sz w:val="22"/>
          <w:szCs w:val="22"/>
          <w:lang w:val="es-ES" w:eastAsia="en-US"/>
        </w:rPr>
      </w:pPr>
      <w:r w:rsidRPr="00375C9E">
        <w:rPr>
          <w:rFonts w:ascii="Palatino Linotype" w:hAnsi="Palatino Linotype" w:cs="Tahoma"/>
          <w:b/>
          <w:bCs/>
          <w:color w:val="0D0D0D" w:themeColor="text1" w:themeTint="F2"/>
          <w:sz w:val="22"/>
          <w:szCs w:val="22"/>
        </w:rPr>
        <w:t>VISTO</w:t>
      </w:r>
      <w:r w:rsidRPr="00375C9E">
        <w:rPr>
          <w:rFonts w:ascii="Palatino Linotype" w:hAnsi="Palatino Linotype" w:cs="Tahoma"/>
          <w:bCs/>
          <w:color w:val="0D0D0D" w:themeColor="text1" w:themeTint="F2"/>
          <w:sz w:val="22"/>
          <w:szCs w:val="22"/>
        </w:rPr>
        <w:t xml:space="preserve"> el expediente conformado con motivo del Recurso de Revisión </w:t>
      </w:r>
      <w:r w:rsidR="00994371">
        <w:rPr>
          <w:rFonts w:ascii="Palatino Linotype" w:eastAsia="Calibri" w:hAnsi="Palatino Linotype" w:cs="Tahoma"/>
          <w:sz w:val="22"/>
          <w:szCs w:val="22"/>
          <w:lang w:eastAsia="en-US"/>
        </w:rPr>
        <w:t>11216</w:t>
      </w:r>
      <w:r w:rsidR="00160160" w:rsidRPr="00160160">
        <w:rPr>
          <w:rFonts w:ascii="Palatino Linotype" w:eastAsia="Calibri" w:hAnsi="Palatino Linotype" w:cs="Tahoma"/>
          <w:sz w:val="22"/>
          <w:szCs w:val="22"/>
          <w:lang w:eastAsia="en-US"/>
        </w:rPr>
        <w:t>/INFOEM/IP/RR/2022</w:t>
      </w:r>
      <w:r w:rsidR="00C87E36">
        <w:rPr>
          <w:rFonts w:ascii="Palatino Linotype" w:eastAsia="Calibri" w:hAnsi="Palatino Linotype" w:cs="Tahoma"/>
          <w:sz w:val="22"/>
          <w:szCs w:val="22"/>
          <w:lang w:eastAsia="en-US"/>
        </w:rPr>
        <w:t>,</w:t>
      </w:r>
      <w:r w:rsidRPr="00164EC4">
        <w:rPr>
          <w:rFonts w:ascii="Palatino Linotype" w:eastAsia="Calibri" w:hAnsi="Palatino Linotype" w:cs="Tahoma"/>
          <w:sz w:val="22"/>
          <w:szCs w:val="22"/>
          <w:lang w:eastAsia="en-US"/>
        </w:rPr>
        <w:t xml:space="preserve"> </w:t>
      </w:r>
      <w:r w:rsidRPr="00164EC4">
        <w:rPr>
          <w:rFonts w:ascii="Palatino Linotype" w:hAnsi="Palatino Linotype" w:cs="Tahoma"/>
          <w:color w:val="0D0D0D" w:themeColor="text1" w:themeTint="F2"/>
          <w:sz w:val="22"/>
          <w:szCs w:val="22"/>
        </w:rPr>
        <w:t>interpuesto por</w:t>
      </w:r>
      <w:r w:rsidR="009636BA">
        <w:rPr>
          <w:rFonts w:ascii="Palatino Linotype" w:hAnsi="Palatino Linotype" w:cs="Tahoma"/>
          <w:color w:val="0D0D0D" w:themeColor="text1" w:themeTint="F2"/>
          <w:sz w:val="22"/>
          <w:szCs w:val="22"/>
        </w:rPr>
        <w:t xml:space="preserve"> </w:t>
      </w:r>
      <w:r w:rsidR="00994371">
        <w:rPr>
          <w:rFonts w:ascii="Palatino Linotype" w:hAnsi="Palatino Linotype" w:cs="Tahoma"/>
          <w:color w:val="0D0D0D" w:themeColor="text1" w:themeTint="F2"/>
          <w:sz w:val="22"/>
          <w:szCs w:val="22"/>
        </w:rPr>
        <w:t>el</w:t>
      </w:r>
      <w:r w:rsidR="001403AD">
        <w:rPr>
          <w:rFonts w:ascii="Palatino Linotype" w:eastAsia="Calibri" w:hAnsi="Palatino Linotype" w:cs="Tahoma"/>
          <w:color w:val="0D0D0D" w:themeColor="text1" w:themeTint="F2"/>
          <w:sz w:val="22"/>
          <w:szCs w:val="22"/>
        </w:rPr>
        <w:t xml:space="preserve"> </w:t>
      </w:r>
      <w:r w:rsidRPr="00164EC4">
        <w:rPr>
          <w:rFonts w:ascii="Palatino Linotype" w:hAnsi="Palatino Linotype" w:cs="Tahoma"/>
          <w:color w:val="0D0D0D" w:themeColor="text1" w:themeTint="F2"/>
          <w:sz w:val="22"/>
          <w:szCs w:val="22"/>
        </w:rPr>
        <w:t xml:space="preserve">Recurrente o Particular, </w:t>
      </w:r>
      <w:r w:rsidRPr="00164EC4">
        <w:rPr>
          <w:rFonts w:ascii="Palatino Linotype" w:eastAsia="Calibri" w:hAnsi="Palatino Linotype" w:cs="Tahoma"/>
          <w:sz w:val="22"/>
          <w:szCs w:val="22"/>
          <w:lang w:val="es-ES" w:eastAsia="en-US"/>
        </w:rPr>
        <w:t xml:space="preserve">en contra de la respuesta del Sujeto Obligado, </w:t>
      </w:r>
      <w:r w:rsidR="00994371" w:rsidRPr="00994371">
        <w:rPr>
          <w:rFonts w:ascii="Palatino Linotype" w:eastAsia="Calibri" w:hAnsi="Palatino Linotype" w:cs="Tahoma"/>
          <w:sz w:val="22"/>
          <w:szCs w:val="22"/>
          <w:lang w:eastAsia="en-US"/>
        </w:rPr>
        <w:t>Instituto de Transparencia, Acceso a la Información Pública y Protección de Datos Personales del Estado de México y Municipios</w:t>
      </w:r>
      <w:r w:rsidRPr="00164EC4">
        <w:rPr>
          <w:rFonts w:ascii="Palatino Linotype" w:eastAsia="Calibri" w:hAnsi="Palatino Linotype" w:cs="Tahoma"/>
          <w:sz w:val="22"/>
          <w:szCs w:val="22"/>
          <w:lang w:val="es-ES" w:eastAsia="en-US"/>
        </w:rPr>
        <w:t>, a la solicitud de acceso a la información</w:t>
      </w:r>
      <w:r w:rsidR="00A82B57">
        <w:rPr>
          <w:rFonts w:ascii="Palatino Linotype" w:eastAsia="Calibri" w:hAnsi="Palatino Linotype" w:cs="Tahoma"/>
          <w:sz w:val="22"/>
          <w:szCs w:val="22"/>
          <w:lang w:val="es-ES" w:eastAsia="en-US"/>
        </w:rPr>
        <w:t xml:space="preserve"> </w:t>
      </w:r>
      <w:r w:rsidR="009636BA" w:rsidRPr="009636BA">
        <w:rPr>
          <w:rFonts w:ascii="Palatino Linotype" w:eastAsia="Calibri" w:hAnsi="Palatino Linotype" w:cs="Tahoma"/>
          <w:sz w:val="22"/>
          <w:szCs w:val="22"/>
          <w:lang w:eastAsia="en-US"/>
        </w:rPr>
        <w:t xml:space="preserve"> </w:t>
      </w:r>
      <w:r w:rsidR="00994371" w:rsidRPr="00994371">
        <w:rPr>
          <w:rFonts w:ascii="Palatino Linotype" w:eastAsia="Calibri" w:hAnsi="Palatino Linotype" w:cs="Tahoma"/>
          <w:sz w:val="22"/>
          <w:szCs w:val="22"/>
          <w:lang w:eastAsia="en-US"/>
        </w:rPr>
        <w:t>00638/INFOEM/IP/2022</w:t>
      </w:r>
      <w:r w:rsidRPr="00164EC4">
        <w:rPr>
          <w:rFonts w:ascii="Palatino Linotype" w:eastAsia="Calibri" w:hAnsi="Palatino Linotype" w:cs="Tahoma"/>
          <w:sz w:val="22"/>
          <w:szCs w:val="22"/>
          <w:lang w:val="es-ES" w:eastAsia="en-US"/>
        </w:rPr>
        <w:t>,</w:t>
      </w:r>
      <w:r w:rsidRPr="00375C9E">
        <w:rPr>
          <w:rFonts w:ascii="Palatino Linotype" w:eastAsia="Calibri" w:hAnsi="Palatino Linotype" w:cs="Tahoma"/>
          <w:sz w:val="22"/>
          <w:szCs w:val="22"/>
          <w:lang w:val="es-ES" w:eastAsia="en-US"/>
        </w:rPr>
        <w:t xml:space="preserve"> se emite la presente</w:t>
      </w:r>
      <w:r w:rsidRPr="00375C9E">
        <w:rPr>
          <w:rFonts w:ascii="Palatino Linotype" w:eastAsia="Calibri" w:hAnsi="Palatino Linotype" w:cs="Tahoma"/>
          <w:bCs/>
          <w:sz w:val="22"/>
          <w:szCs w:val="22"/>
          <w:lang w:val="es-ES" w:eastAsia="en-US"/>
        </w:rPr>
        <w:t xml:space="preserve"> Resolución, con base en los Antecedentes y Consideraciones que a continuación se exponen:</w:t>
      </w:r>
    </w:p>
    <w:p w14:paraId="78A1221F" w14:textId="77777777" w:rsidR="00B03EDE" w:rsidRPr="00375C9E" w:rsidRDefault="00B03EDE" w:rsidP="00261F7E">
      <w:pPr>
        <w:tabs>
          <w:tab w:val="left" w:pos="2835"/>
        </w:tabs>
        <w:spacing w:line="360" w:lineRule="auto"/>
        <w:ind w:right="-93"/>
        <w:contextualSpacing/>
        <w:jc w:val="both"/>
        <w:rPr>
          <w:rFonts w:ascii="Palatino Linotype" w:eastAsia="Calibri" w:hAnsi="Palatino Linotype" w:cs="Tahoma"/>
          <w:b/>
          <w:bCs/>
          <w:sz w:val="22"/>
          <w:szCs w:val="22"/>
          <w:lang w:eastAsia="en-US"/>
        </w:rPr>
      </w:pPr>
    </w:p>
    <w:p w14:paraId="58A6EB28" w14:textId="77777777" w:rsidR="00B03EDE" w:rsidRPr="00375C9E" w:rsidRDefault="00B03EDE" w:rsidP="00261F7E">
      <w:pPr>
        <w:spacing w:line="360" w:lineRule="auto"/>
        <w:ind w:right="-93"/>
        <w:contextualSpacing/>
        <w:jc w:val="center"/>
        <w:rPr>
          <w:rFonts w:ascii="Palatino Linotype" w:eastAsia="Calibri" w:hAnsi="Palatino Linotype" w:cs="Tahoma"/>
          <w:b/>
          <w:bCs/>
          <w:sz w:val="22"/>
          <w:szCs w:val="22"/>
          <w:lang w:eastAsia="en-US"/>
        </w:rPr>
      </w:pPr>
      <w:r w:rsidRPr="00375C9E">
        <w:rPr>
          <w:rFonts w:ascii="Palatino Linotype" w:eastAsia="Calibri" w:hAnsi="Palatino Linotype" w:cs="Tahoma"/>
          <w:b/>
          <w:bCs/>
          <w:sz w:val="22"/>
          <w:szCs w:val="22"/>
          <w:lang w:eastAsia="en-US"/>
        </w:rPr>
        <w:t>A N T E C E D E N T E S:</w:t>
      </w:r>
    </w:p>
    <w:p w14:paraId="16984CF4" w14:textId="77777777" w:rsidR="00B03EDE" w:rsidRPr="00375C9E" w:rsidRDefault="00B03EDE" w:rsidP="00261F7E">
      <w:pPr>
        <w:spacing w:line="360" w:lineRule="auto"/>
        <w:ind w:right="-93"/>
        <w:contextualSpacing/>
        <w:jc w:val="both"/>
        <w:rPr>
          <w:rFonts w:ascii="Palatino Linotype" w:eastAsia="Calibri" w:hAnsi="Palatino Linotype" w:cs="Tahoma"/>
          <w:bCs/>
          <w:sz w:val="22"/>
          <w:szCs w:val="22"/>
          <w:lang w:eastAsia="en-US"/>
        </w:rPr>
      </w:pPr>
    </w:p>
    <w:p w14:paraId="6BCCE3EF" w14:textId="7F56FAA6" w:rsidR="00B03EDE" w:rsidRPr="00375C9E" w:rsidRDefault="00B03EDE" w:rsidP="00261F7E">
      <w:pPr>
        <w:spacing w:line="360" w:lineRule="auto"/>
        <w:contextualSpacing/>
        <w:jc w:val="both"/>
        <w:rPr>
          <w:rFonts w:ascii="Palatino Linotype" w:eastAsia="Calibri" w:hAnsi="Palatino Linotype" w:cs="Tahoma"/>
          <w:b/>
          <w:bCs/>
          <w:sz w:val="22"/>
          <w:szCs w:val="22"/>
          <w:lang w:eastAsia="en-US"/>
        </w:rPr>
      </w:pPr>
      <w:r w:rsidRPr="00375C9E">
        <w:rPr>
          <w:rFonts w:ascii="Palatino Linotype" w:eastAsia="Calibri" w:hAnsi="Palatino Linotype" w:cs="Tahoma"/>
          <w:b/>
          <w:bCs/>
          <w:sz w:val="22"/>
          <w:szCs w:val="22"/>
          <w:lang w:eastAsia="en-US"/>
        </w:rPr>
        <w:t>I. Presentación de la solicitud de información.</w:t>
      </w:r>
      <w:r w:rsidR="00046E37">
        <w:rPr>
          <w:rFonts w:ascii="Palatino Linotype" w:eastAsia="Calibri" w:hAnsi="Palatino Linotype" w:cs="Tahoma"/>
          <w:b/>
          <w:bCs/>
          <w:sz w:val="22"/>
          <w:szCs w:val="22"/>
          <w:lang w:eastAsia="en-US"/>
        </w:rPr>
        <w:t xml:space="preserve"> </w:t>
      </w:r>
    </w:p>
    <w:p w14:paraId="2E5149FA" w14:textId="77777777" w:rsidR="00B03EDE" w:rsidRPr="00375C9E" w:rsidRDefault="00B03EDE" w:rsidP="00261F7E">
      <w:pPr>
        <w:autoSpaceDE w:val="0"/>
        <w:autoSpaceDN w:val="0"/>
        <w:adjustRightInd w:val="0"/>
        <w:spacing w:line="360" w:lineRule="auto"/>
        <w:jc w:val="both"/>
        <w:rPr>
          <w:rFonts w:ascii="Palatino Linotype" w:hAnsi="Palatino Linotype" w:cs="Tahoma"/>
          <w:sz w:val="22"/>
          <w:szCs w:val="22"/>
        </w:rPr>
      </w:pPr>
    </w:p>
    <w:p w14:paraId="5F947485" w14:textId="0F4AF980" w:rsidR="008932D9" w:rsidRPr="008932D9" w:rsidRDefault="008932D9" w:rsidP="00261F7E">
      <w:pPr>
        <w:autoSpaceDE w:val="0"/>
        <w:autoSpaceDN w:val="0"/>
        <w:adjustRightInd w:val="0"/>
        <w:spacing w:line="360" w:lineRule="auto"/>
        <w:jc w:val="both"/>
        <w:rPr>
          <w:rFonts w:ascii="Palatino Linotype" w:eastAsiaTheme="minorHAnsi" w:hAnsi="Palatino Linotype" w:cs="Tahoma"/>
          <w:bCs/>
          <w:color w:val="000000" w:themeColor="text1"/>
          <w:sz w:val="22"/>
          <w:szCs w:val="22"/>
          <w:lang w:eastAsia="en-US"/>
        </w:rPr>
      </w:pPr>
      <w:r w:rsidRPr="008932D9">
        <w:rPr>
          <w:rFonts w:ascii="Palatino Linotype" w:eastAsiaTheme="minorHAnsi" w:hAnsi="Palatino Linotype" w:cs="Tahoma"/>
          <w:color w:val="000000" w:themeColor="text1"/>
          <w:sz w:val="22"/>
          <w:szCs w:val="22"/>
          <w:lang w:eastAsia="en-US"/>
        </w:rPr>
        <w:t xml:space="preserve">Con fecha </w:t>
      </w:r>
      <w:r w:rsidR="00994371">
        <w:rPr>
          <w:rFonts w:ascii="Palatino Linotype" w:eastAsiaTheme="minorHAnsi" w:hAnsi="Palatino Linotype" w:cs="Tahoma"/>
          <w:color w:val="000000" w:themeColor="text1"/>
          <w:sz w:val="22"/>
          <w:szCs w:val="22"/>
          <w:lang w:eastAsia="en-US"/>
        </w:rPr>
        <w:t xml:space="preserve">veintisiete de mayo </w:t>
      </w:r>
      <w:r w:rsidR="009636BA">
        <w:rPr>
          <w:rFonts w:ascii="Palatino Linotype" w:eastAsiaTheme="minorHAnsi" w:hAnsi="Palatino Linotype" w:cs="Tahoma"/>
          <w:color w:val="000000" w:themeColor="text1"/>
          <w:sz w:val="22"/>
          <w:szCs w:val="22"/>
          <w:lang w:eastAsia="en-US"/>
        </w:rPr>
        <w:t xml:space="preserve"> </w:t>
      </w:r>
      <w:r w:rsidRPr="008932D9">
        <w:rPr>
          <w:rFonts w:ascii="Palatino Linotype" w:eastAsiaTheme="minorHAnsi" w:hAnsi="Palatino Linotype" w:cs="Tahoma"/>
          <w:color w:val="000000" w:themeColor="text1"/>
          <w:sz w:val="22"/>
          <w:szCs w:val="22"/>
          <w:lang w:eastAsia="en-US"/>
        </w:rPr>
        <w:t>de dos mil veinti</w:t>
      </w:r>
      <w:r w:rsidR="00C04F14">
        <w:rPr>
          <w:rFonts w:ascii="Palatino Linotype" w:eastAsiaTheme="minorHAnsi" w:hAnsi="Palatino Linotype" w:cs="Tahoma"/>
          <w:color w:val="000000" w:themeColor="text1"/>
          <w:sz w:val="22"/>
          <w:szCs w:val="22"/>
          <w:lang w:eastAsia="en-US"/>
        </w:rPr>
        <w:t>dós</w:t>
      </w:r>
      <w:r w:rsidRPr="008932D9">
        <w:rPr>
          <w:rFonts w:ascii="Palatino Linotype" w:eastAsiaTheme="minorHAnsi" w:hAnsi="Palatino Linotype" w:cs="Tahoma"/>
          <w:color w:val="000000" w:themeColor="text1"/>
          <w:sz w:val="22"/>
          <w:szCs w:val="22"/>
          <w:lang w:eastAsia="en-US"/>
        </w:rPr>
        <w:t>,</w:t>
      </w:r>
      <w:r w:rsidR="001403AD">
        <w:rPr>
          <w:rFonts w:ascii="Palatino Linotype" w:eastAsiaTheme="minorHAnsi" w:hAnsi="Palatino Linotype" w:cs="Tahoma"/>
          <w:color w:val="000000" w:themeColor="text1"/>
          <w:sz w:val="22"/>
          <w:szCs w:val="22"/>
          <w:lang w:eastAsia="en-US"/>
        </w:rPr>
        <w:t xml:space="preserve"> </w:t>
      </w:r>
      <w:r w:rsidR="00160160">
        <w:rPr>
          <w:rFonts w:ascii="Palatino Linotype" w:eastAsiaTheme="minorHAnsi" w:hAnsi="Palatino Linotype" w:cs="Tahoma"/>
          <w:color w:val="000000" w:themeColor="text1"/>
          <w:sz w:val="22"/>
          <w:szCs w:val="22"/>
          <w:lang w:eastAsia="en-US"/>
        </w:rPr>
        <w:t>el</w:t>
      </w:r>
      <w:r w:rsidRPr="008932D9">
        <w:rPr>
          <w:rFonts w:ascii="Palatino Linotype" w:eastAsiaTheme="minorHAnsi" w:hAnsi="Palatino Linotype" w:cs="Tahoma"/>
          <w:color w:val="000000" w:themeColor="text1"/>
          <w:sz w:val="22"/>
          <w:szCs w:val="22"/>
          <w:lang w:eastAsia="en-US"/>
        </w:rPr>
        <w:t xml:space="preserve"> Particular presentó una solicitud de acceso a la información pública, a través del Sistema de Acceso a la Información Mexiquense (SAIMEX), ante </w:t>
      </w:r>
      <w:r>
        <w:rPr>
          <w:rFonts w:ascii="Palatino Linotype" w:eastAsiaTheme="minorHAnsi" w:hAnsi="Palatino Linotype" w:cs="Tahoma"/>
          <w:color w:val="000000" w:themeColor="text1"/>
          <w:sz w:val="22"/>
          <w:szCs w:val="22"/>
          <w:lang w:eastAsia="en-US"/>
        </w:rPr>
        <w:t xml:space="preserve">el </w:t>
      </w:r>
      <w:r w:rsidR="00994371" w:rsidRPr="00994371">
        <w:rPr>
          <w:rFonts w:ascii="Palatino Linotype" w:eastAsiaTheme="minorHAnsi" w:hAnsi="Palatino Linotype" w:cs="Tahoma"/>
          <w:color w:val="000000" w:themeColor="text1"/>
          <w:sz w:val="22"/>
          <w:szCs w:val="22"/>
          <w:lang w:eastAsia="en-US"/>
        </w:rPr>
        <w:t>Instituto de Transparencia, Acceso a la Información Pública y Protección de Datos Personales del Estado de México y Municipios</w:t>
      </w:r>
      <w:r w:rsidRPr="008932D9">
        <w:rPr>
          <w:rFonts w:ascii="Palatino Linotype" w:eastAsiaTheme="minorHAnsi" w:hAnsi="Palatino Linotype" w:cs="Tahoma"/>
          <w:bCs/>
          <w:color w:val="000000" w:themeColor="text1"/>
          <w:sz w:val="22"/>
          <w:szCs w:val="22"/>
          <w:lang w:eastAsia="en-US"/>
        </w:rPr>
        <w:t>,</w:t>
      </w:r>
      <w:r w:rsidR="00160160" w:rsidRPr="00160160">
        <w:rPr>
          <w:rFonts w:ascii="Palatino Linotype" w:eastAsiaTheme="minorHAnsi" w:hAnsi="Palatino Linotype" w:cs="Tahoma"/>
          <w:bCs/>
          <w:color w:val="000000" w:themeColor="text1"/>
          <w:sz w:val="22"/>
          <w:szCs w:val="22"/>
          <w:lang w:eastAsia="en-US"/>
        </w:rPr>
        <w:t xml:space="preserve"> mediante la cual requirió:</w:t>
      </w:r>
    </w:p>
    <w:p w14:paraId="028F9CB4" w14:textId="77777777" w:rsidR="002F50C8" w:rsidRPr="00894D06" w:rsidRDefault="002F50C8" w:rsidP="00261F7E">
      <w:pPr>
        <w:spacing w:line="360" w:lineRule="auto"/>
        <w:ind w:right="567"/>
        <w:contextualSpacing/>
        <w:jc w:val="both"/>
        <w:rPr>
          <w:rFonts w:ascii="Palatino Linotype" w:hAnsi="Palatino Linotype" w:cs="Tahoma"/>
          <w:b/>
          <w:i/>
          <w:iCs/>
          <w:sz w:val="24"/>
          <w:szCs w:val="22"/>
        </w:rPr>
      </w:pPr>
    </w:p>
    <w:p w14:paraId="74C6A9BF" w14:textId="77777777" w:rsidR="00DD161B" w:rsidRDefault="00B03EDE" w:rsidP="00DD161B">
      <w:pPr>
        <w:spacing w:line="360" w:lineRule="auto"/>
        <w:ind w:left="567" w:right="567"/>
        <w:contextualSpacing/>
        <w:jc w:val="both"/>
        <w:rPr>
          <w:rFonts w:ascii="Palatino Linotype" w:hAnsi="Palatino Linotype" w:cs="Tahoma"/>
          <w:b/>
          <w:i/>
          <w:iCs/>
        </w:rPr>
      </w:pPr>
      <w:r w:rsidRPr="00375C9E">
        <w:rPr>
          <w:rFonts w:ascii="Palatino Linotype" w:hAnsi="Palatino Linotype" w:cs="Tahoma"/>
          <w:b/>
          <w:i/>
          <w:iCs/>
        </w:rPr>
        <w:t>“DESCRIPCIÓN CLARA Y PRECISA DE LA INFORMACIÓN SOLICITADA</w:t>
      </w:r>
    </w:p>
    <w:p w14:paraId="00AD1D37" w14:textId="319D0F70" w:rsidR="00B03EDE" w:rsidRPr="00DD161B" w:rsidRDefault="00994371" w:rsidP="00DD161B">
      <w:pPr>
        <w:spacing w:line="360" w:lineRule="auto"/>
        <w:ind w:left="567" w:right="567"/>
        <w:contextualSpacing/>
        <w:jc w:val="both"/>
        <w:rPr>
          <w:rFonts w:ascii="Palatino Linotype" w:hAnsi="Palatino Linotype" w:cs="Tahoma"/>
          <w:b/>
          <w:i/>
          <w:iCs/>
        </w:rPr>
      </w:pPr>
      <w:r w:rsidRPr="00994371">
        <w:rPr>
          <w:rFonts w:ascii="Palatino Linotype" w:hAnsi="Palatino Linotype"/>
          <w:bCs/>
          <w:i/>
          <w:iCs/>
          <w:color w:val="000000"/>
        </w:rPr>
        <w:t>Proceso con el cual se designa al Contralor Interno del INFOEM, y cual es el proceso para removerlo del cargo y cuantos años dura en el cargo.</w:t>
      </w:r>
      <w:r w:rsidR="00B03EDE" w:rsidRPr="00375C9E">
        <w:rPr>
          <w:rFonts w:ascii="Palatino Linotype" w:hAnsi="Palatino Linotype"/>
          <w:bCs/>
          <w:i/>
          <w:iCs/>
          <w:color w:val="000000"/>
        </w:rPr>
        <w:t xml:space="preserve">” </w:t>
      </w:r>
      <w:r w:rsidR="00C1189C">
        <w:rPr>
          <w:rFonts w:ascii="Palatino Linotype" w:hAnsi="Palatino Linotype"/>
          <w:bCs/>
          <w:i/>
          <w:iCs/>
          <w:color w:val="000000"/>
        </w:rPr>
        <w:t>(Sic)</w:t>
      </w:r>
    </w:p>
    <w:p w14:paraId="7B8FEF4D" w14:textId="77777777" w:rsidR="00C87E36" w:rsidRPr="00894D06" w:rsidRDefault="00C87E36" w:rsidP="00261F7E">
      <w:pPr>
        <w:spacing w:line="360" w:lineRule="auto"/>
        <w:ind w:left="567" w:right="567"/>
        <w:contextualSpacing/>
        <w:jc w:val="both"/>
        <w:rPr>
          <w:rFonts w:ascii="Palatino Linotype" w:hAnsi="Palatino Linotype"/>
          <w:bCs/>
          <w:i/>
          <w:iCs/>
          <w:color w:val="000000"/>
          <w:sz w:val="22"/>
        </w:rPr>
      </w:pPr>
    </w:p>
    <w:p w14:paraId="046D87DB" w14:textId="77777777" w:rsidR="00B03EDE" w:rsidRPr="00375C9E" w:rsidRDefault="00B03EDE" w:rsidP="00261F7E">
      <w:pPr>
        <w:tabs>
          <w:tab w:val="left" w:pos="4667"/>
        </w:tabs>
        <w:spacing w:line="360" w:lineRule="auto"/>
        <w:ind w:left="567" w:right="567"/>
        <w:jc w:val="both"/>
        <w:rPr>
          <w:rFonts w:cs="Tahoma"/>
          <w:b/>
          <w:bCs/>
          <w:i/>
          <w:iCs/>
        </w:rPr>
      </w:pPr>
      <w:r w:rsidRPr="00375C9E">
        <w:rPr>
          <w:rFonts w:cs="Tahoma"/>
          <w:b/>
          <w:bCs/>
          <w:i/>
          <w:iCs/>
        </w:rPr>
        <w:lastRenderedPageBreak/>
        <w:t>“MODALIDAD DE ENTREGA</w:t>
      </w:r>
    </w:p>
    <w:p w14:paraId="79019AA2" w14:textId="34060EE7" w:rsidR="00B03EDE" w:rsidRDefault="00CC1F76" w:rsidP="00261F7E">
      <w:pPr>
        <w:spacing w:line="360" w:lineRule="auto"/>
        <w:ind w:left="567" w:right="567"/>
        <w:jc w:val="both"/>
        <w:rPr>
          <w:rFonts w:cs="Arial"/>
          <w:bCs/>
          <w:i/>
          <w:iCs/>
        </w:rPr>
      </w:pPr>
      <w:r>
        <w:rPr>
          <w:rFonts w:cs="Arial"/>
          <w:bCs/>
          <w:i/>
          <w:iCs/>
        </w:rPr>
        <w:t>A través de SAIMEX</w:t>
      </w:r>
      <w:r w:rsidR="00D03E52">
        <w:rPr>
          <w:rFonts w:cs="Arial"/>
          <w:bCs/>
          <w:i/>
          <w:iCs/>
        </w:rPr>
        <w:t>”</w:t>
      </w:r>
    </w:p>
    <w:p w14:paraId="3EC50486" w14:textId="77777777" w:rsidR="00DD4A35" w:rsidRDefault="00DD4A35" w:rsidP="00261F7E">
      <w:pPr>
        <w:pStyle w:val="Prrafodelista"/>
        <w:tabs>
          <w:tab w:val="left" w:pos="567"/>
        </w:tabs>
        <w:spacing w:line="360" w:lineRule="auto"/>
        <w:ind w:left="0"/>
        <w:jc w:val="both"/>
        <w:rPr>
          <w:rFonts w:ascii="Palatino Linotype" w:hAnsi="Palatino Linotype" w:cs="Tahoma"/>
          <w:b/>
          <w:szCs w:val="22"/>
        </w:rPr>
      </w:pPr>
    </w:p>
    <w:p w14:paraId="114DCE03" w14:textId="0BEB8257" w:rsidR="003A765C" w:rsidRDefault="005D12CF" w:rsidP="00261F7E">
      <w:pPr>
        <w:pStyle w:val="Prrafodelista"/>
        <w:tabs>
          <w:tab w:val="left" w:pos="567"/>
        </w:tabs>
        <w:spacing w:line="360" w:lineRule="auto"/>
        <w:ind w:left="0"/>
        <w:jc w:val="both"/>
        <w:rPr>
          <w:rFonts w:ascii="Palatino Linotype" w:hAnsi="Palatino Linotype" w:cs="Tahoma"/>
          <w:b/>
          <w:szCs w:val="22"/>
        </w:rPr>
      </w:pPr>
      <w:r>
        <w:rPr>
          <w:rFonts w:ascii="Palatino Linotype" w:hAnsi="Palatino Linotype" w:cs="Tahoma"/>
          <w:b/>
          <w:szCs w:val="22"/>
        </w:rPr>
        <w:t>I</w:t>
      </w:r>
      <w:r w:rsidR="00A83838">
        <w:rPr>
          <w:rFonts w:ascii="Palatino Linotype" w:hAnsi="Palatino Linotype" w:cs="Tahoma"/>
          <w:b/>
          <w:szCs w:val="22"/>
        </w:rPr>
        <w:t>I</w:t>
      </w:r>
      <w:r w:rsidR="007E6BB3">
        <w:rPr>
          <w:rFonts w:ascii="Palatino Linotype" w:hAnsi="Palatino Linotype" w:cs="Tahoma"/>
          <w:b/>
          <w:szCs w:val="22"/>
        </w:rPr>
        <w:t xml:space="preserve">. </w:t>
      </w:r>
      <w:r w:rsidR="00B03EDE" w:rsidRPr="00375C9E">
        <w:rPr>
          <w:rFonts w:ascii="Palatino Linotype" w:hAnsi="Palatino Linotype" w:cs="Tahoma"/>
          <w:b/>
          <w:szCs w:val="22"/>
        </w:rPr>
        <w:t>Respuesta del Sujeto Obligado.</w:t>
      </w:r>
      <w:r w:rsidR="00763041">
        <w:rPr>
          <w:rFonts w:ascii="Palatino Linotype" w:hAnsi="Palatino Linotype" w:cs="Tahoma"/>
          <w:b/>
          <w:szCs w:val="22"/>
        </w:rPr>
        <w:t xml:space="preserve"> </w:t>
      </w:r>
    </w:p>
    <w:p w14:paraId="64F40C82" w14:textId="77777777" w:rsidR="00BC2409" w:rsidRDefault="00BC2409" w:rsidP="00261F7E">
      <w:pPr>
        <w:pStyle w:val="Prrafodelista"/>
        <w:tabs>
          <w:tab w:val="left" w:pos="567"/>
        </w:tabs>
        <w:spacing w:line="360" w:lineRule="auto"/>
        <w:ind w:left="0"/>
        <w:jc w:val="both"/>
        <w:rPr>
          <w:rFonts w:ascii="Palatino Linotype" w:hAnsi="Palatino Linotype" w:cs="Tahoma"/>
          <w:b/>
          <w:szCs w:val="22"/>
        </w:rPr>
      </w:pPr>
    </w:p>
    <w:p w14:paraId="3895366D" w14:textId="6FC2C259" w:rsidR="00B03EDE" w:rsidRDefault="00B03EDE" w:rsidP="00261F7E">
      <w:pPr>
        <w:pStyle w:val="Prrafodelista"/>
        <w:tabs>
          <w:tab w:val="left" w:pos="567"/>
        </w:tabs>
        <w:spacing w:line="360" w:lineRule="auto"/>
        <w:ind w:left="0"/>
        <w:jc w:val="both"/>
        <w:rPr>
          <w:rFonts w:ascii="Palatino Linotype" w:hAnsi="Palatino Linotype" w:cs="Tahoma"/>
          <w:szCs w:val="22"/>
        </w:rPr>
      </w:pPr>
      <w:r w:rsidRPr="00375C9E">
        <w:rPr>
          <w:rFonts w:ascii="Palatino Linotype" w:hAnsi="Palatino Linotype" w:cs="Tahoma"/>
          <w:bCs/>
          <w:szCs w:val="22"/>
        </w:rPr>
        <w:t xml:space="preserve">Con fecha </w:t>
      </w:r>
      <w:r w:rsidR="00994371">
        <w:rPr>
          <w:rFonts w:ascii="Palatino Linotype" w:hAnsi="Palatino Linotype" w:cs="Tahoma"/>
          <w:bCs/>
          <w:szCs w:val="22"/>
        </w:rPr>
        <w:t xml:space="preserve">primero de junio </w:t>
      </w:r>
      <w:r w:rsidR="009636BA">
        <w:rPr>
          <w:rFonts w:ascii="Palatino Linotype" w:hAnsi="Palatino Linotype" w:cs="Tahoma"/>
          <w:bCs/>
          <w:szCs w:val="22"/>
        </w:rPr>
        <w:t xml:space="preserve"> </w:t>
      </w:r>
      <w:r w:rsidRPr="00375C9E">
        <w:rPr>
          <w:rFonts w:ascii="Palatino Linotype" w:hAnsi="Palatino Linotype" w:cs="Tahoma"/>
          <w:bCs/>
          <w:szCs w:val="22"/>
        </w:rPr>
        <w:t>de dos mil veinti</w:t>
      </w:r>
      <w:r w:rsidR="008F4293">
        <w:rPr>
          <w:rFonts w:ascii="Palatino Linotype" w:hAnsi="Palatino Linotype" w:cs="Tahoma"/>
          <w:bCs/>
          <w:szCs w:val="22"/>
        </w:rPr>
        <w:t>dós</w:t>
      </w:r>
      <w:r w:rsidRPr="00375C9E">
        <w:rPr>
          <w:rFonts w:ascii="Palatino Linotype" w:hAnsi="Palatino Linotype" w:cs="Tahoma"/>
          <w:bCs/>
          <w:szCs w:val="22"/>
        </w:rPr>
        <w:t xml:space="preserve">, el Sujeto Obligado </w:t>
      </w:r>
      <w:r>
        <w:rPr>
          <w:rFonts w:ascii="Palatino Linotype" w:hAnsi="Palatino Linotype" w:cs="Tahoma"/>
          <w:bCs/>
          <w:szCs w:val="22"/>
        </w:rPr>
        <w:t>notificó la</w:t>
      </w:r>
      <w:r w:rsidRPr="00375C9E">
        <w:rPr>
          <w:rFonts w:ascii="Palatino Linotype" w:hAnsi="Palatino Linotype" w:cs="Tahoma"/>
          <w:bCs/>
          <w:szCs w:val="22"/>
        </w:rPr>
        <w:t xml:space="preserve"> respuesta a la solicitud de acceso a la información, a través del </w:t>
      </w:r>
      <w:r w:rsidRPr="00375C9E">
        <w:rPr>
          <w:rFonts w:ascii="Palatino Linotype" w:hAnsi="Palatino Linotype" w:cs="Tahoma"/>
          <w:szCs w:val="22"/>
        </w:rPr>
        <w:t xml:space="preserve">Sistema de Acceso a la Información Mexiquense (SAIMEX), </w:t>
      </w:r>
      <w:r w:rsidR="005B1D30">
        <w:rPr>
          <w:rFonts w:ascii="Palatino Linotype" w:hAnsi="Palatino Linotype" w:cs="Tahoma"/>
          <w:szCs w:val="22"/>
        </w:rPr>
        <w:t xml:space="preserve">a través del </w:t>
      </w:r>
      <w:r w:rsidR="00721DA6">
        <w:rPr>
          <w:rFonts w:ascii="Palatino Linotype" w:hAnsi="Palatino Linotype" w:cs="Tahoma"/>
          <w:szCs w:val="22"/>
        </w:rPr>
        <w:t>Titular</w:t>
      </w:r>
      <w:r w:rsidR="00C04F14">
        <w:rPr>
          <w:rFonts w:ascii="Palatino Linotype" w:hAnsi="Palatino Linotype" w:cs="Tahoma"/>
          <w:szCs w:val="22"/>
        </w:rPr>
        <w:t xml:space="preserve"> de la Unidad de Transparencia</w:t>
      </w:r>
      <w:r w:rsidR="00250344" w:rsidRPr="00CE5D6E">
        <w:rPr>
          <w:rFonts w:ascii="Palatino Linotype" w:hAnsi="Palatino Linotype" w:cs="Tahoma"/>
          <w:szCs w:val="22"/>
        </w:rPr>
        <w:t xml:space="preserve">, </w:t>
      </w:r>
      <w:r w:rsidR="00370D56">
        <w:rPr>
          <w:rFonts w:ascii="Palatino Linotype" w:hAnsi="Palatino Linotype" w:cs="Tahoma"/>
          <w:szCs w:val="22"/>
        </w:rPr>
        <w:t xml:space="preserve">en </w:t>
      </w:r>
      <w:r w:rsidR="005B1D30">
        <w:rPr>
          <w:rFonts w:ascii="Palatino Linotype" w:hAnsi="Palatino Linotype" w:cs="Tahoma"/>
          <w:szCs w:val="22"/>
        </w:rPr>
        <w:t>los términos siguientes:</w:t>
      </w:r>
    </w:p>
    <w:p w14:paraId="5ABC613A" w14:textId="07EAE091" w:rsidR="008932D9" w:rsidRDefault="008932D9" w:rsidP="00261F7E">
      <w:pPr>
        <w:pStyle w:val="Prrafodelista"/>
        <w:tabs>
          <w:tab w:val="left" w:pos="567"/>
        </w:tabs>
        <w:spacing w:line="360" w:lineRule="auto"/>
        <w:ind w:left="0"/>
        <w:jc w:val="both"/>
        <w:rPr>
          <w:rFonts w:ascii="Palatino Linotype" w:hAnsi="Palatino Linotype" w:cs="Tahoma"/>
          <w:szCs w:val="22"/>
        </w:rPr>
      </w:pPr>
    </w:p>
    <w:p w14:paraId="34F215F4" w14:textId="7248C7B4" w:rsidR="003F5105" w:rsidRDefault="009636BA" w:rsidP="00F14B10">
      <w:pPr>
        <w:pStyle w:val="Prrafodelista"/>
        <w:tabs>
          <w:tab w:val="left" w:pos="567"/>
        </w:tabs>
        <w:spacing w:line="360" w:lineRule="auto"/>
        <w:ind w:left="567" w:right="567"/>
        <w:jc w:val="both"/>
        <w:rPr>
          <w:rFonts w:ascii="Palatino Linotype" w:hAnsi="Palatino Linotype" w:cs="Tahoma"/>
          <w:i/>
          <w:iCs/>
          <w:sz w:val="20"/>
          <w:szCs w:val="20"/>
        </w:rPr>
      </w:pPr>
      <w:bookmarkStart w:id="0" w:name="_Hlk96424462"/>
      <w:r>
        <w:rPr>
          <w:rFonts w:ascii="Palatino Linotype" w:hAnsi="Palatino Linotype" w:cs="Tahoma"/>
          <w:i/>
          <w:iCs/>
          <w:sz w:val="20"/>
          <w:szCs w:val="20"/>
        </w:rPr>
        <w:t>“</w:t>
      </w:r>
      <w:r w:rsidR="0070252D">
        <w:rPr>
          <w:rFonts w:ascii="Palatino Linotype" w:hAnsi="Palatino Linotype" w:cs="Tahoma"/>
          <w:i/>
          <w:iCs/>
          <w:sz w:val="20"/>
          <w:szCs w:val="20"/>
        </w:rPr>
        <w:t>…</w:t>
      </w:r>
      <w:r w:rsidR="00F14B10" w:rsidRPr="00F14B10">
        <w:rPr>
          <w:rFonts w:ascii="Palatino Linotype" w:hAnsi="Palatino Linotype" w:cs="Tahoma"/>
          <w:i/>
          <w:iCs/>
          <w:sz w:val="20"/>
          <w:szCs w:val="20"/>
        </w:rPr>
        <w:t xml:space="preserve">Con fundamento en el artículo 167 de la Ley de Transparencia y Acceso a la Información Pública del Estado de México y Municipios, se adjunta la orientación sobre el Sujeto Obligado que puede atender a su solicitud de información pública. </w:t>
      </w:r>
      <w:r w:rsidR="003F5105">
        <w:rPr>
          <w:rFonts w:ascii="Palatino Linotype" w:hAnsi="Palatino Linotype" w:cs="Tahoma"/>
          <w:i/>
          <w:iCs/>
          <w:sz w:val="20"/>
          <w:szCs w:val="20"/>
        </w:rPr>
        <w:t>…” (Sic.)</w:t>
      </w:r>
    </w:p>
    <w:bookmarkEnd w:id="0"/>
    <w:p w14:paraId="4CA80516" w14:textId="0C3901F7" w:rsidR="00250344" w:rsidRDefault="00250344" w:rsidP="00261F7E">
      <w:pPr>
        <w:autoSpaceDE w:val="0"/>
        <w:autoSpaceDN w:val="0"/>
        <w:adjustRightInd w:val="0"/>
        <w:spacing w:line="360" w:lineRule="auto"/>
        <w:ind w:right="-28"/>
        <w:jc w:val="both"/>
        <w:rPr>
          <w:rFonts w:ascii="Palatino Linotype" w:hAnsi="Palatino Linotype" w:cs="Tahoma"/>
          <w:szCs w:val="22"/>
        </w:rPr>
      </w:pPr>
    </w:p>
    <w:p w14:paraId="26A63492" w14:textId="0190CD51" w:rsidR="00FA1CDC" w:rsidRDefault="005B1D30" w:rsidP="00F14B10">
      <w:pPr>
        <w:autoSpaceDE w:val="0"/>
        <w:autoSpaceDN w:val="0"/>
        <w:adjustRightInd w:val="0"/>
        <w:spacing w:line="360" w:lineRule="auto"/>
        <w:ind w:right="-28"/>
        <w:jc w:val="both"/>
        <w:rPr>
          <w:rFonts w:ascii="Palatino Linotype" w:hAnsi="Palatino Linotype" w:cs="Tahoma"/>
          <w:sz w:val="22"/>
          <w:szCs w:val="24"/>
        </w:rPr>
      </w:pPr>
      <w:r w:rsidRPr="005B1D30">
        <w:rPr>
          <w:rFonts w:ascii="Palatino Linotype" w:hAnsi="Palatino Linotype" w:cs="Tahoma"/>
          <w:sz w:val="22"/>
          <w:szCs w:val="24"/>
        </w:rPr>
        <w:t>E</w:t>
      </w:r>
      <w:r>
        <w:rPr>
          <w:rFonts w:ascii="Palatino Linotype" w:hAnsi="Palatino Linotype" w:cs="Tahoma"/>
          <w:sz w:val="22"/>
          <w:szCs w:val="24"/>
        </w:rPr>
        <w:t>l Sujeto Oblig</w:t>
      </w:r>
      <w:r w:rsidR="00FA1CDC">
        <w:rPr>
          <w:rFonts w:ascii="Palatino Linotype" w:hAnsi="Palatino Linotype" w:cs="Tahoma"/>
          <w:sz w:val="22"/>
          <w:szCs w:val="24"/>
        </w:rPr>
        <w:t xml:space="preserve">ado adjuntó la digitalización del oficio sin número de </w:t>
      </w:r>
      <w:r w:rsidR="00F14B10">
        <w:rPr>
          <w:rFonts w:ascii="Palatino Linotype" w:hAnsi="Palatino Linotype" w:cs="Tahoma"/>
          <w:sz w:val="22"/>
          <w:szCs w:val="24"/>
        </w:rPr>
        <w:t xml:space="preserve">primero de junio </w:t>
      </w:r>
      <w:r w:rsidR="00FA1CDC">
        <w:rPr>
          <w:rFonts w:ascii="Palatino Linotype" w:hAnsi="Palatino Linotype" w:cs="Tahoma"/>
          <w:sz w:val="22"/>
          <w:szCs w:val="24"/>
        </w:rPr>
        <w:t xml:space="preserve"> de dos mil veintidós, suscrito por el Titular de la Unidad de Transparencia,  donde </w:t>
      </w:r>
      <w:r w:rsidR="00F14B10">
        <w:rPr>
          <w:rFonts w:ascii="Palatino Linotype" w:hAnsi="Palatino Linotype" w:cs="Tahoma"/>
          <w:sz w:val="22"/>
          <w:szCs w:val="24"/>
        </w:rPr>
        <w:t>comunica que derivado del análisis de la</w:t>
      </w:r>
      <w:r w:rsidR="00F14B10" w:rsidRPr="00F14B10">
        <w:rPr>
          <w:rFonts w:ascii="Palatino Linotype" w:hAnsi="Palatino Linotype" w:cs="Tahoma"/>
          <w:sz w:val="22"/>
          <w:szCs w:val="24"/>
        </w:rPr>
        <w:t xml:space="preserve"> solicitud de acceso a la información pública, </w:t>
      </w:r>
      <w:r w:rsidR="00F14B10">
        <w:rPr>
          <w:rFonts w:ascii="Palatino Linotype" w:hAnsi="Palatino Linotype" w:cs="Tahoma"/>
          <w:sz w:val="22"/>
          <w:szCs w:val="24"/>
        </w:rPr>
        <w:t xml:space="preserve">el </w:t>
      </w:r>
      <w:r w:rsidR="00F14B10" w:rsidRPr="00F14B10">
        <w:rPr>
          <w:rFonts w:ascii="Palatino Linotype" w:hAnsi="Palatino Linotype" w:cs="Tahoma"/>
          <w:sz w:val="22"/>
          <w:szCs w:val="24"/>
        </w:rPr>
        <w:t>Instituto no es la autoridad competente para hacer entrega de la misma, ya que</w:t>
      </w:r>
      <w:r w:rsidR="00F14B10">
        <w:rPr>
          <w:rFonts w:ascii="Palatino Linotype" w:hAnsi="Palatino Linotype" w:cs="Tahoma"/>
          <w:sz w:val="22"/>
          <w:szCs w:val="24"/>
        </w:rPr>
        <w:t xml:space="preserve"> </w:t>
      </w:r>
      <w:r w:rsidR="00F14B10" w:rsidRPr="00F14B10">
        <w:rPr>
          <w:rFonts w:ascii="Palatino Linotype" w:hAnsi="Palatino Linotype" w:cs="Tahoma"/>
          <w:sz w:val="22"/>
          <w:szCs w:val="24"/>
        </w:rPr>
        <w:t xml:space="preserve">podría encontrarse en poder de otro Sujeto Obligado, es decir, el </w:t>
      </w:r>
      <w:r w:rsidR="00535E51" w:rsidRPr="00F14B10">
        <w:rPr>
          <w:rFonts w:ascii="Palatino Linotype" w:hAnsi="Palatino Linotype" w:cs="Tahoma"/>
          <w:sz w:val="22"/>
          <w:szCs w:val="24"/>
        </w:rPr>
        <w:t>Poder</w:t>
      </w:r>
      <w:r w:rsidR="00535E51">
        <w:rPr>
          <w:rFonts w:ascii="Palatino Linotype" w:hAnsi="Palatino Linotype" w:cs="Tahoma"/>
          <w:sz w:val="22"/>
          <w:szCs w:val="24"/>
        </w:rPr>
        <w:t xml:space="preserve"> </w:t>
      </w:r>
      <w:r w:rsidR="00535E51" w:rsidRPr="00F14B10">
        <w:rPr>
          <w:rFonts w:ascii="Palatino Linotype" w:hAnsi="Palatino Linotype" w:cs="Tahoma"/>
          <w:sz w:val="22"/>
          <w:szCs w:val="24"/>
        </w:rPr>
        <w:t>Leg</w:t>
      </w:r>
      <w:r w:rsidR="00535E51">
        <w:rPr>
          <w:rFonts w:ascii="Palatino Linotype" w:hAnsi="Palatino Linotype" w:cs="Tahoma"/>
          <w:sz w:val="22"/>
          <w:szCs w:val="24"/>
        </w:rPr>
        <w:t>islativo del Estado de México</w:t>
      </w:r>
      <w:r w:rsidR="00F14B10">
        <w:rPr>
          <w:rFonts w:ascii="Palatino Linotype" w:hAnsi="Palatino Linotype" w:cs="Tahoma"/>
          <w:sz w:val="22"/>
          <w:szCs w:val="24"/>
        </w:rPr>
        <w:t>, y</w:t>
      </w:r>
      <w:r w:rsidR="00F14B10" w:rsidRPr="00F14B10">
        <w:rPr>
          <w:rFonts w:ascii="Palatino Linotype" w:hAnsi="Palatino Linotype" w:cs="Tahoma"/>
          <w:sz w:val="22"/>
          <w:szCs w:val="24"/>
        </w:rPr>
        <w:t>a que es una de sus facultades,</w:t>
      </w:r>
      <w:r w:rsidR="00F14B10">
        <w:rPr>
          <w:rFonts w:ascii="Palatino Linotype" w:hAnsi="Palatino Linotype" w:cs="Tahoma"/>
          <w:sz w:val="22"/>
          <w:szCs w:val="24"/>
        </w:rPr>
        <w:t xml:space="preserve"> </w:t>
      </w:r>
      <w:r w:rsidR="00F14B10" w:rsidRPr="00F14B10">
        <w:rPr>
          <w:rFonts w:ascii="Palatino Linotype" w:hAnsi="Palatino Linotype" w:cs="Tahoma"/>
          <w:sz w:val="22"/>
          <w:szCs w:val="24"/>
        </w:rPr>
        <w:t>en atención al artículo 61 fracción LIV de la Constitución Política del Estado Libre y Soberano</w:t>
      </w:r>
      <w:r w:rsidR="00F14B10">
        <w:rPr>
          <w:rFonts w:ascii="Palatino Linotype" w:hAnsi="Palatino Linotype" w:cs="Tahoma"/>
          <w:sz w:val="22"/>
          <w:szCs w:val="24"/>
        </w:rPr>
        <w:t xml:space="preserve"> </w:t>
      </w:r>
      <w:r w:rsidR="00F14B10" w:rsidRPr="00F14B10">
        <w:rPr>
          <w:rFonts w:ascii="Palatino Linotype" w:hAnsi="Palatino Linotype" w:cs="Tahoma"/>
          <w:sz w:val="22"/>
          <w:szCs w:val="24"/>
        </w:rPr>
        <w:t xml:space="preserve">de </w:t>
      </w:r>
      <w:r w:rsidR="00F14B10">
        <w:rPr>
          <w:rFonts w:ascii="Palatino Linotype" w:hAnsi="Palatino Linotype" w:cs="Tahoma"/>
          <w:sz w:val="22"/>
          <w:szCs w:val="24"/>
        </w:rPr>
        <w:t xml:space="preserve">México,  </w:t>
      </w:r>
      <w:r w:rsidR="00F14B10" w:rsidRPr="00F14B10">
        <w:rPr>
          <w:rFonts w:ascii="Palatino Linotype" w:hAnsi="Palatino Linotype" w:cs="Tahoma"/>
          <w:sz w:val="22"/>
          <w:szCs w:val="24"/>
        </w:rPr>
        <w:t>designar por el voto de las dos terceras partes de sus miembros presentes, a los titulares de los órganos</w:t>
      </w:r>
      <w:r w:rsidR="00F14B10">
        <w:rPr>
          <w:rFonts w:ascii="Palatino Linotype" w:hAnsi="Palatino Linotype" w:cs="Tahoma"/>
          <w:sz w:val="22"/>
          <w:szCs w:val="24"/>
        </w:rPr>
        <w:t xml:space="preserve"> </w:t>
      </w:r>
      <w:r w:rsidR="00F14B10" w:rsidRPr="00F14B10">
        <w:rPr>
          <w:rFonts w:ascii="Palatino Linotype" w:hAnsi="Palatino Linotype" w:cs="Tahoma"/>
          <w:sz w:val="22"/>
          <w:szCs w:val="24"/>
        </w:rPr>
        <w:t xml:space="preserve">internos de control </w:t>
      </w:r>
      <w:r w:rsidR="00F14B10">
        <w:rPr>
          <w:rFonts w:ascii="Palatino Linotype" w:hAnsi="Palatino Linotype" w:cs="Tahoma"/>
          <w:sz w:val="22"/>
          <w:szCs w:val="24"/>
        </w:rPr>
        <w:t>de los organismos a los que la</w:t>
      </w:r>
      <w:r w:rsidR="00F14B10" w:rsidRPr="00F14B10">
        <w:rPr>
          <w:rFonts w:ascii="Palatino Linotype" w:hAnsi="Palatino Linotype" w:cs="Tahoma"/>
          <w:sz w:val="22"/>
          <w:szCs w:val="24"/>
        </w:rPr>
        <w:t xml:space="preserve"> Constitución reconoce autonomía y que ejerzan</w:t>
      </w:r>
      <w:r w:rsidR="00F14B10">
        <w:rPr>
          <w:rFonts w:ascii="Palatino Linotype" w:hAnsi="Palatino Linotype" w:cs="Tahoma"/>
          <w:sz w:val="22"/>
          <w:szCs w:val="24"/>
        </w:rPr>
        <w:t xml:space="preserve"> </w:t>
      </w:r>
      <w:r w:rsidR="00F14B10" w:rsidRPr="00F14B10">
        <w:rPr>
          <w:rFonts w:ascii="Palatino Linotype" w:hAnsi="Palatino Linotype" w:cs="Tahoma"/>
          <w:sz w:val="22"/>
          <w:szCs w:val="24"/>
        </w:rPr>
        <w:t>recursos del Presupuesto de Egresos del Estado, en términos que disponga la Ley.</w:t>
      </w:r>
    </w:p>
    <w:p w14:paraId="2B215A18" w14:textId="77777777" w:rsidR="00BC2409" w:rsidRDefault="00BC2409" w:rsidP="00F14B10">
      <w:pPr>
        <w:autoSpaceDE w:val="0"/>
        <w:autoSpaceDN w:val="0"/>
        <w:adjustRightInd w:val="0"/>
        <w:spacing w:line="360" w:lineRule="auto"/>
        <w:ind w:right="-28"/>
        <w:jc w:val="both"/>
        <w:rPr>
          <w:rFonts w:ascii="Palatino Linotype" w:hAnsi="Palatino Linotype" w:cs="Tahoma"/>
          <w:sz w:val="22"/>
          <w:szCs w:val="24"/>
        </w:rPr>
      </w:pPr>
    </w:p>
    <w:p w14:paraId="7ED09645" w14:textId="16ABBF1D" w:rsidR="00F14B10" w:rsidRDefault="00F14B10" w:rsidP="00F14B10">
      <w:pPr>
        <w:autoSpaceDE w:val="0"/>
        <w:autoSpaceDN w:val="0"/>
        <w:adjustRightInd w:val="0"/>
        <w:spacing w:line="360" w:lineRule="auto"/>
        <w:ind w:right="-28"/>
        <w:jc w:val="both"/>
        <w:rPr>
          <w:rFonts w:ascii="Palatino Linotype" w:hAnsi="Palatino Linotype" w:cs="Tahoma"/>
          <w:sz w:val="22"/>
          <w:szCs w:val="24"/>
        </w:rPr>
      </w:pPr>
      <w:r>
        <w:rPr>
          <w:rFonts w:ascii="Palatino Linotype" w:hAnsi="Palatino Linotype" w:cs="Tahoma"/>
          <w:sz w:val="22"/>
          <w:szCs w:val="24"/>
        </w:rPr>
        <w:lastRenderedPageBreak/>
        <w:t xml:space="preserve">Así mismo, refirió el procedimiento mediante el cual el entonces solicitante podía seguir para presentar la solicitud de información al Poder Legislativo, por medio del </w:t>
      </w:r>
      <w:r w:rsidRPr="00F14B10">
        <w:rPr>
          <w:rFonts w:ascii="Palatino Linotype" w:hAnsi="Palatino Linotype" w:cs="Tahoma"/>
          <w:sz w:val="22"/>
          <w:szCs w:val="24"/>
        </w:rPr>
        <w:t>Sistema de Acceso a la Información Mexiquense</w:t>
      </w:r>
      <w:r>
        <w:rPr>
          <w:rFonts w:ascii="Palatino Linotype" w:hAnsi="Palatino Linotype" w:cs="Tahoma"/>
          <w:sz w:val="22"/>
          <w:szCs w:val="24"/>
        </w:rPr>
        <w:t xml:space="preserve"> SAIMEX, </w:t>
      </w:r>
      <w:r w:rsidR="00B0021B">
        <w:rPr>
          <w:rFonts w:ascii="Palatino Linotype" w:hAnsi="Palatino Linotype" w:cs="Tahoma"/>
          <w:sz w:val="22"/>
          <w:szCs w:val="24"/>
        </w:rPr>
        <w:t>así como de manera presencial en la Unidad de Transparencia del Poder Legislativo del Estado de México.</w:t>
      </w:r>
    </w:p>
    <w:p w14:paraId="22AA4538" w14:textId="35EB3D09" w:rsidR="006B5469" w:rsidRDefault="005D12CF" w:rsidP="00261F7E">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I</w:t>
      </w:r>
      <w:r w:rsidR="00FA1CDC">
        <w:rPr>
          <w:rFonts w:ascii="Palatino Linotype" w:hAnsi="Palatino Linotype" w:cs="Tahoma"/>
          <w:b/>
          <w:sz w:val="22"/>
          <w:szCs w:val="22"/>
        </w:rPr>
        <w:t>II</w:t>
      </w:r>
      <w:r w:rsidR="00B03EDE" w:rsidRPr="00375C9E">
        <w:rPr>
          <w:rFonts w:ascii="Palatino Linotype" w:hAnsi="Palatino Linotype" w:cs="Tahoma"/>
          <w:b/>
          <w:sz w:val="22"/>
          <w:szCs w:val="22"/>
        </w:rPr>
        <w:t>. Interposición del Recurso de Revisión.</w:t>
      </w:r>
    </w:p>
    <w:p w14:paraId="7EB5735D" w14:textId="77777777" w:rsidR="009005B6" w:rsidRPr="009005B6" w:rsidRDefault="009005B6" w:rsidP="00261F7E">
      <w:pPr>
        <w:autoSpaceDE w:val="0"/>
        <w:autoSpaceDN w:val="0"/>
        <w:adjustRightInd w:val="0"/>
        <w:spacing w:line="360" w:lineRule="auto"/>
        <w:jc w:val="both"/>
        <w:rPr>
          <w:rFonts w:ascii="Palatino Linotype" w:hAnsi="Palatino Linotype" w:cs="Tahoma"/>
          <w:b/>
          <w:sz w:val="22"/>
          <w:szCs w:val="22"/>
        </w:rPr>
      </w:pPr>
    </w:p>
    <w:p w14:paraId="37A39AE9" w14:textId="00CEDCD3" w:rsidR="00B03EDE" w:rsidRPr="00375C9E" w:rsidRDefault="00F96491" w:rsidP="00261F7E">
      <w:pPr>
        <w:widowControl w:val="0"/>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Con fecha</w:t>
      </w:r>
      <w:r w:rsidR="00B03EDE" w:rsidRPr="00375C9E">
        <w:rPr>
          <w:rFonts w:ascii="Palatino Linotype" w:hAnsi="Palatino Linotype" w:cs="Tahoma"/>
          <w:sz w:val="22"/>
          <w:szCs w:val="22"/>
          <w:lang w:val="es-ES"/>
        </w:rPr>
        <w:t xml:space="preserve"> </w:t>
      </w:r>
      <w:r w:rsidR="00B0021B">
        <w:rPr>
          <w:rFonts w:ascii="Palatino Linotype" w:hAnsi="Palatino Linotype" w:cs="Tahoma"/>
          <w:sz w:val="22"/>
          <w:szCs w:val="22"/>
          <w:lang w:val="es-ES"/>
        </w:rPr>
        <w:t xml:space="preserve">nueve de junio </w:t>
      </w:r>
      <w:r w:rsidR="00FA1CDC">
        <w:rPr>
          <w:rFonts w:ascii="Palatino Linotype" w:hAnsi="Palatino Linotype" w:cs="Tahoma"/>
          <w:sz w:val="22"/>
          <w:szCs w:val="22"/>
          <w:lang w:val="es-ES"/>
        </w:rPr>
        <w:t xml:space="preserve"> </w:t>
      </w:r>
      <w:r w:rsidR="00B03EDE" w:rsidRPr="00375C9E">
        <w:rPr>
          <w:rFonts w:ascii="Palatino Linotype" w:hAnsi="Palatino Linotype" w:cs="Tahoma"/>
          <w:sz w:val="22"/>
          <w:szCs w:val="22"/>
          <w:lang w:val="es-ES"/>
        </w:rPr>
        <w:t>de dos mil veinti</w:t>
      </w:r>
      <w:r w:rsidR="00250344">
        <w:rPr>
          <w:rFonts w:ascii="Palatino Linotype" w:hAnsi="Palatino Linotype" w:cs="Tahoma"/>
          <w:sz w:val="22"/>
          <w:szCs w:val="22"/>
          <w:lang w:val="es-ES"/>
        </w:rPr>
        <w:t>dós</w:t>
      </w:r>
      <w:r w:rsidR="00B03EDE" w:rsidRPr="00375C9E">
        <w:rPr>
          <w:rFonts w:ascii="Palatino Linotype" w:hAnsi="Palatino Linotype" w:cs="Tahoma"/>
          <w:sz w:val="22"/>
          <w:szCs w:val="22"/>
          <w:lang w:val="es-ES"/>
        </w:rPr>
        <w:t xml:space="preserve">, </w:t>
      </w:r>
      <w:r w:rsidR="00D510C5">
        <w:rPr>
          <w:rFonts w:ascii="Palatino Linotype" w:hAnsi="Palatino Linotype" w:cs="Tahoma"/>
          <w:sz w:val="22"/>
          <w:szCs w:val="22"/>
          <w:lang w:val="es-ES"/>
        </w:rPr>
        <w:t xml:space="preserve">se </w:t>
      </w:r>
      <w:r w:rsidR="006B5469">
        <w:rPr>
          <w:rFonts w:ascii="Palatino Linotype" w:hAnsi="Palatino Linotype" w:cs="Tahoma"/>
          <w:sz w:val="22"/>
          <w:szCs w:val="22"/>
          <w:lang w:val="es-ES"/>
        </w:rPr>
        <w:t>presentó</w:t>
      </w:r>
      <w:r w:rsidR="00D510C5">
        <w:rPr>
          <w:rFonts w:ascii="Palatino Linotype" w:hAnsi="Palatino Linotype" w:cs="Tahoma"/>
          <w:sz w:val="22"/>
          <w:szCs w:val="22"/>
          <w:lang w:val="es-ES"/>
        </w:rPr>
        <w:t xml:space="preserve"> un</w:t>
      </w:r>
      <w:r w:rsidR="00B03EDE" w:rsidRPr="00375C9E">
        <w:rPr>
          <w:rFonts w:ascii="Palatino Linotype" w:hAnsi="Palatino Linotype" w:cs="Tahoma"/>
          <w:sz w:val="22"/>
          <w:szCs w:val="22"/>
          <w:lang w:val="es-ES"/>
        </w:rPr>
        <w:t xml:space="preserve"> Recurso de Revisión ante este Instituto, </w:t>
      </w:r>
      <w:r w:rsidR="00D510C5">
        <w:rPr>
          <w:rFonts w:ascii="Palatino Linotype" w:hAnsi="Palatino Linotype" w:cs="Tahoma"/>
          <w:sz w:val="22"/>
          <w:szCs w:val="22"/>
          <w:lang w:val="es-ES"/>
        </w:rPr>
        <w:t xml:space="preserve">por parte del Solicitante, </w:t>
      </w:r>
      <w:r w:rsidR="00B03EDE" w:rsidRPr="00375C9E">
        <w:rPr>
          <w:rFonts w:ascii="Palatino Linotype" w:hAnsi="Palatino Linotype" w:cs="Tahoma"/>
          <w:sz w:val="22"/>
          <w:szCs w:val="22"/>
          <w:lang w:val="es-ES"/>
        </w:rPr>
        <w:t xml:space="preserve">a través del Sistema de Acceso a la Información Mexiquense (SAIMEX), en contra de la respuesta otorgada por el </w:t>
      </w:r>
      <w:r w:rsidR="00B0021B">
        <w:rPr>
          <w:rFonts w:ascii="Palatino Linotype" w:hAnsi="Palatino Linotype" w:cs="Tahoma"/>
          <w:sz w:val="22"/>
          <w:szCs w:val="22"/>
          <w:lang w:val="es-ES"/>
        </w:rPr>
        <w:t>Sujeto Obligado</w:t>
      </w:r>
      <w:r w:rsidR="00B03EDE" w:rsidRPr="00375C9E">
        <w:rPr>
          <w:rFonts w:ascii="Palatino Linotype" w:hAnsi="Palatino Linotype" w:cs="Tahoma"/>
          <w:sz w:val="22"/>
          <w:szCs w:val="22"/>
          <w:lang w:val="es-ES"/>
        </w:rPr>
        <w:t>, a la</w:t>
      </w:r>
      <w:r w:rsidR="00651CBC">
        <w:rPr>
          <w:rFonts w:ascii="Palatino Linotype" w:hAnsi="Palatino Linotype" w:cs="Tahoma"/>
          <w:sz w:val="22"/>
          <w:szCs w:val="22"/>
          <w:lang w:val="es-ES"/>
        </w:rPr>
        <w:t xml:space="preserve"> </w:t>
      </w:r>
      <w:r w:rsidR="00B03EDE" w:rsidRPr="00375C9E">
        <w:rPr>
          <w:rFonts w:ascii="Palatino Linotype" w:hAnsi="Palatino Linotype" w:cs="Tahoma"/>
          <w:sz w:val="22"/>
          <w:szCs w:val="22"/>
          <w:lang w:val="es-ES"/>
        </w:rPr>
        <w:t>solicitud</w:t>
      </w:r>
      <w:r w:rsidR="00651CBC">
        <w:rPr>
          <w:rFonts w:ascii="Palatino Linotype" w:hAnsi="Palatino Linotype" w:cs="Tahoma"/>
          <w:sz w:val="22"/>
          <w:szCs w:val="22"/>
          <w:lang w:val="es-ES"/>
        </w:rPr>
        <w:t xml:space="preserve"> </w:t>
      </w:r>
      <w:r w:rsidR="00B03EDE" w:rsidRPr="00375C9E">
        <w:rPr>
          <w:rFonts w:ascii="Palatino Linotype" w:hAnsi="Palatino Linotype" w:cs="Tahoma"/>
          <w:sz w:val="22"/>
          <w:szCs w:val="22"/>
          <w:lang w:val="es-ES"/>
        </w:rPr>
        <w:t>de información</w:t>
      </w:r>
      <w:r w:rsidR="00D510C5">
        <w:rPr>
          <w:rFonts w:ascii="Palatino Linotype" w:hAnsi="Palatino Linotype" w:cs="Tahoma"/>
          <w:sz w:val="22"/>
          <w:szCs w:val="22"/>
          <w:lang w:val="es-ES"/>
        </w:rPr>
        <w:t xml:space="preserve">, </w:t>
      </w:r>
      <w:r w:rsidR="00B03EDE" w:rsidRPr="00375C9E">
        <w:rPr>
          <w:rFonts w:ascii="Palatino Linotype" w:hAnsi="Palatino Linotype" w:cs="Tahoma"/>
          <w:sz w:val="22"/>
          <w:szCs w:val="22"/>
          <w:lang w:val="es-ES"/>
        </w:rPr>
        <w:t>en los siguientes términos:</w:t>
      </w:r>
      <w:r w:rsidR="00046E37">
        <w:rPr>
          <w:rFonts w:ascii="Palatino Linotype" w:hAnsi="Palatino Linotype" w:cs="Tahoma"/>
          <w:sz w:val="22"/>
          <w:szCs w:val="22"/>
          <w:lang w:val="es-ES"/>
        </w:rPr>
        <w:t xml:space="preserve"> </w:t>
      </w:r>
    </w:p>
    <w:p w14:paraId="4ED94234" w14:textId="77777777" w:rsidR="002F50C8" w:rsidRPr="00375C9E" w:rsidRDefault="002F50C8" w:rsidP="00261F7E">
      <w:pPr>
        <w:widowControl w:val="0"/>
        <w:spacing w:line="360" w:lineRule="auto"/>
        <w:jc w:val="both"/>
        <w:rPr>
          <w:rFonts w:ascii="Palatino Linotype" w:hAnsi="Palatino Linotype" w:cs="Tahoma"/>
          <w:b/>
          <w:bCs/>
          <w:sz w:val="22"/>
          <w:szCs w:val="22"/>
          <w:lang w:val="es-ES"/>
        </w:rPr>
      </w:pPr>
    </w:p>
    <w:p w14:paraId="6D9868AB" w14:textId="77777777" w:rsidR="00B03EDE" w:rsidRPr="00375C9E" w:rsidRDefault="00B03EDE" w:rsidP="00261F7E">
      <w:pPr>
        <w:spacing w:line="360" w:lineRule="auto"/>
        <w:ind w:left="567" w:right="567"/>
        <w:contextualSpacing/>
        <w:jc w:val="both"/>
        <w:rPr>
          <w:rFonts w:ascii="Palatino Linotype" w:hAnsi="Palatino Linotype" w:cs="Tahoma"/>
          <w:b/>
          <w:i/>
          <w:iCs/>
        </w:rPr>
      </w:pPr>
      <w:r w:rsidRPr="00375C9E">
        <w:rPr>
          <w:rFonts w:ascii="Palatino Linotype" w:hAnsi="Palatino Linotype" w:cs="Tahoma"/>
          <w:b/>
          <w:i/>
          <w:iCs/>
        </w:rPr>
        <w:t xml:space="preserve"> “ACTO IMPUGNADO</w:t>
      </w:r>
    </w:p>
    <w:p w14:paraId="0AF462A2" w14:textId="1ABE8932" w:rsidR="00B03EDE" w:rsidRPr="00375C9E" w:rsidRDefault="00B0021B" w:rsidP="00261F7E">
      <w:pPr>
        <w:spacing w:line="360" w:lineRule="auto"/>
        <w:ind w:left="567" w:right="567"/>
        <w:contextualSpacing/>
        <w:jc w:val="both"/>
        <w:rPr>
          <w:rFonts w:ascii="Palatino Linotype" w:hAnsi="Palatino Linotype" w:cs="Tahoma"/>
          <w:i/>
          <w:iCs/>
        </w:rPr>
      </w:pPr>
      <w:r w:rsidRPr="00B0021B">
        <w:rPr>
          <w:rFonts w:ascii="Palatino Linotype" w:hAnsi="Palatino Linotype" w:cs="Tahoma"/>
          <w:i/>
          <w:iCs/>
        </w:rPr>
        <w:t>Solicitud de Información</w:t>
      </w:r>
      <w:r w:rsidR="004C3A25" w:rsidRPr="004C3A25">
        <w:rPr>
          <w:rFonts w:ascii="Palatino Linotype" w:hAnsi="Palatino Linotype" w:cs="Tahoma"/>
          <w:i/>
          <w:iCs/>
        </w:rPr>
        <w:t>.</w:t>
      </w:r>
      <w:r w:rsidR="00B03EDE" w:rsidRPr="00375C9E">
        <w:rPr>
          <w:rFonts w:ascii="Palatino Linotype" w:hAnsi="Palatino Linotype" w:cs="Tahoma"/>
          <w:i/>
          <w:iCs/>
        </w:rPr>
        <w:t>”</w:t>
      </w:r>
      <w:r w:rsidR="00971829">
        <w:rPr>
          <w:rFonts w:ascii="Palatino Linotype" w:hAnsi="Palatino Linotype" w:cs="Tahoma"/>
          <w:i/>
          <w:iCs/>
        </w:rPr>
        <w:t xml:space="preserve"> (Sic.)</w:t>
      </w:r>
    </w:p>
    <w:p w14:paraId="67ECEAF1" w14:textId="77777777" w:rsidR="00763041" w:rsidRPr="00375C9E" w:rsidRDefault="00763041" w:rsidP="00261F7E">
      <w:pPr>
        <w:spacing w:line="360" w:lineRule="auto"/>
        <w:ind w:left="567" w:right="567"/>
        <w:contextualSpacing/>
        <w:jc w:val="both"/>
        <w:rPr>
          <w:rFonts w:ascii="Palatino Linotype" w:hAnsi="Palatino Linotype" w:cs="Tahoma"/>
          <w:b/>
        </w:rPr>
      </w:pPr>
    </w:p>
    <w:p w14:paraId="18C82D3A" w14:textId="77777777" w:rsidR="00B03EDE" w:rsidRPr="00375C9E" w:rsidRDefault="00B03EDE" w:rsidP="00261F7E">
      <w:pPr>
        <w:spacing w:line="360" w:lineRule="auto"/>
        <w:ind w:left="567" w:right="567"/>
        <w:contextualSpacing/>
        <w:jc w:val="both"/>
        <w:rPr>
          <w:rFonts w:ascii="Palatino Linotype" w:hAnsi="Palatino Linotype" w:cs="Tahoma"/>
          <w:b/>
          <w:i/>
          <w:iCs/>
        </w:rPr>
      </w:pPr>
      <w:r w:rsidRPr="00375C9E">
        <w:rPr>
          <w:rFonts w:ascii="Palatino Linotype" w:hAnsi="Palatino Linotype" w:cs="Tahoma"/>
          <w:b/>
          <w:i/>
          <w:iCs/>
        </w:rPr>
        <w:t>“RAZONES O MOTIVOS DE LA INCONFORMIDAD</w:t>
      </w:r>
    </w:p>
    <w:p w14:paraId="6F433F9E" w14:textId="73081FDF" w:rsidR="00B03EDE" w:rsidRDefault="00B0021B" w:rsidP="00261F7E">
      <w:pPr>
        <w:spacing w:line="360" w:lineRule="auto"/>
        <w:ind w:left="567" w:right="567"/>
        <w:contextualSpacing/>
        <w:jc w:val="both"/>
        <w:rPr>
          <w:rFonts w:ascii="Palatino Linotype" w:eastAsia="Calibri" w:hAnsi="Palatino Linotype" w:cs="Tahoma"/>
          <w:bCs/>
          <w:i/>
          <w:iCs/>
          <w:lang w:eastAsia="en-US"/>
        </w:rPr>
      </w:pPr>
      <w:r w:rsidRPr="00B0021B">
        <w:rPr>
          <w:rFonts w:ascii="Palatino Linotype" w:eastAsia="Calibri" w:hAnsi="Palatino Linotype" w:cs="Tahoma"/>
          <w:bCs/>
          <w:i/>
          <w:iCs/>
          <w:lang w:eastAsia="en-US"/>
        </w:rPr>
        <w:t>No dan una respuesta clara, solo envían a otras direcciones en lugar de entregar la información solicitada, concisa y clara</w:t>
      </w:r>
      <w:r w:rsidR="00B03EDE" w:rsidRPr="00375C9E">
        <w:rPr>
          <w:rFonts w:ascii="Palatino Linotype" w:eastAsia="Calibri" w:hAnsi="Palatino Linotype" w:cs="Tahoma"/>
          <w:bCs/>
          <w:i/>
          <w:iCs/>
          <w:lang w:eastAsia="en-US"/>
        </w:rPr>
        <w:t>”</w:t>
      </w:r>
      <w:r w:rsidR="00971829">
        <w:rPr>
          <w:rFonts w:ascii="Palatino Linotype" w:eastAsia="Calibri" w:hAnsi="Palatino Linotype" w:cs="Tahoma"/>
          <w:bCs/>
          <w:i/>
          <w:iCs/>
          <w:lang w:eastAsia="en-US"/>
        </w:rPr>
        <w:t xml:space="preserve"> (Sic.)</w:t>
      </w:r>
    </w:p>
    <w:p w14:paraId="1BCA75CC" w14:textId="77777777" w:rsidR="00E14333" w:rsidRPr="00C95703" w:rsidRDefault="00E14333" w:rsidP="00261F7E">
      <w:pPr>
        <w:spacing w:line="360" w:lineRule="auto"/>
        <w:ind w:left="567" w:right="567"/>
        <w:contextualSpacing/>
        <w:jc w:val="both"/>
        <w:rPr>
          <w:rFonts w:ascii="Palatino Linotype" w:hAnsi="Palatino Linotype" w:cs="Tahoma"/>
          <w:b/>
          <w:i/>
          <w:iCs/>
        </w:rPr>
      </w:pPr>
    </w:p>
    <w:p w14:paraId="01EC7854" w14:textId="297DEF68" w:rsidR="00B03EDE" w:rsidRPr="00375C9E" w:rsidRDefault="00FA1CDC" w:rsidP="00261F7E">
      <w:pPr>
        <w:spacing w:line="360" w:lineRule="auto"/>
        <w:jc w:val="both"/>
        <w:rPr>
          <w:rFonts w:ascii="Palatino Linotype" w:eastAsia="Batang" w:hAnsi="Palatino Linotype" w:cs="Tahoma"/>
          <w:b/>
          <w:bCs/>
          <w:sz w:val="22"/>
          <w:szCs w:val="22"/>
        </w:rPr>
      </w:pPr>
      <w:r>
        <w:rPr>
          <w:rFonts w:ascii="Palatino Linotype" w:hAnsi="Palatino Linotype" w:cs="Tahoma"/>
          <w:b/>
          <w:sz w:val="22"/>
          <w:szCs w:val="22"/>
        </w:rPr>
        <w:t>I</w:t>
      </w:r>
      <w:r w:rsidR="005D12CF">
        <w:rPr>
          <w:rFonts w:ascii="Palatino Linotype" w:hAnsi="Palatino Linotype" w:cs="Tahoma"/>
          <w:b/>
          <w:sz w:val="22"/>
          <w:szCs w:val="22"/>
        </w:rPr>
        <w:t>V</w:t>
      </w:r>
      <w:r w:rsidR="00B03EDE" w:rsidRPr="00375C9E">
        <w:rPr>
          <w:rFonts w:ascii="Palatino Linotype" w:hAnsi="Palatino Linotype" w:cs="Tahoma"/>
          <w:b/>
          <w:sz w:val="22"/>
          <w:szCs w:val="22"/>
        </w:rPr>
        <w:t xml:space="preserve">. </w:t>
      </w:r>
      <w:r w:rsidR="00B03EDE" w:rsidRPr="00375C9E">
        <w:rPr>
          <w:rFonts w:ascii="Palatino Linotype" w:eastAsia="Batang" w:hAnsi="Palatino Linotype" w:cs="Tahoma"/>
          <w:b/>
          <w:bCs/>
          <w:sz w:val="22"/>
          <w:szCs w:val="22"/>
        </w:rPr>
        <w:t>Trámite del Recurso de Revisión</w:t>
      </w:r>
      <w:r w:rsidR="00B03EDE" w:rsidRPr="00375C9E">
        <w:rPr>
          <w:rFonts w:ascii="Palatino Linotype" w:hAnsi="Palatino Linotype" w:cs="Tahoma"/>
          <w:b/>
          <w:sz w:val="22"/>
          <w:szCs w:val="22"/>
        </w:rPr>
        <w:t xml:space="preserve"> </w:t>
      </w:r>
      <w:r w:rsidR="00B03EDE" w:rsidRPr="00375C9E">
        <w:rPr>
          <w:rFonts w:ascii="Palatino Linotype" w:eastAsia="Batang" w:hAnsi="Palatino Linotype" w:cs="Tahoma"/>
          <w:b/>
          <w:bCs/>
          <w:sz w:val="22"/>
          <w:szCs w:val="22"/>
        </w:rPr>
        <w:t>ante el Instituto.</w:t>
      </w:r>
    </w:p>
    <w:p w14:paraId="67D0DF97" w14:textId="77777777" w:rsidR="00B03EDE" w:rsidRPr="00375C9E" w:rsidRDefault="00B03EDE" w:rsidP="00261F7E">
      <w:pPr>
        <w:spacing w:line="360" w:lineRule="auto"/>
        <w:jc w:val="both"/>
        <w:rPr>
          <w:rFonts w:ascii="Palatino Linotype" w:eastAsia="Batang" w:hAnsi="Palatino Linotype" w:cs="Tahoma"/>
          <w:b/>
          <w:bCs/>
          <w:sz w:val="22"/>
          <w:szCs w:val="22"/>
        </w:rPr>
      </w:pPr>
    </w:p>
    <w:p w14:paraId="531EA316" w14:textId="43ACA3CE" w:rsidR="00B03EDE" w:rsidRPr="00375C9E" w:rsidRDefault="00B03EDE" w:rsidP="00261F7E">
      <w:pPr>
        <w:spacing w:line="360" w:lineRule="auto"/>
        <w:jc w:val="both"/>
        <w:rPr>
          <w:rFonts w:ascii="Palatino Linotype" w:eastAsia="Batang" w:hAnsi="Palatino Linotype" w:cs="Tahoma"/>
          <w:b/>
          <w:bCs/>
          <w:sz w:val="22"/>
          <w:szCs w:val="22"/>
        </w:rPr>
      </w:pPr>
      <w:r w:rsidRPr="00375C9E">
        <w:rPr>
          <w:rFonts w:ascii="Palatino Linotype" w:eastAsia="Batang" w:hAnsi="Palatino Linotype" w:cs="Tahoma"/>
          <w:b/>
          <w:bCs/>
          <w:sz w:val="22"/>
          <w:szCs w:val="22"/>
        </w:rPr>
        <w:t xml:space="preserve">a) Turno del Recurso de Revisión. </w:t>
      </w:r>
      <w:r w:rsidRPr="00375C9E">
        <w:rPr>
          <w:rFonts w:ascii="Palatino Linotype" w:eastAsia="Batang" w:hAnsi="Palatino Linotype" w:cs="Tahoma"/>
          <w:sz w:val="22"/>
          <w:szCs w:val="22"/>
        </w:rPr>
        <w:t xml:space="preserve">El </w:t>
      </w:r>
      <w:r w:rsidR="00B0021B">
        <w:rPr>
          <w:rFonts w:ascii="Palatino Linotype" w:hAnsi="Palatino Linotype" w:cs="Tahoma"/>
          <w:sz w:val="22"/>
          <w:szCs w:val="22"/>
          <w:lang w:val="es-ES"/>
        </w:rPr>
        <w:t xml:space="preserve">nueve de junio </w:t>
      </w:r>
      <w:r w:rsidR="0060596F">
        <w:rPr>
          <w:rFonts w:ascii="Palatino Linotype" w:hAnsi="Palatino Linotype" w:cs="Tahoma"/>
          <w:sz w:val="22"/>
          <w:szCs w:val="22"/>
          <w:lang w:val="es-ES"/>
        </w:rPr>
        <w:t xml:space="preserve"> </w:t>
      </w:r>
      <w:r w:rsidR="00FA1CDC">
        <w:rPr>
          <w:rFonts w:ascii="Palatino Linotype" w:hAnsi="Palatino Linotype" w:cs="Tahoma"/>
          <w:sz w:val="22"/>
          <w:szCs w:val="22"/>
          <w:lang w:val="es-ES"/>
        </w:rPr>
        <w:t xml:space="preserve"> </w:t>
      </w:r>
      <w:r w:rsidR="00731FDC" w:rsidRPr="00375C9E">
        <w:rPr>
          <w:rFonts w:ascii="Palatino Linotype" w:hAnsi="Palatino Linotype" w:cs="Tahoma"/>
          <w:sz w:val="22"/>
          <w:szCs w:val="22"/>
          <w:lang w:val="es-ES"/>
        </w:rPr>
        <w:t>de dos mil veinti</w:t>
      </w:r>
      <w:r w:rsidR="00971829">
        <w:rPr>
          <w:rFonts w:ascii="Palatino Linotype" w:hAnsi="Palatino Linotype" w:cs="Tahoma"/>
          <w:sz w:val="22"/>
          <w:szCs w:val="22"/>
          <w:lang w:val="es-ES"/>
        </w:rPr>
        <w:t>dós</w:t>
      </w:r>
      <w:r w:rsidRPr="00375C9E">
        <w:rPr>
          <w:rFonts w:ascii="Palatino Linotype" w:eastAsia="Batang" w:hAnsi="Palatino Linotype" w:cs="Tahoma"/>
          <w:sz w:val="22"/>
          <w:szCs w:val="22"/>
        </w:rPr>
        <w:t xml:space="preserve">, el </w:t>
      </w:r>
      <w:r w:rsidRPr="00375C9E">
        <w:rPr>
          <w:rFonts w:ascii="Palatino Linotype" w:eastAsia="Batang" w:hAnsi="Palatino Linotype" w:cs="Tahoma"/>
          <w:sz w:val="22"/>
          <w:szCs w:val="22"/>
          <w:lang w:val="es-ES"/>
        </w:rPr>
        <w:t>Sistema de Acceso a la Información Mexiquense (SAIMEX),</w:t>
      </w:r>
      <w:r w:rsidRPr="00375C9E">
        <w:rPr>
          <w:rFonts w:ascii="Palatino Linotype" w:eastAsia="Batang" w:hAnsi="Palatino Linotype" w:cs="Tahoma"/>
          <w:sz w:val="22"/>
          <w:szCs w:val="22"/>
        </w:rPr>
        <w:t xml:space="preserve"> asignó el número de expediente </w:t>
      </w:r>
      <w:r w:rsidR="0060596F">
        <w:rPr>
          <w:rFonts w:ascii="Palatino Linotype" w:eastAsia="Calibri" w:hAnsi="Palatino Linotype" w:cs="Tahoma"/>
          <w:b/>
          <w:bCs/>
          <w:sz w:val="22"/>
          <w:szCs w:val="22"/>
        </w:rPr>
        <w:t>011216</w:t>
      </w:r>
      <w:r w:rsidR="004C3A25" w:rsidRPr="004C3A25">
        <w:rPr>
          <w:rFonts w:ascii="Palatino Linotype" w:eastAsia="Calibri" w:hAnsi="Palatino Linotype" w:cs="Tahoma"/>
          <w:b/>
          <w:bCs/>
          <w:sz w:val="22"/>
          <w:szCs w:val="22"/>
        </w:rPr>
        <w:t>/INFOEM/IP/RR/2022</w:t>
      </w:r>
      <w:r w:rsidRPr="00375C9E">
        <w:rPr>
          <w:rFonts w:ascii="Palatino Linotype" w:eastAsia="Batang" w:hAnsi="Palatino Linotype" w:cs="Tahoma"/>
          <w:sz w:val="22"/>
          <w:szCs w:val="22"/>
        </w:rPr>
        <w:t xml:space="preserve">, al medio de impugnación que nos ocupa, con base en el sistema aprobado por el Pleno de este Órgano Garante y lo turnó al </w:t>
      </w:r>
      <w:r w:rsidRPr="00375C9E">
        <w:rPr>
          <w:rFonts w:ascii="Palatino Linotype" w:eastAsia="Batang" w:hAnsi="Palatino Linotype" w:cs="Tahoma"/>
          <w:b/>
          <w:bCs/>
          <w:sz w:val="22"/>
          <w:szCs w:val="22"/>
        </w:rPr>
        <w:t>Comisionado Ponente Luis Gustavo Parra Noriega</w:t>
      </w:r>
      <w:r w:rsidRPr="00375C9E">
        <w:rPr>
          <w:rFonts w:ascii="Palatino Linotype" w:eastAsia="Batang" w:hAnsi="Palatino Linotype" w:cs="Tahoma"/>
          <w:sz w:val="22"/>
          <w:szCs w:val="22"/>
        </w:rPr>
        <w:t>, para los efectos del artículo 185, fracción I de la Ley de Transparencia y Acceso a la Información Pública del Estado de México y Municipios.</w:t>
      </w:r>
    </w:p>
    <w:p w14:paraId="59635DCE" w14:textId="77777777" w:rsidR="00B03EDE" w:rsidRPr="00375C9E" w:rsidRDefault="00B03EDE" w:rsidP="00261F7E">
      <w:pPr>
        <w:spacing w:line="360" w:lineRule="auto"/>
        <w:jc w:val="both"/>
        <w:rPr>
          <w:rFonts w:ascii="Palatino Linotype" w:eastAsia="Batang" w:hAnsi="Palatino Linotype" w:cs="Tahoma"/>
          <w:b/>
          <w:bCs/>
          <w:sz w:val="22"/>
          <w:szCs w:val="22"/>
        </w:rPr>
      </w:pPr>
    </w:p>
    <w:p w14:paraId="5412875E" w14:textId="2AC5B6D3" w:rsidR="00B03EDE" w:rsidRPr="00375C9E" w:rsidRDefault="00B03EDE" w:rsidP="00261F7E">
      <w:pPr>
        <w:spacing w:line="360" w:lineRule="auto"/>
        <w:jc w:val="both"/>
        <w:rPr>
          <w:rFonts w:ascii="Palatino Linotype" w:eastAsia="Batang" w:hAnsi="Palatino Linotype" w:cs="Tahoma"/>
          <w:b/>
          <w:bCs/>
          <w:sz w:val="22"/>
          <w:szCs w:val="22"/>
        </w:rPr>
      </w:pPr>
      <w:r w:rsidRPr="00375C9E">
        <w:rPr>
          <w:rFonts w:ascii="Palatino Linotype" w:eastAsia="Batang" w:hAnsi="Palatino Linotype" w:cs="Tahoma"/>
          <w:b/>
          <w:bCs/>
          <w:sz w:val="22"/>
          <w:szCs w:val="22"/>
        </w:rPr>
        <w:t>b) Admisión del Recurso de Revisión</w:t>
      </w:r>
      <w:r w:rsidRPr="00375C9E">
        <w:rPr>
          <w:rFonts w:ascii="Palatino Linotype" w:eastAsia="Batang" w:hAnsi="Palatino Linotype" w:cs="Tahoma"/>
          <w:b/>
          <w:bCs/>
          <w:sz w:val="22"/>
          <w:szCs w:val="22"/>
          <w:lang w:val="es-ES_tradnl"/>
        </w:rPr>
        <w:t xml:space="preserve">. </w:t>
      </w:r>
      <w:r w:rsidRPr="00375C9E">
        <w:rPr>
          <w:rFonts w:ascii="Palatino Linotype" w:eastAsia="Batang" w:hAnsi="Palatino Linotype" w:cs="Tahoma"/>
          <w:sz w:val="22"/>
          <w:szCs w:val="22"/>
          <w:lang w:val="es-ES_tradnl"/>
        </w:rPr>
        <w:t xml:space="preserve">El </w:t>
      </w:r>
      <w:r w:rsidR="0060596F">
        <w:rPr>
          <w:rFonts w:ascii="Palatino Linotype" w:eastAsia="Batang" w:hAnsi="Palatino Linotype" w:cs="Tahoma"/>
          <w:sz w:val="22"/>
          <w:szCs w:val="22"/>
          <w:lang w:val="es-ES_tradnl"/>
        </w:rPr>
        <w:t xml:space="preserve">quince de junio </w:t>
      </w:r>
      <w:r w:rsidRPr="00375C9E">
        <w:rPr>
          <w:rFonts w:ascii="Palatino Linotype" w:eastAsia="Batang" w:hAnsi="Palatino Linotype" w:cs="Tahoma"/>
          <w:sz w:val="22"/>
          <w:szCs w:val="22"/>
          <w:lang w:val="es-ES_tradnl"/>
        </w:rPr>
        <w:t xml:space="preserve"> de dos mil veinti</w:t>
      </w:r>
      <w:r w:rsidR="00971829">
        <w:rPr>
          <w:rFonts w:ascii="Palatino Linotype" w:eastAsia="Batang" w:hAnsi="Palatino Linotype" w:cs="Tahoma"/>
          <w:sz w:val="22"/>
          <w:szCs w:val="22"/>
          <w:lang w:val="es-ES_tradnl"/>
        </w:rPr>
        <w:t>dós</w:t>
      </w:r>
      <w:r w:rsidRPr="00375C9E">
        <w:rPr>
          <w:rFonts w:ascii="Palatino Linotype" w:eastAsia="Batang" w:hAnsi="Palatino Linotype" w:cs="Tahoma"/>
          <w:sz w:val="22"/>
          <w:szCs w:val="22"/>
          <w:lang w:val="es-ES_tradnl"/>
        </w:rPr>
        <w:t xml:space="preserve">,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w:t>
      </w:r>
      <w:r w:rsidR="00246017">
        <w:rPr>
          <w:rFonts w:ascii="Palatino Linotype" w:eastAsia="Batang" w:hAnsi="Palatino Linotype" w:cs="Tahoma"/>
          <w:sz w:val="22"/>
          <w:szCs w:val="22"/>
          <w:lang w:val="es-ES_tradnl"/>
        </w:rPr>
        <w:t>mismo día de mes y año</w:t>
      </w:r>
      <w:r w:rsidRPr="00375C9E">
        <w:rPr>
          <w:rFonts w:ascii="Palatino Linotype" w:eastAsia="Batang" w:hAnsi="Palatino Linotype" w:cs="Tahoma"/>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65E011B0" w14:textId="77777777" w:rsidR="00B03EDE" w:rsidRPr="00375C9E" w:rsidRDefault="00B03EDE" w:rsidP="00261F7E">
      <w:pPr>
        <w:spacing w:line="360" w:lineRule="auto"/>
        <w:jc w:val="both"/>
        <w:rPr>
          <w:rFonts w:ascii="Palatino Linotype" w:eastAsia="Batang" w:hAnsi="Palatino Linotype" w:cs="Tahoma"/>
          <w:bCs/>
          <w:sz w:val="22"/>
          <w:szCs w:val="22"/>
        </w:rPr>
      </w:pPr>
    </w:p>
    <w:p w14:paraId="7AF152E2" w14:textId="673339AA" w:rsidR="0067039B" w:rsidRPr="006140C5" w:rsidRDefault="00B03EDE" w:rsidP="00261F7E">
      <w:pPr>
        <w:widowControl w:val="0"/>
        <w:spacing w:line="360" w:lineRule="auto"/>
        <w:jc w:val="both"/>
        <w:rPr>
          <w:rFonts w:ascii="Palatino Linotype" w:hAnsi="Palatino Linotype"/>
          <w:bCs/>
          <w:sz w:val="22"/>
          <w:szCs w:val="22"/>
          <w:lang w:val="es-ES_tradnl"/>
        </w:rPr>
      </w:pPr>
      <w:r w:rsidRPr="00375C9E">
        <w:rPr>
          <w:rFonts w:ascii="Palatino Linotype" w:hAnsi="Palatino Linotype"/>
          <w:b/>
          <w:bCs/>
          <w:sz w:val="22"/>
          <w:szCs w:val="22"/>
        </w:rPr>
        <w:t xml:space="preserve">c) </w:t>
      </w:r>
      <w:r w:rsidRPr="00375C9E">
        <w:rPr>
          <w:rFonts w:ascii="Palatino Linotype" w:hAnsi="Palatino Linotype"/>
          <w:b/>
          <w:sz w:val="22"/>
          <w:szCs w:val="22"/>
          <w:lang w:val="es-ES_tradnl"/>
        </w:rPr>
        <w:t>Informe Justificado</w:t>
      </w:r>
      <w:r w:rsidR="00930F5B">
        <w:rPr>
          <w:rFonts w:ascii="Palatino Linotype" w:hAnsi="Palatino Linotype"/>
          <w:b/>
          <w:sz w:val="22"/>
          <w:szCs w:val="22"/>
          <w:lang w:val="es-ES_tradnl"/>
        </w:rPr>
        <w:t xml:space="preserve"> o manifestaciones</w:t>
      </w:r>
      <w:r w:rsidRPr="00375C9E">
        <w:rPr>
          <w:rFonts w:ascii="Palatino Linotype" w:hAnsi="Palatino Linotype"/>
          <w:b/>
          <w:sz w:val="22"/>
          <w:szCs w:val="22"/>
          <w:lang w:val="es-ES_tradnl"/>
        </w:rPr>
        <w:t xml:space="preserve">. </w:t>
      </w:r>
      <w:r w:rsidR="00717A0C">
        <w:rPr>
          <w:rFonts w:ascii="Palatino Linotype" w:hAnsi="Palatino Linotype"/>
          <w:bCs/>
          <w:sz w:val="22"/>
          <w:szCs w:val="22"/>
          <w:lang w:val="es-ES_tradnl"/>
        </w:rPr>
        <w:t xml:space="preserve">El </w:t>
      </w:r>
      <w:r w:rsidR="0060596F">
        <w:rPr>
          <w:rFonts w:ascii="Palatino Linotype" w:hAnsi="Palatino Linotype"/>
          <w:bCs/>
          <w:sz w:val="22"/>
          <w:szCs w:val="22"/>
          <w:lang w:val="es-ES_tradnl"/>
        </w:rPr>
        <w:t>veinticuatro</w:t>
      </w:r>
      <w:r w:rsidR="00FA1CDC">
        <w:rPr>
          <w:rFonts w:ascii="Palatino Linotype" w:hAnsi="Palatino Linotype"/>
          <w:bCs/>
          <w:sz w:val="22"/>
          <w:szCs w:val="22"/>
          <w:lang w:val="es-ES_tradnl"/>
        </w:rPr>
        <w:t xml:space="preserve"> de junio </w:t>
      </w:r>
      <w:r w:rsidR="00717A0C">
        <w:rPr>
          <w:rFonts w:ascii="Palatino Linotype" w:hAnsi="Palatino Linotype"/>
          <w:bCs/>
          <w:sz w:val="22"/>
          <w:szCs w:val="22"/>
          <w:lang w:val="es-ES_tradnl"/>
        </w:rPr>
        <w:t xml:space="preserve"> de dos mil veinti</w:t>
      </w:r>
      <w:r w:rsidR="00971829">
        <w:rPr>
          <w:rFonts w:ascii="Palatino Linotype" w:hAnsi="Palatino Linotype"/>
          <w:bCs/>
          <w:sz w:val="22"/>
          <w:szCs w:val="22"/>
          <w:lang w:val="es-ES_tradnl"/>
        </w:rPr>
        <w:t>dós</w:t>
      </w:r>
      <w:r w:rsidR="00717A0C">
        <w:rPr>
          <w:rFonts w:ascii="Palatino Linotype" w:hAnsi="Palatino Linotype"/>
          <w:bCs/>
          <w:sz w:val="22"/>
          <w:szCs w:val="22"/>
          <w:lang w:val="es-ES_tradnl"/>
        </w:rPr>
        <w:t xml:space="preserve">, se recibió, a través de Sistema de Acceso a la Información Mexiquense (SAIMEX), el Informe Justificado del Sujeto Obligado, </w:t>
      </w:r>
      <w:r w:rsidR="00DB2D40">
        <w:rPr>
          <w:rFonts w:ascii="Palatino Linotype" w:hAnsi="Palatino Linotype"/>
          <w:bCs/>
          <w:sz w:val="22"/>
          <w:szCs w:val="22"/>
          <w:lang w:val="es-ES_tradnl"/>
        </w:rPr>
        <w:t xml:space="preserve">en los términos siguientes: </w:t>
      </w:r>
    </w:p>
    <w:p w14:paraId="5D71A762" w14:textId="77777777" w:rsidR="00C1322E" w:rsidRDefault="00C1322E" w:rsidP="00261F7E">
      <w:pPr>
        <w:pStyle w:val="Prrafodelista"/>
        <w:widowControl w:val="0"/>
        <w:spacing w:line="360" w:lineRule="auto"/>
        <w:ind w:left="1080" w:right="567"/>
        <w:jc w:val="both"/>
        <w:rPr>
          <w:rFonts w:ascii="Palatino Linotype" w:hAnsi="Palatino Linotype" w:cs="Tahoma"/>
          <w:bCs/>
          <w:szCs w:val="22"/>
        </w:rPr>
      </w:pPr>
      <w:bookmarkStart w:id="1" w:name="_Hlk84950917"/>
    </w:p>
    <w:p w14:paraId="4A82F1E3" w14:textId="398A1101" w:rsidR="0060596F" w:rsidRDefault="00503A18" w:rsidP="0060596F">
      <w:pPr>
        <w:pStyle w:val="Prrafodelista"/>
        <w:widowControl w:val="0"/>
        <w:spacing w:line="360" w:lineRule="auto"/>
        <w:ind w:left="567" w:right="567"/>
        <w:jc w:val="both"/>
        <w:rPr>
          <w:rFonts w:ascii="Palatino Linotype" w:hAnsi="Palatino Linotype" w:cs="Tahoma"/>
          <w:i/>
          <w:iCs/>
          <w:sz w:val="20"/>
          <w:szCs w:val="20"/>
        </w:rPr>
      </w:pPr>
      <w:r w:rsidRPr="00055106">
        <w:rPr>
          <w:rFonts w:ascii="Palatino Linotype" w:hAnsi="Palatino Linotype" w:cs="Tahoma"/>
          <w:i/>
          <w:iCs/>
          <w:sz w:val="20"/>
          <w:szCs w:val="20"/>
        </w:rPr>
        <w:t>“</w:t>
      </w:r>
      <w:r w:rsidR="0060596F" w:rsidRPr="0060596F">
        <w:rPr>
          <w:rFonts w:ascii="Palatino Linotype" w:hAnsi="Palatino Linotype" w:cs="Tahoma"/>
          <w:i/>
          <w:iCs/>
          <w:sz w:val="20"/>
          <w:szCs w:val="20"/>
        </w:rPr>
        <w:t>Precisado lo anterior, es menester reiterar la circunstancia que esta Unidad de Transparencia</w:t>
      </w:r>
      <w:r w:rsidR="00084ED9">
        <w:rPr>
          <w:rFonts w:ascii="Palatino Linotype" w:hAnsi="Palatino Linotype" w:cs="Tahoma"/>
          <w:i/>
          <w:iCs/>
          <w:sz w:val="20"/>
          <w:szCs w:val="20"/>
        </w:rPr>
        <w:t xml:space="preserve"> </w:t>
      </w:r>
      <w:r w:rsidR="0060596F" w:rsidRPr="0060596F">
        <w:rPr>
          <w:rFonts w:ascii="Palatino Linotype" w:hAnsi="Palatino Linotype" w:cs="Tahoma"/>
          <w:i/>
          <w:iCs/>
          <w:sz w:val="20"/>
          <w:szCs w:val="20"/>
        </w:rPr>
        <w:t xml:space="preserve">consideró para determinar la notoria incompetencia de este Sujeto Obligado para contar con la </w:t>
      </w:r>
      <w:r w:rsidR="00084ED9">
        <w:rPr>
          <w:rFonts w:ascii="Palatino Linotype" w:hAnsi="Palatino Linotype" w:cs="Tahoma"/>
          <w:i/>
          <w:iCs/>
          <w:sz w:val="20"/>
          <w:szCs w:val="20"/>
        </w:rPr>
        <w:t xml:space="preserve"> </w:t>
      </w:r>
      <w:r w:rsidR="0060596F" w:rsidRPr="0060596F">
        <w:rPr>
          <w:rFonts w:ascii="Palatino Linotype" w:hAnsi="Palatino Linotype" w:cs="Tahoma"/>
          <w:i/>
          <w:iCs/>
          <w:sz w:val="20"/>
          <w:szCs w:val="20"/>
        </w:rPr>
        <w:t>información que se requería en la vía originaria.</w:t>
      </w:r>
    </w:p>
    <w:p w14:paraId="00BB20E1" w14:textId="77777777" w:rsidR="00BC2409" w:rsidRPr="0060596F" w:rsidRDefault="00BC2409" w:rsidP="0060596F">
      <w:pPr>
        <w:pStyle w:val="Prrafodelista"/>
        <w:widowControl w:val="0"/>
        <w:spacing w:line="360" w:lineRule="auto"/>
        <w:ind w:left="567" w:right="567"/>
        <w:jc w:val="both"/>
        <w:rPr>
          <w:rFonts w:ascii="Palatino Linotype" w:hAnsi="Palatino Linotype" w:cs="Tahoma"/>
          <w:i/>
          <w:iCs/>
          <w:sz w:val="20"/>
          <w:szCs w:val="20"/>
        </w:rPr>
      </w:pPr>
    </w:p>
    <w:p w14:paraId="03469ED1" w14:textId="45CF0100" w:rsidR="0060596F" w:rsidRPr="0060596F" w:rsidRDefault="0060596F" w:rsidP="0060596F">
      <w:pPr>
        <w:pStyle w:val="Prrafodelista"/>
        <w:widowControl w:val="0"/>
        <w:spacing w:line="360" w:lineRule="auto"/>
        <w:ind w:left="567" w:right="567"/>
        <w:jc w:val="both"/>
        <w:rPr>
          <w:rFonts w:ascii="Palatino Linotype" w:hAnsi="Palatino Linotype" w:cs="Tahoma"/>
          <w:i/>
          <w:iCs/>
          <w:sz w:val="20"/>
          <w:szCs w:val="20"/>
        </w:rPr>
      </w:pPr>
      <w:r w:rsidRPr="0060596F">
        <w:rPr>
          <w:rFonts w:ascii="Palatino Linotype" w:hAnsi="Palatino Linotype" w:cs="Tahoma"/>
          <w:i/>
          <w:iCs/>
          <w:sz w:val="20"/>
          <w:szCs w:val="20"/>
        </w:rPr>
        <w:t xml:space="preserve">En este entendido, hay que contextualizar que en fecha cuatro de mayo de dos mil dieciséis, se </w:t>
      </w:r>
      <w:r w:rsidR="00084ED9">
        <w:rPr>
          <w:rFonts w:ascii="Palatino Linotype" w:hAnsi="Palatino Linotype" w:cs="Tahoma"/>
          <w:i/>
          <w:iCs/>
          <w:sz w:val="20"/>
          <w:szCs w:val="20"/>
        </w:rPr>
        <w:t xml:space="preserve"> </w:t>
      </w:r>
      <w:r w:rsidRPr="0060596F">
        <w:rPr>
          <w:rFonts w:ascii="Palatino Linotype" w:hAnsi="Palatino Linotype" w:cs="Tahoma"/>
          <w:i/>
          <w:iCs/>
          <w:sz w:val="20"/>
          <w:szCs w:val="20"/>
        </w:rPr>
        <w:t>publicó en el Periódico Oficial “Gaceta del Gobierno” del Estado de México, el Decreto número</w:t>
      </w:r>
      <w:r w:rsidR="00084ED9">
        <w:rPr>
          <w:rFonts w:ascii="Palatino Linotype" w:hAnsi="Palatino Linotype" w:cs="Tahoma"/>
          <w:i/>
          <w:iCs/>
          <w:sz w:val="20"/>
          <w:szCs w:val="20"/>
        </w:rPr>
        <w:t xml:space="preserve"> </w:t>
      </w:r>
      <w:r w:rsidRPr="0060596F">
        <w:rPr>
          <w:rFonts w:ascii="Palatino Linotype" w:hAnsi="Palatino Linotype" w:cs="Tahoma"/>
          <w:i/>
          <w:iCs/>
          <w:sz w:val="20"/>
          <w:szCs w:val="20"/>
        </w:rPr>
        <w:t xml:space="preserve">83, por el cual se expidió la vigente Ley de Transparencia y Acceso a la Información Pública del </w:t>
      </w:r>
      <w:r w:rsidR="00084ED9">
        <w:rPr>
          <w:rFonts w:ascii="Palatino Linotype" w:hAnsi="Palatino Linotype" w:cs="Tahoma"/>
          <w:i/>
          <w:iCs/>
          <w:sz w:val="20"/>
          <w:szCs w:val="20"/>
        </w:rPr>
        <w:t xml:space="preserve"> </w:t>
      </w:r>
      <w:r w:rsidRPr="0060596F">
        <w:rPr>
          <w:rFonts w:ascii="Palatino Linotype" w:hAnsi="Palatino Linotype" w:cs="Tahoma"/>
          <w:i/>
          <w:iCs/>
          <w:sz w:val="20"/>
          <w:szCs w:val="20"/>
        </w:rPr>
        <w:t>Estado de México y Municipios, el cual puede ser consultado a través del siguiente enlace:</w:t>
      </w:r>
      <w:r w:rsidR="00084ED9">
        <w:rPr>
          <w:rFonts w:ascii="Palatino Linotype" w:hAnsi="Palatino Linotype" w:cs="Tahoma"/>
          <w:i/>
          <w:iCs/>
          <w:sz w:val="20"/>
          <w:szCs w:val="20"/>
        </w:rPr>
        <w:t xml:space="preserve"> </w:t>
      </w:r>
      <w:hyperlink r:id="rId8" w:history="1">
        <w:r w:rsidR="00084ED9" w:rsidRPr="009564F9">
          <w:rPr>
            <w:rStyle w:val="Hipervnculo"/>
            <w:rFonts w:ascii="Palatino Linotype" w:hAnsi="Palatino Linotype" w:cs="Tahoma"/>
            <w:i/>
            <w:iCs/>
            <w:sz w:val="20"/>
            <w:szCs w:val="20"/>
          </w:rPr>
          <w:t>https://legislacion.edomex.gob.mx/sites/legislacion.edomex.gob.mx/files/files/pdf/gct/2016/may045.pdf</w:t>
        </w:r>
      </w:hyperlink>
      <w:r w:rsidR="00084ED9">
        <w:rPr>
          <w:rFonts w:ascii="Palatino Linotype" w:hAnsi="Palatino Linotype" w:cs="Tahoma"/>
          <w:i/>
          <w:iCs/>
          <w:sz w:val="20"/>
          <w:szCs w:val="20"/>
        </w:rPr>
        <w:t xml:space="preserve"> </w:t>
      </w:r>
    </w:p>
    <w:p w14:paraId="47475DFD" w14:textId="77777777" w:rsidR="0060596F" w:rsidRPr="0060596F" w:rsidRDefault="0060596F" w:rsidP="0060596F">
      <w:pPr>
        <w:pStyle w:val="Prrafodelista"/>
        <w:widowControl w:val="0"/>
        <w:spacing w:line="360" w:lineRule="auto"/>
        <w:ind w:left="567" w:right="567"/>
        <w:jc w:val="both"/>
        <w:rPr>
          <w:rFonts w:ascii="Palatino Linotype" w:hAnsi="Palatino Linotype" w:cs="Tahoma"/>
          <w:i/>
          <w:iCs/>
          <w:sz w:val="20"/>
          <w:szCs w:val="20"/>
        </w:rPr>
      </w:pPr>
      <w:r w:rsidRPr="0060596F">
        <w:rPr>
          <w:rFonts w:ascii="Palatino Linotype" w:hAnsi="Palatino Linotype" w:cs="Tahoma"/>
          <w:i/>
          <w:iCs/>
          <w:sz w:val="20"/>
          <w:szCs w:val="20"/>
        </w:rPr>
        <w:t>De la normatividad de cita, se advierte que el artículo 36, fracción XXVI establece lo siguiente:</w:t>
      </w:r>
    </w:p>
    <w:p w14:paraId="17ED973F" w14:textId="77777777" w:rsidR="0060596F" w:rsidRPr="0060596F" w:rsidRDefault="0060596F" w:rsidP="0060596F">
      <w:pPr>
        <w:pStyle w:val="Prrafodelista"/>
        <w:widowControl w:val="0"/>
        <w:spacing w:line="360" w:lineRule="auto"/>
        <w:ind w:left="567" w:right="567"/>
        <w:jc w:val="both"/>
        <w:rPr>
          <w:rFonts w:ascii="Palatino Linotype" w:hAnsi="Palatino Linotype" w:cs="Tahoma"/>
          <w:i/>
          <w:iCs/>
          <w:sz w:val="20"/>
          <w:szCs w:val="20"/>
        </w:rPr>
      </w:pPr>
      <w:r w:rsidRPr="0060596F">
        <w:rPr>
          <w:rFonts w:ascii="Palatino Linotype" w:hAnsi="Palatino Linotype" w:cs="Tahoma"/>
          <w:i/>
          <w:iCs/>
          <w:sz w:val="20"/>
          <w:szCs w:val="20"/>
        </w:rPr>
        <w:t>“Artículo 36. El Instituto tendrá, en el ámbito de su competencia, las atribuciones siguientes:</w:t>
      </w:r>
    </w:p>
    <w:p w14:paraId="10CFF853" w14:textId="77777777" w:rsidR="0060596F" w:rsidRPr="0060596F" w:rsidRDefault="0060596F" w:rsidP="0060596F">
      <w:pPr>
        <w:pStyle w:val="Prrafodelista"/>
        <w:widowControl w:val="0"/>
        <w:spacing w:line="360" w:lineRule="auto"/>
        <w:ind w:left="567" w:right="567"/>
        <w:jc w:val="both"/>
        <w:rPr>
          <w:rFonts w:ascii="Palatino Linotype" w:hAnsi="Palatino Linotype" w:cs="Tahoma"/>
          <w:i/>
          <w:iCs/>
          <w:sz w:val="20"/>
          <w:szCs w:val="20"/>
        </w:rPr>
      </w:pPr>
      <w:r w:rsidRPr="0060596F">
        <w:rPr>
          <w:rFonts w:ascii="Palatino Linotype" w:hAnsi="Palatino Linotype" w:cs="Tahoma"/>
          <w:i/>
          <w:iCs/>
          <w:sz w:val="20"/>
          <w:szCs w:val="20"/>
        </w:rPr>
        <w:t>(…)</w:t>
      </w:r>
    </w:p>
    <w:p w14:paraId="1576309E" w14:textId="77777777" w:rsidR="0060596F" w:rsidRPr="0060596F" w:rsidRDefault="0060596F" w:rsidP="0060596F">
      <w:pPr>
        <w:pStyle w:val="Prrafodelista"/>
        <w:widowControl w:val="0"/>
        <w:spacing w:line="360" w:lineRule="auto"/>
        <w:ind w:left="567" w:right="567"/>
        <w:jc w:val="both"/>
        <w:rPr>
          <w:rFonts w:ascii="Palatino Linotype" w:hAnsi="Palatino Linotype" w:cs="Tahoma"/>
          <w:i/>
          <w:iCs/>
          <w:sz w:val="20"/>
          <w:szCs w:val="20"/>
        </w:rPr>
      </w:pPr>
      <w:r w:rsidRPr="0060596F">
        <w:rPr>
          <w:rFonts w:ascii="Palatino Linotype" w:hAnsi="Palatino Linotype" w:cs="Tahoma"/>
          <w:i/>
          <w:iCs/>
          <w:sz w:val="20"/>
          <w:szCs w:val="20"/>
        </w:rPr>
        <w:lastRenderedPageBreak/>
        <w:t>XXVI. Nombrar al Contralor Interno del Instituto;</w:t>
      </w:r>
    </w:p>
    <w:p w14:paraId="7233D42B" w14:textId="77777777" w:rsidR="0060596F" w:rsidRPr="0060596F" w:rsidRDefault="0060596F" w:rsidP="0060596F">
      <w:pPr>
        <w:pStyle w:val="Prrafodelista"/>
        <w:widowControl w:val="0"/>
        <w:spacing w:line="360" w:lineRule="auto"/>
        <w:ind w:left="567" w:right="567"/>
        <w:jc w:val="both"/>
        <w:rPr>
          <w:rFonts w:ascii="Palatino Linotype" w:hAnsi="Palatino Linotype" w:cs="Tahoma"/>
          <w:i/>
          <w:iCs/>
          <w:sz w:val="20"/>
          <w:szCs w:val="20"/>
        </w:rPr>
      </w:pPr>
      <w:r w:rsidRPr="0060596F">
        <w:rPr>
          <w:rFonts w:ascii="Palatino Linotype" w:hAnsi="Palatino Linotype" w:cs="Tahoma"/>
          <w:i/>
          <w:iCs/>
          <w:sz w:val="20"/>
          <w:szCs w:val="20"/>
        </w:rPr>
        <w:t>(…)”</w:t>
      </w:r>
    </w:p>
    <w:p w14:paraId="7609D782" w14:textId="36F9EE45" w:rsidR="0060596F" w:rsidRPr="0060596F" w:rsidRDefault="0060596F" w:rsidP="0060596F">
      <w:pPr>
        <w:pStyle w:val="Prrafodelista"/>
        <w:widowControl w:val="0"/>
        <w:spacing w:line="360" w:lineRule="auto"/>
        <w:ind w:left="567" w:right="567"/>
        <w:jc w:val="both"/>
        <w:rPr>
          <w:rFonts w:ascii="Palatino Linotype" w:hAnsi="Palatino Linotype" w:cs="Tahoma"/>
          <w:i/>
          <w:iCs/>
          <w:sz w:val="20"/>
          <w:szCs w:val="20"/>
        </w:rPr>
      </w:pPr>
      <w:r w:rsidRPr="0060596F">
        <w:rPr>
          <w:rFonts w:ascii="Palatino Linotype" w:hAnsi="Palatino Linotype" w:cs="Tahoma"/>
          <w:i/>
          <w:iCs/>
          <w:sz w:val="20"/>
          <w:szCs w:val="20"/>
        </w:rPr>
        <w:t>Ahora bien, es oportuno reiterar que derivado de la publicación del Decreto por el que se reforman,</w:t>
      </w:r>
      <w:r w:rsidR="00084ED9">
        <w:rPr>
          <w:rFonts w:ascii="Palatino Linotype" w:hAnsi="Palatino Linotype" w:cs="Tahoma"/>
          <w:i/>
          <w:iCs/>
          <w:sz w:val="20"/>
          <w:szCs w:val="20"/>
        </w:rPr>
        <w:t xml:space="preserve"> </w:t>
      </w:r>
    </w:p>
    <w:p w14:paraId="7CEEF578" w14:textId="196C3294" w:rsidR="0060596F" w:rsidRPr="0060596F" w:rsidRDefault="0060596F" w:rsidP="0060596F">
      <w:pPr>
        <w:pStyle w:val="Prrafodelista"/>
        <w:widowControl w:val="0"/>
        <w:spacing w:line="360" w:lineRule="auto"/>
        <w:ind w:left="567" w:right="567"/>
        <w:jc w:val="both"/>
        <w:rPr>
          <w:rFonts w:ascii="Palatino Linotype" w:hAnsi="Palatino Linotype" w:cs="Tahoma"/>
          <w:i/>
          <w:iCs/>
          <w:sz w:val="20"/>
          <w:szCs w:val="20"/>
        </w:rPr>
      </w:pPr>
      <w:r w:rsidRPr="0060596F">
        <w:rPr>
          <w:rFonts w:ascii="Palatino Linotype" w:hAnsi="Palatino Linotype" w:cs="Tahoma"/>
          <w:i/>
          <w:iCs/>
          <w:sz w:val="20"/>
          <w:szCs w:val="20"/>
        </w:rPr>
        <w:t>adicionan y derogan diversas disposiciones de la Constitución Política de los Estados Unidos Mexicanos, en materia de combate a la corrupción, en el Diario Oficial de la Federación, el veintisiete de mayo de dos mil quince, particularmente de lo dispuesto en los Transitorios Segundo y Cuarto (una vez publicadas las legislaciones a las que se hacen alusión, el dieciocho de julio de dos mil diecisiete); en el Estado de México, el veinticuatro de abril de dos mil diecisiete, se publicó en el Periódico Oficial “Gaceta del Gobierno” del Estado de México, el Decreto 202 por el que se reforman los artículos 52 en su segundo párrafo, 61 en sus fracciones XV, XVII, XVIII, XXI, XXXII en</w:t>
      </w:r>
      <w:r w:rsidR="00084ED9">
        <w:rPr>
          <w:rFonts w:ascii="Palatino Linotype" w:hAnsi="Palatino Linotype" w:cs="Tahoma"/>
          <w:i/>
          <w:iCs/>
          <w:sz w:val="20"/>
          <w:szCs w:val="20"/>
        </w:rPr>
        <w:t xml:space="preserve"> </w:t>
      </w:r>
      <w:r w:rsidRPr="0060596F">
        <w:rPr>
          <w:rFonts w:ascii="Palatino Linotype" w:hAnsi="Palatino Linotype" w:cs="Tahoma"/>
          <w:i/>
          <w:iCs/>
          <w:sz w:val="20"/>
          <w:szCs w:val="20"/>
        </w:rPr>
        <w:t>su segundo y tercer párrafo, XXXIII, XXXIV, XXXV y LIV, 77 en sus fracciones XII, XIII, XV Y XIX, la denominación de la Sección Cuarta del Capítulo Tercero del Título Cuarto, 87, 123, 129 en su párrafo séptimo, la denominación del Título Séptimo, 130, 131, 133, 134, 147 primer párrafo. Se adicionan las fracciones VII al artículo 51, el párrafo tercero recorriéndose el actual tercero para ser cuarto del artículo 52, XV Bis, un tercer párrafo a la fracción XXXII recorriéndose los subsecuentes párrafos, LV y LVI al artículo 61, un segundo párrafo al artículo 106, el artículo 130 Bis, un segundo párrafo al artículo 139 Bis, de la Constitución Política del Estado Libre y Soberano de México. Decreto el aludido que puede ser consultado a través del siguiente enlace:</w:t>
      </w:r>
    </w:p>
    <w:p w14:paraId="5AEEDE23" w14:textId="0020CB3B" w:rsidR="0060596F" w:rsidRPr="0060596F" w:rsidRDefault="00393638" w:rsidP="0060596F">
      <w:pPr>
        <w:pStyle w:val="Prrafodelista"/>
        <w:widowControl w:val="0"/>
        <w:spacing w:line="360" w:lineRule="auto"/>
        <w:ind w:left="567" w:right="567"/>
        <w:jc w:val="both"/>
        <w:rPr>
          <w:rFonts w:ascii="Palatino Linotype" w:hAnsi="Palatino Linotype" w:cs="Tahoma"/>
          <w:i/>
          <w:iCs/>
          <w:sz w:val="20"/>
          <w:szCs w:val="20"/>
        </w:rPr>
      </w:pPr>
      <w:hyperlink r:id="rId9" w:history="1">
        <w:r w:rsidR="00084ED9" w:rsidRPr="009564F9">
          <w:rPr>
            <w:rStyle w:val="Hipervnculo"/>
            <w:rFonts w:ascii="Palatino Linotype" w:hAnsi="Palatino Linotype" w:cs="Tahoma"/>
            <w:i/>
            <w:iCs/>
            <w:sz w:val="20"/>
            <w:szCs w:val="20"/>
          </w:rPr>
          <w:t>https://legislacion.edomex.gob.mx/sites/legislacion.edomex.gob.mx/files/files/pdf/gct/2017/abr243.pdf</w:t>
        </w:r>
      </w:hyperlink>
      <w:r w:rsidR="00084ED9">
        <w:rPr>
          <w:rFonts w:ascii="Palatino Linotype" w:hAnsi="Palatino Linotype" w:cs="Tahoma"/>
          <w:i/>
          <w:iCs/>
          <w:sz w:val="20"/>
          <w:szCs w:val="20"/>
        </w:rPr>
        <w:t xml:space="preserve"> </w:t>
      </w:r>
    </w:p>
    <w:p w14:paraId="0138A4F4" w14:textId="05213ADA" w:rsidR="0060596F" w:rsidRPr="0060596F" w:rsidRDefault="0060596F" w:rsidP="0060596F">
      <w:pPr>
        <w:pStyle w:val="Prrafodelista"/>
        <w:widowControl w:val="0"/>
        <w:spacing w:line="360" w:lineRule="auto"/>
        <w:ind w:left="567" w:right="567"/>
        <w:jc w:val="both"/>
        <w:rPr>
          <w:rFonts w:ascii="Palatino Linotype" w:hAnsi="Palatino Linotype" w:cs="Tahoma"/>
          <w:i/>
          <w:iCs/>
          <w:sz w:val="20"/>
          <w:szCs w:val="20"/>
        </w:rPr>
      </w:pPr>
      <w:r w:rsidRPr="0060596F">
        <w:rPr>
          <w:rFonts w:ascii="Palatino Linotype" w:hAnsi="Palatino Linotype" w:cs="Tahoma"/>
          <w:i/>
          <w:iCs/>
          <w:sz w:val="20"/>
          <w:szCs w:val="20"/>
        </w:rPr>
        <w:t>De lo referido, es oportuno transcribir el contenido actualizado del artículo 61, fracción LIV de la Constitución Política del Estado Libre y Soberano de México, el cual dice:</w:t>
      </w:r>
    </w:p>
    <w:p w14:paraId="1DDCCB81" w14:textId="66DB7B4F" w:rsidR="0060596F" w:rsidRPr="0060596F" w:rsidRDefault="00084ED9" w:rsidP="0060596F">
      <w:pPr>
        <w:pStyle w:val="Prrafodelista"/>
        <w:widowControl w:val="0"/>
        <w:spacing w:line="360" w:lineRule="auto"/>
        <w:ind w:left="567" w:right="567"/>
        <w:jc w:val="both"/>
        <w:rPr>
          <w:rFonts w:ascii="Palatino Linotype" w:hAnsi="Palatino Linotype" w:cs="Tahoma"/>
          <w:i/>
          <w:iCs/>
          <w:sz w:val="20"/>
          <w:szCs w:val="20"/>
        </w:rPr>
      </w:pPr>
      <w:r w:rsidRPr="0060596F">
        <w:rPr>
          <w:rFonts w:ascii="Palatino Linotype" w:hAnsi="Palatino Linotype" w:cs="Tahoma"/>
          <w:i/>
          <w:iCs/>
          <w:sz w:val="20"/>
          <w:szCs w:val="20"/>
        </w:rPr>
        <w:t xml:space="preserve"> </w:t>
      </w:r>
      <w:r w:rsidR="0060596F" w:rsidRPr="0060596F">
        <w:rPr>
          <w:rFonts w:ascii="Palatino Linotype" w:hAnsi="Palatino Linotype" w:cs="Tahoma"/>
          <w:i/>
          <w:iCs/>
          <w:sz w:val="20"/>
          <w:szCs w:val="20"/>
        </w:rPr>
        <w:t>“Artículo 61. Son facultades y obligaciones de la legislatura:</w:t>
      </w:r>
    </w:p>
    <w:p w14:paraId="3A77D43A" w14:textId="77777777" w:rsidR="0060596F" w:rsidRPr="0060596F" w:rsidRDefault="0060596F" w:rsidP="0060596F">
      <w:pPr>
        <w:pStyle w:val="Prrafodelista"/>
        <w:widowControl w:val="0"/>
        <w:spacing w:line="360" w:lineRule="auto"/>
        <w:ind w:left="567" w:right="567"/>
        <w:jc w:val="both"/>
        <w:rPr>
          <w:rFonts w:ascii="Palatino Linotype" w:hAnsi="Palatino Linotype" w:cs="Tahoma"/>
          <w:i/>
          <w:iCs/>
          <w:sz w:val="20"/>
          <w:szCs w:val="20"/>
        </w:rPr>
      </w:pPr>
      <w:r w:rsidRPr="0060596F">
        <w:rPr>
          <w:rFonts w:ascii="Palatino Linotype" w:hAnsi="Palatino Linotype" w:cs="Tahoma"/>
          <w:i/>
          <w:iCs/>
          <w:sz w:val="20"/>
          <w:szCs w:val="20"/>
        </w:rPr>
        <w:t>(…)</w:t>
      </w:r>
    </w:p>
    <w:p w14:paraId="263AFB2D" w14:textId="4BC3F9D4" w:rsidR="0060596F" w:rsidRPr="0060596F" w:rsidRDefault="0060596F" w:rsidP="0060596F">
      <w:pPr>
        <w:pStyle w:val="Prrafodelista"/>
        <w:widowControl w:val="0"/>
        <w:spacing w:line="360" w:lineRule="auto"/>
        <w:ind w:left="567" w:right="567"/>
        <w:jc w:val="both"/>
        <w:rPr>
          <w:rFonts w:ascii="Palatino Linotype" w:hAnsi="Palatino Linotype" w:cs="Tahoma"/>
          <w:i/>
          <w:iCs/>
          <w:sz w:val="20"/>
          <w:szCs w:val="20"/>
        </w:rPr>
      </w:pPr>
      <w:r w:rsidRPr="0060596F">
        <w:rPr>
          <w:rFonts w:ascii="Palatino Linotype" w:hAnsi="Palatino Linotype" w:cs="Tahoma"/>
          <w:i/>
          <w:iCs/>
          <w:sz w:val="20"/>
          <w:szCs w:val="20"/>
        </w:rPr>
        <w:t>LIV. Designar por el voto de las dos terceras partes de sus miembros pr</w:t>
      </w:r>
      <w:r w:rsidR="00084ED9">
        <w:rPr>
          <w:rFonts w:ascii="Palatino Linotype" w:hAnsi="Palatino Linotype" w:cs="Tahoma"/>
          <w:i/>
          <w:iCs/>
          <w:sz w:val="20"/>
          <w:szCs w:val="20"/>
        </w:rPr>
        <w:t xml:space="preserve">esentes, a los titulares de los </w:t>
      </w:r>
      <w:r w:rsidRPr="0060596F">
        <w:rPr>
          <w:rFonts w:ascii="Palatino Linotype" w:hAnsi="Palatino Linotype" w:cs="Tahoma"/>
          <w:i/>
          <w:iCs/>
          <w:sz w:val="20"/>
          <w:szCs w:val="20"/>
        </w:rPr>
        <w:t>órganos internos de control de los organismos a los que esta Consti</w:t>
      </w:r>
      <w:r w:rsidR="00397620">
        <w:rPr>
          <w:rFonts w:ascii="Palatino Linotype" w:hAnsi="Palatino Linotype" w:cs="Tahoma"/>
          <w:i/>
          <w:iCs/>
          <w:sz w:val="20"/>
          <w:szCs w:val="20"/>
        </w:rPr>
        <w:t xml:space="preserve">tución reconoce autonomía y que </w:t>
      </w:r>
      <w:r w:rsidRPr="0060596F">
        <w:rPr>
          <w:rFonts w:ascii="Palatino Linotype" w:hAnsi="Palatino Linotype" w:cs="Tahoma"/>
          <w:i/>
          <w:iCs/>
          <w:sz w:val="20"/>
          <w:szCs w:val="20"/>
        </w:rPr>
        <w:lastRenderedPageBreak/>
        <w:t>ejerzan recursos del Presupuesto de Egresos del Estado, en términos que disponga la Ley.</w:t>
      </w:r>
    </w:p>
    <w:p w14:paraId="3FC2C131" w14:textId="77777777" w:rsidR="0060596F" w:rsidRPr="0060596F" w:rsidRDefault="0060596F" w:rsidP="0060596F">
      <w:pPr>
        <w:pStyle w:val="Prrafodelista"/>
        <w:widowControl w:val="0"/>
        <w:spacing w:line="360" w:lineRule="auto"/>
        <w:ind w:left="567" w:right="567"/>
        <w:jc w:val="both"/>
        <w:rPr>
          <w:rFonts w:ascii="Palatino Linotype" w:hAnsi="Palatino Linotype" w:cs="Tahoma"/>
          <w:i/>
          <w:iCs/>
          <w:sz w:val="20"/>
          <w:szCs w:val="20"/>
        </w:rPr>
      </w:pPr>
      <w:r w:rsidRPr="0060596F">
        <w:rPr>
          <w:rFonts w:ascii="Palatino Linotype" w:hAnsi="Palatino Linotype" w:cs="Tahoma"/>
          <w:i/>
          <w:iCs/>
          <w:sz w:val="20"/>
          <w:szCs w:val="20"/>
        </w:rPr>
        <w:t>(…)”</w:t>
      </w:r>
    </w:p>
    <w:p w14:paraId="2D7A5875" w14:textId="77777777" w:rsidR="0060596F" w:rsidRPr="0060596F" w:rsidRDefault="0060596F" w:rsidP="0060596F">
      <w:pPr>
        <w:pStyle w:val="Prrafodelista"/>
        <w:widowControl w:val="0"/>
        <w:spacing w:line="360" w:lineRule="auto"/>
        <w:ind w:left="567" w:right="567"/>
        <w:jc w:val="both"/>
        <w:rPr>
          <w:rFonts w:ascii="Palatino Linotype" w:hAnsi="Palatino Linotype" w:cs="Tahoma"/>
          <w:i/>
          <w:iCs/>
          <w:sz w:val="20"/>
          <w:szCs w:val="20"/>
        </w:rPr>
      </w:pPr>
      <w:r w:rsidRPr="0060596F">
        <w:rPr>
          <w:rFonts w:ascii="Palatino Linotype" w:hAnsi="Palatino Linotype" w:cs="Tahoma"/>
          <w:i/>
          <w:iCs/>
          <w:sz w:val="20"/>
          <w:szCs w:val="20"/>
        </w:rPr>
        <w:t>De igual manera, el Transitorio Noveno del aludido Decreto 202, refería lo siguiente:</w:t>
      </w:r>
    </w:p>
    <w:p w14:paraId="49A04A4F" w14:textId="77777777" w:rsidR="0060596F" w:rsidRPr="0060596F" w:rsidRDefault="0060596F" w:rsidP="0060596F">
      <w:pPr>
        <w:pStyle w:val="Prrafodelista"/>
        <w:widowControl w:val="0"/>
        <w:spacing w:line="360" w:lineRule="auto"/>
        <w:ind w:left="567" w:right="567"/>
        <w:jc w:val="both"/>
        <w:rPr>
          <w:rFonts w:ascii="Palatino Linotype" w:hAnsi="Palatino Linotype" w:cs="Tahoma"/>
          <w:i/>
          <w:iCs/>
          <w:sz w:val="20"/>
          <w:szCs w:val="20"/>
        </w:rPr>
      </w:pPr>
      <w:r w:rsidRPr="0060596F">
        <w:rPr>
          <w:rFonts w:ascii="Palatino Linotype" w:hAnsi="Palatino Linotype" w:cs="Tahoma"/>
          <w:i/>
          <w:iCs/>
          <w:sz w:val="20"/>
          <w:szCs w:val="20"/>
        </w:rPr>
        <w:t xml:space="preserve">“NOVENO. Los titulares de los Órganos Internos de Control de los Órganos constitucionalmente </w:t>
      </w:r>
    </w:p>
    <w:p w14:paraId="61A0B3ED" w14:textId="67B77281" w:rsidR="0060596F" w:rsidRPr="0060596F" w:rsidRDefault="0060596F" w:rsidP="0060596F">
      <w:pPr>
        <w:pStyle w:val="Prrafodelista"/>
        <w:widowControl w:val="0"/>
        <w:spacing w:line="360" w:lineRule="auto"/>
        <w:ind w:left="567" w:right="567"/>
        <w:jc w:val="both"/>
        <w:rPr>
          <w:rFonts w:ascii="Palatino Linotype" w:hAnsi="Palatino Linotype" w:cs="Tahoma"/>
          <w:i/>
          <w:iCs/>
          <w:sz w:val="20"/>
          <w:szCs w:val="20"/>
        </w:rPr>
      </w:pPr>
      <w:r w:rsidRPr="0060596F">
        <w:rPr>
          <w:rFonts w:ascii="Palatino Linotype" w:hAnsi="Palatino Linotype" w:cs="Tahoma"/>
          <w:i/>
          <w:iCs/>
          <w:sz w:val="20"/>
          <w:szCs w:val="20"/>
        </w:rPr>
        <w:t>Autónomos, que se encuentren en funciones al entrar en vigor el mismo, se sujetarán al procedimiento de designación o ratificación que establezca la Ley, dentro de los treinta días hábiles posteriores al cumplimiento del Cuarto Transitorio, en términos de los procedimientos aplicables.”</w:t>
      </w:r>
    </w:p>
    <w:p w14:paraId="03B0BEB2" w14:textId="77777777" w:rsidR="00084ED9" w:rsidRDefault="00084ED9" w:rsidP="0060596F">
      <w:pPr>
        <w:pStyle w:val="Prrafodelista"/>
        <w:widowControl w:val="0"/>
        <w:spacing w:line="360" w:lineRule="auto"/>
        <w:ind w:left="567" w:right="567"/>
        <w:jc w:val="both"/>
        <w:rPr>
          <w:rFonts w:ascii="Palatino Linotype" w:hAnsi="Palatino Linotype" w:cs="Tahoma"/>
          <w:i/>
          <w:iCs/>
          <w:sz w:val="20"/>
          <w:szCs w:val="20"/>
        </w:rPr>
      </w:pPr>
    </w:p>
    <w:p w14:paraId="0FEB8889" w14:textId="7A072A05" w:rsidR="0060596F" w:rsidRPr="0060596F" w:rsidRDefault="0060596F" w:rsidP="0060596F">
      <w:pPr>
        <w:pStyle w:val="Prrafodelista"/>
        <w:widowControl w:val="0"/>
        <w:spacing w:line="360" w:lineRule="auto"/>
        <w:ind w:left="567" w:right="567"/>
        <w:jc w:val="both"/>
        <w:rPr>
          <w:rFonts w:ascii="Palatino Linotype" w:hAnsi="Palatino Linotype" w:cs="Tahoma"/>
          <w:i/>
          <w:iCs/>
          <w:sz w:val="20"/>
          <w:szCs w:val="20"/>
        </w:rPr>
      </w:pPr>
      <w:r w:rsidRPr="0060596F">
        <w:rPr>
          <w:rFonts w:ascii="Palatino Linotype" w:hAnsi="Palatino Linotype" w:cs="Tahoma"/>
          <w:i/>
          <w:iCs/>
          <w:sz w:val="20"/>
          <w:szCs w:val="20"/>
        </w:rPr>
        <w:t>En correspondencia con lo anterior, es de señalar que el diez de noviembre de dos mil diecisiete, se publicó en el Periódico Oficial “Gaceta del Gobierno” del Estado de México, el Acuerdo de la H. “LIX” Legislatura del Estado de México, por el que se establece el proceso y la convocatoria para la designación de los Titulares de los Órganos Internos de Control de los Organismos con Autonomía reconocida en la Constitución Política del Estado Libre y Soberano de México, que ejerzan recursos del presupuesto del Estado de México, disponible para su consulta en:</w:t>
      </w:r>
    </w:p>
    <w:p w14:paraId="439ED2C3" w14:textId="401ADFDC" w:rsidR="0060596F" w:rsidRPr="0060596F" w:rsidRDefault="00393638" w:rsidP="0060596F">
      <w:pPr>
        <w:pStyle w:val="Prrafodelista"/>
        <w:widowControl w:val="0"/>
        <w:spacing w:line="360" w:lineRule="auto"/>
        <w:ind w:left="567" w:right="567"/>
        <w:jc w:val="both"/>
        <w:rPr>
          <w:rFonts w:ascii="Palatino Linotype" w:hAnsi="Palatino Linotype" w:cs="Tahoma"/>
          <w:i/>
          <w:iCs/>
          <w:sz w:val="20"/>
          <w:szCs w:val="20"/>
        </w:rPr>
      </w:pPr>
      <w:hyperlink r:id="rId10" w:history="1">
        <w:r w:rsidR="00084ED9" w:rsidRPr="009564F9">
          <w:rPr>
            <w:rStyle w:val="Hipervnculo"/>
            <w:rFonts w:ascii="Palatino Linotype" w:hAnsi="Palatino Linotype" w:cs="Tahoma"/>
            <w:i/>
            <w:iCs/>
            <w:sz w:val="20"/>
            <w:szCs w:val="20"/>
          </w:rPr>
          <w:t>https://legislacion.edomex.gob.mx/sites/legislacion.edomex.gob.mx/files/files/pdf/gct/2017/nov105.pdf</w:t>
        </w:r>
      </w:hyperlink>
      <w:r w:rsidR="00084ED9">
        <w:rPr>
          <w:rFonts w:ascii="Palatino Linotype" w:hAnsi="Palatino Linotype" w:cs="Tahoma"/>
          <w:i/>
          <w:iCs/>
          <w:sz w:val="20"/>
          <w:szCs w:val="20"/>
        </w:rPr>
        <w:t xml:space="preserve"> </w:t>
      </w:r>
    </w:p>
    <w:p w14:paraId="15AA6857" w14:textId="7F7F6FC9" w:rsidR="0060596F" w:rsidRPr="0060596F" w:rsidRDefault="0060596F" w:rsidP="0060596F">
      <w:pPr>
        <w:pStyle w:val="Prrafodelista"/>
        <w:widowControl w:val="0"/>
        <w:spacing w:line="360" w:lineRule="auto"/>
        <w:ind w:left="567" w:right="567"/>
        <w:jc w:val="both"/>
        <w:rPr>
          <w:rFonts w:ascii="Palatino Linotype" w:hAnsi="Palatino Linotype" w:cs="Tahoma"/>
          <w:i/>
          <w:iCs/>
          <w:sz w:val="20"/>
          <w:szCs w:val="20"/>
        </w:rPr>
      </w:pPr>
      <w:r w:rsidRPr="0060596F">
        <w:rPr>
          <w:rFonts w:ascii="Palatino Linotype" w:hAnsi="Palatino Linotype" w:cs="Tahoma"/>
          <w:i/>
          <w:iCs/>
          <w:sz w:val="20"/>
          <w:szCs w:val="20"/>
        </w:rPr>
        <w:t>Derivado del proceso referido es que, el diez de enero de dos mil dieciocho, se publicó en el Periódico Oficial “Gaceta del Gobierno” del Estado de México, el Decreto número 276, por el que se designa al C. Ignacio Saúl Acosta Rodríguez, Titular del Órgano de Control Interno del Instituto de Transparencia, Acceso a la Información Pública y Protección de Datos Personales del Estado de México y Municipios, el cual puede ser consultado en:</w:t>
      </w:r>
    </w:p>
    <w:p w14:paraId="2FA96130" w14:textId="11D37511" w:rsidR="0060596F" w:rsidRPr="0060596F" w:rsidRDefault="00393638" w:rsidP="0060596F">
      <w:pPr>
        <w:pStyle w:val="Prrafodelista"/>
        <w:widowControl w:val="0"/>
        <w:spacing w:line="360" w:lineRule="auto"/>
        <w:ind w:left="567" w:right="567"/>
        <w:jc w:val="both"/>
        <w:rPr>
          <w:rFonts w:ascii="Palatino Linotype" w:hAnsi="Palatino Linotype" w:cs="Tahoma"/>
          <w:i/>
          <w:iCs/>
          <w:sz w:val="20"/>
          <w:szCs w:val="20"/>
        </w:rPr>
      </w:pPr>
      <w:hyperlink r:id="rId11" w:history="1">
        <w:r w:rsidR="00397620" w:rsidRPr="009564F9">
          <w:rPr>
            <w:rStyle w:val="Hipervnculo"/>
            <w:rFonts w:ascii="Palatino Linotype" w:hAnsi="Palatino Linotype" w:cs="Tahoma"/>
            <w:i/>
            <w:iCs/>
            <w:sz w:val="20"/>
            <w:szCs w:val="20"/>
          </w:rPr>
          <w:t>https://legislacion.edomex.gob.mx/sites/legislacion.edomex.gob.mx/files/files/pdf/gct/2018/ene107.pdf</w:t>
        </w:r>
      </w:hyperlink>
      <w:r w:rsidR="00397620">
        <w:rPr>
          <w:rFonts w:ascii="Palatino Linotype" w:hAnsi="Palatino Linotype" w:cs="Tahoma"/>
          <w:i/>
          <w:iCs/>
          <w:sz w:val="20"/>
          <w:szCs w:val="20"/>
        </w:rPr>
        <w:t xml:space="preserve"> </w:t>
      </w:r>
    </w:p>
    <w:p w14:paraId="4711B4CC" w14:textId="1FBA2996" w:rsidR="00FA1CDC" w:rsidRPr="00055106" w:rsidRDefault="0060596F" w:rsidP="0060596F">
      <w:pPr>
        <w:pStyle w:val="Prrafodelista"/>
        <w:widowControl w:val="0"/>
        <w:spacing w:line="360" w:lineRule="auto"/>
        <w:ind w:left="567" w:right="567"/>
        <w:jc w:val="both"/>
        <w:rPr>
          <w:rFonts w:ascii="Palatino Linotype" w:hAnsi="Palatino Linotype" w:cs="Tahoma"/>
          <w:i/>
          <w:iCs/>
          <w:sz w:val="20"/>
          <w:szCs w:val="20"/>
        </w:rPr>
      </w:pPr>
      <w:r w:rsidRPr="0060596F">
        <w:rPr>
          <w:rFonts w:ascii="Palatino Linotype" w:hAnsi="Palatino Linotype" w:cs="Tahoma"/>
          <w:i/>
          <w:iCs/>
          <w:sz w:val="20"/>
          <w:szCs w:val="20"/>
        </w:rPr>
        <w:t xml:space="preserve">En correspondencia con todo lo expuesto, es que se justifica el actuar de esta Unidad de Transparencia para contar con la información requerida, y por tanto haber determinado la notoria </w:t>
      </w:r>
      <w:r w:rsidRPr="0060596F">
        <w:rPr>
          <w:rFonts w:ascii="Palatino Linotype" w:hAnsi="Palatino Linotype" w:cs="Tahoma"/>
          <w:i/>
          <w:iCs/>
          <w:sz w:val="20"/>
          <w:szCs w:val="20"/>
        </w:rPr>
        <w:lastRenderedPageBreak/>
        <w:t>incompetencia de este Sujeto Obligado de acuerdo a lo establecido en los artículos 24 y 167 de la Ley de Transparencia y Acceso a la Información Pública del Estado de México y Municipios, ya que como ha quedado establecido, este Instituto carece de facultades para</w:t>
      </w:r>
      <w:r w:rsidR="00084ED9">
        <w:rPr>
          <w:rFonts w:ascii="Palatino Linotype" w:hAnsi="Palatino Linotype" w:cs="Tahoma"/>
          <w:i/>
          <w:iCs/>
          <w:sz w:val="20"/>
          <w:szCs w:val="20"/>
        </w:rPr>
        <w:t xml:space="preserve"> </w:t>
      </w:r>
      <w:r w:rsidRPr="0060596F">
        <w:rPr>
          <w:rFonts w:ascii="Palatino Linotype" w:hAnsi="Palatino Linotype" w:cs="Tahoma"/>
          <w:i/>
          <w:iCs/>
          <w:sz w:val="20"/>
          <w:szCs w:val="20"/>
        </w:rPr>
        <w:t>designar al Contralor Interno, al ser una atribución, que incluso ya ha sido ejercida, del Poder Legislativo del Estado de México</w:t>
      </w:r>
      <w:r w:rsidR="001B65BA" w:rsidRPr="00055106">
        <w:rPr>
          <w:rFonts w:ascii="Palatino Linotype" w:hAnsi="Palatino Linotype" w:cs="Tahoma"/>
          <w:i/>
          <w:iCs/>
          <w:sz w:val="20"/>
          <w:szCs w:val="20"/>
        </w:rPr>
        <w:t>.</w:t>
      </w:r>
    </w:p>
    <w:p w14:paraId="1078376F" w14:textId="58699E10" w:rsidR="00503A18" w:rsidRPr="007046E8" w:rsidRDefault="001B65BA" w:rsidP="00DB2D40">
      <w:pPr>
        <w:pStyle w:val="Prrafodelista"/>
        <w:widowControl w:val="0"/>
        <w:spacing w:line="360" w:lineRule="auto"/>
        <w:ind w:left="567" w:right="567"/>
        <w:jc w:val="both"/>
        <w:rPr>
          <w:rFonts w:ascii="Palatino Linotype" w:hAnsi="Palatino Linotype"/>
          <w:i/>
          <w:iCs/>
          <w:sz w:val="20"/>
          <w:szCs w:val="20"/>
        </w:rPr>
      </w:pPr>
      <w:r w:rsidRPr="007046E8">
        <w:rPr>
          <w:rFonts w:ascii="Palatino Linotype" w:hAnsi="Palatino Linotype" w:cs="Tahoma"/>
          <w:i/>
          <w:iCs/>
          <w:sz w:val="20"/>
          <w:szCs w:val="20"/>
        </w:rPr>
        <w:t>…</w:t>
      </w:r>
      <w:r w:rsidR="007542C0" w:rsidRPr="007046E8">
        <w:rPr>
          <w:rFonts w:ascii="Palatino Linotype" w:hAnsi="Palatino Linotype"/>
          <w:i/>
          <w:iCs/>
          <w:sz w:val="20"/>
          <w:szCs w:val="20"/>
        </w:rPr>
        <w:t>”</w:t>
      </w:r>
    </w:p>
    <w:p w14:paraId="66E1A32D" w14:textId="77777777" w:rsidR="001B65BA" w:rsidRDefault="001B65BA" w:rsidP="00DB2D40">
      <w:pPr>
        <w:pStyle w:val="Prrafodelista"/>
        <w:widowControl w:val="0"/>
        <w:spacing w:line="360" w:lineRule="auto"/>
        <w:ind w:left="567" w:right="567"/>
        <w:jc w:val="both"/>
        <w:rPr>
          <w:rFonts w:ascii="Palatino Linotype" w:hAnsi="Palatino Linotype" w:cs="Tahoma"/>
          <w:b/>
          <w:i/>
          <w:iCs/>
          <w:szCs w:val="22"/>
        </w:rPr>
      </w:pPr>
    </w:p>
    <w:bookmarkEnd w:id="1"/>
    <w:p w14:paraId="672DDF2F" w14:textId="5396F583" w:rsidR="002538E7" w:rsidRPr="002538E7" w:rsidRDefault="002538E7" w:rsidP="002538E7">
      <w:pPr>
        <w:spacing w:line="360" w:lineRule="auto"/>
        <w:jc w:val="both"/>
        <w:rPr>
          <w:rFonts w:ascii="Palatino Linotype" w:eastAsia="Palatino Linotype" w:hAnsi="Palatino Linotype" w:cs="Palatino Linotype"/>
          <w:color w:val="000000" w:themeColor="text1"/>
          <w:sz w:val="22"/>
          <w:szCs w:val="22"/>
          <w:lang w:val="es-ES"/>
        </w:rPr>
      </w:pPr>
      <w:r>
        <w:rPr>
          <w:rFonts w:ascii="Palatino Linotype" w:hAnsi="Palatino Linotype" w:cs="Tahoma"/>
          <w:b/>
          <w:sz w:val="22"/>
          <w:szCs w:val="24"/>
        </w:rPr>
        <w:t>d</w:t>
      </w:r>
      <w:r w:rsidRPr="002538E7">
        <w:rPr>
          <w:rFonts w:ascii="Palatino Linotype" w:hAnsi="Palatino Linotype" w:cs="Tahoma"/>
          <w:b/>
          <w:sz w:val="22"/>
          <w:szCs w:val="24"/>
        </w:rPr>
        <w:t xml:space="preserve">) </w:t>
      </w:r>
      <w:r w:rsidRPr="002538E7">
        <w:rPr>
          <w:rFonts w:ascii="Palatino Linotype" w:eastAsia="Palatino Linotype" w:hAnsi="Palatino Linotype" w:cs="Palatino Linotype"/>
          <w:b/>
          <w:bCs/>
          <w:color w:val="000000" w:themeColor="text1"/>
          <w:sz w:val="22"/>
          <w:szCs w:val="22"/>
          <w:lang w:val="es-ES"/>
        </w:rPr>
        <w:t xml:space="preserve">Ampliación de plazo para resolver. </w:t>
      </w:r>
      <w:r w:rsidRPr="002538E7">
        <w:rPr>
          <w:rFonts w:ascii="Palatino Linotype" w:eastAsia="Palatino Linotype" w:hAnsi="Palatino Linotype" w:cs="Palatino Linotype"/>
          <w:color w:val="000000" w:themeColor="text1"/>
          <w:sz w:val="22"/>
          <w:szCs w:val="22"/>
          <w:lang w:val="es-ES"/>
        </w:rPr>
        <w:t>El</w:t>
      </w:r>
      <w:r w:rsidR="00397620">
        <w:rPr>
          <w:rFonts w:ascii="Palatino Linotype" w:eastAsia="Palatino Linotype" w:hAnsi="Palatino Linotype" w:cs="Palatino Linotype"/>
          <w:color w:val="000000" w:themeColor="text1"/>
          <w:sz w:val="22"/>
          <w:szCs w:val="22"/>
          <w:lang w:val="es-ES"/>
        </w:rPr>
        <w:t xml:space="preserve"> ocho de febrero de dos mil veintitrés</w:t>
      </w:r>
      <w:r w:rsidRPr="002538E7">
        <w:rPr>
          <w:rFonts w:ascii="Palatino Linotype" w:eastAsia="Palatino Linotype" w:hAnsi="Palatino Linotype" w:cs="Palatino Linotype"/>
          <w:color w:val="000000" w:themeColor="text1"/>
          <w:sz w:val="22"/>
          <w:szCs w:val="22"/>
          <w:lang w:val="es-ES"/>
        </w:rPr>
        <w:t>,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w:t>
      </w:r>
      <w:r w:rsidR="00397620">
        <w:rPr>
          <w:rFonts w:ascii="Palatino Linotype" w:eastAsia="Palatino Linotype" w:hAnsi="Palatino Linotype" w:cs="Palatino Linotype"/>
          <w:color w:val="000000" w:themeColor="text1"/>
          <w:sz w:val="22"/>
          <w:szCs w:val="22"/>
          <w:lang w:val="es-ES"/>
        </w:rPr>
        <w:t>nformación Mexiquense (SAIMEX).</w:t>
      </w:r>
    </w:p>
    <w:p w14:paraId="65D7E9A2" w14:textId="77777777" w:rsidR="002538E7" w:rsidRPr="002538E7" w:rsidRDefault="002538E7" w:rsidP="002538E7">
      <w:pPr>
        <w:spacing w:line="360" w:lineRule="auto"/>
        <w:jc w:val="both"/>
        <w:rPr>
          <w:rFonts w:ascii="Palatino Linotype" w:hAnsi="Palatino Linotype"/>
          <w:bCs/>
          <w:color w:val="000000" w:themeColor="text1"/>
          <w:sz w:val="22"/>
          <w:szCs w:val="22"/>
          <w:lang w:val="es-ES_tradnl" w:eastAsia="en-US"/>
        </w:rPr>
      </w:pPr>
    </w:p>
    <w:p w14:paraId="272AEAB5" w14:textId="77777777" w:rsidR="002538E7" w:rsidRPr="002538E7" w:rsidRDefault="002538E7" w:rsidP="002538E7">
      <w:pPr>
        <w:spacing w:line="360" w:lineRule="auto"/>
        <w:jc w:val="both"/>
        <w:rPr>
          <w:rFonts w:ascii="Palatino Linotype" w:eastAsia="Palatino Linotype" w:hAnsi="Palatino Linotype" w:cs="Palatino Linotype"/>
          <w:color w:val="000000" w:themeColor="text1"/>
          <w:sz w:val="22"/>
          <w:szCs w:val="22"/>
          <w:lang w:eastAsia="en-US"/>
        </w:rPr>
      </w:pPr>
      <w:r w:rsidRPr="002538E7">
        <w:rPr>
          <w:rFonts w:ascii="Palatino Linotype" w:eastAsia="Palatino Linotype" w:hAnsi="Palatino Linotype" w:cs="Palatino Linotype"/>
          <w:color w:val="000000" w:themeColor="text1"/>
          <w:sz w:val="22"/>
          <w:szCs w:val="22"/>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47AE916" w14:textId="77777777" w:rsidR="002538E7" w:rsidRPr="002538E7" w:rsidRDefault="002538E7" w:rsidP="002538E7">
      <w:pPr>
        <w:spacing w:line="360" w:lineRule="auto"/>
        <w:jc w:val="both"/>
        <w:rPr>
          <w:rFonts w:ascii="Palatino Linotype" w:eastAsia="Palatino Linotype" w:hAnsi="Palatino Linotype" w:cs="Palatino Linotype"/>
          <w:color w:val="000000" w:themeColor="text1"/>
          <w:sz w:val="22"/>
          <w:szCs w:val="22"/>
          <w:lang w:eastAsia="en-US"/>
        </w:rPr>
      </w:pPr>
    </w:p>
    <w:p w14:paraId="6A4CC7D5" w14:textId="77777777" w:rsidR="002538E7" w:rsidRPr="002538E7" w:rsidRDefault="002538E7" w:rsidP="002538E7">
      <w:pPr>
        <w:spacing w:line="360" w:lineRule="auto"/>
        <w:jc w:val="both"/>
        <w:rPr>
          <w:rFonts w:ascii="Palatino Linotype" w:eastAsia="Palatino Linotype" w:hAnsi="Palatino Linotype" w:cs="Palatino Linotype"/>
          <w:color w:val="000000" w:themeColor="text1"/>
          <w:sz w:val="22"/>
          <w:szCs w:val="22"/>
          <w:lang w:eastAsia="en-US"/>
        </w:rPr>
      </w:pPr>
      <w:r w:rsidRPr="002538E7">
        <w:rPr>
          <w:rFonts w:ascii="Palatino Linotype" w:eastAsia="Palatino Linotype" w:hAnsi="Palatino Linotype" w:cs="Palatino Linotype"/>
          <w:color w:val="000000" w:themeColor="text1"/>
          <w:sz w:val="22"/>
          <w:szCs w:val="22"/>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E9B243A" w14:textId="77777777" w:rsidR="002538E7" w:rsidRPr="002538E7" w:rsidRDefault="002538E7" w:rsidP="002538E7">
      <w:pPr>
        <w:spacing w:line="360" w:lineRule="auto"/>
        <w:jc w:val="both"/>
        <w:rPr>
          <w:rFonts w:ascii="Palatino Linotype" w:eastAsia="Palatino Linotype" w:hAnsi="Palatino Linotype" w:cs="Palatino Linotype"/>
          <w:color w:val="000000" w:themeColor="text1"/>
          <w:sz w:val="22"/>
          <w:szCs w:val="22"/>
          <w:lang w:eastAsia="en-US"/>
        </w:rPr>
      </w:pPr>
    </w:p>
    <w:p w14:paraId="40C9837C" w14:textId="77777777" w:rsidR="002538E7" w:rsidRPr="002538E7" w:rsidRDefault="002538E7" w:rsidP="002538E7">
      <w:pPr>
        <w:spacing w:line="360" w:lineRule="auto"/>
        <w:jc w:val="both"/>
        <w:rPr>
          <w:rFonts w:ascii="Palatino Linotype" w:eastAsia="Palatino Linotype" w:hAnsi="Palatino Linotype" w:cs="Palatino Linotype"/>
          <w:color w:val="000000" w:themeColor="text1"/>
          <w:sz w:val="22"/>
          <w:szCs w:val="22"/>
          <w:lang w:eastAsia="en-US"/>
        </w:rPr>
      </w:pPr>
      <w:r w:rsidRPr="002538E7">
        <w:rPr>
          <w:rFonts w:ascii="Palatino Linotype" w:eastAsia="Palatino Linotype" w:hAnsi="Palatino Linotype" w:cs="Palatino Linotype"/>
          <w:color w:val="000000" w:themeColor="text1"/>
          <w:sz w:val="22"/>
          <w:szCs w:val="22"/>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DC611A7" w14:textId="77777777" w:rsidR="002538E7" w:rsidRPr="002538E7" w:rsidRDefault="002538E7" w:rsidP="002538E7">
      <w:pPr>
        <w:spacing w:line="360" w:lineRule="auto"/>
        <w:jc w:val="both"/>
        <w:rPr>
          <w:rFonts w:ascii="Palatino Linotype" w:eastAsia="Palatino Linotype" w:hAnsi="Palatino Linotype" w:cs="Palatino Linotype"/>
          <w:color w:val="000000" w:themeColor="text1"/>
          <w:sz w:val="22"/>
          <w:szCs w:val="22"/>
          <w:lang w:eastAsia="en-US"/>
        </w:rPr>
      </w:pPr>
    </w:p>
    <w:p w14:paraId="029FF2D6" w14:textId="77777777" w:rsidR="002538E7" w:rsidRPr="002538E7" w:rsidRDefault="002538E7" w:rsidP="002538E7">
      <w:pPr>
        <w:spacing w:line="360" w:lineRule="auto"/>
        <w:jc w:val="both"/>
        <w:rPr>
          <w:rFonts w:ascii="Palatino Linotype" w:eastAsia="Palatino Linotype" w:hAnsi="Palatino Linotype" w:cs="Palatino Linotype"/>
          <w:color w:val="000000" w:themeColor="text1"/>
          <w:sz w:val="22"/>
          <w:szCs w:val="22"/>
          <w:lang w:eastAsia="en-US"/>
        </w:rPr>
      </w:pPr>
      <w:r w:rsidRPr="002538E7">
        <w:rPr>
          <w:rFonts w:ascii="Palatino Linotype" w:eastAsia="Palatino Linotype" w:hAnsi="Palatino Linotype" w:cs="Palatino Linotype"/>
          <w:color w:val="000000" w:themeColor="text1"/>
          <w:sz w:val="22"/>
          <w:szCs w:val="22"/>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38AE0DF" w14:textId="77777777" w:rsidR="002538E7" w:rsidRPr="002538E7" w:rsidRDefault="002538E7" w:rsidP="002538E7">
      <w:pPr>
        <w:spacing w:line="360" w:lineRule="auto"/>
        <w:jc w:val="both"/>
        <w:rPr>
          <w:rFonts w:ascii="Palatino Linotype" w:eastAsia="Palatino Linotype" w:hAnsi="Palatino Linotype" w:cs="Palatino Linotype"/>
          <w:color w:val="000000" w:themeColor="text1"/>
          <w:sz w:val="22"/>
          <w:szCs w:val="22"/>
          <w:lang w:eastAsia="en-US"/>
        </w:rPr>
      </w:pPr>
      <w:r w:rsidRPr="002538E7">
        <w:rPr>
          <w:rFonts w:ascii="Palatino Linotype" w:eastAsia="Palatino Linotype" w:hAnsi="Palatino Linotype" w:cs="Palatino Linotype"/>
          <w:color w:val="000000" w:themeColor="text1"/>
          <w:sz w:val="22"/>
          <w:szCs w:val="22"/>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11E19DF6" w14:textId="77777777" w:rsidR="002538E7" w:rsidRPr="002538E7" w:rsidRDefault="002538E7" w:rsidP="002538E7">
      <w:pPr>
        <w:spacing w:line="360" w:lineRule="auto"/>
        <w:jc w:val="both"/>
        <w:rPr>
          <w:rFonts w:ascii="Palatino Linotype" w:eastAsia="Palatino Linotype" w:hAnsi="Palatino Linotype" w:cs="Palatino Linotype"/>
          <w:color w:val="000000" w:themeColor="text1"/>
          <w:sz w:val="22"/>
          <w:szCs w:val="22"/>
          <w:lang w:eastAsia="en-US"/>
        </w:rPr>
      </w:pPr>
    </w:p>
    <w:p w14:paraId="17759CC5" w14:textId="77777777" w:rsidR="002538E7" w:rsidRPr="002538E7" w:rsidRDefault="002538E7" w:rsidP="002538E7">
      <w:pPr>
        <w:numPr>
          <w:ilvl w:val="0"/>
          <w:numId w:val="17"/>
        </w:numPr>
        <w:spacing w:line="360" w:lineRule="auto"/>
        <w:contextualSpacing/>
        <w:jc w:val="both"/>
        <w:rPr>
          <w:rFonts w:ascii="Palatino Linotype" w:eastAsia="Palatino Linotype" w:hAnsi="Palatino Linotype" w:cs="Palatino Linotype"/>
          <w:color w:val="000000" w:themeColor="text1"/>
          <w:sz w:val="22"/>
          <w:szCs w:val="28"/>
        </w:rPr>
      </w:pPr>
      <w:r w:rsidRPr="002538E7">
        <w:rPr>
          <w:rFonts w:ascii="Palatino Linotype" w:eastAsia="Palatino Linotype" w:hAnsi="Palatino Linotype" w:cs="Palatino Linotype"/>
          <w:b/>
          <w:bCs/>
          <w:color w:val="000000" w:themeColor="text1"/>
          <w:sz w:val="22"/>
          <w:szCs w:val="28"/>
        </w:rPr>
        <w:t>Complejidad del asunto:</w:t>
      </w:r>
      <w:r w:rsidRPr="002538E7">
        <w:rPr>
          <w:rFonts w:ascii="Palatino Linotype" w:eastAsia="Palatino Linotype" w:hAnsi="Palatino Linotype" w:cs="Palatino Linotype"/>
          <w:color w:val="000000" w:themeColor="text1"/>
          <w:sz w:val="22"/>
          <w:szCs w:val="28"/>
        </w:rPr>
        <w:t xml:space="preserve"> La complejidad de la prueba, la pluralidad de sujetos procesales, el tiempo transcurrido, las características y contexto del recurso.</w:t>
      </w:r>
    </w:p>
    <w:p w14:paraId="160BE01A" w14:textId="77777777" w:rsidR="002538E7" w:rsidRPr="002538E7" w:rsidRDefault="002538E7" w:rsidP="002538E7">
      <w:pPr>
        <w:spacing w:line="360" w:lineRule="auto"/>
        <w:ind w:left="720"/>
        <w:contextualSpacing/>
        <w:jc w:val="both"/>
        <w:rPr>
          <w:rFonts w:ascii="Palatino Linotype" w:eastAsia="Palatino Linotype" w:hAnsi="Palatino Linotype" w:cs="Palatino Linotype"/>
          <w:color w:val="000000" w:themeColor="text1"/>
          <w:sz w:val="22"/>
          <w:szCs w:val="28"/>
        </w:rPr>
      </w:pPr>
    </w:p>
    <w:p w14:paraId="60A0F134" w14:textId="77777777" w:rsidR="002538E7" w:rsidRPr="002538E7" w:rsidRDefault="002538E7" w:rsidP="002538E7">
      <w:pPr>
        <w:numPr>
          <w:ilvl w:val="0"/>
          <w:numId w:val="17"/>
        </w:numPr>
        <w:spacing w:line="360" w:lineRule="auto"/>
        <w:contextualSpacing/>
        <w:rPr>
          <w:rFonts w:ascii="Palatino Linotype" w:eastAsia="Palatino Linotype" w:hAnsi="Palatino Linotype" w:cs="Palatino Linotype"/>
          <w:color w:val="000000" w:themeColor="text1"/>
          <w:sz w:val="22"/>
          <w:szCs w:val="28"/>
        </w:rPr>
      </w:pPr>
      <w:r w:rsidRPr="002538E7">
        <w:rPr>
          <w:rFonts w:ascii="Palatino Linotype" w:eastAsia="Palatino Linotype" w:hAnsi="Palatino Linotype" w:cs="Palatino Linotype"/>
          <w:b/>
          <w:bCs/>
          <w:color w:val="000000" w:themeColor="text1"/>
          <w:sz w:val="22"/>
          <w:szCs w:val="28"/>
        </w:rPr>
        <w:t>Actividad Procesal del interesado:</w:t>
      </w:r>
      <w:r w:rsidRPr="002538E7">
        <w:rPr>
          <w:rFonts w:ascii="Palatino Linotype" w:eastAsia="Palatino Linotype" w:hAnsi="Palatino Linotype" w:cs="Palatino Linotype"/>
          <w:color w:val="000000" w:themeColor="text1"/>
          <w:sz w:val="22"/>
          <w:szCs w:val="28"/>
        </w:rPr>
        <w:t xml:space="preserve"> Acciones u omisiones del interesado.</w:t>
      </w:r>
    </w:p>
    <w:p w14:paraId="195234BB" w14:textId="77777777" w:rsidR="002538E7" w:rsidRPr="002538E7" w:rsidRDefault="002538E7" w:rsidP="002538E7">
      <w:pPr>
        <w:spacing w:line="360" w:lineRule="auto"/>
        <w:ind w:left="720"/>
        <w:contextualSpacing/>
        <w:jc w:val="both"/>
        <w:rPr>
          <w:rFonts w:ascii="Palatino Linotype" w:eastAsia="Palatino Linotype" w:hAnsi="Palatino Linotype" w:cs="Palatino Linotype"/>
          <w:color w:val="000000" w:themeColor="text1"/>
          <w:sz w:val="22"/>
          <w:szCs w:val="28"/>
        </w:rPr>
      </w:pPr>
    </w:p>
    <w:p w14:paraId="01BD9F70" w14:textId="77777777" w:rsidR="002538E7" w:rsidRPr="002538E7" w:rsidRDefault="002538E7" w:rsidP="002538E7">
      <w:pPr>
        <w:numPr>
          <w:ilvl w:val="0"/>
          <w:numId w:val="17"/>
        </w:numPr>
        <w:spacing w:line="360" w:lineRule="auto"/>
        <w:contextualSpacing/>
        <w:jc w:val="both"/>
        <w:rPr>
          <w:rFonts w:ascii="Palatino Linotype" w:eastAsia="Palatino Linotype" w:hAnsi="Palatino Linotype" w:cs="Palatino Linotype"/>
          <w:color w:val="000000" w:themeColor="text1"/>
          <w:sz w:val="22"/>
          <w:szCs w:val="28"/>
        </w:rPr>
      </w:pPr>
      <w:r w:rsidRPr="002538E7">
        <w:rPr>
          <w:rFonts w:ascii="Palatino Linotype" w:eastAsia="Palatino Linotype" w:hAnsi="Palatino Linotype" w:cs="Palatino Linotype"/>
          <w:b/>
          <w:bCs/>
          <w:color w:val="000000" w:themeColor="text1"/>
          <w:sz w:val="22"/>
          <w:szCs w:val="28"/>
        </w:rPr>
        <w:t>Conducta de la Autoridad:</w:t>
      </w:r>
      <w:r w:rsidRPr="002538E7">
        <w:rPr>
          <w:rFonts w:ascii="Palatino Linotype" w:eastAsia="Palatino Linotype" w:hAnsi="Palatino Linotype" w:cs="Palatino Linotype"/>
          <w:color w:val="000000" w:themeColor="text1"/>
          <w:sz w:val="22"/>
          <w:szCs w:val="28"/>
        </w:rPr>
        <w:t xml:space="preserve"> Las Acciones u omisiones realizadas en el procedimiento. Así como si la autoridad actuó con la debida diligencia.</w:t>
      </w:r>
    </w:p>
    <w:p w14:paraId="629A3353" w14:textId="77777777" w:rsidR="002538E7" w:rsidRPr="002538E7" w:rsidRDefault="002538E7" w:rsidP="002538E7">
      <w:pPr>
        <w:spacing w:line="360" w:lineRule="auto"/>
        <w:ind w:left="720"/>
        <w:contextualSpacing/>
        <w:jc w:val="both"/>
        <w:rPr>
          <w:rFonts w:ascii="Palatino Linotype" w:eastAsia="Palatino Linotype" w:hAnsi="Palatino Linotype" w:cs="Palatino Linotype"/>
          <w:color w:val="000000" w:themeColor="text1"/>
          <w:sz w:val="22"/>
          <w:szCs w:val="28"/>
        </w:rPr>
      </w:pPr>
    </w:p>
    <w:p w14:paraId="50AFD45D" w14:textId="77777777" w:rsidR="002538E7" w:rsidRPr="002538E7" w:rsidRDefault="002538E7" w:rsidP="002538E7">
      <w:pPr>
        <w:numPr>
          <w:ilvl w:val="0"/>
          <w:numId w:val="17"/>
        </w:numPr>
        <w:spacing w:line="360" w:lineRule="auto"/>
        <w:contextualSpacing/>
        <w:jc w:val="both"/>
        <w:rPr>
          <w:rFonts w:ascii="Palatino Linotype" w:eastAsia="Palatino Linotype" w:hAnsi="Palatino Linotype" w:cs="Palatino Linotype"/>
          <w:color w:val="000000" w:themeColor="text1"/>
          <w:sz w:val="22"/>
          <w:szCs w:val="28"/>
        </w:rPr>
      </w:pPr>
      <w:r w:rsidRPr="002538E7">
        <w:rPr>
          <w:rFonts w:ascii="Palatino Linotype" w:eastAsia="Palatino Linotype" w:hAnsi="Palatino Linotype" w:cs="Palatino Linotype"/>
          <w:b/>
          <w:bCs/>
          <w:color w:val="000000" w:themeColor="text1"/>
          <w:sz w:val="22"/>
          <w:szCs w:val="28"/>
        </w:rPr>
        <w:t xml:space="preserve">La afectación generada en la situación jurídica de la persona involucrada en el proceso: </w:t>
      </w:r>
      <w:r w:rsidRPr="002538E7">
        <w:rPr>
          <w:rFonts w:ascii="Palatino Linotype" w:eastAsia="Palatino Linotype" w:hAnsi="Palatino Linotype" w:cs="Palatino Linotype"/>
          <w:color w:val="000000" w:themeColor="text1"/>
          <w:sz w:val="22"/>
          <w:szCs w:val="28"/>
        </w:rPr>
        <w:t>Violación a sus derechos humanos.</w:t>
      </w:r>
    </w:p>
    <w:p w14:paraId="0472E322" w14:textId="77777777" w:rsidR="002538E7" w:rsidRPr="002538E7" w:rsidRDefault="002538E7" w:rsidP="002538E7">
      <w:pPr>
        <w:spacing w:line="360" w:lineRule="auto"/>
        <w:jc w:val="both"/>
        <w:rPr>
          <w:rFonts w:ascii="Palatino Linotype" w:eastAsia="Palatino Linotype" w:hAnsi="Palatino Linotype" w:cs="Palatino Linotype"/>
          <w:color w:val="000000" w:themeColor="text1"/>
          <w:sz w:val="22"/>
          <w:szCs w:val="22"/>
          <w:lang w:eastAsia="en-US"/>
        </w:rPr>
      </w:pPr>
    </w:p>
    <w:p w14:paraId="46803FAE" w14:textId="77777777" w:rsidR="002538E7" w:rsidRPr="002538E7" w:rsidRDefault="002538E7" w:rsidP="002538E7">
      <w:pPr>
        <w:spacing w:line="360" w:lineRule="auto"/>
        <w:jc w:val="both"/>
        <w:rPr>
          <w:rFonts w:ascii="Palatino Linotype" w:eastAsia="Palatino Linotype" w:hAnsi="Palatino Linotype" w:cs="Palatino Linotype"/>
          <w:color w:val="000000" w:themeColor="text1"/>
          <w:sz w:val="22"/>
          <w:szCs w:val="22"/>
          <w:lang w:eastAsia="en-US"/>
        </w:rPr>
      </w:pPr>
      <w:r w:rsidRPr="002538E7">
        <w:rPr>
          <w:rFonts w:ascii="Palatino Linotype" w:eastAsia="Palatino Linotype" w:hAnsi="Palatino Linotype" w:cs="Palatino Linotype"/>
          <w:color w:val="000000" w:themeColor="text1"/>
          <w:sz w:val="22"/>
          <w:szCs w:val="22"/>
          <w:lang w:eastAsia="en-US"/>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117D61F" w14:textId="77777777" w:rsidR="002538E7" w:rsidRPr="002538E7" w:rsidRDefault="002538E7" w:rsidP="002538E7">
      <w:pPr>
        <w:spacing w:line="360" w:lineRule="auto"/>
        <w:jc w:val="both"/>
        <w:rPr>
          <w:rFonts w:ascii="Palatino Linotype" w:eastAsia="Palatino Linotype" w:hAnsi="Palatino Linotype" w:cs="Palatino Linotype"/>
          <w:color w:val="000000" w:themeColor="text1"/>
          <w:sz w:val="22"/>
          <w:szCs w:val="22"/>
          <w:lang w:eastAsia="en-US"/>
        </w:rPr>
      </w:pPr>
    </w:p>
    <w:p w14:paraId="4A7E29EB" w14:textId="77777777" w:rsidR="002538E7" w:rsidRPr="002538E7" w:rsidRDefault="002538E7" w:rsidP="002538E7">
      <w:pPr>
        <w:spacing w:line="360" w:lineRule="auto"/>
        <w:jc w:val="both"/>
        <w:rPr>
          <w:rFonts w:ascii="Palatino Linotype" w:eastAsia="Palatino Linotype" w:hAnsi="Palatino Linotype" w:cs="Palatino Linotype"/>
          <w:color w:val="000000" w:themeColor="text1"/>
          <w:sz w:val="22"/>
          <w:szCs w:val="22"/>
          <w:lang w:eastAsia="en-US"/>
        </w:rPr>
      </w:pPr>
      <w:r w:rsidRPr="002538E7">
        <w:rPr>
          <w:rFonts w:ascii="Palatino Linotype" w:eastAsia="Palatino Linotype" w:hAnsi="Palatino Linotype" w:cs="Palatino Linotype"/>
          <w:color w:val="000000" w:themeColor="text1"/>
          <w:sz w:val="22"/>
          <w:szCs w:val="22"/>
          <w:lang w:eastAsia="en-US"/>
        </w:rPr>
        <w:t>Argumento que encuentra sustento en la jurisprudencia P./J. 32/92 emitida por el Pleno de la Suprema Corte de Justicia de la Nación de rubro “</w:t>
      </w:r>
      <w:r w:rsidRPr="002538E7">
        <w:rPr>
          <w:rFonts w:ascii="Palatino Linotype" w:eastAsia="Palatino Linotype" w:hAnsi="Palatino Linotype" w:cs="Palatino Linotype"/>
          <w:b/>
          <w:bCs/>
          <w:color w:val="000000" w:themeColor="text1"/>
          <w:sz w:val="22"/>
          <w:szCs w:val="22"/>
          <w:lang w:eastAsia="en-US"/>
        </w:rPr>
        <w:t>TÉRMINOS PROCESALES. PARA DETERMINAR SI UN FUNCIONARIO JUDICIAL ACTUÓ INDEBIDAMENTE POR NO RESPETARLOS SE DEBE ATENDER AL PRESUPUESTO QUE CONSIDERÓ EL LEGISLADOR AL FIJARLOS Y LAS CARACTERÍSTICAS DEL CASO</w:t>
      </w:r>
      <w:r w:rsidRPr="002538E7">
        <w:rPr>
          <w:rFonts w:ascii="Palatino Linotype" w:eastAsia="Palatino Linotype" w:hAnsi="Palatino Linotype" w:cs="Palatino Linotype"/>
          <w:color w:val="000000" w:themeColor="text1"/>
          <w:sz w:val="22"/>
          <w:szCs w:val="22"/>
          <w:lang w:eastAsia="en-US"/>
        </w:rPr>
        <w:t>.”, visible en la Gaceta del Seminario Judicial de la Federación con el registro digital 205635.</w:t>
      </w:r>
    </w:p>
    <w:p w14:paraId="651B0139" w14:textId="77777777" w:rsidR="002538E7" w:rsidRPr="002538E7" w:rsidRDefault="002538E7" w:rsidP="002538E7">
      <w:pPr>
        <w:spacing w:line="360" w:lineRule="auto"/>
        <w:jc w:val="both"/>
        <w:rPr>
          <w:rFonts w:ascii="Palatino Linotype" w:eastAsia="Palatino Linotype" w:hAnsi="Palatino Linotype" w:cs="Palatino Linotype"/>
          <w:color w:val="000000" w:themeColor="text1"/>
          <w:sz w:val="22"/>
          <w:szCs w:val="22"/>
          <w:lang w:eastAsia="en-US"/>
        </w:rPr>
      </w:pPr>
    </w:p>
    <w:p w14:paraId="580AD447" w14:textId="77777777" w:rsidR="002538E7" w:rsidRPr="002538E7" w:rsidRDefault="002538E7" w:rsidP="002538E7">
      <w:pPr>
        <w:spacing w:line="360" w:lineRule="auto"/>
        <w:jc w:val="both"/>
        <w:rPr>
          <w:rFonts w:ascii="Palatino Linotype" w:eastAsia="Palatino Linotype" w:hAnsi="Palatino Linotype" w:cs="Palatino Linotype"/>
          <w:color w:val="000000" w:themeColor="text1"/>
          <w:sz w:val="22"/>
          <w:szCs w:val="22"/>
          <w:lang w:eastAsia="en-US"/>
        </w:rPr>
      </w:pPr>
      <w:r w:rsidRPr="002538E7">
        <w:rPr>
          <w:rFonts w:ascii="Palatino Linotype" w:eastAsia="Palatino Linotype" w:hAnsi="Palatino Linotype" w:cs="Palatino Linotype"/>
          <w:color w:val="000000" w:themeColor="text1"/>
          <w:sz w:val="22"/>
          <w:szCs w:val="22"/>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27E8933" w14:textId="77777777" w:rsidR="002538E7" w:rsidRPr="002538E7" w:rsidRDefault="002538E7" w:rsidP="002538E7">
      <w:pPr>
        <w:spacing w:line="360" w:lineRule="auto"/>
        <w:jc w:val="both"/>
        <w:rPr>
          <w:rFonts w:ascii="Palatino Linotype" w:eastAsia="Palatino Linotype" w:hAnsi="Palatino Linotype" w:cs="Palatino Linotype"/>
          <w:color w:val="000000" w:themeColor="text1"/>
          <w:sz w:val="22"/>
          <w:szCs w:val="22"/>
          <w:lang w:eastAsia="en-US"/>
        </w:rPr>
      </w:pPr>
    </w:p>
    <w:p w14:paraId="3B624876" w14:textId="77777777" w:rsidR="002538E7" w:rsidRPr="002538E7" w:rsidRDefault="002538E7" w:rsidP="002538E7">
      <w:pPr>
        <w:spacing w:line="360" w:lineRule="auto"/>
        <w:jc w:val="both"/>
        <w:rPr>
          <w:rFonts w:ascii="Palatino Linotype" w:eastAsia="Palatino Linotype" w:hAnsi="Palatino Linotype" w:cs="Palatino Linotype"/>
          <w:color w:val="000000" w:themeColor="text1"/>
          <w:sz w:val="22"/>
          <w:szCs w:val="22"/>
          <w:lang w:eastAsia="en-US"/>
        </w:rPr>
      </w:pPr>
      <w:r w:rsidRPr="002538E7">
        <w:rPr>
          <w:rFonts w:ascii="Palatino Linotype" w:eastAsia="Palatino Linotype" w:hAnsi="Palatino Linotype" w:cs="Palatino Linotype"/>
          <w:color w:val="000000" w:themeColor="text1"/>
          <w:sz w:val="22"/>
          <w:szCs w:val="22"/>
          <w:lang w:eastAsia="en-US"/>
        </w:rPr>
        <w:lastRenderedPageBreak/>
        <w:t>Al respecto, también son de considerar los criterios sostenidos por el Cuarto Tribunal Colegiado en Materia Administrativa del Primer Circuito, cuyos rubros y datos de identificación son los siguientes:</w:t>
      </w:r>
    </w:p>
    <w:p w14:paraId="4482B607" w14:textId="77777777" w:rsidR="002538E7" w:rsidRPr="002538E7" w:rsidRDefault="002538E7" w:rsidP="002538E7">
      <w:pPr>
        <w:spacing w:line="360" w:lineRule="auto"/>
        <w:jc w:val="both"/>
        <w:rPr>
          <w:rFonts w:ascii="Palatino Linotype" w:eastAsia="Palatino Linotype" w:hAnsi="Palatino Linotype" w:cs="Palatino Linotype"/>
          <w:color w:val="000000" w:themeColor="text1"/>
          <w:sz w:val="22"/>
          <w:szCs w:val="22"/>
          <w:lang w:eastAsia="en-US"/>
        </w:rPr>
      </w:pPr>
    </w:p>
    <w:p w14:paraId="658DF83E" w14:textId="77777777" w:rsidR="002538E7" w:rsidRPr="002538E7" w:rsidRDefault="002538E7" w:rsidP="002538E7">
      <w:pPr>
        <w:spacing w:line="360" w:lineRule="auto"/>
        <w:jc w:val="both"/>
        <w:rPr>
          <w:rFonts w:ascii="Palatino Linotype" w:eastAsia="Palatino Linotype" w:hAnsi="Palatino Linotype" w:cs="Palatino Linotype"/>
          <w:color w:val="000000" w:themeColor="text1"/>
          <w:sz w:val="22"/>
          <w:szCs w:val="22"/>
          <w:lang w:eastAsia="en-US"/>
        </w:rPr>
      </w:pPr>
      <w:r w:rsidRPr="002538E7">
        <w:rPr>
          <w:rFonts w:ascii="Palatino Linotype" w:eastAsia="Palatino Linotype" w:hAnsi="Palatino Linotype" w:cs="Palatino Linotype"/>
          <w:color w:val="000000" w:themeColor="text1"/>
          <w:sz w:val="22"/>
          <w:szCs w:val="22"/>
          <w:lang w:eastAsia="en-US"/>
        </w:rPr>
        <w:t>“</w:t>
      </w:r>
      <w:r w:rsidRPr="002538E7">
        <w:rPr>
          <w:rFonts w:ascii="Palatino Linotype" w:eastAsia="Palatino Linotype" w:hAnsi="Palatino Linotype" w:cs="Palatino Linotype"/>
          <w:b/>
          <w:bCs/>
          <w:color w:val="000000" w:themeColor="text1"/>
          <w:sz w:val="22"/>
          <w:szCs w:val="22"/>
          <w:lang w:eastAsia="en-US"/>
        </w:rPr>
        <w:t>PLAZO RAZONABLE PARA RESOLVER. DIMENSIÓN Y EFECTOS DE ESTE CONCEPTO CUANDO SE ADUCE EXCESIVA CARGA DE TRABAJO</w:t>
      </w:r>
      <w:r w:rsidRPr="002538E7">
        <w:rPr>
          <w:rFonts w:ascii="Palatino Linotype" w:eastAsia="Palatino Linotype" w:hAnsi="Palatino Linotype" w:cs="Palatino Linotype"/>
          <w:color w:val="000000" w:themeColor="text1"/>
          <w:sz w:val="22"/>
          <w:szCs w:val="22"/>
          <w:lang w:eastAsia="en-US"/>
        </w:rPr>
        <w:t>.” consultable en el Seminario Judicial de la Federación y su gaceta, con el registro digital 2002351.</w:t>
      </w:r>
    </w:p>
    <w:p w14:paraId="12794A3A" w14:textId="77777777" w:rsidR="002538E7" w:rsidRPr="002538E7" w:rsidRDefault="002538E7" w:rsidP="002538E7">
      <w:pPr>
        <w:spacing w:line="360" w:lineRule="auto"/>
        <w:jc w:val="both"/>
        <w:rPr>
          <w:rFonts w:ascii="Palatino Linotype" w:eastAsia="Palatino Linotype" w:hAnsi="Palatino Linotype" w:cs="Palatino Linotype"/>
          <w:color w:val="000000" w:themeColor="text1"/>
          <w:sz w:val="22"/>
          <w:szCs w:val="22"/>
          <w:lang w:eastAsia="en-US"/>
        </w:rPr>
      </w:pPr>
    </w:p>
    <w:p w14:paraId="52215588" w14:textId="77777777" w:rsidR="002538E7" w:rsidRPr="002538E7" w:rsidRDefault="002538E7" w:rsidP="002538E7">
      <w:pPr>
        <w:spacing w:line="360" w:lineRule="auto"/>
        <w:jc w:val="both"/>
        <w:rPr>
          <w:rFonts w:ascii="Palatino Linotype" w:eastAsia="Palatino Linotype" w:hAnsi="Palatino Linotype" w:cs="Palatino Linotype"/>
          <w:color w:val="000000" w:themeColor="text1"/>
          <w:sz w:val="22"/>
          <w:szCs w:val="22"/>
          <w:lang w:eastAsia="en-US"/>
        </w:rPr>
      </w:pPr>
      <w:r w:rsidRPr="002538E7">
        <w:rPr>
          <w:rFonts w:ascii="Palatino Linotype" w:eastAsia="Palatino Linotype" w:hAnsi="Palatino Linotype" w:cs="Palatino Linotype"/>
          <w:color w:val="000000" w:themeColor="text1"/>
          <w:sz w:val="22"/>
          <w:szCs w:val="22"/>
          <w:lang w:eastAsia="en-US"/>
        </w:rPr>
        <w:t>“</w:t>
      </w:r>
      <w:r w:rsidRPr="002538E7">
        <w:rPr>
          <w:rFonts w:ascii="Palatino Linotype" w:eastAsia="Palatino Linotype" w:hAnsi="Palatino Linotype" w:cs="Palatino Linotype"/>
          <w:b/>
          <w:bCs/>
          <w:color w:val="000000" w:themeColor="text1"/>
          <w:sz w:val="22"/>
          <w:szCs w:val="22"/>
          <w:lang w:eastAsia="en-US"/>
        </w:rPr>
        <w:t>PLAZO RAZONABLE PARA RESOLVER. CONCEPTO Y ELEMENTOS QUE LO INTEGRAN A LA LUZ DEL DERECHO INTERNACIONAL DE LOS DERECHOS HUMANOS</w:t>
      </w:r>
      <w:r w:rsidRPr="002538E7">
        <w:rPr>
          <w:rFonts w:ascii="Palatino Linotype" w:eastAsia="Palatino Linotype" w:hAnsi="Palatino Linotype" w:cs="Palatino Linotype"/>
          <w:color w:val="000000" w:themeColor="text1"/>
          <w:sz w:val="22"/>
          <w:szCs w:val="22"/>
          <w:lang w:eastAsia="en-US"/>
        </w:rPr>
        <w:t>.”, visible en el Seminario Judicial de la Federación y su gaceta, con el registro digital 2002350.</w:t>
      </w:r>
    </w:p>
    <w:p w14:paraId="688106ED" w14:textId="77777777" w:rsidR="002538E7" w:rsidRPr="002538E7" w:rsidRDefault="002538E7" w:rsidP="002538E7">
      <w:pPr>
        <w:spacing w:line="360" w:lineRule="auto"/>
        <w:jc w:val="both"/>
        <w:rPr>
          <w:rFonts w:ascii="Palatino Linotype" w:eastAsia="Palatino Linotype" w:hAnsi="Palatino Linotype" w:cs="Palatino Linotype"/>
          <w:color w:val="000000" w:themeColor="text1"/>
          <w:sz w:val="22"/>
          <w:szCs w:val="22"/>
          <w:lang w:eastAsia="en-US"/>
        </w:rPr>
      </w:pPr>
      <w:r w:rsidRPr="002538E7">
        <w:rPr>
          <w:rFonts w:ascii="Palatino Linotype" w:eastAsia="Palatino Linotype" w:hAnsi="Palatino Linotype" w:cs="Palatino Linotype"/>
          <w:color w:val="000000" w:themeColor="text1"/>
          <w:sz w:val="22"/>
          <w:szCs w:val="22"/>
          <w:lang w:eastAsia="en-US"/>
        </w:rPr>
        <w:t>Por ello, este organismo garante comprometido con la tutela de los derechos humanos confiados señala que este exceso del plazo legal para resolver el presente asunto, resulta de carácter excepcional.</w:t>
      </w:r>
    </w:p>
    <w:p w14:paraId="45CBBCA8" w14:textId="77777777" w:rsidR="006140C5" w:rsidRDefault="006140C5" w:rsidP="00261F7E">
      <w:pPr>
        <w:widowControl w:val="0"/>
        <w:spacing w:line="360" w:lineRule="auto"/>
        <w:rPr>
          <w:rFonts w:ascii="Palatino Linotype" w:hAnsi="Palatino Linotype"/>
          <w:b/>
          <w:sz w:val="22"/>
          <w:szCs w:val="22"/>
          <w:lang w:val="es-ES_tradnl"/>
        </w:rPr>
      </w:pPr>
    </w:p>
    <w:p w14:paraId="300463F4" w14:textId="7217AE05" w:rsidR="00717A0C" w:rsidRDefault="002538E7" w:rsidP="00261F7E">
      <w:pPr>
        <w:widowControl w:val="0"/>
        <w:spacing w:line="360" w:lineRule="auto"/>
        <w:jc w:val="both"/>
        <w:rPr>
          <w:rFonts w:ascii="Palatino Linotype" w:hAnsi="Palatino Linotype"/>
          <w:bCs/>
          <w:sz w:val="22"/>
          <w:szCs w:val="22"/>
          <w:lang w:val="es-ES_tradnl"/>
        </w:rPr>
      </w:pPr>
      <w:r>
        <w:rPr>
          <w:rFonts w:ascii="Palatino Linotype" w:hAnsi="Palatino Linotype"/>
          <w:b/>
          <w:sz w:val="22"/>
          <w:szCs w:val="22"/>
          <w:lang w:val="es-ES_tradnl"/>
        </w:rPr>
        <w:t>e</w:t>
      </w:r>
      <w:r w:rsidR="00967698">
        <w:rPr>
          <w:rFonts w:ascii="Palatino Linotype" w:hAnsi="Palatino Linotype"/>
          <w:b/>
          <w:sz w:val="22"/>
          <w:szCs w:val="22"/>
          <w:lang w:val="es-ES_tradnl"/>
        </w:rPr>
        <w:t xml:space="preserve">) </w:t>
      </w:r>
      <w:r w:rsidR="00F03133" w:rsidRPr="004529ED">
        <w:rPr>
          <w:rFonts w:ascii="Palatino Linotype" w:hAnsi="Palatino Linotype"/>
          <w:b/>
          <w:sz w:val="22"/>
          <w:szCs w:val="22"/>
          <w:lang w:val="es-ES_tradnl"/>
        </w:rPr>
        <w:t>Vista del Informe Justificado.</w:t>
      </w:r>
      <w:r w:rsidR="00F03133">
        <w:rPr>
          <w:rFonts w:ascii="Palatino Linotype" w:hAnsi="Palatino Linotype"/>
          <w:bCs/>
          <w:sz w:val="22"/>
          <w:szCs w:val="22"/>
          <w:lang w:val="es-ES_tradnl"/>
        </w:rPr>
        <w:t xml:space="preserve"> </w:t>
      </w:r>
      <w:r w:rsidR="00F03133" w:rsidRPr="00967698">
        <w:rPr>
          <w:rFonts w:ascii="Palatino Linotype" w:hAnsi="Palatino Linotype"/>
          <w:bCs/>
          <w:sz w:val="22"/>
          <w:szCs w:val="22"/>
          <w:lang w:val="es-ES_tradnl"/>
        </w:rPr>
        <w:t xml:space="preserve">El </w:t>
      </w:r>
      <w:r w:rsidR="001B65BA">
        <w:rPr>
          <w:rFonts w:ascii="Palatino Linotype" w:hAnsi="Palatino Linotype"/>
          <w:bCs/>
          <w:sz w:val="22"/>
          <w:szCs w:val="22"/>
          <w:lang w:val="es-ES_tradnl"/>
        </w:rPr>
        <w:t xml:space="preserve">veintiséis </w:t>
      </w:r>
      <w:r w:rsidR="00246017">
        <w:rPr>
          <w:rFonts w:ascii="Palatino Linotype" w:hAnsi="Palatino Linotype"/>
          <w:bCs/>
          <w:sz w:val="22"/>
          <w:szCs w:val="22"/>
          <w:lang w:val="es-ES_tradnl"/>
        </w:rPr>
        <w:t xml:space="preserve"> </w:t>
      </w:r>
      <w:r w:rsidR="00F03133" w:rsidRPr="00D630DD">
        <w:rPr>
          <w:rFonts w:ascii="Palatino Linotype" w:hAnsi="Palatino Linotype"/>
          <w:bCs/>
          <w:sz w:val="22"/>
          <w:szCs w:val="22"/>
          <w:lang w:val="es-ES_tradnl"/>
        </w:rPr>
        <w:t xml:space="preserve">de </w:t>
      </w:r>
      <w:r>
        <w:rPr>
          <w:rFonts w:ascii="Palatino Linotype" w:hAnsi="Palatino Linotype"/>
          <w:bCs/>
          <w:sz w:val="22"/>
          <w:szCs w:val="22"/>
          <w:lang w:val="es-ES_tradnl"/>
        </w:rPr>
        <w:t xml:space="preserve">octubre </w:t>
      </w:r>
      <w:r w:rsidR="00967698">
        <w:rPr>
          <w:rFonts w:ascii="Palatino Linotype" w:hAnsi="Palatino Linotype"/>
          <w:bCs/>
          <w:sz w:val="22"/>
          <w:szCs w:val="22"/>
          <w:lang w:val="es-ES_tradnl"/>
        </w:rPr>
        <w:t>de dos mil veintidós</w:t>
      </w:r>
      <w:r w:rsidR="00F03133">
        <w:rPr>
          <w:rFonts w:ascii="Palatino Linotype" w:hAnsi="Palatino Linotype"/>
          <w:bCs/>
          <w:sz w:val="22"/>
          <w:szCs w:val="22"/>
          <w:lang w:val="es-ES_tradnl"/>
        </w:rPr>
        <w:t xml:space="preserve">, </w:t>
      </w:r>
      <w:r w:rsidR="004529ED" w:rsidRPr="004529ED">
        <w:rPr>
          <w:rFonts w:ascii="Palatino Linotype" w:hAnsi="Palatino Linotype"/>
          <w:bCs/>
          <w:sz w:val="22"/>
          <w:szCs w:val="22"/>
          <w:lang w:val="es-ES_tradnl"/>
        </w:rPr>
        <w:t>se dictó acuerdo mediante el cual se puso a la vista del Particular el Informe Justificado, entregado por el Sujeto Obligado, para robustecer su respuesta inicial, el cual fue notificado a las partes</w:t>
      </w:r>
      <w:r w:rsidR="0084610A">
        <w:rPr>
          <w:rFonts w:ascii="Palatino Linotype" w:hAnsi="Palatino Linotype"/>
          <w:bCs/>
          <w:sz w:val="22"/>
          <w:szCs w:val="22"/>
          <w:lang w:val="es-ES_tradnl"/>
        </w:rPr>
        <w:t xml:space="preserve"> el </w:t>
      </w:r>
      <w:r w:rsidR="002677BF">
        <w:rPr>
          <w:rFonts w:ascii="Palatino Linotype" w:hAnsi="Palatino Linotype"/>
          <w:bCs/>
          <w:sz w:val="22"/>
          <w:szCs w:val="22"/>
          <w:lang w:val="es-ES_tradnl"/>
        </w:rPr>
        <w:t>mismo día,</w:t>
      </w:r>
      <w:r w:rsidR="0084610A">
        <w:rPr>
          <w:rFonts w:ascii="Palatino Linotype" w:hAnsi="Palatino Linotype"/>
          <w:bCs/>
          <w:sz w:val="22"/>
          <w:szCs w:val="22"/>
          <w:lang w:val="es-ES_tradnl"/>
        </w:rPr>
        <w:t xml:space="preserve"> mes y año</w:t>
      </w:r>
      <w:r w:rsidR="004529ED" w:rsidRPr="004529ED">
        <w:rPr>
          <w:rFonts w:ascii="Palatino Linotype" w:hAnsi="Palatino Linotype"/>
          <w:bCs/>
          <w:sz w:val="22"/>
          <w:szCs w:val="22"/>
          <w:lang w:val="es-ES_tradnl"/>
        </w:rPr>
        <w:t>, a través del Sistema de Acceso a la Información Mexiquense (SAIMEX).</w:t>
      </w:r>
      <w:r w:rsidR="004529ED">
        <w:rPr>
          <w:rFonts w:ascii="Palatino Linotype" w:hAnsi="Palatino Linotype"/>
          <w:bCs/>
          <w:sz w:val="22"/>
          <w:szCs w:val="22"/>
          <w:lang w:val="es-ES_tradnl"/>
        </w:rPr>
        <w:t xml:space="preserve"> </w:t>
      </w:r>
      <w:r w:rsidR="004529ED" w:rsidRPr="004529ED">
        <w:rPr>
          <w:rFonts w:ascii="Palatino Linotype" w:hAnsi="Palatino Linotype"/>
          <w:b/>
          <w:sz w:val="22"/>
          <w:szCs w:val="22"/>
          <w:lang w:val="es-ES_tradnl"/>
        </w:rPr>
        <w:t>Cabe señalar que el Recurrente fue omiso en realizar alguna manifestación que a su derecho conviniera y asistiera.</w:t>
      </w:r>
      <w:r w:rsidR="004529ED">
        <w:rPr>
          <w:rFonts w:ascii="Palatino Linotype" w:hAnsi="Palatino Linotype"/>
          <w:bCs/>
          <w:sz w:val="22"/>
          <w:szCs w:val="22"/>
          <w:lang w:val="es-ES_tradnl"/>
        </w:rPr>
        <w:t xml:space="preserve"> </w:t>
      </w:r>
    </w:p>
    <w:p w14:paraId="5B93B2E8" w14:textId="77777777" w:rsidR="004529ED" w:rsidRPr="00717A0C" w:rsidRDefault="004529ED" w:rsidP="00261F7E">
      <w:pPr>
        <w:widowControl w:val="0"/>
        <w:spacing w:line="360" w:lineRule="auto"/>
        <w:jc w:val="both"/>
        <w:rPr>
          <w:rFonts w:ascii="Palatino Linotype" w:hAnsi="Palatino Linotype"/>
          <w:bCs/>
          <w:sz w:val="22"/>
          <w:szCs w:val="22"/>
          <w:lang w:val="es-ES_tradnl"/>
        </w:rPr>
      </w:pPr>
    </w:p>
    <w:p w14:paraId="1AD10A0A" w14:textId="54731A68" w:rsidR="00B03EDE" w:rsidRPr="00F03133" w:rsidRDefault="002538E7" w:rsidP="00261F7E">
      <w:pPr>
        <w:spacing w:line="360" w:lineRule="auto"/>
        <w:jc w:val="both"/>
        <w:rPr>
          <w:rFonts w:ascii="Palatino Linotype" w:hAnsi="Palatino Linotype" w:cs="Tahoma"/>
          <w:sz w:val="22"/>
          <w:szCs w:val="22"/>
        </w:rPr>
      </w:pPr>
      <w:r>
        <w:rPr>
          <w:rFonts w:ascii="Palatino Linotype" w:hAnsi="Palatino Linotype" w:cs="Tahoma"/>
          <w:b/>
          <w:sz w:val="22"/>
          <w:szCs w:val="22"/>
        </w:rPr>
        <w:t>f</w:t>
      </w:r>
      <w:r w:rsidR="00B03EDE" w:rsidRPr="00375C9E">
        <w:rPr>
          <w:rFonts w:ascii="Palatino Linotype" w:hAnsi="Palatino Linotype" w:cs="Tahoma"/>
          <w:b/>
          <w:sz w:val="22"/>
          <w:szCs w:val="22"/>
        </w:rPr>
        <w:t xml:space="preserve">) </w:t>
      </w:r>
      <w:r w:rsidR="00B03EDE" w:rsidRPr="00763041">
        <w:rPr>
          <w:rFonts w:ascii="Palatino Linotype" w:hAnsi="Palatino Linotype" w:cs="Tahoma"/>
          <w:b/>
          <w:sz w:val="22"/>
          <w:szCs w:val="22"/>
        </w:rPr>
        <w:t>Cierre de instrucción.</w:t>
      </w:r>
      <w:r w:rsidR="00B03EDE" w:rsidRPr="00763041">
        <w:rPr>
          <w:rFonts w:ascii="Palatino Linotype" w:hAnsi="Palatino Linotype" w:cs="Tahoma"/>
          <w:sz w:val="22"/>
          <w:szCs w:val="22"/>
        </w:rPr>
        <w:t xml:space="preserve"> El</w:t>
      </w:r>
      <w:r w:rsidR="00B03EDE" w:rsidRPr="00375C9E">
        <w:rPr>
          <w:rFonts w:ascii="Palatino Linotype" w:hAnsi="Palatino Linotype" w:cs="Tahoma"/>
          <w:sz w:val="22"/>
          <w:szCs w:val="22"/>
        </w:rPr>
        <w:t xml:space="preserve"> </w:t>
      </w:r>
      <w:r w:rsidR="00397620">
        <w:rPr>
          <w:rFonts w:ascii="Palatino Linotype" w:hAnsi="Palatino Linotype" w:cs="Tahoma"/>
          <w:sz w:val="22"/>
          <w:szCs w:val="22"/>
        </w:rPr>
        <w:t>ocho de febrero de dos mil veintitrés</w:t>
      </w:r>
      <w:r w:rsidR="00B03EDE" w:rsidRPr="00375C9E">
        <w:rPr>
          <w:rFonts w:ascii="Palatino Linotype" w:hAnsi="Palatino Linotype" w:cs="Tahoma"/>
          <w:sz w:val="22"/>
          <w:szCs w:val="22"/>
        </w:rPr>
        <w:t xml:space="preserve">, al no existir diligencias pendientes por desahogar, se emitió el acuerdo por medio del cual se declaró cerrada la </w:t>
      </w:r>
      <w:r w:rsidR="00B03EDE" w:rsidRPr="00375C9E">
        <w:rPr>
          <w:rFonts w:ascii="Palatino Linotype" w:hAnsi="Palatino Linotype" w:cs="Tahoma"/>
          <w:sz w:val="22"/>
          <w:szCs w:val="22"/>
        </w:rPr>
        <w:lastRenderedPageBreak/>
        <w:t xml:space="preserve">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00B03EDE" w:rsidRPr="00375C9E">
        <w:rPr>
          <w:rFonts w:ascii="Palatino Linotype" w:hAnsi="Palatino Linotype" w:cs="Tahoma"/>
          <w:sz w:val="22"/>
          <w:szCs w:val="22"/>
          <w:lang w:val="es-ES"/>
        </w:rPr>
        <w:t>Sistema de Acceso a la Información Mexiquense (SAIMEX)</w:t>
      </w:r>
      <w:r w:rsidR="00B03EDE" w:rsidRPr="00375C9E">
        <w:rPr>
          <w:rFonts w:ascii="Palatino Linotype" w:hAnsi="Palatino Linotype" w:cs="Tahoma"/>
          <w:sz w:val="22"/>
          <w:szCs w:val="22"/>
        </w:rPr>
        <w:t>.</w:t>
      </w:r>
    </w:p>
    <w:p w14:paraId="6C65961C" w14:textId="77777777" w:rsidR="00F90397" w:rsidRDefault="00F90397" w:rsidP="00261F7E">
      <w:pPr>
        <w:spacing w:line="360" w:lineRule="auto"/>
        <w:jc w:val="both"/>
        <w:rPr>
          <w:rFonts w:ascii="Palatino Linotype" w:hAnsi="Palatino Linotype" w:cs="Tahoma"/>
          <w:color w:val="000000"/>
          <w:sz w:val="22"/>
          <w:szCs w:val="22"/>
        </w:rPr>
      </w:pPr>
    </w:p>
    <w:p w14:paraId="6595EA97" w14:textId="79CA7C0F" w:rsidR="00B03EDE" w:rsidRDefault="00B03EDE" w:rsidP="00261F7E">
      <w:pPr>
        <w:spacing w:line="360" w:lineRule="auto"/>
        <w:jc w:val="both"/>
        <w:rPr>
          <w:rFonts w:ascii="Palatino Linotype" w:hAnsi="Palatino Linotype" w:cs="Tahoma"/>
          <w:color w:val="000000"/>
          <w:sz w:val="22"/>
          <w:szCs w:val="22"/>
        </w:rPr>
      </w:pPr>
      <w:r w:rsidRPr="00375C9E">
        <w:rPr>
          <w:rFonts w:ascii="Palatino Linotype" w:hAnsi="Palatino Linotype" w:cs="Tahoma"/>
          <w:color w:val="000000"/>
          <w:sz w:val="22"/>
          <w:szCs w:val="22"/>
        </w:rPr>
        <w:t xml:space="preserve">En razón de que fue debidamente sustanciado e integrado el expediente electrónico y no existe diligencia pendiente de desahogo, se emite la resolución que conforme a Derecho proceda, de acuerdo a los siguientes: </w:t>
      </w:r>
    </w:p>
    <w:p w14:paraId="680654B7" w14:textId="77777777" w:rsidR="002538E7" w:rsidRPr="00375C9E" w:rsidRDefault="002538E7" w:rsidP="00261F7E">
      <w:pPr>
        <w:spacing w:line="360" w:lineRule="auto"/>
        <w:jc w:val="both"/>
        <w:rPr>
          <w:rFonts w:ascii="Palatino Linotype" w:hAnsi="Palatino Linotype" w:cs="Tahoma"/>
          <w:color w:val="000000"/>
          <w:sz w:val="22"/>
          <w:szCs w:val="22"/>
        </w:rPr>
      </w:pPr>
    </w:p>
    <w:p w14:paraId="42A8DE4F" w14:textId="77777777" w:rsidR="00B03EDE" w:rsidRPr="00375C9E" w:rsidRDefault="00B03EDE" w:rsidP="00261F7E">
      <w:pPr>
        <w:spacing w:line="360" w:lineRule="auto"/>
        <w:jc w:val="center"/>
        <w:rPr>
          <w:rFonts w:ascii="Palatino Linotype" w:hAnsi="Palatino Linotype" w:cs="Tahoma"/>
          <w:b/>
          <w:sz w:val="22"/>
          <w:szCs w:val="22"/>
        </w:rPr>
      </w:pPr>
      <w:r w:rsidRPr="00375C9E">
        <w:rPr>
          <w:rFonts w:ascii="Palatino Linotype" w:hAnsi="Palatino Linotype" w:cs="Tahoma"/>
          <w:b/>
          <w:sz w:val="22"/>
          <w:szCs w:val="22"/>
        </w:rPr>
        <w:t>C O N S I D E R A N D O S</w:t>
      </w:r>
    </w:p>
    <w:p w14:paraId="63655676" w14:textId="77777777" w:rsidR="00B03EDE" w:rsidRPr="00375C9E" w:rsidRDefault="00B03EDE" w:rsidP="00261F7E">
      <w:pPr>
        <w:spacing w:line="360" w:lineRule="auto"/>
        <w:rPr>
          <w:rFonts w:ascii="Palatino Linotype" w:hAnsi="Palatino Linotype" w:cs="Tahoma"/>
          <w:b/>
          <w:sz w:val="22"/>
          <w:szCs w:val="22"/>
        </w:rPr>
      </w:pPr>
    </w:p>
    <w:p w14:paraId="56997B87" w14:textId="77777777" w:rsidR="00962E78" w:rsidRPr="00375C9E" w:rsidRDefault="00962E78" w:rsidP="00261F7E">
      <w:pPr>
        <w:spacing w:line="360" w:lineRule="auto"/>
        <w:jc w:val="both"/>
        <w:rPr>
          <w:rFonts w:ascii="Palatino Linotype" w:eastAsia="Batang" w:hAnsi="Palatino Linotype" w:cs="Tahoma"/>
          <w:b/>
          <w:bCs/>
          <w:sz w:val="22"/>
          <w:szCs w:val="22"/>
        </w:rPr>
      </w:pPr>
      <w:r w:rsidRPr="00375C9E">
        <w:rPr>
          <w:rFonts w:ascii="Palatino Linotype" w:eastAsia="Batang" w:hAnsi="Palatino Linotype" w:cs="Tahoma"/>
          <w:b/>
          <w:bCs/>
          <w:sz w:val="22"/>
          <w:szCs w:val="22"/>
        </w:rPr>
        <w:t xml:space="preserve">PRIMERO. Competencia. </w:t>
      </w:r>
    </w:p>
    <w:p w14:paraId="74757002" w14:textId="77777777" w:rsidR="00962E78" w:rsidRPr="00375C9E" w:rsidRDefault="00962E78" w:rsidP="00261F7E">
      <w:pPr>
        <w:spacing w:line="360" w:lineRule="auto"/>
        <w:jc w:val="both"/>
        <w:rPr>
          <w:rFonts w:ascii="Palatino Linotype" w:hAnsi="Palatino Linotype" w:cs="Tahoma"/>
          <w:bCs/>
          <w:sz w:val="22"/>
          <w:szCs w:val="22"/>
        </w:rPr>
      </w:pPr>
      <w:bookmarkStart w:id="2" w:name="_Hlk63334754"/>
      <w:r w:rsidRPr="00375C9E">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Pr>
          <w:rFonts w:ascii="Palatino Linotype" w:hAnsi="Palatino Linotype" w:cs="Tahoma"/>
          <w:bCs/>
          <w:sz w:val="22"/>
          <w:szCs w:val="22"/>
        </w:rPr>
        <w:t>trigésimo, trigésimo primero y trigésimo segundo</w:t>
      </w:r>
      <w:r w:rsidRPr="00375C9E">
        <w:rPr>
          <w:rFonts w:ascii="Palatino Linotype" w:hAnsi="Palatino Linotype" w:cs="Tahoma"/>
          <w:bCs/>
          <w:sz w:val="22"/>
          <w:szCs w:val="22"/>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375C9E">
        <w:rPr>
          <w:rFonts w:ascii="Palatino Linotype" w:hAnsi="Palatino Linotype"/>
          <w:bCs/>
          <w:sz w:val="22"/>
          <w:szCs w:val="22"/>
        </w:rPr>
        <w:t xml:space="preserve"> 7°, </w:t>
      </w:r>
      <w:r w:rsidRPr="00375C9E">
        <w:rPr>
          <w:rFonts w:ascii="Palatino Linotype" w:hAnsi="Palatino Linotype" w:cs="Tahoma"/>
          <w:bCs/>
          <w:sz w:val="22"/>
          <w:szCs w:val="22"/>
        </w:rPr>
        <w:t>9°, fracciones I y XXIV y 11 del Reglamento Interior del Instituto de Transparencia, Acceso a la Información Pública y Protección de Datos Personales del Estado de México y Municipios.</w:t>
      </w:r>
    </w:p>
    <w:bookmarkEnd w:id="2"/>
    <w:p w14:paraId="58570013" w14:textId="77777777" w:rsidR="00962E78" w:rsidRPr="00375C9E" w:rsidRDefault="00962E78" w:rsidP="00261F7E">
      <w:pPr>
        <w:spacing w:line="360" w:lineRule="auto"/>
        <w:jc w:val="both"/>
        <w:rPr>
          <w:rFonts w:ascii="Palatino Linotype" w:eastAsia="Calibri" w:hAnsi="Palatino Linotype" w:cs="Tahoma"/>
          <w:bCs/>
          <w:color w:val="000000"/>
          <w:sz w:val="22"/>
          <w:szCs w:val="22"/>
          <w:lang w:eastAsia="es-ES_tradnl"/>
        </w:rPr>
      </w:pPr>
    </w:p>
    <w:p w14:paraId="46C0E7F4" w14:textId="77777777" w:rsidR="00BC2409" w:rsidRPr="00BC2409" w:rsidRDefault="00BC2409" w:rsidP="00BC2409">
      <w:pPr>
        <w:autoSpaceDE w:val="0"/>
        <w:autoSpaceDN w:val="0"/>
        <w:adjustRightInd w:val="0"/>
        <w:spacing w:line="360" w:lineRule="auto"/>
        <w:jc w:val="both"/>
        <w:rPr>
          <w:rFonts w:ascii="Palatino Linotype" w:hAnsi="Palatino Linotype" w:cs="Tahoma"/>
          <w:sz w:val="22"/>
          <w:szCs w:val="24"/>
          <w:lang w:val="es-ES"/>
        </w:rPr>
      </w:pPr>
      <w:r w:rsidRPr="00BC2409">
        <w:rPr>
          <w:rFonts w:ascii="Palatino Linotype" w:eastAsia="Calibri" w:hAnsi="Palatino Linotype" w:cs="Tahoma"/>
          <w:b/>
          <w:color w:val="000000"/>
          <w:sz w:val="22"/>
          <w:szCs w:val="24"/>
          <w:lang w:val="es-ES" w:eastAsia="es-MX"/>
        </w:rPr>
        <w:lastRenderedPageBreak/>
        <w:t>SEGUNDO</w:t>
      </w:r>
      <w:r w:rsidRPr="00BC2409">
        <w:rPr>
          <w:rFonts w:ascii="Palatino Linotype" w:eastAsia="Calibri" w:hAnsi="Palatino Linotype" w:cs="Tahoma"/>
          <w:color w:val="000000"/>
          <w:sz w:val="22"/>
          <w:szCs w:val="24"/>
          <w:lang w:val="es-ES" w:eastAsia="es-MX"/>
        </w:rPr>
        <w:t xml:space="preserve">. </w:t>
      </w:r>
      <w:r w:rsidRPr="00BC2409">
        <w:rPr>
          <w:rFonts w:ascii="Palatino Linotype" w:hAnsi="Palatino Linotype" w:cs="Tahoma"/>
          <w:b/>
          <w:sz w:val="22"/>
          <w:szCs w:val="24"/>
          <w:lang w:val="es-ES"/>
        </w:rPr>
        <w:t>Causales de improcedencia y sobreseimiento.</w:t>
      </w:r>
      <w:r w:rsidRPr="00BC2409">
        <w:rPr>
          <w:rFonts w:ascii="Palatino Linotype" w:hAnsi="Palatino Linotype" w:cs="Tahoma"/>
          <w:sz w:val="22"/>
          <w:szCs w:val="24"/>
          <w:lang w:val="es-ES"/>
        </w:rPr>
        <w:t xml:space="preserve"> </w:t>
      </w:r>
    </w:p>
    <w:p w14:paraId="718F5C5F" w14:textId="77777777" w:rsidR="00BC2409" w:rsidRPr="00BC2409" w:rsidRDefault="00BC2409" w:rsidP="00BC2409">
      <w:pPr>
        <w:autoSpaceDE w:val="0"/>
        <w:autoSpaceDN w:val="0"/>
        <w:adjustRightInd w:val="0"/>
        <w:spacing w:line="360" w:lineRule="auto"/>
        <w:jc w:val="both"/>
        <w:rPr>
          <w:rFonts w:ascii="Palatino Linotype" w:hAnsi="Palatino Linotype" w:cs="Tahoma"/>
          <w:sz w:val="22"/>
          <w:szCs w:val="24"/>
          <w:lang w:val="es-ES"/>
        </w:rPr>
      </w:pPr>
    </w:p>
    <w:p w14:paraId="23D79576" w14:textId="77777777" w:rsidR="00BC2409" w:rsidRPr="00BC2409" w:rsidRDefault="00BC2409" w:rsidP="00BC2409">
      <w:pPr>
        <w:autoSpaceDE w:val="0"/>
        <w:autoSpaceDN w:val="0"/>
        <w:adjustRightInd w:val="0"/>
        <w:spacing w:line="360" w:lineRule="auto"/>
        <w:jc w:val="both"/>
        <w:rPr>
          <w:rFonts w:ascii="Palatino Linotype" w:hAnsi="Palatino Linotype" w:cs="Tahoma"/>
          <w:sz w:val="22"/>
          <w:szCs w:val="24"/>
          <w:lang w:val="es-ES"/>
        </w:rPr>
      </w:pPr>
      <w:r w:rsidRPr="00BC2409">
        <w:rPr>
          <w:rFonts w:ascii="Palatino Linotype" w:hAnsi="Palatino Linotype" w:cs="Tahoma"/>
          <w:sz w:val="22"/>
          <w:szCs w:val="24"/>
          <w:lang w:val="es-ES"/>
        </w:rPr>
        <w:t xml:space="preserve">De las constancias que forma parte del Recurso de Revisión que se analiza, se advierte que previo al estudio del fondo de la </w:t>
      </w:r>
      <w:r w:rsidRPr="00BC2409">
        <w:rPr>
          <w:rFonts w:ascii="Palatino Linotype" w:hAnsi="Palatino Linotype" w:cs="Tahoma"/>
          <w:i/>
          <w:sz w:val="22"/>
          <w:szCs w:val="24"/>
          <w:lang w:val="es-ES"/>
        </w:rPr>
        <w:t>litis</w:t>
      </w:r>
      <w:r w:rsidRPr="00BC2409">
        <w:rPr>
          <w:rFonts w:ascii="Palatino Linotype" w:hAnsi="Palatino Linotype" w:cs="Tahoma"/>
          <w:sz w:val="22"/>
          <w:szCs w:val="24"/>
          <w:lang w:val="es-ES"/>
        </w:rPr>
        <w:t>, es necesario estudiar las causales de improcedencia y sobreseimiento que se adviertan, para determinar lo que en Derecho proceda.</w:t>
      </w:r>
    </w:p>
    <w:p w14:paraId="208D878B" w14:textId="77777777" w:rsidR="00BC2409" w:rsidRPr="00BC2409" w:rsidRDefault="00BC2409" w:rsidP="00BC2409">
      <w:pPr>
        <w:autoSpaceDE w:val="0"/>
        <w:autoSpaceDN w:val="0"/>
        <w:adjustRightInd w:val="0"/>
        <w:spacing w:line="360" w:lineRule="auto"/>
        <w:jc w:val="both"/>
        <w:rPr>
          <w:rFonts w:ascii="Palatino Linotype" w:hAnsi="Palatino Linotype" w:cs="Tahoma"/>
          <w:sz w:val="22"/>
          <w:szCs w:val="24"/>
          <w:lang w:val="es-ES"/>
        </w:rPr>
      </w:pPr>
    </w:p>
    <w:p w14:paraId="70959165" w14:textId="77777777" w:rsidR="00BC2409" w:rsidRPr="00BC2409" w:rsidRDefault="00BC2409" w:rsidP="00BC2409">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r w:rsidRPr="00BC2409">
        <w:rPr>
          <w:rFonts w:ascii="Palatino Linotype" w:eastAsia="Calibri" w:hAnsi="Palatino Linotype" w:cs="Tahoma"/>
          <w:b/>
          <w:color w:val="000000"/>
          <w:sz w:val="22"/>
          <w:szCs w:val="24"/>
          <w:lang w:val="es-ES" w:eastAsia="es-MX"/>
        </w:rPr>
        <w:t>Causales de improcedencia.</w:t>
      </w:r>
      <w:r w:rsidRPr="00BC2409">
        <w:rPr>
          <w:rFonts w:ascii="Palatino Linotype" w:eastAsia="Calibri" w:hAnsi="Palatino Linotype" w:cs="Tahoma"/>
          <w:color w:val="000000"/>
          <w:sz w:val="22"/>
          <w:szCs w:val="24"/>
          <w:lang w:val="es-ES" w:eastAsia="es-MX"/>
        </w:rPr>
        <w:t xml:space="preserve"> </w:t>
      </w:r>
    </w:p>
    <w:p w14:paraId="34F7CED9" w14:textId="77777777" w:rsidR="00BC2409" w:rsidRPr="00BC2409" w:rsidRDefault="00BC2409" w:rsidP="00BC2409">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21C717C0" w14:textId="77777777" w:rsidR="00BC2409" w:rsidRPr="00BC2409" w:rsidRDefault="00BC2409" w:rsidP="00BC240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BC2409">
        <w:rPr>
          <w:rFonts w:ascii="Palatino Linotype" w:eastAsia="Calibri" w:hAnsi="Palatino Linotype" w:cs="Tahoma"/>
          <w:color w:val="000000"/>
          <w:sz w:val="22"/>
          <w:szCs w:val="22"/>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BC2409">
        <w:rPr>
          <w:rFonts w:ascii="Palatino Linotype" w:eastAsia="Calibri" w:hAnsi="Palatino Linotype" w:cs="Tahoma"/>
          <w:b/>
          <w:bCs/>
          <w:color w:val="000000"/>
          <w:sz w:val="22"/>
          <w:szCs w:val="22"/>
          <w:lang w:eastAsia="es-MX"/>
        </w:rPr>
        <w:t xml:space="preserve"> </w:t>
      </w:r>
      <w:r w:rsidRPr="00BC2409">
        <w:rPr>
          <w:rFonts w:ascii="Palatino Linotype" w:eastAsia="Calibri" w:hAnsi="Palatino Linotype" w:cs="Tahoma"/>
          <w:color w:val="000000"/>
          <w:sz w:val="22"/>
          <w:szCs w:val="22"/>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6DE6EE13" w14:textId="77777777" w:rsidR="00BC2409" w:rsidRPr="00BC2409" w:rsidRDefault="00BC2409" w:rsidP="00BC2409">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F483A20" w14:textId="77777777" w:rsidR="00BC2409" w:rsidRPr="00BC2409" w:rsidRDefault="00BC2409" w:rsidP="00BC2409">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BC2409">
        <w:rPr>
          <w:rFonts w:ascii="Palatino Linotype" w:eastAsia="Calibri" w:hAnsi="Palatino Linotype" w:cs="Tahoma"/>
          <w:color w:val="000000"/>
          <w:sz w:val="22"/>
          <w:szCs w:val="22"/>
          <w:lang w:eastAsia="es-MX"/>
        </w:rPr>
        <w:t xml:space="preserve">En el presente caso, </w:t>
      </w:r>
      <w:r w:rsidRPr="00BC2409">
        <w:rPr>
          <w:rFonts w:ascii="Palatino Linotype" w:eastAsia="Calibri" w:hAnsi="Palatino Linotype" w:cs="Tahoma"/>
          <w:b/>
          <w:color w:val="000000"/>
          <w:sz w:val="22"/>
          <w:szCs w:val="22"/>
          <w:lang w:eastAsia="es-MX"/>
        </w:rPr>
        <w:t>no se actualiza ninguna de las causales de improcedencia</w:t>
      </w:r>
      <w:r w:rsidRPr="00BC2409">
        <w:rPr>
          <w:rFonts w:ascii="Palatino Linotype" w:eastAsia="Calibri" w:hAnsi="Palatino Linotype" w:cs="Tahoma"/>
          <w:color w:val="000000"/>
          <w:sz w:val="22"/>
          <w:szCs w:val="22"/>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20EAB4C5" w14:textId="77777777" w:rsidR="00BC2409" w:rsidRPr="00BC2409" w:rsidRDefault="00BC2409" w:rsidP="00BC2409">
      <w:pPr>
        <w:spacing w:line="360" w:lineRule="auto"/>
        <w:jc w:val="both"/>
        <w:rPr>
          <w:rFonts w:ascii="Palatino Linotype" w:hAnsi="Palatino Linotype" w:cs="Tahoma"/>
          <w:b/>
          <w:bCs/>
          <w:sz w:val="22"/>
          <w:szCs w:val="22"/>
        </w:rPr>
      </w:pPr>
    </w:p>
    <w:p w14:paraId="6725A68E" w14:textId="77777777" w:rsidR="00BC2409" w:rsidRPr="00BC2409" w:rsidRDefault="00BC2409" w:rsidP="00BC2409">
      <w:pPr>
        <w:spacing w:line="360" w:lineRule="auto"/>
        <w:jc w:val="both"/>
        <w:rPr>
          <w:rFonts w:ascii="Palatino Linotype" w:hAnsi="Palatino Linotype" w:cs="Tahoma"/>
          <w:sz w:val="22"/>
          <w:szCs w:val="22"/>
        </w:rPr>
      </w:pPr>
      <w:r w:rsidRPr="00BC2409">
        <w:rPr>
          <w:rFonts w:ascii="Palatino Linotype" w:hAnsi="Palatino Linotype" w:cs="Tahoma"/>
          <w:sz w:val="22"/>
          <w:szCs w:val="22"/>
        </w:rPr>
        <w:lastRenderedPageBreak/>
        <w:t xml:space="preserve">Asimismo, se actualiza la causal de procedencia del Recurso de Revisión señalada en el artículo 179, fracciones IV, de la Ley de la Materia, pues el agravio del hoy Recurrente consiste en la declaración de incompetencia del Sujeto Obligado. </w:t>
      </w:r>
    </w:p>
    <w:p w14:paraId="2A73903F" w14:textId="77777777" w:rsidR="00BC2409" w:rsidRPr="00BC2409" w:rsidRDefault="00BC2409" w:rsidP="00BC2409">
      <w:pPr>
        <w:spacing w:line="360" w:lineRule="auto"/>
        <w:jc w:val="both"/>
        <w:rPr>
          <w:rFonts w:ascii="Palatino Linotype" w:hAnsi="Palatino Linotype" w:cs="Tahoma"/>
          <w:b/>
          <w:bCs/>
          <w:sz w:val="22"/>
          <w:szCs w:val="22"/>
        </w:rPr>
      </w:pPr>
    </w:p>
    <w:p w14:paraId="2E7181A0" w14:textId="77777777" w:rsidR="00BC2409" w:rsidRPr="00BC2409" w:rsidRDefault="00BC2409" w:rsidP="00BC2409">
      <w:pPr>
        <w:spacing w:line="360" w:lineRule="auto"/>
        <w:jc w:val="both"/>
        <w:rPr>
          <w:rFonts w:ascii="Palatino Linotype" w:hAnsi="Palatino Linotype" w:cs="Tahoma"/>
          <w:b/>
          <w:bCs/>
          <w:sz w:val="22"/>
          <w:szCs w:val="22"/>
        </w:rPr>
      </w:pPr>
      <w:r w:rsidRPr="00BC2409">
        <w:rPr>
          <w:rFonts w:ascii="Palatino Linotype" w:hAnsi="Palatino Linotype" w:cs="Tahoma"/>
          <w:b/>
          <w:bCs/>
          <w:sz w:val="22"/>
          <w:szCs w:val="22"/>
        </w:rPr>
        <w:t>Causales de sobreseimiento.</w:t>
      </w:r>
    </w:p>
    <w:p w14:paraId="5386AE91" w14:textId="77777777" w:rsidR="00BC2409" w:rsidRPr="00BC2409" w:rsidRDefault="00BC2409" w:rsidP="00BC2409">
      <w:pPr>
        <w:spacing w:line="360" w:lineRule="auto"/>
        <w:jc w:val="both"/>
        <w:rPr>
          <w:rFonts w:ascii="Palatino Linotype" w:hAnsi="Palatino Linotype" w:cs="Tahoma"/>
          <w:b/>
          <w:bCs/>
          <w:sz w:val="22"/>
          <w:szCs w:val="22"/>
        </w:rPr>
      </w:pPr>
    </w:p>
    <w:p w14:paraId="70E3C98A" w14:textId="77777777" w:rsidR="00BC2409" w:rsidRPr="00BC2409" w:rsidRDefault="00BC2409" w:rsidP="00BC2409">
      <w:pPr>
        <w:spacing w:line="360" w:lineRule="auto"/>
        <w:jc w:val="both"/>
        <w:rPr>
          <w:rFonts w:ascii="Palatino Linotype" w:hAnsi="Palatino Linotype" w:cs="Tahoma"/>
          <w:sz w:val="22"/>
          <w:szCs w:val="24"/>
        </w:rPr>
      </w:pPr>
      <w:r w:rsidRPr="00BC2409">
        <w:rPr>
          <w:rFonts w:ascii="Palatino Linotype" w:hAnsi="Palatino Linotype" w:cs="Tahoma"/>
          <w:sz w:val="22"/>
          <w:szCs w:val="24"/>
        </w:rPr>
        <w:t>Por ser de previo y especial pronunciamiento, este Instituto analiza si se actualiza alguna causal de sobreseimiento.</w:t>
      </w:r>
    </w:p>
    <w:p w14:paraId="6DB79D4E" w14:textId="77777777" w:rsidR="00BC2409" w:rsidRPr="00BC2409" w:rsidRDefault="00BC2409" w:rsidP="00BC2409">
      <w:pPr>
        <w:spacing w:line="360" w:lineRule="auto"/>
        <w:jc w:val="both"/>
        <w:rPr>
          <w:rFonts w:ascii="Palatino Linotype" w:hAnsi="Palatino Linotype" w:cs="Tahoma"/>
          <w:sz w:val="22"/>
          <w:szCs w:val="24"/>
        </w:rPr>
      </w:pPr>
    </w:p>
    <w:p w14:paraId="381AA203" w14:textId="77777777" w:rsidR="00BC2409" w:rsidRPr="00BC2409" w:rsidRDefault="00BC2409" w:rsidP="00BC2409">
      <w:pPr>
        <w:spacing w:line="360" w:lineRule="auto"/>
        <w:jc w:val="both"/>
        <w:rPr>
          <w:rFonts w:ascii="Palatino Linotype" w:hAnsi="Palatino Linotype" w:cs="Tahoma"/>
          <w:sz w:val="22"/>
          <w:szCs w:val="24"/>
        </w:rPr>
      </w:pPr>
      <w:r w:rsidRPr="00BC2409">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70C61D7C" w14:textId="77777777" w:rsidR="00BC2409" w:rsidRPr="00BC2409" w:rsidRDefault="00BC2409" w:rsidP="00BC2409">
      <w:pPr>
        <w:spacing w:line="360" w:lineRule="auto"/>
        <w:jc w:val="both"/>
        <w:rPr>
          <w:rFonts w:ascii="Palatino Linotype" w:hAnsi="Palatino Linotype" w:cs="Tahoma"/>
          <w:sz w:val="22"/>
          <w:szCs w:val="24"/>
        </w:rPr>
      </w:pPr>
    </w:p>
    <w:p w14:paraId="7B661A6D" w14:textId="77777777" w:rsidR="00BC2409" w:rsidRPr="00BC2409" w:rsidRDefault="00BC2409" w:rsidP="00BC2409">
      <w:pPr>
        <w:spacing w:line="360" w:lineRule="auto"/>
        <w:jc w:val="both"/>
        <w:rPr>
          <w:rFonts w:ascii="Palatino Linotype" w:hAnsi="Palatino Linotype" w:cs="Tahoma"/>
          <w:sz w:val="22"/>
          <w:szCs w:val="24"/>
          <w:lang w:val="es-ES"/>
        </w:rPr>
      </w:pPr>
      <w:r w:rsidRPr="00BC2409">
        <w:rPr>
          <w:rFonts w:ascii="Palatino Linotype" w:hAnsi="Palatino Linotype" w:cs="Tahoma"/>
          <w:bCs/>
          <w:sz w:val="22"/>
          <w:szCs w:val="24"/>
          <w:lang w:val="es-ES"/>
        </w:rPr>
        <w:t xml:space="preserve">Por tales motivos, </w:t>
      </w:r>
      <w:r w:rsidRPr="00BC2409">
        <w:rPr>
          <w:rFonts w:ascii="Palatino Linotype" w:hAnsi="Palatino Linotype" w:cs="Tahoma"/>
          <w:sz w:val="22"/>
          <w:szCs w:val="24"/>
          <w:lang w:val="es-ES"/>
        </w:rPr>
        <w:t>se considera procedente entrar al fondo del presente asunto.</w:t>
      </w:r>
    </w:p>
    <w:p w14:paraId="1710B585" w14:textId="77777777" w:rsidR="00BC2409" w:rsidRPr="00BC2409" w:rsidRDefault="00BC2409" w:rsidP="00BC2409">
      <w:pPr>
        <w:spacing w:line="360" w:lineRule="auto"/>
        <w:jc w:val="both"/>
        <w:rPr>
          <w:rFonts w:ascii="Palatino Linotype" w:eastAsia="Calibri" w:hAnsi="Palatino Linotype"/>
          <w:color w:val="000000" w:themeColor="text1"/>
          <w:sz w:val="22"/>
          <w:szCs w:val="22"/>
          <w:lang w:eastAsia="en-US"/>
        </w:rPr>
      </w:pPr>
    </w:p>
    <w:p w14:paraId="771074C6" w14:textId="77777777" w:rsidR="00BC2409" w:rsidRPr="00BC2409" w:rsidRDefault="00BC2409" w:rsidP="00BC2409">
      <w:pPr>
        <w:spacing w:line="360" w:lineRule="auto"/>
        <w:jc w:val="both"/>
        <w:rPr>
          <w:rFonts w:ascii="Palatino Linotype" w:hAnsi="Palatino Linotype" w:cs="Tahoma"/>
          <w:b/>
          <w:bCs/>
          <w:iCs/>
          <w:sz w:val="22"/>
          <w:szCs w:val="22"/>
          <w:lang w:val="es-ES"/>
        </w:rPr>
      </w:pPr>
      <w:r w:rsidRPr="00BC2409">
        <w:rPr>
          <w:rFonts w:ascii="Palatino Linotype" w:hAnsi="Palatino Linotype" w:cs="Tahoma"/>
          <w:b/>
          <w:bCs/>
          <w:iCs/>
          <w:sz w:val="22"/>
          <w:szCs w:val="22"/>
          <w:lang w:val="es-ES"/>
        </w:rPr>
        <w:t xml:space="preserve">TERCERO. Determinación de la Controversia. </w:t>
      </w:r>
    </w:p>
    <w:p w14:paraId="29D9223D" w14:textId="165CCF5A" w:rsidR="00BC2409" w:rsidRDefault="00BC2409" w:rsidP="00261F7E">
      <w:pPr>
        <w:spacing w:line="360" w:lineRule="auto"/>
        <w:jc w:val="both"/>
        <w:rPr>
          <w:rFonts w:ascii="Palatino Linotype" w:eastAsia="Calibri" w:hAnsi="Palatino Linotype" w:cs="Tahoma"/>
          <w:b/>
          <w:color w:val="000000"/>
          <w:sz w:val="22"/>
          <w:szCs w:val="24"/>
          <w:lang w:val="es-ES" w:eastAsia="es-MX"/>
        </w:rPr>
      </w:pPr>
    </w:p>
    <w:p w14:paraId="018B6B6B" w14:textId="5646D659" w:rsidR="00BC2409" w:rsidRPr="00BC2409" w:rsidRDefault="00BC2409" w:rsidP="00261F7E">
      <w:pPr>
        <w:spacing w:line="360" w:lineRule="auto"/>
        <w:jc w:val="both"/>
        <w:rPr>
          <w:rFonts w:ascii="Palatino Linotype" w:eastAsia="Calibri" w:hAnsi="Palatino Linotype" w:cs="Tahoma"/>
          <w:bCs/>
          <w:color w:val="000000"/>
          <w:sz w:val="22"/>
          <w:szCs w:val="24"/>
          <w:lang w:val="es-ES" w:eastAsia="es-MX"/>
        </w:rPr>
      </w:pPr>
      <w:r w:rsidRPr="00BC2409">
        <w:rPr>
          <w:rFonts w:ascii="Palatino Linotype" w:eastAsia="Calibri" w:hAnsi="Palatino Linotype" w:cs="Tahoma"/>
          <w:bCs/>
          <w:color w:val="000000"/>
          <w:sz w:val="22"/>
          <w:szCs w:val="24"/>
          <w:lang w:val="es-ES" w:eastAsia="es-MX"/>
        </w:rPr>
        <w:t>Una vez realizado el estudio de las constancias que obran en el expediente electrónico en el que se actúa, se advierte que el Solicitante requirió</w:t>
      </w:r>
      <w:r>
        <w:rPr>
          <w:rFonts w:ascii="Palatino Linotype" w:eastAsia="Calibri" w:hAnsi="Palatino Linotype" w:cs="Tahoma"/>
          <w:bCs/>
          <w:color w:val="000000"/>
          <w:sz w:val="22"/>
          <w:szCs w:val="24"/>
          <w:lang w:val="es-ES" w:eastAsia="es-MX"/>
        </w:rPr>
        <w:t xml:space="preserve"> conocer el proceso mediante el cual se designaba al Contralor Interno de este Instituto, así como, el proceso para removerlo y los años que duraba en el cargo.</w:t>
      </w:r>
    </w:p>
    <w:p w14:paraId="717E9CD6" w14:textId="77777777" w:rsidR="00DB7D93" w:rsidRDefault="00DB7D93" w:rsidP="00261F7E">
      <w:pPr>
        <w:spacing w:line="360" w:lineRule="auto"/>
        <w:jc w:val="both"/>
        <w:rPr>
          <w:rFonts w:ascii="Palatino Linotype" w:hAnsi="Palatino Linotype" w:cs="Tahoma"/>
          <w:sz w:val="22"/>
          <w:szCs w:val="24"/>
          <w:lang w:val="es-ES"/>
        </w:rPr>
      </w:pPr>
    </w:p>
    <w:p w14:paraId="6A19F53C" w14:textId="08A952F5" w:rsidR="004A386F" w:rsidRDefault="001B65BA" w:rsidP="004144BA">
      <w:pPr>
        <w:spacing w:line="360" w:lineRule="auto"/>
        <w:jc w:val="both"/>
        <w:rPr>
          <w:rFonts w:ascii="Palatino Linotype" w:hAnsi="Palatino Linotype" w:cs="Tahoma"/>
          <w:bCs/>
          <w:iCs/>
          <w:color w:val="000000" w:themeColor="text1"/>
          <w:sz w:val="22"/>
          <w:szCs w:val="22"/>
          <w:lang w:val="es-ES_tradnl"/>
        </w:rPr>
      </w:pPr>
      <w:r w:rsidRPr="001B65BA">
        <w:rPr>
          <w:rFonts w:ascii="Palatino Linotype" w:hAnsi="Palatino Linotype" w:cs="Tahoma"/>
          <w:sz w:val="22"/>
          <w:szCs w:val="24"/>
          <w:lang w:val="es-ES"/>
        </w:rPr>
        <w:t xml:space="preserve"> </w:t>
      </w:r>
      <w:r w:rsidR="008A4BF6" w:rsidRPr="008A4BF6">
        <w:rPr>
          <w:rFonts w:ascii="Palatino Linotype" w:hAnsi="Palatino Linotype" w:cs="Tahoma"/>
          <w:sz w:val="22"/>
          <w:szCs w:val="24"/>
          <w:lang w:val="es-ES"/>
        </w:rPr>
        <w:t xml:space="preserve">En respuesta, el Sujeto Obligado, a través de la </w:t>
      </w:r>
      <w:r w:rsidR="000155DA">
        <w:rPr>
          <w:rFonts w:ascii="Palatino Linotype" w:hAnsi="Palatino Linotype" w:cs="Tahoma"/>
          <w:sz w:val="22"/>
          <w:szCs w:val="24"/>
          <w:lang w:val="es-ES"/>
        </w:rPr>
        <w:t>Un</w:t>
      </w:r>
      <w:r w:rsidR="00724524">
        <w:rPr>
          <w:rFonts w:ascii="Palatino Linotype" w:hAnsi="Palatino Linotype" w:cs="Tahoma"/>
          <w:sz w:val="22"/>
          <w:szCs w:val="24"/>
          <w:lang w:val="es-ES"/>
        </w:rPr>
        <w:t xml:space="preserve">idad de Transparencia, </w:t>
      </w:r>
      <w:r w:rsidR="004D358C">
        <w:rPr>
          <w:rFonts w:ascii="Palatino Linotype" w:hAnsi="Palatino Linotype" w:cs="Tahoma"/>
          <w:sz w:val="22"/>
          <w:szCs w:val="24"/>
          <w:lang w:val="es-ES"/>
        </w:rPr>
        <w:t>se declaró incompetente para conocer de lo peticionado</w:t>
      </w:r>
      <w:r w:rsidR="00BC2409">
        <w:rPr>
          <w:rFonts w:ascii="Palatino Linotype" w:hAnsi="Palatino Linotype" w:cs="Tahoma"/>
          <w:sz w:val="22"/>
          <w:szCs w:val="24"/>
          <w:lang w:val="es-ES"/>
        </w:rPr>
        <w:t xml:space="preserve"> y precisó que la Legislatura era el Sujeto Obligado idóneo</w:t>
      </w:r>
      <w:r w:rsidR="000155DA">
        <w:rPr>
          <w:rFonts w:ascii="Palatino Linotype" w:hAnsi="Palatino Linotype" w:cs="Tahoma"/>
          <w:sz w:val="22"/>
          <w:szCs w:val="24"/>
          <w:lang w:val="es-ES"/>
        </w:rPr>
        <w:t>;</w:t>
      </w:r>
      <w:r w:rsidR="00B64AB3">
        <w:rPr>
          <w:rFonts w:ascii="Palatino Linotype" w:hAnsi="Palatino Linotype" w:cs="Tahoma"/>
          <w:sz w:val="22"/>
          <w:szCs w:val="24"/>
          <w:lang w:val="es-ES"/>
        </w:rPr>
        <w:t xml:space="preserve"> ante dicha información</w:t>
      </w:r>
      <w:r w:rsidR="008A4BF6" w:rsidRPr="008A4BF6">
        <w:rPr>
          <w:rFonts w:ascii="Palatino Linotype" w:hAnsi="Palatino Linotype" w:cs="Tahoma"/>
          <w:sz w:val="22"/>
          <w:szCs w:val="24"/>
          <w:lang w:val="es-ES"/>
        </w:rPr>
        <w:t xml:space="preserve">, el Particular </w:t>
      </w:r>
      <w:r w:rsidR="00B64AB3">
        <w:rPr>
          <w:rFonts w:ascii="Palatino Linotype" w:hAnsi="Palatino Linotype" w:cs="Tahoma"/>
          <w:sz w:val="22"/>
          <w:szCs w:val="24"/>
          <w:lang w:val="es-ES"/>
        </w:rPr>
        <w:t>se</w:t>
      </w:r>
      <w:r w:rsidR="000E1164">
        <w:rPr>
          <w:rFonts w:ascii="Palatino Linotype" w:hAnsi="Palatino Linotype" w:cs="Tahoma"/>
          <w:sz w:val="22"/>
          <w:szCs w:val="24"/>
          <w:lang w:val="es-ES"/>
        </w:rPr>
        <w:t xml:space="preserve"> agravió </w:t>
      </w:r>
      <w:r w:rsidR="00BC2409">
        <w:rPr>
          <w:rFonts w:ascii="Palatino Linotype" w:hAnsi="Palatino Linotype" w:cs="Tahoma"/>
          <w:sz w:val="22"/>
          <w:szCs w:val="24"/>
          <w:lang w:val="es-ES"/>
        </w:rPr>
        <w:t>de dicha incompetencia</w:t>
      </w:r>
      <w:r w:rsidR="00724524">
        <w:rPr>
          <w:rFonts w:ascii="Palatino Linotype" w:hAnsi="Palatino Linotype" w:cs="Tahoma"/>
          <w:sz w:val="22"/>
          <w:szCs w:val="24"/>
          <w:lang w:val="es-ES"/>
        </w:rPr>
        <w:t xml:space="preserve">, </w:t>
      </w:r>
      <w:r w:rsidR="000E1164">
        <w:rPr>
          <w:rFonts w:ascii="Palatino Linotype" w:hAnsi="Palatino Linotype" w:cs="Tahoma"/>
          <w:sz w:val="22"/>
          <w:szCs w:val="24"/>
          <w:lang w:val="es-ES"/>
        </w:rPr>
        <w:t xml:space="preserve">lo cual actualiza la </w:t>
      </w:r>
      <w:r w:rsidR="00724524">
        <w:rPr>
          <w:rFonts w:ascii="Palatino Linotype" w:hAnsi="Palatino Linotype" w:cs="Tahoma"/>
          <w:sz w:val="22"/>
          <w:szCs w:val="24"/>
          <w:lang w:val="es-ES"/>
        </w:rPr>
        <w:t xml:space="preserve">fracción </w:t>
      </w:r>
      <w:r w:rsidR="000E1164">
        <w:rPr>
          <w:rFonts w:ascii="Palatino Linotype" w:hAnsi="Palatino Linotype" w:cs="Tahoma"/>
          <w:sz w:val="22"/>
          <w:szCs w:val="24"/>
          <w:lang w:val="es-ES"/>
        </w:rPr>
        <w:t>I</w:t>
      </w:r>
      <w:r w:rsidR="00BC2409">
        <w:rPr>
          <w:rFonts w:ascii="Palatino Linotype" w:hAnsi="Palatino Linotype" w:cs="Tahoma"/>
          <w:sz w:val="22"/>
          <w:szCs w:val="24"/>
          <w:lang w:val="es-ES"/>
        </w:rPr>
        <w:t>V</w:t>
      </w:r>
      <w:r w:rsidR="000E1164">
        <w:rPr>
          <w:rFonts w:ascii="Palatino Linotype" w:hAnsi="Palatino Linotype" w:cs="Tahoma"/>
          <w:sz w:val="22"/>
          <w:szCs w:val="24"/>
          <w:lang w:val="es-ES"/>
        </w:rPr>
        <w:t xml:space="preserve">, del </w:t>
      </w:r>
      <w:r w:rsidR="009E2919">
        <w:rPr>
          <w:rFonts w:ascii="Palatino Linotype" w:hAnsi="Palatino Linotype" w:cs="Tahoma"/>
          <w:sz w:val="22"/>
          <w:szCs w:val="24"/>
          <w:lang w:val="es-ES"/>
        </w:rPr>
        <w:t>artículo 179</w:t>
      </w:r>
      <w:r w:rsidR="008A4BF6" w:rsidRPr="008A4BF6">
        <w:rPr>
          <w:rFonts w:ascii="Palatino Linotype" w:eastAsia="Calibri" w:hAnsi="Palatino Linotype" w:cs="Tahoma"/>
          <w:color w:val="000000" w:themeColor="text1"/>
          <w:sz w:val="22"/>
          <w:szCs w:val="22"/>
          <w:lang w:eastAsia="en-US"/>
        </w:rPr>
        <w:t xml:space="preserve"> de la Ley de Transparencia y Acceso a la Información Pública del Estado de México y Municipios;</w:t>
      </w:r>
      <w:r w:rsidR="008A4BF6" w:rsidRPr="008A4BF6">
        <w:rPr>
          <w:rFonts w:ascii="Palatino Linotype" w:eastAsia="Calibri" w:hAnsi="Palatino Linotype" w:cs="Tahoma"/>
          <w:iCs/>
          <w:color w:val="000000" w:themeColor="text1"/>
          <w:sz w:val="22"/>
          <w:szCs w:val="22"/>
          <w:lang w:val="es-ES" w:eastAsia="es-ES_tradnl"/>
        </w:rPr>
        <w:t xml:space="preserve"> a</w:t>
      </w:r>
      <w:r w:rsidR="008A4BF6" w:rsidRPr="008A4BF6">
        <w:rPr>
          <w:rFonts w:ascii="Palatino Linotype" w:hAnsi="Palatino Linotype" w:cs="Tahoma"/>
          <w:bCs/>
          <w:iCs/>
          <w:color w:val="000000" w:themeColor="text1"/>
          <w:sz w:val="22"/>
          <w:szCs w:val="22"/>
          <w:lang w:val="es-ES_tradnl"/>
        </w:rPr>
        <w:t xml:space="preserve">sí las cosas, una vez admitido y notificado el Recurso de Revisión a las partes, el </w:t>
      </w:r>
      <w:r w:rsidR="00994371">
        <w:rPr>
          <w:rFonts w:ascii="Palatino Linotype" w:hAnsi="Palatino Linotype" w:cs="Tahoma"/>
          <w:bCs/>
          <w:iCs/>
          <w:color w:val="000000" w:themeColor="text1"/>
          <w:sz w:val="22"/>
          <w:szCs w:val="22"/>
          <w:lang w:val="es-ES_tradnl"/>
        </w:rPr>
        <w:t>Instituto de Transparencia, Acceso a la Información Pública y Protección de Datos Personales del Estado de México y Municipios</w:t>
      </w:r>
      <w:r w:rsidR="00724524">
        <w:rPr>
          <w:rFonts w:ascii="Palatino Linotype" w:hAnsi="Palatino Linotype" w:cs="Tahoma"/>
          <w:bCs/>
          <w:iCs/>
          <w:color w:val="000000" w:themeColor="text1"/>
          <w:sz w:val="22"/>
          <w:szCs w:val="22"/>
          <w:lang w:val="es-ES_tradnl"/>
        </w:rPr>
        <w:t xml:space="preserve">, </w:t>
      </w:r>
      <w:r w:rsidR="00AB3A3B">
        <w:rPr>
          <w:rFonts w:ascii="Palatino Linotype" w:hAnsi="Palatino Linotype" w:cs="Tahoma"/>
          <w:bCs/>
          <w:iCs/>
          <w:color w:val="000000" w:themeColor="text1"/>
          <w:sz w:val="22"/>
          <w:szCs w:val="22"/>
          <w:lang w:val="es-ES_tradnl"/>
        </w:rPr>
        <w:t>robusteció</w:t>
      </w:r>
      <w:r w:rsidR="008A4BF6" w:rsidRPr="008A4BF6">
        <w:rPr>
          <w:rFonts w:ascii="Palatino Linotype" w:hAnsi="Palatino Linotype" w:cs="Tahoma"/>
          <w:bCs/>
          <w:iCs/>
          <w:color w:val="000000" w:themeColor="text1"/>
          <w:sz w:val="22"/>
          <w:szCs w:val="22"/>
          <w:lang w:val="es-ES_tradnl"/>
        </w:rPr>
        <w:t xml:space="preserve"> su respuesta inicial </w:t>
      </w:r>
      <w:r w:rsidR="00BB02BA">
        <w:rPr>
          <w:rFonts w:ascii="Palatino Linotype" w:hAnsi="Palatino Linotype" w:cs="Tahoma"/>
          <w:bCs/>
          <w:iCs/>
          <w:color w:val="000000" w:themeColor="text1"/>
          <w:sz w:val="22"/>
          <w:szCs w:val="22"/>
          <w:lang w:val="es-ES_tradnl"/>
        </w:rPr>
        <w:t>y manifestó que</w:t>
      </w:r>
      <w:r w:rsidR="00535E51">
        <w:rPr>
          <w:rFonts w:ascii="Palatino Linotype" w:hAnsi="Palatino Linotype" w:cs="Tahoma"/>
          <w:bCs/>
          <w:iCs/>
          <w:color w:val="000000" w:themeColor="text1"/>
          <w:sz w:val="22"/>
          <w:szCs w:val="22"/>
          <w:lang w:val="es-ES_tradnl"/>
        </w:rPr>
        <w:t xml:space="preserve"> </w:t>
      </w:r>
      <w:r w:rsidR="00AB3A3B">
        <w:rPr>
          <w:rFonts w:ascii="Palatino Linotype" w:hAnsi="Palatino Linotype" w:cs="Tahoma"/>
          <w:bCs/>
          <w:iCs/>
          <w:color w:val="000000" w:themeColor="text1"/>
          <w:sz w:val="22"/>
          <w:szCs w:val="22"/>
          <w:lang w:val="es-ES_tradnl"/>
        </w:rPr>
        <w:t>el</w:t>
      </w:r>
      <w:r w:rsidR="00724524" w:rsidRPr="00724524">
        <w:rPr>
          <w:rFonts w:ascii="Palatino Linotype" w:hAnsi="Palatino Linotype" w:cs="Tahoma"/>
          <w:bCs/>
          <w:iCs/>
          <w:color w:val="000000" w:themeColor="text1"/>
          <w:sz w:val="22"/>
          <w:szCs w:val="22"/>
          <w:lang w:val="es-ES_tradnl"/>
        </w:rPr>
        <w:t xml:space="preserve"> cuatro de mayo de dos mil dieciséis, se  publicó </w:t>
      </w:r>
      <w:r w:rsidR="00A571C1">
        <w:rPr>
          <w:rFonts w:ascii="Palatino Linotype" w:hAnsi="Palatino Linotype" w:cs="Tahoma"/>
          <w:bCs/>
          <w:iCs/>
          <w:color w:val="000000" w:themeColor="text1"/>
          <w:sz w:val="22"/>
          <w:szCs w:val="22"/>
          <w:lang w:val="es-ES_tradnl"/>
        </w:rPr>
        <w:t xml:space="preserve">  </w:t>
      </w:r>
      <w:r w:rsidR="00724524" w:rsidRPr="00724524">
        <w:rPr>
          <w:rFonts w:ascii="Palatino Linotype" w:hAnsi="Palatino Linotype" w:cs="Tahoma"/>
          <w:bCs/>
          <w:iCs/>
          <w:color w:val="000000" w:themeColor="text1"/>
          <w:sz w:val="22"/>
          <w:szCs w:val="22"/>
          <w:lang w:val="es-ES_tradnl"/>
        </w:rPr>
        <w:t xml:space="preserve">el Decreto por el cual se expidió la Ley de Transparencia y Acceso a la Información Pública del  Estado de México y Municipios, </w:t>
      </w:r>
      <w:r w:rsidR="004144BA">
        <w:rPr>
          <w:rFonts w:ascii="Palatino Linotype" w:hAnsi="Palatino Linotype" w:cs="Tahoma"/>
          <w:bCs/>
          <w:iCs/>
          <w:color w:val="000000" w:themeColor="text1"/>
          <w:sz w:val="22"/>
          <w:szCs w:val="22"/>
          <w:lang w:val="es-ES_tradnl"/>
        </w:rPr>
        <w:t>misma</w:t>
      </w:r>
      <w:r w:rsidR="00A571C1">
        <w:rPr>
          <w:rFonts w:ascii="Palatino Linotype" w:hAnsi="Palatino Linotype" w:cs="Tahoma"/>
          <w:bCs/>
          <w:iCs/>
          <w:color w:val="000000" w:themeColor="text1"/>
          <w:sz w:val="22"/>
          <w:szCs w:val="22"/>
          <w:lang w:val="es-ES_tradnl"/>
        </w:rPr>
        <w:t xml:space="preserve"> que </w:t>
      </w:r>
      <w:r w:rsidR="004A386F">
        <w:rPr>
          <w:rFonts w:ascii="Palatino Linotype" w:hAnsi="Palatino Linotype" w:cs="Tahoma"/>
          <w:bCs/>
          <w:iCs/>
          <w:color w:val="000000" w:themeColor="text1"/>
          <w:sz w:val="22"/>
          <w:szCs w:val="22"/>
          <w:lang w:val="es-ES_tradnl"/>
        </w:rPr>
        <w:t>contempla</w:t>
      </w:r>
      <w:r w:rsidR="00A571C1">
        <w:rPr>
          <w:rFonts w:ascii="Palatino Linotype" w:hAnsi="Palatino Linotype" w:cs="Tahoma"/>
          <w:bCs/>
          <w:iCs/>
          <w:color w:val="000000" w:themeColor="text1"/>
          <w:sz w:val="22"/>
          <w:szCs w:val="22"/>
          <w:lang w:val="es-ES_tradnl"/>
        </w:rPr>
        <w:t xml:space="preserve"> en su </w:t>
      </w:r>
      <w:r w:rsidR="00724524" w:rsidRPr="00724524">
        <w:rPr>
          <w:rFonts w:ascii="Palatino Linotype" w:hAnsi="Palatino Linotype" w:cs="Tahoma"/>
          <w:bCs/>
          <w:iCs/>
          <w:color w:val="000000" w:themeColor="text1"/>
          <w:sz w:val="22"/>
          <w:szCs w:val="22"/>
          <w:lang w:val="es-ES_tradnl"/>
        </w:rPr>
        <w:t xml:space="preserve"> artí</w:t>
      </w:r>
      <w:r w:rsidR="00A571C1">
        <w:rPr>
          <w:rFonts w:ascii="Palatino Linotype" w:hAnsi="Palatino Linotype" w:cs="Tahoma"/>
          <w:bCs/>
          <w:iCs/>
          <w:color w:val="000000" w:themeColor="text1"/>
          <w:sz w:val="22"/>
          <w:szCs w:val="22"/>
          <w:lang w:val="es-ES_tradnl"/>
        </w:rPr>
        <w:t>culo 36, fracción XXVI</w:t>
      </w:r>
      <w:r w:rsidR="00AB3A3B">
        <w:rPr>
          <w:rFonts w:ascii="Palatino Linotype" w:hAnsi="Palatino Linotype" w:cs="Tahoma"/>
          <w:bCs/>
          <w:iCs/>
          <w:color w:val="000000" w:themeColor="text1"/>
          <w:sz w:val="22"/>
          <w:szCs w:val="22"/>
          <w:lang w:val="es-ES_tradnl"/>
        </w:rPr>
        <w:t>,</w:t>
      </w:r>
      <w:r w:rsidR="00A571C1">
        <w:rPr>
          <w:rFonts w:ascii="Palatino Linotype" w:hAnsi="Palatino Linotype" w:cs="Tahoma"/>
          <w:bCs/>
          <w:iCs/>
          <w:color w:val="000000" w:themeColor="text1"/>
          <w:sz w:val="22"/>
          <w:szCs w:val="22"/>
          <w:lang w:val="es-ES_tradnl"/>
        </w:rPr>
        <w:t xml:space="preserve"> que e</w:t>
      </w:r>
      <w:r w:rsidR="00724524" w:rsidRPr="00724524">
        <w:rPr>
          <w:rFonts w:ascii="Palatino Linotype" w:hAnsi="Palatino Linotype" w:cs="Tahoma"/>
          <w:bCs/>
          <w:iCs/>
          <w:color w:val="000000" w:themeColor="text1"/>
          <w:sz w:val="22"/>
          <w:szCs w:val="22"/>
          <w:lang w:val="es-ES_tradnl"/>
        </w:rPr>
        <w:t xml:space="preserve">l Instituto tendrá, </w:t>
      </w:r>
      <w:r w:rsidR="00A571C1">
        <w:rPr>
          <w:rFonts w:ascii="Palatino Linotype" w:hAnsi="Palatino Linotype" w:cs="Tahoma"/>
          <w:bCs/>
          <w:iCs/>
          <w:color w:val="000000" w:themeColor="text1"/>
          <w:sz w:val="22"/>
          <w:szCs w:val="22"/>
          <w:lang w:val="es-ES_tradnl"/>
        </w:rPr>
        <w:t>la atribución de n</w:t>
      </w:r>
      <w:r w:rsidR="00724524" w:rsidRPr="00724524">
        <w:rPr>
          <w:rFonts w:ascii="Palatino Linotype" w:hAnsi="Palatino Linotype" w:cs="Tahoma"/>
          <w:bCs/>
          <w:iCs/>
          <w:color w:val="000000" w:themeColor="text1"/>
          <w:sz w:val="22"/>
          <w:szCs w:val="22"/>
          <w:lang w:val="es-ES_tradnl"/>
        </w:rPr>
        <w:t xml:space="preserve">ombrar al </w:t>
      </w:r>
      <w:r w:rsidR="004144BA">
        <w:rPr>
          <w:rFonts w:ascii="Palatino Linotype" w:hAnsi="Palatino Linotype" w:cs="Tahoma"/>
          <w:bCs/>
          <w:iCs/>
          <w:color w:val="000000" w:themeColor="text1"/>
          <w:sz w:val="22"/>
          <w:szCs w:val="22"/>
          <w:lang w:val="es-ES_tradnl"/>
        </w:rPr>
        <w:t>Contralor Interno; no obstante lo anterior, con posterioridad</w:t>
      </w:r>
      <w:r w:rsidR="004A386F">
        <w:rPr>
          <w:rFonts w:ascii="Palatino Linotype" w:hAnsi="Palatino Linotype" w:cs="Tahoma"/>
          <w:bCs/>
          <w:iCs/>
          <w:color w:val="000000" w:themeColor="text1"/>
          <w:sz w:val="22"/>
          <w:szCs w:val="22"/>
          <w:lang w:val="es-ES_tradnl"/>
        </w:rPr>
        <w:t>, el veinticuatro de abril de dos mil diecisiete</w:t>
      </w:r>
      <w:r w:rsidR="00AB3A3B">
        <w:rPr>
          <w:rFonts w:ascii="Palatino Linotype" w:hAnsi="Palatino Linotype" w:cs="Tahoma"/>
          <w:bCs/>
          <w:iCs/>
          <w:color w:val="000000" w:themeColor="text1"/>
          <w:sz w:val="22"/>
          <w:szCs w:val="22"/>
          <w:lang w:val="es-ES_tradnl"/>
        </w:rPr>
        <w:t>,</w:t>
      </w:r>
      <w:r w:rsidR="004144BA">
        <w:rPr>
          <w:rFonts w:ascii="Palatino Linotype" w:hAnsi="Palatino Linotype" w:cs="Tahoma"/>
          <w:bCs/>
          <w:iCs/>
          <w:color w:val="000000" w:themeColor="text1"/>
          <w:sz w:val="22"/>
          <w:szCs w:val="22"/>
          <w:lang w:val="es-ES_tradnl"/>
        </w:rPr>
        <w:t xml:space="preserve"> fue </w:t>
      </w:r>
      <w:r w:rsidR="00465F70">
        <w:rPr>
          <w:rFonts w:ascii="Palatino Linotype" w:hAnsi="Palatino Linotype" w:cs="Tahoma"/>
          <w:bCs/>
          <w:iCs/>
          <w:color w:val="000000" w:themeColor="text1"/>
          <w:sz w:val="22"/>
          <w:szCs w:val="22"/>
          <w:lang w:val="es-ES_tradnl"/>
        </w:rPr>
        <w:t>publicado el</w:t>
      </w:r>
      <w:r w:rsidR="004A386F" w:rsidRPr="004A386F">
        <w:rPr>
          <w:rFonts w:ascii="Palatino Linotype" w:hAnsi="Palatino Linotype" w:cs="Tahoma"/>
          <w:bCs/>
          <w:i/>
          <w:iCs/>
          <w:color w:val="000000" w:themeColor="text1"/>
          <w:sz w:val="22"/>
          <w:szCs w:val="22"/>
          <w:lang w:val="es-ES_tradnl"/>
        </w:rPr>
        <w:t xml:space="preserve"> </w:t>
      </w:r>
      <w:r w:rsidR="004A386F">
        <w:rPr>
          <w:rFonts w:ascii="Palatino Linotype" w:hAnsi="Palatino Linotype" w:cs="Tahoma"/>
          <w:bCs/>
          <w:iCs/>
          <w:color w:val="000000" w:themeColor="text1"/>
          <w:sz w:val="22"/>
          <w:szCs w:val="22"/>
          <w:lang w:val="es-ES_tradnl"/>
        </w:rPr>
        <w:t>Decreto</w:t>
      </w:r>
      <w:r w:rsidR="00465F70">
        <w:rPr>
          <w:rFonts w:ascii="Palatino Linotype" w:hAnsi="Palatino Linotype" w:cs="Tahoma"/>
          <w:bCs/>
          <w:iCs/>
          <w:color w:val="000000" w:themeColor="text1"/>
          <w:sz w:val="22"/>
          <w:szCs w:val="22"/>
          <w:lang w:val="es-ES_tradnl"/>
        </w:rPr>
        <w:t xml:space="preserve"> 202</w:t>
      </w:r>
      <w:r w:rsidR="004A386F">
        <w:rPr>
          <w:rFonts w:ascii="Palatino Linotype" w:hAnsi="Palatino Linotype" w:cs="Tahoma"/>
          <w:bCs/>
          <w:iCs/>
          <w:color w:val="000000" w:themeColor="text1"/>
          <w:sz w:val="22"/>
          <w:szCs w:val="22"/>
          <w:lang w:val="es-ES_tradnl"/>
        </w:rPr>
        <w:t xml:space="preserve"> que reformó </w:t>
      </w:r>
      <w:r w:rsidR="004144BA">
        <w:rPr>
          <w:rFonts w:ascii="Palatino Linotype" w:hAnsi="Palatino Linotype" w:cs="Tahoma"/>
          <w:bCs/>
          <w:iCs/>
          <w:color w:val="000000" w:themeColor="text1"/>
          <w:sz w:val="22"/>
          <w:szCs w:val="22"/>
          <w:lang w:val="es-ES_tradnl"/>
        </w:rPr>
        <w:t xml:space="preserve">el artículo </w:t>
      </w:r>
      <w:r w:rsidR="004A386F">
        <w:rPr>
          <w:rFonts w:ascii="Palatino Linotype" w:hAnsi="Palatino Linotype" w:cs="Tahoma"/>
          <w:bCs/>
          <w:iCs/>
          <w:color w:val="000000" w:themeColor="text1"/>
          <w:sz w:val="22"/>
          <w:szCs w:val="22"/>
          <w:lang w:val="es-ES_tradnl"/>
        </w:rPr>
        <w:t xml:space="preserve">61 </w:t>
      </w:r>
      <w:r w:rsidR="004A386F" w:rsidRPr="004A386F">
        <w:rPr>
          <w:rFonts w:ascii="Palatino Linotype" w:hAnsi="Palatino Linotype" w:cs="Tahoma"/>
          <w:bCs/>
          <w:iCs/>
          <w:color w:val="000000" w:themeColor="text1"/>
          <w:sz w:val="22"/>
          <w:szCs w:val="22"/>
          <w:lang w:val="es-ES_tradnl"/>
        </w:rPr>
        <w:t xml:space="preserve"> de la Constitución Política del Estado Libre y Soberano de México, </w:t>
      </w:r>
      <w:r w:rsidR="004A386F">
        <w:rPr>
          <w:rFonts w:ascii="Palatino Linotype" w:hAnsi="Palatino Linotype" w:cs="Tahoma"/>
          <w:bCs/>
          <w:iCs/>
          <w:color w:val="000000" w:themeColor="text1"/>
          <w:sz w:val="22"/>
          <w:szCs w:val="22"/>
          <w:lang w:val="es-ES_tradnl"/>
        </w:rPr>
        <w:t>en su fracción</w:t>
      </w:r>
      <w:r w:rsidR="004A386F" w:rsidRPr="004A386F">
        <w:rPr>
          <w:rFonts w:ascii="Palatino Linotype" w:hAnsi="Palatino Linotype" w:cs="Tahoma"/>
          <w:bCs/>
          <w:iCs/>
          <w:color w:val="000000" w:themeColor="text1"/>
          <w:sz w:val="22"/>
          <w:szCs w:val="22"/>
          <w:lang w:val="es-ES_tradnl"/>
        </w:rPr>
        <w:t xml:space="preserve"> LIV</w:t>
      </w:r>
      <w:r w:rsidR="004A386F">
        <w:rPr>
          <w:rFonts w:ascii="Palatino Linotype" w:hAnsi="Palatino Linotype" w:cs="Tahoma"/>
          <w:bCs/>
          <w:iCs/>
          <w:color w:val="000000" w:themeColor="text1"/>
          <w:sz w:val="22"/>
          <w:szCs w:val="22"/>
          <w:lang w:val="es-ES_tradnl"/>
        </w:rPr>
        <w:t xml:space="preserve">, mismo que establece que </w:t>
      </w:r>
      <w:r w:rsidR="00AB3A3B">
        <w:rPr>
          <w:rFonts w:ascii="Palatino Linotype" w:hAnsi="Palatino Linotype" w:cs="Tahoma"/>
          <w:bCs/>
          <w:iCs/>
          <w:color w:val="000000" w:themeColor="text1"/>
          <w:sz w:val="22"/>
          <w:szCs w:val="22"/>
          <w:lang w:val="es-ES_tradnl"/>
        </w:rPr>
        <w:t>era</w:t>
      </w:r>
      <w:r w:rsidR="004A386F" w:rsidRPr="004A386F">
        <w:rPr>
          <w:rFonts w:ascii="Palatino Linotype" w:hAnsi="Palatino Linotype" w:cs="Tahoma"/>
          <w:bCs/>
          <w:iCs/>
          <w:color w:val="000000" w:themeColor="text1"/>
          <w:sz w:val="22"/>
          <w:szCs w:val="22"/>
          <w:lang w:val="es-ES_tradnl"/>
        </w:rPr>
        <w:t xml:space="preserve"> facultad y </w:t>
      </w:r>
      <w:r w:rsidR="004A386F">
        <w:rPr>
          <w:rFonts w:ascii="Palatino Linotype" w:hAnsi="Palatino Linotype" w:cs="Tahoma"/>
          <w:bCs/>
          <w:iCs/>
          <w:color w:val="000000" w:themeColor="text1"/>
          <w:sz w:val="22"/>
          <w:szCs w:val="22"/>
          <w:lang w:val="es-ES_tradnl"/>
        </w:rPr>
        <w:t>obligaci</w:t>
      </w:r>
      <w:r w:rsidR="00AB3A3B">
        <w:rPr>
          <w:rFonts w:ascii="Palatino Linotype" w:hAnsi="Palatino Linotype" w:cs="Tahoma"/>
          <w:bCs/>
          <w:iCs/>
          <w:color w:val="000000" w:themeColor="text1"/>
          <w:sz w:val="22"/>
          <w:szCs w:val="22"/>
          <w:lang w:val="es-ES_tradnl"/>
        </w:rPr>
        <w:t>ó</w:t>
      </w:r>
      <w:r w:rsidR="004A386F">
        <w:rPr>
          <w:rFonts w:ascii="Palatino Linotype" w:hAnsi="Palatino Linotype" w:cs="Tahoma"/>
          <w:bCs/>
          <w:iCs/>
          <w:color w:val="000000" w:themeColor="text1"/>
          <w:sz w:val="22"/>
          <w:szCs w:val="22"/>
          <w:lang w:val="es-ES_tradnl"/>
        </w:rPr>
        <w:t xml:space="preserve">n de la legislatura </w:t>
      </w:r>
      <w:r w:rsidR="004A386F" w:rsidRPr="004A386F">
        <w:rPr>
          <w:rFonts w:ascii="Palatino Linotype" w:hAnsi="Palatino Linotype" w:cs="Tahoma"/>
          <w:b/>
          <w:bCs/>
          <w:iCs/>
          <w:color w:val="000000" w:themeColor="text1"/>
          <w:sz w:val="22"/>
          <w:szCs w:val="22"/>
          <w:lang w:val="es-ES_tradnl"/>
        </w:rPr>
        <w:t>designar  a los titulares de los órganos internos de control de los organismos a los que la Constitución reconoce autonomía</w:t>
      </w:r>
      <w:r w:rsidR="004A386F">
        <w:rPr>
          <w:rFonts w:ascii="Palatino Linotype" w:hAnsi="Palatino Linotype" w:cs="Tahoma"/>
          <w:bCs/>
          <w:iCs/>
          <w:color w:val="000000" w:themeColor="text1"/>
          <w:sz w:val="22"/>
          <w:szCs w:val="22"/>
          <w:lang w:val="es-ES_tradnl"/>
        </w:rPr>
        <w:t xml:space="preserve">, como lo es </w:t>
      </w:r>
      <w:r w:rsidR="00AB3A3B">
        <w:rPr>
          <w:rFonts w:ascii="Palatino Linotype" w:hAnsi="Palatino Linotype" w:cs="Tahoma"/>
          <w:bCs/>
          <w:iCs/>
          <w:color w:val="000000" w:themeColor="text1"/>
          <w:sz w:val="22"/>
          <w:szCs w:val="22"/>
          <w:lang w:val="es-ES_tradnl"/>
        </w:rPr>
        <w:t>este Instituto</w:t>
      </w:r>
      <w:r w:rsidR="004A386F">
        <w:rPr>
          <w:rFonts w:ascii="Palatino Linotype" w:hAnsi="Palatino Linotype" w:cs="Tahoma"/>
          <w:bCs/>
          <w:iCs/>
          <w:color w:val="000000" w:themeColor="text1"/>
          <w:sz w:val="22"/>
          <w:szCs w:val="22"/>
          <w:lang w:val="es-ES_tradnl"/>
        </w:rPr>
        <w:t xml:space="preserve">. </w:t>
      </w:r>
    </w:p>
    <w:p w14:paraId="774B8854" w14:textId="77777777" w:rsidR="004A386F" w:rsidRDefault="004A386F" w:rsidP="004144BA">
      <w:pPr>
        <w:spacing w:line="360" w:lineRule="auto"/>
        <w:jc w:val="both"/>
        <w:rPr>
          <w:rFonts w:ascii="Palatino Linotype" w:hAnsi="Palatino Linotype" w:cs="Tahoma"/>
          <w:bCs/>
          <w:iCs/>
          <w:color w:val="000000" w:themeColor="text1"/>
          <w:sz w:val="22"/>
          <w:szCs w:val="22"/>
          <w:lang w:val="es-ES_tradnl"/>
        </w:rPr>
      </w:pPr>
    </w:p>
    <w:p w14:paraId="105383B4" w14:textId="26763804" w:rsidR="00724524" w:rsidRDefault="00724524" w:rsidP="00A571C1">
      <w:pPr>
        <w:spacing w:line="360" w:lineRule="auto"/>
        <w:jc w:val="both"/>
        <w:rPr>
          <w:rFonts w:ascii="Palatino Linotype" w:hAnsi="Palatino Linotype" w:cs="Tahoma"/>
          <w:bCs/>
          <w:iCs/>
          <w:color w:val="000000" w:themeColor="text1"/>
          <w:sz w:val="22"/>
          <w:szCs w:val="22"/>
          <w:lang w:val="es-ES_tradnl"/>
        </w:rPr>
      </w:pPr>
      <w:r w:rsidRPr="00724524">
        <w:rPr>
          <w:rFonts w:ascii="Palatino Linotype" w:hAnsi="Palatino Linotype" w:cs="Tahoma"/>
          <w:bCs/>
          <w:iCs/>
          <w:color w:val="000000" w:themeColor="text1"/>
          <w:sz w:val="22"/>
          <w:szCs w:val="22"/>
          <w:lang w:val="es-ES_tradnl"/>
        </w:rPr>
        <w:t xml:space="preserve">De igual manera, </w:t>
      </w:r>
      <w:r w:rsidR="004144BA">
        <w:rPr>
          <w:rFonts w:ascii="Palatino Linotype" w:hAnsi="Palatino Linotype" w:cs="Tahoma"/>
          <w:bCs/>
          <w:iCs/>
          <w:color w:val="000000" w:themeColor="text1"/>
          <w:sz w:val="22"/>
          <w:szCs w:val="22"/>
          <w:lang w:val="es-ES_tradnl"/>
        </w:rPr>
        <w:t xml:space="preserve">refirió que </w:t>
      </w:r>
      <w:r w:rsidR="00A571C1">
        <w:rPr>
          <w:rFonts w:ascii="Palatino Linotype" w:hAnsi="Palatino Linotype" w:cs="Tahoma"/>
          <w:bCs/>
          <w:iCs/>
          <w:color w:val="000000" w:themeColor="text1"/>
          <w:sz w:val="22"/>
          <w:szCs w:val="22"/>
          <w:lang w:val="es-ES_tradnl"/>
        </w:rPr>
        <w:t xml:space="preserve">el </w:t>
      </w:r>
      <w:r w:rsidRPr="00724524">
        <w:rPr>
          <w:rFonts w:ascii="Palatino Linotype" w:hAnsi="Palatino Linotype" w:cs="Tahoma"/>
          <w:bCs/>
          <w:iCs/>
          <w:color w:val="000000" w:themeColor="text1"/>
          <w:sz w:val="22"/>
          <w:szCs w:val="22"/>
          <w:lang w:val="es-ES_tradnl"/>
        </w:rPr>
        <w:t xml:space="preserve">Decreto 202, </w:t>
      </w:r>
      <w:r w:rsidR="00A571C1">
        <w:rPr>
          <w:rFonts w:ascii="Palatino Linotype" w:hAnsi="Palatino Linotype" w:cs="Tahoma"/>
          <w:bCs/>
          <w:iCs/>
          <w:color w:val="000000" w:themeColor="text1"/>
          <w:sz w:val="22"/>
          <w:szCs w:val="22"/>
          <w:lang w:val="es-ES_tradnl"/>
        </w:rPr>
        <w:t>establece que l</w:t>
      </w:r>
      <w:r w:rsidRPr="00724524">
        <w:rPr>
          <w:rFonts w:ascii="Palatino Linotype" w:hAnsi="Palatino Linotype" w:cs="Tahoma"/>
          <w:bCs/>
          <w:iCs/>
          <w:color w:val="000000" w:themeColor="text1"/>
          <w:sz w:val="22"/>
          <w:szCs w:val="22"/>
          <w:lang w:val="es-ES_tradnl"/>
        </w:rPr>
        <w:t xml:space="preserve">os titulares de los Órganos Internos de Control de los Órganos constitucionalmente </w:t>
      </w:r>
      <w:r w:rsidR="00465F70">
        <w:rPr>
          <w:rFonts w:ascii="Palatino Linotype" w:hAnsi="Palatino Linotype" w:cs="Tahoma"/>
          <w:bCs/>
          <w:iCs/>
          <w:color w:val="000000" w:themeColor="text1"/>
          <w:sz w:val="22"/>
          <w:szCs w:val="22"/>
          <w:lang w:val="es-ES_tradnl"/>
        </w:rPr>
        <w:t>Autónomos, que se encontraban</w:t>
      </w:r>
      <w:r w:rsidRPr="00724524">
        <w:rPr>
          <w:rFonts w:ascii="Palatino Linotype" w:hAnsi="Palatino Linotype" w:cs="Tahoma"/>
          <w:bCs/>
          <w:iCs/>
          <w:color w:val="000000" w:themeColor="text1"/>
          <w:sz w:val="22"/>
          <w:szCs w:val="22"/>
          <w:lang w:val="es-ES_tradnl"/>
        </w:rPr>
        <w:t xml:space="preserve"> en funciones al entra</w:t>
      </w:r>
      <w:r w:rsidR="00465F70">
        <w:rPr>
          <w:rFonts w:ascii="Palatino Linotype" w:hAnsi="Palatino Linotype" w:cs="Tahoma"/>
          <w:bCs/>
          <w:iCs/>
          <w:color w:val="000000" w:themeColor="text1"/>
          <w:sz w:val="22"/>
          <w:szCs w:val="22"/>
          <w:lang w:val="es-ES_tradnl"/>
        </w:rPr>
        <w:t>r en vigor el mismo, se sujetaría</w:t>
      </w:r>
      <w:r w:rsidRPr="00724524">
        <w:rPr>
          <w:rFonts w:ascii="Palatino Linotype" w:hAnsi="Palatino Linotype" w:cs="Tahoma"/>
          <w:bCs/>
          <w:iCs/>
          <w:color w:val="000000" w:themeColor="text1"/>
          <w:sz w:val="22"/>
          <w:szCs w:val="22"/>
          <w:lang w:val="es-ES_tradnl"/>
        </w:rPr>
        <w:t>n al procedimiento de designación o ratific</w:t>
      </w:r>
      <w:r w:rsidR="00FC4C8E">
        <w:rPr>
          <w:rFonts w:ascii="Palatino Linotype" w:hAnsi="Palatino Linotype" w:cs="Tahoma"/>
          <w:bCs/>
          <w:iCs/>
          <w:color w:val="000000" w:themeColor="text1"/>
          <w:sz w:val="22"/>
          <w:szCs w:val="22"/>
          <w:lang w:val="es-ES_tradnl"/>
        </w:rPr>
        <w:t>ación.</w:t>
      </w:r>
    </w:p>
    <w:p w14:paraId="285D82F8" w14:textId="77777777" w:rsidR="00FC4C8E" w:rsidRDefault="00FC4C8E" w:rsidP="00A571C1">
      <w:pPr>
        <w:spacing w:line="360" w:lineRule="auto"/>
        <w:jc w:val="both"/>
        <w:rPr>
          <w:rFonts w:ascii="Palatino Linotype" w:hAnsi="Palatino Linotype" w:cs="Tahoma"/>
          <w:bCs/>
          <w:iCs/>
          <w:color w:val="000000" w:themeColor="text1"/>
          <w:sz w:val="22"/>
          <w:szCs w:val="22"/>
          <w:lang w:val="es-ES_tradnl"/>
        </w:rPr>
      </w:pPr>
    </w:p>
    <w:p w14:paraId="5C9AC8E8" w14:textId="5CCEEA38" w:rsidR="00A367DA" w:rsidRDefault="00AB3A3B" w:rsidP="00A367DA">
      <w:pPr>
        <w:spacing w:line="360" w:lineRule="auto"/>
        <w:jc w:val="both"/>
        <w:rPr>
          <w:rFonts w:ascii="Palatino Linotype" w:hAnsi="Palatino Linotype" w:cs="Tahoma"/>
          <w:bCs/>
          <w:iCs/>
          <w:color w:val="000000" w:themeColor="text1"/>
          <w:sz w:val="22"/>
          <w:szCs w:val="22"/>
          <w:lang w:val="es-ES_tradnl"/>
        </w:rPr>
      </w:pPr>
      <w:r>
        <w:rPr>
          <w:rFonts w:ascii="Palatino Linotype" w:hAnsi="Palatino Linotype" w:cs="Tahoma"/>
          <w:bCs/>
          <w:iCs/>
          <w:color w:val="000000" w:themeColor="text1"/>
          <w:sz w:val="22"/>
          <w:szCs w:val="22"/>
          <w:lang w:val="es-ES_tradnl"/>
        </w:rPr>
        <w:t>Asimismo</w:t>
      </w:r>
      <w:r w:rsidR="00A367DA">
        <w:rPr>
          <w:rFonts w:ascii="Palatino Linotype" w:hAnsi="Palatino Linotype" w:cs="Tahoma"/>
          <w:bCs/>
          <w:iCs/>
          <w:color w:val="000000" w:themeColor="text1"/>
          <w:sz w:val="22"/>
          <w:szCs w:val="22"/>
          <w:lang w:val="es-ES_tradnl"/>
        </w:rPr>
        <w:t>, comunicó que</w:t>
      </w:r>
      <w:r w:rsidR="00A367DA" w:rsidRPr="00A367DA">
        <w:rPr>
          <w:rFonts w:ascii="Palatino Linotype" w:hAnsi="Palatino Linotype" w:cs="Tahoma"/>
          <w:bCs/>
          <w:iCs/>
          <w:color w:val="000000" w:themeColor="text1"/>
          <w:sz w:val="22"/>
          <w:szCs w:val="22"/>
          <w:lang w:val="es-ES_tradnl"/>
        </w:rPr>
        <w:t xml:space="preserve"> el diez de noviembre de dos mil diecisiete, se publicó en el Periódico Oficial “Gaceta del Gobierno” del Estado de México, el Acuerdo de la H. “LIX” Legislatura del Estado de México, por el que se establece el proceso y la convocatoria para la designación </w:t>
      </w:r>
      <w:r w:rsidR="00A367DA" w:rsidRPr="00A367DA">
        <w:rPr>
          <w:rFonts w:ascii="Palatino Linotype" w:hAnsi="Palatino Linotype" w:cs="Tahoma"/>
          <w:bCs/>
          <w:iCs/>
          <w:color w:val="000000" w:themeColor="text1"/>
          <w:sz w:val="22"/>
          <w:szCs w:val="22"/>
          <w:lang w:val="es-ES_tradnl"/>
        </w:rPr>
        <w:lastRenderedPageBreak/>
        <w:t xml:space="preserve">de los Titulares de los Órganos Internos de Control de los Organismos con Autonomía </w:t>
      </w:r>
      <w:r w:rsidR="00A367DA">
        <w:rPr>
          <w:rFonts w:ascii="Palatino Linotype" w:hAnsi="Palatino Linotype" w:cs="Tahoma"/>
          <w:bCs/>
          <w:iCs/>
          <w:color w:val="000000" w:themeColor="text1"/>
          <w:sz w:val="22"/>
          <w:szCs w:val="22"/>
          <w:lang w:val="es-ES_tradnl"/>
        </w:rPr>
        <w:t xml:space="preserve"> y que d</w:t>
      </w:r>
      <w:r w:rsidR="00A367DA" w:rsidRPr="00A367DA">
        <w:rPr>
          <w:rFonts w:ascii="Palatino Linotype" w:hAnsi="Palatino Linotype" w:cs="Tahoma"/>
          <w:bCs/>
          <w:iCs/>
          <w:color w:val="000000" w:themeColor="text1"/>
          <w:sz w:val="22"/>
          <w:szCs w:val="22"/>
          <w:lang w:val="es-ES_tradnl"/>
        </w:rPr>
        <w:t xml:space="preserve">erivado del proceso referido </w:t>
      </w:r>
      <w:r w:rsidR="00A367DA">
        <w:rPr>
          <w:rFonts w:ascii="Palatino Linotype" w:hAnsi="Palatino Linotype" w:cs="Tahoma"/>
          <w:bCs/>
          <w:iCs/>
          <w:color w:val="000000" w:themeColor="text1"/>
          <w:sz w:val="22"/>
          <w:szCs w:val="22"/>
          <w:lang w:val="es-ES_tradnl"/>
        </w:rPr>
        <w:t>se designó</w:t>
      </w:r>
      <w:r w:rsidR="00A367DA" w:rsidRPr="00A367DA">
        <w:rPr>
          <w:rFonts w:ascii="Palatino Linotype" w:hAnsi="Palatino Linotype" w:cs="Tahoma"/>
          <w:bCs/>
          <w:iCs/>
          <w:color w:val="000000" w:themeColor="text1"/>
          <w:sz w:val="22"/>
          <w:szCs w:val="22"/>
          <w:lang w:val="es-ES_tradnl"/>
        </w:rPr>
        <w:t xml:space="preserve"> al C. Ignacio Saúl Acosta Rodríguez, Titular del Órgano de Control Interno del Instituto de Transparencia, Acceso a la Información Pública y Protección de Datos Personales del</w:t>
      </w:r>
      <w:r w:rsidR="00A367DA">
        <w:rPr>
          <w:rFonts w:ascii="Palatino Linotype" w:hAnsi="Palatino Linotype" w:cs="Tahoma"/>
          <w:bCs/>
          <w:iCs/>
          <w:color w:val="000000" w:themeColor="text1"/>
          <w:sz w:val="22"/>
          <w:szCs w:val="22"/>
          <w:lang w:val="es-ES_tradnl"/>
        </w:rPr>
        <w:t xml:space="preserve"> Estado de México y Municipios.</w:t>
      </w:r>
    </w:p>
    <w:p w14:paraId="391A4346" w14:textId="77777777" w:rsidR="00A367DA" w:rsidRDefault="00A367DA" w:rsidP="00A571C1">
      <w:pPr>
        <w:spacing w:line="360" w:lineRule="auto"/>
        <w:jc w:val="both"/>
        <w:rPr>
          <w:rFonts w:ascii="Palatino Linotype" w:hAnsi="Palatino Linotype" w:cs="Tahoma"/>
          <w:bCs/>
          <w:iCs/>
          <w:color w:val="000000" w:themeColor="text1"/>
          <w:sz w:val="22"/>
          <w:szCs w:val="22"/>
          <w:lang w:val="es-ES_tradnl"/>
        </w:rPr>
      </w:pPr>
    </w:p>
    <w:p w14:paraId="385D97D4" w14:textId="77777777" w:rsidR="008A4BF6" w:rsidRPr="008A4BF6" w:rsidRDefault="008A4BF6" w:rsidP="00261F7E">
      <w:pPr>
        <w:spacing w:line="360" w:lineRule="auto"/>
        <w:jc w:val="both"/>
        <w:rPr>
          <w:rFonts w:ascii="Palatino Linotype" w:hAnsi="Palatino Linotype" w:cs="Tahoma"/>
          <w:bCs/>
          <w:iCs/>
          <w:sz w:val="22"/>
          <w:szCs w:val="22"/>
        </w:rPr>
      </w:pPr>
      <w:r w:rsidRPr="008A4BF6">
        <w:rPr>
          <w:rFonts w:ascii="Palatino Linotype" w:hAnsi="Palatino Linotype" w:cs="Tahoma"/>
          <w:bCs/>
          <w:iCs/>
          <w:sz w:val="22"/>
          <w:szCs w:val="22"/>
        </w:rPr>
        <w:t>Lo anterior, se desprende de las documentales que obran en el expediente de referencia, materia de la presente resolución, consistente en: la solicitud de información; la respuesta del Sujeto Obligado; el escrito recursal y el Informe Justificado del Ente Recurrido, instrumentales que se toman en cuenta a efecto de resolver el presente medio de impugnación, conforme a lo dispuesto por el artículo 185, fracción IV, de la Ley de Transparencia y Acceso a la Información Pública del Estado de México y Municipios.</w:t>
      </w:r>
    </w:p>
    <w:p w14:paraId="799683F7" w14:textId="08FC53F8" w:rsidR="008A4BF6" w:rsidRDefault="008A4BF6" w:rsidP="00261F7E">
      <w:pPr>
        <w:spacing w:line="360" w:lineRule="auto"/>
        <w:jc w:val="both"/>
        <w:rPr>
          <w:rFonts w:ascii="Palatino Linotype" w:hAnsi="Palatino Linotype" w:cs="Tahoma"/>
          <w:sz w:val="22"/>
          <w:szCs w:val="24"/>
          <w:lang w:val="es-ES"/>
        </w:rPr>
      </w:pPr>
    </w:p>
    <w:p w14:paraId="4064BD89" w14:textId="77777777" w:rsidR="00AB3A3B" w:rsidRPr="00AB3A3B" w:rsidRDefault="00AB3A3B" w:rsidP="00AB3A3B">
      <w:pPr>
        <w:spacing w:line="360" w:lineRule="auto"/>
        <w:jc w:val="both"/>
        <w:rPr>
          <w:rFonts w:ascii="Palatino Linotype" w:hAnsi="Palatino Linotype" w:cs="Tahoma"/>
          <w:b/>
          <w:bCs/>
          <w:iCs/>
          <w:sz w:val="22"/>
          <w:szCs w:val="22"/>
        </w:rPr>
      </w:pPr>
      <w:r w:rsidRPr="00AB3A3B">
        <w:rPr>
          <w:rFonts w:ascii="Palatino Linotype" w:hAnsi="Palatino Linotype" w:cs="Tahoma"/>
          <w:b/>
          <w:bCs/>
          <w:iCs/>
          <w:sz w:val="22"/>
          <w:szCs w:val="22"/>
          <w:lang w:val="es-ES"/>
        </w:rPr>
        <w:t xml:space="preserve">CUARTO. </w:t>
      </w:r>
      <w:r w:rsidRPr="00AB3A3B">
        <w:rPr>
          <w:rFonts w:ascii="Palatino Linotype" w:hAnsi="Palatino Linotype" w:cs="Tahoma"/>
          <w:b/>
          <w:bCs/>
          <w:iCs/>
          <w:sz w:val="22"/>
          <w:szCs w:val="22"/>
        </w:rPr>
        <w:t>Marco normativo aplicable en materia de transparencia y acceso a la información pública.</w:t>
      </w:r>
    </w:p>
    <w:p w14:paraId="73C80C67" w14:textId="77777777" w:rsidR="00AB3A3B" w:rsidRPr="00AB3A3B" w:rsidRDefault="00AB3A3B" w:rsidP="00AB3A3B">
      <w:pPr>
        <w:spacing w:line="360" w:lineRule="auto"/>
        <w:jc w:val="both"/>
        <w:rPr>
          <w:rFonts w:ascii="Palatino Linotype" w:hAnsi="Palatino Linotype" w:cs="Tahoma"/>
          <w:b/>
          <w:bCs/>
          <w:iCs/>
          <w:sz w:val="22"/>
          <w:szCs w:val="22"/>
        </w:rPr>
      </w:pPr>
    </w:p>
    <w:p w14:paraId="5C90D13D" w14:textId="77777777" w:rsidR="00AB3A3B" w:rsidRPr="00AB3A3B" w:rsidRDefault="00AB3A3B" w:rsidP="00AB3A3B">
      <w:pPr>
        <w:spacing w:line="360" w:lineRule="auto"/>
        <w:jc w:val="both"/>
        <w:rPr>
          <w:rFonts w:ascii="Palatino Linotype" w:hAnsi="Palatino Linotype" w:cs="Tahoma"/>
          <w:bCs/>
          <w:iCs/>
          <w:sz w:val="22"/>
          <w:szCs w:val="22"/>
        </w:rPr>
      </w:pPr>
      <w:r w:rsidRPr="00AB3A3B">
        <w:rPr>
          <w:rFonts w:ascii="Palatino Linotype" w:hAnsi="Palatino Linotype" w:cs="Tahoma"/>
          <w:bCs/>
          <w:iCs/>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AB7FAE2" w14:textId="77777777" w:rsidR="00AB3A3B" w:rsidRPr="00AB3A3B" w:rsidRDefault="00AB3A3B" w:rsidP="00AB3A3B">
      <w:pPr>
        <w:spacing w:line="360" w:lineRule="auto"/>
        <w:jc w:val="both"/>
        <w:rPr>
          <w:rFonts w:ascii="Palatino Linotype" w:hAnsi="Palatino Linotype" w:cs="Tahoma"/>
          <w:bCs/>
          <w:iCs/>
          <w:sz w:val="22"/>
          <w:szCs w:val="22"/>
        </w:rPr>
      </w:pPr>
    </w:p>
    <w:p w14:paraId="3F209541" w14:textId="77777777" w:rsidR="00AB3A3B" w:rsidRPr="00AB3A3B" w:rsidRDefault="00AB3A3B" w:rsidP="00AB3A3B">
      <w:pPr>
        <w:spacing w:line="360" w:lineRule="auto"/>
        <w:jc w:val="both"/>
        <w:rPr>
          <w:rFonts w:ascii="Palatino Linotype" w:hAnsi="Palatino Linotype" w:cs="Tahoma"/>
          <w:bCs/>
          <w:iCs/>
          <w:sz w:val="22"/>
          <w:szCs w:val="22"/>
        </w:rPr>
      </w:pPr>
      <w:r w:rsidRPr="00AB3A3B">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600AC0B1" w14:textId="77777777" w:rsidR="00AB3A3B" w:rsidRPr="00AB3A3B" w:rsidRDefault="00AB3A3B" w:rsidP="00AB3A3B">
      <w:pPr>
        <w:spacing w:line="360" w:lineRule="auto"/>
        <w:jc w:val="both"/>
        <w:rPr>
          <w:rFonts w:ascii="Palatino Linotype" w:hAnsi="Palatino Linotype" w:cs="Tahoma"/>
          <w:bCs/>
          <w:iCs/>
          <w:sz w:val="22"/>
          <w:szCs w:val="22"/>
        </w:rPr>
      </w:pPr>
    </w:p>
    <w:p w14:paraId="178F3D97" w14:textId="77777777" w:rsidR="00AB3A3B" w:rsidRPr="00AB3A3B" w:rsidRDefault="00AB3A3B" w:rsidP="00AB3A3B">
      <w:pPr>
        <w:spacing w:line="360" w:lineRule="auto"/>
        <w:jc w:val="both"/>
        <w:rPr>
          <w:rFonts w:ascii="Palatino Linotype" w:hAnsi="Palatino Linotype" w:cs="Tahoma"/>
          <w:bCs/>
          <w:iCs/>
          <w:sz w:val="22"/>
          <w:szCs w:val="22"/>
        </w:rPr>
      </w:pPr>
      <w:r w:rsidRPr="00AB3A3B">
        <w:rPr>
          <w:rFonts w:ascii="Palatino Linotype" w:hAnsi="Palatino Linotype" w:cs="Tahoma"/>
          <w:bCs/>
          <w:iCs/>
          <w:sz w:val="22"/>
          <w:szCs w:val="22"/>
        </w:rPr>
        <w:t xml:space="preserve">En materia local, el artículo 5°, fracción I de la Constitución Política del Estado Libre y Soberano de México, es coincidente con la Constitución Federal, en el sentido de la publicidad </w:t>
      </w:r>
      <w:r w:rsidRPr="00AB3A3B">
        <w:rPr>
          <w:rFonts w:ascii="Palatino Linotype" w:hAnsi="Palatino Linotype" w:cs="Tahoma"/>
          <w:bCs/>
          <w:iCs/>
          <w:sz w:val="22"/>
          <w:szCs w:val="22"/>
        </w:rPr>
        <w:lastRenderedPageBreak/>
        <w:t>de toda la información, con la única restricción de proteger el interés público, así como la información referente a la intimidad de la vida privada y la imagen de las personas, con las excepciones que establezca la ley reglamentaria.</w:t>
      </w:r>
    </w:p>
    <w:p w14:paraId="6D3A83EC" w14:textId="77777777" w:rsidR="00AB3A3B" w:rsidRPr="00AB3A3B" w:rsidRDefault="00AB3A3B" w:rsidP="00AB3A3B">
      <w:pPr>
        <w:spacing w:line="360" w:lineRule="auto"/>
        <w:jc w:val="both"/>
        <w:rPr>
          <w:rFonts w:ascii="Palatino Linotype" w:hAnsi="Palatino Linotype" w:cs="Tahoma"/>
          <w:bCs/>
          <w:iCs/>
          <w:sz w:val="22"/>
          <w:szCs w:val="22"/>
        </w:rPr>
      </w:pPr>
    </w:p>
    <w:p w14:paraId="78E3EC2B" w14:textId="77777777" w:rsidR="00AB3A3B" w:rsidRPr="00AB3A3B" w:rsidRDefault="00AB3A3B" w:rsidP="00AB3A3B">
      <w:pPr>
        <w:spacing w:line="360" w:lineRule="auto"/>
        <w:jc w:val="both"/>
        <w:rPr>
          <w:rFonts w:ascii="Palatino Linotype" w:hAnsi="Palatino Linotype" w:cs="Tahoma"/>
          <w:bCs/>
          <w:iCs/>
          <w:sz w:val="22"/>
          <w:szCs w:val="22"/>
        </w:rPr>
      </w:pPr>
      <w:r w:rsidRPr="00AB3A3B">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14:paraId="5AE81C24" w14:textId="77777777" w:rsidR="00AB3A3B" w:rsidRPr="00AB3A3B" w:rsidRDefault="00AB3A3B" w:rsidP="00AB3A3B">
      <w:pPr>
        <w:spacing w:line="360" w:lineRule="auto"/>
        <w:jc w:val="both"/>
        <w:rPr>
          <w:rFonts w:ascii="Palatino Linotype" w:hAnsi="Palatino Linotype" w:cs="Tahoma"/>
          <w:bCs/>
          <w:iCs/>
          <w:sz w:val="22"/>
          <w:szCs w:val="22"/>
        </w:rPr>
      </w:pPr>
    </w:p>
    <w:p w14:paraId="158C67EC" w14:textId="77777777" w:rsidR="00AB3A3B" w:rsidRPr="00AB3A3B" w:rsidRDefault="00AB3A3B" w:rsidP="00AB3A3B">
      <w:pPr>
        <w:spacing w:line="360" w:lineRule="auto"/>
        <w:jc w:val="both"/>
        <w:rPr>
          <w:rFonts w:ascii="Palatino Linotype" w:hAnsi="Palatino Linotype" w:cs="Tahoma"/>
          <w:bCs/>
          <w:iCs/>
          <w:sz w:val="22"/>
          <w:szCs w:val="22"/>
        </w:rPr>
      </w:pPr>
      <w:r w:rsidRPr="00AB3A3B">
        <w:rPr>
          <w:rFonts w:ascii="Palatino Linotype" w:hAnsi="Palatino Linotype" w:cs="Tahoma"/>
          <w:bCs/>
          <w:iCs/>
          <w:sz w:val="22"/>
          <w:szCs w:val="22"/>
        </w:rPr>
        <w:t>El artículo 12, que, quienes generen, recopilen, administren, manejen, procesen, archiven o conserven información pública serán responsables de la misma.</w:t>
      </w:r>
    </w:p>
    <w:p w14:paraId="467B9037" w14:textId="77777777" w:rsidR="00AB3A3B" w:rsidRPr="00AB3A3B" w:rsidRDefault="00AB3A3B" w:rsidP="00AB3A3B">
      <w:pPr>
        <w:spacing w:line="360" w:lineRule="auto"/>
        <w:jc w:val="both"/>
        <w:rPr>
          <w:rFonts w:ascii="Palatino Linotype" w:hAnsi="Palatino Linotype" w:cs="Tahoma"/>
          <w:bCs/>
          <w:iCs/>
          <w:sz w:val="22"/>
          <w:szCs w:val="22"/>
        </w:rPr>
      </w:pPr>
    </w:p>
    <w:p w14:paraId="0D5872C3" w14:textId="77777777" w:rsidR="00AB3A3B" w:rsidRPr="00AB3A3B" w:rsidRDefault="00AB3A3B" w:rsidP="00AB3A3B">
      <w:pPr>
        <w:spacing w:line="360" w:lineRule="auto"/>
        <w:jc w:val="both"/>
        <w:rPr>
          <w:rFonts w:ascii="Palatino Linotype" w:hAnsi="Palatino Linotype" w:cs="Tahoma"/>
          <w:bCs/>
          <w:iCs/>
          <w:sz w:val="22"/>
          <w:szCs w:val="22"/>
        </w:rPr>
      </w:pPr>
      <w:r w:rsidRPr="00AB3A3B">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15376215" w14:textId="77777777" w:rsidR="00AB3A3B" w:rsidRPr="00AB3A3B" w:rsidRDefault="00AB3A3B" w:rsidP="00AB3A3B">
      <w:pPr>
        <w:spacing w:line="360" w:lineRule="auto"/>
        <w:jc w:val="both"/>
        <w:rPr>
          <w:rFonts w:ascii="Palatino Linotype" w:hAnsi="Palatino Linotype" w:cs="Tahoma"/>
          <w:bCs/>
          <w:iCs/>
          <w:sz w:val="22"/>
          <w:szCs w:val="22"/>
        </w:rPr>
      </w:pPr>
    </w:p>
    <w:p w14:paraId="08BA7ECC" w14:textId="77777777" w:rsidR="00AB3A3B" w:rsidRPr="00AB3A3B" w:rsidRDefault="00AB3A3B" w:rsidP="00AB3A3B">
      <w:pPr>
        <w:spacing w:line="360" w:lineRule="auto"/>
        <w:jc w:val="both"/>
        <w:rPr>
          <w:rFonts w:ascii="Palatino Linotype" w:hAnsi="Palatino Linotype" w:cs="Tahoma"/>
          <w:bCs/>
          <w:iCs/>
          <w:sz w:val="22"/>
          <w:szCs w:val="22"/>
        </w:rPr>
      </w:pPr>
      <w:r w:rsidRPr="00AB3A3B">
        <w:rPr>
          <w:rFonts w:ascii="Palatino Linotype" w:hAnsi="Palatino Linotype" w:cs="Tahoma"/>
          <w:bCs/>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59F104D" w14:textId="77777777" w:rsidR="00AB3A3B" w:rsidRPr="00AB3A3B" w:rsidRDefault="00AB3A3B" w:rsidP="00AB3A3B">
      <w:pPr>
        <w:spacing w:line="360" w:lineRule="auto"/>
        <w:jc w:val="both"/>
        <w:rPr>
          <w:rFonts w:ascii="Palatino Linotype" w:hAnsi="Palatino Linotype" w:cs="Tahoma"/>
          <w:b/>
          <w:bCs/>
          <w:iCs/>
          <w:sz w:val="22"/>
          <w:szCs w:val="22"/>
          <w:lang w:val="es-ES"/>
        </w:rPr>
      </w:pPr>
    </w:p>
    <w:p w14:paraId="72416304" w14:textId="77777777" w:rsidR="00AB3A3B" w:rsidRPr="00AB3A3B" w:rsidRDefault="00AB3A3B" w:rsidP="00AB3A3B">
      <w:pPr>
        <w:spacing w:line="360" w:lineRule="auto"/>
        <w:jc w:val="both"/>
        <w:rPr>
          <w:rFonts w:ascii="Palatino Linotype" w:hAnsi="Palatino Linotype" w:cs="Tahoma"/>
          <w:b/>
          <w:bCs/>
          <w:iCs/>
          <w:sz w:val="22"/>
          <w:szCs w:val="22"/>
          <w:lang w:val="es-ES"/>
        </w:rPr>
      </w:pPr>
      <w:r w:rsidRPr="00AB3A3B">
        <w:rPr>
          <w:rFonts w:ascii="Palatino Linotype" w:hAnsi="Palatino Linotype" w:cs="Tahoma"/>
          <w:b/>
          <w:bCs/>
          <w:iCs/>
          <w:sz w:val="22"/>
          <w:szCs w:val="22"/>
          <w:lang w:val="es-ES"/>
        </w:rPr>
        <w:t>QUINTO. Estudio de Fondo.</w:t>
      </w:r>
    </w:p>
    <w:p w14:paraId="518072D5" w14:textId="77777777" w:rsidR="00AB3A3B" w:rsidRPr="00AB3A3B" w:rsidRDefault="00AB3A3B" w:rsidP="00AB3A3B">
      <w:pPr>
        <w:spacing w:line="360" w:lineRule="auto"/>
        <w:jc w:val="both"/>
        <w:rPr>
          <w:rFonts w:ascii="Palatino Linotype" w:hAnsi="Palatino Linotype" w:cs="Tahoma"/>
          <w:iCs/>
          <w:sz w:val="22"/>
          <w:szCs w:val="22"/>
          <w:lang w:val="es-ES"/>
        </w:rPr>
      </w:pPr>
    </w:p>
    <w:p w14:paraId="47C24240" w14:textId="77777777" w:rsidR="00AB3A3B" w:rsidRPr="00AB3A3B" w:rsidRDefault="00AB3A3B" w:rsidP="00AB3A3B">
      <w:pPr>
        <w:spacing w:line="360" w:lineRule="auto"/>
        <w:jc w:val="both"/>
        <w:rPr>
          <w:rFonts w:ascii="Palatino Linotype" w:hAnsi="Palatino Linotype" w:cs="Tahoma"/>
          <w:iCs/>
          <w:sz w:val="22"/>
          <w:szCs w:val="22"/>
          <w:lang w:val="es-ES"/>
        </w:rPr>
      </w:pPr>
      <w:r w:rsidRPr="00AB3A3B">
        <w:rPr>
          <w:rFonts w:ascii="Palatino Linotype" w:hAnsi="Palatino Linotype" w:cs="Tahoma"/>
          <w:iCs/>
          <w:sz w:val="22"/>
          <w:szCs w:val="22"/>
          <w:lang w:val="es-ES"/>
        </w:rPr>
        <w:t xml:space="preserve">Expuestas las posturas de las partes se procede a analizar el agravio del hoy Recurrente el cual consiste en la incompetencia manifestada por el Sujeto Obligado, es necesario contextualizar la naturaleza de la información a la cual pretende acceder el hoy Recurrente. </w:t>
      </w:r>
    </w:p>
    <w:p w14:paraId="532DFA9A" w14:textId="77777777" w:rsidR="00AB3A3B" w:rsidRPr="008A4BF6" w:rsidRDefault="00AB3A3B" w:rsidP="00261F7E">
      <w:pPr>
        <w:spacing w:line="360" w:lineRule="auto"/>
        <w:jc w:val="both"/>
        <w:rPr>
          <w:rFonts w:ascii="Palatino Linotype" w:hAnsi="Palatino Linotype" w:cs="Tahoma"/>
          <w:sz w:val="22"/>
          <w:szCs w:val="24"/>
          <w:lang w:val="es-ES"/>
        </w:rPr>
      </w:pPr>
    </w:p>
    <w:p w14:paraId="303485BE" w14:textId="09D8EE07" w:rsidR="00403FEA" w:rsidRDefault="00403FEA" w:rsidP="00403FEA">
      <w:pPr>
        <w:spacing w:line="360" w:lineRule="auto"/>
        <w:jc w:val="both"/>
        <w:rPr>
          <w:rFonts w:ascii="Palatino Linotype" w:hAnsi="Palatino Linotype" w:cs="Tahoma"/>
          <w:sz w:val="22"/>
          <w:szCs w:val="24"/>
          <w:lang w:val="es-ES"/>
        </w:rPr>
      </w:pPr>
      <w:r>
        <w:rPr>
          <w:rFonts w:ascii="Palatino Linotype" w:hAnsi="Palatino Linotype" w:cs="Tahoma"/>
          <w:sz w:val="22"/>
          <w:szCs w:val="24"/>
          <w:lang w:val="es-ES"/>
        </w:rPr>
        <w:lastRenderedPageBreak/>
        <w:t>En tal sentido la Constitución Política del Estado Libre y Soberano de México, contempla en su numeral 5, fracción IV, Segundo Párrafo que l</w:t>
      </w:r>
      <w:r w:rsidRPr="00403FEA">
        <w:rPr>
          <w:rFonts w:ascii="Palatino Linotype" w:hAnsi="Palatino Linotype" w:cs="Tahoma"/>
          <w:sz w:val="22"/>
          <w:szCs w:val="24"/>
          <w:lang w:val="es-ES"/>
        </w:rPr>
        <w:t>a Legislatura del Estado establecerá un órgano autónomo que garantice el acceso a la</w:t>
      </w:r>
      <w:r>
        <w:rPr>
          <w:rFonts w:ascii="Palatino Linotype" w:hAnsi="Palatino Linotype" w:cs="Tahoma"/>
          <w:sz w:val="22"/>
          <w:szCs w:val="24"/>
          <w:lang w:val="es-ES"/>
        </w:rPr>
        <w:t xml:space="preserve"> </w:t>
      </w:r>
      <w:r w:rsidRPr="00403FEA">
        <w:rPr>
          <w:rFonts w:ascii="Palatino Linotype" w:hAnsi="Palatino Linotype" w:cs="Tahoma"/>
          <w:sz w:val="22"/>
          <w:szCs w:val="24"/>
          <w:lang w:val="es-ES"/>
        </w:rPr>
        <w:t>información pública y proteja los datos personales que obren en los archivos de los</w:t>
      </w:r>
      <w:r>
        <w:rPr>
          <w:rFonts w:ascii="Palatino Linotype" w:hAnsi="Palatino Linotype" w:cs="Tahoma"/>
          <w:sz w:val="22"/>
          <w:szCs w:val="24"/>
          <w:lang w:val="es-ES"/>
        </w:rPr>
        <w:t xml:space="preserve"> </w:t>
      </w:r>
      <w:r w:rsidRPr="00403FEA">
        <w:rPr>
          <w:rFonts w:ascii="Palatino Linotype" w:hAnsi="Palatino Linotype" w:cs="Tahoma"/>
          <w:sz w:val="22"/>
          <w:szCs w:val="24"/>
          <w:lang w:val="es-ES"/>
        </w:rPr>
        <w:t>poderes públicos y órganos autónomos, el cual tendrá las facultades que establezca la ley</w:t>
      </w:r>
      <w:r>
        <w:rPr>
          <w:rFonts w:ascii="Palatino Linotype" w:hAnsi="Palatino Linotype" w:cs="Tahoma"/>
          <w:sz w:val="22"/>
          <w:szCs w:val="24"/>
          <w:lang w:val="es-ES"/>
        </w:rPr>
        <w:t xml:space="preserve"> </w:t>
      </w:r>
      <w:r w:rsidRPr="00403FEA">
        <w:rPr>
          <w:rFonts w:ascii="Palatino Linotype" w:hAnsi="Palatino Linotype" w:cs="Tahoma"/>
          <w:sz w:val="22"/>
          <w:szCs w:val="24"/>
          <w:lang w:val="es-ES"/>
        </w:rPr>
        <w:t>reglamentaria y será competente para conocer de los recursos de revisión interpuestos</w:t>
      </w:r>
      <w:r>
        <w:rPr>
          <w:rFonts w:ascii="Palatino Linotype" w:hAnsi="Palatino Linotype" w:cs="Tahoma"/>
          <w:sz w:val="22"/>
          <w:szCs w:val="24"/>
          <w:lang w:val="es-ES"/>
        </w:rPr>
        <w:t xml:space="preserve"> </w:t>
      </w:r>
      <w:r w:rsidRPr="00403FEA">
        <w:rPr>
          <w:rFonts w:ascii="Palatino Linotype" w:hAnsi="Palatino Linotype" w:cs="Tahoma"/>
          <w:sz w:val="22"/>
          <w:szCs w:val="24"/>
          <w:lang w:val="es-ES"/>
        </w:rPr>
        <w:t xml:space="preserve">por violaciones al derecho de acceso a la información pública. </w:t>
      </w:r>
    </w:p>
    <w:p w14:paraId="75C99FD0" w14:textId="77777777" w:rsidR="009B11CF" w:rsidRDefault="009B11CF" w:rsidP="00403FEA">
      <w:pPr>
        <w:spacing w:line="360" w:lineRule="auto"/>
        <w:jc w:val="both"/>
        <w:rPr>
          <w:rFonts w:ascii="Palatino Linotype" w:hAnsi="Palatino Linotype" w:cs="Tahoma"/>
          <w:sz w:val="22"/>
          <w:szCs w:val="24"/>
          <w:lang w:val="es-ES"/>
        </w:rPr>
      </w:pPr>
    </w:p>
    <w:p w14:paraId="2E8DC1C8" w14:textId="1AE0B3B0" w:rsidR="00403FEA" w:rsidRDefault="009B11CF" w:rsidP="006A5423">
      <w:pPr>
        <w:spacing w:line="360" w:lineRule="auto"/>
        <w:jc w:val="both"/>
        <w:rPr>
          <w:rFonts w:ascii="Palatino Linotype" w:hAnsi="Palatino Linotype" w:cs="Tahoma"/>
          <w:sz w:val="22"/>
          <w:szCs w:val="24"/>
          <w:lang w:val="es-ES"/>
        </w:rPr>
      </w:pPr>
      <w:r>
        <w:rPr>
          <w:rFonts w:ascii="Palatino Linotype" w:hAnsi="Palatino Linotype" w:cs="Tahoma"/>
          <w:sz w:val="22"/>
          <w:szCs w:val="24"/>
          <w:lang w:val="es-ES"/>
        </w:rPr>
        <w:t>Por su parte, la Ley de Transparencia</w:t>
      </w:r>
      <w:r w:rsidR="003259F3">
        <w:rPr>
          <w:rFonts w:ascii="Palatino Linotype" w:hAnsi="Palatino Linotype" w:cs="Tahoma"/>
          <w:sz w:val="22"/>
          <w:szCs w:val="24"/>
          <w:lang w:val="es-ES"/>
        </w:rPr>
        <w:t xml:space="preserve"> y  Acceso a la Información Pública del Estado de Méxic</w:t>
      </w:r>
      <w:r w:rsidR="003F6AEA">
        <w:rPr>
          <w:rFonts w:ascii="Palatino Linotype" w:hAnsi="Palatino Linotype" w:cs="Tahoma"/>
          <w:sz w:val="22"/>
          <w:szCs w:val="24"/>
          <w:lang w:val="es-ES"/>
        </w:rPr>
        <w:t>o y Municipios, establece en su numeral</w:t>
      </w:r>
      <w:r w:rsidR="003259F3">
        <w:rPr>
          <w:rFonts w:ascii="Palatino Linotype" w:hAnsi="Palatino Linotype" w:cs="Tahoma"/>
          <w:sz w:val="22"/>
          <w:szCs w:val="24"/>
          <w:lang w:val="es-ES"/>
        </w:rPr>
        <w:t xml:space="preserve"> 29</w:t>
      </w:r>
      <w:r w:rsidR="00AB3A3B">
        <w:rPr>
          <w:rFonts w:ascii="Palatino Linotype" w:hAnsi="Palatino Linotype" w:cs="Tahoma"/>
          <w:sz w:val="22"/>
          <w:szCs w:val="24"/>
          <w:lang w:val="es-ES"/>
        </w:rPr>
        <w:t xml:space="preserve">, </w:t>
      </w:r>
      <w:r w:rsidR="003259F3">
        <w:rPr>
          <w:rFonts w:ascii="Palatino Linotype" w:hAnsi="Palatino Linotype" w:cs="Tahoma"/>
          <w:sz w:val="22"/>
          <w:szCs w:val="24"/>
          <w:lang w:val="es-ES"/>
        </w:rPr>
        <w:t>que e</w:t>
      </w:r>
      <w:r w:rsidR="00626E26" w:rsidRPr="00626E26">
        <w:rPr>
          <w:rFonts w:ascii="Palatino Linotype" w:hAnsi="Palatino Linotype" w:cs="Tahoma"/>
          <w:sz w:val="22"/>
          <w:szCs w:val="24"/>
          <w:lang w:val="es-ES"/>
        </w:rPr>
        <w:t xml:space="preserve">l Instituto es un órgano público estatal constitucionalmente </w:t>
      </w:r>
      <w:r w:rsidR="003259F3">
        <w:rPr>
          <w:rFonts w:ascii="Palatino Linotype" w:hAnsi="Palatino Linotype" w:cs="Tahoma"/>
          <w:sz w:val="22"/>
          <w:szCs w:val="24"/>
          <w:lang w:val="es-ES"/>
        </w:rPr>
        <w:t xml:space="preserve"> </w:t>
      </w:r>
      <w:r w:rsidR="00626E26" w:rsidRPr="00626E26">
        <w:rPr>
          <w:rFonts w:ascii="Palatino Linotype" w:hAnsi="Palatino Linotype" w:cs="Tahoma"/>
          <w:sz w:val="22"/>
          <w:szCs w:val="24"/>
          <w:lang w:val="es-ES"/>
        </w:rPr>
        <w:t xml:space="preserve">autónomo, especializado, independiente, imparcial y colegiado dotado de </w:t>
      </w:r>
      <w:r w:rsidR="003259F3">
        <w:rPr>
          <w:rFonts w:ascii="Palatino Linotype" w:hAnsi="Palatino Linotype" w:cs="Tahoma"/>
          <w:sz w:val="22"/>
          <w:szCs w:val="24"/>
          <w:lang w:val="es-ES"/>
        </w:rPr>
        <w:t xml:space="preserve"> </w:t>
      </w:r>
      <w:r w:rsidR="00626E26" w:rsidRPr="00626E26">
        <w:rPr>
          <w:rFonts w:ascii="Palatino Linotype" w:hAnsi="Palatino Linotype" w:cs="Tahoma"/>
          <w:sz w:val="22"/>
          <w:szCs w:val="24"/>
          <w:lang w:val="es-ES"/>
        </w:rPr>
        <w:t xml:space="preserve">personalidad jurídica y patrimonio propio, con plena autonomía técnica, </w:t>
      </w:r>
      <w:r w:rsidR="003259F3">
        <w:rPr>
          <w:rFonts w:ascii="Palatino Linotype" w:hAnsi="Palatino Linotype" w:cs="Tahoma"/>
          <w:sz w:val="22"/>
          <w:szCs w:val="24"/>
          <w:lang w:val="es-ES"/>
        </w:rPr>
        <w:t xml:space="preserve"> </w:t>
      </w:r>
      <w:r w:rsidR="00626E26" w:rsidRPr="00626E26">
        <w:rPr>
          <w:rFonts w:ascii="Palatino Linotype" w:hAnsi="Palatino Linotype" w:cs="Tahoma"/>
          <w:sz w:val="22"/>
          <w:szCs w:val="24"/>
          <w:lang w:val="es-ES"/>
        </w:rPr>
        <w:t xml:space="preserve">de gestión, capacidad para decidir sobre el ejercicio de su presupuesto y </w:t>
      </w:r>
      <w:r w:rsidR="003259F3">
        <w:rPr>
          <w:rFonts w:ascii="Palatino Linotype" w:hAnsi="Palatino Linotype" w:cs="Tahoma"/>
          <w:sz w:val="22"/>
          <w:szCs w:val="24"/>
          <w:lang w:val="es-ES"/>
        </w:rPr>
        <w:t xml:space="preserve"> </w:t>
      </w:r>
      <w:r w:rsidR="00626E26" w:rsidRPr="00626E26">
        <w:rPr>
          <w:rFonts w:ascii="Palatino Linotype" w:hAnsi="Palatino Linotype" w:cs="Tahoma"/>
          <w:sz w:val="22"/>
          <w:szCs w:val="24"/>
          <w:lang w:val="es-ES"/>
        </w:rPr>
        <w:t>det</w:t>
      </w:r>
      <w:r w:rsidR="00FC4C8E">
        <w:rPr>
          <w:rFonts w:ascii="Palatino Linotype" w:hAnsi="Palatino Linotype" w:cs="Tahoma"/>
          <w:sz w:val="22"/>
          <w:szCs w:val="24"/>
          <w:lang w:val="es-ES"/>
        </w:rPr>
        <w:t>erminar su organización interna.</w:t>
      </w:r>
    </w:p>
    <w:p w14:paraId="0F4FE515" w14:textId="77777777" w:rsidR="00403FEA" w:rsidRDefault="00403FEA" w:rsidP="006A5423">
      <w:pPr>
        <w:spacing w:line="360" w:lineRule="auto"/>
        <w:jc w:val="both"/>
        <w:rPr>
          <w:rFonts w:ascii="Palatino Linotype" w:hAnsi="Palatino Linotype" w:cs="Tahoma"/>
          <w:sz w:val="22"/>
          <w:szCs w:val="24"/>
          <w:lang w:val="es-ES"/>
        </w:rPr>
      </w:pPr>
    </w:p>
    <w:p w14:paraId="092B4167" w14:textId="77777777" w:rsidR="00AB3A3B" w:rsidRPr="00AB3A3B" w:rsidRDefault="00540BC0" w:rsidP="00BC2E9D">
      <w:pPr>
        <w:spacing w:line="360" w:lineRule="auto"/>
        <w:jc w:val="both"/>
        <w:rPr>
          <w:rFonts w:ascii="Palatino Linotype" w:eastAsiaTheme="minorHAnsi" w:hAnsi="Palatino Linotype" w:cstheme="minorBidi"/>
          <w:color w:val="000000" w:themeColor="text1"/>
          <w:sz w:val="22"/>
          <w:szCs w:val="22"/>
          <w:lang w:eastAsia="en-US"/>
        </w:rPr>
      </w:pPr>
      <w:r>
        <w:rPr>
          <w:rFonts w:ascii="Palatino Linotype" w:hAnsi="Palatino Linotype" w:cs="Tahoma"/>
          <w:sz w:val="22"/>
          <w:szCs w:val="22"/>
        </w:rPr>
        <w:t xml:space="preserve">Ahora bien, el </w:t>
      </w:r>
      <w:r w:rsidR="00994371">
        <w:rPr>
          <w:rFonts w:ascii="Palatino Linotype" w:hAnsi="Palatino Linotype" w:cs="Tahoma"/>
          <w:sz w:val="22"/>
          <w:szCs w:val="22"/>
        </w:rPr>
        <w:t>Instituto de Transparencia, Acceso a la Información Pública y Protección de Datos Personales del Estado de México y Municipios</w:t>
      </w:r>
      <w:r w:rsidR="009E2919">
        <w:rPr>
          <w:rFonts w:ascii="Palatino Linotype" w:hAnsi="Palatino Linotype" w:cs="Tahoma"/>
          <w:sz w:val="22"/>
          <w:szCs w:val="22"/>
        </w:rPr>
        <w:t xml:space="preserve"> </w:t>
      </w:r>
      <w:r w:rsidR="00AB3A3B" w:rsidRPr="00AB3A3B">
        <w:rPr>
          <w:rFonts w:ascii="Palatino Linotype" w:eastAsiaTheme="minorHAnsi" w:hAnsi="Palatino Linotype" w:cstheme="minorBidi"/>
          <w:color w:val="000000" w:themeColor="text1"/>
          <w:sz w:val="22"/>
          <w:szCs w:val="22"/>
          <w:lang w:eastAsia="en-US"/>
        </w:rPr>
        <w:t xml:space="preserve">precisó que era incompetente para conocer de la información requerida; al respecto, en atención a lo previsto en los artículos 49, fracción II, 53, fracción III y 167 de la Ley de Transparencia y Acceso a la Información Pública del Estado de México y Municipios, se desprende que las Unidades de Transparencia son responsables de orientar a los particulares respecto de la dependencia, entidad u órgano que pudiera tener la información requerida, </w:t>
      </w:r>
      <w:r w:rsidR="00AB3A3B" w:rsidRPr="00AB3A3B">
        <w:rPr>
          <w:rFonts w:ascii="Palatino Linotype" w:eastAsiaTheme="minorHAnsi" w:hAnsi="Palatino Linotype" w:cstheme="minorBidi"/>
          <w:b/>
          <w:color w:val="000000" w:themeColor="text1"/>
          <w:sz w:val="22"/>
          <w:szCs w:val="22"/>
          <w:lang w:eastAsia="en-US"/>
        </w:rPr>
        <w:t>cuando la misma no sea competencia del sujeto obligado ante el cual se formule la solicitud de acceso.</w:t>
      </w:r>
    </w:p>
    <w:p w14:paraId="5B78B481" w14:textId="77777777" w:rsidR="00AB3A3B" w:rsidRPr="00AB3A3B" w:rsidRDefault="00AB3A3B" w:rsidP="00AB3A3B">
      <w:pPr>
        <w:spacing w:line="360" w:lineRule="auto"/>
        <w:jc w:val="both"/>
        <w:rPr>
          <w:rFonts w:ascii="Palatino Linotype" w:eastAsiaTheme="minorHAnsi" w:hAnsi="Palatino Linotype" w:cstheme="minorBidi"/>
          <w:b/>
          <w:color w:val="000000" w:themeColor="text1"/>
          <w:sz w:val="22"/>
          <w:szCs w:val="22"/>
          <w:lang w:eastAsia="en-US"/>
        </w:rPr>
      </w:pPr>
    </w:p>
    <w:p w14:paraId="40B19985" w14:textId="77777777" w:rsidR="00AB3A3B" w:rsidRPr="00AB3A3B" w:rsidRDefault="00AB3A3B" w:rsidP="00AB3A3B">
      <w:pPr>
        <w:spacing w:line="360" w:lineRule="auto"/>
        <w:jc w:val="both"/>
        <w:rPr>
          <w:rFonts w:ascii="Palatino Linotype" w:eastAsiaTheme="minorHAnsi" w:hAnsi="Palatino Linotype" w:cstheme="minorBidi"/>
          <w:color w:val="000000" w:themeColor="text1"/>
          <w:sz w:val="22"/>
          <w:szCs w:val="22"/>
          <w:lang w:eastAsia="en-US"/>
        </w:rPr>
      </w:pPr>
      <w:r w:rsidRPr="00AB3A3B">
        <w:rPr>
          <w:rFonts w:ascii="Palatino Linotype" w:eastAsiaTheme="minorHAnsi" w:hAnsi="Palatino Linotype" w:cstheme="minorBidi"/>
          <w:color w:val="000000" w:themeColor="text1"/>
          <w:sz w:val="22"/>
          <w:szCs w:val="22"/>
          <w:lang w:eastAsia="en-US"/>
        </w:rPr>
        <w:lastRenderedPageBreak/>
        <w:t xml:space="preserve">Asimismo, que los Comités de Transparencia tienen entre sus atribuciones confirmar, modificar o revocar la </w:t>
      </w:r>
      <w:r w:rsidRPr="00AB3A3B">
        <w:rPr>
          <w:rFonts w:ascii="Palatino Linotype" w:eastAsiaTheme="minorHAnsi" w:hAnsi="Palatino Linotype" w:cstheme="minorBidi"/>
          <w:b/>
          <w:color w:val="000000" w:themeColor="text1"/>
          <w:sz w:val="22"/>
          <w:szCs w:val="22"/>
          <w:lang w:eastAsia="en-US"/>
        </w:rPr>
        <w:t>declaración de incompetencia</w:t>
      </w:r>
      <w:r w:rsidRPr="00AB3A3B">
        <w:rPr>
          <w:rFonts w:ascii="Palatino Linotype" w:eastAsiaTheme="minorHAnsi" w:hAnsi="Palatino Linotype" w:cstheme="minorBidi"/>
          <w:color w:val="000000" w:themeColor="text1"/>
          <w:sz w:val="22"/>
          <w:szCs w:val="22"/>
          <w:lang w:eastAsia="en-US"/>
        </w:rPr>
        <w:t xml:space="preserve"> que realicen los titulares de las unidades administrativas.</w:t>
      </w:r>
    </w:p>
    <w:p w14:paraId="785B694A" w14:textId="77777777" w:rsidR="00AB3A3B" w:rsidRPr="00AB3A3B" w:rsidRDefault="00AB3A3B" w:rsidP="00AB3A3B">
      <w:pPr>
        <w:spacing w:line="360" w:lineRule="auto"/>
        <w:jc w:val="both"/>
        <w:rPr>
          <w:rFonts w:ascii="Palatino Linotype" w:eastAsiaTheme="minorHAnsi" w:hAnsi="Palatino Linotype" w:cstheme="minorBidi"/>
          <w:color w:val="000000" w:themeColor="text1"/>
          <w:sz w:val="22"/>
          <w:szCs w:val="22"/>
          <w:lang w:eastAsia="en-US"/>
        </w:rPr>
      </w:pPr>
    </w:p>
    <w:p w14:paraId="65E34440" w14:textId="77777777" w:rsidR="00AB3A3B" w:rsidRPr="00AB3A3B" w:rsidRDefault="00AB3A3B" w:rsidP="00AB3A3B">
      <w:pPr>
        <w:spacing w:line="360" w:lineRule="auto"/>
        <w:jc w:val="both"/>
        <w:rPr>
          <w:rFonts w:ascii="Palatino Linotype" w:eastAsiaTheme="minorHAnsi" w:hAnsi="Palatino Linotype" w:cstheme="minorBidi"/>
          <w:color w:val="000000" w:themeColor="text1"/>
          <w:sz w:val="22"/>
          <w:szCs w:val="22"/>
          <w:lang w:eastAsia="en-US"/>
        </w:rPr>
      </w:pPr>
      <w:r w:rsidRPr="00AB3A3B">
        <w:rPr>
          <w:rFonts w:ascii="Palatino Linotype" w:eastAsiaTheme="minorHAnsi" w:hAnsi="Palatino Linotype" w:cstheme="minorBidi"/>
          <w:color w:val="000000" w:themeColor="text1"/>
          <w:sz w:val="22"/>
          <w:szCs w:val="22"/>
          <w:lang w:eastAsia="en-US"/>
        </w:rPr>
        <w:t xml:space="preserve">En esa tesitura, cuando las Unidades de Transparencia determinen </w:t>
      </w:r>
      <w:r w:rsidRPr="00AB3A3B">
        <w:rPr>
          <w:rFonts w:ascii="Palatino Linotype" w:eastAsiaTheme="minorHAnsi" w:hAnsi="Palatino Linotype" w:cstheme="minorBidi"/>
          <w:b/>
          <w:color w:val="000000" w:themeColor="text1"/>
          <w:sz w:val="22"/>
          <w:szCs w:val="22"/>
          <w:lang w:eastAsia="en-US"/>
        </w:rPr>
        <w:t>la notoria incompetencia</w:t>
      </w:r>
      <w:r w:rsidRPr="00AB3A3B">
        <w:rPr>
          <w:rFonts w:ascii="Palatino Linotype" w:eastAsiaTheme="minorHAnsi" w:hAnsi="Palatino Linotype" w:cstheme="minorBidi"/>
          <w:color w:val="000000" w:themeColor="text1"/>
          <w:sz w:val="22"/>
          <w:szCs w:val="22"/>
          <w:lang w:eastAsia="en-US"/>
        </w:rPr>
        <w:t xml:space="preserve"> por parte de los sujetos obligados deberán comunicar al solicitante la misma dentro de los tres días posteriores a la recepción de la solicitud.</w:t>
      </w:r>
    </w:p>
    <w:p w14:paraId="5ABE3B91" w14:textId="77777777" w:rsidR="00AB3A3B" w:rsidRPr="00AB3A3B" w:rsidRDefault="00AB3A3B" w:rsidP="00AB3A3B">
      <w:pPr>
        <w:spacing w:line="360" w:lineRule="auto"/>
        <w:jc w:val="both"/>
        <w:rPr>
          <w:rFonts w:ascii="Palatino Linotype" w:eastAsiaTheme="minorHAnsi" w:hAnsi="Palatino Linotype" w:cstheme="minorBidi"/>
          <w:color w:val="000000" w:themeColor="text1"/>
          <w:sz w:val="22"/>
          <w:szCs w:val="22"/>
          <w:lang w:eastAsia="en-US"/>
        </w:rPr>
      </w:pPr>
    </w:p>
    <w:p w14:paraId="4F000E3B" w14:textId="77777777" w:rsidR="00AB3A3B" w:rsidRPr="00AB3A3B" w:rsidRDefault="00AB3A3B" w:rsidP="00AB3A3B">
      <w:pPr>
        <w:spacing w:line="360" w:lineRule="auto"/>
        <w:jc w:val="both"/>
        <w:rPr>
          <w:rFonts w:ascii="Palatino Linotype" w:eastAsiaTheme="minorHAnsi" w:hAnsi="Palatino Linotype" w:cstheme="minorBidi"/>
          <w:bCs/>
          <w:color w:val="000000" w:themeColor="text1"/>
          <w:sz w:val="22"/>
          <w:szCs w:val="22"/>
          <w:lang w:eastAsia="en-US"/>
        </w:rPr>
      </w:pPr>
      <w:r w:rsidRPr="00AB3A3B">
        <w:rPr>
          <w:rFonts w:ascii="Palatino Linotype" w:eastAsiaTheme="minorHAnsi" w:hAnsi="Palatino Linotype" w:cstheme="minorBidi"/>
          <w:color w:val="000000" w:themeColor="text1"/>
          <w:sz w:val="22"/>
          <w:szCs w:val="22"/>
          <w:lang w:eastAsia="en-US"/>
        </w:rPr>
        <w:t>Como se logra observar, si bien la Ley de la materia, prevé el supuesto de incompetencia para que los sujetos obligados den atención a solitudes de información, también lo es, que no se precisa en que consiste dicho concepto; sobre dicha situación</w:t>
      </w:r>
      <w:r w:rsidRPr="00AB3A3B">
        <w:rPr>
          <w:rFonts w:ascii="Palatino Linotype" w:eastAsiaTheme="minorHAnsi" w:hAnsi="Palatino Linotype" w:cstheme="minorBidi"/>
          <w:color w:val="000000" w:themeColor="text1"/>
          <w:sz w:val="22"/>
          <w:szCs w:val="22"/>
          <w:lang w:val="es-ES_tradnl" w:eastAsia="en-US"/>
        </w:rPr>
        <w:t>,</w:t>
      </w:r>
      <w:r w:rsidRPr="00AB3A3B">
        <w:rPr>
          <w:rFonts w:ascii="Palatino Linotype" w:eastAsiaTheme="minorHAnsi" w:hAnsi="Palatino Linotype" w:cstheme="minorBidi"/>
          <w:color w:val="000000" w:themeColor="text1"/>
          <w:sz w:val="22"/>
          <w:szCs w:val="22"/>
          <w:lang w:eastAsia="en-US"/>
        </w:rPr>
        <w:t xml:space="preserve"> </w:t>
      </w:r>
      <w:r w:rsidRPr="00AB3A3B">
        <w:rPr>
          <w:rFonts w:ascii="Palatino Linotype" w:eastAsiaTheme="minorHAnsi" w:hAnsi="Palatino Linotype" w:cstheme="minorBidi"/>
          <w:bCs/>
          <w:color w:val="000000" w:themeColor="text1"/>
          <w:sz w:val="22"/>
          <w:szCs w:val="22"/>
          <w:lang w:eastAsia="en-US"/>
        </w:rPr>
        <w:t>según Cabanellas, Guillermo (1993), en el “Diccionario Jurídico Elemental” (p. 32 y 161), precisó los siguientes conceptos:</w:t>
      </w:r>
    </w:p>
    <w:p w14:paraId="2C3098AD" w14:textId="502EBE21" w:rsidR="003F5702" w:rsidRPr="00227E94" w:rsidRDefault="003F5702" w:rsidP="00AB3A3B">
      <w:pPr>
        <w:spacing w:line="360" w:lineRule="auto"/>
        <w:jc w:val="both"/>
        <w:rPr>
          <w:rFonts w:ascii="Palatino Linotype" w:eastAsia="Calibri" w:hAnsi="Palatino Linotype" w:cs="Arial"/>
          <w:bCs/>
          <w:sz w:val="22"/>
          <w:szCs w:val="22"/>
          <w:lang w:eastAsia="en-US"/>
        </w:rPr>
      </w:pPr>
    </w:p>
    <w:p w14:paraId="5F5E014F" w14:textId="77777777" w:rsidR="003F5702" w:rsidRPr="00FC4C8E" w:rsidRDefault="003F5702" w:rsidP="003F5702">
      <w:pPr>
        <w:numPr>
          <w:ilvl w:val="0"/>
          <w:numId w:val="19"/>
        </w:numPr>
        <w:spacing w:line="360" w:lineRule="auto"/>
        <w:contextualSpacing/>
        <w:jc w:val="both"/>
        <w:rPr>
          <w:rFonts w:ascii="Palatino Linotype" w:eastAsia="Calibri" w:hAnsi="Palatino Linotype" w:cs="Arial"/>
          <w:bCs/>
          <w:sz w:val="22"/>
          <w:szCs w:val="22"/>
          <w:lang w:val="es-ES"/>
        </w:rPr>
      </w:pPr>
      <w:r w:rsidRPr="00FC4C8E">
        <w:rPr>
          <w:rFonts w:ascii="Palatino Linotype" w:eastAsia="Calibri" w:hAnsi="Palatino Linotype" w:cs="Arial"/>
          <w:b/>
          <w:bCs/>
          <w:sz w:val="22"/>
          <w:szCs w:val="22"/>
          <w:lang w:val="es-ES"/>
        </w:rPr>
        <w:t xml:space="preserve">Competencia: </w:t>
      </w:r>
      <w:r w:rsidRPr="00FC4C8E">
        <w:rPr>
          <w:rFonts w:ascii="Palatino Linotype" w:eastAsia="Calibri" w:hAnsi="Palatino Linotype" w:cs="Arial"/>
          <w:bCs/>
          <w:sz w:val="22"/>
          <w:szCs w:val="22"/>
          <w:lang w:val="es-ES"/>
        </w:rPr>
        <w:t>La capacidad de una autoridad para conocer sobre una materia o asunto.</w:t>
      </w:r>
    </w:p>
    <w:p w14:paraId="34651315" w14:textId="77777777" w:rsidR="003F5702" w:rsidRPr="00FC4C8E" w:rsidRDefault="003F5702" w:rsidP="003F5702">
      <w:pPr>
        <w:numPr>
          <w:ilvl w:val="0"/>
          <w:numId w:val="19"/>
        </w:numPr>
        <w:spacing w:line="360" w:lineRule="auto"/>
        <w:contextualSpacing/>
        <w:jc w:val="both"/>
        <w:rPr>
          <w:rFonts w:ascii="Palatino Linotype" w:eastAsia="Calibri" w:hAnsi="Palatino Linotype" w:cs="Arial"/>
          <w:bCs/>
          <w:sz w:val="22"/>
          <w:szCs w:val="22"/>
          <w:lang w:val="es-ES"/>
        </w:rPr>
      </w:pPr>
      <w:r w:rsidRPr="00FC4C8E">
        <w:rPr>
          <w:rFonts w:ascii="Palatino Linotype" w:eastAsia="Calibri" w:hAnsi="Palatino Linotype" w:cs="Arial"/>
          <w:b/>
          <w:bCs/>
          <w:sz w:val="22"/>
          <w:szCs w:val="22"/>
          <w:lang w:val="es-ES"/>
        </w:rPr>
        <w:t>Incompetencia:</w:t>
      </w:r>
      <w:r w:rsidRPr="00FC4C8E">
        <w:rPr>
          <w:rFonts w:ascii="Palatino Linotype" w:eastAsia="Calibri" w:hAnsi="Palatino Linotype" w:cs="Arial"/>
          <w:bCs/>
          <w:sz w:val="22"/>
          <w:szCs w:val="22"/>
          <w:lang w:val="es-ES"/>
        </w:rPr>
        <w:t xml:space="preserve"> Falta de Competencia.</w:t>
      </w:r>
    </w:p>
    <w:p w14:paraId="2499EF3D" w14:textId="77777777" w:rsidR="003F5702" w:rsidRPr="00227E94" w:rsidRDefault="003F5702" w:rsidP="003F5702">
      <w:pPr>
        <w:spacing w:line="360" w:lineRule="auto"/>
        <w:jc w:val="both"/>
        <w:rPr>
          <w:rFonts w:ascii="Palatino Linotype" w:eastAsia="Calibri" w:hAnsi="Palatino Linotype" w:cs="Arial"/>
          <w:sz w:val="22"/>
          <w:szCs w:val="22"/>
          <w:lang w:eastAsia="en-US"/>
        </w:rPr>
      </w:pPr>
    </w:p>
    <w:p w14:paraId="407BAC22" w14:textId="77777777" w:rsidR="003F5702" w:rsidRPr="00227E94" w:rsidRDefault="003F5702" w:rsidP="003F5702">
      <w:pPr>
        <w:spacing w:line="360" w:lineRule="auto"/>
        <w:jc w:val="both"/>
        <w:rPr>
          <w:rFonts w:ascii="Palatino Linotype" w:eastAsia="Calibri" w:hAnsi="Palatino Linotype" w:cs="Tahoma"/>
          <w:sz w:val="22"/>
          <w:szCs w:val="22"/>
          <w:lang w:eastAsia="en-US"/>
        </w:rPr>
      </w:pPr>
      <w:r w:rsidRPr="00227E94">
        <w:rPr>
          <w:rFonts w:ascii="Palatino Linotype" w:eastAsia="Calibri" w:hAnsi="Palatino Linotype" w:cs="Tahoma"/>
          <w:sz w:val="22"/>
          <w:szCs w:val="22"/>
          <w:lang w:val="es-ES_tradnl" w:eastAsia="en-US"/>
        </w:rPr>
        <w:t>Por lo que, la incompetencia, radica en la incapacidad de una autoridad para conocer de un tema o asunto; en el mismo sentido, conviene traer a cuenta tesis</w:t>
      </w:r>
      <w:r w:rsidRPr="00227E94">
        <w:rPr>
          <w:rFonts w:ascii="Palatino Linotype" w:eastAsia="Calibri" w:hAnsi="Palatino Linotype" w:cs="Tahoma"/>
          <w:sz w:val="22"/>
          <w:szCs w:val="22"/>
          <w:lang w:eastAsia="en-US"/>
        </w:rPr>
        <w:t xml:space="preserve"> aislada número III.2o.P.11 K, publicada en el Semanario Judicial de la Federación y su Gaceta, Novena Época, Tomo XV, Mayo de 2002, Pag. 1243, ya que precisa lo siguiente: </w:t>
      </w:r>
    </w:p>
    <w:p w14:paraId="63877E4C" w14:textId="77777777" w:rsidR="003F5702" w:rsidRPr="00227E94" w:rsidRDefault="003F5702" w:rsidP="003F5702">
      <w:pPr>
        <w:spacing w:line="360" w:lineRule="auto"/>
        <w:jc w:val="both"/>
        <w:rPr>
          <w:rFonts w:ascii="Palatino Linotype" w:eastAsia="Calibri" w:hAnsi="Palatino Linotype" w:cs="Tahoma"/>
          <w:sz w:val="22"/>
          <w:szCs w:val="22"/>
          <w:lang w:val="es-ES_tradnl" w:eastAsia="en-US"/>
        </w:rPr>
      </w:pPr>
    </w:p>
    <w:p w14:paraId="600523AA" w14:textId="77777777" w:rsidR="003F5702" w:rsidRPr="00227E94" w:rsidRDefault="003F5702" w:rsidP="003F5702">
      <w:pPr>
        <w:spacing w:line="360" w:lineRule="auto"/>
        <w:ind w:left="567" w:right="567"/>
        <w:jc w:val="both"/>
        <w:rPr>
          <w:rFonts w:ascii="Palatino Linotype" w:eastAsia="Calibri" w:hAnsi="Palatino Linotype" w:cs="Tahoma"/>
          <w:i/>
          <w:lang w:val="es-ES_tradnl" w:eastAsia="en-US"/>
        </w:rPr>
      </w:pPr>
      <w:r w:rsidRPr="00227E94">
        <w:rPr>
          <w:rFonts w:ascii="Palatino Linotype" w:eastAsia="Calibri" w:hAnsi="Palatino Linotype" w:cs="Tahoma"/>
          <w:b/>
          <w:bCs/>
          <w:i/>
          <w:lang w:val="es-ES_tradnl" w:eastAsia="en-US"/>
        </w:rPr>
        <w:t xml:space="preserve">“LEGITIMACIÓN DE FUNCIONARIOS PÚBLICOS. LOS TRIBUNALES DE AMPARO, POR ESTAR VINCULADOS CON EL CONCEPTO DE COMPETENCIA A QUE SE REFIERE EL ARTÍCULO 16 CONSTITUCIONAL, NO PUEDEN CONOCER DE </w:t>
      </w:r>
      <w:r w:rsidRPr="00227E94">
        <w:rPr>
          <w:rFonts w:ascii="Palatino Linotype" w:eastAsia="Calibri" w:hAnsi="Palatino Linotype" w:cs="Tahoma"/>
          <w:b/>
          <w:bCs/>
          <w:i/>
          <w:lang w:val="es-ES_tradnl" w:eastAsia="en-US"/>
        </w:rPr>
        <w:lastRenderedPageBreak/>
        <w:t xml:space="preserve">AQUÉLLA. </w:t>
      </w:r>
      <w:r w:rsidRPr="00227E94">
        <w:rPr>
          <w:rFonts w:ascii="Palatino Linotype" w:eastAsia="Calibri" w:hAnsi="Palatino Linotype" w:cs="Tahoma"/>
          <w:i/>
          <w:lang w:val="es-ES_tradnl" w:eastAsia="en-US"/>
        </w:rPr>
        <w:t>El artículo </w:t>
      </w:r>
      <w:hyperlink r:id="rId12" w:history="1">
        <w:r w:rsidRPr="00227E94">
          <w:rPr>
            <w:rFonts w:ascii="Palatino Linotype" w:eastAsia="Calibri" w:hAnsi="Palatino Linotype" w:cs="Tahoma"/>
            <w:i/>
            <w:color w:val="0563C1"/>
            <w:u w:val="single"/>
            <w:lang w:val="es-ES_tradnl" w:eastAsia="en-US"/>
          </w:rPr>
          <w:t>16 constitucional</w:t>
        </w:r>
      </w:hyperlink>
      <w:r w:rsidRPr="00227E94">
        <w:rPr>
          <w:rFonts w:ascii="Palatino Linotype" w:eastAsia="Calibri" w:hAnsi="Palatino Linotype" w:cs="Tahoma"/>
          <w:i/>
          <w:lang w:val="es-ES_tradnl" w:eastAsia="en-US"/>
        </w:rPr>
        <w:t>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40362CD7" w14:textId="77777777" w:rsidR="003F5702" w:rsidRPr="00227E94" w:rsidRDefault="003F5702" w:rsidP="003F5702">
      <w:pPr>
        <w:spacing w:line="360" w:lineRule="auto"/>
        <w:jc w:val="both"/>
        <w:rPr>
          <w:rFonts w:ascii="Palatino Linotype" w:eastAsia="Calibri" w:hAnsi="Palatino Linotype" w:cs="Tahoma"/>
          <w:sz w:val="22"/>
          <w:szCs w:val="22"/>
          <w:lang w:val="es-ES_tradnl" w:eastAsia="en-US"/>
        </w:rPr>
      </w:pPr>
    </w:p>
    <w:p w14:paraId="4F6C3A22" w14:textId="6EAEEBEC" w:rsidR="00B045F9" w:rsidRPr="00B045F9" w:rsidRDefault="003F5702" w:rsidP="00B045F9">
      <w:pPr>
        <w:spacing w:line="360" w:lineRule="auto"/>
        <w:jc w:val="both"/>
        <w:rPr>
          <w:rFonts w:ascii="Palatino Linotype" w:eastAsia="Calibri" w:hAnsi="Palatino Linotype" w:cs="Tahoma"/>
          <w:sz w:val="22"/>
          <w:szCs w:val="22"/>
          <w:lang w:val="es-ES" w:eastAsia="en-US"/>
        </w:rPr>
      </w:pPr>
      <w:r w:rsidRPr="00227E94">
        <w:rPr>
          <w:rFonts w:ascii="Palatino Linotype" w:eastAsia="Calibri" w:hAnsi="Palatino Linotype" w:cs="Tahoma"/>
          <w:sz w:val="22"/>
          <w:szCs w:val="22"/>
          <w:lang w:val="es-ES_tradnl" w:eastAsia="en-US"/>
        </w:rPr>
        <w:t xml:space="preserve">Por otro lado, en </w:t>
      </w:r>
      <w:r w:rsidR="00B045F9" w:rsidRPr="00B045F9">
        <w:rPr>
          <w:rFonts w:ascii="Palatino Linotype" w:eastAsia="Calibri" w:hAnsi="Palatino Linotype" w:cs="Tahoma"/>
          <w:sz w:val="22"/>
          <w:szCs w:val="22"/>
          <w:lang w:val="es-ES_tradnl" w:eastAsia="en-US"/>
        </w:rPr>
        <w:t xml:space="preserve">el </w:t>
      </w:r>
      <w:r w:rsidR="00B045F9" w:rsidRPr="00B045F9">
        <w:rPr>
          <w:rFonts w:ascii="Palatino Linotype" w:eastAsia="Calibri" w:hAnsi="Palatino Linotype" w:cs="Tahoma"/>
          <w:sz w:val="22"/>
          <w:szCs w:val="22"/>
          <w:lang w:val="es-ES" w:eastAsia="en-US"/>
        </w:rPr>
        <w:t xml:space="preserve">Criterio de interpretación, con número de registro SO/013/2017, de la Segunda Época, </w:t>
      </w:r>
      <w:r w:rsidR="00B045F9" w:rsidRPr="00B045F9">
        <w:rPr>
          <w:rFonts w:ascii="Palatino Linotype" w:eastAsia="Calibri" w:hAnsi="Palatino Linotype" w:cs="Tahoma"/>
          <w:sz w:val="22"/>
          <w:szCs w:val="22"/>
          <w:lang w:eastAsia="en-US"/>
        </w:rPr>
        <w:t>emitido por el Instituto Nacional de Transparencia, Acceso a la Información y Pro</w:t>
      </w:r>
      <w:r w:rsidR="00B045F9">
        <w:rPr>
          <w:rFonts w:ascii="Palatino Linotype" w:eastAsia="Calibri" w:hAnsi="Palatino Linotype" w:cs="Tahoma"/>
          <w:sz w:val="22"/>
          <w:szCs w:val="22"/>
          <w:lang w:eastAsia="en-US"/>
        </w:rPr>
        <w:t>tección de Datos Personales, se</w:t>
      </w:r>
      <w:r w:rsidR="00B045F9" w:rsidRPr="00B045F9">
        <w:rPr>
          <w:rFonts w:ascii="Palatino Linotype" w:eastAsia="Calibri" w:hAnsi="Palatino Linotype" w:cs="Tahoma"/>
          <w:sz w:val="22"/>
          <w:szCs w:val="22"/>
          <w:lang w:eastAsia="en-US"/>
        </w:rPr>
        <w:t xml:space="preserve"> dispone lo siguiente: </w:t>
      </w:r>
    </w:p>
    <w:p w14:paraId="66EFDC09" w14:textId="5FD37CEB" w:rsidR="003F5702" w:rsidRPr="00227E94" w:rsidRDefault="003F5702" w:rsidP="003F5702">
      <w:pPr>
        <w:spacing w:line="360" w:lineRule="auto"/>
        <w:jc w:val="both"/>
        <w:rPr>
          <w:rFonts w:ascii="Palatino Linotype" w:eastAsia="Calibri" w:hAnsi="Palatino Linotype" w:cs="Tahoma"/>
          <w:sz w:val="22"/>
          <w:szCs w:val="22"/>
          <w:lang w:eastAsia="en-US"/>
        </w:rPr>
      </w:pPr>
    </w:p>
    <w:p w14:paraId="1AD92568" w14:textId="77777777" w:rsidR="003F5702" w:rsidRPr="00227E94" w:rsidRDefault="003F5702" w:rsidP="003F5702">
      <w:pPr>
        <w:spacing w:line="360" w:lineRule="auto"/>
        <w:ind w:left="567" w:right="567"/>
        <w:jc w:val="both"/>
        <w:rPr>
          <w:rFonts w:ascii="Palatino Linotype" w:eastAsia="Calibri" w:hAnsi="Palatino Linotype" w:cs="Tahoma"/>
          <w:i/>
          <w:lang w:eastAsia="en-US"/>
        </w:rPr>
      </w:pPr>
      <w:r w:rsidRPr="00227E94">
        <w:rPr>
          <w:rFonts w:ascii="Palatino Linotype" w:eastAsia="Calibri" w:hAnsi="Palatino Linotype" w:cs="Tahoma"/>
          <w:i/>
          <w:lang w:eastAsia="en-US"/>
        </w:rPr>
        <w:t>“</w:t>
      </w:r>
      <w:r w:rsidRPr="00227E94">
        <w:rPr>
          <w:rFonts w:ascii="Palatino Linotype" w:eastAsia="Calibri" w:hAnsi="Palatino Linotype" w:cs="Tahoma"/>
          <w:b/>
          <w:bCs/>
          <w:i/>
          <w:lang w:eastAsia="en-US"/>
        </w:rPr>
        <w:t xml:space="preserve">Incompetencia. </w:t>
      </w:r>
      <w:r w:rsidRPr="00227E94">
        <w:rPr>
          <w:rFonts w:ascii="Palatino Linotype" w:eastAsia="Calibri" w:hAnsi="Palatino Linotype" w:cs="Tahoma"/>
          <w:i/>
          <w:lang w:eastAsia="en-US"/>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177CBBFC" w14:textId="77777777" w:rsidR="003F5702" w:rsidRPr="00227E94" w:rsidRDefault="003F5702" w:rsidP="003F5702">
      <w:pPr>
        <w:spacing w:line="360" w:lineRule="auto"/>
        <w:jc w:val="both"/>
        <w:rPr>
          <w:rFonts w:ascii="Palatino Linotype" w:eastAsia="Calibri" w:hAnsi="Palatino Linotype" w:cs="Tahoma"/>
          <w:sz w:val="22"/>
          <w:szCs w:val="22"/>
          <w:lang w:val="es-ES_tradnl" w:eastAsia="en-US"/>
        </w:rPr>
      </w:pPr>
    </w:p>
    <w:p w14:paraId="2561A38E" w14:textId="1FA1F6B0" w:rsidR="003F5702" w:rsidRDefault="003F5702" w:rsidP="003F5702">
      <w:pPr>
        <w:spacing w:line="360" w:lineRule="auto"/>
        <w:jc w:val="both"/>
        <w:rPr>
          <w:rFonts w:ascii="Palatino Linotype" w:hAnsi="Palatino Linotype" w:cs="Tahoma"/>
          <w:sz w:val="22"/>
          <w:szCs w:val="22"/>
          <w:lang w:val="es-ES_tradnl"/>
        </w:rPr>
      </w:pPr>
      <w:r w:rsidRPr="00227E94">
        <w:rPr>
          <w:rFonts w:ascii="Palatino Linotype" w:eastAsia="Calibri" w:hAnsi="Palatino Linotype" w:cs="Tahoma"/>
          <w:sz w:val="22"/>
          <w:szCs w:val="22"/>
          <w:lang w:val="es-ES_tradnl" w:eastAsia="en-US"/>
        </w:rPr>
        <w:t xml:space="preserve">En tal virtud, la </w:t>
      </w:r>
      <w:r w:rsidRPr="00227E94">
        <w:rPr>
          <w:rFonts w:ascii="Palatino Linotype" w:eastAsia="Calibri" w:hAnsi="Palatino Linotype" w:cs="Tahoma"/>
          <w:b/>
          <w:sz w:val="22"/>
          <w:szCs w:val="22"/>
          <w:lang w:val="es-ES_tradnl" w:eastAsia="en-US"/>
        </w:rPr>
        <w:t xml:space="preserve">incompetencia </w:t>
      </w:r>
      <w:r w:rsidRPr="00227E94">
        <w:rPr>
          <w:rFonts w:ascii="Palatino Linotype" w:eastAsia="Calibri" w:hAnsi="Palatino Linotype" w:cs="Tahoma"/>
          <w:sz w:val="22"/>
          <w:szCs w:val="22"/>
          <w:lang w:val="es-ES_tradnl" w:eastAsia="en-US"/>
        </w:rPr>
        <w:t>implica que, de conformidad con las atribuciones conferidas al sujeto obligado, no habría razón por la cual éste deba contar con la información solicitada, en cuyo caso, tendría que orientar al particular para que acuda a la instancia competente, tal como lo establece el artículo 167 de la Ley de Transparencia y Acceso a la Información Pública del Estado de México y Municipios.</w:t>
      </w:r>
      <w:r w:rsidR="00E1292D">
        <w:rPr>
          <w:rFonts w:ascii="Palatino Linotype" w:eastAsia="Calibri" w:hAnsi="Palatino Linotype" w:cs="Tahoma"/>
          <w:sz w:val="22"/>
          <w:szCs w:val="22"/>
          <w:lang w:val="es-ES_tradnl" w:eastAsia="en-US"/>
        </w:rPr>
        <w:t xml:space="preserve"> </w:t>
      </w:r>
      <w:r>
        <w:rPr>
          <w:rFonts w:ascii="Palatino Linotype" w:hAnsi="Palatino Linotype" w:cs="Tahoma"/>
          <w:sz w:val="22"/>
          <w:szCs w:val="22"/>
          <w:lang w:val="es-ES_tradnl"/>
        </w:rPr>
        <w:t xml:space="preserve">En otro orden de ideas, dicho concepto refiere a la ausencia de atribuciones por parte de los Entes sujetos a las Leyes de Transparencia, para </w:t>
      </w:r>
      <w:r>
        <w:rPr>
          <w:rFonts w:ascii="Palatino Linotype" w:hAnsi="Palatino Linotype" w:cs="Tahoma"/>
          <w:sz w:val="22"/>
          <w:szCs w:val="22"/>
          <w:lang w:val="es-ES_tradnl"/>
        </w:rPr>
        <w:lastRenderedPageBreak/>
        <w:t>contar con la información que se requiere, es decir, se trata de una situación que se dilucida a partir de las facultades atribuidas a éste.</w:t>
      </w:r>
    </w:p>
    <w:p w14:paraId="2DCC4612" w14:textId="77777777" w:rsidR="003F5702" w:rsidRPr="00227E94" w:rsidRDefault="003F5702" w:rsidP="003F5702">
      <w:pPr>
        <w:spacing w:line="360" w:lineRule="auto"/>
        <w:jc w:val="both"/>
        <w:rPr>
          <w:rFonts w:ascii="Palatino Linotype" w:eastAsia="Calibri" w:hAnsi="Palatino Linotype" w:cs="Tahoma"/>
          <w:sz w:val="22"/>
          <w:szCs w:val="22"/>
          <w:lang w:val="es-ES_tradnl" w:eastAsia="en-US"/>
        </w:rPr>
      </w:pPr>
    </w:p>
    <w:p w14:paraId="10A8DEF5" w14:textId="2EB3FB93" w:rsidR="003F5702" w:rsidRPr="00227E94" w:rsidRDefault="00EB2FDF" w:rsidP="003F5702">
      <w:pPr>
        <w:spacing w:line="360" w:lineRule="auto"/>
        <w:jc w:val="both"/>
        <w:rPr>
          <w:rFonts w:ascii="Palatino Linotype" w:eastAsia="Calibri" w:hAnsi="Palatino Linotype" w:cs="Arial"/>
          <w:sz w:val="22"/>
          <w:szCs w:val="22"/>
          <w:lang w:eastAsia="en-US"/>
        </w:rPr>
      </w:pPr>
      <w:bookmarkStart w:id="3" w:name="_Hlk127401369"/>
      <w:r>
        <w:rPr>
          <w:rFonts w:ascii="Palatino Linotype" w:eastAsia="Calibri" w:hAnsi="Palatino Linotype" w:cs="Tahoma"/>
          <w:sz w:val="22"/>
          <w:szCs w:val="22"/>
          <w:lang w:val="es-ES_tradnl" w:eastAsia="en-US"/>
        </w:rPr>
        <w:t>En ese sentido</w:t>
      </w:r>
      <w:r w:rsidR="003F5702" w:rsidRPr="00227E94">
        <w:rPr>
          <w:rFonts w:ascii="Palatino Linotype" w:eastAsia="Calibri" w:hAnsi="Palatino Linotype" w:cs="Tahoma"/>
          <w:sz w:val="22"/>
          <w:szCs w:val="22"/>
          <w:lang w:val="es-ES_tradnl" w:eastAsia="en-US"/>
        </w:rPr>
        <w:t xml:space="preserve">, la </w:t>
      </w:r>
      <w:r w:rsidR="003F5702" w:rsidRPr="00227E94">
        <w:rPr>
          <w:rFonts w:ascii="Palatino Linotype" w:eastAsia="Calibri" w:hAnsi="Palatino Linotype" w:cs="Tahoma"/>
          <w:b/>
          <w:sz w:val="22"/>
          <w:szCs w:val="22"/>
          <w:lang w:val="es-ES_tradnl" w:eastAsia="en-US"/>
        </w:rPr>
        <w:t>incompetencia</w:t>
      </w:r>
      <w:r w:rsidR="003F5702" w:rsidRPr="00227E94">
        <w:rPr>
          <w:rFonts w:ascii="Palatino Linotype" w:eastAsia="Calibri" w:hAnsi="Palatino Linotype" w:cs="Tahoma"/>
          <w:sz w:val="22"/>
          <w:szCs w:val="22"/>
          <w:lang w:val="es-ES_tradnl" w:eastAsia="en-US"/>
        </w:rPr>
        <w:t xml:space="preserve"> implica que el sujeto obligado no cuenta con atribuciones para conocer de lo requerido y, por tanto, no habría razón para que en sus archivos obre información relacionada con la materia de la solicitud.</w:t>
      </w:r>
    </w:p>
    <w:bookmarkEnd w:id="3"/>
    <w:p w14:paraId="1B8501F1" w14:textId="0B81A698" w:rsidR="003F5702" w:rsidRDefault="003F5702" w:rsidP="00540BC0">
      <w:pPr>
        <w:spacing w:line="360" w:lineRule="auto"/>
        <w:jc w:val="both"/>
        <w:rPr>
          <w:rFonts w:ascii="Palatino Linotype" w:hAnsi="Palatino Linotype" w:cs="Tahoma"/>
          <w:sz w:val="22"/>
          <w:szCs w:val="22"/>
        </w:rPr>
      </w:pPr>
    </w:p>
    <w:p w14:paraId="07E0CBB2" w14:textId="0C383274" w:rsidR="00AB3A3B" w:rsidRDefault="00AB3A3B" w:rsidP="00540BC0">
      <w:pPr>
        <w:spacing w:line="360" w:lineRule="auto"/>
        <w:jc w:val="both"/>
        <w:rPr>
          <w:rFonts w:ascii="Palatino Linotype" w:hAnsi="Palatino Linotype" w:cs="Tahoma"/>
          <w:sz w:val="22"/>
          <w:szCs w:val="22"/>
        </w:rPr>
      </w:pPr>
      <w:r w:rsidRPr="00AB3A3B">
        <w:rPr>
          <w:rFonts w:ascii="Palatino Linotype" w:hAnsi="Palatino Linotype" w:cs="Tahoma"/>
          <w:sz w:val="22"/>
          <w:szCs w:val="22"/>
        </w:rPr>
        <w:t>Por tanto, a continuación, se analiza si en la especie, el sujeto obligado cuenta con atribuciones para conocer sobre la información requerida; para ello, es necesario traer a colación</w:t>
      </w:r>
      <w:r w:rsidR="00624BD1">
        <w:rPr>
          <w:rFonts w:ascii="Palatino Linotype" w:hAnsi="Palatino Linotype" w:cs="Tahoma"/>
          <w:sz w:val="22"/>
          <w:szCs w:val="22"/>
        </w:rPr>
        <w:t xml:space="preserve"> el artículo 36, fracción XXVI, de la Ley de Transparencia y Acceso a la Información Pública del Estado de México, publicada el cuatro de mayo de dos mil dieciséis, el cual establece que es facultad del Organismo Constitucional Autónomo designar a su Contralor Interno.</w:t>
      </w:r>
    </w:p>
    <w:p w14:paraId="6B4C1641" w14:textId="62F441DD" w:rsidR="00AB3A3B" w:rsidRDefault="00AB3A3B" w:rsidP="00540BC0">
      <w:pPr>
        <w:spacing w:line="360" w:lineRule="auto"/>
        <w:jc w:val="both"/>
        <w:rPr>
          <w:rFonts w:ascii="Palatino Linotype" w:hAnsi="Palatino Linotype" w:cs="Tahoma"/>
          <w:sz w:val="22"/>
          <w:szCs w:val="22"/>
        </w:rPr>
      </w:pPr>
    </w:p>
    <w:p w14:paraId="476BBC60" w14:textId="7877B762" w:rsidR="00624BD1" w:rsidRPr="007E6C4F" w:rsidRDefault="00624BD1" w:rsidP="007E6C4F">
      <w:pPr>
        <w:spacing w:line="360" w:lineRule="auto"/>
        <w:jc w:val="both"/>
        <w:rPr>
          <w:rFonts w:ascii="Palatino Linotype" w:hAnsi="Palatino Linotype" w:cs="Tahoma"/>
          <w:b/>
          <w:bCs/>
          <w:sz w:val="22"/>
          <w:szCs w:val="22"/>
        </w:rPr>
      </w:pPr>
      <w:r>
        <w:rPr>
          <w:rFonts w:ascii="Palatino Linotype" w:hAnsi="Palatino Linotype" w:cs="Tahoma"/>
          <w:sz w:val="22"/>
          <w:szCs w:val="22"/>
        </w:rPr>
        <w:t xml:space="preserve">No obstante, mediante el Decreto 202, del veinticuatro de abril de dos mil diecisiete, se adicionó al artículo 61 </w:t>
      </w:r>
      <w:r>
        <w:rPr>
          <w:rFonts w:ascii="Palatino Linotype" w:eastAsia="Calibri" w:hAnsi="Palatino Linotype" w:cs="Tahoma"/>
          <w:color w:val="000000" w:themeColor="text1"/>
          <w:sz w:val="22"/>
          <w:szCs w:val="22"/>
          <w:lang w:eastAsia="en-US"/>
        </w:rPr>
        <w:t>de la Constitución Política del Estado Libre y Soberano de México</w:t>
      </w:r>
      <w:r>
        <w:rPr>
          <w:rFonts w:ascii="Palatino Linotype" w:hAnsi="Palatino Linotype" w:cs="Tahoma"/>
          <w:sz w:val="22"/>
          <w:szCs w:val="22"/>
        </w:rPr>
        <w:t>, la fracción LIV</w:t>
      </w:r>
      <w:r w:rsidR="007E6C4F">
        <w:rPr>
          <w:rFonts w:ascii="Palatino Linotype" w:hAnsi="Palatino Linotype" w:cs="Tahoma"/>
          <w:sz w:val="22"/>
          <w:szCs w:val="22"/>
        </w:rPr>
        <w:t xml:space="preserve">, que precisa que es facultad y obligación de la </w:t>
      </w:r>
      <w:r w:rsidR="007E6C4F" w:rsidRPr="007E6C4F">
        <w:rPr>
          <w:rFonts w:ascii="Palatino Linotype" w:hAnsi="Palatino Linotype" w:cs="Tahoma"/>
          <w:b/>
          <w:bCs/>
          <w:sz w:val="22"/>
          <w:szCs w:val="22"/>
        </w:rPr>
        <w:t xml:space="preserve">Legislatura, </w:t>
      </w:r>
      <w:r w:rsidR="007E6C4F">
        <w:rPr>
          <w:rFonts w:ascii="Palatino Linotype" w:hAnsi="Palatino Linotype" w:cs="Tahoma"/>
          <w:b/>
          <w:bCs/>
          <w:sz w:val="22"/>
          <w:szCs w:val="22"/>
        </w:rPr>
        <w:t>designar p</w:t>
      </w:r>
      <w:r w:rsidR="007E6C4F" w:rsidRPr="007E6C4F">
        <w:rPr>
          <w:rFonts w:ascii="Palatino Linotype" w:hAnsi="Palatino Linotype" w:cs="Tahoma"/>
          <w:b/>
          <w:bCs/>
          <w:sz w:val="22"/>
          <w:szCs w:val="22"/>
        </w:rPr>
        <w:t>or el voto de las dos terceras partes de sus miembros presentes, a los titulares</w:t>
      </w:r>
      <w:r w:rsidR="007E6C4F">
        <w:rPr>
          <w:rFonts w:ascii="Palatino Linotype" w:hAnsi="Palatino Linotype" w:cs="Tahoma"/>
          <w:b/>
          <w:bCs/>
          <w:sz w:val="22"/>
          <w:szCs w:val="22"/>
        </w:rPr>
        <w:t xml:space="preserve"> </w:t>
      </w:r>
      <w:r w:rsidR="007E6C4F" w:rsidRPr="007E6C4F">
        <w:rPr>
          <w:rFonts w:ascii="Palatino Linotype" w:hAnsi="Palatino Linotype" w:cs="Tahoma"/>
          <w:b/>
          <w:bCs/>
          <w:sz w:val="22"/>
          <w:szCs w:val="22"/>
        </w:rPr>
        <w:t>de los órganos internos de control de los organismos a los que esta Constitución reconoce</w:t>
      </w:r>
      <w:r w:rsidR="007E6C4F">
        <w:rPr>
          <w:rFonts w:ascii="Palatino Linotype" w:hAnsi="Palatino Linotype" w:cs="Tahoma"/>
          <w:b/>
          <w:bCs/>
          <w:sz w:val="22"/>
          <w:szCs w:val="22"/>
        </w:rPr>
        <w:t xml:space="preserve"> </w:t>
      </w:r>
      <w:r w:rsidR="007E6C4F" w:rsidRPr="007E6C4F">
        <w:rPr>
          <w:rFonts w:ascii="Palatino Linotype" w:hAnsi="Palatino Linotype" w:cs="Tahoma"/>
          <w:b/>
          <w:bCs/>
          <w:sz w:val="22"/>
          <w:szCs w:val="22"/>
        </w:rPr>
        <w:t>autonomía y que ejerzan recursos del Presupuesto de Egresos del Estado</w:t>
      </w:r>
      <w:r w:rsidR="007E6C4F">
        <w:rPr>
          <w:rFonts w:ascii="Palatino Linotype" w:hAnsi="Palatino Linotype" w:cs="Tahoma"/>
          <w:b/>
          <w:bCs/>
          <w:sz w:val="22"/>
          <w:szCs w:val="22"/>
        </w:rPr>
        <w:t>.</w:t>
      </w:r>
    </w:p>
    <w:p w14:paraId="2F92B979" w14:textId="77777777" w:rsidR="00624BD1" w:rsidRDefault="00624BD1" w:rsidP="00540BC0">
      <w:pPr>
        <w:spacing w:line="360" w:lineRule="auto"/>
        <w:jc w:val="both"/>
        <w:rPr>
          <w:rFonts w:ascii="Palatino Linotype" w:hAnsi="Palatino Linotype" w:cs="Tahoma"/>
          <w:sz w:val="22"/>
          <w:szCs w:val="22"/>
        </w:rPr>
      </w:pPr>
    </w:p>
    <w:p w14:paraId="72C296EE" w14:textId="77777777" w:rsidR="00AB3A3B" w:rsidRDefault="00AB3A3B" w:rsidP="00AB3A3B">
      <w:pPr>
        <w:spacing w:line="360" w:lineRule="auto"/>
        <w:jc w:val="both"/>
        <w:rPr>
          <w:rFonts w:ascii="Palatino Linotype" w:eastAsia="Calibri" w:hAnsi="Palatino Linotype" w:cs="Tahoma"/>
          <w:color w:val="000000" w:themeColor="text1"/>
          <w:sz w:val="22"/>
          <w:szCs w:val="22"/>
          <w:lang w:eastAsia="en-US"/>
        </w:rPr>
      </w:pPr>
      <w:r w:rsidRPr="00EB2FDF">
        <w:rPr>
          <w:rFonts w:ascii="Palatino Linotype" w:eastAsia="Calibri" w:hAnsi="Palatino Linotype" w:cs="Tahoma"/>
          <w:color w:val="000000" w:themeColor="text1"/>
          <w:sz w:val="22"/>
          <w:szCs w:val="22"/>
          <w:lang w:eastAsia="en-US"/>
        </w:rPr>
        <w:t xml:space="preserve">Por su parte el artículo </w:t>
      </w:r>
      <w:r>
        <w:rPr>
          <w:rFonts w:ascii="Palatino Linotype" w:eastAsia="Calibri" w:hAnsi="Palatino Linotype" w:cs="Tahoma"/>
          <w:color w:val="000000" w:themeColor="text1"/>
          <w:sz w:val="22"/>
          <w:szCs w:val="22"/>
          <w:lang w:eastAsia="en-US"/>
        </w:rPr>
        <w:t>61, fracción LIV de la Constitución Política del Estado Libre y Soberano de México, contempla que s</w:t>
      </w:r>
      <w:r w:rsidRPr="00EB2FDF">
        <w:rPr>
          <w:rFonts w:ascii="Palatino Linotype" w:eastAsia="Calibri" w:hAnsi="Palatino Linotype" w:cs="Tahoma"/>
          <w:color w:val="000000" w:themeColor="text1"/>
          <w:sz w:val="22"/>
          <w:szCs w:val="22"/>
          <w:lang w:eastAsia="en-US"/>
        </w:rPr>
        <w:t>on facultades y o</w:t>
      </w:r>
      <w:r>
        <w:rPr>
          <w:rFonts w:ascii="Palatino Linotype" w:eastAsia="Calibri" w:hAnsi="Palatino Linotype" w:cs="Tahoma"/>
          <w:color w:val="000000" w:themeColor="text1"/>
          <w:sz w:val="22"/>
          <w:szCs w:val="22"/>
          <w:lang w:eastAsia="en-US"/>
        </w:rPr>
        <w:t>bligaciones de la legislatura, d</w:t>
      </w:r>
      <w:r w:rsidRPr="00EB2FDF">
        <w:rPr>
          <w:rFonts w:ascii="Palatino Linotype" w:eastAsia="Calibri" w:hAnsi="Palatino Linotype" w:cs="Tahoma"/>
          <w:color w:val="000000" w:themeColor="text1"/>
          <w:sz w:val="22"/>
          <w:szCs w:val="22"/>
          <w:lang w:eastAsia="en-US"/>
        </w:rPr>
        <w:t xml:space="preserve">esignar por el voto de las dos terceras partes de sus miembros presentes, a los titulares de los órganos internos de control de los organismos </w:t>
      </w:r>
      <w:r>
        <w:rPr>
          <w:rFonts w:ascii="Palatino Linotype" w:eastAsia="Calibri" w:hAnsi="Palatino Linotype" w:cs="Tahoma"/>
          <w:color w:val="000000" w:themeColor="text1"/>
          <w:sz w:val="22"/>
          <w:szCs w:val="22"/>
          <w:lang w:eastAsia="en-US"/>
        </w:rPr>
        <w:t xml:space="preserve">autónomos. </w:t>
      </w:r>
    </w:p>
    <w:p w14:paraId="6B8F47CE" w14:textId="52EA2CA8" w:rsidR="00AB3A3B" w:rsidRDefault="00AB3A3B" w:rsidP="00540BC0">
      <w:pPr>
        <w:spacing w:line="360" w:lineRule="auto"/>
        <w:jc w:val="both"/>
        <w:rPr>
          <w:rFonts w:ascii="Palatino Linotype" w:hAnsi="Palatino Linotype" w:cs="Tahoma"/>
          <w:sz w:val="22"/>
          <w:szCs w:val="22"/>
        </w:rPr>
      </w:pPr>
    </w:p>
    <w:p w14:paraId="7CC01539" w14:textId="39801F33" w:rsidR="007E6C4F" w:rsidRDefault="007E6C4F" w:rsidP="00540BC0">
      <w:pPr>
        <w:spacing w:line="360" w:lineRule="auto"/>
        <w:jc w:val="both"/>
        <w:rPr>
          <w:rFonts w:ascii="Palatino Linotype" w:hAnsi="Palatino Linotype" w:cs="Tahoma"/>
          <w:sz w:val="22"/>
          <w:szCs w:val="22"/>
        </w:rPr>
      </w:pPr>
      <w:r>
        <w:rPr>
          <w:rFonts w:ascii="Palatino Linotype" w:hAnsi="Palatino Linotype" w:cs="Tahoma"/>
          <w:sz w:val="22"/>
          <w:szCs w:val="22"/>
        </w:rPr>
        <w:lastRenderedPageBreak/>
        <w:t xml:space="preserve">Además, el Transitorio Noveno, precisa que los </w:t>
      </w:r>
      <w:r w:rsidRPr="007E6C4F">
        <w:rPr>
          <w:rFonts w:ascii="Palatino Linotype" w:hAnsi="Palatino Linotype" w:cs="Tahoma"/>
          <w:sz w:val="22"/>
          <w:szCs w:val="22"/>
        </w:rPr>
        <w:t>titulares de los Órganos Internos de Control de los Órganos constitucionalmente Autónomos, que se encuentren en funciones al entrar en vigor el mismo, se sujetarán al procedimiento de designación o ratificación que establezca la Ley</w:t>
      </w:r>
      <w:r>
        <w:rPr>
          <w:rFonts w:ascii="Palatino Linotype" w:hAnsi="Palatino Linotype" w:cs="Tahoma"/>
          <w:sz w:val="22"/>
          <w:szCs w:val="22"/>
        </w:rPr>
        <w:t>; por su parte, el Décimo Transitorio, precisa que se derogan las disposiciones de igual o menor jerarquía que se opongan la Decreto mencionado.</w:t>
      </w:r>
    </w:p>
    <w:p w14:paraId="62C4E18A" w14:textId="3E824F52" w:rsidR="00690DBF" w:rsidRDefault="00690DBF" w:rsidP="00690DBF">
      <w:pPr>
        <w:spacing w:line="360" w:lineRule="auto"/>
        <w:jc w:val="both"/>
        <w:rPr>
          <w:rFonts w:ascii="Palatino Linotype" w:eastAsiaTheme="minorHAnsi" w:hAnsi="Palatino Linotype" w:cstheme="minorBidi"/>
          <w:color w:val="000000" w:themeColor="text1"/>
          <w:sz w:val="22"/>
          <w:szCs w:val="22"/>
          <w:lang w:val="es-ES" w:eastAsia="en-US"/>
        </w:rPr>
      </w:pPr>
    </w:p>
    <w:p w14:paraId="2D08158F" w14:textId="554F5CFA" w:rsidR="00A251C7" w:rsidRDefault="007E6C4F" w:rsidP="007C356B">
      <w:pPr>
        <w:spacing w:line="360" w:lineRule="auto"/>
        <w:jc w:val="both"/>
        <w:rPr>
          <w:rFonts w:ascii="Palatino Linotype" w:eastAsiaTheme="minorHAnsi" w:hAnsi="Palatino Linotype" w:cstheme="minorBidi"/>
          <w:color w:val="000000" w:themeColor="text1"/>
          <w:sz w:val="22"/>
          <w:szCs w:val="22"/>
          <w:lang w:val="es-ES" w:eastAsia="en-US"/>
        </w:rPr>
      </w:pPr>
      <w:r>
        <w:rPr>
          <w:rFonts w:ascii="Palatino Linotype" w:eastAsiaTheme="minorHAnsi" w:hAnsi="Palatino Linotype" w:cstheme="minorBidi"/>
          <w:color w:val="000000" w:themeColor="text1"/>
          <w:sz w:val="22"/>
          <w:szCs w:val="22"/>
          <w:lang w:val="es-ES" w:eastAsia="en-US"/>
        </w:rPr>
        <w:t xml:space="preserve">Así, se logra vislumbrar que el </w:t>
      </w:r>
      <w:r w:rsidR="00A251C7">
        <w:rPr>
          <w:rFonts w:ascii="Palatino Linotype" w:eastAsiaTheme="minorHAnsi" w:hAnsi="Palatino Linotype" w:cstheme="minorBidi"/>
          <w:color w:val="000000" w:themeColor="text1"/>
          <w:sz w:val="22"/>
          <w:szCs w:val="22"/>
          <w:lang w:val="es-ES" w:eastAsia="en-US"/>
        </w:rPr>
        <w:t xml:space="preserve">veinticinco de abril </w:t>
      </w:r>
      <w:r w:rsidR="00A251C7" w:rsidRPr="00A251C7">
        <w:rPr>
          <w:rFonts w:ascii="Palatino Linotype" w:eastAsiaTheme="minorHAnsi" w:hAnsi="Palatino Linotype" w:cstheme="minorBidi"/>
          <w:color w:val="000000" w:themeColor="text1"/>
          <w:sz w:val="22"/>
          <w:szCs w:val="22"/>
          <w:lang w:val="es-ES" w:eastAsia="en-US"/>
        </w:rPr>
        <w:t>de dos mil diecisiete</w:t>
      </w:r>
      <w:r>
        <w:rPr>
          <w:rFonts w:ascii="Palatino Linotype" w:eastAsiaTheme="minorHAnsi" w:hAnsi="Palatino Linotype" w:cstheme="minorBidi"/>
          <w:color w:val="000000" w:themeColor="text1"/>
          <w:sz w:val="22"/>
          <w:szCs w:val="22"/>
          <w:lang w:val="es-ES" w:eastAsia="en-US"/>
        </w:rPr>
        <w:t>,</w:t>
      </w:r>
      <w:r w:rsidR="00A251C7">
        <w:rPr>
          <w:rFonts w:ascii="Palatino Linotype" w:eastAsiaTheme="minorHAnsi" w:hAnsi="Palatino Linotype" w:cstheme="minorBidi"/>
          <w:color w:val="000000" w:themeColor="text1"/>
          <w:sz w:val="22"/>
          <w:szCs w:val="22"/>
          <w:lang w:val="es-ES" w:eastAsia="en-US"/>
        </w:rPr>
        <w:t xml:space="preserve"> entró en vigor la reforma al artículo 61</w:t>
      </w:r>
      <w:r>
        <w:rPr>
          <w:rFonts w:ascii="Palatino Linotype" w:eastAsiaTheme="minorHAnsi" w:hAnsi="Palatino Linotype" w:cstheme="minorBidi"/>
          <w:color w:val="000000" w:themeColor="text1"/>
          <w:sz w:val="22"/>
          <w:szCs w:val="22"/>
          <w:lang w:val="es-ES" w:eastAsia="en-US"/>
        </w:rPr>
        <w:t>,</w:t>
      </w:r>
      <w:r w:rsidR="00A251C7">
        <w:rPr>
          <w:rFonts w:ascii="Palatino Linotype" w:eastAsiaTheme="minorHAnsi" w:hAnsi="Palatino Linotype" w:cstheme="minorBidi"/>
          <w:color w:val="000000" w:themeColor="text1"/>
          <w:sz w:val="22"/>
          <w:szCs w:val="22"/>
          <w:lang w:val="es-ES" w:eastAsia="en-US"/>
        </w:rPr>
        <w:t xml:space="preserve"> fracción </w:t>
      </w:r>
      <w:r w:rsidR="00B77ECE" w:rsidRPr="00B77ECE">
        <w:rPr>
          <w:rFonts w:ascii="Palatino Linotype" w:eastAsiaTheme="minorHAnsi" w:hAnsi="Palatino Linotype" w:cstheme="minorBidi"/>
          <w:color w:val="000000" w:themeColor="text1"/>
          <w:sz w:val="22"/>
          <w:szCs w:val="22"/>
          <w:lang w:val="es-ES" w:eastAsia="en-US"/>
        </w:rPr>
        <w:t>LIV</w:t>
      </w:r>
      <w:r w:rsidR="00B77ECE">
        <w:rPr>
          <w:rFonts w:ascii="Palatino Linotype" w:eastAsiaTheme="minorHAnsi" w:hAnsi="Palatino Linotype" w:cstheme="minorBidi"/>
          <w:color w:val="000000" w:themeColor="text1"/>
          <w:sz w:val="22"/>
          <w:szCs w:val="22"/>
          <w:lang w:val="es-ES" w:eastAsia="en-US"/>
        </w:rPr>
        <w:t xml:space="preserve"> de la Constitución Política del Estado Libre y Soberano de México, </w:t>
      </w:r>
      <w:r w:rsidR="005656CF">
        <w:rPr>
          <w:rFonts w:ascii="Palatino Linotype" w:eastAsiaTheme="minorHAnsi" w:hAnsi="Palatino Linotype" w:cstheme="minorBidi"/>
          <w:color w:val="000000" w:themeColor="text1"/>
          <w:sz w:val="22"/>
          <w:szCs w:val="22"/>
          <w:lang w:val="es-ES" w:eastAsia="en-US"/>
        </w:rPr>
        <w:t xml:space="preserve">reforma que dio atribuciones </w:t>
      </w:r>
      <w:r>
        <w:rPr>
          <w:rFonts w:ascii="Palatino Linotype" w:eastAsiaTheme="minorHAnsi" w:hAnsi="Palatino Linotype" w:cstheme="minorBidi"/>
          <w:color w:val="000000" w:themeColor="text1"/>
          <w:sz w:val="22"/>
          <w:szCs w:val="22"/>
          <w:lang w:val="es-ES" w:eastAsia="en-US"/>
        </w:rPr>
        <w:t>al Poder Legislativo</w:t>
      </w:r>
      <w:r w:rsidR="005656CF">
        <w:rPr>
          <w:rFonts w:ascii="Palatino Linotype" w:eastAsiaTheme="minorHAnsi" w:hAnsi="Palatino Linotype" w:cstheme="minorBidi"/>
          <w:color w:val="000000" w:themeColor="text1"/>
          <w:sz w:val="22"/>
          <w:szCs w:val="22"/>
          <w:lang w:val="es-ES" w:eastAsia="en-US"/>
        </w:rPr>
        <w:t xml:space="preserve"> para </w:t>
      </w:r>
      <w:r w:rsidR="005656CF" w:rsidRPr="005656CF">
        <w:rPr>
          <w:rFonts w:ascii="Palatino Linotype" w:eastAsiaTheme="minorHAnsi" w:hAnsi="Palatino Linotype" w:cstheme="minorBidi"/>
          <w:color w:val="000000" w:themeColor="text1"/>
          <w:sz w:val="22"/>
          <w:szCs w:val="22"/>
          <w:lang w:val="es-ES" w:eastAsia="en-US"/>
        </w:rPr>
        <w:t xml:space="preserve">designar  a los titulares de los órganos internos de control de los organismos </w:t>
      </w:r>
      <w:r w:rsidR="005656CF">
        <w:rPr>
          <w:rFonts w:ascii="Palatino Linotype" w:eastAsiaTheme="minorHAnsi" w:hAnsi="Palatino Linotype" w:cstheme="minorBidi"/>
          <w:color w:val="000000" w:themeColor="text1"/>
          <w:sz w:val="22"/>
          <w:szCs w:val="22"/>
          <w:lang w:val="es-ES" w:eastAsia="en-US"/>
        </w:rPr>
        <w:t>autónomos</w:t>
      </w:r>
      <w:r>
        <w:rPr>
          <w:rFonts w:ascii="Palatino Linotype" w:eastAsiaTheme="minorHAnsi" w:hAnsi="Palatino Linotype" w:cstheme="minorBidi"/>
          <w:color w:val="000000" w:themeColor="text1"/>
          <w:sz w:val="22"/>
          <w:szCs w:val="22"/>
          <w:lang w:val="es-ES" w:eastAsia="en-US"/>
        </w:rPr>
        <w:t>, entre los cuales, se encuentra este Instituto</w:t>
      </w:r>
      <w:r w:rsidR="005656CF">
        <w:rPr>
          <w:rFonts w:ascii="Palatino Linotype" w:eastAsiaTheme="minorHAnsi" w:hAnsi="Palatino Linotype" w:cstheme="minorBidi"/>
          <w:color w:val="000000" w:themeColor="text1"/>
          <w:sz w:val="22"/>
          <w:szCs w:val="22"/>
          <w:lang w:val="es-ES" w:eastAsia="en-US"/>
        </w:rPr>
        <w:t>. A</w:t>
      </w:r>
      <w:r w:rsidR="00B77ECE">
        <w:rPr>
          <w:rFonts w:ascii="Palatino Linotype" w:eastAsiaTheme="minorHAnsi" w:hAnsi="Palatino Linotype" w:cstheme="minorBidi"/>
          <w:color w:val="000000" w:themeColor="text1"/>
          <w:sz w:val="22"/>
          <w:szCs w:val="22"/>
          <w:lang w:val="es-ES" w:eastAsia="en-US"/>
        </w:rPr>
        <w:t>sí mismo</w:t>
      </w:r>
      <w:r w:rsidR="005656CF">
        <w:rPr>
          <w:rFonts w:ascii="Palatino Linotype" w:eastAsiaTheme="minorHAnsi" w:hAnsi="Palatino Linotype" w:cstheme="minorBidi"/>
          <w:color w:val="000000" w:themeColor="text1"/>
          <w:sz w:val="22"/>
          <w:szCs w:val="22"/>
          <w:lang w:val="es-ES" w:eastAsia="en-US"/>
        </w:rPr>
        <w:t>,</w:t>
      </w:r>
      <w:r w:rsidR="00B77ECE">
        <w:rPr>
          <w:rFonts w:ascii="Palatino Linotype" w:eastAsiaTheme="minorHAnsi" w:hAnsi="Palatino Linotype" w:cstheme="minorBidi"/>
          <w:color w:val="000000" w:themeColor="text1"/>
          <w:sz w:val="22"/>
          <w:szCs w:val="22"/>
          <w:lang w:val="es-ES" w:eastAsia="en-US"/>
        </w:rPr>
        <w:t xml:space="preserve"> en dicha fecha fueron derogadas las disposiciones que otorgaban atribuciones al </w:t>
      </w:r>
      <w:r w:rsidR="00B77ECE" w:rsidRPr="00B77ECE">
        <w:rPr>
          <w:rFonts w:ascii="Palatino Linotype" w:eastAsiaTheme="minorHAnsi" w:hAnsi="Palatino Linotype" w:cstheme="minorBidi"/>
          <w:color w:val="000000" w:themeColor="text1"/>
          <w:sz w:val="22"/>
          <w:szCs w:val="22"/>
          <w:lang w:val="es-ES" w:eastAsia="en-US"/>
        </w:rPr>
        <w:t>Instituto de Transparencia, Acceso a la Información Pública y Protección de Datos Personales del Estado de México y Municipios</w:t>
      </w:r>
      <w:r w:rsidR="00B77ECE">
        <w:rPr>
          <w:rFonts w:ascii="Palatino Linotype" w:eastAsiaTheme="minorHAnsi" w:hAnsi="Palatino Linotype" w:cstheme="minorBidi"/>
          <w:color w:val="000000" w:themeColor="text1"/>
          <w:sz w:val="22"/>
          <w:szCs w:val="22"/>
          <w:lang w:val="es-ES" w:eastAsia="en-US"/>
        </w:rPr>
        <w:t xml:space="preserve"> para designar al Contralor I</w:t>
      </w:r>
      <w:r w:rsidR="00E735EE">
        <w:rPr>
          <w:rFonts w:ascii="Palatino Linotype" w:eastAsiaTheme="minorHAnsi" w:hAnsi="Palatino Linotype" w:cstheme="minorBidi"/>
          <w:color w:val="000000" w:themeColor="text1"/>
          <w:sz w:val="22"/>
          <w:szCs w:val="22"/>
          <w:lang w:val="es-ES" w:eastAsia="en-US"/>
        </w:rPr>
        <w:t>nterno</w:t>
      </w:r>
      <w:r w:rsidR="00F56266">
        <w:rPr>
          <w:rFonts w:ascii="Palatino Linotype" w:eastAsiaTheme="minorHAnsi" w:hAnsi="Palatino Linotype" w:cstheme="minorBidi"/>
          <w:color w:val="000000" w:themeColor="text1"/>
          <w:sz w:val="22"/>
          <w:szCs w:val="22"/>
          <w:lang w:val="es-ES" w:eastAsia="en-US"/>
        </w:rPr>
        <w:t>, en específico la fracción XXVI, del artículo 36, de la Ley de Transparencia y Acceso a la _Información Pública del Estado de México y Municipios.</w:t>
      </w:r>
    </w:p>
    <w:p w14:paraId="0E99B9E2" w14:textId="482D2355" w:rsidR="00A367DA" w:rsidRDefault="00A367DA" w:rsidP="007C356B">
      <w:pPr>
        <w:spacing w:line="360" w:lineRule="auto"/>
        <w:jc w:val="both"/>
        <w:rPr>
          <w:rFonts w:ascii="Palatino Linotype" w:eastAsiaTheme="minorHAnsi" w:hAnsi="Palatino Linotype" w:cstheme="minorBidi"/>
          <w:color w:val="000000" w:themeColor="text1"/>
          <w:sz w:val="22"/>
          <w:szCs w:val="22"/>
          <w:lang w:val="es-ES" w:eastAsia="en-US"/>
        </w:rPr>
      </w:pPr>
    </w:p>
    <w:p w14:paraId="5826DE3E" w14:textId="7F74504B" w:rsidR="00F56266" w:rsidRDefault="00F56266" w:rsidP="007C356B">
      <w:pPr>
        <w:spacing w:line="360" w:lineRule="auto"/>
        <w:jc w:val="both"/>
        <w:rPr>
          <w:rFonts w:ascii="Palatino Linotype" w:eastAsiaTheme="minorHAnsi" w:hAnsi="Palatino Linotype" w:cstheme="minorBidi"/>
          <w:color w:val="000000" w:themeColor="text1"/>
          <w:sz w:val="22"/>
          <w:szCs w:val="22"/>
          <w:lang w:val="es-ES" w:eastAsia="en-US"/>
        </w:rPr>
      </w:pPr>
      <w:r>
        <w:rPr>
          <w:rFonts w:ascii="Palatino Linotype" w:eastAsiaTheme="minorHAnsi" w:hAnsi="Palatino Linotype" w:cstheme="minorBidi"/>
          <w:color w:val="000000" w:themeColor="text1"/>
          <w:sz w:val="22"/>
          <w:szCs w:val="22"/>
          <w:lang w:val="es-ES" w:eastAsia="en-US"/>
        </w:rPr>
        <w:t xml:space="preserve">Además, el </w:t>
      </w:r>
      <w:r w:rsidR="00A367DA" w:rsidRPr="00F56266">
        <w:rPr>
          <w:rFonts w:ascii="Palatino Linotype" w:eastAsiaTheme="minorHAnsi" w:hAnsi="Palatino Linotype" w:cstheme="minorBidi"/>
          <w:iCs/>
          <w:color w:val="000000" w:themeColor="text1"/>
          <w:sz w:val="22"/>
          <w:szCs w:val="22"/>
          <w:lang w:val="es-ES" w:eastAsia="en-US"/>
        </w:rPr>
        <w:t xml:space="preserve">Acuerdo por el que se </w:t>
      </w:r>
      <w:r w:rsidR="00E735EE" w:rsidRPr="00F56266">
        <w:rPr>
          <w:rFonts w:ascii="Palatino Linotype" w:eastAsiaTheme="minorHAnsi" w:hAnsi="Palatino Linotype" w:cstheme="minorBidi"/>
          <w:iCs/>
          <w:color w:val="000000" w:themeColor="text1"/>
          <w:sz w:val="22"/>
          <w:szCs w:val="22"/>
          <w:lang w:val="es-ES" w:eastAsia="en-US"/>
        </w:rPr>
        <w:t>Establece el Proceso y la Convocatoria para l</w:t>
      </w:r>
      <w:r w:rsidR="00A367DA" w:rsidRPr="00F56266">
        <w:rPr>
          <w:rFonts w:ascii="Palatino Linotype" w:eastAsiaTheme="minorHAnsi" w:hAnsi="Palatino Linotype" w:cstheme="minorBidi"/>
          <w:iCs/>
          <w:color w:val="000000" w:themeColor="text1"/>
          <w:sz w:val="22"/>
          <w:szCs w:val="22"/>
          <w:lang w:val="es-ES" w:eastAsia="en-US"/>
        </w:rPr>
        <w:t>a D</w:t>
      </w:r>
      <w:r w:rsidR="00E735EE" w:rsidRPr="00F56266">
        <w:rPr>
          <w:rFonts w:ascii="Palatino Linotype" w:eastAsiaTheme="minorHAnsi" w:hAnsi="Palatino Linotype" w:cstheme="minorBidi"/>
          <w:iCs/>
          <w:color w:val="000000" w:themeColor="text1"/>
          <w:sz w:val="22"/>
          <w:szCs w:val="22"/>
          <w:lang w:val="es-ES" w:eastAsia="en-US"/>
        </w:rPr>
        <w:t>esignación de los Titulares de l</w:t>
      </w:r>
      <w:r w:rsidR="00A367DA" w:rsidRPr="00F56266">
        <w:rPr>
          <w:rFonts w:ascii="Palatino Linotype" w:eastAsiaTheme="minorHAnsi" w:hAnsi="Palatino Linotype" w:cstheme="minorBidi"/>
          <w:iCs/>
          <w:color w:val="000000" w:themeColor="text1"/>
          <w:sz w:val="22"/>
          <w:szCs w:val="22"/>
          <w:lang w:val="es-ES" w:eastAsia="en-US"/>
        </w:rPr>
        <w:t>os</w:t>
      </w:r>
      <w:r w:rsidR="00E735EE" w:rsidRPr="00F56266">
        <w:rPr>
          <w:rFonts w:ascii="Palatino Linotype" w:eastAsiaTheme="minorHAnsi" w:hAnsi="Palatino Linotype" w:cstheme="minorBidi"/>
          <w:iCs/>
          <w:color w:val="000000" w:themeColor="text1"/>
          <w:sz w:val="22"/>
          <w:szCs w:val="22"/>
          <w:lang w:val="es-ES" w:eastAsia="en-US"/>
        </w:rPr>
        <w:t xml:space="preserve"> Órganos Internos de Control de los Organismos con Autonomía </w:t>
      </w:r>
      <w:r>
        <w:rPr>
          <w:rFonts w:ascii="Palatino Linotype" w:eastAsiaTheme="minorHAnsi" w:hAnsi="Palatino Linotype" w:cstheme="minorBidi"/>
          <w:iCs/>
          <w:color w:val="000000" w:themeColor="text1"/>
          <w:sz w:val="22"/>
          <w:szCs w:val="22"/>
          <w:lang w:val="es-ES" w:eastAsia="en-US"/>
        </w:rPr>
        <w:t>r</w:t>
      </w:r>
      <w:r w:rsidR="00E735EE" w:rsidRPr="00F56266">
        <w:rPr>
          <w:rFonts w:ascii="Palatino Linotype" w:eastAsiaTheme="minorHAnsi" w:hAnsi="Palatino Linotype" w:cstheme="minorBidi"/>
          <w:iCs/>
          <w:color w:val="000000" w:themeColor="text1"/>
          <w:sz w:val="22"/>
          <w:szCs w:val="22"/>
          <w:lang w:val="es-ES" w:eastAsia="en-US"/>
        </w:rPr>
        <w:t xml:space="preserve">econocida en </w:t>
      </w:r>
      <w:r>
        <w:rPr>
          <w:rFonts w:ascii="Palatino Linotype" w:eastAsiaTheme="minorHAnsi" w:hAnsi="Palatino Linotype" w:cstheme="minorBidi"/>
          <w:iCs/>
          <w:color w:val="000000" w:themeColor="text1"/>
          <w:sz w:val="22"/>
          <w:szCs w:val="22"/>
          <w:lang w:val="es-ES" w:eastAsia="en-US"/>
        </w:rPr>
        <w:t>l</w:t>
      </w:r>
      <w:r w:rsidR="00E735EE" w:rsidRPr="00F56266">
        <w:rPr>
          <w:rFonts w:ascii="Palatino Linotype" w:eastAsiaTheme="minorHAnsi" w:hAnsi="Palatino Linotype" w:cstheme="minorBidi"/>
          <w:iCs/>
          <w:color w:val="000000" w:themeColor="text1"/>
          <w:sz w:val="22"/>
          <w:szCs w:val="22"/>
          <w:lang w:val="es-ES" w:eastAsia="en-US"/>
        </w:rPr>
        <w:t xml:space="preserve">a Constitución Política </w:t>
      </w:r>
      <w:r>
        <w:rPr>
          <w:rFonts w:ascii="Palatino Linotype" w:eastAsiaTheme="minorHAnsi" w:hAnsi="Palatino Linotype" w:cstheme="minorBidi"/>
          <w:iCs/>
          <w:color w:val="000000" w:themeColor="text1"/>
          <w:sz w:val="22"/>
          <w:szCs w:val="22"/>
          <w:lang w:val="es-ES" w:eastAsia="en-US"/>
        </w:rPr>
        <w:t>d</w:t>
      </w:r>
      <w:r w:rsidR="00E735EE" w:rsidRPr="00F56266">
        <w:rPr>
          <w:rFonts w:ascii="Palatino Linotype" w:eastAsiaTheme="minorHAnsi" w:hAnsi="Palatino Linotype" w:cstheme="minorBidi"/>
          <w:iCs/>
          <w:color w:val="000000" w:themeColor="text1"/>
          <w:sz w:val="22"/>
          <w:szCs w:val="22"/>
          <w:lang w:val="es-ES" w:eastAsia="en-US"/>
        </w:rPr>
        <w:t>el Estado Libre y</w:t>
      </w:r>
      <w:r w:rsidR="00A367DA" w:rsidRPr="00F56266">
        <w:rPr>
          <w:rFonts w:ascii="Palatino Linotype" w:eastAsiaTheme="minorHAnsi" w:hAnsi="Palatino Linotype" w:cstheme="minorBidi"/>
          <w:iCs/>
          <w:color w:val="000000" w:themeColor="text1"/>
          <w:sz w:val="22"/>
          <w:szCs w:val="22"/>
          <w:lang w:val="es-ES" w:eastAsia="en-US"/>
        </w:rPr>
        <w:t xml:space="preserve"> </w:t>
      </w:r>
      <w:r w:rsidR="00E735EE" w:rsidRPr="00F56266">
        <w:rPr>
          <w:rFonts w:ascii="Palatino Linotype" w:eastAsiaTheme="minorHAnsi" w:hAnsi="Palatino Linotype" w:cstheme="minorBidi"/>
          <w:iCs/>
          <w:color w:val="000000" w:themeColor="text1"/>
          <w:sz w:val="22"/>
          <w:szCs w:val="22"/>
          <w:lang w:val="es-ES" w:eastAsia="en-US"/>
        </w:rPr>
        <w:t>Soberano de México que Ejerzan Recursos del Presupuesto de Egresos del Estado,</w:t>
      </w:r>
      <w:r w:rsidR="00E735EE">
        <w:rPr>
          <w:rFonts w:ascii="Palatino Linotype" w:eastAsiaTheme="minorHAnsi" w:hAnsi="Palatino Linotype" w:cstheme="minorBidi"/>
          <w:color w:val="000000" w:themeColor="text1"/>
          <w:sz w:val="22"/>
          <w:szCs w:val="22"/>
          <w:lang w:val="es-ES" w:eastAsia="en-US"/>
        </w:rPr>
        <w:t xml:space="preserve"> en su numeral primero,  </w:t>
      </w:r>
      <w:r>
        <w:rPr>
          <w:rFonts w:ascii="Palatino Linotype" w:eastAsiaTheme="minorHAnsi" w:hAnsi="Palatino Linotype" w:cstheme="minorBidi"/>
          <w:color w:val="000000" w:themeColor="text1"/>
          <w:sz w:val="22"/>
          <w:szCs w:val="22"/>
          <w:lang w:val="es-ES" w:eastAsia="en-US"/>
        </w:rPr>
        <w:t xml:space="preserve">precisa </w:t>
      </w:r>
      <w:r w:rsidR="00E735EE">
        <w:rPr>
          <w:rFonts w:ascii="Palatino Linotype" w:eastAsiaTheme="minorHAnsi" w:hAnsi="Palatino Linotype" w:cstheme="minorBidi"/>
          <w:color w:val="000000" w:themeColor="text1"/>
          <w:sz w:val="22"/>
          <w:szCs w:val="22"/>
          <w:lang w:val="es-ES" w:eastAsia="en-US"/>
        </w:rPr>
        <w:t xml:space="preserve">que en dicha convocatoria se aprobó </w:t>
      </w:r>
      <w:r w:rsidR="00A367DA" w:rsidRPr="00A367DA">
        <w:rPr>
          <w:rFonts w:ascii="Palatino Linotype" w:eastAsiaTheme="minorHAnsi" w:hAnsi="Palatino Linotype" w:cstheme="minorBidi"/>
          <w:color w:val="000000" w:themeColor="text1"/>
          <w:sz w:val="22"/>
          <w:szCs w:val="22"/>
          <w:lang w:val="es-ES" w:eastAsia="en-US"/>
        </w:rPr>
        <w:t>el proceso para la</w:t>
      </w:r>
      <w:r w:rsidR="00E735EE">
        <w:rPr>
          <w:rFonts w:ascii="Palatino Linotype" w:eastAsiaTheme="minorHAnsi" w:hAnsi="Palatino Linotype" w:cstheme="minorBidi"/>
          <w:color w:val="000000" w:themeColor="text1"/>
          <w:sz w:val="22"/>
          <w:szCs w:val="22"/>
          <w:lang w:val="es-ES" w:eastAsia="en-US"/>
        </w:rPr>
        <w:t xml:space="preserve"> selección y designación del titular del órgano interno</w:t>
      </w:r>
      <w:r w:rsidR="00A367DA" w:rsidRPr="00A367DA">
        <w:rPr>
          <w:rFonts w:ascii="Palatino Linotype" w:eastAsiaTheme="minorHAnsi" w:hAnsi="Palatino Linotype" w:cstheme="minorBidi"/>
          <w:color w:val="000000" w:themeColor="text1"/>
          <w:sz w:val="22"/>
          <w:szCs w:val="22"/>
          <w:lang w:val="es-ES" w:eastAsia="en-US"/>
        </w:rPr>
        <w:t xml:space="preserve"> de control de</w:t>
      </w:r>
      <w:r w:rsidR="00E735EE">
        <w:rPr>
          <w:rFonts w:ascii="Palatino Linotype" w:eastAsiaTheme="minorHAnsi" w:hAnsi="Palatino Linotype" w:cstheme="minorBidi"/>
          <w:color w:val="000000" w:themeColor="text1"/>
          <w:sz w:val="22"/>
          <w:szCs w:val="22"/>
          <w:lang w:val="es-ES" w:eastAsia="en-US"/>
        </w:rPr>
        <w:t>l</w:t>
      </w:r>
      <w:r w:rsidR="00A367DA" w:rsidRPr="00A367DA">
        <w:rPr>
          <w:rFonts w:ascii="Palatino Linotype" w:eastAsiaTheme="minorHAnsi" w:hAnsi="Palatino Linotype" w:cstheme="minorBidi"/>
          <w:color w:val="000000" w:themeColor="text1"/>
          <w:sz w:val="22"/>
          <w:szCs w:val="22"/>
          <w:lang w:val="es-ES" w:eastAsia="en-US"/>
        </w:rPr>
        <w:t xml:space="preserve"> Instituto de Transparencia, Acceso a la Información Pública y Protección de Datos Personales del Estado de México y Municipios.</w:t>
      </w:r>
      <w:r w:rsidR="00BC2E9D">
        <w:rPr>
          <w:rFonts w:ascii="Palatino Linotype" w:eastAsiaTheme="minorHAnsi" w:hAnsi="Palatino Linotype" w:cstheme="minorBidi"/>
          <w:color w:val="000000" w:themeColor="text1"/>
          <w:sz w:val="22"/>
          <w:szCs w:val="22"/>
          <w:lang w:val="es-ES" w:eastAsia="en-US"/>
        </w:rPr>
        <w:t xml:space="preserve"> </w:t>
      </w:r>
      <w:r w:rsidR="00E735EE">
        <w:rPr>
          <w:rFonts w:ascii="Palatino Linotype" w:eastAsiaTheme="minorHAnsi" w:hAnsi="Palatino Linotype" w:cstheme="minorBidi"/>
          <w:color w:val="000000" w:themeColor="text1"/>
          <w:sz w:val="22"/>
          <w:szCs w:val="22"/>
          <w:lang w:val="es-ES" w:eastAsia="en-US"/>
        </w:rPr>
        <w:t>As</w:t>
      </w:r>
      <w:r w:rsidR="00FC4C8E">
        <w:rPr>
          <w:rFonts w:ascii="Palatino Linotype" w:eastAsiaTheme="minorHAnsi" w:hAnsi="Palatino Linotype" w:cstheme="minorBidi"/>
          <w:color w:val="000000" w:themeColor="text1"/>
          <w:sz w:val="22"/>
          <w:szCs w:val="22"/>
          <w:lang w:val="es-ES" w:eastAsia="en-US"/>
        </w:rPr>
        <w:t>í mismo, en el</w:t>
      </w:r>
      <w:r w:rsidR="00E735EE">
        <w:rPr>
          <w:rFonts w:ascii="Palatino Linotype" w:eastAsiaTheme="minorHAnsi" w:hAnsi="Palatino Linotype" w:cstheme="minorBidi"/>
          <w:color w:val="000000" w:themeColor="text1"/>
          <w:sz w:val="22"/>
          <w:szCs w:val="22"/>
          <w:lang w:val="es-ES" w:eastAsia="en-US"/>
        </w:rPr>
        <w:t xml:space="preserve"> APARTADO IV, numeral 2, </w:t>
      </w:r>
      <w:r w:rsidR="00FC4C8E">
        <w:rPr>
          <w:rFonts w:ascii="Palatino Linotype" w:eastAsiaTheme="minorHAnsi" w:hAnsi="Palatino Linotype" w:cstheme="minorBidi"/>
          <w:color w:val="000000" w:themeColor="text1"/>
          <w:sz w:val="22"/>
          <w:szCs w:val="22"/>
          <w:lang w:val="es-ES" w:eastAsia="en-US"/>
        </w:rPr>
        <w:t xml:space="preserve">del mismo dispositivo legal, se contempla </w:t>
      </w:r>
      <w:r w:rsidR="00E735EE">
        <w:rPr>
          <w:rFonts w:ascii="Palatino Linotype" w:eastAsiaTheme="minorHAnsi" w:hAnsi="Palatino Linotype" w:cstheme="minorBidi"/>
          <w:color w:val="000000" w:themeColor="text1"/>
          <w:sz w:val="22"/>
          <w:szCs w:val="22"/>
          <w:lang w:val="es-ES" w:eastAsia="en-US"/>
        </w:rPr>
        <w:t xml:space="preserve">que </w:t>
      </w:r>
      <w:r w:rsidR="00E735EE" w:rsidRPr="00BC2E9D">
        <w:rPr>
          <w:rFonts w:ascii="Palatino Linotype" w:eastAsiaTheme="minorHAnsi" w:hAnsi="Palatino Linotype" w:cstheme="minorBidi"/>
          <w:bCs/>
          <w:color w:val="000000" w:themeColor="text1"/>
          <w:sz w:val="22"/>
          <w:szCs w:val="22"/>
          <w:lang w:val="es-ES" w:eastAsia="en-US"/>
        </w:rPr>
        <w:t xml:space="preserve">el Pleno de la Legislatura deberá </w:t>
      </w:r>
      <w:r w:rsidR="00E735EE" w:rsidRPr="00BC2E9D">
        <w:rPr>
          <w:rFonts w:ascii="Palatino Linotype" w:eastAsiaTheme="minorHAnsi" w:hAnsi="Palatino Linotype" w:cstheme="minorBidi"/>
          <w:bCs/>
          <w:color w:val="000000" w:themeColor="text1"/>
          <w:sz w:val="22"/>
          <w:szCs w:val="22"/>
          <w:lang w:val="es-ES" w:eastAsia="en-US"/>
        </w:rPr>
        <w:lastRenderedPageBreak/>
        <w:t>aprobar por la mayoría calificada de sus miembros presentes a quienes han de ocupar la titularidad de los órganos internos de control</w:t>
      </w:r>
      <w:r w:rsidR="00BC2E9D">
        <w:rPr>
          <w:rFonts w:ascii="Palatino Linotype" w:eastAsiaTheme="minorHAnsi" w:hAnsi="Palatino Linotype" w:cstheme="minorBidi"/>
          <w:color w:val="000000" w:themeColor="text1"/>
          <w:sz w:val="22"/>
          <w:szCs w:val="22"/>
          <w:lang w:val="es-ES" w:eastAsia="en-US"/>
        </w:rPr>
        <w:t>.</w:t>
      </w:r>
    </w:p>
    <w:p w14:paraId="2C3946DB" w14:textId="2C6011E8" w:rsidR="00BC2E9D" w:rsidRDefault="00BC2E9D" w:rsidP="007C356B">
      <w:pPr>
        <w:spacing w:line="360" w:lineRule="auto"/>
        <w:jc w:val="both"/>
        <w:rPr>
          <w:rFonts w:ascii="Palatino Linotype" w:eastAsiaTheme="minorHAnsi" w:hAnsi="Palatino Linotype" w:cstheme="minorBidi"/>
          <w:color w:val="000000" w:themeColor="text1"/>
          <w:sz w:val="22"/>
          <w:szCs w:val="22"/>
          <w:lang w:val="es-ES" w:eastAsia="en-US"/>
        </w:rPr>
      </w:pPr>
    </w:p>
    <w:p w14:paraId="7C9BBCA8" w14:textId="12AA485E" w:rsidR="00BC2E9D" w:rsidRDefault="00BC2E9D" w:rsidP="007C356B">
      <w:pPr>
        <w:spacing w:line="360" w:lineRule="auto"/>
        <w:jc w:val="both"/>
        <w:rPr>
          <w:rFonts w:ascii="Palatino Linotype" w:eastAsiaTheme="minorHAnsi" w:hAnsi="Palatino Linotype" w:cstheme="minorBidi"/>
          <w:color w:val="000000" w:themeColor="text1"/>
          <w:sz w:val="22"/>
          <w:szCs w:val="22"/>
          <w:lang w:val="es-ES" w:eastAsia="en-US"/>
        </w:rPr>
      </w:pPr>
      <w:r>
        <w:rPr>
          <w:rFonts w:ascii="Palatino Linotype" w:eastAsiaTheme="minorHAnsi" w:hAnsi="Palatino Linotype" w:cstheme="minorBidi"/>
          <w:color w:val="000000" w:themeColor="text1"/>
          <w:sz w:val="22"/>
          <w:szCs w:val="22"/>
          <w:lang w:val="es-ES" w:eastAsia="en-US"/>
        </w:rPr>
        <w:t>Finalmente, mediante el Decreto 276, la Legislatura c</w:t>
      </w:r>
      <w:proofErr w:type="spellStart"/>
      <w:r w:rsidRPr="00BC2E9D">
        <w:rPr>
          <w:rFonts w:ascii="Palatino Linotype" w:eastAsiaTheme="minorHAnsi" w:hAnsi="Palatino Linotype" w:cstheme="minorBidi"/>
          <w:color w:val="000000" w:themeColor="text1"/>
          <w:sz w:val="22"/>
          <w:szCs w:val="22"/>
          <w:lang w:eastAsia="en-US"/>
        </w:rPr>
        <w:t>on</w:t>
      </w:r>
      <w:proofErr w:type="spellEnd"/>
      <w:r w:rsidRPr="00BC2E9D">
        <w:rPr>
          <w:rFonts w:ascii="Palatino Linotype" w:eastAsiaTheme="minorHAnsi" w:hAnsi="Palatino Linotype" w:cstheme="minorBidi"/>
          <w:color w:val="000000" w:themeColor="text1"/>
          <w:sz w:val="22"/>
          <w:szCs w:val="22"/>
          <w:lang w:eastAsia="en-US"/>
        </w:rPr>
        <w:t xml:space="preserve"> fundamento en lo establecido por el artículo 61 fracción LIV de la Constitución Política del Estado Libre y Soberano de México, designa al C. Ignacio Saúl Acosta Rodríguez, Titular del Órgano de Control Interno del Instituto de Transparencia, Acceso a la Información Pública y Protección de Datos Personales del Estado de México y Municipios.</w:t>
      </w:r>
    </w:p>
    <w:p w14:paraId="35281664" w14:textId="5DEFD404" w:rsidR="00BC2E9D" w:rsidRDefault="00BC2E9D" w:rsidP="007C356B">
      <w:pPr>
        <w:spacing w:line="360" w:lineRule="auto"/>
        <w:jc w:val="both"/>
        <w:rPr>
          <w:rFonts w:ascii="Palatino Linotype" w:eastAsiaTheme="minorHAnsi" w:hAnsi="Palatino Linotype" w:cstheme="minorBidi"/>
          <w:color w:val="000000" w:themeColor="text1"/>
          <w:sz w:val="22"/>
          <w:szCs w:val="22"/>
          <w:lang w:val="es-ES" w:eastAsia="en-US"/>
        </w:rPr>
      </w:pPr>
    </w:p>
    <w:p w14:paraId="15FB5546" w14:textId="02C99B8A" w:rsidR="00BC2E9D" w:rsidRDefault="00BC2E9D" w:rsidP="007C356B">
      <w:pPr>
        <w:spacing w:line="360" w:lineRule="auto"/>
        <w:jc w:val="both"/>
        <w:rPr>
          <w:rFonts w:ascii="Palatino Linotype" w:eastAsiaTheme="minorHAnsi" w:hAnsi="Palatino Linotype" w:cstheme="minorBidi"/>
          <w:color w:val="000000" w:themeColor="text1"/>
          <w:sz w:val="22"/>
          <w:szCs w:val="22"/>
          <w:lang w:val="es-ES" w:eastAsia="en-US"/>
        </w:rPr>
      </w:pPr>
      <w:r>
        <w:rPr>
          <w:rFonts w:ascii="Palatino Linotype" w:eastAsiaTheme="minorHAnsi" w:hAnsi="Palatino Linotype" w:cstheme="minorBidi"/>
          <w:color w:val="000000" w:themeColor="text1"/>
          <w:sz w:val="22"/>
          <w:szCs w:val="22"/>
          <w:lang w:val="es-ES" w:eastAsia="en-US"/>
        </w:rPr>
        <w:t xml:space="preserve">Conforme a lo anterior, se logra vislumbrar que a partir del veinticinco de abril de dos mil diecisiete la facultad para designar, remover y establecer la duración en el cargo, paso al Poder Legislativo; por lo que, se logra concluir que </w:t>
      </w:r>
      <w:r w:rsidRPr="00BC2E9D">
        <w:rPr>
          <w:rFonts w:ascii="Palatino Linotype" w:eastAsiaTheme="minorHAnsi" w:hAnsi="Palatino Linotype" w:cstheme="minorBidi"/>
          <w:color w:val="000000" w:themeColor="text1"/>
          <w:sz w:val="22"/>
          <w:szCs w:val="22"/>
          <w:lang w:val="es-ES" w:eastAsia="en-US"/>
        </w:rPr>
        <w:t>el Ente Recurrido es notoriamente incompetente para conocer de la información requerida</w:t>
      </w:r>
      <w:r>
        <w:rPr>
          <w:rFonts w:ascii="Palatino Linotype" w:eastAsiaTheme="minorHAnsi" w:hAnsi="Palatino Linotype" w:cstheme="minorBidi"/>
          <w:color w:val="000000" w:themeColor="text1"/>
          <w:sz w:val="22"/>
          <w:szCs w:val="22"/>
          <w:lang w:val="es-ES" w:eastAsia="en-US"/>
        </w:rPr>
        <w:t>, al carecer de atribuciones para determinar la selección o remoción del Contralor Interno.</w:t>
      </w:r>
    </w:p>
    <w:p w14:paraId="54A5878D" w14:textId="64546D8B" w:rsidR="00BC2E9D" w:rsidRDefault="00BC2E9D" w:rsidP="007C356B">
      <w:pPr>
        <w:spacing w:line="360" w:lineRule="auto"/>
        <w:jc w:val="both"/>
        <w:rPr>
          <w:rFonts w:ascii="Palatino Linotype" w:eastAsiaTheme="minorHAnsi" w:hAnsi="Palatino Linotype" w:cstheme="minorBidi"/>
          <w:color w:val="000000" w:themeColor="text1"/>
          <w:sz w:val="22"/>
          <w:szCs w:val="22"/>
          <w:lang w:val="es-ES" w:eastAsia="en-US"/>
        </w:rPr>
      </w:pPr>
      <w:r>
        <w:rPr>
          <w:rFonts w:ascii="Palatino Linotype" w:eastAsiaTheme="minorHAnsi" w:hAnsi="Palatino Linotype" w:cstheme="minorBidi"/>
          <w:color w:val="000000" w:themeColor="text1"/>
          <w:sz w:val="22"/>
          <w:szCs w:val="22"/>
          <w:lang w:val="es-ES" w:eastAsia="en-US"/>
        </w:rPr>
        <w:t xml:space="preserve"> </w:t>
      </w:r>
    </w:p>
    <w:p w14:paraId="715614D4" w14:textId="77777777" w:rsidR="00BC2E9D" w:rsidRPr="00BC2E9D" w:rsidRDefault="00BC2E9D" w:rsidP="00BC2E9D">
      <w:pPr>
        <w:spacing w:line="360" w:lineRule="auto"/>
        <w:jc w:val="both"/>
        <w:rPr>
          <w:rFonts w:ascii="Palatino Linotype" w:hAnsi="Palatino Linotype" w:cs="Tahoma"/>
          <w:bCs/>
          <w:sz w:val="22"/>
          <w:szCs w:val="22"/>
        </w:rPr>
      </w:pPr>
      <w:r w:rsidRPr="00BC2E9D">
        <w:rPr>
          <w:rFonts w:ascii="Palatino Linotype" w:hAnsi="Palatino Linotype" w:cs="Tahoma"/>
          <w:bCs/>
          <w:sz w:val="22"/>
          <w:szCs w:val="22"/>
        </w:rPr>
        <w:t>En ese orden de ideas, es de recordar que el primer párrafo del artículo 167 de la Ley de Transparencia y Acceso a la Información Pública del Estado de México y Municipios, establece que cuando las unidades de transparencia determinen la notoria incompetencia deben realizar lo siguiente:</w:t>
      </w:r>
    </w:p>
    <w:p w14:paraId="0E69F836" w14:textId="77777777" w:rsidR="00BC2E9D" w:rsidRPr="00BC2E9D" w:rsidRDefault="00BC2E9D" w:rsidP="00BC2E9D">
      <w:pPr>
        <w:spacing w:line="360" w:lineRule="auto"/>
        <w:jc w:val="both"/>
        <w:rPr>
          <w:rFonts w:ascii="Palatino Linotype" w:hAnsi="Palatino Linotype" w:cs="Tahoma"/>
          <w:bCs/>
          <w:sz w:val="22"/>
          <w:szCs w:val="22"/>
        </w:rPr>
      </w:pPr>
    </w:p>
    <w:p w14:paraId="1263F860" w14:textId="77777777" w:rsidR="00BC2E9D" w:rsidRPr="00BC2E9D" w:rsidRDefault="00BC2E9D" w:rsidP="00BC2E9D">
      <w:pPr>
        <w:numPr>
          <w:ilvl w:val="0"/>
          <w:numId w:val="22"/>
        </w:numPr>
        <w:spacing w:after="160" w:line="360" w:lineRule="auto"/>
        <w:jc w:val="both"/>
        <w:rPr>
          <w:rFonts w:ascii="Palatino Linotype" w:hAnsi="Palatino Linotype" w:cs="Tahoma"/>
          <w:bCs/>
          <w:sz w:val="22"/>
          <w:szCs w:val="22"/>
        </w:rPr>
      </w:pPr>
      <w:r w:rsidRPr="00BC2E9D">
        <w:rPr>
          <w:rFonts w:ascii="Palatino Linotype" w:hAnsi="Palatino Linotype" w:cs="Tahoma"/>
          <w:bCs/>
          <w:sz w:val="22"/>
          <w:szCs w:val="22"/>
        </w:rPr>
        <w:t>Hacerlo del conocimiento del Particular, dentro de los tres días hábiles, posteriores a la presentación de la solicitud de información, y</w:t>
      </w:r>
    </w:p>
    <w:p w14:paraId="203C3CAA" w14:textId="77777777" w:rsidR="00BC2E9D" w:rsidRPr="00BC2E9D" w:rsidRDefault="00BC2E9D" w:rsidP="00BC2E9D">
      <w:pPr>
        <w:spacing w:line="360" w:lineRule="auto"/>
        <w:ind w:left="720"/>
        <w:jc w:val="both"/>
        <w:rPr>
          <w:rFonts w:ascii="Palatino Linotype" w:hAnsi="Palatino Linotype" w:cs="Tahoma"/>
          <w:bCs/>
          <w:sz w:val="22"/>
          <w:szCs w:val="22"/>
        </w:rPr>
      </w:pPr>
    </w:p>
    <w:p w14:paraId="41F00BAB" w14:textId="77777777" w:rsidR="00BC2E9D" w:rsidRPr="00BC2E9D" w:rsidRDefault="00BC2E9D" w:rsidP="00BC2E9D">
      <w:pPr>
        <w:numPr>
          <w:ilvl w:val="0"/>
          <w:numId w:val="22"/>
        </w:numPr>
        <w:spacing w:after="160" w:line="360" w:lineRule="auto"/>
        <w:jc w:val="both"/>
        <w:rPr>
          <w:rFonts w:ascii="Palatino Linotype" w:hAnsi="Palatino Linotype" w:cs="Tahoma"/>
          <w:bCs/>
          <w:sz w:val="22"/>
          <w:szCs w:val="22"/>
        </w:rPr>
      </w:pPr>
      <w:r w:rsidRPr="00BC2E9D">
        <w:rPr>
          <w:rFonts w:ascii="Palatino Linotype" w:hAnsi="Palatino Linotype" w:cs="Tahoma"/>
          <w:bCs/>
          <w:sz w:val="22"/>
          <w:szCs w:val="22"/>
        </w:rPr>
        <w:t>En caso de conocer el Sujeto Obligado competente, orientarlo a presentar la solicitud ante el mismo.</w:t>
      </w:r>
    </w:p>
    <w:p w14:paraId="30FC64A8" w14:textId="77777777" w:rsidR="00BC2E9D" w:rsidRPr="00BC2E9D" w:rsidRDefault="00BC2E9D" w:rsidP="00BC2E9D">
      <w:pPr>
        <w:spacing w:line="360" w:lineRule="auto"/>
        <w:jc w:val="both"/>
        <w:rPr>
          <w:rFonts w:ascii="Palatino Linotype" w:hAnsi="Palatino Linotype" w:cs="Tahoma"/>
          <w:bCs/>
          <w:sz w:val="22"/>
          <w:szCs w:val="22"/>
        </w:rPr>
      </w:pPr>
    </w:p>
    <w:p w14:paraId="5DAE4A16" w14:textId="013EAC9A" w:rsidR="00BC2E9D" w:rsidRDefault="00BC2E9D" w:rsidP="00BC2E9D">
      <w:pPr>
        <w:spacing w:line="360" w:lineRule="auto"/>
        <w:jc w:val="both"/>
        <w:rPr>
          <w:rFonts w:ascii="Palatino Linotype" w:hAnsi="Palatino Linotype" w:cs="Tahoma"/>
          <w:bCs/>
          <w:sz w:val="22"/>
          <w:szCs w:val="22"/>
          <w:lang w:val="es-ES"/>
        </w:rPr>
      </w:pPr>
      <w:r w:rsidRPr="00BC2E9D">
        <w:rPr>
          <w:rFonts w:ascii="Palatino Linotype" w:hAnsi="Palatino Linotype" w:cs="Tahoma"/>
          <w:bCs/>
          <w:sz w:val="22"/>
          <w:szCs w:val="22"/>
        </w:rPr>
        <w:t xml:space="preserve">En el presente caso, de la revisión de las constancias del expediente electrónico, localizado en el Sistema de Acceso a la Información Mexiquense (SAIMEX), se advierte que el </w:t>
      </w:r>
      <w:r>
        <w:rPr>
          <w:rFonts w:ascii="Palatino Linotype" w:hAnsi="Palatino Linotype" w:cs="Tahoma"/>
          <w:bCs/>
          <w:sz w:val="22"/>
          <w:szCs w:val="22"/>
        </w:rPr>
        <w:t>Sujeto Obligado</w:t>
      </w:r>
      <w:r w:rsidRPr="00BC2E9D">
        <w:rPr>
          <w:rFonts w:ascii="Palatino Linotype" w:hAnsi="Palatino Linotype" w:cs="Tahoma"/>
          <w:bCs/>
          <w:sz w:val="22"/>
          <w:szCs w:val="22"/>
        </w:rPr>
        <w:t>, cumplió con los dos parámetros previamente establecidos, pues dio contestación dentro de los tres días hábiles posteriores a la presentación del requerimiento</w:t>
      </w:r>
      <w:r w:rsidRPr="00BC2E9D">
        <w:rPr>
          <w:rFonts w:ascii="Palatino Linotype" w:hAnsi="Palatino Linotype" w:cs="Tahoma"/>
          <w:bCs/>
          <w:sz w:val="22"/>
          <w:szCs w:val="22"/>
          <w:lang w:val="es-ES"/>
        </w:rPr>
        <w:t xml:space="preserve">, además, de que orientó al Solicitante, a presentar la solicitud ante el </w:t>
      </w:r>
      <w:r>
        <w:rPr>
          <w:rFonts w:ascii="Palatino Linotype" w:hAnsi="Palatino Linotype" w:cs="Tahoma"/>
          <w:bCs/>
          <w:sz w:val="22"/>
          <w:szCs w:val="22"/>
          <w:lang w:val="es-ES"/>
        </w:rPr>
        <w:t>Poder Legislativo.</w:t>
      </w:r>
    </w:p>
    <w:p w14:paraId="1A1933B4" w14:textId="53E15090" w:rsidR="00BC2E9D" w:rsidRDefault="00BC2E9D" w:rsidP="00BC2E9D">
      <w:pPr>
        <w:spacing w:line="360" w:lineRule="auto"/>
        <w:jc w:val="both"/>
        <w:rPr>
          <w:rFonts w:ascii="Palatino Linotype" w:hAnsi="Palatino Linotype" w:cs="Tahoma"/>
          <w:bCs/>
          <w:sz w:val="22"/>
          <w:szCs w:val="22"/>
          <w:lang w:val="es-ES"/>
        </w:rPr>
      </w:pPr>
    </w:p>
    <w:p w14:paraId="10628DE9" w14:textId="2F7B9CE0" w:rsidR="00BC2E9D" w:rsidRPr="00BC2E9D" w:rsidRDefault="00BC2E9D" w:rsidP="00BC2E9D">
      <w:pPr>
        <w:spacing w:line="360" w:lineRule="auto"/>
        <w:jc w:val="both"/>
        <w:rPr>
          <w:rFonts w:ascii="Palatino Linotype" w:hAnsi="Palatino Linotype" w:cs="Tahoma"/>
          <w:bCs/>
          <w:sz w:val="22"/>
          <w:szCs w:val="22"/>
          <w:lang w:val="es-ES"/>
        </w:rPr>
      </w:pPr>
      <w:r w:rsidRPr="00BC2E9D">
        <w:rPr>
          <w:rFonts w:ascii="Palatino Linotype" w:hAnsi="Palatino Linotype" w:cs="Tahoma"/>
          <w:bCs/>
          <w:sz w:val="22"/>
          <w:szCs w:val="22"/>
          <w:lang w:val="es-ES"/>
        </w:rPr>
        <w:t xml:space="preserve">Conforme a lo expuesto, se considera que el Sujeto Obligado fue congruente con su respuesta, al señalar que carecía de atribuciones para conocer de lo peticionado, tan es así que siguió el procedimiento establecido en el primer párrafo del artículo 167 de la Ley de la materia; por lo que, se concluye que el </w:t>
      </w:r>
      <w:r>
        <w:rPr>
          <w:rFonts w:ascii="Palatino Linotype" w:eastAsia="Calibri" w:hAnsi="Palatino Linotype" w:cs="Tahoma"/>
          <w:sz w:val="22"/>
          <w:szCs w:val="22"/>
        </w:rPr>
        <w:t>Instituto de Transparencia, Acceso a la Información Pública y Protección de Datos Personales del Estado de México y Municipios</w:t>
      </w:r>
      <w:r w:rsidRPr="00BC2E9D">
        <w:rPr>
          <w:rFonts w:ascii="Palatino Linotype" w:hAnsi="Palatino Linotype" w:cs="Tahoma"/>
          <w:bCs/>
          <w:sz w:val="22"/>
          <w:szCs w:val="22"/>
          <w:lang w:val="es-ES"/>
        </w:rPr>
        <w:t xml:space="preserve"> es </w:t>
      </w:r>
      <w:r w:rsidRPr="00BC2E9D">
        <w:rPr>
          <w:rFonts w:ascii="Palatino Linotype" w:hAnsi="Palatino Linotype" w:cs="Tahoma"/>
          <w:b/>
          <w:bCs/>
          <w:sz w:val="22"/>
          <w:szCs w:val="22"/>
          <w:lang w:val="es-ES"/>
        </w:rPr>
        <w:t>notoriamente incompetente</w:t>
      </w:r>
      <w:r w:rsidRPr="00BC2E9D">
        <w:rPr>
          <w:rFonts w:ascii="Palatino Linotype" w:hAnsi="Palatino Linotype" w:cs="Tahoma"/>
          <w:bCs/>
          <w:sz w:val="22"/>
          <w:szCs w:val="22"/>
          <w:lang w:val="es-ES"/>
        </w:rPr>
        <w:t xml:space="preserve"> para conocer de la solicitud de información</w:t>
      </w:r>
      <w:r w:rsidRPr="00BC2E9D">
        <w:rPr>
          <w:rFonts w:ascii="Palatino Linotype" w:hAnsi="Palatino Linotype" w:cs="Tahoma"/>
          <w:bCs/>
          <w:sz w:val="22"/>
          <w:szCs w:val="22"/>
        </w:rPr>
        <w:t xml:space="preserve">, y, por lo tanto, el </w:t>
      </w:r>
      <w:r w:rsidRPr="00BC2E9D">
        <w:rPr>
          <w:rFonts w:ascii="Palatino Linotype" w:hAnsi="Palatino Linotype" w:cs="Tahoma"/>
          <w:bCs/>
          <w:sz w:val="22"/>
          <w:szCs w:val="22"/>
          <w:lang w:val="es-ES"/>
        </w:rPr>
        <w:t xml:space="preserve">agravio del Recurrente deviene de </w:t>
      </w:r>
      <w:r w:rsidRPr="00BC2E9D">
        <w:rPr>
          <w:rFonts w:ascii="Palatino Linotype" w:hAnsi="Palatino Linotype" w:cs="Tahoma"/>
          <w:b/>
          <w:bCs/>
          <w:sz w:val="22"/>
          <w:szCs w:val="22"/>
          <w:lang w:val="es-ES"/>
        </w:rPr>
        <w:t>INFUNDADO.</w:t>
      </w:r>
      <w:r w:rsidRPr="00BC2E9D">
        <w:rPr>
          <w:rFonts w:ascii="Palatino Linotype" w:hAnsi="Palatino Linotype" w:cs="Tahoma"/>
          <w:bCs/>
          <w:sz w:val="22"/>
          <w:szCs w:val="22"/>
          <w:lang w:val="es-ES"/>
        </w:rPr>
        <w:t xml:space="preserve"> </w:t>
      </w:r>
    </w:p>
    <w:p w14:paraId="05DC8BCB" w14:textId="77777777" w:rsidR="00BC2E9D" w:rsidRPr="00BC2E9D" w:rsidRDefault="00BC2E9D" w:rsidP="00BC2E9D">
      <w:pPr>
        <w:spacing w:line="360" w:lineRule="auto"/>
        <w:jc w:val="both"/>
        <w:rPr>
          <w:rFonts w:ascii="Palatino Linotype" w:hAnsi="Palatino Linotype" w:cs="Tahoma"/>
          <w:bCs/>
          <w:sz w:val="22"/>
          <w:szCs w:val="22"/>
        </w:rPr>
      </w:pPr>
    </w:p>
    <w:p w14:paraId="5F5B87C8" w14:textId="77777777" w:rsidR="00BC2E9D" w:rsidRPr="00BC2E9D" w:rsidRDefault="00BC2E9D" w:rsidP="00BC2E9D">
      <w:pPr>
        <w:spacing w:line="360" w:lineRule="auto"/>
        <w:jc w:val="both"/>
        <w:rPr>
          <w:rFonts w:ascii="Palatino Linotype" w:eastAsiaTheme="minorHAnsi" w:hAnsi="Palatino Linotype" w:cs="Tahoma"/>
          <w:b/>
          <w:color w:val="000000" w:themeColor="text1"/>
          <w:sz w:val="22"/>
          <w:szCs w:val="22"/>
          <w:lang w:eastAsia="en-US"/>
        </w:rPr>
      </w:pPr>
      <w:r w:rsidRPr="00BC2E9D">
        <w:rPr>
          <w:rFonts w:ascii="Palatino Linotype" w:eastAsiaTheme="minorHAnsi" w:hAnsi="Palatino Linotype" w:cs="Tahoma"/>
          <w:b/>
          <w:color w:val="000000" w:themeColor="text1"/>
          <w:sz w:val="22"/>
          <w:szCs w:val="22"/>
          <w:lang w:eastAsia="en-US"/>
        </w:rPr>
        <w:t xml:space="preserve">SEXTO. Decisión. </w:t>
      </w:r>
    </w:p>
    <w:p w14:paraId="5574F4B9" w14:textId="77777777" w:rsidR="00BC2E9D" w:rsidRPr="00BC2E9D" w:rsidRDefault="00BC2E9D" w:rsidP="00BC2E9D">
      <w:pPr>
        <w:spacing w:line="360" w:lineRule="auto"/>
        <w:jc w:val="both"/>
        <w:rPr>
          <w:rFonts w:ascii="Palatino Linotype" w:eastAsiaTheme="minorHAnsi" w:hAnsi="Palatino Linotype" w:cs="Tahoma"/>
          <w:b/>
          <w:color w:val="000000" w:themeColor="text1"/>
          <w:sz w:val="22"/>
          <w:szCs w:val="22"/>
          <w:lang w:eastAsia="en-US"/>
        </w:rPr>
      </w:pPr>
    </w:p>
    <w:p w14:paraId="02DD3AB9" w14:textId="77777777" w:rsidR="00BC2E9D" w:rsidRPr="00BC2E9D" w:rsidRDefault="00BC2E9D" w:rsidP="00BC2E9D">
      <w:pPr>
        <w:spacing w:line="360" w:lineRule="auto"/>
        <w:jc w:val="both"/>
        <w:rPr>
          <w:rFonts w:ascii="Palatino Linotype" w:eastAsiaTheme="minorHAnsi" w:hAnsi="Palatino Linotype" w:cs="Tahoma"/>
          <w:b/>
          <w:color w:val="000000" w:themeColor="text1"/>
          <w:sz w:val="22"/>
          <w:szCs w:val="22"/>
          <w:lang w:eastAsia="en-US"/>
        </w:rPr>
      </w:pPr>
      <w:r w:rsidRPr="00BC2E9D">
        <w:rPr>
          <w:rFonts w:ascii="Palatino Linotype" w:eastAsiaTheme="minorHAnsi" w:hAnsi="Palatino Linotype" w:cs="Tahoma"/>
          <w:bCs/>
          <w:color w:val="000000" w:themeColor="text1"/>
          <w:sz w:val="22"/>
          <w:szCs w:val="22"/>
          <w:lang w:eastAsia="en-US"/>
        </w:rPr>
        <w:t>Con fundamento en el artículo 186, fracción II, de la Ley de Transparencia y Acceso a la Información Pública del Estado de México y Municipios, este Instituto considera procedente</w:t>
      </w:r>
      <w:r w:rsidRPr="00BC2E9D">
        <w:rPr>
          <w:rFonts w:ascii="Palatino Linotype" w:eastAsiaTheme="minorHAnsi" w:hAnsi="Palatino Linotype" w:cs="Tahoma"/>
          <w:b/>
          <w:color w:val="000000" w:themeColor="text1"/>
          <w:sz w:val="22"/>
          <w:szCs w:val="22"/>
          <w:lang w:eastAsia="en-US"/>
        </w:rPr>
        <w:t xml:space="preserve"> CONFIRMAR </w:t>
      </w:r>
      <w:r w:rsidRPr="00BC2E9D">
        <w:rPr>
          <w:rFonts w:ascii="Palatino Linotype" w:eastAsiaTheme="minorHAnsi" w:hAnsi="Palatino Linotype" w:cs="Tahoma"/>
          <w:bCs/>
          <w:color w:val="000000" w:themeColor="text1"/>
          <w:sz w:val="22"/>
          <w:szCs w:val="22"/>
          <w:lang w:eastAsia="en-US"/>
        </w:rPr>
        <w:t>la respuesta otorgada por el Sujeto Obligado</w:t>
      </w:r>
      <w:r w:rsidRPr="00BC2E9D">
        <w:rPr>
          <w:rFonts w:ascii="Palatino Linotype" w:eastAsiaTheme="minorHAnsi" w:hAnsi="Palatino Linotype" w:cs="Tahoma"/>
          <w:b/>
          <w:color w:val="000000" w:themeColor="text1"/>
          <w:sz w:val="22"/>
          <w:szCs w:val="22"/>
          <w:lang w:eastAsia="en-US"/>
        </w:rPr>
        <w:t xml:space="preserve">. </w:t>
      </w:r>
    </w:p>
    <w:p w14:paraId="1202B9D5" w14:textId="77777777" w:rsidR="008A4BF6" w:rsidRPr="008A4BF6" w:rsidRDefault="008A4BF6" w:rsidP="00261F7E">
      <w:pPr>
        <w:spacing w:line="360" w:lineRule="auto"/>
        <w:jc w:val="both"/>
        <w:rPr>
          <w:rFonts w:ascii="Palatino Linotype" w:hAnsi="Palatino Linotype" w:cs="Tahoma"/>
          <w:sz w:val="22"/>
          <w:szCs w:val="22"/>
          <w:lang w:val="es-ES"/>
        </w:rPr>
      </w:pPr>
    </w:p>
    <w:p w14:paraId="0D9FEAB6" w14:textId="77777777" w:rsidR="008A4BF6" w:rsidRPr="008A4BF6" w:rsidRDefault="008A4BF6" w:rsidP="00261F7E">
      <w:pPr>
        <w:autoSpaceDE w:val="0"/>
        <w:autoSpaceDN w:val="0"/>
        <w:adjustRightInd w:val="0"/>
        <w:spacing w:line="360" w:lineRule="auto"/>
        <w:contextualSpacing/>
        <w:jc w:val="both"/>
        <w:rPr>
          <w:rFonts w:ascii="Palatino Linotype" w:eastAsia="Calibri" w:hAnsi="Palatino Linotype" w:cs="Tahoma"/>
          <w:b/>
          <w:bCs/>
          <w:iCs/>
          <w:sz w:val="22"/>
          <w:szCs w:val="22"/>
          <w:lang w:val="es-ES" w:eastAsia="es-ES_tradnl"/>
        </w:rPr>
      </w:pPr>
      <w:r w:rsidRPr="008A4BF6">
        <w:rPr>
          <w:rFonts w:ascii="Palatino Linotype" w:eastAsia="Calibri" w:hAnsi="Palatino Linotype" w:cs="Tahoma"/>
          <w:b/>
          <w:bCs/>
          <w:iCs/>
          <w:sz w:val="22"/>
          <w:szCs w:val="22"/>
          <w:lang w:val="es-ES" w:eastAsia="es-ES_tradnl"/>
        </w:rPr>
        <w:t>Términos de la Resolución para conocimiento del Particular.</w:t>
      </w:r>
    </w:p>
    <w:p w14:paraId="4AFC02C9" w14:textId="77777777" w:rsidR="008A4BF6" w:rsidRPr="008A4BF6" w:rsidRDefault="008A4BF6" w:rsidP="00261F7E">
      <w:pPr>
        <w:spacing w:line="360" w:lineRule="auto"/>
        <w:jc w:val="both"/>
        <w:rPr>
          <w:rFonts w:ascii="Palatino Linotype" w:hAnsi="Palatino Linotype" w:cs="Tahoma"/>
          <w:sz w:val="22"/>
          <w:szCs w:val="22"/>
          <w:lang w:val="es-ES"/>
        </w:rPr>
      </w:pPr>
    </w:p>
    <w:p w14:paraId="43844ADB" w14:textId="0E022295" w:rsidR="00BC2E9D" w:rsidRPr="00BC2E9D" w:rsidRDefault="00BC2E9D" w:rsidP="00BC2E9D">
      <w:pPr>
        <w:spacing w:line="360" w:lineRule="auto"/>
        <w:jc w:val="both"/>
        <w:rPr>
          <w:rFonts w:ascii="Palatino Linotype" w:eastAsiaTheme="minorHAnsi" w:hAnsi="Palatino Linotype" w:cstheme="minorBidi"/>
          <w:bCs/>
          <w:color w:val="000000" w:themeColor="text1"/>
          <w:sz w:val="22"/>
          <w:szCs w:val="22"/>
          <w:lang w:eastAsia="en-US"/>
        </w:rPr>
      </w:pPr>
      <w:r w:rsidRPr="00BC2E9D">
        <w:rPr>
          <w:rFonts w:ascii="Palatino Linotype" w:eastAsia="Calibri" w:hAnsi="Palatino Linotype" w:cs="Tahoma"/>
          <w:bCs/>
          <w:color w:val="000000"/>
          <w:sz w:val="22"/>
          <w:szCs w:val="22"/>
          <w:lang w:eastAsia="en-US"/>
        </w:rPr>
        <w:t xml:space="preserve">Se le hace del conocimiento al Particular, que, en el presente caso, no se le concede la razón pues el Sujeto Obligado </w:t>
      </w:r>
      <w:r w:rsidRPr="00BC2E9D">
        <w:rPr>
          <w:rFonts w:ascii="Palatino Linotype" w:eastAsia="Calibri" w:hAnsi="Palatino Linotype" w:cs="Tahoma"/>
          <w:bCs/>
          <w:iCs/>
          <w:color w:val="000000" w:themeColor="text1"/>
          <w:sz w:val="22"/>
          <w:szCs w:val="22"/>
          <w:lang w:val="es-ES" w:eastAsia="en-US"/>
        </w:rPr>
        <w:t xml:space="preserve">es incompetente para conocer sobre el requerimiento de información, </w:t>
      </w:r>
      <w:r w:rsidRPr="00BC2E9D">
        <w:rPr>
          <w:rFonts w:ascii="Palatino Linotype" w:eastAsia="Calibri" w:hAnsi="Palatino Linotype" w:cs="Tahoma"/>
          <w:bCs/>
          <w:iCs/>
          <w:color w:val="000000" w:themeColor="text1"/>
          <w:sz w:val="22"/>
          <w:szCs w:val="22"/>
          <w:lang w:val="es-ES" w:eastAsia="en-US"/>
        </w:rPr>
        <w:lastRenderedPageBreak/>
        <w:t xml:space="preserve">aunado a que realizó una orientación correcta al Solicitante. </w:t>
      </w:r>
      <w:r w:rsidRPr="00BC2E9D">
        <w:rPr>
          <w:rFonts w:ascii="Palatino Linotype" w:eastAsiaTheme="minorHAnsi" w:hAnsi="Palatino Linotype" w:cstheme="minorBidi"/>
          <w:bCs/>
          <w:color w:val="000000" w:themeColor="text1"/>
          <w:sz w:val="22"/>
          <w:szCs w:val="22"/>
          <w:lang w:eastAsia="en-US"/>
        </w:rPr>
        <w:t xml:space="preserve">Además, se le dejan a salvo sus derechos para el caso de que sea de su interés, presente la solicitud de acceso a la información ante el </w:t>
      </w:r>
      <w:r>
        <w:rPr>
          <w:rFonts w:ascii="Palatino Linotype" w:eastAsiaTheme="minorHAnsi" w:hAnsi="Palatino Linotype" w:cstheme="minorBidi"/>
          <w:bCs/>
          <w:color w:val="000000" w:themeColor="text1"/>
          <w:sz w:val="22"/>
          <w:szCs w:val="22"/>
          <w:lang w:eastAsia="en-US"/>
        </w:rPr>
        <w:t>Poder Legislativo</w:t>
      </w:r>
      <w:r w:rsidRPr="00BC2E9D">
        <w:rPr>
          <w:rFonts w:ascii="Palatino Linotype" w:eastAsiaTheme="minorHAnsi" w:hAnsi="Palatino Linotype" w:cstheme="minorBidi"/>
          <w:bCs/>
          <w:color w:val="000000" w:themeColor="text1"/>
          <w:sz w:val="22"/>
          <w:szCs w:val="22"/>
          <w:lang w:eastAsia="en-US"/>
        </w:rPr>
        <w:t xml:space="preserve">. </w:t>
      </w:r>
    </w:p>
    <w:p w14:paraId="40D7F7E1" w14:textId="77777777" w:rsidR="00E1292D" w:rsidRDefault="00E1292D" w:rsidP="00B045F9">
      <w:pPr>
        <w:spacing w:line="360" w:lineRule="auto"/>
        <w:jc w:val="both"/>
        <w:rPr>
          <w:rFonts w:ascii="Palatino Linotype" w:eastAsiaTheme="minorHAnsi" w:hAnsi="Palatino Linotype" w:cs="Tahoma"/>
          <w:bCs/>
          <w:color w:val="000000" w:themeColor="text1"/>
          <w:sz w:val="22"/>
          <w:szCs w:val="22"/>
          <w:lang w:eastAsia="es-MX"/>
        </w:rPr>
      </w:pPr>
    </w:p>
    <w:p w14:paraId="6E1C4FF6" w14:textId="2637AC41" w:rsidR="00B045F9" w:rsidRPr="00B045F9" w:rsidRDefault="00B045F9" w:rsidP="00B045F9">
      <w:pPr>
        <w:spacing w:line="360" w:lineRule="auto"/>
        <w:jc w:val="both"/>
        <w:rPr>
          <w:rFonts w:ascii="Palatino Linotype" w:eastAsia="Calibri" w:hAnsi="Palatino Linotype" w:cs="Tahoma"/>
          <w:bCs/>
          <w:iCs/>
          <w:sz w:val="22"/>
          <w:szCs w:val="22"/>
          <w:lang w:val="es-ES_tradnl" w:eastAsia="en-US"/>
        </w:rPr>
      </w:pPr>
      <w:r w:rsidRPr="00B045F9">
        <w:rPr>
          <w:rFonts w:ascii="Palatino Linotype" w:eastAsia="Calibri" w:hAnsi="Palatino Linotype" w:cs="Tahoma"/>
          <w:bCs/>
          <w:iCs/>
          <w:sz w:val="22"/>
          <w:szCs w:val="22"/>
          <w:lang w:val="es-ES_tradnl" w:eastAsia="en-US"/>
        </w:rPr>
        <w:t>Finalmente, la labor del Instituto, es apoyar a la población a acceder a la información pública y garantizar la protección de los datos personales.</w:t>
      </w:r>
    </w:p>
    <w:p w14:paraId="0E8FE472" w14:textId="77777777" w:rsidR="00261F7E" w:rsidRPr="008A4BF6" w:rsidRDefault="00261F7E" w:rsidP="00261F7E">
      <w:pPr>
        <w:spacing w:line="360" w:lineRule="auto"/>
        <w:jc w:val="both"/>
        <w:rPr>
          <w:rFonts w:ascii="Palatino Linotype" w:eastAsia="Calibri" w:hAnsi="Palatino Linotype" w:cs="Tahoma"/>
          <w:bCs/>
          <w:iCs/>
          <w:sz w:val="22"/>
          <w:szCs w:val="22"/>
          <w:lang w:eastAsia="en-US"/>
        </w:rPr>
      </w:pPr>
    </w:p>
    <w:p w14:paraId="0D20917F" w14:textId="77777777" w:rsidR="008A4BF6" w:rsidRPr="008A4BF6" w:rsidRDefault="008A4BF6" w:rsidP="00261F7E">
      <w:pPr>
        <w:spacing w:line="360" w:lineRule="auto"/>
        <w:jc w:val="both"/>
        <w:rPr>
          <w:rFonts w:ascii="Palatino Linotype" w:eastAsia="Calibri" w:hAnsi="Palatino Linotype" w:cs="Tahoma"/>
          <w:bCs/>
          <w:sz w:val="22"/>
          <w:szCs w:val="22"/>
          <w:lang w:eastAsia="en-US"/>
        </w:rPr>
      </w:pPr>
      <w:r w:rsidRPr="008A4BF6">
        <w:rPr>
          <w:rFonts w:ascii="Palatino Linotype" w:eastAsia="Calibri" w:hAnsi="Palatino Linotype" w:cs="Tahoma"/>
          <w:bCs/>
          <w:sz w:val="22"/>
          <w:szCs w:val="22"/>
          <w:lang w:eastAsia="en-US"/>
        </w:rPr>
        <w:t>Por lo expuesto y fundado, este Pleno:</w:t>
      </w:r>
    </w:p>
    <w:p w14:paraId="357A6B9C" w14:textId="77777777" w:rsidR="008A4BF6" w:rsidRDefault="008A4BF6" w:rsidP="00261F7E">
      <w:pPr>
        <w:spacing w:line="360" w:lineRule="auto"/>
        <w:ind w:right="-91"/>
        <w:jc w:val="center"/>
        <w:rPr>
          <w:rFonts w:ascii="Palatino Linotype" w:eastAsia="Calibri" w:hAnsi="Palatino Linotype" w:cs="Tahoma"/>
          <w:b/>
          <w:bCs/>
          <w:sz w:val="22"/>
          <w:szCs w:val="22"/>
          <w:lang w:eastAsia="en-US"/>
        </w:rPr>
      </w:pPr>
    </w:p>
    <w:p w14:paraId="082C3F31" w14:textId="77777777" w:rsidR="00E1292D" w:rsidRPr="008A4BF6" w:rsidRDefault="00E1292D" w:rsidP="00261F7E">
      <w:pPr>
        <w:spacing w:line="360" w:lineRule="auto"/>
        <w:ind w:right="-91"/>
        <w:jc w:val="center"/>
        <w:rPr>
          <w:rFonts w:ascii="Palatino Linotype" w:eastAsia="Calibri" w:hAnsi="Palatino Linotype" w:cs="Tahoma"/>
          <w:b/>
          <w:bCs/>
          <w:sz w:val="22"/>
          <w:szCs w:val="22"/>
          <w:lang w:eastAsia="en-US"/>
        </w:rPr>
      </w:pPr>
    </w:p>
    <w:p w14:paraId="347F1B89" w14:textId="77777777" w:rsidR="008A4BF6" w:rsidRPr="008A4BF6" w:rsidRDefault="008A4BF6" w:rsidP="00261F7E">
      <w:pPr>
        <w:spacing w:line="360" w:lineRule="auto"/>
        <w:ind w:right="-91"/>
        <w:jc w:val="center"/>
        <w:rPr>
          <w:rFonts w:ascii="Palatino Linotype" w:eastAsia="Calibri" w:hAnsi="Palatino Linotype" w:cs="Tahoma"/>
          <w:b/>
          <w:bCs/>
          <w:sz w:val="22"/>
          <w:szCs w:val="22"/>
          <w:lang w:eastAsia="en-US"/>
        </w:rPr>
      </w:pPr>
      <w:r w:rsidRPr="008A4BF6">
        <w:rPr>
          <w:rFonts w:ascii="Palatino Linotype" w:eastAsia="Calibri" w:hAnsi="Palatino Linotype" w:cs="Tahoma"/>
          <w:b/>
          <w:bCs/>
          <w:sz w:val="22"/>
          <w:szCs w:val="22"/>
          <w:lang w:eastAsia="en-US"/>
        </w:rPr>
        <w:t>RESUELVE:</w:t>
      </w:r>
    </w:p>
    <w:p w14:paraId="0B5024C6" w14:textId="77777777" w:rsidR="008A4BF6" w:rsidRPr="008A4BF6" w:rsidRDefault="008A4BF6" w:rsidP="00261F7E">
      <w:pPr>
        <w:spacing w:line="360" w:lineRule="auto"/>
        <w:jc w:val="both"/>
        <w:rPr>
          <w:rFonts w:ascii="Palatino Linotype" w:hAnsi="Palatino Linotype" w:cs="Arial"/>
          <w:b/>
          <w:bCs/>
          <w:color w:val="000000"/>
          <w:sz w:val="22"/>
          <w:szCs w:val="22"/>
          <w:lang w:val="es-ES"/>
        </w:rPr>
      </w:pPr>
    </w:p>
    <w:p w14:paraId="06C412F2" w14:textId="46C0BBCF" w:rsidR="00BC2E9D" w:rsidRPr="00BC2E9D" w:rsidRDefault="00BC2E9D" w:rsidP="00BC2E9D">
      <w:pPr>
        <w:spacing w:line="360" w:lineRule="auto"/>
        <w:contextualSpacing/>
        <w:jc w:val="both"/>
        <w:rPr>
          <w:rFonts w:ascii="Palatino Linotype" w:eastAsia="Calibri" w:hAnsi="Palatino Linotype" w:cs="Tahoma"/>
          <w:iCs/>
          <w:color w:val="000000" w:themeColor="text1"/>
          <w:sz w:val="22"/>
          <w:szCs w:val="22"/>
          <w:lang w:eastAsia="en-US"/>
        </w:rPr>
      </w:pPr>
      <w:r w:rsidRPr="00BC2E9D">
        <w:rPr>
          <w:rFonts w:ascii="Palatino Linotype" w:eastAsia="Calibri" w:hAnsi="Palatino Linotype" w:cs="Tahoma"/>
          <w:b/>
          <w:bCs/>
          <w:iCs/>
          <w:color w:val="000000" w:themeColor="text1"/>
          <w:sz w:val="22"/>
          <w:szCs w:val="22"/>
          <w:lang w:eastAsia="en-US"/>
        </w:rPr>
        <w:t xml:space="preserve">PRIMERO. </w:t>
      </w:r>
      <w:r w:rsidRPr="00BC2E9D">
        <w:rPr>
          <w:rFonts w:ascii="Palatino Linotype" w:eastAsia="Calibri" w:hAnsi="Palatino Linotype" w:cs="Tahoma"/>
          <w:bCs/>
          <w:iCs/>
          <w:color w:val="000000" w:themeColor="text1"/>
          <w:sz w:val="22"/>
          <w:szCs w:val="22"/>
          <w:lang w:eastAsia="en-US"/>
        </w:rPr>
        <w:t xml:space="preserve">Se </w:t>
      </w:r>
      <w:r w:rsidRPr="00BC2E9D">
        <w:rPr>
          <w:rFonts w:ascii="Palatino Linotype" w:eastAsia="Calibri" w:hAnsi="Palatino Linotype" w:cs="Tahoma"/>
          <w:b/>
          <w:bCs/>
          <w:iCs/>
          <w:color w:val="000000" w:themeColor="text1"/>
          <w:sz w:val="22"/>
          <w:szCs w:val="22"/>
          <w:lang w:eastAsia="en-US"/>
        </w:rPr>
        <w:t xml:space="preserve">CONFIRMA </w:t>
      </w:r>
      <w:r w:rsidRPr="00BC2E9D">
        <w:rPr>
          <w:rFonts w:ascii="Palatino Linotype" w:eastAsia="Calibri" w:hAnsi="Palatino Linotype" w:cs="Tahoma"/>
          <w:bCs/>
          <w:iCs/>
          <w:color w:val="000000" w:themeColor="text1"/>
          <w:sz w:val="22"/>
          <w:szCs w:val="22"/>
          <w:lang w:eastAsia="en-US"/>
        </w:rPr>
        <w:t>la respuesta entregada por el Sujeto Obligado</w:t>
      </w:r>
      <w:r w:rsidRPr="00BC2E9D">
        <w:rPr>
          <w:rFonts w:ascii="Palatino Linotype" w:eastAsia="Calibri" w:hAnsi="Palatino Linotype" w:cs="Tahoma"/>
          <w:b/>
          <w:bCs/>
          <w:iCs/>
          <w:color w:val="000000" w:themeColor="text1"/>
          <w:sz w:val="22"/>
          <w:szCs w:val="22"/>
          <w:lang w:eastAsia="en-US"/>
        </w:rPr>
        <w:t xml:space="preserve"> </w:t>
      </w:r>
      <w:r w:rsidRPr="00BC2E9D">
        <w:rPr>
          <w:rFonts w:ascii="Palatino Linotype" w:eastAsia="Calibri" w:hAnsi="Palatino Linotype" w:cs="Tahoma"/>
          <w:bCs/>
          <w:iCs/>
          <w:color w:val="000000" w:themeColor="text1"/>
          <w:sz w:val="22"/>
          <w:szCs w:val="22"/>
          <w:lang w:eastAsia="en-US"/>
        </w:rPr>
        <w:t xml:space="preserve">a la solicitud de información de acceso a la información </w:t>
      </w:r>
      <w:r w:rsidRPr="00DD4A35">
        <w:rPr>
          <w:rFonts w:ascii="Palatino Linotype" w:eastAsia="Calibri" w:hAnsi="Palatino Linotype" w:cs="Tahoma"/>
          <w:b/>
          <w:sz w:val="22"/>
          <w:szCs w:val="22"/>
          <w:lang w:eastAsia="en-US"/>
        </w:rPr>
        <w:t>00638/INFOEM/IP/2022</w:t>
      </w:r>
      <w:bookmarkStart w:id="4" w:name="_GoBack"/>
      <w:bookmarkEnd w:id="4"/>
      <w:r w:rsidRPr="00BC2E9D">
        <w:rPr>
          <w:rFonts w:ascii="Palatino Linotype" w:eastAsiaTheme="minorHAnsi" w:hAnsi="Palatino Linotype" w:cs="Tahoma"/>
          <w:bCs/>
          <w:color w:val="0D0D0D"/>
          <w:sz w:val="22"/>
          <w:szCs w:val="22"/>
          <w:lang w:eastAsia="en-US"/>
        </w:rPr>
        <w:t xml:space="preserve">, </w:t>
      </w:r>
      <w:r w:rsidRPr="00BC2E9D">
        <w:rPr>
          <w:rFonts w:ascii="Palatino Linotype" w:eastAsia="Calibri" w:hAnsi="Palatino Linotype" w:cs="Tahoma"/>
          <w:bCs/>
          <w:iCs/>
          <w:color w:val="000000" w:themeColor="text1"/>
          <w:sz w:val="22"/>
          <w:szCs w:val="22"/>
          <w:lang w:val="es-ES_tradnl" w:eastAsia="en-US"/>
        </w:rPr>
        <w:t xml:space="preserve">por resultar </w:t>
      </w:r>
      <w:r w:rsidRPr="00BC2E9D">
        <w:rPr>
          <w:rFonts w:ascii="Palatino Linotype" w:eastAsia="Calibri" w:hAnsi="Palatino Linotype" w:cs="Tahoma"/>
          <w:b/>
          <w:bCs/>
          <w:iCs/>
          <w:color w:val="000000" w:themeColor="text1"/>
          <w:sz w:val="22"/>
          <w:szCs w:val="22"/>
          <w:lang w:val="es-ES_tradnl" w:eastAsia="en-US"/>
        </w:rPr>
        <w:t xml:space="preserve">INFUNDADO </w:t>
      </w:r>
      <w:r w:rsidRPr="00BC2E9D">
        <w:rPr>
          <w:rFonts w:ascii="Palatino Linotype" w:eastAsia="Calibri" w:hAnsi="Palatino Linotype" w:cs="Tahoma"/>
          <w:bCs/>
          <w:iCs/>
          <w:color w:val="000000" w:themeColor="text1"/>
          <w:sz w:val="22"/>
          <w:szCs w:val="22"/>
          <w:lang w:val="es-ES_tradnl" w:eastAsia="en-US"/>
        </w:rPr>
        <w:t>el agravio</w:t>
      </w:r>
      <w:r w:rsidRPr="00BC2E9D">
        <w:rPr>
          <w:rFonts w:ascii="Palatino Linotype" w:eastAsia="Calibri" w:hAnsi="Palatino Linotype" w:cs="Tahoma"/>
          <w:b/>
          <w:bCs/>
          <w:iCs/>
          <w:color w:val="000000" w:themeColor="text1"/>
          <w:sz w:val="22"/>
          <w:szCs w:val="22"/>
          <w:lang w:val="es-ES_tradnl" w:eastAsia="en-US"/>
        </w:rPr>
        <w:t xml:space="preserve"> </w:t>
      </w:r>
      <w:r w:rsidRPr="00BC2E9D">
        <w:rPr>
          <w:rFonts w:ascii="Palatino Linotype" w:eastAsia="Calibri" w:hAnsi="Palatino Linotype" w:cs="Tahoma"/>
          <w:bCs/>
          <w:iCs/>
          <w:color w:val="000000" w:themeColor="text1"/>
          <w:sz w:val="22"/>
          <w:szCs w:val="22"/>
          <w:lang w:val="es-ES_tradnl" w:eastAsia="en-US"/>
        </w:rPr>
        <w:t>hecho valer</w:t>
      </w:r>
      <w:r w:rsidRPr="00BC2E9D">
        <w:rPr>
          <w:rFonts w:ascii="Palatino Linotype" w:eastAsia="Calibri" w:hAnsi="Palatino Linotype" w:cs="Tahoma"/>
          <w:bCs/>
          <w:iCs/>
          <w:color w:val="000000" w:themeColor="text1"/>
          <w:sz w:val="22"/>
          <w:szCs w:val="22"/>
          <w:lang w:eastAsia="en-US"/>
        </w:rPr>
        <w:t xml:space="preserve"> por el Recurrente, en términos de los Considerandos </w:t>
      </w:r>
      <w:r w:rsidRPr="00BC2E9D">
        <w:rPr>
          <w:rFonts w:ascii="Palatino Linotype" w:eastAsia="Calibri" w:hAnsi="Palatino Linotype" w:cs="Tahoma"/>
          <w:iCs/>
          <w:color w:val="000000" w:themeColor="text1"/>
          <w:sz w:val="22"/>
          <w:szCs w:val="22"/>
          <w:lang w:eastAsia="en-US"/>
        </w:rPr>
        <w:t>QUINTO y SEXTO de esta Resolución.</w:t>
      </w:r>
    </w:p>
    <w:p w14:paraId="2C9C88A3" w14:textId="03C60254" w:rsidR="008A4BF6" w:rsidRPr="008A4BF6" w:rsidRDefault="008A4BF6" w:rsidP="00261F7E">
      <w:pPr>
        <w:spacing w:line="360" w:lineRule="auto"/>
        <w:jc w:val="both"/>
        <w:rPr>
          <w:rFonts w:ascii="Palatino Linotype" w:hAnsi="Palatino Linotype" w:cs="Arial"/>
          <w:b/>
          <w:bCs/>
          <w:color w:val="000000"/>
          <w:sz w:val="22"/>
          <w:szCs w:val="22"/>
          <w:lang w:val="es-ES"/>
        </w:rPr>
      </w:pPr>
    </w:p>
    <w:p w14:paraId="0C328E9D" w14:textId="6EEDD303" w:rsidR="008A4BF6" w:rsidRPr="008A4BF6" w:rsidRDefault="008A4BF6" w:rsidP="00261F7E">
      <w:pPr>
        <w:spacing w:line="360" w:lineRule="auto"/>
        <w:jc w:val="both"/>
        <w:rPr>
          <w:rFonts w:ascii="Palatino Linotype" w:hAnsi="Palatino Linotype" w:cs="Arial"/>
          <w:bCs/>
          <w:color w:val="000000"/>
          <w:sz w:val="22"/>
          <w:szCs w:val="22"/>
          <w:lang w:val="es-ES"/>
        </w:rPr>
      </w:pPr>
      <w:r w:rsidRPr="008A4BF6">
        <w:rPr>
          <w:rFonts w:ascii="Palatino Linotype" w:hAnsi="Palatino Linotype" w:cs="Arial"/>
          <w:b/>
          <w:bCs/>
          <w:color w:val="000000"/>
          <w:sz w:val="22"/>
          <w:szCs w:val="22"/>
          <w:lang w:val="es-ES"/>
        </w:rPr>
        <w:t>SEGUNDO.</w:t>
      </w:r>
      <w:r w:rsidRPr="008A4BF6">
        <w:rPr>
          <w:rFonts w:ascii="Palatino Linotype" w:hAnsi="Palatino Linotype" w:cs="Arial"/>
          <w:bCs/>
          <w:color w:val="000000"/>
          <w:sz w:val="22"/>
          <w:szCs w:val="22"/>
          <w:lang w:val="es-ES"/>
        </w:rPr>
        <w:t xml:space="preserve"> </w:t>
      </w:r>
      <w:r w:rsidRPr="008A4BF6">
        <w:rPr>
          <w:rFonts w:ascii="Palatino Linotype" w:hAnsi="Palatino Linotype" w:cs="Arial"/>
          <w:b/>
          <w:bCs/>
          <w:color w:val="000000"/>
          <w:sz w:val="22"/>
          <w:szCs w:val="22"/>
          <w:lang w:val="es-ES"/>
        </w:rPr>
        <w:t xml:space="preserve">NOTIFÍQUESE </w:t>
      </w:r>
      <w:r w:rsidRPr="008A4BF6">
        <w:rPr>
          <w:rFonts w:ascii="Palatino Linotype" w:hAnsi="Palatino Linotype" w:cs="Arial"/>
          <w:bCs/>
          <w:color w:val="000000"/>
          <w:sz w:val="22"/>
          <w:szCs w:val="22"/>
          <w:lang w:val="es-ES"/>
        </w:rPr>
        <w:t>la presente Resolución</w:t>
      </w:r>
      <w:r w:rsidRPr="008A4BF6">
        <w:rPr>
          <w:rFonts w:ascii="Palatino Linotype" w:hAnsi="Palatino Linotype" w:cs="Arial"/>
          <w:b/>
          <w:bCs/>
          <w:color w:val="000000"/>
          <w:sz w:val="22"/>
          <w:szCs w:val="22"/>
          <w:lang w:val="es-ES"/>
        </w:rPr>
        <w:t xml:space="preserve"> </w:t>
      </w:r>
      <w:r w:rsidRPr="008A4BF6">
        <w:rPr>
          <w:rFonts w:ascii="Palatino Linotype" w:hAnsi="Palatino Linotype" w:cs="Arial"/>
          <w:bCs/>
          <w:color w:val="000000"/>
          <w:sz w:val="22"/>
          <w:szCs w:val="22"/>
          <w:lang w:val="es-ES"/>
        </w:rPr>
        <w:t xml:space="preserve">al Titular de la Unidad de Transparencia del </w:t>
      </w:r>
      <w:r w:rsidR="00535E51" w:rsidRPr="00535E51">
        <w:rPr>
          <w:rFonts w:ascii="Palatino Linotype" w:hAnsi="Palatino Linotype" w:cs="Tahoma"/>
          <w:bCs/>
          <w:color w:val="0D0D0D"/>
          <w:sz w:val="22"/>
          <w:szCs w:val="22"/>
        </w:rPr>
        <w:t>Instituto de Transparencia, Acceso a la Información Pública y Protección de Datos Personales del Estado de México y Municipios</w:t>
      </w:r>
      <w:r w:rsidRPr="008A4BF6">
        <w:rPr>
          <w:rFonts w:ascii="Palatino Linotype" w:hAnsi="Palatino Linotype" w:cs="Arial"/>
          <w:bCs/>
          <w:color w:val="000000"/>
          <w:sz w:val="22"/>
          <w:szCs w:val="22"/>
          <w:lang w:val="es-ES"/>
        </w:rPr>
        <w:t xml:space="preserve">. </w:t>
      </w:r>
    </w:p>
    <w:p w14:paraId="0A95D5C2" w14:textId="77777777" w:rsidR="008A4BF6" w:rsidRPr="008A4BF6" w:rsidRDefault="008A4BF6" w:rsidP="00261F7E">
      <w:pPr>
        <w:spacing w:line="360" w:lineRule="auto"/>
        <w:jc w:val="both"/>
        <w:rPr>
          <w:rFonts w:ascii="Palatino Linotype" w:hAnsi="Palatino Linotype" w:cs="Arial"/>
          <w:bCs/>
          <w:color w:val="000000"/>
          <w:sz w:val="22"/>
          <w:szCs w:val="22"/>
          <w:lang w:val="es-ES"/>
        </w:rPr>
      </w:pPr>
    </w:p>
    <w:p w14:paraId="31363A36" w14:textId="77777777" w:rsidR="008A4BF6" w:rsidRPr="008A4BF6" w:rsidRDefault="008A4BF6" w:rsidP="00261F7E">
      <w:pPr>
        <w:spacing w:line="360" w:lineRule="auto"/>
        <w:jc w:val="both"/>
        <w:rPr>
          <w:rFonts w:ascii="Palatino Linotype" w:hAnsi="Palatino Linotype" w:cs="Tahoma"/>
          <w:sz w:val="22"/>
          <w:szCs w:val="22"/>
        </w:rPr>
      </w:pPr>
      <w:r w:rsidRPr="008A4BF6">
        <w:rPr>
          <w:rFonts w:ascii="Palatino Linotype" w:hAnsi="Palatino Linotype" w:cs="Arial"/>
          <w:b/>
          <w:bCs/>
          <w:color w:val="000000"/>
          <w:sz w:val="22"/>
          <w:szCs w:val="22"/>
          <w:lang w:val="es-ES"/>
        </w:rPr>
        <w:t>TERCERO.</w:t>
      </w:r>
      <w:r w:rsidRPr="008A4BF6">
        <w:rPr>
          <w:rFonts w:ascii="Palatino Linotype" w:hAnsi="Palatino Linotype" w:cs="Arial"/>
          <w:bCs/>
          <w:color w:val="000000"/>
          <w:sz w:val="22"/>
          <w:szCs w:val="22"/>
          <w:lang w:val="es-ES"/>
        </w:rPr>
        <w:t xml:space="preserve"> </w:t>
      </w:r>
      <w:r w:rsidRPr="008A4BF6">
        <w:rPr>
          <w:rFonts w:ascii="Palatino Linotype" w:hAnsi="Palatino Linotype" w:cs="Tahoma"/>
          <w:b/>
          <w:sz w:val="22"/>
          <w:szCs w:val="22"/>
        </w:rPr>
        <w:t xml:space="preserve">NOTIFÍQUESE </w:t>
      </w:r>
      <w:r w:rsidRPr="008A4BF6">
        <w:rPr>
          <w:rFonts w:ascii="Palatino Linotype" w:hAnsi="Palatino Linotype" w:cs="Tahoma"/>
          <w:sz w:val="22"/>
          <w:szCs w:val="22"/>
        </w:rPr>
        <w:t xml:space="preserve">al Recurrente la presente Resolución, </w:t>
      </w:r>
      <w:r w:rsidRPr="008A4BF6">
        <w:rPr>
          <w:rFonts w:ascii="Palatino Linotype" w:hAnsi="Palatino Linotype" w:cs="Tahoma"/>
          <w:sz w:val="22"/>
        </w:rPr>
        <w:t>a través del Sistema de Acceso a la Información Mexiquense (SAIMEX),</w:t>
      </w:r>
      <w:r w:rsidRPr="008A4BF6">
        <w:rPr>
          <w:rFonts w:ascii="Palatino Linotype" w:hAnsi="Palatino Linotype" w:cs="Tahoma"/>
          <w:sz w:val="22"/>
          <w:szCs w:val="22"/>
        </w:rPr>
        <w:t xml:space="preserve"> asimismo, se hace de su conocimiento que de conformidad con lo establecido en el artículo 196 de la Ley de Transparencia y Acceso a la </w:t>
      </w:r>
      <w:r w:rsidRPr="008A4BF6">
        <w:rPr>
          <w:rFonts w:ascii="Palatino Linotype" w:hAnsi="Palatino Linotype" w:cs="Tahoma"/>
          <w:sz w:val="22"/>
          <w:szCs w:val="22"/>
        </w:rPr>
        <w:lastRenderedPageBreak/>
        <w:t>Información Pública del Estado de México y Municipios, podrá promover el Juicio de Amparo en los términos de las leyes aplicables.</w:t>
      </w:r>
    </w:p>
    <w:p w14:paraId="0863EF14" w14:textId="77777777" w:rsidR="008A4BF6" w:rsidRPr="008A4BF6" w:rsidRDefault="008A4BF6" w:rsidP="00261F7E">
      <w:pPr>
        <w:spacing w:line="360" w:lineRule="auto"/>
        <w:jc w:val="both"/>
        <w:rPr>
          <w:rFonts w:ascii="Palatino Linotype" w:hAnsi="Palatino Linotype" w:cs="Tahoma"/>
          <w:sz w:val="22"/>
          <w:szCs w:val="22"/>
        </w:rPr>
      </w:pPr>
    </w:p>
    <w:p w14:paraId="04233D54" w14:textId="2DCCBC41" w:rsidR="008A4BF6" w:rsidRPr="001F67C4" w:rsidRDefault="008A4BF6" w:rsidP="00261F7E">
      <w:pPr>
        <w:spacing w:line="360" w:lineRule="auto"/>
        <w:jc w:val="both"/>
        <w:rPr>
          <w:rFonts w:ascii="Palatino Linotype" w:eastAsiaTheme="minorHAnsi" w:hAnsi="Palatino Linotype" w:cstheme="minorBidi"/>
          <w:color w:val="000000" w:themeColor="text1"/>
          <w:sz w:val="22"/>
          <w:szCs w:val="22"/>
          <w:lang w:eastAsia="en-US"/>
        </w:rPr>
      </w:pPr>
      <w:r w:rsidRPr="008A4BF6">
        <w:rPr>
          <w:rFonts w:ascii="Palatino Linotype" w:eastAsiaTheme="minorHAnsi" w:hAnsi="Palatino Linotype" w:cs="Tahoma"/>
          <w:bCs/>
          <w:color w:val="000000" w:themeColor="text1"/>
          <w:sz w:val="22"/>
          <w:szCs w:val="22"/>
          <w:lang w:val="es-ES_tradnl" w:eastAsia="es-MX"/>
        </w:rPr>
        <w:t xml:space="preserve">ASÍ LO RESUELVE, POR </w:t>
      </w:r>
      <w:r w:rsidRPr="008A4BF6">
        <w:rPr>
          <w:rFonts w:ascii="Palatino Linotype" w:eastAsiaTheme="minorHAnsi" w:hAnsi="Palatino Linotype" w:cs="Tahoma"/>
          <w:b/>
          <w:bCs/>
          <w:color w:val="000000" w:themeColor="text1"/>
          <w:sz w:val="22"/>
          <w:szCs w:val="22"/>
          <w:lang w:val="es-ES_tradnl" w:eastAsia="es-MX"/>
        </w:rPr>
        <w:t>UNANIMIDAD</w:t>
      </w:r>
      <w:r w:rsidRPr="008A4BF6">
        <w:rPr>
          <w:rFonts w:ascii="Palatino Linotype" w:eastAsiaTheme="minorHAnsi" w:hAnsi="Palatino Linotype" w:cs="Tahoma"/>
          <w:bCs/>
          <w:color w:val="000000" w:themeColor="text1"/>
          <w:sz w:val="22"/>
          <w:szCs w:val="22"/>
          <w:lang w:val="es-ES_tradnl"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00535E51" w:rsidRPr="008A4BF6">
        <w:rPr>
          <w:rFonts w:ascii="Palatino Linotype" w:eastAsiaTheme="minorHAnsi" w:hAnsi="Palatino Linotype" w:cs="Tahoma"/>
          <w:bCs/>
          <w:color w:val="000000" w:themeColor="text1"/>
          <w:sz w:val="22"/>
          <w:szCs w:val="22"/>
          <w:lang w:val="es-ES_tradnl" w:eastAsia="es-MX"/>
        </w:rPr>
        <w:t xml:space="preserve">LA </w:t>
      </w:r>
      <w:r w:rsidR="00535E51">
        <w:rPr>
          <w:rFonts w:ascii="Palatino Linotype" w:eastAsiaTheme="minorHAnsi" w:hAnsi="Palatino Linotype" w:cs="Tahoma"/>
          <w:bCs/>
          <w:color w:val="000000" w:themeColor="text1"/>
          <w:sz w:val="22"/>
          <w:szCs w:val="22"/>
          <w:lang w:val="es-ES_tradnl" w:eastAsia="es-MX"/>
        </w:rPr>
        <w:t>SÉPTIMA</w:t>
      </w:r>
      <w:r w:rsidR="00535E51" w:rsidRPr="008A4BF6">
        <w:rPr>
          <w:rFonts w:ascii="Palatino Linotype" w:eastAsiaTheme="minorHAnsi" w:hAnsi="Palatino Linotype" w:cs="Tahoma"/>
          <w:bCs/>
          <w:color w:val="000000" w:themeColor="text1"/>
          <w:sz w:val="22"/>
          <w:szCs w:val="22"/>
          <w:lang w:val="es-ES_tradnl" w:eastAsia="es-MX"/>
        </w:rPr>
        <w:t xml:space="preserve"> </w:t>
      </w:r>
      <w:r w:rsidR="00021A04" w:rsidRPr="008A4BF6">
        <w:rPr>
          <w:rFonts w:ascii="Palatino Linotype" w:eastAsiaTheme="minorHAnsi" w:hAnsi="Palatino Linotype" w:cs="Tahoma"/>
          <w:bCs/>
          <w:color w:val="000000" w:themeColor="text1"/>
          <w:sz w:val="22"/>
          <w:szCs w:val="22"/>
          <w:lang w:val="es-ES_tradnl" w:eastAsia="es-MX"/>
        </w:rPr>
        <w:t xml:space="preserve">SESIÓN </w:t>
      </w:r>
      <w:r w:rsidRPr="008A4BF6">
        <w:rPr>
          <w:rFonts w:ascii="Palatino Linotype" w:eastAsiaTheme="minorHAnsi" w:hAnsi="Palatino Linotype" w:cs="Tahoma"/>
          <w:bCs/>
          <w:color w:val="000000" w:themeColor="text1"/>
          <w:sz w:val="22"/>
          <w:szCs w:val="22"/>
          <w:lang w:val="es-ES_tradnl" w:eastAsia="es-MX"/>
        </w:rPr>
        <w:t xml:space="preserve">ORDINARIA, CELEBRADA </w:t>
      </w:r>
      <w:r w:rsidR="00535E51" w:rsidRPr="008A4BF6">
        <w:rPr>
          <w:rFonts w:ascii="Palatino Linotype" w:eastAsiaTheme="minorHAnsi" w:hAnsi="Palatino Linotype" w:cs="Tahoma"/>
          <w:bCs/>
          <w:color w:val="000000" w:themeColor="text1"/>
          <w:sz w:val="22"/>
          <w:szCs w:val="22"/>
          <w:lang w:val="es-ES_tradnl" w:eastAsia="es-MX"/>
        </w:rPr>
        <w:t xml:space="preserve">EL </w:t>
      </w:r>
      <w:r w:rsidR="00535E51" w:rsidRPr="00535E51">
        <w:rPr>
          <w:rFonts w:ascii="Palatino Linotype" w:eastAsiaTheme="minorHAnsi" w:hAnsi="Palatino Linotype" w:cs="Tahoma"/>
          <w:bCs/>
          <w:color w:val="000000" w:themeColor="text1"/>
          <w:sz w:val="22"/>
          <w:szCs w:val="22"/>
          <w:lang w:val="es-ES_tradnl" w:eastAsia="es-MX"/>
        </w:rPr>
        <w:t xml:space="preserve">VEINTIDÓS DE FEBRERO DE DOS MIL VEINTITRÉS </w:t>
      </w:r>
      <w:r w:rsidRPr="008A4BF6">
        <w:rPr>
          <w:rFonts w:ascii="Palatino Linotype" w:eastAsiaTheme="minorHAnsi" w:hAnsi="Palatino Linotype" w:cs="Tahoma"/>
          <w:bCs/>
          <w:color w:val="000000" w:themeColor="text1"/>
          <w:sz w:val="22"/>
          <w:szCs w:val="22"/>
          <w:lang w:val="es-ES_tradnl" w:eastAsia="es-MX"/>
        </w:rPr>
        <w:t>ANTE EL SECRETARIO TÉCNICO DEL PLENO, ALEXIS TAPIA RAMÍREZ</w:t>
      </w:r>
      <w:r w:rsidRPr="008A4BF6">
        <w:rPr>
          <w:rFonts w:ascii="Palatino Linotype" w:eastAsiaTheme="minorHAnsi" w:hAnsi="Palatino Linotype" w:cstheme="minorBidi"/>
          <w:color w:val="000000" w:themeColor="text1"/>
          <w:sz w:val="22"/>
          <w:szCs w:val="22"/>
          <w:lang w:eastAsia="en-US"/>
        </w:rPr>
        <w:br w:type="page"/>
      </w:r>
    </w:p>
    <w:p w14:paraId="6EE5260C" w14:textId="15270FAC" w:rsidR="00867A39" w:rsidRPr="00910B13" w:rsidRDefault="00867A39" w:rsidP="00261F7E">
      <w:pPr>
        <w:spacing w:line="360" w:lineRule="auto"/>
        <w:rPr>
          <w:rFonts w:ascii="Palatino Linotype" w:eastAsia="Calibri" w:hAnsi="Palatino Linotype" w:cs="Tahoma"/>
          <w:b/>
          <w:bCs/>
          <w:sz w:val="22"/>
          <w:szCs w:val="22"/>
          <w:lang w:eastAsia="en-US"/>
        </w:rPr>
      </w:pPr>
    </w:p>
    <w:sectPr w:rsidR="00867A39" w:rsidRPr="00910B13" w:rsidSect="00465F70">
      <w:headerReference w:type="even" r:id="rId13"/>
      <w:headerReference w:type="default" r:id="rId14"/>
      <w:footerReference w:type="default" r:id="rId15"/>
      <w:headerReference w:type="first" r:id="rId16"/>
      <w:footerReference w:type="first" r:id="rId17"/>
      <w:pgSz w:w="12240" w:h="15840"/>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0E116C" w14:textId="77777777" w:rsidR="00393638" w:rsidRDefault="00393638" w:rsidP="00FC7A26">
      <w:r>
        <w:separator/>
      </w:r>
    </w:p>
  </w:endnote>
  <w:endnote w:type="continuationSeparator" w:id="0">
    <w:p w14:paraId="319F983D" w14:textId="77777777" w:rsidR="00393638" w:rsidRDefault="00393638" w:rsidP="00FC7A26">
      <w:r>
        <w:continuationSeparator/>
      </w:r>
    </w:p>
  </w:endnote>
  <w:endnote w:type="continuationNotice" w:id="1">
    <w:p w14:paraId="6835E4CE" w14:textId="77777777" w:rsidR="00393638" w:rsidRDefault="003936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4BFC472" w14:textId="77777777" w:rsidR="00465F70" w:rsidRPr="00C13895" w:rsidRDefault="00465F70">
            <w:pPr>
              <w:pStyle w:val="Piedepgina"/>
              <w:jc w:val="right"/>
              <w:rPr>
                <w:sz w:val="26"/>
                <w:szCs w:val="26"/>
              </w:rPr>
            </w:pPr>
          </w:p>
          <w:p w14:paraId="5BE01B4F" w14:textId="77777777" w:rsidR="00465F70" w:rsidRDefault="00465F7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D4A35">
              <w:rPr>
                <w:b/>
                <w:bCs/>
                <w:noProof/>
              </w:rPr>
              <w:t>26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D4A35">
              <w:rPr>
                <w:b/>
                <w:bCs/>
                <w:noProof/>
              </w:rPr>
              <w:t>26</w:t>
            </w:r>
            <w:r>
              <w:rPr>
                <w:b/>
                <w:bCs/>
                <w:sz w:val="24"/>
                <w:szCs w:val="24"/>
              </w:rPr>
              <w:fldChar w:fldCharType="end"/>
            </w:r>
          </w:p>
        </w:sdtContent>
      </w:sdt>
    </w:sdtContent>
  </w:sdt>
  <w:p w14:paraId="3F8493FE" w14:textId="77777777" w:rsidR="00465F70" w:rsidRDefault="00465F7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215FCE47" w14:textId="77777777" w:rsidR="00465F70" w:rsidRDefault="00465F70">
            <w:pPr>
              <w:pStyle w:val="Piedepgina"/>
              <w:jc w:val="right"/>
            </w:pPr>
          </w:p>
          <w:p w14:paraId="73795115" w14:textId="77777777" w:rsidR="00465F70" w:rsidRDefault="00465F70">
            <w:pPr>
              <w:pStyle w:val="Piedepgina"/>
              <w:jc w:val="right"/>
            </w:pPr>
          </w:p>
          <w:p w14:paraId="102883EC" w14:textId="77777777" w:rsidR="00465F70" w:rsidRDefault="00465F70">
            <w:pPr>
              <w:pStyle w:val="Piedepgina"/>
              <w:jc w:val="right"/>
            </w:pPr>
          </w:p>
          <w:p w14:paraId="7D59C0C8" w14:textId="77777777" w:rsidR="00465F70" w:rsidRDefault="00465F7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D4A3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D4A35">
              <w:rPr>
                <w:b/>
                <w:bCs/>
                <w:noProof/>
              </w:rPr>
              <w:t>26</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C28D03" w14:textId="77777777" w:rsidR="00393638" w:rsidRDefault="00393638" w:rsidP="00FC7A26">
      <w:r>
        <w:separator/>
      </w:r>
    </w:p>
  </w:footnote>
  <w:footnote w:type="continuationSeparator" w:id="0">
    <w:p w14:paraId="05FB8391" w14:textId="77777777" w:rsidR="00393638" w:rsidRDefault="00393638" w:rsidP="00FC7A26">
      <w:r>
        <w:continuationSeparator/>
      </w:r>
    </w:p>
  </w:footnote>
  <w:footnote w:type="continuationNotice" w:id="1">
    <w:p w14:paraId="3252F841" w14:textId="77777777" w:rsidR="00393638" w:rsidRDefault="0039363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40B1D" w14:textId="77777777" w:rsidR="00465F70" w:rsidRDefault="00393638">
    <w:pPr>
      <w:pStyle w:val="Encabezado"/>
    </w:pPr>
    <w:r>
      <w:rPr>
        <w:noProof/>
        <w:lang w:eastAsia="es-MX"/>
      </w:rPr>
      <w:pict w14:anchorId="74A766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2050" type="#_x0000_t75" style="position:absolute;margin-left:0;margin-top:0;width:663.5pt;height:12in;z-index:-251659776;mso-position-horizontal:center;mso-position-horizontal-relative:margin;mso-position-vertical:center;mso-position-vertical-relative:margin" o:allowincell="f">
          <v:imagedata r:id="rId1" o:title="marcaagua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CADB4" w14:textId="77777777" w:rsidR="00465F70" w:rsidRPr="009E6858" w:rsidRDefault="00393638" w:rsidP="0042047D">
    <w:pPr>
      <w:tabs>
        <w:tab w:val="left" w:pos="2977"/>
      </w:tabs>
      <w:rPr>
        <w:sz w:val="22"/>
        <w:szCs w:val="22"/>
      </w:rPr>
    </w:pPr>
    <w:r>
      <w:rPr>
        <w:noProof/>
        <w:sz w:val="14"/>
        <w:lang w:eastAsia="es-MX"/>
      </w:rPr>
      <w:pict w14:anchorId="550EA6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2051" type="#_x0000_t75" style="position:absolute;margin-left:-84.2pt;margin-top:-126.15pt;width:663.5pt;height:12in;z-index:-251658752;mso-position-horizontal-relative:margin;mso-position-vertical-relative:margin" o:allowincell="f">
          <v:imagedata r:id="rId1" o:title="marcaaguaINFOEM"/>
          <w10:wrap anchorx="margin" anchory="margin"/>
        </v:shape>
      </w:pict>
    </w:r>
  </w:p>
  <w:tbl>
    <w:tblPr>
      <w:tblW w:w="9781" w:type="dxa"/>
      <w:tblLayout w:type="fixed"/>
      <w:tblLook w:val="04A0" w:firstRow="1" w:lastRow="0" w:firstColumn="1" w:lastColumn="0" w:noHBand="0" w:noVBand="1"/>
    </w:tblPr>
    <w:tblGrid>
      <w:gridCol w:w="2127"/>
      <w:gridCol w:w="7654"/>
    </w:tblGrid>
    <w:tr w:rsidR="00465F70" w:rsidRPr="005C106F" w14:paraId="54DC5BBB" w14:textId="77777777" w:rsidTr="00BC2409">
      <w:trPr>
        <w:trHeight w:val="70"/>
      </w:trPr>
      <w:tc>
        <w:tcPr>
          <w:tcW w:w="2127" w:type="dxa"/>
          <w:shd w:val="clear" w:color="auto" w:fill="auto"/>
        </w:tcPr>
        <w:p w14:paraId="7390C447" w14:textId="77777777" w:rsidR="00465F70" w:rsidRPr="005C106F" w:rsidRDefault="00465F70" w:rsidP="00465F70">
          <w:pPr>
            <w:tabs>
              <w:tab w:val="right" w:pos="4273"/>
            </w:tabs>
            <w:rPr>
              <w:rFonts w:ascii="Garamond" w:eastAsia="Calibri" w:hAnsi="Garamond"/>
              <w:sz w:val="16"/>
              <w:szCs w:val="16"/>
            </w:rPr>
          </w:pPr>
        </w:p>
      </w:tc>
      <w:tc>
        <w:tcPr>
          <w:tcW w:w="7654" w:type="dxa"/>
          <w:shd w:val="clear" w:color="auto" w:fill="auto"/>
        </w:tcPr>
        <w:p w14:paraId="600DFF5F" w14:textId="77777777" w:rsidR="00465F70" w:rsidRPr="0035106E" w:rsidRDefault="00465F70">
          <w:pPr>
            <w:rPr>
              <w:sz w:val="16"/>
              <w:szCs w:val="16"/>
            </w:rPr>
          </w:pPr>
        </w:p>
        <w:tbl>
          <w:tblPr>
            <w:tblStyle w:val="Tablaconcuadrcula"/>
            <w:tblW w:w="6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0"/>
            <w:gridCol w:w="4256"/>
          </w:tblGrid>
          <w:tr w:rsidR="00465F70" w14:paraId="19911F35" w14:textId="77777777" w:rsidTr="00BC2409">
            <w:trPr>
              <w:trHeight w:val="141"/>
            </w:trPr>
            <w:tc>
              <w:tcPr>
                <w:tcW w:w="2440" w:type="dxa"/>
                <w:vAlign w:val="bottom"/>
              </w:tcPr>
              <w:p w14:paraId="13C6DB98" w14:textId="77777777" w:rsidR="00465F70" w:rsidRPr="008B41A2" w:rsidRDefault="00465F70" w:rsidP="00465F70">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Recurso de Revisión:</w:t>
                </w:r>
              </w:p>
            </w:tc>
            <w:tc>
              <w:tcPr>
                <w:tcW w:w="4256" w:type="dxa"/>
              </w:tcPr>
              <w:p w14:paraId="79E321B5" w14:textId="1E135047" w:rsidR="00465F70" w:rsidRPr="00651A13" w:rsidRDefault="00535E51" w:rsidP="00BC2409">
                <w:pPr>
                  <w:tabs>
                    <w:tab w:val="right" w:pos="8838"/>
                  </w:tabs>
                  <w:ind w:left="-28" w:right="324"/>
                  <w:jc w:val="both"/>
                  <w:rPr>
                    <w:rFonts w:ascii="Palatino Linotype" w:eastAsia="Calibri" w:hAnsi="Palatino Linotype" w:cs="Tahoma"/>
                    <w:sz w:val="22"/>
                    <w:szCs w:val="22"/>
                  </w:rPr>
                </w:pPr>
                <w:r>
                  <w:rPr>
                    <w:rFonts w:ascii="Palatino Linotype" w:eastAsia="Calibri" w:hAnsi="Palatino Linotype" w:cs="Tahoma"/>
                    <w:sz w:val="22"/>
                    <w:szCs w:val="22"/>
                    <w:lang w:val="es-MX"/>
                  </w:rPr>
                  <w:t>11216</w:t>
                </w:r>
                <w:r w:rsidR="00465F70" w:rsidRPr="00160160">
                  <w:rPr>
                    <w:rFonts w:ascii="Palatino Linotype" w:eastAsia="Calibri" w:hAnsi="Palatino Linotype" w:cs="Tahoma"/>
                    <w:sz w:val="22"/>
                    <w:szCs w:val="22"/>
                    <w:lang w:val="es-MX"/>
                  </w:rPr>
                  <w:t>/INFOEM/IP/RR/2022</w:t>
                </w:r>
              </w:p>
            </w:tc>
          </w:tr>
          <w:tr w:rsidR="00465F70" w14:paraId="5FC9045B" w14:textId="77777777" w:rsidTr="00BC2409">
            <w:trPr>
              <w:trHeight w:val="277"/>
            </w:trPr>
            <w:tc>
              <w:tcPr>
                <w:tcW w:w="2440" w:type="dxa"/>
              </w:tcPr>
              <w:p w14:paraId="6F66F0DE" w14:textId="77777777" w:rsidR="00465F70" w:rsidRPr="008B41A2" w:rsidRDefault="00465F70" w:rsidP="00465F70">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Sujeto Obligado:</w:t>
                </w:r>
              </w:p>
            </w:tc>
            <w:tc>
              <w:tcPr>
                <w:tcW w:w="4256" w:type="dxa"/>
              </w:tcPr>
              <w:p w14:paraId="5B3372D4" w14:textId="4C6AF138" w:rsidR="00465F70" w:rsidRPr="008B41A2" w:rsidRDefault="00465F70" w:rsidP="00BC2409">
                <w:pPr>
                  <w:tabs>
                    <w:tab w:val="left" w:pos="3109"/>
                    <w:tab w:val="right" w:pos="8838"/>
                  </w:tabs>
                  <w:ind w:left="-9" w:right="-104"/>
                  <w:jc w:val="both"/>
                  <w:rPr>
                    <w:rFonts w:ascii="Palatino Linotype" w:eastAsia="Calibri" w:hAnsi="Palatino Linotype" w:cs="Tahoma"/>
                    <w:sz w:val="22"/>
                    <w:szCs w:val="22"/>
                    <w:lang w:val="es-MX"/>
                  </w:rPr>
                </w:pPr>
                <w:r>
                  <w:rPr>
                    <w:rFonts w:ascii="Palatino Linotype" w:eastAsia="Calibri" w:hAnsi="Palatino Linotype" w:cs="Tahoma"/>
                    <w:sz w:val="22"/>
                    <w:szCs w:val="22"/>
                    <w:lang w:val="es-MX"/>
                  </w:rPr>
                  <w:t>Instituto de Transparencia, Acceso a la Información Pública y Protección de Datos Personales del Estado de México y Municipios</w:t>
                </w:r>
              </w:p>
            </w:tc>
          </w:tr>
          <w:tr w:rsidR="00465F70" w14:paraId="0EA3B3B7" w14:textId="77777777" w:rsidTr="00BC2409">
            <w:trPr>
              <w:trHeight w:val="277"/>
            </w:trPr>
            <w:tc>
              <w:tcPr>
                <w:tcW w:w="2440" w:type="dxa"/>
              </w:tcPr>
              <w:p w14:paraId="3DB912FE" w14:textId="77777777" w:rsidR="00465F70" w:rsidRPr="008B41A2" w:rsidRDefault="00465F70" w:rsidP="00465F70">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Comisionado Ponente:</w:t>
                </w:r>
              </w:p>
            </w:tc>
            <w:tc>
              <w:tcPr>
                <w:tcW w:w="4256" w:type="dxa"/>
              </w:tcPr>
              <w:p w14:paraId="001A5E63" w14:textId="77777777" w:rsidR="00465F70" w:rsidRPr="008B41A2" w:rsidRDefault="00465F70" w:rsidP="00BC2409">
                <w:pPr>
                  <w:tabs>
                    <w:tab w:val="right" w:pos="8838"/>
                  </w:tabs>
                  <w:ind w:right="324"/>
                  <w:jc w:val="both"/>
                  <w:rPr>
                    <w:rFonts w:ascii="Palatino Linotype" w:eastAsia="Calibri" w:hAnsi="Palatino Linotype" w:cs="Tahoma"/>
                    <w:b/>
                    <w:sz w:val="22"/>
                    <w:szCs w:val="22"/>
                    <w:lang w:val="es-MX"/>
                  </w:rPr>
                </w:pPr>
                <w:r w:rsidRPr="008B41A2">
                  <w:rPr>
                    <w:rFonts w:ascii="Palatino Linotype" w:eastAsia="Calibri" w:hAnsi="Palatino Linotype" w:cs="Tahoma"/>
                    <w:sz w:val="22"/>
                    <w:szCs w:val="22"/>
                    <w:lang w:val="es-MX"/>
                  </w:rPr>
                  <w:t>Luis Gustavo Parra Noriega</w:t>
                </w:r>
              </w:p>
            </w:tc>
          </w:tr>
        </w:tbl>
        <w:p w14:paraId="39322C5A" w14:textId="77777777" w:rsidR="00465F70" w:rsidRPr="005C106F" w:rsidRDefault="00465F70" w:rsidP="00465F70">
          <w:pPr>
            <w:tabs>
              <w:tab w:val="right" w:pos="8838"/>
            </w:tabs>
            <w:ind w:left="-28"/>
            <w:rPr>
              <w:rFonts w:ascii="Arial" w:eastAsia="Calibri" w:hAnsi="Arial" w:cs="Arial"/>
              <w:b/>
            </w:rPr>
          </w:pPr>
        </w:p>
      </w:tc>
    </w:tr>
  </w:tbl>
  <w:p w14:paraId="413B7D7D" w14:textId="77777777" w:rsidR="00465F70" w:rsidRDefault="00465F70" w:rsidP="00465F70">
    <w:pPr>
      <w:pStyle w:val="Encabezado"/>
      <w:rPr>
        <w:sz w:val="14"/>
      </w:rPr>
    </w:pPr>
  </w:p>
  <w:p w14:paraId="2249EFA4" w14:textId="77777777" w:rsidR="00465F70" w:rsidRPr="00443C6B" w:rsidRDefault="00465F70" w:rsidP="00465F70">
    <w:pPr>
      <w:pStyle w:val="Encabezado"/>
      <w:rPr>
        <w:sz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087" w:type="dxa"/>
      <w:tblInd w:w="2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20"/>
      <w:gridCol w:w="4567"/>
    </w:tblGrid>
    <w:tr w:rsidR="00465F70" w:rsidRPr="00264223" w14:paraId="0296A02D" w14:textId="77777777" w:rsidTr="00BC2409">
      <w:trPr>
        <w:trHeight w:val="271"/>
      </w:trPr>
      <w:tc>
        <w:tcPr>
          <w:tcW w:w="2520" w:type="dxa"/>
        </w:tcPr>
        <w:p w14:paraId="7A127E60" w14:textId="08F305BE" w:rsidR="00465F70" w:rsidRPr="00D3618F" w:rsidRDefault="00465F70" w:rsidP="00465F70">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4567" w:type="dxa"/>
        </w:tcPr>
        <w:p w14:paraId="328710A7" w14:textId="7C0018CB" w:rsidR="00465F70" w:rsidRPr="00651A13" w:rsidRDefault="00465F70" w:rsidP="00B43BFA">
          <w:pPr>
            <w:tabs>
              <w:tab w:val="right" w:pos="8838"/>
            </w:tabs>
            <w:ind w:left="-28"/>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11216</w:t>
          </w:r>
          <w:r w:rsidRPr="00160160">
            <w:rPr>
              <w:rFonts w:ascii="Palatino Linotype" w:eastAsia="Calibri" w:hAnsi="Palatino Linotype" w:cs="Tahoma"/>
              <w:sz w:val="22"/>
              <w:szCs w:val="22"/>
              <w:lang w:val="es-MX" w:eastAsia="en-US"/>
            </w:rPr>
            <w:t>/INFOEM/IP/RR/2022</w:t>
          </w:r>
        </w:p>
      </w:tc>
    </w:tr>
    <w:tr w:rsidR="00465F70" w:rsidRPr="00264223" w14:paraId="612E08F0" w14:textId="77777777" w:rsidTr="00BC2409">
      <w:trPr>
        <w:trHeight w:val="116"/>
      </w:trPr>
      <w:tc>
        <w:tcPr>
          <w:tcW w:w="2520" w:type="dxa"/>
        </w:tcPr>
        <w:p w14:paraId="678B9917" w14:textId="77777777" w:rsidR="00465F70" w:rsidRPr="00D3618F" w:rsidRDefault="00465F70" w:rsidP="00465F70">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4567" w:type="dxa"/>
        </w:tcPr>
        <w:p w14:paraId="717CF0C7" w14:textId="2AC40C59" w:rsidR="00465F70" w:rsidRPr="00EE2A06" w:rsidRDefault="00465F70" w:rsidP="00465F70">
          <w:pPr>
            <w:tabs>
              <w:tab w:val="right" w:pos="8838"/>
            </w:tabs>
            <w:ind w:left="-28"/>
            <w:jc w:val="both"/>
            <w:rPr>
              <w:rFonts w:ascii="Palatino Linotype" w:eastAsia="Calibri" w:hAnsi="Palatino Linotype" w:cs="Tahoma"/>
              <w:sz w:val="22"/>
              <w:szCs w:val="22"/>
              <w:lang w:val="es-MX" w:eastAsia="en-US"/>
            </w:rPr>
          </w:pPr>
        </w:p>
      </w:tc>
    </w:tr>
    <w:tr w:rsidR="00465F70" w:rsidRPr="00264223" w14:paraId="3A9CDB69" w14:textId="77777777" w:rsidTr="00BC2409">
      <w:trPr>
        <w:trHeight w:val="223"/>
      </w:trPr>
      <w:tc>
        <w:tcPr>
          <w:tcW w:w="2520" w:type="dxa"/>
        </w:tcPr>
        <w:p w14:paraId="3E19C8C3" w14:textId="77777777" w:rsidR="00465F70" w:rsidRPr="00D3618F" w:rsidRDefault="00465F70" w:rsidP="00465F70">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4567" w:type="dxa"/>
        </w:tcPr>
        <w:p w14:paraId="7E37B80E" w14:textId="02789094" w:rsidR="00465F70" w:rsidRPr="00651A13" w:rsidRDefault="00465F70" w:rsidP="00465F70">
          <w:pPr>
            <w:tabs>
              <w:tab w:val="right" w:pos="8838"/>
            </w:tabs>
            <w:ind w:left="-28"/>
            <w:jc w:val="both"/>
            <w:rPr>
              <w:rFonts w:ascii="Palatino Linotype" w:eastAsia="Calibri" w:hAnsi="Palatino Linotype" w:cs="Tahoma"/>
              <w:sz w:val="22"/>
              <w:szCs w:val="22"/>
              <w:lang w:val="es-MX" w:eastAsia="en-US"/>
            </w:rPr>
          </w:pPr>
          <w:r w:rsidRPr="00994371">
            <w:rPr>
              <w:rFonts w:ascii="Palatino Linotype" w:eastAsia="Calibri" w:hAnsi="Palatino Linotype" w:cs="Tahoma"/>
              <w:sz w:val="22"/>
              <w:szCs w:val="22"/>
              <w:lang w:val="es-MX" w:eastAsia="en-US"/>
            </w:rPr>
            <w:t>Instituto de Transparencia, Acceso a la Información Pública y Protección de Datos Personales del Estado de México y Municipios</w:t>
          </w:r>
        </w:p>
      </w:tc>
    </w:tr>
    <w:tr w:rsidR="00465F70" w:rsidRPr="00264223" w14:paraId="1AF8B0BB" w14:textId="77777777" w:rsidTr="00BC2409">
      <w:trPr>
        <w:trHeight w:val="223"/>
      </w:trPr>
      <w:tc>
        <w:tcPr>
          <w:tcW w:w="2520" w:type="dxa"/>
        </w:tcPr>
        <w:p w14:paraId="2E9A1B65" w14:textId="77777777" w:rsidR="00465F70" w:rsidRPr="00D3618F" w:rsidRDefault="00465F70" w:rsidP="00465F70">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4567" w:type="dxa"/>
        </w:tcPr>
        <w:p w14:paraId="6919B9C5" w14:textId="77777777" w:rsidR="00465F70" w:rsidRPr="00D3618F" w:rsidRDefault="00465F70" w:rsidP="00465F70">
          <w:pPr>
            <w:tabs>
              <w:tab w:val="right" w:pos="8838"/>
            </w:tabs>
            <w:ind w:left="-28"/>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51A0BA91" w14:textId="77777777" w:rsidR="00465F70" w:rsidRDefault="00393638">
    <w:r>
      <w:rPr>
        <w:noProof/>
        <w:lang w:eastAsia="es-MX"/>
      </w:rPr>
      <w:pict w14:anchorId="2E181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2049" type="#_x0000_t75" style="position:absolute;margin-left:-92.55pt;margin-top:-120.95pt;width:663.5pt;height:12in;z-index:-251657728;mso-position-horizontal-relative:margin;mso-position-vertical-relative:margin" o:allowincell="f">
          <v:imagedata r:id="rId1" o:title="marcaagua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804451"/>
    <w:multiLevelType w:val="hybridMultilevel"/>
    <w:tmpl w:val="13F8882E"/>
    <w:lvl w:ilvl="0" w:tplc="8A988F1C">
      <w:start w:val="1"/>
      <w:numFmt w:val="low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A5F74D5"/>
    <w:multiLevelType w:val="hybridMultilevel"/>
    <w:tmpl w:val="4B7C579E"/>
    <w:lvl w:ilvl="0" w:tplc="7FBCC468">
      <w:start w:val="1"/>
      <w:numFmt w:val="lowerRoman"/>
      <w:lvlText w:val="%1)"/>
      <w:lvlJc w:val="left"/>
      <w:pPr>
        <w:ind w:left="2160" w:hanging="72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
    <w:nsid w:val="21CF385F"/>
    <w:multiLevelType w:val="hybridMultilevel"/>
    <w:tmpl w:val="9E64D05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24C01262"/>
    <w:multiLevelType w:val="hybridMultilevel"/>
    <w:tmpl w:val="EF123E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63F7820"/>
    <w:multiLevelType w:val="hybridMultilevel"/>
    <w:tmpl w:val="7A64B8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709451E"/>
    <w:multiLevelType w:val="hybridMultilevel"/>
    <w:tmpl w:val="CBACF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7B134DC"/>
    <w:multiLevelType w:val="hybridMultilevel"/>
    <w:tmpl w:val="00561B04"/>
    <w:lvl w:ilvl="0" w:tplc="608AF2E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38FF5265"/>
    <w:multiLevelType w:val="hybridMultilevel"/>
    <w:tmpl w:val="3962E0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67A056F"/>
    <w:multiLevelType w:val="hybridMultilevel"/>
    <w:tmpl w:val="62C49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CB637EF"/>
    <w:multiLevelType w:val="hybridMultilevel"/>
    <w:tmpl w:val="FED4C8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12">
    <w:nsid w:val="5ACE6753"/>
    <w:multiLevelType w:val="hybridMultilevel"/>
    <w:tmpl w:val="2D02F20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nsid w:val="5BFD4F45"/>
    <w:multiLevelType w:val="hybridMultilevel"/>
    <w:tmpl w:val="B7F600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5">
    <w:nsid w:val="6FF13F6B"/>
    <w:multiLevelType w:val="hybridMultilevel"/>
    <w:tmpl w:val="7DEEA044"/>
    <w:lvl w:ilvl="0" w:tplc="EC82B522">
      <w:start w:val="1"/>
      <w:numFmt w:val="decimal"/>
      <w:lvlText w:val="%1."/>
      <w:lvlJc w:val="left"/>
      <w:pPr>
        <w:ind w:left="1407" w:hanging="84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71B3368F"/>
    <w:multiLevelType w:val="hybridMultilevel"/>
    <w:tmpl w:val="6EECB1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74A834FE"/>
    <w:multiLevelType w:val="hybridMultilevel"/>
    <w:tmpl w:val="5846D10A"/>
    <w:lvl w:ilvl="0" w:tplc="439C3BAC">
      <w:start w:val="1"/>
      <w:numFmt w:val="decimal"/>
      <w:lvlText w:val="%1."/>
      <w:lvlJc w:val="left"/>
      <w:pPr>
        <w:ind w:left="1287"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nsid w:val="75481E7F"/>
    <w:multiLevelType w:val="hybridMultilevel"/>
    <w:tmpl w:val="563A5E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5D11F1F"/>
    <w:multiLevelType w:val="hybridMultilevel"/>
    <w:tmpl w:val="9D4C1600"/>
    <w:lvl w:ilvl="0" w:tplc="63D69856">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0"/>
  </w:num>
  <w:num w:numId="5">
    <w:abstractNumId w:val="18"/>
  </w:num>
  <w:num w:numId="6">
    <w:abstractNumId w:val="9"/>
  </w:num>
  <w:num w:numId="7">
    <w:abstractNumId w:val="19"/>
  </w:num>
  <w:num w:numId="8">
    <w:abstractNumId w:val="5"/>
  </w:num>
  <w:num w:numId="9">
    <w:abstractNumId w:val="12"/>
  </w:num>
  <w:num w:numId="10">
    <w:abstractNumId w:val="6"/>
  </w:num>
  <w:num w:numId="11">
    <w:abstractNumId w:val="15"/>
  </w:num>
  <w:num w:numId="12">
    <w:abstractNumId w:val="20"/>
  </w:num>
  <w:num w:numId="13">
    <w:abstractNumId w:val="1"/>
  </w:num>
  <w:num w:numId="14">
    <w:abstractNumId w:val="16"/>
  </w:num>
  <w:num w:numId="15">
    <w:abstractNumId w:val="10"/>
  </w:num>
  <w:num w:numId="16">
    <w:abstractNumId w:val="4"/>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1"/>
  </w:num>
  <w:num w:numId="20">
    <w:abstractNumId w:val="13"/>
  </w:num>
  <w:num w:numId="21">
    <w:abstractNumId w:val="3"/>
  </w:num>
  <w:num w:numId="22">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EDE"/>
    <w:rsid w:val="00007463"/>
    <w:rsid w:val="00011665"/>
    <w:rsid w:val="000155DA"/>
    <w:rsid w:val="00021A04"/>
    <w:rsid w:val="000227D4"/>
    <w:rsid w:val="00027602"/>
    <w:rsid w:val="00027B1A"/>
    <w:rsid w:val="0003214D"/>
    <w:rsid w:val="00033116"/>
    <w:rsid w:val="00041105"/>
    <w:rsid w:val="00042AF8"/>
    <w:rsid w:val="00044EB7"/>
    <w:rsid w:val="00045040"/>
    <w:rsid w:val="0004614A"/>
    <w:rsid w:val="00046E37"/>
    <w:rsid w:val="000500C2"/>
    <w:rsid w:val="00052CF0"/>
    <w:rsid w:val="00053263"/>
    <w:rsid w:val="00055106"/>
    <w:rsid w:val="00057F3C"/>
    <w:rsid w:val="00061CF3"/>
    <w:rsid w:val="000730C7"/>
    <w:rsid w:val="00073A9B"/>
    <w:rsid w:val="00080B6A"/>
    <w:rsid w:val="00080E67"/>
    <w:rsid w:val="00082AA6"/>
    <w:rsid w:val="00084ED9"/>
    <w:rsid w:val="00091498"/>
    <w:rsid w:val="00091543"/>
    <w:rsid w:val="000A3B9A"/>
    <w:rsid w:val="000C37FA"/>
    <w:rsid w:val="000C71F5"/>
    <w:rsid w:val="000D53EB"/>
    <w:rsid w:val="000D6E9A"/>
    <w:rsid w:val="000E1164"/>
    <w:rsid w:val="000E606C"/>
    <w:rsid w:val="000F194E"/>
    <w:rsid w:val="000F1A23"/>
    <w:rsid w:val="000F2BAE"/>
    <w:rsid w:val="000F53D0"/>
    <w:rsid w:val="000F6C40"/>
    <w:rsid w:val="001004E7"/>
    <w:rsid w:val="001013A5"/>
    <w:rsid w:val="00104766"/>
    <w:rsid w:val="00116DC0"/>
    <w:rsid w:val="00123871"/>
    <w:rsid w:val="00125CD6"/>
    <w:rsid w:val="00127BFE"/>
    <w:rsid w:val="00131B30"/>
    <w:rsid w:val="00133DC8"/>
    <w:rsid w:val="00134635"/>
    <w:rsid w:val="00134803"/>
    <w:rsid w:val="00135658"/>
    <w:rsid w:val="00137BB0"/>
    <w:rsid w:val="001403AD"/>
    <w:rsid w:val="00141B5D"/>
    <w:rsid w:val="0014223F"/>
    <w:rsid w:val="001425A4"/>
    <w:rsid w:val="00145174"/>
    <w:rsid w:val="00147084"/>
    <w:rsid w:val="0014762D"/>
    <w:rsid w:val="00150B3D"/>
    <w:rsid w:val="0015561F"/>
    <w:rsid w:val="001567FA"/>
    <w:rsid w:val="001569FB"/>
    <w:rsid w:val="00156E72"/>
    <w:rsid w:val="00160160"/>
    <w:rsid w:val="00161D14"/>
    <w:rsid w:val="00163490"/>
    <w:rsid w:val="00165C2C"/>
    <w:rsid w:val="00173765"/>
    <w:rsid w:val="001875A9"/>
    <w:rsid w:val="001904EF"/>
    <w:rsid w:val="00190D99"/>
    <w:rsid w:val="001A10B3"/>
    <w:rsid w:val="001A740B"/>
    <w:rsid w:val="001B246F"/>
    <w:rsid w:val="001B65BA"/>
    <w:rsid w:val="001C0F48"/>
    <w:rsid w:val="001C16D8"/>
    <w:rsid w:val="001C3AD9"/>
    <w:rsid w:val="001C450F"/>
    <w:rsid w:val="001C759E"/>
    <w:rsid w:val="001D7477"/>
    <w:rsid w:val="001D761C"/>
    <w:rsid w:val="001E5539"/>
    <w:rsid w:val="001E59FD"/>
    <w:rsid w:val="001E6E6E"/>
    <w:rsid w:val="001E78ED"/>
    <w:rsid w:val="001F67C4"/>
    <w:rsid w:val="00200F81"/>
    <w:rsid w:val="00207B2D"/>
    <w:rsid w:val="00207F72"/>
    <w:rsid w:val="00215394"/>
    <w:rsid w:val="00221416"/>
    <w:rsid w:val="00230DDF"/>
    <w:rsid w:val="0023372D"/>
    <w:rsid w:val="00236277"/>
    <w:rsid w:val="0024045C"/>
    <w:rsid w:val="0024073D"/>
    <w:rsid w:val="00241BF2"/>
    <w:rsid w:val="002425E2"/>
    <w:rsid w:val="00244FC7"/>
    <w:rsid w:val="00246017"/>
    <w:rsid w:val="00247D58"/>
    <w:rsid w:val="00250344"/>
    <w:rsid w:val="00251720"/>
    <w:rsid w:val="002538E7"/>
    <w:rsid w:val="00253FFD"/>
    <w:rsid w:val="00256424"/>
    <w:rsid w:val="00261F7E"/>
    <w:rsid w:val="00263744"/>
    <w:rsid w:val="002644A3"/>
    <w:rsid w:val="002677BF"/>
    <w:rsid w:val="0028189F"/>
    <w:rsid w:val="00285630"/>
    <w:rsid w:val="002A308B"/>
    <w:rsid w:val="002A40CB"/>
    <w:rsid w:val="002A49D0"/>
    <w:rsid w:val="002A4C64"/>
    <w:rsid w:val="002A5467"/>
    <w:rsid w:val="002A7B9E"/>
    <w:rsid w:val="002B025D"/>
    <w:rsid w:val="002B4CF2"/>
    <w:rsid w:val="002B518F"/>
    <w:rsid w:val="002C073E"/>
    <w:rsid w:val="002C0A0C"/>
    <w:rsid w:val="002C356D"/>
    <w:rsid w:val="002C4F7B"/>
    <w:rsid w:val="002D339E"/>
    <w:rsid w:val="002D345E"/>
    <w:rsid w:val="002D4A4D"/>
    <w:rsid w:val="002D5C1D"/>
    <w:rsid w:val="002E6A02"/>
    <w:rsid w:val="002F1AA9"/>
    <w:rsid w:val="002F3B8D"/>
    <w:rsid w:val="002F3D3B"/>
    <w:rsid w:val="002F50C8"/>
    <w:rsid w:val="002F5B41"/>
    <w:rsid w:val="00303366"/>
    <w:rsid w:val="00311CA5"/>
    <w:rsid w:val="0032121E"/>
    <w:rsid w:val="00321562"/>
    <w:rsid w:val="003248BF"/>
    <w:rsid w:val="003259F3"/>
    <w:rsid w:val="00327365"/>
    <w:rsid w:val="00330163"/>
    <w:rsid w:val="00330AE8"/>
    <w:rsid w:val="00331F7E"/>
    <w:rsid w:val="00332F98"/>
    <w:rsid w:val="00334908"/>
    <w:rsid w:val="0034142F"/>
    <w:rsid w:val="00341710"/>
    <w:rsid w:val="00343D97"/>
    <w:rsid w:val="00344E95"/>
    <w:rsid w:val="00345C53"/>
    <w:rsid w:val="0035025E"/>
    <w:rsid w:val="0035106E"/>
    <w:rsid w:val="00357B4D"/>
    <w:rsid w:val="00362F37"/>
    <w:rsid w:val="00370D56"/>
    <w:rsid w:val="00372497"/>
    <w:rsid w:val="0037277E"/>
    <w:rsid w:val="0037403C"/>
    <w:rsid w:val="0038370C"/>
    <w:rsid w:val="00383FD1"/>
    <w:rsid w:val="003843A4"/>
    <w:rsid w:val="00386E35"/>
    <w:rsid w:val="00391EF3"/>
    <w:rsid w:val="0039288A"/>
    <w:rsid w:val="00393638"/>
    <w:rsid w:val="003945E3"/>
    <w:rsid w:val="00394A8D"/>
    <w:rsid w:val="00397620"/>
    <w:rsid w:val="003A4430"/>
    <w:rsid w:val="003A765C"/>
    <w:rsid w:val="003A7FA8"/>
    <w:rsid w:val="003B08A4"/>
    <w:rsid w:val="003B0E95"/>
    <w:rsid w:val="003B130C"/>
    <w:rsid w:val="003C3A57"/>
    <w:rsid w:val="003C490F"/>
    <w:rsid w:val="003C687A"/>
    <w:rsid w:val="003E215A"/>
    <w:rsid w:val="003E35F9"/>
    <w:rsid w:val="003E3F56"/>
    <w:rsid w:val="003E4FC1"/>
    <w:rsid w:val="003F0CB3"/>
    <w:rsid w:val="003F2800"/>
    <w:rsid w:val="003F5105"/>
    <w:rsid w:val="003F5702"/>
    <w:rsid w:val="003F5D7F"/>
    <w:rsid w:val="003F6AEA"/>
    <w:rsid w:val="00403FEA"/>
    <w:rsid w:val="004054D7"/>
    <w:rsid w:val="00407E6D"/>
    <w:rsid w:val="00411440"/>
    <w:rsid w:val="004144BA"/>
    <w:rsid w:val="00416901"/>
    <w:rsid w:val="0042047D"/>
    <w:rsid w:val="00420F22"/>
    <w:rsid w:val="00420F61"/>
    <w:rsid w:val="004226E1"/>
    <w:rsid w:val="0042634D"/>
    <w:rsid w:val="004264A0"/>
    <w:rsid w:val="004327B9"/>
    <w:rsid w:val="0043527F"/>
    <w:rsid w:val="00436FEE"/>
    <w:rsid w:val="004411CD"/>
    <w:rsid w:val="00443F40"/>
    <w:rsid w:val="00444298"/>
    <w:rsid w:val="00446368"/>
    <w:rsid w:val="00452014"/>
    <w:rsid w:val="004529ED"/>
    <w:rsid w:val="004563F0"/>
    <w:rsid w:val="00461E91"/>
    <w:rsid w:val="00463F05"/>
    <w:rsid w:val="004641BB"/>
    <w:rsid w:val="00465166"/>
    <w:rsid w:val="00465F70"/>
    <w:rsid w:val="00467102"/>
    <w:rsid w:val="00473523"/>
    <w:rsid w:val="00473EB7"/>
    <w:rsid w:val="00475BFB"/>
    <w:rsid w:val="00477714"/>
    <w:rsid w:val="004866D0"/>
    <w:rsid w:val="00486F58"/>
    <w:rsid w:val="004A0B13"/>
    <w:rsid w:val="004A386F"/>
    <w:rsid w:val="004A6423"/>
    <w:rsid w:val="004B0F58"/>
    <w:rsid w:val="004B22AD"/>
    <w:rsid w:val="004C3A25"/>
    <w:rsid w:val="004C3C05"/>
    <w:rsid w:val="004C636B"/>
    <w:rsid w:val="004D358C"/>
    <w:rsid w:val="004D46DC"/>
    <w:rsid w:val="004D4944"/>
    <w:rsid w:val="004D580B"/>
    <w:rsid w:val="004D5A34"/>
    <w:rsid w:val="004D5FA9"/>
    <w:rsid w:val="004D62E4"/>
    <w:rsid w:val="004E092E"/>
    <w:rsid w:val="004E2049"/>
    <w:rsid w:val="004E474E"/>
    <w:rsid w:val="004E73A1"/>
    <w:rsid w:val="004F34AF"/>
    <w:rsid w:val="004F44CB"/>
    <w:rsid w:val="004F45D5"/>
    <w:rsid w:val="004F4774"/>
    <w:rsid w:val="004F5F8E"/>
    <w:rsid w:val="00501BFE"/>
    <w:rsid w:val="00503A18"/>
    <w:rsid w:val="0051321B"/>
    <w:rsid w:val="0051775F"/>
    <w:rsid w:val="0052168E"/>
    <w:rsid w:val="00533909"/>
    <w:rsid w:val="0053399B"/>
    <w:rsid w:val="00535E51"/>
    <w:rsid w:val="005360CC"/>
    <w:rsid w:val="00540BC0"/>
    <w:rsid w:val="00544E16"/>
    <w:rsid w:val="00545769"/>
    <w:rsid w:val="00547DCF"/>
    <w:rsid w:val="005501EB"/>
    <w:rsid w:val="00553AF4"/>
    <w:rsid w:val="00562601"/>
    <w:rsid w:val="00564BEA"/>
    <w:rsid w:val="00565189"/>
    <w:rsid w:val="005656CF"/>
    <w:rsid w:val="005741E2"/>
    <w:rsid w:val="00575786"/>
    <w:rsid w:val="00575A61"/>
    <w:rsid w:val="00576102"/>
    <w:rsid w:val="005769E1"/>
    <w:rsid w:val="00577873"/>
    <w:rsid w:val="00580E40"/>
    <w:rsid w:val="0058347D"/>
    <w:rsid w:val="005845E4"/>
    <w:rsid w:val="005A2AA5"/>
    <w:rsid w:val="005A44A9"/>
    <w:rsid w:val="005A78BC"/>
    <w:rsid w:val="005B03F7"/>
    <w:rsid w:val="005B1591"/>
    <w:rsid w:val="005B1D30"/>
    <w:rsid w:val="005B2724"/>
    <w:rsid w:val="005B5A27"/>
    <w:rsid w:val="005B6AE8"/>
    <w:rsid w:val="005C4210"/>
    <w:rsid w:val="005C497A"/>
    <w:rsid w:val="005D02A6"/>
    <w:rsid w:val="005D12CF"/>
    <w:rsid w:val="005E5294"/>
    <w:rsid w:val="005E7B22"/>
    <w:rsid w:val="005F7F1D"/>
    <w:rsid w:val="00602AAE"/>
    <w:rsid w:val="00605324"/>
    <w:rsid w:val="0060596F"/>
    <w:rsid w:val="00606493"/>
    <w:rsid w:val="006140C5"/>
    <w:rsid w:val="00615F5E"/>
    <w:rsid w:val="006177AC"/>
    <w:rsid w:val="006209C8"/>
    <w:rsid w:val="00622A40"/>
    <w:rsid w:val="00624BD1"/>
    <w:rsid w:val="0062509E"/>
    <w:rsid w:val="00626E26"/>
    <w:rsid w:val="00630102"/>
    <w:rsid w:val="006420BE"/>
    <w:rsid w:val="0064598B"/>
    <w:rsid w:val="00646ED4"/>
    <w:rsid w:val="00647F5E"/>
    <w:rsid w:val="00651A13"/>
    <w:rsid w:val="00651CBC"/>
    <w:rsid w:val="006543CB"/>
    <w:rsid w:val="00654867"/>
    <w:rsid w:val="006548C6"/>
    <w:rsid w:val="00657DAD"/>
    <w:rsid w:val="0066424F"/>
    <w:rsid w:val="0067039B"/>
    <w:rsid w:val="00670423"/>
    <w:rsid w:val="00673038"/>
    <w:rsid w:val="00674991"/>
    <w:rsid w:val="006762A8"/>
    <w:rsid w:val="00682834"/>
    <w:rsid w:val="006841B7"/>
    <w:rsid w:val="0068594D"/>
    <w:rsid w:val="00685CFD"/>
    <w:rsid w:val="006869B3"/>
    <w:rsid w:val="00690DBF"/>
    <w:rsid w:val="0069111A"/>
    <w:rsid w:val="006A40B6"/>
    <w:rsid w:val="006A5423"/>
    <w:rsid w:val="006A5FCA"/>
    <w:rsid w:val="006A622C"/>
    <w:rsid w:val="006A6335"/>
    <w:rsid w:val="006A6C81"/>
    <w:rsid w:val="006A7152"/>
    <w:rsid w:val="006A79D2"/>
    <w:rsid w:val="006B123A"/>
    <w:rsid w:val="006B1909"/>
    <w:rsid w:val="006B347A"/>
    <w:rsid w:val="006B3C63"/>
    <w:rsid w:val="006B453B"/>
    <w:rsid w:val="006B5469"/>
    <w:rsid w:val="006C7888"/>
    <w:rsid w:val="006C7C87"/>
    <w:rsid w:val="006C7DF4"/>
    <w:rsid w:val="006E19AF"/>
    <w:rsid w:val="006E3868"/>
    <w:rsid w:val="006F24F6"/>
    <w:rsid w:val="006F397F"/>
    <w:rsid w:val="0070252D"/>
    <w:rsid w:val="0070296C"/>
    <w:rsid w:val="007037AF"/>
    <w:rsid w:val="007046E8"/>
    <w:rsid w:val="00705EC7"/>
    <w:rsid w:val="00710377"/>
    <w:rsid w:val="00711435"/>
    <w:rsid w:val="00717A0C"/>
    <w:rsid w:val="00721DA6"/>
    <w:rsid w:val="00724062"/>
    <w:rsid w:val="00724524"/>
    <w:rsid w:val="00726144"/>
    <w:rsid w:val="00727C33"/>
    <w:rsid w:val="00731FDC"/>
    <w:rsid w:val="00732A44"/>
    <w:rsid w:val="0074570A"/>
    <w:rsid w:val="00745E69"/>
    <w:rsid w:val="00753E39"/>
    <w:rsid w:val="00753F01"/>
    <w:rsid w:val="007542C0"/>
    <w:rsid w:val="0075581F"/>
    <w:rsid w:val="00763041"/>
    <w:rsid w:val="00766A5B"/>
    <w:rsid w:val="00767700"/>
    <w:rsid w:val="007711AC"/>
    <w:rsid w:val="00774B75"/>
    <w:rsid w:val="00775026"/>
    <w:rsid w:val="00775AD6"/>
    <w:rsid w:val="00781DE1"/>
    <w:rsid w:val="00785507"/>
    <w:rsid w:val="0078598B"/>
    <w:rsid w:val="00787637"/>
    <w:rsid w:val="007931AA"/>
    <w:rsid w:val="00796584"/>
    <w:rsid w:val="007A18E6"/>
    <w:rsid w:val="007A3701"/>
    <w:rsid w:val="007B0305"/>
    <w:rsid w:val="007B6774"/>
    <w:rsid w:val="007C29EC"/>
    <w:rsid w:val="007C356B"/>
    <w:rsid w:val="007C3E4E"/>
    <w:rsid w:val="007C4A13"/>
    <w:rsid w:val="007C7E8F"/>
    <w:rsid w:val="007D165C"/>
    <w:rsid w:val="007D27B6"/>
    <w:rsid w:val="007D5054"/>
    <w:rsid w:val="007D6069"/>
    <w:rsid w:val="007E01FC"/>
    <w:rsid w:val="007E4724"/>
    <w:rsid w:val="007E6BB3"/>
    <w:rsid w:val="007E6C4F"/>
    <w:rsid w:val="007E7234"/>
    <w:rsid w:val="007F1526"/>
    <w:rsid w:val="007F610D"/>
    <w:rsid w:val="00800F13"/>
    <w:rsid w:val="00801676"/>
    <w:rsid w:val="0080704F"/>
    <w:rsid w:val="00814BA4"/>
    <w:rsid w:val="008177BA"/>
    <w:rsid w:val="00823EE0"/>
    <w:rsid w:val="00830C1C"/>
    <w:rsid w:val="00831F10"/>
    <w:rsid w:val="0083345D"/>
    <w:rsid w:val="0083373C"/>
    <w:rsid w:val="00836858"/>
    <w:rsid w:val="00840688"/>
    <w:rsid w:val="00840779"/>
    <w:rsid w:val="00845C37"/>
    <w:rsid w:val="00845DB2"/>
    <w:rsid w:val="0084610A"/>
    <w:rsid w:val="00846822"/>
    <w:rsid w:val="00847CE9"/>
    <w:rsid w:val="008537FC"/>
    <w:rsid w:val="008624BC"/>
    <w:rsid w:val="00863972"/>
    <w:rsid w:val="008640E0"/>
    <w:rsid w:val="00867A39"/>
    <w:rsid w:val="0087221D"/>
    <w:rsid w:val="00873C6B"/>
    <w:rsid w:val="00876A02"/>
    <w:rsid w:val="008932D9"/>
    <w:rsid w:val="00894D06"/>
    <w:rsid w:val="00894E26"/>
    <w:rsid w:val="008A4BF6"/>
    <w:rsid w:val="008A69CA"/>
    <w:rsid w:val="008B0BBF"/>
    <w:rsid w:val="008B0DCE"/>
    <w:rsid w:val="008C1BE9"/>
    <w:rsid w:val="008C34B0"/>
    <w:rsid w:val="008C5284"/>
    <w:rsid w:val="008C5F8E"/>
    <w:rsid w:val="008C6674"/>
    <w:rsid w:val="008D5A62"/>
    <w:rsid w:val="008D5EBA"/>
    <w:rsid w:val="008E061B"/>
    <w:rsid w:val="008E2C41"/>
    <w:rsid w:val="008E3B7D"/>
    <w:rsid w:val="008E43A3"/>
    <w:rsid w:val="008E4EC6"/>
    <w:rsid w:val="008F1DED"/>
    <w:rsid w:val="008F39E0"/>
    <w:rsid w:val="008F4293"/>
    <w:rsid w:val="009005B6"/>
    <w:rsid w:val="009024F7"/>
    <w:rsid w:val="00904980"/>
    <w:rsid w:val="009074EB"/>
    <w:rsid w:val="00907905"/>
    <w:rsid w:val="00910B13"/>
    <w:rsid w:val="00913FD2"/>
    <w:rsid w:val="00923AB3"/>
    <w:rsid w:val="0092440D"/>
    <w:rsid w:val="00925506"/>
    <w:rsid w:val="0092732B"/>
    <w:rsid w:val="00930F5B"/>
    <w:rsid w:val="00936848"/>
    <w:rsid w:val="00941F39"/>
    <w:rsid w:val="00944027"/>
    <w:rsid w:val="00945867"/>
    <w:rsid w:val="00945D21"/>
    <w:rsid w:val="0095213D"/>
    <w:rsid w:val="00952ABF"/>
    <w:rsid w:val="00962E78"/>
    <w:rsid w:val="009636BA"/>
    <w:rsid w:val="009652C3"/>
    <w:rsid w:val="00965C5B"/>
    <w:rsid w:val="00966F9B"/>
    <w:rsid w:val="00967698"/>
    <w:rsid w:val="00971829"/>
    <w:rsid w:val="00972688"/>
    <w:rsid w:val="00973ADE"/>
    <w:rsid w:val="00981E54"/>
    <w:rsid w:val="00982B16"/>
    <w:rsid w:val="00984724"/>
    <w:rsid w:val="0099096D"/>
    <w:rsid w:val="00994371"/>
    <w:rsid w:val="00996BE3"/>
    <w:rsid w:val="009A0E49"/>
    <w:rsid w:val="009A251B"/>
    <w:rsid w:val="009A2A84"/>
    <w:rsid w:val="009A3A12"/>
    <w:rsid w:val="009A7A52"/>
    <w:rsid w:val="009B11CF"/>
    <w:rsid w:val="009B2098"/>
    <w:rsid w:val="009B26AB"/>
    <w:rsid w:val="009B2715"/>
    <w:rsid w:val="009B344F"/>
    <w:rsid w:val="009B36B9"/>
    <w:rsid w:val="009B4BA6"/>
    <w:rsid w:val="009D0117"/>
    <w:rsid w:val="009D1C90"/>
    <w:rsid w:val="009D7F33"/>
    <w:rsid w:val="009E0D9F"/>
    <w:rsid w:val="009E17E8"/>
    <w:rsid w:val="009E22BA"/>
    <w:rsid w:val="009E2919"/>
    <w:rsid w:val="009E2A09"/>
    <w:rsid w:val="009E5B56"/>
    <w:rsid w:val="009F260C"/>
    <w:rsid w:val="009F39D1"/>
    <w:rsid w:val="009F4DEE"/>
    <w:rsid w:val="009F5B2B"/>
    <w:rsid w:val="00A12F71"/>
    <w:rsid w:val="00A2053F"/>
    <w:rsid w:val="00A2087D"/>
    <w:rsid w:val="00A22E58"/>
    <w:rsid w:val="00A24EDC"/>
    <w:rsid w:val="00A251C7"/>
    <w:rsid w:val="00A264E8"/>
    <w:rsid w:val="00A317F9"/>
    <w:rsid w:val="00A337F4"/>
    <w:rsid w:val="00A33DBB"/>
    <w:rsid w:val="00A34CD0"/>
    <w:rsid w:val="00A3505C"/>
    <w:rsid w:val="00A367DA"/>
    <w:rsid w:val="00A41A3B"/>
    <w:rsid w:val="00A42E2F"/>
    <w:rsid w:val="00A44942"/>
    <w:rsid w:val="00A453E5"/>
    <w:rsid w:val="00A47ABA"/>
    <w:rsid w:val="00A5031B"/>
    <w:rsid w:val="00A51D88"/>
    <w:rsid w:val="00A571C1"/>
    <w:rsid w:val="00A576E9"/>
    <w:rsid w:val="00A61AEB"/>
    <w:rsid w:val="00A634A7"/>
    <w:rsid w:val="00A678B7"/>
    <w:rsid w:val="00A73D9D"/>
    <w:rsid w:val="00A74929"/>
    <w:rsid w:val="00A75C14"/>
    <w:rsid w:val="00A8026C"/>
    <w:rsid w:val="00A80303"/>
    <w:rsid w:val="00A82B57"/>
    <w:rsid w:val="00A83838"/>
    <w:rsid w:val="00A8392A"/>
    <w:rsid w:val="00A848AE"/>
    <w:rsid w:val="00A90795"/>
    <w:rsid w:val="00A90DCF"/>
    <w:rsid w:val="00A913B4"/>
    <w:rsid w:val="00A91827"/>
    <w:rsid w:val="00A95177"/>
    <w:rsid w:val="00A97D7F"/>
    <w:rsid w:val="00AA2E84"/>
    <w:rsid w:val="00AA41A2"/>
    <w:rsid w:val="00AA60F6"/>
    <w:rsid w:val="00AB1ECD"/>
    <w:rsid w:val="00AB3A3B"/>
    <w:rsid w:val="00AB5E4B"/>
    <w:rsid w:val="00AB60C2"/>
    <w:rsid w:val="00AC38FC"/>
    <w:rsid w:val="00AC5B19"/>
    <w:rsid w:val="00AD0313"/>
    <w:rsid w:val="00AD4E98"/>
    <w:rsid w:val="00AD5375"/>
    <w:rsid w:val="00AD665C"/>
    <w:rsid w:val="00AE0479"/>
    <w:rsid w:val="00AE1CB6"/>
    <w:rsid w:val="00AE3803"/>
    <w:rsid w:val="00AE3E08"/>
    <w:rsid w:val="00AE4A2D"/>
    <w:rsid w:val="00AE4C9D"/>
    <w:rsid w:val="00AE5CA3"/>
    <w:rsid w:val="00AE7B17"/>
    <w:rsid w:val="00AF006D"/>
    <w:rsid w:val="00AF3E21"/>
    <w:rsid w:val="00B0021B"/>
    <w:rsid w:val="00B00850"/>
    <w:rsid w:val="00B03EDE"/>
    <w:rsid w:val="00B045F9"/>
    <w:rsid w:val="00B0692A"/>
    <w:rsid w:val="00B101A9"/>
    <w:rsid w:val="00B12743"/>
    <w:rsid w:val="00B132AF"/>
    <w:rsid w:val="00B173FB"/>
    <w:rsid w:val="00B2036F"/>
    <w:rsid w:val="00B22551"/>
    <w:rsid w:val="00B23645"/>
    <w:rsid w:val="00B27233"/>
    <w:rsid w:val="00B277F8"/>
    <w:rsid w:val="00B32716"/>
    <w:rsid w:val="00B32D68"/>
    <w:rsid w:val="00B33947"/>
    <w:rsid w:val="00B34816"/>
    <w:rsid w:val="00B3745C"/>
    <w:rsid w:val="00B4067D"/>
    <w:rsid w:val="00B41044"/>
    <w:rsid w:val="00B41575"/>
    <w:rsid w:val="00B417F8"/>
    <w:rsid w:val="00B4237E"/>
    <w:rsid w:val="00B42BA0"/>
    <w:rsid w:val="00B43BFA"/>
    <w:rsid w:val="00B47F25"/>
    <w:rsid w:val="00B5003B"/>
    <w:rsid w:val="00B521EC"/>
    <w:rsid w:val="00B55179"/>
    <w:rsid w:val="00B56BC1"/>
    <w:rsid w:val="00B5759D"/>
    <w:rsid w:val="00B60D17"/>
    <w:rsid w:val="00B64AB3"/>
    <w:rsid w:val="00B6500C"/>
    <w:rsid w:val="00B6798C"/>
    <w:rsid w:val="00B71C2B"/>
    <w:rsid w:val="00B71EEE"/>
    <w:rsid w:val="00B72634"/>
    <w:rsid w:val="00B72741"/>
    <w:rsid w:val="00B7344D"/>
    <w:rsid w:val="00B77C41"/>
    <w:rsid w:val="00B77ECE"/>
    <w:rsid w:val="00B81F0D"/>
    <w:rsid w:val="00B828E2"/>
    <w:rsid w:val="00B86D0D"/>
    <w:rsid w:val="00B87EFC"/>
    <w:rsid w:val="00B946CE"/>
    <w:rsid w:val="00BA012E"/>
    <w:rsid w:val="00BA0ACE"/>
    <w:rsid w:val="00BA0B7F"/>
    <w:rsid w:val="00BA6085"/>
    <w:rsid w:val="00BB02BA"/>
    <w:rsid w:val="00BB11FD"/>
    <w:rsid w:val="00BB2B58"/>
    <w:rsid w:val="00BB38FC"/>
    <w:rsid w:val="00BB431A"/>
    <w:rsid w:val="00BB56EF"/>
    <w:rsid w:val="00BB69EF"/>
    <w:rsid w:val="00BC2409"/>
    <w:rsid w:val="00BC2E9D"/>
    <w:rsid w:val="00BC4DCF"/>
    <w:rsid w:val="00BC6D46"/>
    <w:rsid w:val="00BD3344"/>
    <w:rsid w:val="00BD4C4D"/>
    <w:rsid w:val="00BE4B33"/>
    <w:rsid w:val="00BE4C73"/>
    <w:rsid w:val="00BE53A0"/>
    <w:rsid w:val="00BF01A6"/>
    <w:rsid w:val="00BF14ED"/>
    <w:rsid w:val="00BF19D2"/>
    <w:rsid w:val="00BF24C9"/>
    <w:rsid w:val="00BF6339"/>
    <w:rsid w:val="00C00510"/>
    <w:rsid w:val="00C00E84"/>
    <w:rsid w:val="00C03811"/>
    <w:rsid w:val="00C04F14"/>
    <w:rsid w:val="00C1189C"/>
    <w:rsid w:val="00C1322E"/>
    <w:rsid w:val="00C1369F"/>
    <w:rsid w:val="00C13C68"/>
    <w:rsid w:val="00C22667"/>
    <w:rsid w:val="00C27288"/>
    <w:rsid w:val="00C34B10"/>
    <w:rsid w:val="00C364E1"/>
    <w:rsid w:val="00C36852"/>
    <w:rsid w:val="00C36AE4"/>
    <w:rsid w:val="00C37911"/>
    <w:rsid w:val="00C47841"/>
    <w:rsid w:val="00C51A56"/>
    <w:rsid w:val="00C564D6"/>
    <w:rsid w:val="00C56DA6"/>
    <w:rsid w:val="00C70B29"/>
    <w:rsid w:val="00C7224B"/>
    <w:rsid w:val="00C73B3A"/>
    <w:rsid w:val="00C74A96"/>
    <w:rsid w:val="00C7510F"/>
    <w:rsid w:val="00C80072"/>
    <w:rsid w:val="00C809B5"/>
    <w:rsid w:val="00C80FA7"/>
    <w:rsid w:val="00C87E36"/>
    <w:rsid w:val="00C907D1"/>
    <w:rsid w:val="00C93A2C"/>
    <w:rsid w:val="00C94730"/>
    <w:rsid w:val="00C947E1"/>
    <w:rsid w:val="00C95703"/>
    <w:rsid w:val="00CA3603"/>
    <w:rsid w:val="00CA3BE5"/>
    <w:rsid w:val="00CB6000"/>
    <w:rsid w:val="00CB6A8D"/>
    <w:rsid w:val="00CB6D50"/>
    <w:rsid w:val="00CB7AF4"/>
    <w:rsid w:val="00CC1B6B"/>
    <w:rsid w:val="00CC1F76"/>
    <w:rsid w:val="00CC2651"/>
    <w:rsid w:val="00CC2BDA"/>
    <w:rsid w:val="00CC5EC2"/>
    <w:rsid w:val="00CD2FD3"/>
    <w:rsid w:val="00CD65D7"/>
    <w:rsid w:val="00CD6990"/>
    <w:rsid w:val="00CE4FCC"/>
    <w:rsid w:val="00CE5D6E"/>
    <w:rsid w:val="00CF424A"/>
    <w:rsid w:val="00CF4448"/>
    <w:rsid w:val="00D010F5"/>
    <w:rsid w:val="00D017AD"/>
    <w:rsid w:val="00D03B35"/>
    <w:rsid w:val="00D03E52"/>
    <w:rsid w:val="00D05E39"/>
    <w:rsid w:val="00D14FE6"/>
    <w:rsid w:val="00D203DC"/>
    <w:rsid w:val="00D20D13"/>
    <w:rsid w:val="00D217BD"/>
    <w:rsid w:val="00D21EA1"/>
    <w:rsid w:val="00D27F4B"/>
    <w:rsid w:val="00D34C71"/>
    <w:rsid w:val="00D3577B"/>
    <w:rsid w:val="00D357A4"/>
    <w:rsid w:val="00D3649E"/>
    <w:rsid w:val="00D36A0A"/>
    <w:rsid w:val="00D40B5B"/>
    <w:rsid w:val="00D44317"/>
    <w:rsid w:val="00D45413"/>
    <w:rsid w:val="00D5058F"/>
    <w:rsid w:val="00D510C5"/>
    <w:rsid w:val="00D5206E"/>
    <w:rsid w:val="00D62637"/>
    <w:rsid w:val="00D6284F"/>
    <w:rsid w:val="00D630DD"/>
    <w:rsid w:val="00D636C6"/>
    <w:rsid w:val="00D64369"/>
    <w:rsid w:val="00D6464E"/>
    <w:rsid w:val="00D66AF5"/>
    <w:rsid w:val="00D67306"/>
    <w:rsid w:val="00D71293"/>
    <w:rsid w:val="00D71B3E"/>
    <w:rsid w:val="00D73E54"/>
    <w:rsid w:val="00D73F44"/>
    <w:rsid w:val="00D761B6"/>
    <w:rsid w:val="00D8789F"/>
    <w:rsid w:val="00D93793"/>
    <w:rsid w:val="00D96384"/>
    <w:rsid w:val="00DA0579"/>
    <w:rsid w:val="00DA1AC0"/>
    <w:rsid w:val="00DA298A"/>
    <w:rsid w:val="00DA6CBB"/>
    <w:rsid w:val="00DB03AC"/>
    <w:rsid w:val="00DB0B40"/>
    <w:rsid w:val="00DB249D"/>
    <w:rsid w:val="00DB2D40"/>
    <w:rsid w:val="00DB4E91"/>
    <w:rsid w:val="00DB5B84"/>
    <w:rsid w:val="00DB7D93"/>
    <w:rsid w:val="00DC010D"/>
    <w:rsid w:val="00DC17E4"/>
    <w:rsid w:val="00DC6085"/>
    <w:rsid w:val="00DC7952"/>
    <w:rsid w:val="00DD04D3"/>
    <w:rsid w:val="00DD0E57"/>
    <w:rsid w:val="00DD161B"/>
    <w:rsid w:val="00DD17F4"/>
    <w:rsid w:val="00DD1C73"/>
    <w:rsid w:val="00DD3AA6"/>
    <w:rsid w:val="00DD4A35"/>
    <w:rsid w:val="00DD75BC"/>
    <w:rsid w:val="00DE2B6C"/>
    <w:rsid w:val="00DE4E71"/>
    <w:rsid w:val="00DE60B0"/>
    <w:rsid w:val="00DE71E3"/>
    <w:rsid w:val="00DF68D0"/>
    <w:rsid w:val="00E0050F"/>
    <w:rsid w:val="00E03817"/>
    <w:rsid w:val="00E06D00"/>
    <w:rsid w:val="00E1292D"/>
    <w:rsid w:val="00E14333"/>
    <w:rsid w:val="00E209FC"/>
    <w:rsid w:val="00E22215"/>
    <w:rsid w:val="00E22D3A"/>
    <w:rsid w:val="00E2314B"/>
    <w:rsid w:val="00E23685"/>
    <w:rsid w:val="00E25C61"/>
    <w:rsid w:val="00E3153D"/>
    <w:rsid w:val="00E35B9A"/>
    <w:rsid w:val="00E46549"/>
    <w:rsid w:val="00E46B98"/>
    <w:rsid w:val="00E47885"/>
    <w:rsid w:val="00E57B89"/>
    <w:rsid w:val="00E61D50"/>
    <w:rsid w:val="00E622A3"/>
    <w:rsid w:val="00E62F3C"/>
    <w:rsid w:val="00E6681D"/>
    <w:rsid w:val="00E70D8A"/>
    <w:rsid w:val="00E7223E"/>
    <w:rsid w:val="00E735EE"/>
    <w:rsid w:val="00E757AD"/>
    <w:rsid w:val="00E75DFF"/>
    <w:rsid w:val="00E76B08"/>
    <w:rsid w:val="00E844EB"/>
    <w:rsid w:val="00E94537"/>
    <w:rsid w:val="00E96113"/>
    <w:rsid w:val="00E96F6B"/>
    <w:rsid w:val="00EA14B2"/>
    <w:rsid w:val="00EA27C0"/>
    <w:rsid w:val="00EA4AE7"/>
    <w:rsid w:val="00EA5DCF"/>
    <w:rsid w:val="00EA736B"/>
    <w:rsid w:val="00EB0747"/>
    <w:rsid w:val="00EB1B1E"/>
    <w:rsid w:val="00EB2FDF"/>
    <w:rsid w:val="00EB4AF9"/>
    <w:rsid w:val="00EB4C75"/>
    <w:rsid w:val="00EB7457"/>
    <w:rsid w:val="00EC360E"/>
    <w:rsid w:val="00EC428A"/>
    <w:rsid w:val="00EC5C29"/>
    <w:rsid w:val="00ED02A5"/>
    <w:rsid w:val="00ED178F"/>
    <w:rsid w:val="00ED3B02"/>
    <w:rsid w:val="00EE1A46"/>
    <w:rsid w:val="00EE3D00"/>
    <w:rsid w:val="00EE726D"/>
    <w:rsid w:val="00EF398E"/>
    <w:rsid w:val="00EF3E5E"/>
    <w:rsid w:val="00EF4A9A"/>
    <w:rsid w:val="00EF4CB0"/>
    <w:rsid w:val="00EF5A28"/>
    <w:rsid w:val="00EF62C1"/>
    <w:rsid w:val="00EF69E9"/>
    <w:rsid w:val="00EF7D1F"/>
    <w:rsid w:val="00F01FA0"/>
    <w:rsid w:val="00F01FB7"/>
    <w:rsid w:val="00F03133"/>
    <w:rsid w:val="00F041D2"/>
    <w:rsid w:val="00F10308"/>
    <w:rsid w:val="00F12D2E"/>
    <w:rsid w:val="00F13C6E"/>
    <w:rsid w:val="00F14B10"/>
    <w:rsid w:val="00F1564B"/>
    <w:rsid w:val="00F20BDB"/>
    <w:rsid w:val="00F22CFF"/>
    <w:rsid w:val="00F27729"/>
    <w:rsid w:val="00F44094"/>
    <w:rsid w:val="00F44F10"/>
    <w:rsid w:val="00F46B4A"/>
    <w:rsid w:val="00F53043"/>
    <w:rsid w:val="00F56266"/>
    <w:rsid w:val="00F617A9"/>
    <w:rsid w:val="00F61E1B"/>
    <w:rsid w:val="00F744E2"/>
    <w:rsid w:val="00F74A11"/>
    <w:rsid w:val="00F82E84"/>
    <w:rsid w:val="00F8606B"/>
    <w:rsid w:val="00F867C4"/>
    <w:rsid w:val="00F87030"/>
    <w:rsid w:val="00F90397"/>
    <w:rsid w:val="00F90699"/>
    <w:rsid w:val="00F9206D"/>
    <w:rsid w:val="00F96491"/>
    <w:rsid w:val="00FA1CDC"/>
    <w:rsid w:val="00FA56B0"/>
    <w:rsid w:val="00FA7448"/>
    <w:rsid w:val="00FA74D3"/>
    <w:rsid w:val="00FA77F4"/>
    <w:rsid w:val="00FB1090"/>
    <w:rsid w:val="00FC4C8E"/>
    <w:rsid w:val="00FC601F"/>
    <w:rsid w:val="00FC7A26"/>
    <w:rsid w:val="00FD1F42"/>
    <w:rsid w:val="00FD61F9"/>
    <w:rsid w:val="00FE0652"/>
    <w:rsid w:val="00FE5855"/>
    <w:rsid w:val="00FE5B29"/>
    <w:rsid w:val="00FE6964"/>
    <w:rsid w:val="00FF434E"/>
    <w:rsid w:val="00FF79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22E1C2"/>
  <w15:chartTrackingRefBased/>
  <w15:docId w15:val="{FEECCA3C-1AAD-429B-B708-4AF2616F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FD2"/>
    <w:pPr>
      <w:spacing w:after="0" w:line="240" w:lineRule="auto"/>
    </w:pPr>
    <w:rPr>
      <w:rFonts w:ascii="Times New Roman" w:eastAsia="Times New Roman" w:hAnsi="Times New Roman" w:cs="Times New Roman"/>
      <w:sz w:val="20"/>
      <w:szCs w:val="20"/>
      <w:lang w:eastAsia="es-ES"/>
    </w:rPr>
  </w:style>
  <w:style w:type="paragraph" w:styleId="Ttulo2">
    <w:name w:val="heading 2"/>
    <w:basedOn w:val="Normal"/>
    <w:next w:val="Normal"/>
    <w:link w:val="Ttulo2Car"/>
    <w:uiPriority w:val="9"/>
    <w:unhideWhenUsed/>
    <w:qFormat/>
    <w:rsid w:val="005656C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3EDE"/>
    <w:pPr>
      <w:tabs>
        <w:tab w:val="center" w:pos="4419"/>
        <w:tab w:val="right" w:pos="8838"/>
      </w:tabs>
    </w:pPr>
  </w:style>
  <w:style w:type="character" w:customStyle="1" w:styleId="EncabezadoCar">
    <w:name w:val="Encabezado Car"/>
    <w:basedOn w:val="Fuentedeprrafopredeter"/>
    <w:link w:val="Encabezado"/>
    <w:uiPriority w:val="99"/>
    <w:rsid w:val="00B03EDE"/>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B03EDE"/>
    <w:pPr>
      <w:tabs>
        <w:tab w:val="center" w:pos="4419"/>
        <w:tab w:val="right" w:pos="8838"/>
      </w:tabs>
    </w:pPr>
  </w:style>
  <w:style w:type="character" w:customStyle="1" w:styleId="PiedepginaCar">
    <w:name w:val="Pie de página Car"/>
    <w:basedOn w:val="Fuentedeprrafopredeter"/>
    <w:link w:val="Piedepgina"/>
    <w:uiPriority w:val="99"/>
    <w:rsid w:val="00B03EDE"/>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3EDE"/>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03EDE"/>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03EDE"/>
    <w:rPr>
      <w:color w:val="0563C1" w:themeColor="hyperlink"/>
      <w:u w:val="single"/>
    </w:rPr>
  </w:style>
  <w:style w:type="table" w:styleId="Tablaconcuadrcula">
    <w:name w:val="Table Grid"/>
    <w:basedOn w:val="Tablanormal"/>
    <w:uiPriority w:val="59"/>
    <w:qFormat/>
    <w:rsid w:val="00B03EDE"/>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256424"/>
    <w:pPr>
      <w:spacing w:after="0" w:line="240" w:lineRule="auto"/>
    </w:pPr>
    <w:rPr>
      <w:rFonts w:ascii="Times New Roman" w:eastAsia="Times New Roman" w:hAnsi="Times New Roman" w:cs="Times New Roman"/>
      <w:sz w:val="20"/>
      <w:szCs w:val="20"/>
      <w:lang w:eastAsia="es-ES"/>
    </w:rPr>
  </w:style>
  <w:style w:type="paragraph" w:styleId="Lista">
    <w:name w:val="List"/>
    <w:basedOn w:val="Normal"/>
    <w:uiPriority w:val="99"/>
    <w:unhideWhenUsed/>
    <w:rsid w:val="00443F40"/>
    <w:pPr>
      <w:ind w:left="283" w:hanging="283"/>
      <w:contextualSpacing/>
    </w:pPr>
  </w:style>
  <w:style w:type="paragraph" w:styleId="Lista2">
    <w:name w:val="List 2"/>
    <w:basedOn w:val="Normal"/>
    <w:uiPriority w:val="99"/>
    <w:unhideWhenUsed/>
    <w:rsid w:val="00443F40"/>
    <w:pPr>
      <w:ind w:left="566" w:hanging="283"/>
      <w:contextualSpacing/>
    </w:pPr>
  </w:style>
  <w:style w:type="paragraph" w:styleId="Saludo">
    <w:name w:val="Salutation"/>
    <w:basedOn w:val="Normal"/>
    <w:next w:val="Normal"/>
    <w:link w:val="SaludoCar"/>
    <w:uiPriority w:val="99"/>
    <w:unhideWhenUsed/>
    <w:rsid w:val="00443F40"/>
  </w:style>
  <w:style w:type="character" w:customStyle="1" w:styleId="SaludoCar">
    <w:name w:val="Saludo Car"/>
    <w:basedOn w:val="Fuentedeprrafopredeter"/>
    <w:link w:val="Saludo"/>
    <w:uiPriority w:val="99"/>
    <w:rsid w:val="00443F40"/>
    <w:rPr>
      <w:rFonts w:ascii="Times New Roman" w:eastAsia="Times New Roman" w:hAnsi="Times New Roman" w:cs="Times New Roman"/>
      <w:sz w:val="20"/>
      <w:szCs w:val="20"/>
      <w:lang w:eastAsia="es-ES"/>
    </w:rPr>
  </w:style>
  <w:style w:type="paragraph" w:styleId="Continuarlista">
    <w:name w:val="List Continue"/>
    <w:basedOn w:val="Normal"/>
    <w:uiPriority w:val="99"/>
    <w:unhideWhenUsed/>
    <w:rsid w:val="00443F40"/>
    <w:pPr>
      <w:spacing w:after="120"/>
      <w:ind w:left="283"/>
      <w:contextualSpacing/>
    </w:pPr>
  </w:style>
  <w:style w:type="paragraph" w:styleId="Textoindependiente">
    <w:name w:val="Body Text"/>
    <w:basedOn w:val="Normal"/>
    <w:link w:val="TextoindependienteCar"/>
    <w:uiPriority w:val="99"/>
    <w:unhideWhenUsed/>
    <w:rsid w:val="00443F40"/>
    <w:pPr>
      <w:spacing w:after="120"/>
    </w:pPr>
  </w:style>
  <w:style w:type="character" w:customStyle="1" w:styleId="TextoindependienteCar">
    <w:name w:val="Texto independiente Car"/>
    <w:basedOn w:val="Fuentedeprrafopredeter"/>
    <w:link w:val="Textoindependiente"/>
    <w:uiPriority w:val="99"/>
    <w:rsid w:val="00443F40"/>
    <w:rPr>
      <w:rFonts w:ascii="Times New Roman" w:eastAsia="Times New Roman" w:hAnsi="Times New Roman" w:cs="Times New Roman"/>
      <w:sz w:val="20"/>
      <w:szCs w:val="20"/>
      <w:lang w:eastAsia="es-ES"/>
    </w:rPr>
  </w:style>
  <w:style w:type="paragraph" w:styleId="Sangradetextonormal">
    <w:name w:val="Body Text Indent"/>
    <w:basedOn w:val="Normal"/>
    <w:link w:val="SangradetextonormalCar"/>
    <w:uiPriority w:val="99"/>
    <w:semiHidden/>
    <w:unhideWhenUsed/>
    <w:rsid w:val="00443F40"/>
    <w:pPr>
      <w:spacing w:after="120"/>
      <w:ind w:left="283"/>
    </w:pPr>
  </w:style>
  <w:style w:type="character" w:customStyle="1" w:styleId="SangradetextonormalCar">
    <w:name w:val="Sangría de texto normal Car"/>
    <w:basedOn w:val="Fuentedeprrafopredeter"/>
    <w:link w:val="Sangradetextonormal"/>
    <w:uiPriority w:val="99"/>
    <w:semiHidden/>
    <w:rsid w:val="00443F40"/>
    <w:rPr>
      <w:rFonts w:ascii="Times New Roman" w:eastAsia="Times New Roman" w:hAnsi="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unhideWhenUsed/>
    <w:rsid w:val="00443F4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43F40"/>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E22215"/>
    <w:rPr>
      <w:color w:val="605E5C"/>
      <w:shd w:val="clear" w:color="auto" w:fill="E1DFDD"/>
    </w:rPr>
  </w:style>
  <w:style w:type="paragraph" w:styleId="Textonotaalfinal">
    <w:name w:val="endnote text"/>
    <w:basedOn w:val="Normal"/>
    <w:link w:val="TextonotaalfinalCar"/>
    <w:uiPriority w:val="99"/>
    <w:semiHidden/>
    <w:unhideWhenUsed/>
    <w:rsid w:val="006140C5"/>
  </w:style>
  <w:style w:type="character" w:customStyle="1" w:styleId="TextonotaalfinalCar">
    <w:name w:val="Texto nota al final Car"/>
    <w:basedOn w:val="Fuentedeprrafopredeter"/>
    <w:link w:val="Textonotaalfinal"/>
    <w:uiPriority w:val="99"/>
    <w:semiHidden/>
    <w:rsid w:val="006140C5"/>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6140C5"/>
    <w:rPr>
      <w:vertAlign w:val="superscript"/>
    </w:rPr>
  </w:style>
  <w:style w:type="character" w:customStyle="1" w:styleId="Mencinsinresolver2">
    <w:name w:val="Mención sin resolver2"/>
    <w:basedOn w:val="Fuentedeprrafopredeter"/>
    <w:uiPriority w:val="99"/>
    <w:semiHidden/>
    <w:unhideWhenUsed/>
    <w:rsid w:val="005A44A9"/>
    <w:rPr>
      <w:color w:val="605E5C"/>
      <w:shd w:val="clear" w:color="auto" w:fill="E1DFDD"/>
    </w:rPr>
  </w:style>
  <w:style w:type="character" w:customStyle="1" w:styleId="Mencinsinresolver3">
    <w:name w:val="Mención sin resolver3"/>
    <w:basedOn w:val="Fuentedeprrafopredeter"/>
    <w:uiPriority w:val="99"/>
    <w:semiHidden/>
    <w:unhideWhenUsed/>
    <w:rsid w:val="00DE60B0"/>
    <w:rPr>
      <w:color w:val="605E5C"/>
      <w:shd w:val="clear" w:color="auto" w:fill="E1DFDD"/>
    </w:rPr>
  </w:style>
  <w:style w:type="character" w:styleId="Hipervnculovisitado">
    <w:name w:val="FollowedHyperlink"/>
    <w:basedOn w:val="Fuentedeprrafopredeter"/>
    <w:uiPriority w:val="99"/>
    <w:semiHidden/>
    <w:unhideWhenUsed/>
    <w:rsid w:val="004144BA"/>
    <w:rPr>
      <w:color w:val="954F72" w:themeColor="followedHyperlink"/>
      <w:u w:val="single"/>
    </w:rPr>
  </w:style>
  <w:style w:type="character" w:customStyle="1" w:styleId="Ttulo2Car">
    <w:name w:val="Título 2 Car"/>
    <w:basedOn w:val="Fuentedeprrafopredeter"/>
    <w:link w:val="Ttulo2"/>
    <w:uiPriority w:val="9"/>
    <w:rsid w:val="005656CF"/>
    <w:rPr>
      <w:rFonts w:asciiTheme="majorHAnsi" w:eastAsiaTheme="majorEastAsia" w:hAnsiTheme="majorHAnsi" w:cstheme="majorBidi"/>
      <w:color w:val="2F5496" w:themeColor="accent1" w:themeShade="BF"/>
      <w:sz w:val="26"/>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780244">
      <w:bodyDiv w:val="1"/>
      <w:marLeft w:val="0"/>
      <w:marRight w:val="0"/>
      <w:marTop w:val="0"/>
      <w:marBottom w:val="0"/>
      <w:divBdr>
        <w:top w:val="none" w:sz="0" w:space="0" w:color="auto"/>
        <w:left w:val="none" w:sz="0" w:space="0" w:color="auto"/>
        <w:bottom w:val="none" w:sz="0" w:space="0" w:color="auto"/>
        <w:right w:val="none" w:sz="0" w:space="0" w:color="auto"/>
      </w:divBdr>
    </w:div>
    <w:div w:id="326636063">
      <w:bodyDiv w:val="1"/>
      <w:marLeft w:val="0"/>
      <w:marRight w:val="0"/>
      <w:marTop w:val="0"/>
      <w:marBottom w:val="0"/>
      <w:divBdr>
        <w:top w:val="none" w:sz="0" w:space="0" w:color="auto"/>
        <w:left w:val="none" w:sz="0" w:space="0" w:color="auto"/>
        <w:bottom w:val="none" w:sz="0" w:space="0" w:color="auto"/>
        <w:right w:val="none" w:sz="0" w:space="0" w:color="auto"/>
      </w:divBdr>
    </w:div>
    <w:div w:id="396588082">
      <w:bodyDiv w:val="1"/>
      <w:marLeft w:val="0"/>
      <w:marRight w:val="0"/>
      <w:marTop w:val="0"/>
      <w:marBottom w:val="0"/>
      <w:divBdr>
        <w:top w:val="none" w:sz="0" w:space="0" w:color="auto"/>
        <w:left w:val="none" w:sz="0" w:space="0" w:color="auto"/>
        <w:bottom w:val="none" w:sz="0" w:space="0" w:color="auto"/>
        <w:right w:val="none" w:sz="0" w:space="0" w:color="auto"/>
      </w:divBdr>
    </w:div>
    <w:div w:id="584340133">
      <w:bodyDiv w:val="1"/>
      <w:marLeft w:val="0"/>
      <w:marRight w:val="0"/>
      <w:marTop w:val="0"/>
      <w:marBottom w:val="0"/>
      <w:divBdr>
        <w:top w:val="none" w:sz="0" w:space="0" w:color="auto"/>
        <w:left w:val="none" w:sz="0" w:space="0" w:color="auto"/>
        <w:bottom w:val="none" w:sz="0" w:space="0" w:color="auto"/>
        <w:right w:val="none" w:sz="0" w:space="0" w:color="auto"/>
      </w:divBdr>
    </w:div>
    <w:div w:id="649485715">
      <w:bodyDiv w:val="1"/>
      <w:marLeft w:val="0"/>
      <w:marRight w:val="0"/>
      <w:marTop w:val="0"/>
      <w:marBottom w:val="0"/>
      <w:divBdr>
        <w:top w:val="none" w:sz="0" w:space="0" w:color="auto"/>
        <w:left w:val="none" w:sz="0" w:space="0" w:color="auto"/>
        <w:bottom w:val="none" w:sz="0" w:space="0" w:color="auto"/>
        <w:right w:val="none" w:sz="0" w:space="0" w:color="auto"/>
      </w:divBdr>
    </w:div>
    <w:div w:id="818575497">
      <w:bodyDiv w:val="1"/>
      <w:marLeft w:val="0"/>
      <w:marRight w:val="0"/>
      <w:marTop w:val="0"/>
      <w:marBottom w:val="0"/>
      <w:divBdr>
        <w:top w:val="none" w:sz="0" w:space="0" w:color="auto"/>
        <w:left w:val="none" w:sz="0" w:space="0" w:color="auto"/>
        <w:bottom w:val="none" w:sz="0" w:space="0" w:color="auto"/>
        <w:right w:val="none" w:sz="0" w:space="0" w:color="auto"/>
      </w:divBdr>
    </w:div>
    <w:div w:id="873809006">
      <w:bodyDiv w:val="1"/>
      <w:marLeft w:val="0"/>
      <w:marRight w:val="0"/>
      <w:marTop w:val="0"/>
      <w:marBottom w:val="0"/>
      <w:divBdr>
        <w:top w:val="none" w:sz="0" w:space="0" w:color="auto"/>
        <w:left w:val="none" w:sz="0" w:space="0" w:color="auto"/>
        <w:bottom w:val="none" w:sz="0" w:space="0" w:color="auto"/>
        <w:right w:val="none" w:sz="0" w:space="0" w:color="auto"/>
      </w:divBdr>
    </w:div>
    <w:div w:id="1017199365">
      <w:bodyDiv w:val="1"/>
      <w:marLeft w:val="0"/>
      <w:marRight w:val="0"/>
      <w:marTop w:val="0"/>
      <w:marBottom w:val="0"/>
      <w:divBdr>
        <w:top w:val="none" w:sz="0" w:space="0" w:color="auto"/>
        <w:left w:val="none" w:sz="0" w:space="0" w:color="auto"/>
        <w:bottom w:val="none" w:sz="0" w:space="0" w:color="auto"/>
        <w:right w:val="none" w:sz="0" w:space="0" w:color="auto"/>
      </w:divBdr>
    </w:div>
    <w:div w:id="1066682964">
      <w:bodyDiv w:val="1"/>
      <w:marLeft w:val="0"/>
      <w:marRight w:val="0"/>
      <w:marTop w:val="0"/>
      <w:marBottom w:val="0"/>
      <w:divBdr>
        <w:top w:val="none" w:sz="0" w:space="0" w:color="auto"/>
        <w:left w:val="none" w:sz="0" w:space="0" w:color="auto"/>
        <w:bottom w:val="none" w:sz="0" w:space="0" w:color="auto"/>
        <w:right w:val="none" w:sz="0" w:space="0" w:color="auto"/>
      </w:divBdr>
    </w:div>
    <w:div w:id="1113281724">
      <w:bodyDiv w:val="1"/>
      <w:marLeft w:val="0"/>
      <w:marRight w:val="0"/>
      <w:marTop w:val="0"/>
      <w:marBottom w:val="0"/>
      <w:divBdr>
        <w:top w:val="none" w:sz="0" w:space="0" w:color="auto"/>
        <w:left w:val="none" w:sz="0" w:space="0" w:color="auto"/>
        <w:bottom w:val="none" w:sz="0" w:space="0" w:color="auto"/>
        <w:right w:val="none" w:sz="0" w:space="0" w:color="auto"/>
      </w:divBdr>
    </w:div>
    <w:div w:id="1143422118">
      <w:bodyDiv w:val="1"/>
      <w:marLeft w:val="0"/>
      <w:marRight w:val="0"/>
      <w:marTop w:val="0"/>
      <w:marBottom w:val="0"/>
      <w:divBdr>
        <w:top w:val="none" w:sz="0" w:space="0" w:color="auto"/>
        <w:left w:val="none" w:sz="0" w:space="0" w:color="auto"/>
        <w:bottom w:val="none" w:sz="0" w:space="0" w:color="auto"/>
        <w:right w:val="none" w:sz="0" w:space="0" w:color="auto"/>
      </w:divBdr>
    </w:div>
    <w:div w:id="1168014124">
      <w:bodyDiv w:val="1"/>
      <w:marLeft w:val="0"/>
      <w:marRight w:val="0"/>
      <w:marTop w:val="0"/>
      <w:marBottom w:val="0"/>
      <w:divBdr>
        <w:top w:val="none" w:sz="0" w:space="0" w:color="auto"/>
        <w:left w:val="none" w:sz="0" w:space="0" w:color="auto"/>
        <w:bottom w:val="none" w:sz="0" w:space="0" w:color="auto"/>
        <w:right w:val="none" w:sz="0" w:space="0" w:color="auto"/>
      </w:divBdr>
    </w:div>
    <w:div w:id="1257593460">
      <w:bodyDiv w:val="1"/>
      <w:marLeft w:val="0"/>
      <w:marRight w:val="0"/>
      <w:marTop w:val="0"/>
      <w:marBottom w:val="0"/>
      <w:divBdr>
        <w:top w:val="none" w:sz="0" w:space="0" w:color="auto"/>
        <w:left w:val="none" w:sz="0" w:space="0" w:color="auto"/>
        <w:bottom w:val="none" w:sz="0" w:space="0" w:color="auto"/>
        <w:right w:val="none" w:sz="0" w:space="0" w:color="auto"/>
      </w:divBdr>
    </w:div>
    <w:div w:id="1261140241">
      <w:bodyDiv w:val="1"/>
      <w:marLeft w:val="0"/>
      <w:marRight w:val="0"/>
      <w:marTop w:val="0"/>
      <w:marBottom w:val="0"/>
      <w:divBdr>
        <w:top w:val="none" w:sz="0" w:space="0" w:color="auto"/>
        <w:left w:val="none" w:sz="0" w:space="0" w:color="auto"/>
        <w:bottom w:val="none" w:sz="0" w:space="0" w:color="auto"/>
        <w:right w:val="none" w:sz="0" w:space="0" w:color="auto"/>
      </w:divBdr>
    </w:div>
    <w:div w:id="1307472568">
      <w:bodyDiv w:val="1"/>
      <w:marLeft w:val="0"/>
      <w:marRight w:val="0"/>
      <w:marTop w:val="0"/>
      <w:marBottom w:val="0"/>
      <w:divBdr>
        <w:top w:val="none" w:sz="0" w:space="0" w:color="auto"/>
        <w:left w:val="none" w:sz="0" w:space="0" w:color="auto"/>
        <w:bottom w:val="none" w:sz="0" w:space="0" w:color="auto"/>
        <w:right w:val="none" w:sz="0" w:space="0" w:color="auto"/>
      </w:divBdr>
    </w:div>
    <w:div w:id="1314067107">
      <w:bodyDiv w:val="1"/>
      <w:marLeft w:val="0"/>
      <w:marRight w:val="0"/>
      <w:marTop w:val="0"/>
      <w:marBottom w:val="0"/>
      <w:divBdr>
        <w:top w:val="none" w:sz="0" w:space="0" w:color="auto"/>
        <w:left w:val="none" w:sz="0" w:space="0" w:color="auto"/>
        <w:bottom w:val="none" w:sz="0" w:space="0" w:color="auto"/>
        <w:right w:val="none" w:sz="0" w:space="0" w:color="auto"/>
      </w:divBdr>
    </w:div>
    <w:div w:id="1330980461">
      <w:bodyDiv w:val="1"/>
      <w:marLeft w:val="0"/>
      <w:marRight w:val="0"/>
      <w:marTop w:val="0"/>
      <w:marBottom w:val="0"/>
      <w:divBdr>
        <w:top w:val="none" w:sz="0" w:space="0" w:color="auto"/>
        <w:left w:val="none" w:sz="0" w:space="0" w:color="auto"/>
        <w:bottom w:val="none" w:sz="0" w:space="0" w:color="auto"/>
        <w:right w:val="none" w:sz="0" w:space="0" w:color="auto"/>
      </w:divBdr>
    </w:div>
    <w:div w:id="1347367012">
      <w:bodyDiv w:val="1"/>
      <w:marLeft w:val="0"/>
      <w:marRight w:val="0"/>
      <w:marTop w:val="0"/>
      <w:marBottom w:val="0"/>
      <w:divBdr>
        <w:top w:val="none" w:sz="0" w:space="0" w:color="auto"/>
        <w:left w:val="none" w:sz="0" w:space="0" w:color="auto"/>
        <w:bottom w:val="none" w:sz="0" w:space="0" w:color="auto"/>
        <w:right w:val="none" w:sz="0" w:space="0" w:color="auto"/>
      </w:divBdr>
    </w:div>
    <w:div w:id="1392001297">
      <w:bodyDiv w:val="1"/>
      <w:marLeft w:val="0"/>
      <w:marRight w:val="0"/>
      <w:marTop w:val="0"/>
      <w:marBottom w:val="0"/>
      <w:divBdr>
        <w:top w:val="none" w:sz="0" w:space="0" w:color="auto"/>
        <w:left w:val="none" w:sz="0" w:space="0" w:color="auto"/>
        <w:bottom w:val="none" w:sz="0" w:space="0" w:color="auto"/>
        <w:right w:val="none" w:sz="0" w:space="0" w:color="auto"/>
      </w:divBdr>
    </w:div>
    <w:div w:id="1538350096">
      <w:bodyDiv w:val="1"/>
      <w:marLeft w:val="0"/>
      <w:marRight w:val="0"/>
      <w:marTop w:val="0"/>
      <w:marBottom w:val="0"/>
      <w:divBdr>
        <w:top w:val="none" w:sz="0" w:space="0" w:color="auto"/>
        <w:left w:val="none" w:sz="0" w:space="0" w:color="auto"/>
        <w:bottom w:val="none" w:sz="0" w:space="0" w:color="auto"/>
        <w:right w:val="none" w:sz="0" w:space="0" w:color="auto"/>
      </w:divBdr>
    </w:div>
    <w:div w:id="1556118029">
      <w:bodyDiv w:val="1"/>
      <w:marLeft w:val="0"/>
      <w:marRight w:val="0"/>
      <w:marTop w:val="0"/>
      <w:marBottom w:val="0"/>
      <w:divBdr>
        <w:top w:val="none" w:sz="0" w:space="0" w:color="auto"/>
        <w:left w:val="none" w:sz="0" w:space="0" w:color="auto"/>
        <w:bottom w:val="none" w:sz="0" w:space="0" w:color="auto"/>
        <w:right w:val="none" w:sz="0" w:space="0" w:color="auto"/>
      </w:divBdr>
    </w:div>
    <w:div w:id="1659380306">
      <w:bodyDiv w:val="1"/>
      <w:marLeft w:val="0"/>
      <w:marRight w:val="0"/>
      <w:marTop w:val="0"/>
      <w:marBottom w:val="0"/>
      <w:divBdr>
        <w:top w:val="none" w:sz="0" w:space="0" w:color="auto"/>
        <w:left w:val="none" w:sz="0" w:space="0" w:color="auto"/>
        <w:bottom w:val="none" w:sz="0" w:space="0" w:color="auto"/>
        <w:right w:val="none" w:sz="0" w:space="0" w:color="auto"/>
      </w:divBdr>
    </w:div>
    <w:div w:id="1664359493">
      <w:bodyDiv w:val="1"/>
      <w:marLeft w:val="0"/>
      <w:marRight w:val="0"/>
      <w:marTop w:val="0"/>
      <w:marBottom w:val="0"/>
      <w:divBdr>
        <w:top w:val="none" w:sz="0" w:space="0" w:color="auto"/>
        <w:left w:val="none" w:sz="0" w:space="0" w:color="auto"/>
        <w:bottom w:val="none" w:sz="0" w:space="0" w:color="auto"/>
        <w:right w:val="none" w:sz="0" w:space="0" w:color="auto"/>
      </w:divBdr>
    </w:div>
    <w:div w:id="1740783437">
      <w:bodyDiv w:val="1"/>
      <w:marLeft w:val="0"/>
      <w:marRight w:val="0"/>
      <w:marTop w:val="0"/>
      <w:marBottom w:val="0"/>
      <w:divBdr>
        <w:top w:val="none" w:sz="0" w:space="0" w:color="auto"/>
        <w:left w:val="none" w:sz="0" w:space="0" w:color="auto"/>
        <w:bottom w:val="none" w:sz="0" w:space="0" w:color="auto"/>
        <w:right w:val="none" w:sz="0" w:space="0" w:color="auto"/>
      </w:divBdr>
    </w:div>
    <w:div w:id="1767917265">
      <w:bodyDiv w:val="1"/>
      <w:marLeft w:val="0"/>
      <w:marRight w:val="0"/>
      <w:marTop w:val="0"/>
      <w:marBottom w:val="0"/>
      <w:divBdr>
        <w:top w:val="none" w:sz="0" w:space="0" w:color="auto"/>
        <w:left w:val="none" w:sz="0" w:space="0" w:color="auto"/>
        <w:bottom w:val="none" w:sz="0" w:space="0" w:color="auto"/>
        <w:right w:val="none" w:sz="0" w:space="0" w:color="auto"/>
      </w:divBdr>
    </w:div>
    <w:div w:id="179663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cion.edomex.gob.mx/sites/legislacion.edomex.gob.mx/files/files/pdf/gct/2016/may045.pdf"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AbrirModal(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cion.edomex.gob.mx/sites/legislacion.edomex.gob.mx/files/files/pdf/gct/2018/ene107.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egislacion.edomex.gob.mx/sites/legislacion.edomex.gob.mx/files/files/pdf/gct/2017/nov105.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egislacion.edomex.gob.mx/sites/legislacion.edomex.gob.mx/files/files/pdf/gct/2017/abr243.pdf"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07BCD-DA8A-473E-9C14-66E795D6A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6211</Words>
  <Characters>34165</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Usuario</cp:lastModifiedBy>
  <cp:revision>3</cp:revision>
  <dcterms:created xsi:type="dcterms:W3CDTF">2023-02-16T07:38:00Z</dcterms:created>
  <dcterms:modified xsi:type="dcterms:W3CDTF">2023-02-16T18:38:00Z</dcterms:modified>
</cp:coreProperties>
</file>