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910C3" w:rsidR="00C853D1" w:rsidP="00884387" w:rsidRDefault="00C853D1" w14:paraId="1DF6BBF6" w14:textId="0C7DA206">
      <w:pPr>
        <w:spacing w:after="0" w:line="360" w:lineRule="auto"/>
        <w:rPr>
          <w:rFonts w:eastAsia="Times New Roman" w:cs="Tahoma"/>
          <w:bCs/>
          <w:color w:val="auto"/>
          <w:lang w:eastAsia="es-ES"/>
        </w:rPr>
      </w:pPr>
      <w:r w:rsidRPr="007910C3">
        <w:rPr>
          <w:rFonts w:eastAsia="Calibri" w:cs="Tahoma"/>
          <w:bCs/>
          <w:color w:val="000000"/>
        </w:rPr>
        <w:t xml:space="preserve">Resolución del Pleno del Instituto de Transparencia, Acceso a la Información Pública y </w:t>
      </w:r>
      <w:r w:rsidRPr="007910C3">
        <w:rPr>
          <w:rFonts w:eastAsia="Times New Roman" w:cs="Tahoma"/>
          <w:bCs/>
          <w:color w:val="auto"/>
          <w:lang w:eastAsia="es-ES"/>
        </w:rPr>
        <w:t xml:space="preserve">Protección de Datos Personales del Estado de México y Municipios, con domicilio en Metepec, Estado de México, de fecha </w:t>
      </w:r>
      <w:r w:rsidRPr="007910C3" w:rsidR="009E0DBA">
        <w:rPr>
          <w:rFonts w:eastAsia="Times New Roman" w:cs="Tahoma"/>
          <w:bCs/>
          <w:color w:val="auto"/>
          <w:lang w:eastAsia="es-ES"/>
        </w:rPr>
        <w:t>quince de febrero de dos mil veintitrés.</w:t>
      </w:r>
      <w:r w:rsidRPr="007910C3">
        <w:rPr>
          <w:rFonts w:eastAsia="Times New Roman" w:cs="Tahoma"/>
          <w:bCs/>
          <w:color w:val="auto"/>
          <w:lang w:eastAsia="es-ES"/>
        </w:rPr>
        <w:t xml:space="preserve"> </w:t>
      </w:r>
    </w:p>
    <w:p w:rsidRPr="007910C3" w:rsidR="00A712FA" w:rsidP="00C853D1" w:rsidRDefault="00A712FA" w14:paraId="2F7D4AB2" w14:textId="77777777">
      <w:pPr>
        <w:spacing w:after="0" w:line="360" w:lineRule="auto"/>
        <w:rPr>
          <w:rFonts w:eastAsia="Times New Roman" w:cs="Tahoma"/>
          <w:b/>
          <w:bCs/>
          <w:color w:val="auto"/>
          <w:lang w:eastAsia="es-ES"/>
        </w:rPr>
      </w:pPr>
    </w:p>
    <w:p w:rsidRPr="007910C3" w:rsidR="00C853D1" w:rsidP="00C853D1" w:rsidRDefault="00C853D1" w14:paraId="1066B8D1" w14:textId="6BF42A83">
      <w:pPr>
        <w:spacing w:after="0" w:line="360" w:lineRule="auto"/>
        <w:rPr>
          <w:rFonts w:eastAsia="Calibri" w:cs="Tahoma"/>
          <w:color w:val="0D0D0D"/>
        </w:rPr>
      </w:pPr>
      <w:r w:rsidRPr="3550A85B" w:rsidR="3550A85B">
        <w:rPr>
          <w:rFonts w:eastAsia="Times New Roman" w:cs="Tahoma"/>
          <w:b w:val="1"/>
          <w:bCs w:val="1"/>
          <w:color w:val="auto"/>
          <w:lang w:eastAsia="es-ES"/>
        </w:rPr>
        <w:t>VISTO</w:t>
      </w:r>
      <w:r w:rsidRPr="3550A85B" w:rsidR="3550A85B">
        <w:rPr>
          <w:rFonts w:eastAsia="Calibri" w:cs="Tahoma"/>
          <w:color w:val="0D0D0D" w:themeColor="text1" w:themeTint="F2" w:themeShade="FF"/>
        </w:rPr>
        <w:t xml:space="preserve"> el expediente conformado con motivo del Recurso de Revisión </w:t>
      </w:r>
      <w:r w:rsidRPr="3550A85B" w:rsidR="3550A85B">
        <w:rPr>
          <w:rFonts w:eastAsia="Calibri" w:cs="Tahoma"/>
          <w:color w:val="000000" w:themeColor="text1" w:themeTint="FF" w:themeShade="FF"/>
        </w:rPr>
        <w:t xml:space="preserve">15506/INFOEM/IP/RR/2022, interpuesto por </w:t>
      </w:r>
      <w:r w:rsidRPr="3550A85B" w:rsidR="3550A85B">
        <w:rPr>
          <w:rFonts w:eastAsia="Calibri" w:cs="Tahoma"/>
          <w:color w:val="000000" w:themeColor="text1" w:themeTint="FF" w:themeShade="FF"/>
          <w:highlight w:val="black"/>
        </w:rPr>
        <w:t>XXXXXXXXXXXXXXXX</w:t>
      </w:r>
      <w:r w:rsidRPr="3550A85B" w:rsidR="3550A85B">
        <w:rPr>
          <w:rFonts w:eastAsia="Calibri" w:cs="Tahoma"/>
          <w:color w:val="000000" w:themeColor="text1" w:themeTint="FF" w:themeShade="FF"/>
        </w:rPr>
        <w:t xml:space="preserve">, en lo sucesivo, el </w:t>
      </w:r>
      <w:r w:rsidRPr="3550A85B" w:rsidR="3550A85B">
        <w:rPr>
          <w:rFonts w:eastAsia="Calibri" w:cs="Tahoma"/>
          <w:color w:val="0D0D0D" w:themeColor="text1" w:themeTint="F2" w:themeShade="FF"/>
        </w:rPr>
        <w:t>Recurrente o Particular, en contra de la respuesta del Sujeto Obligado,</w:t>
      </w:r>
      <w:r w:rsidRPr="3550A85B" w:rsidR="3550A85B">
        <w:rPr>
          <w:rFonts w:eastAsia="Calibri" w:cs="Tahoma"/>
          <w:color w:val="000000" w:themeColor="text1" w:themeTint="FF" w:themeShade="FF"/>
        </w:rPr>
        <w:t xml:space="preserve"> Ayuntamiento de Valle de Chalco Solidaridad, a la solicitud de acceso a la información 00423/VACHASO/IP/2022, se emite la presente Resolución, con base en los Antecedentes y Considerandos que se exponen a continuación:</w:t>
      </w:r>
    </w:p>
    <w:p w:rsidRPr="007910C3" w:rsidR="00C853D1" w:rsidP="00C853D1" w:rsidRDefault="00C853D1" w14:paraId="4FCCF228" w14:textId="77777777">
      <w:pPr>
        <w:spacing w:after="0" w:line="360" w:lineRule="auto"/>
        <w:rPr>
          <w:rFonts w:eastAsia="Calibri" w:cs="Tahoma"/>
          <w:color w:val="000000"/>
        </w:rPr>
      </w:pPr>
    </w:p>
    <w:p w:rsidRPr="007910C3" w:rsidR="00C853D1" w:rsidP="00C853D1" w:rsidRDefault="00C853D1" w14:paraId="0472C645" w14:textId="77777777">
      <w:pPr>
        <w:tabs>
          <w:tab w:val="center" w:pos="4522"/>
          <w:tab w:val="left" w:pos="7245"/>
        </w:tabs>
        <w:spacing w:after="0" w:line="360" w:lineRule="auto"/>
        <w:jc w:val="center"/>
        <w:rPr>
          <w:rFonts w:eastAsia="Calibri" w:cs="Tahoma"/>
          <w:b/>
          <w:color w:val="000000"/>
        </w:rPr>
      </w:pPr>
      <w:r w:rsidRPr="007910C3">
        <w:rPr>
          <w:rFonts w:eastAsia="Calibri" w:cs="Tahoma"/>
          <w:b/>
          <w:color w:val="000000"/>
        </w:rPr>
        <w:t>A N T E C E D E N T E S:</w:t>
      </w:r>
    </w:p>
    <w:p w:rsidRPr="007910C3" w:rsidR="00C853D1" w:rsidP="00C853D1" w:rsidRDefault="00C853D1" w14:paraId="422D0175" w14:textId="77777777">
      <w:pPr>
        <w:spacing w:after="0" w:line="360" w:lineRule="auto"/>
      </w:pPr>
    </w:p>
    <w:p w:rsidRPr="007910C3" w:rsidR="00C853D1" w:rsidP="00C853D1" w:rsidRDefault="00C853D1" w14:paraId="539DCEC7" w14:textId="77777777">
      <w:pPr>
        <w:tabs>
          <w:tab w:val="left" w:pos="567"/>
        </w:tabs>
        <w:spacing w:after="0" w:line="360" w:lineRule="auto"/>
        <w:rPr>
          <w:rFonts w:eastAsia="Times New Roman" w:cs="Tahoma"/>
          <w:b/>
          <w:color w:val="auto"/>
          <w:lang w:eastAsia="es-ES"/>
        </w:rPr>
      </w:pPr>
      <w:r w:rsidRPr="007910C3">
        <w:rPr>
          <w:rFonts w:eastAsia="Times New Roman" w:cs="Tahoma"/>
          <w:b/>
          <w:color w:val="auto"/>
          <w:lang w:eastAsia="es-ES"/>
        </w:rPr>
        <w:t>I. Presentación de la solicitud de información:</w:t>
      </w:r>
    </w:p>
    <w:p w:rsidRPr="007910C3" w:rsidR="00C853D1" w:rsidP="00C853D1" w:rsidRDefault="00C853D1" w14:paraId="681289FF" w14:textId="77777777">
      <w:pPr>
        <w:tabs>
          <w:tab w:val="left" w:pos="567"/>
        </w:tabs>
        <w:spacing w:after="0" w:line="360" w:lineRule="auto"/>
        <w:rPr>
          <w:rFonts w:eastAsia="Times New Roman" w:cs="Tahoma"/>
          <w:color w:val="auto"/>
          <w:lang w:eastAsia="es-ES"/>
        </w:rPr>
      </w:pPr>
    </w:p>
    <w:p w:rsidRPr="007910C3" w:rsidR="00D360D6" w:rsidP="00D360D6" w:rsidRDefault="00D360D6" w14:paraId="14351104" w14:textId="22A0C48B">
      <w:pPr>
        <w:tabs>
          <w:tab w:val="left" w:pos="1050"/>
        </w:tabs>
        <w:spacing w:after="0" w:line="360" w:lineRule="auto"/>
        <w:ind w:right="-28"/>
        <w:rPr>
          <w:rFonts w:eastAsia="Times New Roman" w:cs="Tahoma"/>
          <w:b/>
          <w:bCs/>
          <w:lang w:eastAsia="es-ES"/>
        </w:rPr>
      </w:pPr>
      <w:r w:rsidRPr="007910C3">
        <w:rPr>
          <w:rFonts w:eastAsia="Times New Roman" w:cs="Tahoma"/>
          <w:lang w:eastAsia="es-ES"/>
        </w:rPr>
        <w:t xml:space="preserve">Con fecha </w:t>
      </w:r>
      <w:r w:rsidRPr="007910C3" w:rsidR="00A31564">
        <w:rPr>
          <w:rFonts w:eastAsia="Times New Roman" w:cs="Tahoma"/>
          <w:lang w:eastAsia="es-ES"/>
        </w:rPr>
        <w:t>diecinueve de septiembre</w:t>
      </w:r>
      <w:r w:rsidRPr="007910C3">
        <w:rPr>
          <w:rFonts w:eastAsia="Times New Roman" w:cs="Tahoma"/>
          <w:lang w:eastAsia="es-ES"/>
        </w:rPr>
        <w:t xml:space="preserve"> de dos mil veintidós, el Particular presentó una solicitud de acceso a la información pública, a través del Sistema de Acceso a la Información Mexiquense (SAIMEX), ante el </w:t>
      </w:r>
      <w:r w:rsidRPr="007910C3" w:rsidR="00A31564">
        <w:rPr>
          <w:rFonts w:eastAsia="Calibri" w:cs="Tahoma"/>
        </w:rPr>
        <w:t>Ayuntamiento de Valle de Chalco Solidaridad</w:t>
      </w:r>
      <w:r w:rsidRPr="007910C3">
        <w:rPr>
          <w:rFonts w:eastAsia="Times New Roman" w:cs="Tahoma"/>
          <w:lang w:eastAsia="es-ES"/>
        </w:rPr>
        <w:t xml:space="preserve">, </w:t>
      </w:r>
      <w:r w:rsidRPr="007910C3">
        <w:rPr>
          <w:rFonts w:eastAsia="Times New Roman" w:cs="Tahoma"/>
          <w:b/>
          <w:bCs/>
          <w:lang w:eastAsia="es-ES"/>
        </w:rPr>
        <w:t xml:space="preserve">ya que si bien, se registró el </w:t>
      </w:r>
      <w:r w:rsidRPr="007910C3" w:rsidR="00A31564">
        <w:rPr>
          <w:rFonts w:eastAsia="Times New Roman" w:cs="Tahoma"/>
          <w:b/>
          <w:bCs/>
          <w:lang w:eastAsia="es-ES"/>
        </w:rPr>
        <w:t>dieciséis de septiembre de dos mil veintidós</w:t>
      </w:r>
      <w:r w:rsidRPr="007910C3">
        <w:rPr>
          <w:rFonts w:eastAsia="Times New Roman" w:cs="Tahoma"/>
          <w:b/>
          <w:bCs/>
          <w:lang w:eastAsia="es-ES"/>
        </w:rPr>
        <w:t>,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tuvo por recibida el día hábil subsecuente</w:t>
      </w:r>
      <w:r w:rsidRPr="007910C3">
        <w:rPr>
          <w:rFonts w:eastAsia="Times New Roman" w:cs="Tahoma"/>
          <w:lang w:eastAsia="es-ES"/>
        </w:rPr>
        <w:t>, en los siguientes términos:</w:t>
      </w:r>
    </w:p>
    <w:p w:rsidRPr="007910C3" w:rsidR="00C853D1" w:rsidP="00C853D1" w:rsidRDefault="00C853D1" w14:paraId="32AF4217" w14:textId="77777777">
      <w:pPr>
        <w:spacing w:after="0" w:line="360" w:lineRule="auto"/>
        <w:rPr>
          <w:rFonts w:eastAsia="Calibri" w:cs="Tahoma"/>
        </w:rPr>
      </w:pPr>
    </w:p>
    <w:p w:rsidRPr="007910C3" w:rsidR="00C853D1" w:rsidP="00C853D1" w:rsidRDefault="00C853D1" w14:paraId="08873B8F" w14:textId="77777777">
      <w:pPr>
        <w:tabs>
          <w:tab w:val="left" w:pos="4667"/>
        </w:tabs>
        <w:spacing w:after="0" w:line="360" w:lineRule="auto"/>
        <w:ind w:left="567" w:right="567"/>
        <w:rPr>
          <w:rFonts w:eastAsia="Times New Roman" w:cs="Tahoma"/>
          <w:b/>
          <w:i/>
          <w:iCs/>
          <w:color w:val="auto"/>
          <w:sz w:val="20"/>
          <w:szCs w:val="20"/>
          <w:lang w:eastAsia="es-ES"/>
        </w:rPr>
      </w:pPr>
      <w:r w:rsidRPr="007910C3">
        <w:rPr>
          <w:rFonts w:eastAsia="Times New Roman" w:cs="Tahoma"/>
          <w:b/>
          <w:i/>
          <w:iCs/>
          <w:color w:val="auto"/>
          <w:sz w:val="20"/>
          <w:szCs w:val="20"/>
          <w:lang w:eastAsia="es-ES"/>
        </w:rPr>
        <w:lastRenderedPageBreak/>
        <w:t>“DESCRIPCIÓN CLARA Y PRECISA DE LA INFORMACIÓN SOLICITADA.</w:t>
      </w:r>
    </w:p>
    <w:p w:rsidRPr="007910C3" w:rsidR="00C853D1" w:rsidP="00C853D1" w:rsidRDefault="005918FB" w14:paraId="47049033" w14:textId="3AB62E54">
      <w:pPr>
        <w:tabs>
          <w:tab w:val="left" w:pos="4667"/>
        </w:tabs>
        <w:spacing w:after="0" w:line="360" w:lineRule="auto"/>
        <w:ind w:left="567" w:right="567"/>
        <w:rPr>
          <w:rFonts w:eastAsia="Times New Roman" w:cs="Tahoma"/>
          <w:bCs/>
          <w:i/>
          <w:iCs/>
          <w:color w:val="auto"/>
          <w:sz w:val="20"/>
          <w:szCs w:val="20"/>
          <w:lang w:eastAsia="es-ES"/>
        </w:rPr>
      </w:pPr>
      <w:r w:rsidRPr="007910C3">
        <w:rPr>
          <w:rFonts w:eastAsia="Times New Roman" w:cs="Tahoma"/>
          <w:bCs/>
          <w:i/>
          <w:iCs/>
          <w:color w:val="auto"/>
          <w:sz w:val="20"/>
          <w:szCs w:val="20"/>
          <w:lang w:eastAsia="es-ES"/>
        </w:rPr>
        <w:t>De acuerdo a los artículos 4,7, 9, 11, 12 , 18, 23 frac IV, 24 frac XI, 25, 150, 151 152 y 160 de LEY DE TRANSPARENCIA Y ACCESO A LA INFORMACIÓN PÚBLICA DEL ESTADO DE MÉXICO Y MUNICIPIOS. Se requiere un informe de manera digital firmado por los mencionados en (PDF). Dónde se indique por parte del presidente Armando García Méndez y el contralor; Si hay alguna sanción hacia el titular de transparencia, por permitir que organice fiestas en la unidad administrativa.</w:t>
      </w:r>
      <w:r w:rsidRPr="007910C3" w:rsidR="00C853D1">
        <w:rPr>
          <w:rFonts w:eastAsia="Times New Roman" w:cs="Tahoma"/>
          <w:bCs/>
          <w:i/>
          <w:iCs/>
          <w:color w:val="auto"/>
          <w:sz w:val="20"/>
          <w:szCs w:val="20"/>
          <w:lang w:eastAsia="es-ES"/>
        </w:rPr>
        <w:t xml:space="preserve">” (Sic) </w:t>
      </w:r>
    </w:p>
    <w:p w:rsidRPr="007910C3" w:rsidR="00C853D1" w:rsidP="00C853D1" w:rsidRDefault="00C853D1" w14:paraId="151CD7A9" w14:textId="77777777">
      <w:pPr>
        <w:tabs>
          <w:tab w:val="left" w:pos="4667"/>
        </w:tabs>
        <w:spacing w:after="0" w:line="360" w:lineRule="auto"/>
        <w:ind w:left="567" w:right="567"/>
        <w:rPr>
          <w:rFonts w:eastAsia="Times New Roman" w:cs="Tahoma"/>
          <w:b/>
          <w:bCs/>
          <w:i/>
          <w:iCs/>
          <w:color w:val="auto"/>
          <w:sz w:val="20"/>
          <w:lang w:eastAsia="es-ES"/>
        </w:rPr>
      </w:pPr>
    </w:p>
    <w:p w:rsidRPr="007910C3" w:rsidR="00C853D1" w:rsidP="00C853D1" w:rsidRDefault="00C853D1" w14:paraId="0E8A2DCA" w14:textId="77777777">
      <w:pPr>
        <w:tabs>
          <w:tab w:val="left" w:pos="4667"/>
        </w:tabs>
        <w:spacing w:after="0" w:line="360" w:lineRule="auto"/>
        <w:ind w:left="567" w:right="567"/>
        <w:rPr>
          <w:rFonts w:eastAsia="Times New Roman" w:cs="Tahoma"/>
          <w:b/>
          <w:bCs/>
          <w:i/>
          <w:iCs/>
          <w:color w:val="auto"/>
          <w:sz w:val="20"/>
          <w:lang w:eastAsia="es-ES"/>
        </w:rPr>
      </w:pPr>
      <w:r w:rsidRPr="007910C3">
        <w:rPr>
          <w:rFonts w:eastAsia="Times New Roman" w:cs="Tahoma"/>
          <w:b/>
          <w:bCs/>
          <w:i/>
          <w:iCs/>
          <w:color w:val="auto"/>
          <w:sz w:val="20"/>
          <w:lang w:eastAsia="es-ES"/>
        </w:rPr>
        <w:t>“MODALIDAD DE ENTREGA</w:t>
      </w:r>
    </w:p>
    <w:p w:rsidRPr="007910C3" w:rsidR="00C853D1" w:rsidP="00682222" w:rsidRDefault="00C853D1" w14:paraId="59678C94" w14:textId="1E32CB35">
      <w:pPr>
        <w:spacing w:after="0" w:line="360" w:lineRule="auto"/>
        <w:ind w:left="567" w:right="567"/>
        <w:rPr>
          <w:rFonts w:eastAsia="Times New Roman" w:cs="Arial"/>
          <w:bCs/>
          <w:i/>
          <w:iCs/>
          <w:color w:val="auto"/>
          <w:sz w:val="20"/>
          <w:lang w:eastAsia="es-ES"/>
        </w:rPr>
      </w:pPr>
      <w:r w:rsidRPr="007910C3">
        <w:rPr>
          <w:rFonts w:eastAsia="Times New Roman" w:cs="Arial"/>
          <w:bCs/>
          <w:i/>
          <w:iCs/>
          <w:color w:val="auto"/>
          <w:sz w:val="20"/>
          <w:lang w:eastAsia="es-ES"/>
        </w:rPr>
        <w:t>A través del SAIMEX”</w:t>
      </w:r>
    </w:p>
    <w:p w:rsidRPr="007910C3" w:rsidR="00682222" w:rsidP="00682222" w:rsidRDefault="00682222" w14:paraId="1DAA8380" w14:textId="77777777">
      <w:pPr>
        <w:spacing w:after="0" w:line="360" w:lineRule="auto"/>
        <w:ind w:left="567" w:right="567"/>
        <w:rPr>
          <w:rFonts w:eastAsia="Times New Roman" w:cs="Arial"/>
          <w:bCs/>
          <w:i/>
          <w:iCs/>
          <w:color w:val="auto"/>
          <w:sz w:val="20"/>
          <w:lang w:eastAsia="es-ES"/>
        </w:rPr>
      </w:pPr>
    </w:p>
    <w:p w:rsidRPr="007910C3" w:rsidR="00C853D1" w:rsidP="00C853D1" w:rsidRDefault="00C853D1" w14:paraId="7488ED31" w14:textId="77777777">
      <w:pPr>
        <w:autoSpaceDE w:val="0"/>
        <w:autoSpaceDN w:val="0"/>
        <w:adjustRightInd w:val="0"/>
        <w:spacing w:after="0" w:line="360" w:lineRule="auto"/>
        <w:rPr>
          <w:b/>
          <w:bCs/>
        </w:rPr>
      </w:pPr>
      <w:r w:rsidRPr="007910C3">
        <w:rPr>
          <w:rFonts w:cs="Tahoma"/>
          <w:b/>
        </w:rPr>
        <w:t>II.</w:t>
      </w:r>
      <w:r w:rsidRPr="007910C3">
        <w:rPr>
          <w:b/>
          <w:bCs/>
        </w:rPr>
        <w:t xml:space="preserve"> Respuesta del Sujeto Obligado. </w:t>
      </w:r>
    </w:p>
    <w:p w:rsidRPr="007910C3" w:rsidR="00C853D1" w:rsidP="00C853D1" w:rsidRDefault="00C853D1" w14:paraId="4400726D" w14:textId="77777777">
      <w:pPr>
        <w:spacing w:after="0" w:line="360" w:lineRule="auto"/>
      </w:pPr>
    </w:p>
    <w:p w:rsidRPr="007910C3" w:rsidR="00FD695B" w:rsidP="00C853D1" w:rsidRDefault="00C853D1" w14:paraId="0668F2A6" w14:textId="44A1C0E2">
      <w:pPr>
        <w:spacing w:after="0" w:line="360" w:lineRule="auto"/>
      </w:pPr>
      <w:r w:rsidRPr="007910C3">
        <w:t xml:space="preserve">Con </w:t>
      </w:r>
      <w:r w:rsidRPr="007910C3" w:rsidR="005918FB">
        <w:t xml:space="preserve">fecha diez de octubre de dos mil veintidós, </w:t>
      </w:r>
      <w:r w:rsidRPr="007910C3" w:rsidR="00FD695B">
        <w:t xml:space="preserve">el Sujeto Obligado </w:t>
      </w:r>
      <w:r w:rsidRPr="007910C3" w:rsidR="00252EF3">
        <w:t>notificó, a través del Sistema de Acceso a la Información Mexiquense (SAIMEX), la respuesta a la solicitud</w:t>
      </w:r>
      <w:r w:rsidRPr="007910C3" w:rsidR="006441E1">
        <w:t xml:space="preserve"> de acceso a la información pública</w:t>
      </w:r>
      <w:r w:rsidRPr="007910C3" w:rsidR="00252EF3">
        <w:t xml:space="preserve">, mediante </w:t>
      </w:r>
      <w:r w:rsidRPr="007910C3" w:rsidR="00E30E7E">
        <w:t>el oficio</w:t>
      </w:r>
      <w:r w:rsidRPr="007910C3" w:rsidR="00FD695B">
        <w:t xml:space="preserve"> número </w:t>
      </w:r>
      <w:r w:rsidRPr="007910C3" w:rsidR="00FF2541">
        <w:t xml:space="preserve">VCHS/PM/2187/2022, </w:t>
      </w:r>
      <w:r w:rsidRPr="007910C3" w:rsidR="003B0A84">
        <w:t>d</w:t>
      </w:r>
      <w:r w:rsidRPr="007910C3" w:rsidR="00FF2541">
        <w:t xml:space="preserve">el siete de octubre de dos mil </w:t>
      </w:r>
      <w:r w:rsidRPr="007910C3" w:rsidR="00684210">
        <w:t>veintidós</w:t>
      </w:r>
      <w:r w:rsidRPr="007910C3" w:rsidR="00FF2541">
        <w:t>,</w:t>
      </w:r>
      <w:r w:rsidRPr="007910C3" w:rsidR="00CA664F">
        <w:t xml:space="preserve"> emitido y rubricado por el Presidente Municipal</w:t>
      </w:r>
      <w:r w:rsidRPr="007910C3" w:rsidR="00A329DF">
        <w:t xml:space="preserve">, a través del cual manifiesta y expone: </w:t>
      </w:r>
    </w:p>
    <w:p w:rsidRPr="007910C3" w:rsidR="00FD695B" w:rsidP="00C853D1" w:rsidRDefault="00FD695B" w14:paraId="1C7F75A9" w14:textId="77777777">
      <w:pPr>
        <w:spacing w:after="0" w:line="360" w:lineRule="auto"/>
      </w:pPr>
    </w:p>
    <w:p w:rsidRPr="007910C3" w:rsidR="00FD695B" w:rsidP="001E375F" w:rsidRDefault="00A329DF" w14:paraId="60E363DC" w14:textId="620B9814">
      <w:pPr>
        <w:spacing w:after="0" w:line="360" w:lineRule="auto"/>
        <w:ind w:left="567" w:right="567"/>
        <w:rPr>
          <w:i/>
          <w:iCs/>
          <w:sz w:val="20"/>
          <w:szCs w:val="20"/>
        </w:rPr>
      </w:pPr>
      <w:r w:rsidRPr="007910C3">
        <w:rPr>
          <w:i/>
          <w:iCs/>
          <w:sz w:val="20"/>
          <w:szCs w:val="20"/>
        </w:rPr>
        <w:t>“…</w:t>
      </w:r>
    </w:p>
    <w:p w:rsidRPr="007910C3" w:rsidR="001E375F" w:rsidP="001E375F" w:rsidRDefault="00515F2C" w14:paraId="6BE30D24" w14:textId="7D66242A">
      <w:pPr>
        <w:spacing w:after="0" w:line="360" w:lineRule="auto"/>
        <w:ind w:left="567" w:right="567"/>
        <w:rPr>
          <w:i/>
          <w:iCs/>
          <w:sz w:val="20"/>
          <w:szCs w:val="20"/>
        </w:rPr>
      </w:pPr>
      <w:r w:rsidRPr="007910C3">
        <w:rPr>
          <w:i/>
          <w:iCs/>
          <w:sz w:val="20"/>
          <w:szCs w:val="20"/>
        </w:rPr>
        <w:t xml:space="preserve">A lo que he de informarle a usted que en los archivos que se encuentran en estas oficinas de presidencia no se tiene registro de ninguna amonestación o sanción en contra del C. Titular de la Unidad </w:t>
      </w:r>
      <w:r w:rsidRPr="007910C3" w:rsidR="00EB3268">
        <w:rPr>
          <w:i/>
          <w:iCs/>
          <w:sz w:val="20"/>
          <w:szCs w:val="20"/>
        </w:rPr>
        <w:t xml:space="preserve">de Transparencia de este H. Ayuntamiento, el </w:t>
      </w:r>
      <w:r w:rsidRPr="007910C3" w:rsidR="001E375F">
        <w:rPr>
          <w:i/>
          <w:iCs/>
          <w:sz w:val="20"/>
          <w:szCs w:val="20"/>
        </w:rPr>
        <w:t>M. en D. Valentín García Ramírez</w:t>
      </w:r>
    </w:p>
    <w:p w:rsidRPr="007910C3" w:rsidR="001E375F" w:rsidP="001E375F" w:rsidRDefault="001E375F" w14:paraId="064B7797" w14:textId="6B24811B">
      <w:pPr>
        <w:spacing w:after="0" w:line="360" w:lineRule="auto"/>
        <w:ind w:left="567" w:right="567"/>
        <w:rPr>
          <w:i/>
          <w:iCs/>
          <w:sz w:val="20"/>
          <w:szCs w:val="20"/>
        </w:rPr>
      </w:pPr>
      <w:r w:rsidRPr="007910C3">
        <w:rPr>
          <w:i/>
          <w:iCs/>
          <w:sz w:val="20"/>
          <w:szCs w:val="20"/>
        </w:rPr>
        <w:t xml:space="preserve">…” (Sic) </w:t>
      </w:r>
    </w:p>
    <w:p w:rsidRPr="007910C3" w:rsidR="00FD695B" w:rsidP="00C853D1" w:rsidRDefault="00FD695B" w14:paraId="17BC8F48" w14:textId="77777777">
      <w:pPr>
        <w:spacing w:after="0" w:line="360" w:lineRule="auto"/>
      </w:pPr>
    </w:p>
    <w:p w:rsidRPr="007910C3" w:rsidR="00C853D1" w:rsidP="00C853D1" w:rsidRDefault="00C853D1" w14:paraId="2B803E22" w14:textId="77777777">
      <w:pPr>
        <w:spacing w:after="0" w:line="360" w:lineRule="auto"/>
        <w:rPr>
          <w:b/>
        </w:rPr>
      </w:pPr>
      <w:r w:rsidRPr="007910C3">
        <w:rPr>
          <w:b/>
        </w:rPr>
        <w:t xml:space="preserve">III. Interposición del Recurso de Revisión. </w:t>
      </w:r>
    </w:p>
    <w:p w:rsidRPr="007910C3" w:rsidR="00C33C5C" w:rsidP="00C33C5C" w:rsidRDefault="00C33C5C" w14:paraId="4A3FC09D" w14:textId="77777777">
      <w:pPr>
        <w:spacing w:after="0" w:line="360" w:lineRule="auto"/>
      </w:pPr>
    </w:p>
    <w:p w:rsidRPr="007910C3" w:rsidR="00C853D1" w:rsidP="00C853D1" w:rsidRDefault="00C853D1" w14:paraId="2F891DAB" w14:textId="1B44F747">
      <w:pPr>
        <w:spacing w:after="0" w:line="360" w:lineRule="auto"/>
      </w:pPr>
      <w:r w:rsidRPr="007910C3">
        <w:lastRenderedPageBreak/>
        <w:t>Con fecha</w:t>
      </w:r>
      <w:r w:rsidRPr="007910C3" w:rsidR="002C630B">
        <w:t xml:space="preserve"> once de octubre de dos mil </w:t>
      </w:r>
      <w:r w:rsidRPr="007910C3" w:rsidR="00AF6EFA">
        <w:t>veintidós</w:t>
      </w:r>
      <w:r w:rsidRPr="007910C3" w:rsidR="002C630B">
        <w:t xml:space="preserve">, </w:t>
      </w:r>
      <w:r w:rsidRPr="007910C3">
        <w:t>se recibió en este Instituto, a través del Sistema de Acceso</w:t>
      </w:r>
      <w:r w:rsidRPr="007910C3">
        <w:rPr>
          <w:bCs/>
          <w:lang w:val="es-ES"/>
        </w:rPr>
        <w:t xml:space="preserve"> a la Información Mexiquense (SAIMEX)</w:t>
      </w:r>
      <w:r w:rsidRPr="007910C3">
        <w:rPr>
          <w:bCs/>
        </w:rPr>
        <w:t>, Recurso de Revisión interpuesto por la parte Recurrente, en contra de la respuesta por el Sujeto Obligado, a la solicitud de información, en los siguientes términos:</w:t>
      </w:r>
    </w:p>
    <w:p w:rsidRPr="007910C3" w:rsidR="00C853D1" w:rsidP="00C853D1" w:rsidRDefault="00C853D1" w14:paraId="3A43EC2F" w14:textId="77777777">
      <w:pPr>
        <w:spacing w:after="0" w:line="360" w:lineRule="auto"/>
        <w:rPr>
          <w:bCs/>
        </w:rPr>
      </w:pPr>
    </w:p>
    <w:p w:rsidRPr="007910C3" w:rsidR="00C853D1" w:rsidP="00C853D1" w:rsidRDefault="00C853D1" w14:paraId="5AC8905A" w14:textId="77777777">
      <w:pPr>
        <w:spacing w:after="0" w:line="360" w:lineRule="auto"/>
        <w:ind w:left="567" w:right="567"/>
        <w:rPr>
          <w:bCs/>
          <w:i/>
          <w:sz w:val="20"/>
          <w:szCs w:val="20"/>
        </w:rPr>
      </w:pPr>
      <w:r w:rsidRPr="007910C3">
        <w:rPr>
          <w:b/>
          <w:bCs/>
          <w:i/>
          <w:sz w:val="20"/>
          <w:szCs w:val="20"/>
        </w:rPr>
        <w:t>“ACTO IMPUGNADO</w:t>
      </w:r>
    </w:p>
    <w:p w:rsidRPr="007910C3" w:rsidR="00C853D1" w:rsidP="00C853D1" w:rsidRDefault="000B5A80" w14:paraId="5B56BF42" w14:textId="1D04A7E1">
      <w:pPr>
        <w:spacing w:after="0" w:line="360" w:lineRule="auto"/>
        <w:ind w:left="567" w:right="567"/>
        <w:rPr>
          <w:i/>
          <w:sz w:val="20"/>
          <w:szCs w:val="20"/>
        </w:rPr>
      </w:pPr>
      <w:r w:rsidRPr="007910C3">
        <w:rPr>
          <w:i/>
          <w:sz w:val="20"/>
          <w:szCs w:val="20"/>
        </w:rPr>
        <w:t>Se niegan a entregar la información</w:t>
      </w:r>
      <w:r w:rsidRPr="007910C3" w:rsidR="00C853D1">
        <w:rPr>
          <w:i/>
          <w:sz w:val="20"/>
          <w:szCs w:val="20"/>
        </w:rPr>
        <w:t>.” (Sic.)</w:t>
      </w:r>
    </w:p>
    <w:p w:rsidRPr="007910C3" w:rsidR="00C853D1" w:rsidP="00C853D1" w:rsidRDefault="00C853D1" w14:paraId="29F43CC4" w14:textId="77777777">
      <w:pPr>
        <w:spacing w:after="0" w:line="360" w:lineRule="auto"/>
        <w:ind w:left="567" w:right="567"/>
        <w:rPr>
          <w:i/>
          <w:sz w:val="20"/>
          <w:szCs w:val="20"/>
        </w:rPr>
      </w:pPr>
    </w:p>
    <w:p w:rsidRPr="007910C3" w:rsidR="00C853D1" w:rsidP="00C853D1" w:rsidRDefault="00C853D1" w14:paraId="19CBF35D" w14:textId="77777777">
      <w:pPr>
        <w:spacing w:after="0" w:line="360" w:lineRule="auto"/>
        <w:ind w:left="567" w:right="567"/>
        <w:rPr>
          <w:b/>
          <w:i/>
          <w:sz w:val="20"/>
          <w:szCs w:val="20"/>
        </w:rPr>
      </w:pPr>
      <w:r w:rsidRPr="007910C3">
        <w:rPr>
          <w:b/>
          <w:i/>
          <w:sz w:val="20"/>
          <w:szCs w:val="20"/>
        </w:rPr>
        <w:t>“RAZONES O MOTIVOS DE LA INCONFORMIDAD</w:t>
      </w:r>
    </w:p>
    <w:p w:rsidRPr="007910C3" w:rsidR="00C853D1" w:rsidP="00C853D1" w:rsidRDefault="000B5A80" w14:paraId="4043E730" w14:textId="079E368B">
      <w:pPr>
        <w:spacing w:after="0" w:line="360" w:lineRule="auto"/>
        <w:ind w:left="567" w:right="567"/>
        <w:rPr>
          <w:i/>
          <w:sz w:val="20"/>
          <w:szCs w:val="20"/>
        </w:rPr>
      </w:pPr>
      <w:r w:rsidRPr="007910C3">
        <w:rPr>
          <w:i/>
          <w:sz w:val="20"/>
          <w:szCs w:val="20"/>
        </w:rPr>
        <w:t>Se niegan a entregar la información</w:t>
      </w:r>
      <w:r w:rsidRPr="007910C3" w:rsidR="00827B0C">
        <w:rPr>
          <w:i/>
          <w:sz w:val="20"/>
          <w:szCs w:val="20"/>
        </w:rPr>
        <w:t>.</w:t>
      </w:r>
      <w:r w:rsidRPr="007910C3" w:rsidR="00C853D1">
        <w:rPr>
          <w:i/>
          <w:sz w:val="20"/>
          <w:szCs w:val="20"/>
        </w:rPr>
        <w:t>” (Sic.)</w:t>
      </w:r>
    </w:p>
    <w:p w:rsidRPr="007910C3" w:rsidR="00682222" w:rsidP="00C853D1" w:rsidRDefault="00682222" w14:paraId="08852F84" w14:textId="77777777">
      <w:pPr>
        <w:spacing w:after="0" w:line="360" w:lineRule="auto"/>
      </w:pPr>
    </w:p>
    <w:p w:rsidRPr="007910C3" w:rsidR="00C853D1" w:rsidP="00C853D1" w:rsidRDefault="00C853D1" w14:paraId="5CD0FCF6" w14:textId="77777777">
      <w:pPr>
        <w:spacing w:after="0" w:line="360" w:lineRule="auto"/>
        <w:rPr>
          <w:b/>
          <w:bCs/>
        </w:rPr>
      </w:pPr>
      <w:r w:rsidRPr="007910C3">
        <w:rPr>
          <w:b/>
        </w:rPr>
        <w:t xml:space="preserve">IV. </w:t>
      </w:r>
      <w:r w:rsidRPr="007910C3">
        <w:rPr>
          <w:b/>
          <w:bCs/>
        </w:rPr>
        <w:t xml:space="preserve">Trámite del </w:t>
      </w:r>
      <w:r w:rsidRPr="007910C3">
        <w:rPr>
          <w:b/>
        </w:rPr>
        <w:t xml:space="preserve">Recurso de Revisión </w:t>
      </w:r>
      <w:r w:rsidRPr="007910C3">
        <w:rPr>
          <w:b/>
          <w:bCs/>
        </w:rPr>
        <w:t>ante este Instituto.</w:t>
      </w:r>
    </w:p>
    <w:p w:rsidRPr="007910C3" w:rsidR="00C853D1" w:rsidP="00C853D1" w:rsidRDefault="00C853D1" w14:paraId="58854E98" w14:textId="77777777">
      <w:pPr>
        <w:spacing w:after="0" w:line="360" w:lineRule="auto"/>
        <w:rPr>
          <w:b/>
          <w:bCs/>
        </w:rPr>
      </w:pPr>
    </w:p>
    <w:p w:rsidRPr="007910C3" w:rsidR="00C853D1" w:rsidP="00C853D1" w:rsidRDefault="00C853D1" w14:paraId="0D250646" w14:textId="0E12CB46">
      <w:pPr>
        <w:spacing w:after="0" w:line="360" w:lineRule="auto"/>
        <w:rPr>
          <w:b/>
          <w:bCs/>
        </w:rPr>
      </w:pPr>
      <w:r w:rsidRPr="007910C3">
        <w:rPr>
          <w:b/>
          <w:bCs/>
        </w:rPr>
        <w:t xml:space="preserve">a) Turno del Medio de Impugnación. </w:t>
      </w:r>
      <w:r w:rsidRPr="007910C3">
        <w:rPr>
          <w:bCs/>
        </w:rPr>
        <w:t xml:space="preserve">El </w:t>
      </w:r>
      <w:r w:rsidRPr="007910C3" w:rsidR="0095072F">
        <w:rPr>
          <w:bCs/>
        </w:rPr>
        <w:t>once de octubre de dos mil veintidós</w:t>
      </w:r>
      <w:r w:rsidRPr="007910C3">
        <w:rPr>
          <w:bCs/>
        </w:rPr>
        <w:t xml:space="preserve">, el </w:t>
      </w:r>
      <w:r w:rsidRPr="007910C3">
        <w:rPr>
          <w:lang w:val="es-ES"/>
        </w:rPr>
        <w:t>Sistema de Acceso a la Información Mexiquense (SAIMEX),</w:t>
      </w:r>
      <w:r w:rsidRPr="007910C3">
        <w:rPr>
          <w:bCs/>
        </w:rPr>
        <w:t xml:space="preserve"> asignó el número de expediente </w:t>
      </w:r>
      <w:r w:rsidRPr="007910C3" w:rsidR="00C526B8">
        <w:rPr>
          <w:b/>
          <w:bCs/>
        </w:rPr>
        <w:t>15506/INFOEM/IP/RR/2022</w:t>
      </w:r>
      <w:r w:rsidRPr="007910C3">
        <w:rPr>
          <w:bC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7910C3" w:rsidR="00C853D1" w:rsidP="00C853D1" w:rsidRDefault="00C853D1" w14:paraId="606E51DE" w14:textId="77777777">
      <w:pPr>
        <w:spacing w:after="0" w:line="360" w:lineRule="auto"/>
        <w:rPr>
          <w:bCs/>
        </w:rPr>
      </w:pPr>
    </w:p>
    <w:p w:rsidRPr="007910C3" w:rsidR="00C853D1" w:rsidP="00C853D1" w:rsidRDefault="00C853D1" w14:paraId="03479276" w14:textId="297BEAE8">
      <w:pPr>
        <w:spacing w:after="0" w:line="360" w:lineRule="auto"/>
      </w:pPr>
      <w:r w:rsidRPr="007910C3">
        <w:rPr>
          <w:b/>
          <w:bCs/>
        </w:rPr>
        <w:t>b) Admisión del Recurso de Revisión</w:t>
      </w:r>
      <w:r w:rsidRPr="007910C3">
        <w:rPr>
          <w:b/>
          <w:bCs/>
          <w:lang w:val="es-ES_tradnl"/>
        </w:rPr>
        <w:t xml:space="preserve">. </w:t>
      </w:r>
      <w:r w:rsidRPr="007910C3">
        <w:rPr>
          <w:bCs/>
          <w:lang w:val="es-ES_tradnl"/>
        </w:rPr>
        <w:t xml:space="preserve">El </w:t>
      </w:r>
      <w:r w:rsidRPr="007910C3" w:rsidR="00BE10CF">
        <w:rPr>
          <w:bCs/>
          <w:lang w:val="es-ES_tradnl"/>
        </w:rPr>
        <w:t>catorce de octubre de dos mil veintidós</w:t>
      </w:r>
      <w:r w:rsidRPr="007910C3">
        <w:rPr>
          <w:bCs/>
          <w:lang w:val="es-ES_tradnl"/>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Pr="007910C3" w:rsidR="000556A2" w:rsidP="00C853D1" w:rsidRDefault="00C853D1" w14:paraId="6BAF3AEC" w14:textId="76B0BD1A">
      <w:pPr>
        <w:spacing w:after="0" w:line="360" w:lineRule="auto"/>
        <w:rPr>
          <w:lang w:val="es-ES"/>
        </w:rPr>
      </w:pPr>
      <w:r w:rsidRPr="007910C3">
        <w:rPr>
          <w:b/>
        </w:rPr>
        <w:lastRenderedPageBreak/>
        <w:t xml:space="preserve">c) Informe Justificado. </w:t>
      </w:r>
      <w:r w:rsidRPr="007910C3" w:rsidR="006507ED">
        <w:rPr>
          <w:bCs/>
        </w:rPr>
        <w:t>El</w:t>
      </w:r>
      <w:r w:rsidRPr="007910C3" w:rsidR="009B19EA">
        <w:rPr>
          <w:bCs/>
        </w:rPr>
        <w:t xml:space="preserve"> veinticuatro de octubre de dos mil veintidós</w:t>
      </w:r>
      <w:r w:rsidRPr="007910C3" w:rsidR="00E8346C">
        <w:rPr>
          <w:bCs/>
        </w:rPr>
        <w:t>, el Sujeto Obligado rindió su Informe Justificado</w:t>
      </w:r>
      <w:r w:rsidRPr="007910C3" w:rsidR="003D5757">
        <w:rPr>
          <w:bCs/>
        </w:rPr>
        <w:t xml:space="preserve"> mediante </w:t>
      </w:r>
      <w:r w:rsidRPr="007910C3" w:rsidR="000556A2">
        <w:rPr>
          <w:bCs/>
        </w:rPr>
        <w:t xml:space="preserve">el </w:t>
      </w:r>
      <w:r w:rsidRPr="007910C3" w:rsidR="000556A2">
        <w:rPr>
          <w:lang w:val="es-ES"/>
        </w:rPr>
        <w:t>Sistema de Acceso a la Información Mexiquense (SAIMEX)</w:t>
      </w:r>
      <w:r w:rsidRPr="007910C3" w:rsidR="003D5757">
        <w:rPr>
          <w:lang w:val="es-ES"/>
        </w:rPr>
        <w:t xml:space="preserve">, a través de los documentos que se enlistan a continuación: </w:t>
      </w:r>
    </w:p>
    <w:p w:rsidRPr="007910C3" w:rsidR="003D5757" w:rsidP="00C853D1" w:rsidRDefault="003D5757" w14:paraId="617EE5FF" w14:textId="77777777">
      <w:pPr>
        <w:spacing w:after="0" w:line="360" w:lineRule="auto"/>
        <w:rPr>
          <w:lang w:val="es-ES"/>
        </w:rPr>
      </w:pPr>
    </w:p>
    <w:p w:rsidRPr="007910C3" w:rsidR="003D5757" w:rsidP="00C853D1" w:rsidRDefault="003753DD" w14:paraId="276B5ABF" w14:textId="1ADF9D35">
      <w:pPr>
        <w:spacing w:after="0" w:line="360" w:lineRule="auto"/>
        <w:rPr>
          <w:bCs/>
        </w:rPr>
      </w:pPr>
      <w:r w:rsidRPr="007910C3">
        <w:rPr>
          <w:bCs/>
        </w:rPr>
        <w:t xml:space="preserve">i) </w:t>
      </w:r>
      <w:r w:rsidRPr="007910C3" w:rsidR="00FD1578">
        <w:rPr>
          <w:bCs/>
        </w:rPr>
        <w:t>Oficio número</w:t>
      </w:r>
      <w:r w:rsidRPr="007910C3" w:rsidR="003B0A84">
        <w:rPr>
          <w:bCs/>
        </w:rPr>
        <w:t xml:space="preserve"> </w:t>
      </w:r>
      <w:r w:rsidRPr="007910C3" w:rsidR="00FD1578">
        <w:rPr>
          <w:bCs/>
        </w:rPr>
        <w:t>UT/</w:t>
      </w:r>
      <w:r w:rsidRPr="007910C3" w:rsidR="00FC142C">
        <w:rPr>
          <w:bCs/>
        </w:rPr>
        <w:t xml:space="preserve">VCHS/1237/2022, </w:t>
      </w:r>
      <w:r w:rsidRPr="007910C3" w:rsidR="003B0A84">
        <w:rPr>
          <w:bCs/>
        </w:rPr>
        <w:t>del</w:t>
      </w:r>
      <w:r w:rsidRPr="007910C3" w:rsidR="00FC142C">
        <w:rPr>
          <w:bCs/>
        </w:rPr>
        <w:t xml:space="preserve"> </w:t>
      </w:r>
      <w:r w:rsidRPr="007910C3" w:rsidR="004945C7">
        <w:rPr>
          <w:bCs/>
        </w:rPr>
        <w:t xml:space="preserve">dieciocho de octubre de dos mil veintidós, rubricado pro el Titular de la Unidad de Transparencia y dirigido al Encargado de </w:t>
      </w:r>
      <w:r w:rsidRPr="007910C3" w:rsidR="00DC33FF">
        <w:rPr>
          <w:bCs/>
        </w:rPr>
        <w:t>Despacho</w:t>
      </w:r>
      <w:r w:rsidRPr="007910C3" w:rsidR="004945C7">
        <w:rPr>
          <w:bCs/>
        </w:rPr>
        <w:t xml:space="preserve"> de la Presidencia Municipal, en los siguientes términos:</w:t>
      </w:r>
    </w:p>
    <w:p w:rsidRPr="007910C3" w:rsidR="004945C7" w:rsidP="00C853D1" w:rsidRDefault="004945C7" w14:paraId="38B1C9DC" w14:textId="77777777">
      <w:pPr>
        <w:spacing w:after="0" w:line="360" w:lineRule="auto"/>
        <w:rPr>
          <w:bCs/>
        </w:rPr>
      </w:pPr>
    </w:p>
    <w:p w:rsidRPr="007910C3" w:rsidR="004945C7" w:rsidP="00022A0A" w:rsidRDefault="004945C7" w14:paraId="01F95DBA" w14:textId="0E6EFEE0">
      <w:pPr>
        <w:spacing w:after="0" w:line="360" w:lineRule="auto"/>
        <w:ind w:left="567" w:right="567"/>
        <w:rPr>
          <w:bCs/>
          <w:i/>
          <w:iCs/>
          <w:sz w:val="20"/>
          <w:szCs w:val="20"/>
        </w:rPr>
      </w:pPr>
      <w:r w:rsidRPr="007910C3">
        <w:rPr>
          <w:bCs/>
          <w:i/>
          <w:iCs/>
          <w:sz w:val="20"/>
          <w:szCs w:val="20"/>
        </w:rPr>
        <w:t>“…</w:t>
      </w:r>
    </w:p>
    <w:p w:rsidRPr="007910C3" w:rsidR="004945C7" w:rsidP="00022A0A" w:rsidRDefault="00DC33FF" w14:paraId="2371B6D8" w14:textId="188CBE38">
      <w:pPr>
        <w:spacing w:after="0" w:line="360" w:lineRule="auto"/>
        <w:ind w:left="567" w:right="567"/>
        <w:rPr>
          <w:bCs/>
          <w:i/>
          <w:iCs/>
          <w:sz w:val="20"/>
          <w:szCs w:val="20"/>
        </w:rPr>
      </w:pPr>
      <w:r w:rsidRPr="007910C3">
        <w:rPr>
          <w:bCs/>
          <w:i/>
          <w:iCs/>
          <w:sz w:val="20"/>
          <w:szCs w:val="20"/>
        </w:rPr>
        <w:t xml:space="preserve">Con fundamento en el artículo 185, fracción II, IV de la Ley antes citada se le solicita remita su informe justificado a esta Unidad en un </w:t>
      </w:r>
      <w:r w:rsidRPr="007910C3" w:rsidR="00022A0A">
        <w:rPr>
          <w:bCs/>
          <w:i/>
          <w:iCs/>
          <w:sz w:val="20"/>
          <w:szCs w:val="20"/>
        </w:rPr>
        <w:t>termino de cuatro días hábiles contados a partir de la recepción de la presente</w:t>
      </w:r>
    </w:p>
    <w:p w:rsidRPr="007910C3" w:rsidR="00022A0A" w:rsidP="00022A0A" w:rsidRDefault="00022A0A" w14:paraId="0476EDEC" w14:textId="0337BCDB">
      <w:pPr>
        <w:spacing w:after="0" w:line="360" w:lineRule="auto"/>
        <w:ind w:left="567" w:right="567"/>
        <w:rPr>
          <w:bCs/>
          <w:i/>
          <w:iCs/>
          <w:sz w:val="20"/>
          <w:szCs w:val="20"/>
        </w:rPr>
      </w:pPr>
      <w:r w:rsidRPr="007910C3">
        <w:rPr>
          <w:bCs/>
          <w:i/>
          <w:iCs/>
          <w:sz w:val="20"/>
          <w:szCs w:val="20"/>
        </w:rPr>
        <w:t>…” (Sic)</w:t>
      </w:r>
    </w:p>
    <w:p w:rsidRPr="007910C3" w:rsidR="004945C7" w:rsidP="00C853D1" w:rsidRDefault="004945C7" w14:paraId="05CC6429" w14:textId="77777777">
      <w:pPr>
        <w:spacing w:after="0" w:line="360" w:lineRule="auto"/>
        <w:rPr>
          <w:bCs/>
        </w:rPr>
      </w:pPr>
    </w:p>
    <w:p w:rsidRPr="007910C3" w:rsidR="004945C7" w:rsidP="00C853D1" w:rsidRDefault="00F01225" w14:paraId="4DF8972C" w14:textId="0F9EB59A">
      <w:pPr>
        <w:spacing w:after="0" w:line="360" w:lineRule="auto"/>
        <w:rPr>
          <w:bCs/>
        </w:rPr>
      </w:pPr>
      <w:proofErr w:type="spellStart"/>
      <w:r w:rsidRPr="007910C3">
        <w:rPr>
          <w:bCs/>
        </w:rPr>
        <w:t>ii</w:t>
      </w:r>
      <w:proofErr w:type="spellEnd"/>
      <w:r w:rsidRPr="007910C3">
        <w:rPr>
          <w:bCs/>
        </w:rPr>
        <w:t>) Oficio número UT/VCHS/1236</w:t>
      </w:r>
      <w:r w:rsidRPr="007910C3" w:rsidR="00696A69">
        <w:rPr>
          <w:bCs/>
        </w:rPr>
        <w:t xml:space="preserve">/2022, suscrito por el Titular de la Unidad de Transparencia y es dirigido al Contralor Interno del Ayuntamiento, de cuyo contenido destaca lo siguiente: </w:t>
      </w:r>
    </w:p>
    <w:p w:rsidRPr="007910C3" w:rsidR="00696A69" w:rsidP="00C853D1" w:rsidRDefault="00696A69" w14:paraId="7B7591BF" w14:textId="31D620B1">
      <w:pPr>
        <w:spacing w:after="0" w:line="360" w:lineRule="auto"/>
        <w:rPr>
          <w:bCs/>
        </w:rPr>
      </w:pPr>
    </w:p>
    <w:p w:rsidRPr="007910C3" w:rsidR="00696A69" w:rsidP="00696A69" w:rsidRDefault="00696A69" w14:paraId="50AA18A9" w14:textId="77777777">
      <w:pPr>
        <w:spacing w:after="0" w:line="360" w:lineRule="auto"/>
        <w:ind w:left="567" w:right="567"/>
        <w:rPr>
          <w:bCs/>
          <w:i/>
          <w:iCs/>
          <w:sz w:val="20"/>
          <w:szCs w:val="20"/>
        </w:rPr>
      </w:pPr>
      <w:r w:rsidRPr="007910C3">
        <w:rPr>
          <w:bCs/>
          <w:i/>
          <w:iCs/>
          <w:sz w:val="20"/>
          <w:szCs w:val="20"/>
        </w:rPr>
        <w:t>“…</w:t>
      </w:r>
    </w:p>
    <w:p w:rsidRPr="007910C3" w:rsidR="00696A69" w:rsidP="00696A69" w:rsidRDefault="00696A69" w14:paraId="2880DA39" w14:textId="47CE523F">
      <w:pPr>
        <w:spacing w:after="0" w:line="360" w:lineRule="auto"/>
        <w:ind w:left="567" w:right="567"/>
        <w:rPr>
          <w:bCs/>
          <w:i/>
          <w:iCs/>
          <w:sz w:val="20"/>
          <w:szCs w:val="20"/>
        </w:rPr>
      </w:pPr>
      <w:r w:rsidRPr="007910C3">
        <w:rPr>
          <w:bCs/>
          <w:i/>
          <w:iCs/>
          <w:sz w:val="20"/>
          <w:szCs w:val="20"/>
        </w:rPr>
        <w:t xml:space="preserve">Con fundamento en el artículo 185, fracción II, IV de la Ley antes citada se le solicita remita su informe justificado a esta Unidad en un </w:t>
      </w:r>
      <w:r w:rsidRPr="007910C3" w:rsidR="00DB5DED">
        <w:rPr>
          <w:bCs/>
          <w:i/>
          <w:iCs/>
          <w:sz w:val="20"/>
          <w:szCs w:val="20"/>
        </w:rPr>
        <w:t>término</w:t>
      </w:r>
      <w:r w:rsidRPr="007910C3">
        <w:rPr>
          <w:bCs/>
          <w:i/>
          <w:iCs/>
          <w:sz w:val="20"/>
          <w:szCs w:val="20"/>
        </w:rPr>
        <w:t xml:space="preserve"> de cuatro días hábiles contados a partir de la recepción de la presente</w:t>
      </w:r>
    </w:p>
    <w:p w:rsidRPr="007910C3" w:rsidR="00696A69" w:rsidP="00696A69" w:rsidRDefault="00696A69" w14:paraId="7240737A" w14:textId="77777777">
      <w:pPr>
        <w:spacing w:after="0" w:line="360" w:lineRule="auto"/>
        <w:ind w:left="567" w:right="567"/>
        <w:rPr>
          <w:bCs/>
          <w:i/>
          <w:iCs/>
          <w:sz w:val="20"/>
          <w:szCs w:val="20"/>
        </w:rPr>
      </w:pPr>
      <w:r w:rsidRPr="007910C3">
        <w:rPr>
          <w:bCs/>
          <w:i/>
          <w:iCs/>
          <w:sz w:val="20"/>
          <w:szCs w:val="20"/>
        </w:rPr>
        <w:t>…” (Sic)</w:t>
      </w:r>
    </w:p>
    <w:p w:rsidRPr="007910C3" w:rsidR="00696A69" w:rsidP="00C853D1" w:rsidRDefault="00696A69" w14:paraId="019BD50A" w14:textId="77777777">
      <w:pPr>
        <w:spacing w:after="0" w:line="360" w:lineRule="auto"/>
        <w:rPr>
          <w:bCs/>
        </w:rPr>
      </w:pPr>
    </w:p>
    <w:p w:rsidRPr="007910C3" w:rsidR="004945C7" w:rsidP="00C853D1" w:rsidRDefault="00D76BD7" w14:paraId="3DCE5F43" w14:textId="6B6E9D8A">
      <w:pPr>
        <w:spacing w:after="0" w:line="360" w:lineRule="auto"/>
      </w:pPr>
      <w:r w:rsidRPr="007910C3">
        <w:rPr>
          <w:bCs/>
        </w:rPr>
        <w:t xml:space="preserve">iii) </w:t>
      </w:r>
      <w:r w:rsidRPr="007910C3" w:rsidR="00353D56">
        <w:rPr>
          <w:bCs/>
        </w:rPr>
        <w:t>Oficio número</w:t>
      </w:r>
      <w:r w:rsidRPr="007910C3" w:rsidR="003B0A84">
        <w:rPr>
          <w:bCs/>
        </w:rPr>
        <w:t xml:space="preserve"> </w:t>
      </w:r>
      <w:r w:rsidRPr="007910C3" w:rsidR="00353D56">
        <w:rPr>
          <w:bCs/>
        </w:rPr>
        <w:t xml:space="preserve">VCHS/CM/DIR/OF/01200/2022, </w:t>
      </w:r>
      <w:r w:rsidRPr="007910C3" w:rsidR="00694AA7">
        <w:rPr>
          <w:bCs/>
        </w:rPr>
        <w:t xml:space="preserve">emitido y rubricado por el </w:t>
      </w:r>
      <w:r w:rsidRPr="007910C3" w:rsidR="008042FD">
        <w:rPr>
          <w:bCs/>
        </w:rPr>
        <w:t xml:space="preserve">Contralor Municipal de </w:t>
      </w:r>
      <w:r w:rsidRPr="007910C3" w:rsidR="008042FD">
        <w:t>Valle de Chalco Solidaridad</w:t>
      </w:r>
      <w:r w:rsidRPr="007910C3" w:rsidR="00E025F5">
        <w:t xml:space="preserve">, mediante el cual manifiesta y expone: </w:t>
      </w:r>
    </w:p>
    <w:p w:rsidRPr="007910C3" w:rsidR="00E025F5" w:rsidP="00C853D1" w:rsidRDefault="00E025F5" w14:paraId="58273310" w14:textId="0D9EB71D">
      <w:pPr>
        <w:spacing w:after="0" w:line="360" w:lineRule="auto"/>
      </w:pPr>
    </w:p>
    <w:p w:rsidRPr="007910C3" w:rsidR="003B0A84" w:rsidP="00C853D1" w:rsidRDefault="003B0A84" w14:paraId="1CE3904E" w14:textId="6123BFB9">
      <w:pPr>
        <w:spacing w:after="0" w:line="360" w:lineRule="auto"/>
      </w:pPr>
    </w:p>
    <w:p w:rsidRPr="007910C3" w:rsidR="003B0A84" w:rsidP="00C853D1" w:rsidRDefault="003B0A84" w14:paraId="337F0FAC" w14:textId="77777777">
      <w:pPr>
        <w:spacing w:after="0" w:line="360" w:lineRule="auto"/>
      </w:pPr>
    </w:p>
    <w:p w:rsidRPr="007910C3" w:rsidR="00E025F5" w:rsidP="001223E4" w:rsidRDefault="00E025F5" w14:paraId="6AD33FAB" w14:textId="68249B50">
      <w:pPr>
        <w:spacing w:after="0" w:line="360" w:lineRule="auto"/>
        <w:ind w:left="567" w:right="567"/>
        <w:rPr>
          <w:i/>
          <w:iCs/>
          <w:sz w:val="20"/>
          <w:szCs w:val="20"/>
        </w:rPr>
      </w:pPr>
      <w:r w:rsidRPr="007910C3">
        <w:rPr>
          <w:i/>
          <w:iCs/>
          <w:sz w:val="20"/>
          <w:szCs w:val="20"/>
        </w:rPr>
        <w:lastRenderedPageBreak/>
        <w:t>“…</w:t>
      </w:r>
    </w:p>
    <w:p w:rsidRPr="007910C3" w:rsidR="00A33B56" w:rsidP="001223E4" w:rsidRDefault="004603C6" w14:paraId="48AF50EE" w14:textId="0CDDA000">
      <w:pPr>
        <w:spacing w:after="0" w:line="360" w:lineRule="auto"/>
        <w:ind w:left="567" w:right="567"/>
        <w:rPr>
          <w:i/>
          <w:iCs/>
          <w:sz w:val="20"/>
          <w:szCs w:val="20"/>
        </w:rPr>
      </w:pPr>
      <w:r w:rsidRPr="007910C3">
        <w:rPr>
          <w:i/>
          <w:iCs/>
          <w:sz w:val="20"/>
          <w:szCs w:val="20"/>
        </w:rPr>
        <w:t>Me per</w:t>
      </w:r>
      <w:r w:rsidRPr="007910C3" w:rsidR="004D4E43">
        <w:rPr>
          <w:i/>
          <w:iCs/>
          <w:sz w:val="20"/>
          <w:szCs w:val="20"/>
        </w:rPr>
        <w:t xml:space="preserve">mito hacer de conocimiento a usted que, después de realizar una amplia, detallada </w:t>
      </w:r>
      <w:r w:rsidRPr="007910C3" w:rsidR="00DB607E">
        <w:rPr>
          <w:i/>
          <w:iCs/>
          <w:sz w:val="20"/>
          <w:szCs w:val="20"/>
        </w:rPr>
        <w:t>y minuciosa búsqueda dentro de los archivos con los que cuenta esta autoridad administrativa a mi cargo, se advierte que no ha sido generada la información requerida por el solicitante</w:t>
      </w:r>
      <w:r w:rsidRPr="007910C3" w:rsidR="009F2E9D">
        <w:rPr>
          <w:i/>
          <w:iCs/>
          <w:sz w:val="20"/>
          <w:szCs w:val="20"/>
        </w:rPr>
        <w:t>. Sin otro particular por el momento, quedo de usted para cualquier duda o aclaración</w:t>
      </w:r>
    </w:p>
    <w:p w:rsidRPr="007910C3" w:rsidR="001223E4" w:rsidP="001223E4" w:rsidRDefault="001223E4" w14:paraId="6B7EF4D5" w14:textId="7EEF34E7">
      <w:pPr>
        <w:spacing w:after="0" w:line="360" w:lineRule="auto"/>
        <w:ind w:left="567" w:right="567"/>
        <w:rPr>
          <w:i/>
          <w:iCs/>
          <w:sz w:val="20"/>
          <w:szCs w:val="20"/>
        </w:rPr>
      </w:pPr>
      <w:r w:rsidRPr="007910C3">
        <w:rPr>
          <w:i/>
          <w:iCs/>
          <w:sz w:val="20"/>
          <w:szCs w:val="20"/>
        </w:rPr>
        <w:t xml:space="preserve">…” (Sic) </w:t>
      </w:r>
    </w:p>
    <w:p w:rsidRPr="007910C3" w:rsidR="009F2E9D" w:rsidP="00C853D1" w:rsidRDefault="009F2E9D" w14:paraId="16EC6924" w14:textId="77777777">
      <w:pPr>
        <w:spacing w:after="0" w:line="360" w:lineRule="auto"/>
      </w:pPr>
    </w:p>
    <w:p w:rsidRPr="007910C3" w:rsidR="009F2E9D" w:rsidP="00C853D1" w:rsidRDefault="00C7421E" w14:paraId="7F6E2D81" w14:textId="475BF01E">
      <w:pPr>
        <w:spacing w:after="0" w:line="360" w:lineRule="auto"/>
      </w:pPr>
      <w:r w:rsidRPr="007910C3">
        <w:t xml:space="preserve">iv) </w:t>
      </w:r>
      <w:r w:rsidRPr="007910C3" w:rsidR="00A14489">
        <w:t xml:space="preserve">Oficio número VCHS/PM/2326/2022, </w:t>
      </w:r>
      <w:r w:rsidRPr="007910C3" w:rsidR="003B0A84">
        <w:t>del</w:t>
      </w:r>
      <w:r w:rsidRPr="007910C3" w:rsidR="00716B6F">
        <w:t xml:space="preserve"> </w:t>
      </w:r>
      <w:r w:rsidRPr="007910C3" w:rsidR="004A29F8">
        <w:t xml:space="preserve">veinticuatro de octubre de dos mil veintidós, suscrito por el Secretario Particular de Presidencia, el cual es dirigido al Titular de la Unidad de Transparencia en los siguientes términos: </w:t>
      </w:r>
    </w:p>
    <w:p w:rsidRPr="007910C3" w:rsidR="004A29F8" w:rsidP="00C853D1" w:rsidRDefault="004A29F8" w14:paraId="53A7AF66" w14:textId="77777777">
      <w:pPr>
        <w:spacing w:after="0" w:line="360" w:lineRule="auto"/>
      </w:pPr>
    </w:p>
    <w:p w:rsidRPr="007910C3" w:rsidR="004A29F8" w:rsidP="00425471" w:rsidRDefault="004A29F8" w14:paraId="312E973F" w14:textId="7E44AD81">
      <w:pPr>
        <w:spacing w:after="0" w:line="360" w:lineRule="auto"/>
        <w:ind w:left="567" w:right="567"/>
        <w:rPr>
          <w:i/>
          <w:iCs/>
          <w:sz w:val="20"/>
          <w:szCs w:val="20"/>
        </w:rPr>
      </w:pPr>
      <w:r w:rsidRPr="007910C3">
        <w:rPr>
          <w:i/>
          <w:iCs/>
          <w:sz w:val="20"/>
          <w:szCs w:val="20"/>
        </w:rPr>
        <w:t>“…</w:t>
      </w:r>
    </w:p>
    <w:p w:rsidRPr="007910C3" w:rsidR="00597C05" w:rsidP="00425471" w:rsidRDefault="001C5255" w14:paraId="771527CF" w14:textId="77777777">
      <w:pPr>
        <w:spacing w:after="0" w:line="360" w:lineRule="auto"/>
        <w:ind w:left="567" w:right="567"/>
        <w:rPr>
          <w:bCs/>
          <w:i/>
          <w:iCs/>
          <w:sz w:val="20"/>
          <w:szCs w:val="20"/>
          <w:lang w:val="es-ES_tradnl"/>
        </w:rPr>
      </w:pPr>
      <w:r w:rsidRPr="007910C3">
        <w:rPr>
          <w:i/>
          <w:iCs/>
          <w:sz w:val="20"/>
          <w:szCs w:val="20"/>
        </w:rPr>
        <w:t xml:space="preserve">Por medio del presente ocurso </w:t>
      </w:r>
      <w:r w:rsidRPr="007910C3" w:rsidR="00AD37B1">
        <w:rPr>
          <w:i/>
          <w:iCs/>
          <w:sz w:val="20"/>
          <w:szCs w:val="20"/>
        </w:rPr>
        <w:t>reciba un cordial saludo, al mismo tiempo en atención a su oficio número: UT</w:t>
      </w:r>
      <w:r w:rsidRPr="007910C3" w:rsidR="00F20FD7">
        <w:rPr>
          <w:i/>
          <w:iCs/>
          <w:sz w:val="20"/>
          <w:szCs w:val="20"/>
        </w:rPr>
        <w:t xml:space="preserve">/VCHS/1237/2022, de fecha dieciocho de octubre de dos mil veintidós, y por medio del cual la solicitud </w:t>
      </w:r>
      <w:r w:rsidRPr="007910C3" w:rsidR="006F3AE7">
        <w:rPr>
          <w:i/>
          <w:iCs/>
          <w:sz w:val="20"/>
          <w:szCs w:val="20"/>
        </w:rPr>
        <w:t>se remita informe justificado respecto del Recurso de Revisión 15506/INFOEM/IP/RR/2022</w:t>
      </w:r>
      <w:r w:rsidRPr="007910C3" w:rsidR="0034390F">
        <w:rPr>
          <w:i/>
          <w:iCs/>
          <w:sz w:val="20"/>
          <w:szCs w:val="20"/>
        </w:rPr>
        <w:t xml:space="preserve">, respecto de la solicitud número </w:t>
      </w:r>
      <w:r w:rsidRPr="007910C3" w:rsidR="009F67A8">
        <w:rPr>
          <w:rFonts w:eastAsia="Calibri" w:cs="Tahoma"/>
          <w:i/>
          <w:iCs/>
          <w:color w:val="000000"/>
          <w:sz w:val="20"/>
          <w:szCs w:val="20"/>
        </w:rPr>
        <w:t xml:space="preserve">00423/VACHASO/IP/2022 realizada </w:t>
      </w:r>
      <w:r w:rsidRPr="007910C3" w:rsidR="00474752">
        <w:rPr>
          <w:rFonts w:eastAsia="Calibri" w:cs="Tahoma"/>
          <w:i/>
          <w:iCs/>
          <w:color w:val="000000"/>
          <w:sz w:val="20"/>
          <w:szCs w:val="20"/>
        </w:rPr>
        <w:t xml:space="preserve">mediante </w:t>
      </w:r>
      <w:r w:rsidRPr="007910C3" w:rsidR="000B145B">
        <w:rPr>
          <w:rFonts w:eastAsia="Calibri" w:cs="Tahoma"/>
          <w:i/>
          <w:iCs/>
          <w:color w:val="000000"/>
          <w:sz w:val="20"/>
          <w:szCs w:val="20"/>
        </w:rPr>
        <w:t>la plataforma de SAIMEX (</w:t>
      </w:r>
      <w:r w:rsidRPr="007910C3" w:rsidR="000B145B">
        <w:rPr>
          <w:bCs/>
          <w:i/>
          <w:iCs/>
          <w:sz w:val="20"/>
          <w:szCs w:val="20"/>
          <w:lang w:val="es-ES_tradnl"/>
        </w:rPr>
        <w:t xml:space="preserve">Sistema de Acceso a la Información Mexiquense) y por medio de la cual solicitan: </w:t>
      </w:r>
    </w:p>
    <w:p w:rsidRPr="007910C3" w:rsidR="00597C05" w:rsidP="00425471" w:rsidRDefault="00597C05" w14:paraId="37DD20FF" w14:textId="77777777">
      <w:pPr>
        <w:spacing w:after="0" w:line="360" w:lineRule="auto"/>
        <w:ind w:left="567" w:right="567"/>
        <w:rPr>
          <w:bCs/>
          <w:i/>
          <w:iCs/>
          <w:sz w:val="20"/>
          <w:szCs w:val="20"/>
          <w:lang w:val="es-ES_tradnl"/>
        </w:rPr>
      </w:pPr>
    </w:p>
    <w:p w:rsidRPr="007910C3" w:rsidR="004A29F8" w:rsidP="00425471" w:rsidRDefault="00846BA7" w14:paraId="2E89A30F" w14:textId="01A52731">
      <w:pPr>
        <w:spacing w:after="0" w:line="360" w:lineRule="auto"/>
        <w:ind w:left="567" w:right="567"/>
        <w:rPr>
          <w:i/>
          <w:iCs/>
          <w:sz w:val="20"/>
          <w:szCs w:val="20"/>
        </w:rPr>
      </w:pPr>
      <w:r w:rsidRPr="007910C3">
        <w:rPr>
          <w:bCs/>
          <w:i/>
          <w:iCs/>
          <w:sz w:val="20"/>
          <w:szCs w:val="20"/>
        </w:rPr>
        <w:t>Si hay alguna sanción hacia el titular de transparencia, por permitir que organice fiestas en la unidad administrativa</w:t>
      </w:r>
    </w:p>
    <w:p w:rsidRPr="007910C3" w:rsidR="009F2E9D" w:rsidP="00425471" w:rsidRDefault="009F2E9D" w14:paraId="3C121DE2" w14:textId="77777777">
      <w:pPr>
        <w:spacing w:after="0" w:line="360" w:lineRule="auto"/>
        <w:ind w:left="567" w:right="567"/>
        <w:rPr>
          <w:i/>
          <w:iCs/>
          <w:sz w:val="20"/>
          <w:szCs w:val="20"/>
        </w:rPr>
      </w:pPr>
    </w:p>
    <w:p w:rsidRPr="007910C3" w:rsidR="00E025F5" w:rsidP="00425471" w:rsidRDefault="00597C05" w14:paraId="166D3AD4" w14:textId="132DB693">
      <w:pPr>
        <w:spacing w:after="0" w:line="360" w:lineRule="auto"/>
        <w:ind w:left="567" w:right="567"/>
        <w:rPr>
          <w:bCs/>
          <w:i/>
          <w:iCs/>
          <w:sz w:val="20"/>
          <w:szCs w:val="20"/>
        </w:rPr>
      </w:pPr>
      <w:r w:rsidRPr="007910C3">
        <w:rPr>
          <w:bCs/>
          <w:i/>
          <w:iCs/>
          <w:sz w:val="20"/>
          <w:szCs w:val="20"/>
        </w:rPr>
        <w:t>A la cual me permito anexar en copia del oficio número: VCHS/PM</w:t>
      </w:r>
      <w:r w:rsidRPr="007910C3" w:rsidR="009009E3">
        <w:rPr>
          <w:bCs/>
          <w:i/>
          <w:iCs/>
          <w:sz w:val="20"/>
          <w:szCs w:val="20"/>
        </w:rPr>
        <w:t>/2187/2022 y por medio del cual se atendiera en su momento dicha solicitud</w:t>
      </w:r>
    </w:p>
    <w:p w:rsidRPr="007910C3" w:rsidR="009009E3" w:rsidP="00425471" w:rsidRDefault="009009E3" w14:paraId="3A1F5994" w14:textId="3F8AE9B6">
      <w:pPr>
        <w:spacing w:after="0" w:line="360" w:lineRule="auto"/>
        <w:ind w:left="567" w:right="567"/>
        <w:rPr>
          <w:bCs/>
          <w:i/>
          <w:iCs/>
          <w:sz w:val="20"/>
          <w:szCs w:val="20"/>
        </w:rPr>
      </w:pPr>
      <w:r w:rsidRPr="007910C3">
        <w:rPr>
          <w:bCs/>
          <w:i/>
          <w:iCs/>
          <w:sz w:val="20"/>
          <w:szCs w:val="20"/>
        </w:rPr>
        <w:t xml:space="preserve">…” (Sic) </w:t>
      </w:r>
    </w:p>
    <w:p w:rsidRPr="007910C3" w:rsidR="004945C7" w:rsidP="00C853D1" w:rsidRDefault="004945C7" w14:paraId="1D343834" w14:textId="77777777">
      <w:pPr>
        <w:spacing w:after="0" w:line="360" w:lineRule="auto"/>
        <w:rPr>
          <w:bCs/>
        </w:rPr>
      </w:pPr>
    </w:p>
    <w:p w:rsidRPr="007910C3" w:rsidR="00425471" w:rsidP="00425471" w:rsidRDefault="00425471" w14:paraId="4F09BD4B" w14:textId="22CBBF90">
      <w:pPr>
        <w:spacing w:after="0" w:line="360" w:lineRule="auto"/>
        <w:rPr>
          <w:bCs/>
        </w:rPr>
      </w:pPr>
      <w:r w:rsidRPr="007910C3">
        <w:rPr>
          <w:bCs/>
        </w:rPr>
        <w:lastRenderedPageBreak/>
        <w:t xml:space="preserve">v) Oficio número VCHS/PM/2187/2022, </w:t>
      </w:r>
      <w:r w:rsidRPr="007910C3" w:rsidR="003B0A84">
        <w:rPr>
          <w:bCs/>
        </w:rPr>
        <w:t>de</w:t>
      </w:r>
      <w:r w:rsidRPr="007910C3">
        <w:rPr>
          <w:bCs/>
        </w:rPr>
        <w:t xml:space="preserve">l siete de octubre de dos mil veintidós, emitido y rubricado por el Presidente Municipal Constitucional de Valle de Chalco Solidaridad, a través del cual manifiesta y expone: </w:t>
      </w:r>
    </w:p>
    <w:p w:rsidRPr="007910C3" w:rsidR="00425471" w:rsidP="00425471" w:rsidRDefault="00425471" w14:paraId="43AFD690" w14:textId="77777777">
      <w:pPr>
        <w:spacing w:after="0" w:line="360" w:lineRule="auto"/>
        <w:rPr>
          <w:bCs/>
        </w:rPr>
      </w:pPr>
    </w:p>
    <w:p w:rsidRPr="007910C3" w:rsidR="00425471" w:rsidP="00425471" w:rsidRDefault="00425471" w14:paraId="4BC736DE" w14:textId="77777777">
      <w:pPr>
        <w:spacing w:after="0" w:line="360" w:lineRule="auto"/>
        <w:ind w:left="567" w:right="567"/>
        <w:rPr>
          <w:bCs/>
          <w:i/>
          <w:iCs/>
          <w:sz w:val="20"/>
          <w:szCs w:val="20"/>
        </w:rPr>
      </w:pPr>
      <w:r w:rsidRPr="007910C3">
        <w:rPr>
          <w:bCs/>
          <w:i/>
          <w:iCs/>
          <w:sz w:val="20"/>
          <w:szCs w:val="20"/>
        </w:rPr>
        <w:t>“…</w:t>
      </w:r>
    </w:p>
    <w:p w:rsidRPr="007910C3" w:rsidR="00425471" w:rsidP="00425471" w:rsidRDefault="00425471" w14:paraId="3490B359" w14:textId="77777777">
      <w:pPr>
        <w:spacing w:after="0" w:line="360" w:lineRule="auto"/>
        <w:ind w:left="567" w:right="567"/>
        <w:rPr>
          <w:bCs/>
          <w:i/>
          <w:iCs/>
          <w:sz w:val="20"/>
          <w:szCs w:val="20"/>
        </w:rPr>
      </w:pPr>
      <w:r w:rsidRPr="007910C3">
        <w:rPr>
          <w:bCs/>
          <w:i/>
          <w:iCs/>
          <w:sz w:val="20"/>
          <w:szCs w:val="20"/>
        </w:rPr>
        <w:t>A lo que he de informarle a usted que en los archivos que se encuentran en estas oficinas de presidencia no se tiene registro de ninguna amonestación o sanción en contra del C. Titular de la Unidad de Transparencia de este H. Ayuntamiento, el M. en D. Valentín García Ramírez</w:t>
      </w:r>
    </w:p>
    <w:p w:rsidRPr="007910C3" w:rsidR="00425471" w:rsidP="00425471" w:rsidRDefault="00425471" w14:paraId="2E3D28DC" w14:textId="77777777">
      <w:pPr>
        <w:spacing w:after="0" w:line="360" w:lineRule="auto"/>
        <w:ind w:left="567" w:right="567"/>
        <w:rPr>
          <w:bCs/>
          <w:i/>
          <w:iCs/>
          <w:sz w:val="20"/>
          <w:szCs w:val="20"/>
        </w:rPr>
      </w:pPr>
      <w:r w:rsidRPr="007910C3">
        <w:rPr>
          <w:bCs/>
          <w:i/>
          <w:iCs/>
          <w:sz w:val="20"/>
          <w:szCs w:val="20"/>
        </w:rPr>
        <w:t xml:space="preserve">…” (Sic) </w:t>
      </w:r>
    </w:p>
    <w:p w:rsidRPr="007910C3" w:rsidR="00272886" w:rsidP="00B561F9" w:rsidRDefault="00272886" w14:paraId="4FA336C8" w14:textId="77777777">
      <w:pPr>
        <w:spacing w:after="0" w:line="360" w:lineRule="auto"/>
      </w:pPr>
    </w:p>
    <w:p w:rsidRPr="007910C3" w:rsidR="008F69B6" w:rsidP="008F69B6" w:rsidRDefault="008F69B6" w14:paraId="632E5FA0" w14:textId="1983FA1F">
      <w:pPr>
        <w:spacing w:after="0" w:line="360" w:lineRule="auto"/>
        <w:rPr>
          <w:rFonts w:eastAsia="Palatino Linotype" w:cs="Palatino Linotype"/>
          <w:lang w:val="es-ES"/>
        </w:rPr>
      </w:pPr>
      <w:r w:rsidRPr="007910C3">
        <w:rPr>
          <w:rFonts w:eastAsia="Palatino Linotype" w:cs="Palatino Linotype"/>
          <w:b/>
          <w:bCs/>
          <w:lang w:val="es-ES"/>
        </w:rPr>
        <w:t xml:space="preserve">d) Ampliación de plazo para resolver. </w:t>
      </w:r>
      <w:r w:rsidRPr="007910C3">
        <w:rPr>
          <w:rFonts w:eastAsia="Palatino Linotype" w:cs="Palatino Linotype"/>
          <w:lang w:val="es-ES"/>
        </w:rPr>
        <w:t xml:space="preserve">El </w:t>
      </w:r>
      <w:r w:rsidRPr="007910C3" w:rsidR="00475206">
        <w:rPr>
          <w:rFonts w:eastAsia="Palatino Linotype" w:cs="Palatino Linotype"/>
          <w:lang w:val="es-ES"/>
        </w:rPr>
        <w:t>veintinueve de noviembre de dos mil veintidós</w:t>
      </w:r>
      <w:r w:rsidRPr="007910C3">
        <w:rPr>
          <w:rFonts w:eastAsia="Palatino Linotype" w:cs="Palatino Linotype"/>
          <w:lang w:val="es-ES"/>
        </w:rPr>
        <w:t xml:space="preserve">, </w:t>
      </w:r>
      <w:r w:rsidRPr="007910C3">
        <w:rPr>
          <w:rFonts w:eastAsia="Palatino Linotype" w:cs="Palatino Linotype"/>
          <w:color w:val="auto"/>
          <w:lang w:val="es-ES" w:eastAsia="es-MX"/>
        </w:rPr>
        <w:t>el Comisionado Ponente, con fundamento en lo dispuesto por el artículo 181, párrafo tercero, de la Ley de Transparencia y Acceso a la Información Pública del Estado de México y Municipios, acordó ampliar por un periodo de quince días hábiles, el plazo para resolver el Recurso de Revisión que nos ocupa; acto que fue notificado a las partes, mediante el Sistema de Acceso a la Información Mexiquense (SAIMEX).</w:t>
      </w:r>
    </w:p>
    <w:p w:rsidRPr="007910C3" w:rsidR="008F69B6" w:rsidP="008F69B6" w:rsidRDefault="008F69B6" w14:paraId="0517753D" w14:textId="77777777">
      <w:pPr>
        <w:spacing w:after="0" w:line="360" w:lineRule="auto"/>
        <w:rPr>
          <w:rFonts w:eastAsia="Palatino Linotype" w:cs="Palatino Linotype"/>
          <w:b/>
          <w:bCs/>
          <w:color w:val="auto"/>
          <w:lang w:eastAsia="es-MX"/>
        </w:rPr>
      </w:pPr>
    </w:p>
    <w:p w:rsidRPr="007910C3" w:rsidR="008F69B6" w:rsidP="008F69B6" w:rsidRDefault="008F69B6" w14:paraId="6FF95F27"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Pr="007910C3" w:rsidR="008F69B6" w:rsidP="008F69B6" w:rsidRDefault="008F69B6" w14:paraId="4CC44BA3" w14:textId="77777777">
      <w:pPr>
        <w:spacing w:after="0" w:line="360" w:lineRule="auto"/>
        <w:rPr>
          <w:rFonts w:eastAsia="Palatino Linotype" w:cs="Palatino Linotype"/>
          <w:color w:val="auto"/>
          <w:lang w:eastAsia="es-MX"/>
        </w:rPr>
      </w:pPr>
    </w:p>
    <w:p w:rsidRPr="007910C3" w:rsidR="008F69B6" w:rsidP="008F69B6" w:rsidRDefault="008F69B6" w14:paraId="2196786B"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 xml:space="preserve">Por ello, es menester precisar que, si bien se ha excedido el plazo para resolver el presente medio de impugnación, de conformidad con la ley de la materia, el plazo para emitir resolución se encuentra justificado en los elementos para medir su razonabilidad de asuntos conforme a </w:t>
      </w:r>
      <w:r w:rsidRPr="007910C3">
        <w:rPr>
          <w:rFonts w:eastAsia="Palatino Linotype" w:cs="Palatino Linotype"/>
          <w:color w:val="auto"/>
          <w:lang w:eastAsia="es-MX"/>
        </w:rPr>
        <w:lastRenderedPageBreak/>
        <w:t>los parámetros establecidos por diversos órganos jurisdiccionales federales, aplicables también en procedimientos análogos, como el que nos ocupa.</w:t>
      </w:r>
    </w:p>
    <w:p w:rsidRPr="007910C3" w:rsidR="008F69B6" w:rsidP="008F69B6" w:rsidRDefault="008F69B6" w14:paraId="2496704C" w14:textId="77777777">
      <w:pPr>
        <w:spacing w:after="0" w:line="360" w:lineRule="auto"/>
        <w:rPr>
          <w:rFonts w:eastAsia="Palatino Linotype" w:cs="Palatino Linotype"/>
          <w:color w:val="auto"/>
          <w:lang w:eastAsia="es-MX"/>
        </w:rPr>
      </w:pPr>
    </w:p>
    <w:p w:rsidRPr="007910C3" w:rsidR="008F69B6" w:rsidP="008F69B6" w:rsidRDefault="008F69B6" w14:paraId="3A5EDBC4"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Pr="007910C3" w:rsidR="008F69B6" w:rsidP="008F69B6" w:rsidRDefault="008F69B6" w14:paraId="6421C4F8" w14:textId="77777777">
      <w:pPr>
        <w:spacing w:after="0" w:line="360" w:lineRule="auto"/>
        <w:rPr>
          <w:rFonts w:eastAsia="Palatino Linotype" w:cs="Palatino Linotype"/>
          <w:color w:val="auto"/>
          <w:lang w:eastAsia="es-MX"/>
        </w:rPr>
      </w:pPr>
    </w:p>
    <w:p w:rsidRPr="007910C3" w:rsidR="008F69B6" w:rsidP="008F69B6" w:rsidRDefault="008F69B6" w14:paraId="7E8E44F8"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Pr="007910C3" w:rsidR="008F69B6" w:rsidP="008F69B6" w:rsidRDefault="008F69B6" w14:paraId="32F8C6FF" w14:textId="77777777">
      <w:pPr>
        <w:spacing w:after="0" w:line="360" w:lineRule="auto"/>
        <w:rPr>
          <w:rFonts w:eastAsia="Palatino Linotype" w:cs="Palatino Linotype"/>
          <w:color w:val="auto"/>
          <w:lang w:eastAsia="es-MX"/>
        </w:rPr>
      </w:pPr>
    </w:p>
    <w:p w:rsidRPr="007910C3" w:rsidR="008F69B6" w:rsidP="008F69B6" w:rsidRDefault="008F69B6" w14:paraId="0CF6E381"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 xml:space="preserve">Por ello, excepcionalmente, si un asunto es resuelto con posterioridad a los plazos señalados por la norma debe analizarse la razonabilidad del tiempo necesario para su resolución, atentos a los siguientes criterios:  </w:t>
      </w:r>
    </w:p>
    <w:p w:rsidRPr="007910C3" w:rsidR="008F69B6" w:rsidP="008F69B6" w:rsidRDefault="008F69B6" w14:paraId="76828E8C" w14:textId="77777777">
      <w:pPr>
        <w:spacing w:after="0" w:line="360" w:lineRule="auto"/>
        <w:rPr>
          <w:rFonts w:eastAsia="Palatino Linotype" w:cs="Palatino Linotype"/>
          <w:color w:val="auto"/>
          <w:lang w:eastAsia="es-MX"/>
        </w:rPr>
      </w:pPr>
    </w:p>
    <w:p w:rsidRPr="007910C3" w:rsidR="008F69B6" w:rsidP="008F69B6" w:rsidRDefault="008F69B6" w14:paraId="09A38407" w14:textId="77777777">
      <w:pPr>
        <w:numPr>
          <w:ilvl w:val="0"/>
          <w:numId w:val="23"/>
        </w:numPr>
        <w:spacing w:after="0" w:line="360" w:lineRule="auto"/>
        <w:jc w:val="left"/>
        <w:rPr>
          <w:rFonts w:eastAsia="Palatino Linotype" w:cs="Palatino Linotype"/>
          <w:color w:val="auto"/>
          <w:lang w:eastAsia="es-MX"/>
        </w:rPr>
      </w:pPr>
      <w:r w:rsidRPr="007910C3">
        <w:rPr>
          <w:rFonts w:eastAsia="Palatino Linotype" w:cs="Palatino Linotype"/>
          <w:b/>
          <w:bCs/>
          <w:color w:val="auto"/>
          <w:lang w:eastAsia="es-MX"/>
        </w:rPr>
        <w:t>Complejidad del asunto:</w:t>
      </w:r>
      <w:r w:rsidRPr="007910C3">
        <w:rPr>
          <w:rFonts w:eastAsia="Palatino Linotype" w:cs="Palatino Linotype"/>
          <w:color w:val="auto"/>
          <w:lang w:eastAsia="es-MX"/>
        </w:rPr>
        <w:t xml:space="preserve"> La complejidad de la prueba, la pluralidad de sujetos procesales, el tiempo transcurrido, las características y contexto del recurso.</w:t>
      </w:r>
    </w:p>
    <w:p w:rsidRPr="007910C3" w:rsidR="008F69B6" w:rsidP="008F69B6" w:rsidRDefault="008F69B6" w14:paraId="610CBB0F" w14:textId="77777777">
      <w:pPr>
        <w:spacing w:after="0" w:line="360" w:lineRule="auto"/>
        <w:rPr>
          <w:rFonts w:eastAsia="Palatino Linotype" w:cs="Palatino Linotype"/>
          <w:color w:val="auto"/>
          <w:lang w:eastAsia="es-MX"/>
        </w:rPr>
      </w:pPr>
    </w:p>
    <w:p w:rsidRPr="007910C3" w:rsidR="008F69B6" w:rsidP="008F69B6" w:rsidRDefault="008F69B6" w14:paraId="40712955" w14:textId="77777777">
      <w:pPr>
        <w:numPr>
          <w:ilvl w:val="0"/>
          <w:numId w:val="23"/>
        </w:numPr>
        <w:spacing w:after="0" w:line="360" w:lineRule="auto"/>
        <w:jc w:val="left"/>
        <w:rPr>
          <w:rFonts w:eastAsia="Palatino Linotype" w:cs="Palatino Linotype"/>
          <w:color w:val="auto"/>
          <w:lang w:eastAsia="es-MX"/>
        </w:rPr>
      </w:pPr>
      <w:r w:rsidRPr="007910C3">
        <w:rPr>
          <w:rFonts w:eastAsia="Palatino Linotype" w:cs="Palatino Linotype"/>
          <w:b/>
          <w:bCs/>
          <w:color w:val="auto"/>
          <w:lang w:eastAsia="es-MX"/>
        </w:rPr>
        <w:t>Actividad Procesal del interesado:</w:t>
      </w:r>
      <w:r w:rsidRPr="007910C3">
        <w:rPr>
          <w:rFonts w:eastAsia="Palatino Linotype" w:cs="Palatino Linotype"/>
          <w:color w:val="auto"/>
          <w:lang w:eastAsia="es-MX"/>
        </w:rPr>
        <w:t xml:space="preserve"> Acciones u omisiones del interesado.</w:t>
      </w:r>
    </w:p>
    <w:p w:rsidRPr="007910C3" w:rsidR="008F69B6" w:rsidP="008F69B6" w:rsidRDefault="008F69B6" w14:paraId="504B7785" w14:textId="77777777">
      <w:pPr>
        <w:spacing w:after="0" w:line="360" w:lineRule="auto"/>
        <w:rPr>
          <w:rFonts w:eastAsia="Palatino Linotype" w:cs="Palatino Linotype"/>
          <w:color w:val="auto"/>
          <w:lang w:eastAsia="es-MX"/>
        </w:rPr>
      </w:pPr>
    </w:p>
    <w:p w:rsidRPr="007910C3" w:rsidR="008F69B6" w:rsidP="008F69B6" w:rsidRDefault="008F69B6" w14:paraId="7A351AC1" w14:textId="77777777">
      <w:pPr>
        <w:numPr>
          <w:ilvl w:val="0"/>
          <w:numId w:val="23"/>
        </w:numPr>
        <w:spacing w:after="0" w:line="360" w:lineRule="auto"/>
        <w:jc w:val="left"/>
        <w:rPr>
          <w:rFonts w:eastAsia="Palatino Linotype" w:cs="Palatino Linotype"/>
          <w:color w:val="auto"/>
          <w:lang w:eastAsia="es-MX"/>
        </w:rPr>
      </w:pPr>
      <w:r w:rsidRPr="007910C3">
        <w:rPr>
          <w:rFonts w:eastAsia="Palatino Linotype" w:cs="Palatino Linotype"/>
          <w:b/>
          <w:bCs/>
          <w:color w:val="auto"/>
          <w:lang w:eastAsia="es-MX"/>
        </w:rPr>
        <w:t>Conducta de la Autoridad:</w:t>
      </w:r>
      <w:r w:rsidRPr="007910C3">
        <w:rPr>
          <w:rFonts w:eastAsia="Palatino Linotype" w:cs="Palatino Linotype"/>
          <w:color w:val="auto"/>
          <w:lang w:eastAsia="es-MX"/>
        </w:rPr>
        <w:t xml:space="preserve"> Las Acciones u omisiones realizadas en el procedimiento. Así como si la autoridad actuó con la debida diligencia.</w:t>
      </w:r>
    </w:p>
    <w:p w:rsidRPr="007910C3" w:rsidR="008F69B6" w:rsidP="008F69B6" w:rsidRDefault="008F69B6" w14:paraId="62505E77" w14:textId="77777777">
      <w:pPr>
        <w:spacing w:after="0" w:line="360" w:lineRule="auto"/>
        <w:rPr>
          <w:rFonts w:eastAsia="Palatino Linotype" w:cs="Palatino Linotype"/>
          <w:color w:val="auto"/>
          <w:lang w:eastAsia="es-MX"/>
        </w:rPr>
      </w:pPr>
    </w:p>
    <w:p w:rsidRPr="007910C3" w:rsidR="008F69B6" w:rsidP="008F69B6" w:rsidRDefault="008F69B6" w14:paraId="4044DAEA" w14:textId="77777777">
      <w:pPr>
        <w:numPr>
          <w:ilvl w:val="0"/>
          <w:numId w:val="23"/>
        </w:numPr>
        <w:spacing w:after="0" w:line="360" w:lineRule="auto"/>
        <w:jc w:val="left"/>
        <w:rPr>
          <w:rFonts w:eastAsia="Palatino Linotype" w:cs="Palatino Linotype"/>
          <w:color w:val="auto"/>
          <w:lang w:eastAsia="es-MX"/>
        </w:rPr>
      </w:pPr>
      <w:r w:rsidRPr="007910C3">
        <w:rPr>
          <w:rFonts w:eastAsia="Palatino Linotype" w:cs="Palatino Linotype"/>
          <w:b/>
          <w:bCs/>
          <w:color w:val="auto"/>
          <w:lang w:eastAsia="es-MX"/>
        </w:rPr>
        <w:t>La afectación generada en la situación jurídica de la persona involucrada en el proceso:</w:t>
      </w:r>
      <w:r w:rsidRPr="007910C3">
        <w:rPr>
          <w:rFonts w:eastAsia="Palatino Linotype" w:cs="Palatino Linotype"/>
          <w:color w:val="auto"/>
          <w:lang w:eastAsia="es-MX"/>
        </w:rPr>
        <w:t xml:space="preserve"> Violación a sus derechos humanos.</w:t>
      </w:r>
    </w:p>
    <w:p w:rsidRPr="007910C3" w:rsidR="008F69B6" w:rsidP="008F69B6" w:rsidRDefault="008F69B6" w14:paraId="2C8F1B20" w14:textId="77777777">
      <w:pPr>
        <w:spacing w:after="0" w:line="360" w:lineRule="auto"/>
        <w:rPr>
          <w:rFonts w:eastAsia="Palatino Linotype" w:cs="Palatino Linotype"/>
          <w:color w:val="auto"/>
          <w:lang w:eastAsia="es-MX"/>
        </w:rPr>
      </w:pPr>
    </w:p>
    <w:p w:rsidRPr="007910C3" w:rsidR="008F69B6" w:rsidP="008F69B6" w:rsidRDefault="008F69B6" w14:paraId="0910657B"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Pr="007910C3" w:rsidR="008F69B6" w:rsidP="008F69B6" w:rsidRDefault="008F69B6" w14:paraId="5511E4C4" w14:textId="77777777">
      <w:pPr>
        <w:spacing w:after="0" w:line="360" w:lineRule="auto"/>
        <w:rPr>
          <w:rFonts w:eastAsia="Palatino Linotype" w:cs="Palatino Linotype"/>
          <w:color w:val="auto"/>
          <w:lang w:eastAsia="es-MX"/>
        </w:rPr>
      </w:pPr>
    </w:p>
    <w:p w:rsidRPr="007910C3" w:rsidR="008F69B6" w:rsidP="008F69B6" w:rsidRDefault="008F69B6" w14:paraId="2A821F2D"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Argumento que encuentra sustento en la jurisprudencia P./J. 32/92 emitida por el Pleno de la Suprema Corte de Justicia de la Nación de rubro “</w:t>
      </w:r>
      <w:r w:rsidRPr="007910C3">
        <w:rPr>
          <w:rFonts w:eastAsia="Palatino Linotype" w:cs="Palatino Linotype"/>
          <w:b/>
          <w:bCs/>
          <w:color w:val="auto"/>
          <w:lang w:eastAsia="es-MX"/>
        </w:rPr>
        <w:t>TÉRMINOS PROCESALES. PARA DETERMINAR SI UN FUNCIONARIO JUDICIAL ACTUÓ INDEBIDAMENTE POR NO RESPETARLOS SE DEBE ATENDER AL PRESUPUESTO QUE CONSIDERÓ EL LEGISLADOR AL FIJARLOS Y LAS CARACTERÍSTICAS DEL CASO</w:t>
      </w:r>
      <w:r w:rsidRPr="007910C3">
        <w:rPr>
          <w:rFonts w:eastAsia="Palatino Linotype" w:cs="Palatino Linotype"/>
          <w:color w:val="auto"/>
          <w:lang w:eastAsia="es-MX"/>
        </w:rPr>
        <w:t>.”, visible en la Gaceta del Seminario Judicial de la Federación con el registro digital 205635.</w:t>
      </w:r>
    </w:p>
    <w:p w:rsidRPr="007910C3" w:rsidR="008F69B6" w:rsidP="008F69B6" w:rsidRDefault="008F69B6" w14:paraId="5CF2D15F" w14:textId="77777777">
      <w:pPr>
        <w:spacing w:after="0" w:line="360" w:lineRule="auto"/>
        <w:rPr>
          <w:rFonts w:eastAsia="Palatino Linotype" w:cs="Palatino Linotype"/>
          <w:color w:val="auto"/>
          <w:lang w:eastAsia="es-MX"/>
        </w:rPr>
      </w:pPr>
    </w:p>
    <w:p w:rsidRPr="007910C3" w:rsidR="008F69B6" w:rsidP="008F69B6" w:rsidRDefault="008F69B6" w14:paraId="6A57030C"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Pr="007910C3" w:rsidR="008F69B6" w:rsidP="008F69B6" w:rsidRDefault="008F69B6" w14:paraId="271CE5E3" w14:textId="77777777">
      <w:pPr>
        <w:spacing w:after="0" w:line="360" w:lineRule="auto"/>
        <w:rPr>
          <w:rFonts w:eastAsia="Palatino Linotype" w:cs="Palatino Linotype"/>
          <w:color w:val="auto"/>
          <w:lang w:eastAsia="es-MX"/>
        </w:rPr>
      </w:pPr>
    </w:p>
    <w:p w:rsidRPr="007910C3" w:rsidR="008F69B6" w:rsidP="008F69B6" w:rsidRDefault="008F69B6" w14:paraId="1AABF8FA"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Al respecto, también son de considerar los criterios sostenidos por el Cuarto Tribunal Colegiado en Materia Administrativa del Primer Circuito, cuyos rubros y datos de identificación son los siguientes:</w:t>
      </w:r>
    </w:p>
    <w:p w:rsidRPr="007910C3" w:rsidR="008F69B6" w:rsidP="008F69B6" w:rsidRDefault="008F69B6" w14:paraId="527B5B8C" w14:textId="77777777">
      <w:pPr>
        <w:spacing w:after="0" w:line="360" w:lineRule="auto"/>
        <w:rPr>
          <w:rFonts w:eastAsia="Palatino Linotype" w:cs="Palatino Linotype"/>
          <w:color w:val="auto"/>
          <w:lang w:eastAsia="es-MX"/>
        </w:rPr>
      </w:pPr>
    </w:p>
    <w:p w:rsidRPr="007910C3" w:rsidR="008F69B6" w:rsidP="008F69B6" w:rsidRDefault="008F69B6" w14:paraId="6173E3B2"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lastRenderedPageBreak/>
        <w:t>“</w:t>
      </w:r>
      <w:r w:rsidRPr="007910C3">
        <w:rPr>
          <w:rFonts w:eastAsia="Palatino Linotype" w:cs="Palatino Linotype"/>
          <w:b/>
          <w:bCs/>
          <w:color w:val="auto"/>
          <w:lang w:eastAsia="es-MX"/>
        </w:rPr>
        <w:t>PLAZO RAZONABLE PARA RESOLVER. DIMENSIÓN Y EFECTOS DE ESTE CONCEPTO CUANDO SE ADUCE EXCESIVA CARGA DE TRABAJO</w:t>
      </w:r>
      <w:r w:rsidRPr="007910C3">
        <w:rPr>
          <w:rFonts w:eastAsia="Palatino Linotype" w:cs="Palatino Linotype"/>
          <w:color w:val="auto"/>
          <w:lang w:eastAsia="es-MX"/>
        </w:rPr>
        <w:t>.” consultable en el Seminario Judicial de la Federación y su gaceta, con el registro digital 2002351.</w:t>
      </w:r>
    </w:p>
    <w:p w:rsidRPr="007910C3" w:rsidR="008F69B6" w:rsidP="008F69B6" w:rsidRDefault="008F69B6" w14:paraId="35F31BB3" w14:textId="77777777">
      <w:pPr>
        <w:spacing w:after="0" w:line="360" w:lineRule="auto"/>
        <w:rPr>
          <w:rFonts w:eastAsia="Palatino Linotype" w:cs="Palatino Linotype"/>
          <w:color w:val="auto"/>
          <w:lang w:eastAsia="es-MX"/>
        </w:rPr>
      </w:pPr>
    </w:p>
    <w:p w:rsidRPr="007910C3" w:rsidR="008F69B6" w:rsidP="008F69B6" w:rsidRDefault="008F69B6" w14:paraId="4A7A7B6B" w14:textId="77777777">
      <w:pPr>
        <w:spacing w:after="0" w:line="360" w:lineRule="auto"/>
        <w:rPr>
          <w:rFonts w:eastAsia="Palatino Linotype" w:cs="Palatino Linotype"/>
          <w:color w:val="auto"/>
          <w:lang w:eastAsia="es-MX"/>
        </w:rPr>
      </w:pPr>
      <w:r w:rsidRPr="007910C3">
        <w:rPr>
          <w:rFonts w:eastAsia="Palatino Linotype" w:cs="Palatino Linotype"/>
          <w:color w:val="auto"/>
          <w:lang w:eastAsia="es-MX"/>
        </w:rPr>
        <w:t>“</w:t>
      </w:r>
      <w:r w:rsidRPr="007910C3">
        <w:rPr>
          <w:rFonts w:eastAsia="Palatino Linotype" w:cs="Palatino Linotype"/>
          <w:b/>
          <w:bCs/>
          <w:color w:val="auto"/>
          <w:lang w:eastAsia="es-MX"/>
        </w:rPr>
        <w:t>PLAZO RAZONABLE PARA RESOLVER. CONCEPTO Y ELEMENTOS QUE LO INTEGRAN A LA LUZ DEL DERECHO INTERNACIONAL DE LOS DERECHOS HUMANOS</w:t>
      </w:r>
      <w:r w:rsidRPr="007910C3">
        <w:rPr>
          <w:rFonts w:eastAsia="Palatino Linotype" w:cs="Palatino Linotype"/>
          <w:color w:val="auto"/>
          <w:lang w:eastAsia="es-MX"/>
        </w:rPr>
        <w:t>.”, visible en el Seminario Judicial de la Federación y su gaceta, con el registro digital 2002350.</w:t>
      </w:r>
    </w:p>
    <w:p w:rsidRPr="007910C3" w:rsidR="008F69B6" w:rsidP="008F69B6" w:rsidRDefault="008F69B6" w14:paraId="57DD8618" w14:textId="77777777">
      <w:pPr>
        <w:spacing w:after="0" w:line="360" w:lineRule="auto"/>
        <w:rPr>
          <w:rFonts w:eastAsia="Palatino Linotype" w:cs="Palatino Linotype"/>
          <w:color w:val="auto"/>
          <w:lang w:eastAsia="es-MX"/>
        </w:rPr>
      </w:pPr>
    </w:p>
    <w:p w:rsidRPr="007910C3" w:rsidR="008F69B6" w:rsidP="008F69B6" w:rsidRDefault="008F69B6" w14:paraId="686E38D5" w14:textId="0C6D548C">
      <w:pPr>
        <w:spacing w:after="0" w:line="360" w:lineRule="auto"/>
        <w:rPr>
          <w:rFonts w:eastAsia="Palatino Linotype" w:cs="Palatino Linotype"/>
          <w:color w:val="auto"/>
          <w:lang w:eastAsia="es-MX"/>
        </w:rPr>
      </w:pPr>
      <w:r w:rsidRPr="007910C3">
        <w:rPr>
          <w:rFonts w:eastAsia="Palatino Linotype" w:cs="Palatino Linotype"/>
          <w:color w:val="auto"/>
          <w:lang w:eastAsia="es-MX"/>
        </w:rPr>
        <w:t xml:space="preserve">Por ello, este organismo garante comprometido con la tutela de los derechos humanos confiados señala que este exceso del plazo legal para resolver el presente </w:t>
      </w:r>
      <w:r w:rsidRPr="007910C3" w:rsidR="00C238F9">
        <w:rPr>
          <w:rFonts w:eastAsia="Palatino Linotype" w:cs="Palatino Linotype"/>
          <w:color w:val="auto"/>
          <w:lang w:eastAsia="es-MX"/>
        </w:rPr>
        <w:t>asunto</w:t>
      </w:r>
      <w:r w:rsidRPr="007910C3">
        <w:rPr>
          <w:rFonts w:eastAsia="Palatino Linotype" w:cs="Palatino Linotype"/>
          <w:color w:val="auto"/>
          <w:lang w:eastAsia="es-MX"/>
        </w:rPr>
        <w:t xml:space="preserve"> resulta de carácter excepcional.</w:t>
      </w:r>
    </w:p>
    <w:p w:rsidRPr="007910C3" w:rsidR="004548CD" w:rsidP="00B43451" w:rsidRDefault="004548CD" w14:paraId="35EA4B6F" w14:textId="503D76C8">
      <w:pPr>
        <w:spacing w:after="0" w:line="360" w:lineRule="auto"/>
        <w:rPr>
          <w:rFonts w:eastAsia="Palatino Linotype" w:cs="Palatino Linotype"/>
          <w:b/>
          <w:bCs/>
        </w:rPr>
      </w:pPr>
    </w:p>
    <w:p w:rsidRPr="007910C3" w:rsidR="004122A9" w:rsidP="004122A9" w:rsidRDefault="0037442A" w14:paraId="6C1B7DFE" w14:textId="2FA21ECA">
      <w:pPr>
        <w:spacing w:after="0" w:line="360" w:lineRule="auto"/>
        <w:rPr>
          <w:rFonts w:cs="Tahoma"/>
        </w:rPr>
      </w:pPr>
      <w:r w:rsidRPr="007910C3">
        <w:rPr>
          <w:rFonts w:cs="Tahoma"/>
          <w:b/>
          <w:bCs/>
        </w:rPr>
        <w:t>e</w:t>
      </w:r>
      <w:r w:rsidRPr="007910C3" w:rsidR="00C21871">
        <w:rPr>
          <w:rFonts w:cs="Tahoma"/>
          <w:b/>
          <w:bCs/>
        </w:rPr>
        <w:t xml:space="preserve">) Vista del Informe Justificado: </w:t>
      </w:r>
      <w:r w:rsidRPr="007910C3" w:rsidR="00C21871">
        <w:rPr>
          <w:rFonts w:cs="Tahoma"/>
        </w:rPr>
        <w:t xml:space="preserve">El </w:t>
      </w:r>
      <w:r w:rsidRPr="007910C3" w:rsidR="001C517B">
        <w:rPr>
          <w:rFonts w:cs="Tahoma"/>
        </w:rPr>
        <w:t>primero de febrero de dos mil veintitrés</w:t>
      </w:r>
      <w:r w:rsidRPr="007910C3" w:rsidR="00C21871">
        <w:rPr>
          <w:rFonts w:cs="Tahoma"/>
        </w:rPr>
        <w:t xml:space="preserve">, se dictó acuerdo, por medio del cual </w:t>
      </w:r>
      <w:r w:rsidRPr="007910C3" w:rsidR="00C21871">
        <w:rPr>
          <w:rFonts w:cs="Tahoma"/>
          <w:b/>
        </w:rPr>
        <w:t>se pu</w:t>
      </w:r>
      <w:r w:rsidRPr="007910C3" w:rsidR="00682222">
        <w:rPr>
          <w:rFonts w:cs="Tahoma"/>
          <w:b/>
        </w:rPr>
        <w:t>s</w:t>
      </w:r>
      <w:r w:rsidRPr="007910C3" w:rsidR="00C21871">
        <w:rPr>
          <w:rFonts w:cs="Tahoma"/>
          <w:b/>
        </w:rPr>
        <w:t>o a la vista del Recurrente el Informe Justificado y sus anexos</w:t>
      </w:r>
      <w:r w:rsidRPr="007910C3" w:rsidR="00C21871">
        <w:rPr>
          <w:rFonts w:cs="Tahoma"/>
        </w:rPr>
        <w:t>, entregados por el Sujeto Obligado, a fin de que en un término no mayor a tres días hábiles manifestará lo que a derecho corresponda, acto que fue notificado</w:t>
      </w:r>
      <w:r w:rsidRPr="007910C3" w:rsidR="004122A9">
        <w:rPr>
          <w:rFonts w:eastAsia="Palatino Linotype" w:cs="Palatino Linotype"/>
          <w:lang w:val="es-ES"/>
        </w:rPr>
        <w:t xml:space="preserve"> mediante el Sistema de Acceso a la Información Mexiquense (SAIMEX)</w:t>
      </w:r>
      <w:r w:rsidRPr="007910C3" w:rsidR="00726A94">
        <w:rPr>
          <w:rFonts w:eastAsia="Palatino Linotype" w:cs="Palatino Linotype"/>
          <w:lang w:val="es-ES"/>
        </w:rPr>
        <w:t>.</w:t>
      </w:r>
    </w:p>
    <w:p w:rsidRPr="007910C3" w:rsidR="00C21871" w:rsidP="00B43451" w:rsidRDefault="00C21871" w14:paraId="7BB2ECE6" w14:textId="77777777">
      <w:pPr>
        <w:spacing w:after="0" w:line="360" w:lineRule="auto"/>
        <w:rPr>
          <w:rFonts w:eastAsia="Palatino Linotype" w:cs="Palatino Linotype"/>
          <w:b/>
          <w:bCs/>
        </w:rPr>
      </w:pPr>
    </w:p>
    <w:p w:rsidRPr="007910C3" w:rsidR="004548CD" w:rsidP="000B7029" w:rsidRDefault="0037442A" w14:paraId="39328222" w14:textId="3F19F11F">
      <w:pPr>
        <w:spacing w:after="0" w:line="360" w:lineRule="auto"/>
        <w:rPr>
          <w:rFonts w:eastAsia="Times New Roman" w:cs="Tahoma"/>
          <w:color w:val="auto"/>
          <w:szCs w:val="24"/>
          <w:lang w:eastAsia="es-ES"/>
        </w:rPr>
      </w:pPr>
      <w:r w:rsidRPr="007910C3">
        <w:rPr>
          <w:rFonts w:eastAsia="Times New Roman" w:cs="Tahoma"/>
          <w:b/>
          <w:color w:val="auto"/>
          <w:szCs w:val="24"/>
          <w:lang w:eastAsia="es-ES"/>
        </w:rPr>
        <w:t>f</w:t>
      </w:r>
      <w:r w:rsidRPr="007910C3" w:rsidR="004548CD">
        <w:rPr>
          <w:rFonts w:eastAsia="Times New Roman" w:cs="Tahoma"/>
          <w:b/>
          <w:color w:val="auto"/>
          <w:szCs w:val="24"/>
          <w:lang w:eastAsia="es-ES"/>
        </w:rPr>
        <w:t>) Cierre de instrucción.</w:t>
      </w:r>
      <w:r w:rsidRPr="007910C3" w:rsidR="004548CD">
        <w:rPr>
          <w:rFonts w:eastAsia="Times New Roman" w:cs="Tahoma"/>
          <w:color w:val="auto"/>
          <w:szCs w:val="24"/>
          <w:lang w:eastAsia="es-ES"/>
        </w:rPr>
        <w:t xml:space="preserve"> El</w:t>
      </w:r>
      <w:r w:rsidRPr="007910C3" w:rsidR="00843AB9">
        <w:rPr>
          <w:rFonts w:eastAsia="Times New Roman" w:cs="Tahoma"/>
          <w:color w:val="auto"/>
          <w:szCs w:val="24"/>
          <w:lang w:eastAsia="es-ES"/>
        </w:rPr>
        <w:t xml:space="preserve"> </w:t>
      </w:r>
      <w:r w:rsidRPr="007910C3" w:rsidR="004D0716">
        <w:rPr>
          <w:rFonts w:eastAsia="Times New Roman" w:cs="Tahoma"/>
          <w:color w:val="auto"/>
          <w:szCs w:val="24"/>
          <w:lang w:eastAsia="es-ES"/>
        </w:rPr>
        <w:t xml:space="preserve">nueve de febrero de dos mil veintitrés, </w:t>
      </w:r>
      <w:r w:rsidRPr="007910C3" w:rsidR="004548CD">
        <w:rPr>
          <w:rFonts w:eastAsia="Times New Roman" w:cs="Tahoma"/>
          <w:color w:val="auto"/>
          <w:szCs w:val="24"/>
          <w:lang w:eastAsia="es-ES"/>
        </w:rPr>
        <w:t xml:space="preserve">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Pr="007910C3" w:rsidR="004548CD">
        <w:rPr>
          <w:rFonts w:eastAsia="Palatino Linotype" w:cs="Palatino Linotype"/>
          <w:lang w:val="es-ES"/>
        </w:rPr>
        <w:t>acto que fue notificado a las partes, mediante el Sistema de Acceso a la Información Mexiquense (SAIMEX), el mismo día.</w:t>
      </w:r>
    </w:p>
    <w:p w:rsidRPr="007910C3" w:rsidR="004548CD" w:rsidP="004548CD" w:rsidRDefault="004548CD" w14:paraId="61B73302" w14:textId="77777777">
      <w:pPr>
        <w:spacing w:after="0" w:line="360" w:lineRule="auto"/>
        <w:rPr>
          <w:rFonts w:eastAsia="Times New Roman" w:cs="Tahoma"/>
          <w:color w:val="auto"/>
          <w:szCs w:val="24"/>
          <w:lang w:eastAsia="es-ES"/>
        </w:rPr>
      </w:pPr>
    </w:p>
    <w:p w:rsidRPr="007910C3" w:rsidR="00C853D1" w:rsidP="00C853D1" w:rsidRDefault="00C853D1" w14:paraId="5795BBB6" w14:textId="77777777">
      <w:pPr>
        <w:spacing w:after="0" w:line="360" w:lineRule="auto"/>
        <w:rPr>
          <w:rFonts w:eastAsia="Times New Roman" w:cs="Tahoma"/>
          <w:color w:val="auto"/>
          <w:szCs w:val="24"/>
          <w:lang w:eastAsia="es-ES"/>
        </w:rPr>
      </w:pPr>
      <w:r w:rsidRPr="007910C3">
        <w:rPr>
          <w:rFonts w:eastAsia="Times New Roman" w:cs="Tahoma"/>
          <w:color w:val="auto"/>
          <w:szCs w:val="24"/>
          <w:lang w:eastAsia="es-ES"/>
        </w:rPr>
        <w:lastRenderedPageBreak/>
        <w:t xml:space="preserve">En razón de que fue debidamente sustanciado e integrado el expediente electrónico y no existe diligencia pendiente de desahogo, se emite la resolución que conforme a Derecho proceda, de acuerdo a los siguientes: </w:t>
      </w:r>
    </w:p>
    <w:p w:rsidRPr="007910C3" w:rsidR="00C853D1" w:rsidP="00C853D1" w:rsidRDefault="00C853D1" w14:paraId="264F2B95" w14:textId="77777777">
      <w:pPr>
        <w:spacing w:after="0" w:line="360" w:lineRule="auto"/>
        <w:rPr>
          <w:rFonts w:eastAsia="Times New Roman" w:cs="Tahoma"/>
          <w:bCs/>
          <w:iCs/>
          <w:color w:val="auto"/>
          <w:lang w:val="es-ES" w:eastAsia="es-ES"/>
        </w:rPr>
      </w:pPr>
    </w:p>
    <w:p w:rsidRPr="007910C3" w:rsidR="00C853D1" w:rsidP="00C853D1" w:rsidRDefault="00C853D1" w14:paraId="4647AD46" w14:textId="77777777">
      <w:pPr>
        <w:spacing w:after="0" w:line="360" w:lineRule="auto"/>
        <w:jc w:val="center"/>
        <w:rPr>
          <w:rFonts w:eastAsia="Times New Roman" w:cs="Tahoma"/>
          <w:b/>
          <w:color w:val="auto"/>
          <w:lang w:val="es-ES" w:eastAsia="es-ES"/>
        </w:rPr>
      </w:pPr>
      <w:r w:rsidRPr="007910C3">
        <w:rPr>
          <w:rFonts w:eastAsia="Times New Roman" w:cs="Tahoma"/>
          <w:b/>
          <w:color w:val="auto"/>
          <w:lang w:val="es-ES" w:eastAsia="es-ES"/>
        </w:rPr>
        <w:t>C O N S I D E R A N D O S:</w:t>
      </w:r>
    </w:p>
    <w:p w:rsidRPr="007910C3" w:rsidR="00C853D1" w:rsidP="00C853D1" w:rsidRDefault="00C853D1" w14:paraId="46CF2E78" w14:textId="77777777">
      <w:pPr>
        <w:spacing w:after="0" w:line="360" w:lineRule="auto"/>
        <w:rPr>
          <w:b/>
        </w:rPr>
      </w:pPr>
    </w:p>
    <w:p w:rsidRPr="007910C3" w:rsidR="00FD42FD" w:rsidP="00FD42FD" w:rsidRDefault="00FD42FD" w14:paraId="5FD4F2FD" w14:textId="77777777">
      <w:pPr>
        <w:autoSpaceDE w:val="0"/>
        <w:autoSpaceDN w:val="0"/>
        <w:adjustRightInd w:val="0"/>
        <w:spacing w:after="0" w:line="360" w:lineRule="auto"/>
        <w:rPr>
          <w:rFonts w:eastAsia="Times New Roman" w:cs="Tahoma"/>
          <w:b/>
          <w:color w:val="auto"/>
          <w:szCs w:val="24"/>
          <w:lang w:val="es-ES" w:eastAsia="es-ES"/>
        </w:rPr>
      </w:pPr>
      <w:r w:rsidRPr="007910C3">
        <w:rPr>
          <w:rFonts w:eastAsia="Calibri" w:cs="Tahoma"/>
          <w:b/>
          <w:color w:val="000000"/>
          <w:szCs w:val="24"/>
          <w:lang w:val="es-ES" w:eastAsia="es-MX"/>
        </w:rPr>
        <w:t>PRIMERO</w:t>
      </w:r>
      <w:r w:rsidRPr="007910C3">
        <w:rPr>
          <w:rFonts w:eastAsia="Calibri" w:cs="Tahoma"/>
          <w:color w:val="000000"/>
          <w:szCs w:val="24"/>
          <w:lang w:val="es-ES" w:eastAsia="es-MX"/>
        </w:rPr>
        <w:t xml:space="preserve">. </w:t>
      </w:r>
      <w:r w:rsidRPr="007910C3">
        <w:rPr>
          <w:rFonts w:eastAsia="Times New Roman" w:cs="Tahoma"/>
          <w:b/>
          <w:color w:val="auto"/>
          <w:szCs w:val="24"/>
          <w:lang w:val="es-ES" w:eastAsia="es-ES"/>
        </w:rPr>
        <w:t>Competencia.</w:t>
      </w:r>
    </w:p>
    <w:p w:rsidRPr="007910C3" w:rsidR="00FD42FD" w:rsidP="00FD42FD" w:rsidRDefault="00FD42FD" w14:paraId="077AB3BF" w14:textId="77777777">
      <w:pPr>
        <w:autoSpaceDE w:val="0"/>
        <w:autoSpaceDN w:val="0"/>
        <w:adjustRightInd w:val="0"/>
        <w:spacing w:after="0" w:line="360" w:lineRule="auto"/>
        <w:rPr>
          <w:rFonts w:eastAsia="Times New Roman" w:cs="Tahoma"/>
          <w:b/>
          <w:color w:val="auto"/>
          <w:szCs w:val="24"/>
          <w:lang w:val="es-ES" w:eastAsia="es-ES"/>
        </w:rPr>
      </w:pPr>
    </w:p>
    <w:p w:rsidRPr="007910C3" w:rsidR="00FD42FD" w:rsidP="00FD42FD" w:rsidRDefault="00FD42FD" w14:paraId="094E6614" w14:textId="77777777">
      <w:pPr>
        <w:spacing w:after="0" w:line="360" w:lineRule="auto"/>
        <w:rPr>
          <w:rFonts w:eastAsia="Times New Roman" w:cs="Tahoma"/>
          <w:bCs/>
          <w:color w:val="auto"/>
          <w:lang w:eastAsia="es-ES"/>
        </w:rPr>
      </w:pPr>
      <w:r w:rsidRPr="007910C3">
        <w:rPr>
          <w:rFonts w:eastAsia="Times New Roman" w:cs="Tahoma"/>
          <w:bCs/>
          <w:color w:val="auto"/>
          <w:lang w:eastAsia="es-E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proofErr w:type="spellStart"/>
      <w:r w:rsidRPr="007910C3">
        <w:rPr>
          <w:rFonts w:eastAsia="Times New Roman" w:cs="Tahoma"/>
          <w:bCs/>
          <w:color w:val="auto"/>
          <w:lang w:eastAsia="es-ES"/>
        </w:rPr>
        <w:t>trig</w:t>
      </w:r>
      <w:r w:rsidRPr="007910C3">
        <w:rPr>
          <w:rFonts w:eastAsia="Times New Roman" w:cs="Tahoma"/>
          <w:bCs/>
          <w:color w:val="auto"/>
          <w:lang w:val="x-none" w:eastAsia="es-ES"/>
        </w:rPr>
        <w:t>ésimo</w:t>
      </w:r>
      <w:proofErr w:type="spellEnd"/>
      <w:r w:rsidRPr="007910C3">
        <w:rPr>
          <w:rFonts w:eastAsia="Times New Roman" w:cs="Tahoma"/>
          <w:bCs/>
          <w:color w:val="auto"/>
          <w:lang w:val="x-none" w:eastAsia="es-ES"/>
        </w:rPr>
        <w:t>, trigésimo primero</w:t>
      </w:r>
      <w:r w:rsidRPr="007910C3">
        <w:rPr>
          <w:rFonts w:eastAsia="Times New Roman" w:cs="Tahoma"/>
          <w:bCs/>
          <w:color w:val="auto"/>
          <w:lang w:eastAsia="es-ES"/>
        </w:rPr>
        <w:t xml:space="preserve">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7910C3">
        <w:rPr>
          <w:rFonts w:eastAsia="Times New Roman" w:cs="Times New Roman"/>
          <w:bCs/>
          <w:color w:val="auto"/>
          <w:lang w:eastAsia="es-ES"/>
        </w:rPr>
        <w:t xml:space="preserve"> 7°, </w:t>
      </w:r>
      <w:r w:rsidRPr="007910C3">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p>
    <w:p w:rsidRPr="007910C3" w:rsidR="00FD42FD" w:rsidP="00FD42FD" w:rsidRDefault="00FD42FD" w14:paraId="1FAECFE1" w14:textId="77777777">
      <w:pPr>
        <w:spacing w:after="0" w:line="360" w:lineRule="auto"/>
        <w:rPr>
          <w:rFonts w:eastAsia="Times New Roman" w:cs="Tahoma"/>
          <w:bCs/>
          <w:color w:val="auto"/>
          <w:lang w:eastAsia="es-ES"/>
        </w:rPr>
      </w:pPr>
    </w:p>
    <w:p w:rsidRPr="007910C3" w:rsidR="00FD42FD" w:rsidP="00FD42FD" w:rsidRDefault="00FD42FD" w14:paraId="1069B093" w14:textId="77777777">
      <w:pPr>
        <w:spacing w:after="0" w:line="360" w:lineRule="auto"/>
        <w:rPr>
          <w:rFonts w:eastAsia="Times New Roman" w:cs="Tahoma"/>
          <w:bCs/>
          <w:color w:val="auto"/>
          <w:lang w:val="es-ES" w:eastAsia="es-ES"/>
        </w:rPr>
      </w:pPr>
      <w:r w:rsidRPr="007910C3">
        <w:rPr>
          <w:rFonts w:eastAsia="Times New Roman" w:cs="Tahoma"/>
          <w:b/>
          <w:bCs/>
          <w:color w:val="auto"/>
          <w:lang w:val="es-ES" w:eastAsia="es-ES"/>
        </w:rPr>
        <w:t>SEGUNDO</w:t>
      </w:r>
      <w:r w:rsidRPr="007910C3">
        <w:rPr>
          <w:rFonts w:eastAsia="Times New Roman" w:cs="Tahoma"/>
          <w:bCs/>
          <w:color w:val="auto"/>
          <w:lang w:val="es-ES" w:eastAsia="es-ES"/>
        </w:rPr>
        <w:t xml:space="preserve">. </w:t>
      </w:r>
      <w:r w:rsidRPr="007910C3">
        <w:rPr>
          <w:rFonts w:eastAsia="Times New Roman" w:cs="Tahoma"/>
          <w:b/>
          <w:bCs/>
          <w:color w:val="auto"/>
          <w:lang w:val="es-ES" w:eastAsia="es-ES"/>
        </w:rPr>
        <w:t>Causales de improcedencia.</w:t>
      </w:r>
      <w:r w:rsidRPr="007910C3">
        <w:rPr>
          <w:rFonts w:eastAsia="Times New Roman" w:cs="Tahoma"/>
          <w:bCs/>
          <w:color w:val="auto"/>
          <w:lang w:val="es-ES" w:eastAsia="es-ES"/>
        </w:rPr>
        <w:t xml:space="preserve"> </w:t>
      </w:r>
    </w:p>
    <w:p w:rsidRPr="007910C3" w:rsidR="00FD42FD" w:rsidP="00FD42FD" w:rsidRDefault="00FD42FD" w14:paraId="41A7B5F8" w14:textId="77777777">
      <w:pPr>
        <w:spacing w:after="0" w:line="360" w:lineRule="auto"/>
        <w:rPr>
          <w:rFonts w:eastAsia="Times New Roman" w:cs="Tahoma"/>
          <w:bCs/>
          <w:color w:val="auto"/>
          <w:lang w:val="es-ES" w:eastAsia="es-ES"/>
        </w:rPr>
      </w:pPr>
    </w:p>
    <w:p w:rsidRPr="007910C3" w:rsidR="00FD42FD" w:rsidP="00FD42FD" w:rsidRDefault="00FD42FD" w14:paraId="59FCB845" w14:textId="77777777">
      <w:pPr>
        <w:spacing w:after="0" w:line="360" w:lineRule="auto"/>
        <w:rPr>
          <w:rFonts w:eastAsia="Times New Roman" w:cs="Tahoma"/>
          <w:bCs/>
          <w:color w:val="auto"/>
          <w:lang w:val="es-ES" w:eastAsia="es-ES"/>
        </w:rPr>
      </w:pPr>
      <w:r w:rsidRPr="007910C3">
        <w:rPr>
          <w:rFonts w:eastAsia="Times New Roman" w:cs="Tahoma"/>
          <w:bCs/>
          <w:color w:val="auto"/>
          <w:lang w:eastAsia="es-ES"/>
        </w:rPr>
        <w:t>Este Instituto realiza el estudio oficioso de las causales de improcedencia, ya que estas deben estudiarse, aunque no las hagan valer las partes, por ser una cuestión de orden público y de estudio preferente al fondo del asunto. Lo anterior se robustece en la Tesis de Jurisprudencia: 1a./J. 163/2005</w:t>
      </w:r>
      <w:r w:rsidRPr="007910C3">
        <w:rPr>
          <w:rFonts w:eastAsia="Times New Roman" w:cs="Tahoma"/>
          <w:b/>
          <w:bCs/>
          <w:color w:val="auto"/>
          <w:lang w:eastAsia="es-ES"/>
        </w:rPr>
        <w:t xml:space="preserve"> </w:t>
      </w:r>
      <w:r w:rsidRPr="007910C3">
        <w:rPr>
          <w:rFonts w:eastAsia="Times New Roman" w:cs="Tahoma"/>
          <w:bCs/>
          <w:color w:val="auto"/>
          <w:lang w:eastAsia="es-ES"/>
        </w:rPr>
        <w:t xml:space="preserve">(Semanario Judicial de la Federación y su Gaceta, Novena Época, 2006, página 319), toda vez que, si de las constancias que obran en el expediente electrónico, se actualiza una </w:t>
      </w:r>
      <w:r w:rsidRPr="007910C3">
        <w:rPr>
          <w:rFonts w:eastAsia="Times New Roman" w:cs="Tahoma"/>
          <w:bCs/>
          <w:color w:val="auto"/>
          <w:lang w:eastAsia="es-ES"/>
        </w:rPr>
        <w:lastRenderedPageBreak/>
        <w:t xml:space="preserve">causal de improcedencia establecidas en el artículo 191 de la Ley de Transparencia y Acceso a la Información Pública del Estado de México y Municipios, dará lugar a que el presente Recurso de Revisión sea sobreseído. </w:t>
      </w:r>
    </w:p>
    <w:p w:rsidRPr="007910C3" w:rsidR="00FD42FD" w:rsidP="00FD42FD" w:rsidRDefault="00FD42FD" w14:paraId="4F360C5A" w14:textId="77777777">
      <w:pPr>
        <w:spacing w:after="0" w:line="360" w:lineRule="auto"/>
        <w:rPr>
          <w:rFonts w:eastAsia="Times New Roman" w:cs="Tahoma"/>
          <w:bCs/>
          <w:color w:val="auto"/>
          <w:lang w:eastAsia="es-ES"/>
        </w:rPr>
      </w:pPr>
    </w:p>
    <w:p w:rsidRPr="007910C3" w:rsidR="00FD42FD" w:rsidP="00FD42FD" w:rsidRDefault="00FD42FD" w14:paraId="6784B801" w14:textId="77777777">
      <w:pPr>
        <w:spacing w:after="0" w:line="360" w:lineRule="auto"/>
        <w:rPr>
          <w:rFonts w:eastAsia="Times New Roman" w:cs="Tahoma"/>
          <w:bCs/>
          <w:color w:val="auto"/>
          <w:lang w:eastAsia="es-ES"/>
        </w:rPr>
      </w:pPr>
      <w:r w:rsidRPr="007910C3">
        <w:rPr>
          <w:rFonts w:eastAsia="Times New Roman" w:cs="Tahoma"/>
          <w:bCs/>
          <w:color w:val="auto"/>
          <w:lang w:eastAsia="es-ES"/>
        </w:rPr>
        <w:t xml:space="preserve">En el presente caso, </w:t>
      </w:r>
      <w:r w:rsidRPr="007910C3">
        <w:rPr>
          <w:rFonts w:eastAsia="Times New Roman" w:cs="Tahoma"/>
          <w:b/>
          <w:bCs/>
          <w:color w:val="auto"/>
          <w:lang w:eastAsia="es-ES"/>
        </w:rPr>
        <w:t>no se actualiza ninguna de las causales de improcedencia</w:t>
      </w:r>
      <w:r w:rsidRPr="007910C3">
        <w:rPr>
          <w:rFonts w:eastAsia="Times New Roman" w:cs="Tahoma"/>
          <w:bCs/>
          <w:color w:val="auto"/>
          <w:lang w:eastAsia="es-ES"/>
        </w:rPr>
        <w:t xml:space="preserve"> establecidas en el ordenamiento jurídico previamente señalado, toda vez que este Instituto no tiene conocimiento de que se encuentre en trámite algún medio de defensa presentado por el Recurrente ante otra instancia; no existió prevención alguna; la veracidad de la respuesta no formó parte del agravio; no se realizó una consulta o ampliación a los alcances del requerimiento informativo, aunado a que el medio de impugnación fue presentado en tiempo.</w:t>
      </w:r>
    </w:p>
    <w:p w:rsidRPr="007910C3" w:rsidR="00FD42FD" w:rsidP="00FD42FD" w:rsidRDefault="00FD42FD" w14:paraId="6993DA00" w14:textId="77777777">
      <w:pPr>
        <w:spacing w:after="0" w:line="360" w:lineRule="auto"/>
        <w:rPr>
          <w:rFonts w:eastAsia="Times New Roman" w:cs="Tahoma"/>
          <w:b/>
          <w:bCs/>
          <w:color w:val="auto"/>
          <w:lang w:eastAsia="es-ES"/>
        </w:rPr>
      </w:pPr>
    </w:p>
    <w:p w:rsidRPr="007910C3" w:rsidR="00FD42FD" w:rsidP="00FD42FD" w:rsidRDefault="00FD42FD" w14:paraId="681F1175" w14:textId="77777777">
      <w:pPr>
        <w:spacing w:after="0" w:line="360" w:lineRule="auto"/>
        <w:rPr>
          <w:rFonts w:eastAsia="Times New Roman" w:cs="Tahoma"/>
          <w:bCs/>
          <w:color w:val="auto"/>
          <w:lang w:eastAsia="es-ES"/>
        </w:rPr>
      </w:pPr>
      <w:r w:rsidRPr="007910C3">
        <w:rPr>
          <w:rFonts w:eastAsia="Times New Roman" w:cs="Tahoma"/>
          <w:bCs/>
          <w:color w:val="auto"/>
          <w:lang w:eastAsia="es-ES"/>
        </w:rPr>
        <w:t>Asimismo, se actualiza la causal de procedencia del Recurso de Revisión señalada en el artículo 179, fracción V, de la Ley de Transparencia y Acceso a la Información Pública del Estado de México y Municipios, puesto que el agravio del Recurrente consiste en la entrega de información incompleta.</w:t>
      </w:r>
    </w:p>
    <w:p w:rsidRPr="007910C3" w:rsidR="00682222" w:rsidP="00C853D1" w:rsidRDefault="00682222" w14:paraId="35BB4316" w14:textId="77777777">
      <w:pPr>
        <w:spacing w:after="0" w:line="360" w:lineRule="auto"/>
        <w:rPr>
          <w:rFonts w:eastAsia="Calibri" w:cs="Tahoma"/>
          <w:b/>
          <w:color w:val="000000"/>
          <w:szCs w:val="24"/>
          <w:lang w:eastAsia="es-MX"/>
        </w:rPr>
      </w:pPr>
    </w:p>
    <w:p w:rsidRPr="007910C3" w:rsidR="000F0B2E" w:rsidP="000F0B2E" w:rsidRDefault="000F0B2E" w14:paraId="1474F739" w14:textId="77777777">
      <w:pPr>
        <w:spacing w:after="0" w:line="360" w:lineRule="auto"/>
        <w:rPr>
          <w:rFonts w:eastAsia="Times New Roman" w:cs="Tahoma"/>
          <w:b/>
          <w:bCs/>
          <w:color w:val="auto"/>
          <w:lang w:eastAsia="es-ES"/>
        </w:rPr>
      </w:pPr>
      <w:r w:rsidRPr="007910C3">
        <w:rPr>
          <w:rFonts w:eastAsia="Times New Roman" w:cs="Tahoma"/>
          <w:b/>
          <w:bCs/>
          <w:color w:val="auto"/>
          <w:lang w:eastAsia="es-ES"/>
        </w:rPr>
        <w:t>TERCERO. Causales de sobreseimiento.</w:t>
      </w:r>
    </w:p>
    <w:p w:rsidRPr="007910C3" w:rsidR="000F0B2E" w:rsidP="000F0B2E" w:rsidRDefault="000F0B2E" w14:paraId="663CF12A" w14:textId="77777777">
      <w:pPr>
        <w:spacing w:after="0" w:line="360" w:lineRule="auto"/>
        <w:rPr>
          <w:rFonts w:eastAsia="Times New Roman" w:cs="Tahoma"/>
          <w:bCs/>
          <w:color w:val="auto"/>
          <w:lang w:eastAsia="es-ES"/>
        </w:rPr>
      </w:pPr>
    </w:p>
    <w:p w:rsidRPr="007910C3" w:rsidR="000F0B2E" w:rsidP="000F0B2E" w:rsidRDefault="000F0B2E" w14:paraId="4AFCBF95" w14:textId="77777777">
      <w:pPr>
        <w:spacing w:after="0" w:line="360" w:lineRule="auto"/>
        <w:rPr>
          <w:rFonts w:eastAsia="Times New Roman" w:cs="Tahoma"/>
          <w:bCs/>
          <w:color w:val="auto"/>
          <w:lang w:eastAsia="es-ES"/>
        </w:rPr>
      </w:pPr>
      <w:r w:rsidRPr="007910C3">
        <w:rPr>
          <w:rFonts w:eastAsia="Times New Roman" w:cs="Tahoma"/>
          <w:bCs/>
          <w:color w:val="auto"/>
          <w:lang w:eastAsia="es-ES"/>
        </w:rPr>
        <w:t xml:space="preserve">Por ser de previo y especial pronunciamiento, este Instituto analiza si se actualiza alguna causal de sobreseimiento. Al respecto, el artículo 192 de la Ley Transparencia y Acceso a la Información Pública del Estado de México y Municipios, señala las causales por las cuales se puede sobreseer en todo o en parte, el Recurso de Revisión; así, del análisis realizado por este Instituto, se advierte </w:t>
      </w:r>
      <w:r w:rsidRPr="007910C3">
        <w:rPr>
          <w:rFonts w:eastAsia="Times New Roman" w:cs="Tahoma"/>
          <w:b/>
          <w:bCs/>
          <w:color w:val="auto"/>
          <w:lang w:eastAsia="es-ES"/>
        </w:rPr>
        <w:t>que no se actualizan los supuestos de sobreseimiento previstos en las fracciones I, II, IV y V</w:t>
      </w:r>
      <w:r w:rsidRPr="007910C3">
        <w:rPr>
          <w:rFonts w:eastAsia="Times New Roman" w:cs="Tahoma"/>
          <w:bCs/>
          <w:color w:val="auto"/>
          <w:lang w:eastAsia="es-ES"/>
        </w:rPr>
        <w:t xml:space="preserve">, del artículo en comento, lo anterior, en virtud de que no hay constancias en el expediente en que se actúa, de que la Recurrente se haya desistido del recurso, haya fallecido, o bien, se haya actualizado alguna causal de improcedencia. </w:t>
      </w:r>
    </w:p>
    <w:p w:rsidRPr="007910C3" w:rsidR="000F0B2E" w:rsidP="000F0B2E" w:rsidRDefault="000F0B2E" w14:paraId="5D4EA379" w14:textId="77777777">
      <w:pPr>
        <w:spacing w:after="0" w:line="360" w:lineRule="auto"/>
        <w:rPr>
          <w:rFonts w:eastAsia="Times New Roman" w:cs="Tahoma"/>
          <w:bCs/>
          <w:color w:val="auto"/>
          <w:lang w:eastAsia="es-ES"/>
        </w:rPr>
      </w:pPr>
    </w:p>
    <w:p w:rsidRPr="007910C3" w:rsidR="000F0B2E" w:rsidP="000F0B2E" w:rsidRDefault="000F0B2E" w14:paraId="2CE24BD3" w14:textId="2E1F95C3">
      <w:pPr>
        <w:spacing w:after="0" w:line="360" w:lineRule="auto"/>
        <w:rPr>
          <w:rFonts w:cs="Tahoma"/>
          <w:szCs w:val="24"/>
          <w:lang w:val="es-ES"/>
        </w:rPr>
      </w:pPr>
      <w:r w:rsidRPr="007910C3">
        <w:rPr>
          <w:rFonts w:cs="Tahoma"/>
          <w:szCs w:val="24"/>
          <w:lang w:val="es-ES"/>
        </w:rPr>
        <w:lastRenderedPageBreak/>
        <w:t xml:space="preserve">No obstante, toda vez que durante la sustanciación del Recurso de Revisión </w:t>
      </w:r>
      <w:r w:rsidRPr="007910C3">
        <w:rPr>
          <w:rFonts w:cs="Tahoma"/>
          <w:b/>
          <w:bCs/>
          <w:szCs w:val="24"/>
        </w:rPr>
        <w:t>15506/INFOEM/IP/RR/2022</w:t>
      </w:r>
      <w:r w:rsidRPr="007910C3">
        <w:rPr>
          <w:rFonts w:cs="Tahoma"/>
          <w:szCs w:val="24"/>
          <w:lang w:val="es-ES"/>
        </w:rPr>
        <w:t xml:space="preserve">, el </w:t>
      </w:r>
      <w:r w:rsidRPr="007910C3" w:rsidR="003B0A84">
        <w:rPr>
          <w:rFonts w:eastAsia="Calibri" w:cs="Tahoma"/>
        </w:rPr>
        <w:t>Ayuntamiento de Valle de Chalco Solidaridad</w:t>
      </w:r>
      <w:r w:rsidRPr="007910C3">
        <w:rPr>
          <w:rFonts w:eastAsia="Calibri" w:cs="Tahoma"/>
        </w:rPr>
        <w:t xml:space="preserve">, </w:t>
      </w:r>
      <w:r w:rsidRPr="007910C3">
        <w:rPr>
          <w:rFonts w:cs="Tahoma"/>
          <w:szCs w:val="24"/>
          <w:lang w:val="es-ES"/>
        </w:rPr>
        <w:t>modificó su respuesta, a través de su Informe Justificado, se estima procedente entrar al estudio de la causal de sobreseimiento prevista en la fracción III, del artículo 192 de la Ley de la Materia.</w:t>
      </w:r>
    </w:p>
    <w:p w:rsidRPr="007910C3" w:rsidR="00FD42FD" w:rsidP="00C853D1" w:rsidRDefault="00FD42FD" w14:paraId="15A3F511" w14:textId="7442BD68">
      <w:pPr>
        <w:spacing w:after="0" w:line="360" w:lineRule="auto"/>
        <w:rPr>
          <w:rFonts w:eastAsia="Calibri" w:cs="Tahoma"/>
          <w:b/>
          <w:color w:val="000000"/>
          <w:szCs w:val="24"/>
          <w:lang w:val="es-ES" w:eastAsia="es-MX"/>
        </w:rPr>
      </w:pPr>
    </w:p>
    <w:p w:rsidRPr="007910C3" w:rsidR="003B0A84" w:rsidP="00C853D1" w:rsidRDefault="00EB66AD" w14:paraId="4FF1FA75" w14:textId="388F767D">
      <w:pPr>
        <w:spacing w:after="0" w:line="360" w:lineRule="auto"/>
        <w:rPr>
          <w:rFonts w:eastAsia="Calibri" w:cs="Tahoma"/>
          <w:bCs/>
          <w:iCs/>
          <w:color w:val="000000"/>
          <w:szCs w:val="24"/>
          <w:lang w:val="es-ES" w:eastAsia="es-MX"/>
        </w:rPr>
      </w:pPr>
      <w:r w:rsidRPr="007910C3">
        <w:rPr>
          <w:rFonts w:eastAsia="Calibri" w:cs="Tahoma"/>
          <w:bCs/>
          <w:color w:val="000000"/>
          <w:szCs w:val="24"/>
          <w:lang w:val="es-ES" w:eastAsia="es-MX"/>
        </w:rPr>
        <w:t xml:space="preserve">En atención a lo anterior, </w:t>
      </w:r>
      <w:r w:rsidRPr="007910C3" w:rsidR="009A2F50">
        <w:rPr>
          <w:rFonts w:eastAsia="Calibri" w:cs="Tahoma"/>
          <w:bCs/>
          <w:iCs/>
          <w:color w:val="000000"/>
          <w:szCs w:val="24"/>
          <w:lang w:val="es-ES" w:eastAsia="es-MX"/>
        </w:rPr>
        <w:t xml:space="preserve">y a efectos de verificar si se actualiza la causal de sobreseimiento, es necesario señalar que el Particular requirió </w:t>
      </w:r>
      <w:r w:rsidRPr="007910C3" w:rsidR="003B0A84">
        <w:rPr>
          <w:rFonts w:eastAsia="Calibri" w:cs="Tahoma"/>
          <w:bCs/>
          <w:iCs/>
          <w:color w:val="000000"/>
          <w:szCs w:val="24"/>
          <w:lang w:val="es-ES" w:eastAsia="es-MX"/>
        </w:rPr>
        <w:t>conocer la</w:t>
      </w:r>
      <w:r w:rsidRPr="007910C3" w:rsidR="00340DD8">
        <w:rPr>
          <w:rFonts w:eastAsia="Calibri" w:cs="Tahoma"/>
          <w:bCs/>
          <w:iCs/>
          <w:color w:val="000000"/>
          <w:szCs w:val="24"/>
          <w:lang w:val="es-ES" w:eastAsia="es-MX"/>
        </w:rPr>
        <w:t xml:space="preserve"> sanción</w:t>
      </w:r>
      <w:r w:rsidRPr="007910C3" w:rsidR="003B0A84">
        <w:rPr>
          <w:rFonts w:eastAsia="Calibri" w:cs="Tahoma"/>
          <w:bCs/>
          <w:iCs/>
          <w:color w:val="000000"/>
          <w:szCs w:val="24"/>
          <w:lang w:val="es-ES" w:eastAsia="es-MX"/>
        </w:rPr>
        <w:t xml:space="preserve"> impuesta</w:t>
      </w:r>
      <w:r w:rsidRPr="007910C3" w:rsidR="00340DD8">
        <w:rPr>
          <w:rFonts w:eastAsia="Calibri" w:cs="Tahoma"/>
          <w:bCs/>
          <w:iCs/>
          <w:color w:val="000000"/>
          <w:szCs w:val="24"/>
          <w:lang w:val="es-ES" w:eastAsia="es-MX"/>
        </w:rPr>
        <w:t xml:space="preserve"> en contra del </w:t>
      </w:r>
      <w:r w:rsidRPr="007910C3" w:rsidR="00A461D3">
        <w:rPr>
          <w:rFonts w:eastAsia="Calibri" w:cs="Tahoma"/>
          <w:bCs/>
          <w:iCs/>
          <w:color w:val="000000"/>
          <w:szCs w:val="24"/>
          <w:lang w:val="es-ES" w:eastAsia="es-MX"/>
        </w:rPr>
        <w:t>Titular de la Unidad de Transparencia</w:t>
      </w:r>
      <w:r w:rsidRPr="007910C3" w:rsidR="003B0A84">
        <w:rPr>
          <w:rFonts w:eastAsia="Calibri" w:cs="Tahoma"/>
          <w:bCs/>
          <w:iCs/>
          <w:color w:val="000000"/>
          <w:szCs w:val="24"/>
          <w:lang w:val="es-ES" w:eastAsia="es-MX"/>
        </w:rPr>
        <w:t>, por organizar fiestas en su unidad administrativa.</w:t>
      </w:r>
      <w:r w:rsidRPr="007910C3" w:rsidR="00443442">
        <w:rPr>
          <w:rFonts w:eastAsia="Calibri" w:cs="Tahoma"/>
          <w:bCs/>
          <w:iCs/>
          <w:color w:val="000000"/>
          <w:szCs w:val="24"/>
          <w:lang w:val="es-ES" w:eastAsia="es-MX"/>
        </w:rPr>
        <w:t xml:space="preserve"> </w:t>
      </w:r>
    </w:p>
    <w:p w:rsidRPr="007910C3" w:rsidR="003B0A84" w:rsidP="00C853D1" w:rsidRDefault="003B0A84" w14:paraId="6678BA12" w14:textId="77777777">
      <w:pPr>
        <w:spacing w:after="0" w:line="360" w:lineRule="auto"/>
        <w:rPr>
          <w:rFonts w:eastAsia="Calibri" w:cs="Tahoma"/>
          <w:bCs/>
          <w:iCs/>
          <w:color w:val="000000"/>
          <w:szCs w:val="24"/>
          <w:lang w:val="es-ES" w:eastAsia="es-MX"/>
        </w:rPr>
      </w:pPr>
    </w:p>
    <w:p w:rsidRPr="007910C3" w:rsidR="003B0A84" w:rsidP="00C853D1" w:rsidRDefault="003830A8" w14:paraId="3BA2073D" w14:textId="06B92C60">
      <w:pPr>
        <w:spacing w:after="0" w:line="360" w:lineRule="auto"/>
        <w:rPr>
          <w:rFonts w:eastAsia="Calibri" w:cs="Tahoma"/>
          <w:iCs/>
          <w:lang w:val="es-ES"/>
        </w:rPr>
      </w:pPr>
      <w:r w:rsidRPr="007910C3">
        <w:rPr>
          <w:rFonts w:eastAsia="Calibri" w:cs="Tahoma"/>
          <w:bCs/>
          <w:iCs/>
          <w:color w:val="000000"/>
          <w:szCs w:val="24"/>
          <w:lang w:val="es-ES" w:eastAsia="es-MX"/>
        </w:rPr>
        <w:t xml:space="preserve">En respuesta, </w:t>
      </w:r>
      <w:r w:rsidRPr="007910C3" w:rsidR="003B0A84">
        <w:rPr>
          <w:rFonts w:eastAsia="Calibri" w:cs="Tahoma"/>
          <w:bCs/>
          <w:iCs/>
          <w:color w:val="000000"/>
          <w:szCs w:val="24"/>
          <w:lang w:val="es-ES" w:eastAsia="es-MX"/>
        </w:rPr>
        <w:t>la Presidencia Municipal</w:t>
      </w:r>
      <w:r w:rsidRPr="007910C3" w:rsidR="00F11261">
        <w:rPr>
          <w:rFonts w:eastAsia="Calibri" w:cs="Tahoma"/>
        </w:rPr>
        <w:t xml:space="preserve"> </w:t>
      </w:r>
      <w:r w:rsidRPr="007910C3" w:rsidR="003B0A84">
        <w:rPr>
          <w:rFonts w:eastAsia="Calibri" w:cs="Tahoma"/>
        </w:rPr>
        <w:t>precisó que no tenía</w:t>
      </w:r>
      <w:r w:rsidRPr="007910C3" w:rsidR="00F11261">
        <w:rPr>
          <w:rFonts w:eastAsia="Calibri" w:cs="Tahoma"/>
        </w:rPr>
        <w:t xml:space="preserve"> registro </w:t>
      </w:r>
      <w:r w:rsidRPr="007910C3" w:rsidR="007E6F97">
        <w:rPr>
          <w:rFonts w:eastAsia="Calibri" w:cs="Tahoma"/>
        </w:rPr>
        <w:t>de</w:t>
      </w:r>
      <w:r w:rsidRPr="007910C3" w:rsidR="003B0A84">
        <w:rPr>
          <w:rFonts w:eastAsia="Calibri" w:cs="Tahoma"/>
        </w:rPr>
        <w:t xml:space="preserve"> alguna sanción en contra del Titular de la Unidad de Transparencia</w:t>
      </w:r>
      <w:r w:rsidRPr="007910C3" w:rsidR="005D6139">
        <w:rPr>
          <w:rFonts w:eastAsia="Calibri" w:cs="Tahoma"/>
        </w:rPr>
        <w:t xml:space="preserve">. </w:t>
      </w:r>
      <w:r w:rsidRPr="007910C3" w:rsidR="004F461D">
        <w:rPr>
          <w:rFonts w:eastAsia="Calibri" w:cs="Tahoma"/>
        </w:rPr>
        <w:t xml:space="preserve">Ante dicha circunstancia el Recurrente interpuso el presente Recurso de Revisión </w:t>
      </w:r>
      <w:r w:rsidRPr="007910C3" w:rsidR="005D3836">
        <w:rPr>
          <w:rFonts w:eastAsia="Calibri" w:cs="Tahoma"/>
        </w:rPr>
        <w:t>señalando</w:t>
      </w:r>
      <w:r w:rsidRPr="007910C3" w:rsidR="004F461D">
        <w:rPr>
          <w:rFonts w:eastAsia="Calibri" w:cs="Tahoma"/>
        </w:rPr>
        <w:t xml:space="preserve"> como </w:t>
      </w:r>
      <w:r w:rsidRPr="007910C3" w:rsidR="005D3836">
        <w:rPr>
          <w:rFonts w:eastAsia="Calibri" w:cs="Tahoma"/>
        </w:rPr>
        <w:t xml:space="preserve">agravio la entrega de información incompleta, circunstancia que actualiza la causal de procedencia prevista en la </w:t>
      </w:r>
      <w:r w:rsidRPr="007910C3" w:rsidR="00422392">
        <w:rPr>
          <w:rFonts w:eastAsia="Calibri" w:cs="Tahoma"/>
        </w:rPr>
        <w:t xml:space="preserve">fracción V, del artículo 179 de la Ley de Transparencia y Acceso a la Información Pública del Estado de México y Municipios. </w:t>
      </w:r>
      <w:r w:rsidRPr="007910C3" w:rsidR="00D11E6B">
        <w:rPr>
          <w:rFonts w:eastAsia="Calibri" w:cs="Tahoma"/>
          <w:iCs/>
          <w:lang w:val="es-ES"/>
        </w:rPr>
        <w:t>Así las cosas, una vez admitido y notificado a las partes el presente Medio de Impugnación, el Sujeto Obligado, a través de su Informe Justificado,</w:t>
      </w:r>
      <w:r w:rsidRPr="007910C3" w:rsidR="003B0A84">
        <w:rPr>
          <w:rFonts w:eastAsia="Calibri" w:cs="Tahoma"/>
          <w:iCs/>
          <w:lang w:val="es-ES"/>
        </w:rPr>
        <w:t xml:space="preserve"> por una parte, ratificó la respuesta inicial, al ratificar la Presidencia que no obraba registro de sanción en contra del servidor público requerido, y por otra parte, modificó su actuar, por medio de la Contraloría Interna, al precisar que después de realizar una búsqueda exhaustiva y razonable en sus archivos, no había sido generada la información.</w:t>
      </w:r>
    </w:p>
    <w:p w:rsidRPr="007910C3" w:rsidR="003B0A84" w:rsidP="00C853D1" w:rsidRDefault="003B0A84" w14:paraId="608DD1C1" w14:textId="77777777">
      <w:pPr>
        <w:spacing w:after="0" w:line="360" w:lineRule="auto"/>
        <w:rPr>
          <w:rFonts w:eastAsia="Calibri" w:cs="Tahoma"/>
          <w:iCs/>
          <w:lang w:val="es-ES"/>
        </w:rPr>
      </w:pPr>
    </w:p>
    <w:p w:rsidRPr="007910C3" w:rsidR="00C2167B" w:rsidP="00C2167B" w:rsidRDefault="00C2167B" w14:paraId="6C56110D" w14:textId="73093BA2">
      <w:pPr>
        <w:spacing w:after="0" w:line="360" w:lineRule="auto"/>
        <w:rPr>
          <w:rFonts w:eastAsia="Calibri" w:cs="Tahoma"/>
        </w:rPr>
      </w:pPr>
      <w:r w:rsidRPr="007910C3">
        <w:rPr>
          <w:rFonts w:eastAsia="Calibri" w:cs="Tahoma"/>
        </w:rPr>
        <w:t xml:space="preserve">Lo anterior, se desprende de las documentales que obran en el expediente de referencia, materia de la presente Resolución, consistentes en: la solicitud de acceso a la información; la respuesta del Sujeto Obligado; </w:t>
      </w:r>
      <w:r w:rsidRPr="007910C3">
        <w:rPr>
          <w:rFonts w:eastAsia="Calibri" w:cs="Tahoma"/>
          <w:bCs/>
        </w:rPr>
        <w:t xml:space="preserve">el </w:t>
      </w:r>
      <w:r w:rsidRPr="007910C3">
        <w:rPr>
          <w:rFonts w:eastAsia="Calibri" w:cs="Tahoma"/>
        </w:rPr>
        <w:t>escrito recursal y el Informe Justificado rendido por el Sujeto Obligado, instrumentales que se toman en cuenta a efecto de resolver el presente medio de impugnación, conforme a lo dispuesto por el artículo 185, fracción IV, de la Ley de Transparencia y Acceso a la Información Pública del Estado de México y Municipios.</w:t>
      </w:r>
    </w:p>
    <w:p w:rsidRPr="007910C3" w:rsidR="0017771F" w:rsidP="0017771F" w:rsidRDefault="00B56821" w14:paraId="3F678EFF" w14:textId="5AD82C72">
      <w:pPr>
        <w:spacing w:after="0" w:line="360" w:lineRule="auto"/>
        <w:rPr>
          <w:rFonts w:eastAsia="Calibri" w:cs="Tahoma"/>
          <w:bCs/>
          <w:color w:val="000000"/>
          <w:szCs w:val="24"/>
          <w:lang w:val="es-ES" w:eastAsia="es-MX"/>
        </w:rPr>
      </w:pPr>
      <w:r w:rsidRPr="007910C3">
        <w:rPr>
          <w:rFonts w:eastAsia="Calibri" w:cs="Tahoma"/>
          <w:bCs/>
          <w:color w:val="000000"/>
          <w:szCs w:val="24"/>
          <w:lang w:val="es-ES" w:eastAsia="es-MX"/>
        </w:rPr>
        <w:lastRenderedPageBreak/>
        <w:t>Establecida dicha circunstancia, se procede analizar la respuesta entregada, para lo cual, en principio, resulta necesario precisar que el</w:t>
      </w:r>
      <w:r w:rsidRPr="007910C3" w:rsidR="0017771F">
        <w:rPr>
          <w:rFonts w:eastAsia="Calibri" w:cs="Tahoma"/>
          <w:bCs/>
          <w:color w:val="000000"/>
          <w:szCs w:val="24"/>
          <w:lang w:val="es-ES" w:eastAsia="es-MX"/>
        </w:rPr>
        <w:t xml:space="preserve"> Sujeto Obligado turnó la solicitud de información a la </w:t>
      </w:r>
      <w:r w:rsidRPr="007910C3" w:rsidR="00652614">
        <w:rPr>
          <w:rFonts w:eastAsia="Calibri" w:cs="Tahoma"/>
          <w:bCs/>
          <w:color w:val="000000"/>
          <w:szCs w:val="24"/>
          <w:lang w:val="es-ES" w:eastAsia="es-MX"/>
        </w:rPr>
        <w:t>Presidencia Municipal</w:t>
      </w:r>
      <w:r w:rsidRPr="007910C3" w:rsidR="0017771F">
        <w:rPr>
          <w:rFonts w:cs="Tahoma"/>
          <w:bCs/>
        </w:rPr>
        <w:t>, por lo que, resulta necesario hacer referencia al procedimiento de búsqueda que deben de seguir los Sujetos Obligados para localizar la información, el cual se encuentra previsto en los artículos 160 y 162 de la Ley de Transparencia y Acceso a la Información Pública del Estado de México y Municipios, mismo que es el siguiente:</w:t>
      </w:r>
    </w:p>
    <w:p w:rsidRPr="007910C3" w:rsidR="0017771F" w:rsidP="0017771F" w:rsidRDefault="0017771F" w14:paraId="02E5A79B" w14:textId="77777777">
      <w:pPr>
        <w:spacing w:after="0" w:line="360" w:lineRule="auto"/>
        <w:rPr>
          <w:rFonts w:cs="Tahoma"/>
          <w:bCs/>
        </w:rPr>
      </w:pPr>
    </w:p>
    <w:p w:rsidRPr="007910C3" w:rsidR="0017771F" w:rsidP="0017771F" w:rsidRDefault="0017771F" w14:paraId="3F5B860D" w14:textId="77777777">
      <w:pPr>
        <w:numPr>
          <w:ilvl w:val="0"/>
          <w:numId w:val="1"/>
        </w:numPr>
        <w:spacing w:after="0" w:line="360" w:lineRule="auto"/>
        <w:rPr>
          <w:rFonts w:eastAsia="Calibri" w:cs="Tahoma"/>
          <w:bCs/>
          <w:color w:val="000000"/>
          <w:lang w:val="es-ES"/>
        </w:rPr>
      </w:pPr>
      <w:r w:rsidRPr="007910C3">
        <w:rPr>
          <w:rFonts w:eastAsia="Calibri" w:cs="Tahoma"/>
          <w:bCs/>
          <w:color w:val="000000"/>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rsidRPr="007910C3" w:rsidR="0017771F" w:rsidP="0017771F" w:rsidRDefault="0017771F" w14:paraId="35328907" w14:textId="77777777">
      <w:pPr>
        <w:spacing w:after="0" w:line="360" w:lineRule="auto"/>
        <w:ind w:left="720"/>
        <w:rPr>
          <w:rFonts w:eastAsia="Calibri" w:cs="Tahoma"/>
          <w:bCs/>
          <w:color w:val="000000"/>
          <w:lang w:val="es-ES"/>
        </w:rPr>
      </w:pPr>
    </w:p>
    <w:p w:rsidRPr="007910C3" w:rsidR="0017771F" w:rsidP="0017771F" w:rsidRDefault="0017771F" w14:paraId="6EBF9606" w14:textId="77777777">
      <w:pPr>
        <w:numPr>
          <w:ilvl w:val="0"/>
          <w:numId w:val="1"/>
        </w:numPr>
        <w:spacing w:after="0" w:line="360" w:lineRule="auto"/>
        <w:rPr>
          <w:rFonts w:eastAsia="Calibri" w:cs="Tahoma"/>
          <w:bCs/>
          <w:color w:val="000000"/>
          <w:lang w:val="es-ES"/>
        </w:rPr>
      </w:pPr>
      <w:r w:rsidRPr="007910C3">
        <w:rPr>
          <w:rFonts w:eastAsia="Calibri" w:cs="Tahoma"/>
          <w:bCs/>
          <w:color w:val="000000"/>
          <w:lang w:val="es-ES"/>
        </w:rPr>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rsidRPr="007910C3" w:rsidR="0017771F" w:rsidP="0017771F" w:rsidRDefault="0017771F" w14:paraId="46EB6522" w14:textId="77777777">
      <w:pPr>
        <w:spacing w:after="0" w:line="360" w:lineRule="auto"/>
        <w:rPr>
          <w:rFonts w:eastAsia="Calibri" w:cs="Tahoma"/>
          <w:bCs/>
          <w:color w:val="000000"/>
        </w:rPr>
      </w:pPr>
    </w:p>
    <w:p w:rsidRPr="007910C3" w:rsidR="00E46581" w:rsidP="00C853D1" w:rsidRDefault="0017771F" w14:paraId="78CD9140" w14:textId="28148E62">
      <w:pPr>
        <w:spacing w:after="0" w:line="360" w:lineRule="auto"/>
        <w:rPr>
          <w:rFonts w:eastAsia="Calibri" w:cs="Tahoma"/>
        </w:rPr>
      </w:pPr>
      <w:r w:rsidRPr="007910C3">
        <w:rPr>
          <w:rFonts w:eastAsia="Calibri" w:cs="Tahoma"/>
          <w:bCs/>
          <w:color w:val="000000"/>
        </w:rPr>
        <w:t>Así, a efecto de determinar si el Sujeto Obligado cumplió con el procedimiento de búsqueda, resulta necesario traer al estudio lo</w:t>
      </w:r>
      <w:r w:rsidRPr="007910C3" w:rsidR="00E46581">
        <w:rPr>
          <w:rFonts w:eastAsia="Calibri" w:cs="Tahoma"/>
          <w:bCs/>
          <w:color w:val="000000"/>
        </w:rPr>
        <w:t xml:space="preserve"> en el artículo 51, fracciones II y III, del Bando Municipal del </w:t>
      </w:r>
      <w:r w:rsidRPr="007910C3" w:rsidR="00E46581">
        <w:rPr>
          <w:rFonts w:eastAsia="Calibri" w:cs="Tahoma"/>
        </w:rPr>
        <w:t xml:space="preserve">Ayuntamiento de Valle de Chalco Solidaridad, numerales que disponen </w:t>
      </w:r>
      <w:r w:rsidRPr="007910C3" w:rsidR="00237E41">
        <w:rPr>
          <w:rFonts w:eastAsia="Calibri" w:cs="Tahoma"/>
        </w:rPr>
        <w:t xml:space="preserve">que el Sujeto Obligado para el despacho de sus asuntos se auxiliara de diversas áreas de entre las cuales se encuentra la </w:t>
      </w:r>
      <w:r w:rsidRPr="007910C3" w:rsidR="00B22C7B">
        <w:rPr>
          <w:rFonts w:eastAsia="Calibri" w:cs="Tahoma"/>
        </w:rPr>
        <w:t>Oficina de la Presidencia Municipal</w:t>
      </w:r>
      <w:r w:rsidRPr="007910C3" w:rsidR="00237E41">
        <w:rPr>
          <w:rFonts w:eastAsia="Calibri" w:cs="Tahoma"/>
        </w:rPr>
        <w:t xml:space="preserve"> y la </w:t>
      </w:r>
      <w:r w:rsidRPr="007910C3" w:rsidR="00E46581">
        <w:rPr>
          <w:rFonts w:eastAsia="Calibri" w:cs="Tahoma"/>
        </w:rPr>
        <w:t>Contraloría Municipal</w:t>
      </w:r>
      <w:r w:rsidRPr="007910C3" w:rsidR="004D3DB8">
        <w:rPr>
          <w:rFonts w:eastAsia="Calibri" w:cs="Tahoma"/>
        </w:rPr>
        <w:t xml:space="preserve">. </w:t>
      </w:r>
      <w:r w:rsidRPr="007910C3" w:rsidR="00956CB4">
        <w:rPr>
          <w:rFonts w:eastAsia="Calibri" w:cs="Tahoma"/>
        </w:rPr>
        <w:t xml:space="preserve">De este modo, el </w:t>
      </w:r>
      <w:r w:rsidRPr="007910C3" w:rsidR="00C4251D">
        <w:rPr>
          <w:rFonts w:eastAsia="Calibri" w:cs="Tahoma"/>
        </w:rPr>
        <w:t xml:space="preserve">Bando Municipal en comento, prevé las siguientes atribuciones para estas áreas: </w:t>
      </w:r>
    </w:p>
    <w:p w:rsidRPr="007910C3" w:rsidR="00C4251D" w:rsidP="00C853D1" w:rsidRDefault="00C4251D" w14:paraId="1E886517" w14:textId="77777777">
      <w:pPr>
        <w:spacing w:after="0" w:line="360" w:lineRule="auto"/>
        <w:rPr>
          <w:rFonts w:eastAsia="Calibri" w:cs="Tahoma"/>
        </w:rPr>
      </w:pPr>
    </w:p>
    <w:p w:rsidRPr="007910C3" w:rsidR="00303B81" w:rsidP="0040039B" w:rsidRDefault="00C4251D" w14:paraId="5AD27068" w14:textId="1119283B">
      <w:pPr>
        <w:pStyle w:val="Prrafodelista"/>
        <w:numPr>
          <w:ilvl w:val="0"/>
          <w:numId w:val="25"/>
        </w:numPr>
        <w:spacing w:line="360" w:lineRule="auto"/>
        <w:rPr>
          <w:rFonts w:eastAsia="Calibri" w:cs="Tahoma"/>
        </w:rPr>
      </w:pPr>
      <w:r w:rsidRPr="007910C3">
        <w:rPr>
          <w:rFonts w:eastAsia="Calibri" w:cs="Tahoma"/>
          <w:b/>
          <w:bCs/>
        </w:rPr>
        <w:lastRenderedPageBreak/>
        <w:t>Oficina de la Presidencia Municipal</w:t>
      </w:r>
      <w:r w:rsidRPr="007910C3">
        <w:rPr>
          <w:rFonts w:eastAsia="Calibri" w:cs="Tahoma"/>
        </w:rPr>
        <w:t xml:space="preserve"> </w:t>
      </w:r>
      <w:r w:rsidRPr="007910C3">
        <w:rPr>
          <w:rFonts w:eastAsia="Calibri" w:cs="Tahoma"/>
          <w:b/>
          <w:bCs/>
        </w:rPr>
        <w:t xml:space="preserve">(artículo </w:t>
      </w:r>
      <w:r w:rsidRPr="007910C3" w:rsidR="00303B81">
        <w:rPr>
          <w:rFonts w:eastAsia="Calibri" w:cs="Tahoma"/>
          <w:b/>
          <w:bCs/>
        </w:rPr>
        <w:t>52)</w:t>
      </w:r>
      <w:r w:rsidRPr="007910C3" w:rsidR="00303B81">
        <w:rPr>
          <w:rFonts w:eastAsia="Calibri" w:cs="Tahoma"/>
        </w:rPr>
        <w:t xml:space="preserve">: Que es el área que </w:t>
      </w:r>
      <w:r w:rsidRPr="007910C3" w:rsidR="00DF3A7C">
        <w:rPr>
          <w:rFonts w:eastAsia="Calibri" w:cs="Tahoma"/>
        </w:rPr>
        <w:t>atenderá los requerimientos que se realicen a través de esta, todo en atención a las instrucciones hechas por el ejecutivo municipal</w:t>
      </w:r>
      <w:r w:rsidRPr="007910C3" w:rsidR="009122C8">
        <w:rPr>
          <w:rFonts w:eastAsia="Calibri" w:cs="Tahoma"/>
        </w:rPr>
        <w:t xml:space="preserve">. </w:t>
      </w:r>
    </w:p>
    <w:p w:rsidRPr="007910C3" w:rsidR="009122C8" w:rsidP="009122C8" w:rsidRDefault="009122C8" w14:paraId="427B2F19" w14:textId="77777777">
      <w:pPr>
        <w:pStyle w:val="Prrafodelista"/>
        <w:spacing w:line="360" w:lineRule="auto"/>
        <w:rPr>
          <w:rFonts w:eastAsia="Calibri" w:cs="Tahoma"/>
        </w:rPr>
      </w:pPr>
    </w:p>
    <w:p w:rsidRPr="007910C3" w:rsidR="009122C8" w:rsidP="00FE1DBC" w:rsidRDefault="009122C8" w14:paraId="535E7C86" w14:textId="1752F948">
      <w:pPr>
        <w:pStyle w:val="Prrafodelista"/>
        <w:numPr>
          <w:ilvl w:val="0"/>
          <w:numId w:val="25"/>
        </w:numPr>
        <w:spacing w:line="360" w:lineRule="auto"/>
        <w:rPr>
          <w:rFonts w:eastAsia="Calibri" w:cs="Tahoma"/>
        </w:rPr>
      </w:pPr>
      <w:r w:rsidRPr="007910C3">
        <w:rPr>
          <w:rFonts w:eastAsia="Calibri" w:cs="Tahoma"/>
          <w:b/>
          <w:bCs/>
        </w:rPr>
        <w:t xml:space="preserve">Contraloría Municipal (Artículos 84 y 85): </w:t>
      </w:r>
      <w:r w:rsidRPr="007910C3" w:rsidR="00B56821">
        <w:rPr>
          <w:rFonts w:eastAsia="Calibri" w:cs="Tahoma"/>
        </w:rPr>
        <w:t xml:space="preserve">Que se encarga de </w:t>
      </w:r>
      <w:r w:rsidRPr="007910C3" w:rsidR="00FE1DBC">
        <w:rPr>
          <w:rFonts w:eastAsia="Calibri" w:cs="Tahoma"/>
        </w:rPr>
        <w:t>investiga</w:t>
      </w:r>
      <w:r w:rsidRPr="007910C3" w:rsidR="00B56821">
        <w:rPr>
          <w:rFonts w:eastAsia="Calibri" w:cs="Tahoma"/>
        </w:rPr>
        <w:t>r</w:t>
      </w:r>
      <w:r w:rsidRPr="007910C3" w:rsidR="00FE1DBC">
        <w:rPr>
          <w:rFonts w:eastAsia="Calibri" w:cs="Tahoma"/>
        </w:rPr>
        <w:t>, substancia</w:t>
      </w:r>
      <w:r w:rsidRPr="007910C3" w:rsidR="00B56821">
        <w:rPr>
          <w:rFonts w:eastAsia="Calibri" w:cs="Tahoma"/>
        </w:rPr>
        <w:t xml:space="preserve">r </w:t>
      </w:r>
      <w:r w:rsidRPr="007910C3" w:rsidR="00FE1DBC">
        <w:rPr>
          <w:rFonts w:eastAsia="Calibri" w:cs="Tahoma"/>
        </w:rPr>
        <w:t>y resol</w:t>
      </w:r>
      <w:r w:rsidRPr="007910C3" w:rsidR="00B56821">
        <w:rPr>
          <w:rFonts w:eastAsia="Calibri" w:cs="Tahoma"/>
        </w:rPr>
        <w:t>ver</w:t>
      </w:r>
      <w:r w:rsidRPr="007910C3" w:rsidR="00FE1DBC">
        <w:rPr>
          <w:rFonts w:eastAsia="Calibri" w:cs="Tahoma"/>
        </w:rPr>
        <w:t xml:space="preserve"> </w:t>
      </w:r>
      <w:r w:rsidRPr="007910C3" w:rsidR="00B56821">
        <w:rPr>
          <w:rFonts w:eastAsia="Calibri" w:cs="Tahoma"/>
        </w:rPr>
        <w:t>procedimientos de responsabilidades administrativas.</w:t>
      </w:r>
    </w:p>
    <w:p w:rsidRPr="007910C3" w:rsidR="009122C8" w:rsidP="00C853D1" w:rsidRDefault="009122C8" w14:paraId="12F01FF5" w14:textId="414A82CB">
      <w:pPr>
        <w:spacing w:after="0" w:line="360" w:lineRule="auto"/>
        <w:rPr>
          <w:rFonts w:eastAsia="Calibri" w:cs="Tahoma"/>
        </w:rPr>
      </w:pPr>
    </w:p>
    <w:p w:rsidRPr="007910C3" w:rsidR="00B56821" w:rsidP="00C853D1" w:rsidRDefault="00B56821" w14:paraId="6A7BD719" w14:textId="77777777">
      <w:pPr>
        <w:spacing w:after="0" w:line="360" w:lineRule="auto"/>
        <w:rPr>
          <w:rFonts w:eastAsia="Calibri" w:cs="Tahoma"/>
        </w:rPr>
      </w:pPr>
      <w:r w:rsidRPr="007910C3">
        <w:rPr>
          <w:rFonts w:eastAsia="Calibri" w:cs="Tahoma"/>
        </w:rPr>
        <w:t xml:space="preserve">Ahora bien, independientemente si las áreas cuentan con atribuciones para conocer de lo peticionado o no, es necesario recordar que el Particular requirió la información de la Presidencia Municipal y la Contraloría Municipal; por lo que, se considera que incumplió con el procedimiento de búsqueda el Ayuntamiento, toda vez que en un principio, únicamente gestiono la solicitud de información a la Presidencia Municipal. </w:t>
      </w:r>
    </w:p>
    <w:p w:rsidRPr="007910C3" w:rsidR="00B56821" w:rsidP="00C853D1" w:rsidRDefault="00B56821" w14:paraId="59E36937" w14:textId="77777777">
      <w:pPr>
        <w:spacing w:after="0" w:line="360" w:lineRule="auto"/>
        <w:rPr>
          <w:rFonts w:eastAsia="Calibri" w:cs="Tahoma"/>
        </w:rPr>
      </w:pPr>
    </w:p>
    <w:p w:rsidRPr="007910C3" w:rsidR="00B56821" w:rsidP="00C853D1" w:rsidRDefault="00B56821" w14:paraId="47B297DF" w14:textId="21FF4745">
      <w:pPr>
        <w:spacing w:after="0" w:line="360" w:lineRule="auto"/>
        <w:rPr>
          <w:rFonts w:eastAsia="Calibri" w:cs="Tahoma"/>
        </w:rPr>
      </w:pPr>
      <w:r w:rsidRPr="007910C3">
        <w:rPr>
          <w:rFonts w:eastAsia="Calibri" w:cs="Tahoma"/>
        </w:rPr>
        <w:t>No obstante, durante la sustanciación del Medio de Impugnación, el Sujeto Obligado cumplió con lo establecido en el artículo 162 de la Ley de Transparencia y Acceso a la Información Pública del Estado de México y Municipios, toda vez que turno el requerimiento de información, por una parte a la Presidencia Municipal y, por otra, a la Contraloría Municipal, que cuenta con las atribuciones específicas para conocer de las sanciones impuestas a los servidores públicos municipales, al cometer faltas administrativas.</w:t>
      </w:r>
      <w:r w:rsidRPr="007910C3" w:rsidR="00F73C8F">
        <w:rPr>
          <w:rFonts w:eastAsia="Calibri" w:cs="Tahoma"/>
        </w:rPr>
        <w:t xml:space="preserve"> </w:t>
      </w:r>
      <w:r w:rsidRPr="007910C3">
        <w:rPr>
          <w:rFonts w:eastAsia="Calibri" w:cs="Tahoma"/>
        </w:rPr>
        <w:t xml:space="preserve">Ahora bien, </w:t>
      </w:r>
      <w:r w:rsidRPr="007910C3" w:rsidR="00F73C8F">
        <w:rPr>
          <w:rFonts w:eastAsia="Calibri" w:cs="Tahoma"/>
        </w:rPr>
        <w:t>dichas áreas manifestaron lo siguiente:</w:t>
      </w:r>
    </w:p>
    <w:p w:rsidRPr="007910C3" w:rsidR="00B56821" w:rsidP="00C853D1" w:rsidRDefault="00B56821" w14:paraId="562273F7" w14:textId="02C7AFD0">
      <w:pPr>
        <w:spacing w:after="0" w:line="360" w:lineRule="auto"/>
        <w:rPr>
          <w:rFonts w:eastAsia="Calibri" w:cs="Tahoma"/>
        </w:rPr>
      </w:pPr>
    </w:p>
    <w:p w:rsidRPr="007910C3" w:rsidR="00B56821" w:rsidP="00F73C8F" w:rsidRDefault="00F73C8F" w14:paraId="41B07350" w14:textId="7508E461">
      <w:pPr>
        <w:pStyle w:val="Prrafodelista"/>
        <w:numPr>
          <w:ilvl w:val="0"/>
          <w:numId w:val="26"/>
        </w:numPr>
        <w:spacing w:line="360" w:lineRule="auto"/>
        <w:rPr>
          <w:rFonts w:eastAsia="Calibri" w:cs="Tahoma"/>
          <w:b/>
          <w:bCs/>
        </w:rPr>
      </w:pPr>
      <w:r w:rsidRPr="007910C3">
        <w:rPr>
          <w:rFonts w:eastAsia="Calibri" w:cs="Tahoma"/>
          <w:b/>
          <w:bCs/>
        </w:rPr>
        <w:t>Presidencia Municipal:</w:t>
      </w:r>
      <w:r w:rsidRPr="007910C3">
        <w:rPr>
          <w:rFonts w:eastAsia="Calibri" w:cs="Tahoma"/>
        </w:rPr>
        <w:t xml:space="preserve"> Tanto en respuesta, como Informe Justificado, precisó que en sus registros no existía alguna sanción en contra del Titular de la Unidad de Transparencia.</w:t>
      </w:r>
    </w:p>
    <w:p w:rsidRPr="007910C3" w:rsidR="00F73C8F" w:rsidP="00F73C8F" w:rsidRDefault="00F73C8F" w14:paraId="712E526C" w14:textId="77777777">
      <w:pPr>
        <w:pStyle w:val="Prrafodelista"/>
        <w:spacing w:line="360" w:lineRule="auto"/>
        <w:rPr>
          <w:rFonts w:eastAsia="Calibri" w:cs="Tahoma"/>
          <w:b/>
          <w:bCs/>
        </w:rPr>
      </w:pPr>
    </w:p>
    <w:p w:rsidRPr="007910C3" w:rsidR="00F73C8F" w:rsidP="00F73C8F" w:rsidRDefault="00F73C8F" w14:paraId="650D4485" w14:textId="0DED441A">
      <w:pPr>
        <w:pStyle w:val="Prrafodelista"/>
        <w:numPr>
          <w:ilvl w:val="0"/>
          <w:numId w:val="26"/>
        </w:numPr>
        <w:spacing w:line="360" w:lineRule="auto"/>
        <w:rPr>
          <w:rFonts w:eastAsia="Calibri" w:cs="Tahoma"/>
          <w:b/>
          <w:bCs/>
        </w:rPr>
      </w:pPr>
      <w:r w:rsidRPr="007910C3">
        <w:rPr>
          <w:rFonts w:eastAsia="Calibri" w:cs="Tahoma"/>
          <w:b/>
          <w:bCs/>
        </w:rPr>
        <w:t xml:space="preserve">Contraloría Municipal: </w:t>
      </w:r>
      <w:r w:rsidRPr="007910C3">
        <w:rPr>
          <w:rFonts w:eastAsia="Calibri" w:cs="Tahoma"/>
        </w:rPr>
        <w:t xml:space="preserve">En Informe Justificado, precisó que después de realizar una búsqueda exhaustiva y razonable en sus archivos, no había generado la información </w:t>
      </w:r>
      <w:r w:rsidRPr="007910C3">
        <w:rPr>
          <w:rFonts w:eastAsia="Calibri" w:cs="Tahoma"/>
        </w:rPr>
        <w:lastRenderedPageBreak/>
        <w:t>requerida, es decir, que no existía sanción en contra del Titular de la Unidad de Transparencia.</w:t>
      </w:r>
    </w:p>
    <w:p w:rsidRPr="007910C3" w:rsidR="00753F3B" w:rsidP="00C853D1" w:rsidRDefault="00753F3B" w14:paraId="3BE7D059" w14:textId="77777777">
      <w:pPr>
        <w:spacing w:after="0" w:line="360" w:lineRule="auto"/>
        <w:rPr>
          <w:rFonts w:eastAsia="Calibri" w:cs="Tahoma"/>
        </w:rPr>
      </w:pPr>
    </w:p>
    <w:p w:rsidRPr="007910C3" w:rsidR="006C69F3" w:rsidP="006C69F3" w:rsidRDefault="00F73C8F" w14:paraId="7503BE0B" w14:textId="5F875FED">
      <w:pPr>
        <w:spacing w:after="0" w:line="360" w:lineRule="auto"/>
        <w:rPr>
          <w:rFonts w:eastAsia="Calibri" w:cs="Tahoma"/>
          <w:lang w:val="es-ES"/>
        </w:rPr>
      </w:pPr>
      <w:r w:rsidRPr="007910C3">
        <w:rPr>
          <w:rFonts w:eastAsia="Calibri" w:cs="Tahoma"/>
        </w:rPr>
        <w:t xml:space="preserve">Sobre dichos pronunciamientos, </w:t>
      </w:r>
      <w:r w:rsidRPr="007910C3" w:rsidR="006C69F3">
        <w:rPr>
          <w:rFonts w:eastAsia="Calibri" w:cs="Tahoma"/>
          <w:bCs/>
        </w:rPr>
        <w:t xml:space="preserve">es </w:t>
      </w:r>
      <w:r w:rsidRPr="007910C3">
        <w:rPr>
          <w:rFonts w:eastAsia="Calibri" w:cs="Tahoma"/>
          <w:bCs/>
        </w:rPr>
        <w:t>de s</w:t>
      </w:r>
      <w:r w:rsidRPr="007910C3" w:rsidR="006C69F3">
        <w:rPr>
          <w:rFonts w:eastAsia="Calibri" w:cs="Tahoma"/>
          <w:bCs/>
        </w:rPr>
        <w:t>eñalar que este Instituto, no tiene atribuciones para pronunciarse sobre la veracidad de la información. A</w:t>
      </w:r>
      <w:r w:rsidRPr="007910C3" w:rsidR="006C69F3">
        <w:rPr>
          <w:rFonts w:eastAsia="Calibri" w:cs="Tahoma"/>
          <w:bCs/>
          <w:iCs/>
        </w:rPr>
        <w:t xml:space="preserve">poya lo anterior, el </w:t>
      </w:r>
      <w:r w:rsidRPr="007910C3" w:rsidR="006C69F3">
        <w:rPr>
          <w:rFonts w:eastAsia="Calibri" w:cs="Tahoma"/>
          <w:bCs/>
          <w:lang w:val="es-ES"/>
        </w:rPr>
        <w:t xml:space="preserve">Criterio de Interpretación, de la Primera Época, con número de registro </w:t>
      </w:r>
      <w:r w:rsidRPr="007910C3" w:rsidR="006C69F3">
        <w:rPr>
          <w:rFonts w:eastAsia="Calibri" w:cs="Tahoma"/>
          <w:bCs/>
        </w:rPr>
        <w:t>SO/031/2010,</w:t>
      </w:r>
      <w:r w:rsidRPr="007910C3" w:rsidR="006C69F3">
        <w:rPr>
          <w:rFonts w:eastAsia="Calibri" w:cs="Tahoma"/>
          <w:bCs/>
          <w:iCs/>
        </w:rPr>
        <w:t xml:space="preserve"> emitido por el Pleno del entonces Instituto Federal de Acceso a la Información y Protección de Datos, que a continuación se cita:</w:t>
      </w:r>
    </w:p>
    <w:p w:rsidRPr="007910C3" w:rsidR="006C69F3" w:rsidP="006C69F3" w:rsidRDefault="006C69F3" w14:paraId="2B9EADB3" w14:textId="77777777">
      <w:pPr>
        <w:spacing w:after="0" w:line="360" w:lineRule="auto"/>
        <w:rPr>
          <w:rFonts w:eastAsia="Calibri" w:cs="Tahoma"/>
          <w:bCs/>
          <w:color w:val="000000"/>
          <w:szCs w:val="24"/>
          <w:lang w:val="es-ES" w:eastAsia="es-MX"/>
        </w:rPr>
      </w:pPr>
    </w:p>
    <w:p w:rsidRPr="007910C3" w:rsidR="006C69F3" w:rsidP="006C69F3" w:rsidRDefault="006C69F3" w14:paraId="017A6FB1" w14:textId="77777777">
      <w:pPr>
        <w:spacing w:after="0" w:line="360" w:lineRule="auto"/>
        <w:ind w:left="567" w:right="567"/>
        <w:rPr>
          <w:rFonts w:eastAsia="Calibri" w:cs="Tahoma"/>
          <w:bCs/>
          <w:i/>
          <w:iCs/>
          <w:color w:val="000000"/>
          <w:sz w:val="20"/>
          <w:szCs w:val="20"/>
          <w:lang w:eastAsia="es-MX"/>
        </w:rPr>
      </w:pPr>
      <w:r w:rsidRPr="007910C3">
        <w:rPr>
          <w:rFonts w:eastAsia="Calibri" w:cs="Tahoma"/>
          <w:b/>
          <w:bCs/>
          <w:i/>
          <w:iCs/>
          <w:color w:val="000000"/>
          <w:sz w:val="20"/>
          <w:szCs w:val="20"/>
          <w:lang w:eastAsia="es-MX"/>
        </w:rPr>
        <w:t xml:space="preserve">“El Instituto Federal de Acceso a la Información y Protección de Datos no cuenta con facultades para pronunciarse respecto de la veracidad de los documentos proporcionados por los sujetos obligados. </w:t>
      </w:r>
      <w:r w:rsidRPr="007910C3">
        <w:rPr>
          <w:rFonts w:eastAsia="Calibri" w:cs="Tahoma"/>
          <w:bCs/>
          <w:i/>
          <w:iCs/>
          <w:color w:val="000000"/>
          <w:sz w:val="20"/>
          <w:szCs w:val="20"/>
          <w:lang w:eastAsia="es-MX"/>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Pr="007910C3" w:rsidR="006C69F3" w:rsidP="006C69F3" w:rsidRDefault="006C69F3" w14:paraId="511B8D9A" w14:textId="77777777">
      <w:pPr>
        <w:spacing w:after="0" w:line="360" w:lineRule="auto"/>
        <w:rPr>
          <w:rFonts w:eastAsia="Calibri" w:cs="Tahoma"/>
          <w:bCs/>
          <w:color w:val="000000"/>
          <w:szCs w:val="24"/>
          <w:lang w:eastAsia="es-MX"/>
        </w:rPr>
      </w:pPr>
    </w:p>
    <w:p w:rsidRPr="007910C3" w:rsidR="006C69F3" w:rsidP="006C69F3" w:rsidRDefault="006C69F3" w14:paraId="29141E8C" w14:textId="77777777">
      <w:pPr>
        <w:spacing w:after="0" w:line="360" w:lineRule="auto"/>
        <w:rPr>
          <w:rFonts w:cs="Tahoma"/>
        </w:rPr>
      </w:pPr>
      <w:r w:rsidRPr="007910C3">
        <w:rPr>
          <w:iCs/>
          <w:lang w:val="es-ES"/>
        </w:rPr>
        <w:t>Conforme a lo expuesto, se logra colegir que el Ente Recurrido</w:t>
      </w:r>
      <w:r w:rsidRPr="007910C3">
        <w:rPr>
          <w:iCs/>
        </w:rPr>
        <w:t xml:space="preserve"> </w:t>
      </w:r>
      <w:r w:rsidRPr="007910C3">
        <w:rPr>
          <w:iCs/>
          <w:lang w:val="es-ES"/>
        </w:rPr>
        <w:t>aludió a que la información era inexistente; sobre el tema, e</w:t>
      </w:r>
      <w:r w:rsidRPr="007910C3">
        <w:rPr>
          <w:lang w:val="es-ES_tradnl"/>
        </w:rPr>
        <w:t xml:space="preserve">l </w:t>
      </w:r>
      <w:r w:rsidRPr="007910C3">
        <w:rPr>
          <w:rFonts w:cs="Tahoma"/>
        </w:rPr>
        <w:t>Criterio SO/014/2017, emitido por el Instituto Nacional de Transparencia, Acceso a la Información Pública y Protección de Datos Personales en el Estado de México y Municipios, que señala lo siguiente:</w:t>
      </w:r>
    </w:p>
    <w:p w:rsidRPr="007910C3" w:rsidR="006C69F3" w:rsidP="006C69F3" w:rsidRDefault="006C69F3" w14:paraId="03E49863" w14:textId="77777777">
      <w:pPr>
        <w:spacing w:after="0" w:line="360" w:lineRule="auto"/>
      </w:pPr>
    </w:p>
    <w:p w:rsidRPr="007910C3" w:rsidR="006C69F3" w:rsidP="006C69F3" w:rsidRDefault="006C69F3" w14:paraId="73B6B1ED" w14:textId="77777777">
      <w:pPr>
        <w:spacing w:after="0" w:line="360" w:lineRule="auto"/>
        <w:ind w:left="567" w:right="567"/>
        <w:rPr>
          <w:bCs/>
          <w:i/>
          <w:sz w:val="20"/>
          <w:szCs w:val="20"/>
          <w:lang w:val="es-ES"/>
        </w:rPr>
      </w:pPr>
      <w:r w:rsidRPr="007910C3">
        <w:rPr>
          <w:bCs/>
          <w:i/>
          <w:sz w:val="20"/>
          <w:szCs w:val="20"/>
          <w:lang w:val="es-ES"/>
        </w:rPr>
        <w:lastRenderedPageBreak/>
        <w:t>“</w:t>
      </w:r>
      <w:r w:rsidRPr="007910C3">
        <w:rPr>
          <w:b/>
          <w:bCs/>
          <w:i/>
          <w:sz w:val="20"/>
          <w:szCs w:val="20"/>
          <w:lang w:val="es-ES"/>
        </w:rPr>
        <w:t xml:space="preserve">Inexistencia. </w:t>
      </w:r>
      <w:r w:rsidRPr="007910C3">
        <w:rPr>
          <w:bCs/>
          <w:i/>
          <w:sz w:val="20"/>
          <w:szCs w:val="20"/>
          <w:lang w:val="es-ES"/>
        </w:rPr>
        <w:t>La inexistencia es una cuestión de hecho que se atribuye a la información solicitada e implica que ésta no se encuentra en los archivos del sujeto obligado, no obstante que cuenta con facultades para poseerla.”</w:t>
      </w:r>
    </w:p>
    <w:p w:rsidRPr="007910C3" w:rsidR="006C69F3" w:rsidP="006C69F3" w:rsidRDefault="006C69F3" w14:paraId="42D4D87E" w14:textId="77777777">
      <w:pPr>
        <w:spacing w:after="0" w:line="360" w:lineRule="auto"/>
        <w:rPr>
          <w:bCs/>
        </w:rPr>
      </w:pPr>
    </w:p>
    <w:p w:rsidRPr="007910C3" w:rsidR="006C69F3" w:rsidP="006C69F3" w:rsidRDefault="006C69F3" w14:paraId="7A823C4D" w14:textId="77777777">
      <w:pPr>
        <w:spacing w:after="0" w:line="360" w:lineRule="auto"/>
        <w:rPr>
          <w:lang w:val="es-ES"/>
        </w:rPr>
      </w:pPr>
      <w:r w:rsidRPr="007910C3">
        <w:t xml:space="preserve">Del citado criterio, se desprende que la inexistencia de la información, es una cuestión de hecho que se le atribuye a la misma, cuando ésta no se encuentra en los archivos del sujeto obligado. </w:t>
      </w:r>
      <w:r w:rsidRPr="007910C3">
        <w:rPr>
          <w:lang w:val="es-ES"/>
        </w:rPr>
        <w:t xml:space="preserve">En ese orden de ideas, según Trujillo, Humberto (2019), en el “Diccionario de Transparencia y Acceso a la Información Pública” (p. 171), </w:t>
      </w:r>
      <w:r w:rsidRPr="007910C3">
        <w:rPr>
          <w:b/>
          <w:bCs/>
          <w:lang w:val="es-ES"/>
        </w:rPr>
        <w:t>la inexistencia de la información</w:t>
      </w:r>
      <w:r w:rsidRPr="007910C3">
        <w:rPr>
          <w:lang w:val="es-ES"/>
        </w:rPr>
        <w:t>, es cuando la información requerida no se encuentra en los archivos públicos, reservados o clasificados, de los sujetos obligados.</w:t>
      </w:r>
    </w:p>
    <w:p w:rsidRPr="007910C3" w:rsidR="006C69F3" w:rsidP="006C69F3" w:rsidRDefault="006C69F3" w14:paraId="715050B4" w14:textId="77777777">
      <w:pPr>
        <w:spacing w:after="0" w:line="360" w:lineRule="auto"/>
        <w:rPr>
          <w:lang w:val="es-ES"/>
        </w:rPr>
      </w:pPr>
    </w:p>
    <w:p w:rsidRPr="007910C3" w:rsidR="006C69F3" w:rsidP="006C69F3" w:rsidRDefault="006C69F3" w14:paraId="3134F79D" w14:textId="77777777">
      <w:pPr>
        <w:spacing w:after="0" w:line="360" w:lineRule="auto"/>
        <w:rPr>
          <w:rFonts w:eastAsia="Times New Roman" w:cs="Tahoma"/>
          <w:bCs/>
          <w:iCs/>
          <w:lang w:val="es-ES" w:eastAsia="es-ES"/>
        </w:rPr>
      </w:pPr>
      <w:r w:rsidRPr="007910C3">
        <w:rPr>
          <w:rFonts w:eastAsia="Times New Roman" w:cs="Tahoma"/>
          <w:color w:val="auto"/>
          <w:lang w:val="es-ES" w:eastAsia="es-ES"/>
        </w:rPr>
        <w:t>Así</w:t>
      </w:r>
      <w:r w:rsidRPr="007910C3">
        <w:rPr>
          <w:rFonts w:eastAsia="Times New Roman" w:cs="Tahoma"/>
          <w:color w:val="auto"/>
          <w:lang w:eastAsia="es-ES"/>
        </w:rPr>
        <w:t xml:space="preserve">, es posible concluir que la </w:t>
      </w:r>
      <w:r w:rsidRPr="007910C3">
        <w:rPr>
          <w:rFonts w:eastAsia="Times New Roman" w:cs="Tahoma"/>
          <w:b/>
          <w:color w:val="auto"/>
          <w:lang w:eastAsia="es-ES"/>
        </w:rPr>
        <w:t>inexistencia</w:t>
      </w:r>
      <w:r w:rsidRPr="007910C3">
        <w:rPr>
          <w:rFonts w:eastAsia="Times New Roman" w:cs="Tahoma"/>
          <w:color w:val="auto"/>
          <w:lang w:eastAsia="es-ES"/>
        </w:rPr>
        <w:t xml:space="preserve"> presupone la competencia del sujeto obligado para conocer de la información, pero por alguna circunstancia, la documentación solicitada no obra en sus archivos; sin embargo, </w:t>
      </w:r>
      <w:r w:rsidRPr="007910C3">
        <w:rPr>
          <w:rFonts w:eastAsia="Times New Roman" w:cs="Tahoma"/>
          <w:bCs/>
          <w:color w:val="auto"/>
          <w:lang w:eastAsia="es-ES"/>
        </w:rPr>
        <w:t>no basta con que los sujetos obligados señalen dicha circunstancia, sino que también debe de señalar las razones por las cuales no cuentan con lo peticionado, es decir, las circunstancias que dan lugar a la inexistencia.</w:t>
      </w:r>
    </w:p>
    <w:p w:rsidRPr="007910C3" w:rsidR="006C69F3" w:rsidP="007A5B3B" w:rsidRDefault="006C69F3" w14:paraId="36019025" w14:textId="77777777">
      <w:pPr>
        <w:spacing w:after="0" w:line="360" w:lineRule="auto"/>
        <w:rPr>
          <w:rFonts w:eastAsia="Calibri" w:cs="Tahoma"/>
          <w:lang w:val="es-ES"/>
        </w:rPr>
      </w:pPr>
    </w:p>
    <w:p w:rsidRPr="007910C3" w:rsidR="007A5B3B" w:rsidP="007A5B3B" w:rsidRDefault="00F73C8F" w14:paraId="45C5A282" w14:textId="25DE9C2C">
      <w:pPr>
        <w:spacing w:after="0" w:line="360" w:lineRule="auto"/>
        <w:rPr>
          <w:rFonts w:eastAsia="Times New Roman" w:cs="Tahoma"/>
          <w:iCs/>
          <w:color w:val="auto"/>
          <w:lang w:val="es-ES" w:eastAsia="es-ES"/>
        </w:rPr>
      </w:pPr>
      <w:r w:rsidRPr="007910C3">
        <w:rPr>
          <w:rFonts w:eastAsia="Calibri" w:cs="Tahoma"/>
          <w:lang w:val="es-ES"/>
        </w:rPr>
        <w:t xml:space="preserve">Sobre el </w:t>
      </w:r>
      <w:r w:rsidRPr="007910C3" w:rsidR="007A5B3B">
        <w:rPr>
          <w:rFonts w:eastAsia="Times New Roman" w:cs="Tahoma"/>
          <w:iCs/>
          <w:color w:val="auto"/>
          <w:lang w:val="es-ES" w:eastAsia="es-ES"/>
        </w:rPr>
        <w:t xml:space="preserve">tema, el artículo 9°, fracción V, de la Ley de Responsabilidades Administrativas del Estado de México y Municipios, establece que los Órganos de Contraloría Interna de índole Municipal son autoridades facultadas para aplicar la Ley de comento. Así mismo, los párrafos primero y tercero, del artículo 10, establecen que </w:t>
      </w:r>
      <w:r w:rsidRPr="007910C3" w:rsidR="007A5B3B">
        <w:rPr>
          <w:rFonts w:eastAsia="Times New Roman" w:cs="Tahoma"/>
          <w:iCs/>
          <w:color w:val="auto"/>
          <w:lang w:eastAsia="es-ES"/>
        </w:rPr>
        <w:t>los órganos internos de control tendrán a su cargo, en el ámbito de su competencia, la investigación, substanciación y calificación de las faltas administrativas, además de que, tratándose de actos u omisiones que hayan sido calificados como faltas administrativas no graves, los órganos internos de control serán competentes para iniciar, substanciar y resolver los procedimientos de responsabilidad administrativa.</w:t>
      </w:r>
      <w:r w:rsidRPr="007910C3" w:rsidR="003059EA">
        <w:rPr>
          <w:rFonts w:eastAsia="Times New Roman" w:cs="Tahoma"/>
          <w:iCs/>
          <w:color w:val="auto"/>
          <w:lang w:eastAsia="es-ES"/>
        </w:rPr>
        <w:t xml:space="preserve"> </w:t>
      </w:r>
      <w:r w:rsidRPr="007910C3" w:rsidR="007A5B3B">
        <w:rPr>
          <w:rFonts w:eastAsia="Times New Roman" w:cs="Tahoma"/>
          <w:iCs/>
          <w:color w:val="auto"/>
          <w:lang w:val="es-ES" w:eastAsia="es-ES"/>
        </w:rPr>
        <w:t xml:space="preserve">En esa misma tesitura, el </w:t>
      </w:r>
      <w:r w:rsidRPr="007910C3" w:rsidR="003B0A84">
        <w:rPr>
          <w:rFonts w:eastAsia="Times New Roman" w:cs="Tahoma"/>
          <w:iCs/>
          <w:color w:val="auto"/>
          <w:lang w:val="es-ES" w:eastAsia="es-ES"/>
        </w:rPr>
        <w:t>artículo</w:t>
      </w:r>
      <w:r w:rsidRPr="007910C3" w:rsidR="007A5B3B">
        <w:rPr>
          <w:rFonts w:eastAsia="Times New Roman" w:cs="Tahoma"/>
          <w:iCs/>
          <w:color w:val="auto"/>
          <w:lang w:val="es-ES" w:eastAsia="es-ES"/>
        </w:rPr>
        <w:t xml:space="preserve"> 11 de la Ley de Responsabilidades </w:t>
      </w:r>
      <w:r w:rsidRPr="007910C3" w:rsidR="007A5B3B">
        <w:rPr>
          <w:rFonts w:eastAsia="Times New Roman" w:cs="Tahoma"/>
          <w:iCs/>
          <w:color w:val="auto"/>
          <w:lang w:val="es-ES" w:eastAsia="es-ES"/>
        </w:rPr>
        <w:lastRenderedPageBreak/>
        <w:t xml:space="preserve">Administrativas del Estado de México y Municipios, faculta a los órganos internos de control para: </w:t>
      </w:r>
    </w:p>
    <w:p w:rsidRPr="007910C3" w:rsidR="007A5B3B" w:rsidP="007A5B3B" w:rsidRDefault="007A5B3B" w14:paraId="49F83DE7" w14:textId="77777777">
      <w:pPr>
        <w:spacing w:after="0" w:line="360" w:lineRule="auto"/>
        <w:rPr>
          <w:rFonts w:eastAsia="Times New Roman" w:cs="Tahoma"/>
          <w:iCs/>
          <w:color w:val="auto"/>
          <w:lang w:val="es-ES" w:eastAsia="es-ES"/>
        </w:rPr>
      </w:pPr>
    </w:p>
    <w:p w:rsidRPr="007910C3" w:rsidR="007A5B3B" w:rsidP="007A5B3B" w:rsidRDefault="007A5B3B" w14:paraId="536B973E" w14:textId="77777777">
      <w:pPr>
        <w:pStyle w:val="Prrafodelista"/>
        <w:numPr>
          <w:ilvl w:val="0"/>
          <w:numId w:val="24"/>
        </w:numPr>
        <w:spacing w:line="360" w:lineRule="auto"/>
        <w:rPr>
          <w:rFonts w:cs="Tahoma"/>
          <w:iCs/>
          <w:color w:val="auto"/>
          <w:lang w:val="es-ES"/>
        </w:rPr>
      </w:pPr>
      <w:r w:rsidRPr="007910C3">
        <w:rPr>
          <w:rFonts w:cs="Tahoma"/>
          <w:iCs/>
          <w:color w:val="auto"/>
        </w:rPr>
        <w:t xml:space="preserve">Implementar los mecanismos internos que prevengan actos u omisiones que pudieran </w:t>
      </w:r>
      <w:r w:rsidRPr="007910C3">
        <w:rPr>
          <w:rFonts w:cs="Tahoma"/>
          <w:iCs/>
          <w:color w:val="auto"/>
          <w:lang w:val="es-ES"/>
        </w:rPr>
        <w:t>constituir responsabilidades administrativas, en los términos establecidos por el Sistema Estatal Anticorrupción.</w:t>
      </w:r>
    </w:p>
    <w:p w:rsidRPr="007910C3" w:rsidR="007A5B3B" w:rsidP="007A5B3B" w:rsidRDefault="007A5B3B" w14:paraId="50D47714" w14:textId="77777777">
      <w:pPr>
        <w:pStyle w:val="Prrafodelista"/>
        <w:numPr>
          <w:ilvl w:val="0"/>
          <w:numId w:val="24"/>
        </w:numPr>
        <w:spacing w:line="360" w:lineRule="auto"/>
        <w:rPr>
          <w:rFonts w:cs="Tahoma"/>
          <w:iCs/>
          <w:color w:val="auto"/>
          <w:lang w:val="es-ES"/>
        </w:rPr>
      </w:pPr>
      <w:r w:rsidRPr="007910C3">
        <w:rPr>
          <w:rFonts w:cs="Tahoma"/>
          <w:iCs/>
          <w:color w:val="auto"/>
          <w:lang w:val="es-ES"/>
        </w:rPr>
        <w:t>Revisar el ingreso, egreso, manejo, custodia y aplicación de recursos públicos, según corresponda</w:t>
      </w:r>
      <w:r w:rsidRPr="007910C3">
        <w:rPr>
          <w:rFonts w:cs="Tahoma"/>
          <w:iCs/>
          <w:color w:val="auto"/>
        </w:rPr>
        <w:t xml:space="preserve"> en el ámbito de su competencia.</w:t>
      </w:r>
    </w:p>
    <w:p w:rsidRPr="007910C3" w:rsidR="007A5B3B" w:rsidP="007A5B3B" w:rsidRDefault="007A5B3B" w14:paraId="6855C337" w14:textId="77777777">
      <w:pPr>
        <w:pStyle w:val="Prrafodelista"/>
        <w:numPr>
          <w:ilvl w:val="0"/>
          <w:numId w:val="24"/>
        </w:numPr>
        <w:spacing w:line="360" w:lineRule="auto"/>
        <w:rPr>
          <w:rFonts w:cs="Tahoma"/>
          <w:iCs/>
          <w:color w:val="auto"/>
          <w:lang w:val="es-ES"/>
        </w:rPr>
      </w:pPr>
      <w:r w:rsidRPr="007910C3">
        <w:rPr>
          <w:rFonts w:cs="Tahoma"/>
          <w:iCs/>
          <w:color w:val="auto"/>
        </w:rPr>
        <w:t>Presentar denuncias por hechos que las leyes señalen como delitos ante la Fiscalía General de Justicia del Estado de México o en su caso ante el homólogo en el ámbito federal</w:t>
      </w:r>
    </w:p>
    <w:p w:rsidRPr="007910C3" w:rsidR="00B22907" w:rsidP="00B22907" w:rsidRDefault="00B22907" w14:paraId="0EE85D29" w14:textId="77777777">
      <w:pPr>
        <w:spacing w:after="0" w:line="360" w:lineRule="auto"/>
        <w:rPr>
          <w:rFonts w:eastAsia="Times New Roman" w:cs="Tahoma"/>
          <w:iCs/>
          <w:color w:val="auto"/>
          <w:lang w:val="es-ES" w:eastAsia="es-ES"/>
        </w:rPr>
      </w:pPr>
    </w:p>
    <w:p w:rsidRPr="007910C3" w:rsidR="009E2736" w:rsidP="009E2736" w:rsidRDefault="009E2736" w14:paraId="0BF8084D" w14:textId="4167972C">
      <w:pPr>
        <w:spacing w:after="0" w:line="360" w:lineRule="auto"/>
        <w:rPr>
          <w:rFonts w:eastAsia="Times New Roman" w:cs="Tahoma"/>
          <w:bCs/>
          <w:iCs/>
          <w:color w:val="auto"/>
          <w:lang w:eastAsia="es-ES"/>
        </w:rPr>
      </w:pPr>
      <w:r w:rsidRPr="007910C3">
        <w:rPr>
          <w:rFonts w:eastAsia="Times New Roman" w:cs="Tahoma"/>
          <w:bCs/>
          <w:iCs/>
          <w:color w:val="auto"/>
          <w:lang w:eastAsia="es-ES"/>
        </w:rPr>
        <w:t>En ese contexto, el Ente Recurrido indicó</w:t>
      </w:r>
      <w:r w:rsidRPr="007910C3">
        <w:rPr>
          <w:rFonts w:eastAsia="Times New Roman" w:cs="Tahoma"/>
          <w:iCs/>
          <w:color w:val="auto"/>
          <w:lang w:eastAsia="es-ES"/>
        </w:rPr>
        <w:t xml:space="preserve"> </w:t>
      </w:r>
      <w:r w:rsidRPr="007910C3">
        <w:rPr>
          <w:rFonts w:eastAsia="Times New Roman" w:cs="Tahoma"/>
          <w:bCs/>
          <w:iCs/>
          <w:color w:val="auto"/>
          <w:lang w:eastAsia="es-ES"/>
        </w:rPr>
        <w:t xml:space="preserve">las circunstancias por las cuales no contaba con la información, a saber, que no </w:t>
      </w:r>
      <w:r w:rsidRPr="007910C3" w:rsidR="00F73C8F">
        <w:rPr>
          <w:rFonts w:eastAsia="Times New Roman" w:cs="Tahoma"/>
          <w:bCs/>
          <w:iCs/>
          <w:color w:val="auto"/>
          <w:lang w:eastAsia="es-ES"/>
        </w:rPr>
        <w:t xml:space="preserve">existía sanción en contra del </w:t>
      </w:r>
      <w:r w:rsidRPr="007910C3" w:rsidR="00EE41FB">
        <w:rPr>
          <w:rFonts w:eastAsia="Times New Roman" w:cs="Tahoma"/>
          <w:bCs/>
          <w:iCs/>
          <w:color w:val="auto"/>
          <w:lang w:eastAsia="es-ES"/>
        </w:rPr>
        <w:t>Titular de la Unidad de Transparencia</w:t>
      </w:r>
      <w:r w:rsidRPr="007910C3" w:rsidR="00117E9D">
        <w:rPr>
          <w:rFonts w:eastAsia="Times New Roman" w:cs="Tahoma"/>
          <w:bCs/>
          <w:iCs/>
          <w:color w:val="auto"/>
          <w:lang w:eastAsia="es-ES"/>
        </w:rPr>
        <w:t xml:space="preserve">, </w:t>
      </w:r>
      <w:r w:rsidRPr="007910C3">
        <w:rPr>
          <w:rFonts w:eastAsia="Times New Roman" w:cs="Tahoma"/>
          <w:bCs/>
          <w:iCs/>
          <w:color w:val="auto"/>
          <w:lang w:eastAsia="es-ES"/>
        </w:rPr>
        <w:t>a</w:t>
      </w:r>
      <w:r w:rsidRPr="007910C3">
        <w:rPr>
          <w:rFonts w:eastAsia="Times New Roman" w:cs="Tahoma"/>
          <w:iCs/>
          <w:color w:val="auto"/>
          <w:lang w:val="es-ES" w:eastAsia="es-ES"/>
        </w:rPr>
        <w:t xml:space="preserve">demás, este Instituto realizó una búsqueda respecto a lo solicitado, en la página oficial del </w:t>
      </w:r>
      <w:r w:rsidRPr="007910C3" w:rsidR="00117E9D">
        <w:rPr>
          <w:rFonts w:eastAsia="Times New Roman" w:cs="Tahoma"/>
          <w:iCs/>
          <w:color w:val="auto"/>
          <w:lang w:eastAsia="es-ES"/>
        </w:rPr>
        <w:t>Ayuntamiento de Valle de Chalco Solidaridad</w:t>
      </w:r>
      <w:r w:rsidRPr="007910C3">
        <w:rPr>
          <w:rFonts w:eastAsia="Times New Roman" w:cs="Tahoma"/>
          <w:iCs/>
          <w:color w:val="auto"/>
          <w:lang w:val="es-ES" w:eastAsia="es-ES"/>
        </w:rPr>
        <w:t xml:space="preserve">, así como, sus Portal de Información Pública de Oficio Mexiquense y las cuentas oficiales de las redes sociales y no se localizó algún indicio respecto a que se haya </w:t>
      </w:r>
      <w:r w:rsidRPr="007910C3" w:rsidR="00117E9D">
        <w:rPr>
          <w:rFonts w:eastAsia="Times New Roman" w:cs="Tahoma"/>
          <w:iCs/>
          <w:color w:val="auto"/>
          <w:lang w:val="es-ES" w:eastAsia="es-ES"/>
        </w:rPr>
        <w:t xml:space="preserve">generado </w:t>
      </w:r>
      <w:r w:rsidRPr="007910C3" w:rsidR="00820C5D">
        <w:rPr>
          <w:rFonts w:eastAsia="Times New Roman" w:cs="Tahoma"/>
          <w:iCs/>
          <w:color w:val="auto"/>
          <w:lang w:val="es-ES" w:eastAsia="es-ES"/>
        </w:rPr>
        <w:t xml:space="preserve">la información de </w:t>
      </w:r>
      <w:r w:rsidRPr="007910C3" w:rsidR="002E2BC9">
        <w:rPr>
          <w:rFonts w:eastAsia="Times New Roman" w:cs="Tahoma"/>
          <w:iCs/>
          <w:color w:val="auto"/>
          <w:lang w:val="es-ES" w:eastAsia="es-ES"/>
        </w:rPr>
        <w:t>interés</w:t>
      </w:r>
      <w:r w:rsidRPr="007910C3" w:rsidR="00820C5D">
        <w:rPr>
          <w:rFonts w:eastAsia="Times New Roman" w:cs="Tahoma"/>
          <w:iCs/>
          <w:color w:val="auto"/>
          <w:lang w:val="es-ES" w:eastAsia="es-ES"/>
        </w:rPr>
        <w:t xml:space="preserve"> del hoy Recurrente</w:t>
      </w:r>
    </w:p>
    <w:p w:rsidRPr="007910C3" w:rsidR="009E2736" w:rsidP="009E2736" w:rsidRDefault="009E2736" w14:paraId="45632A9E" w14:textId="77777777">
      <w:pPr>
        <w:spacing w:after="0" w:line="360" w:lineRule="auto"/>
        <w:rPr>
          <w:rFonts w:eastAsia="Times New Roman" w:cs="Tahoma"/>
          <w:iCs/>
          <w:color w:val="auto"/>
          <w:lang w:val="es-ES" w:eastAsia="es-ES"/>
        </w:rPr>
      </w:pPr>
    </w:p>
    <w:p w:rsidRPr="007910C3" w:rsidR="009E2736" w:rsidP="009E2736" w:rsidRDefault="009E2736" w14:paraId="0866D588" w14:textId="5BC71850">
      <w:pPr>
        <w:spacing w:after="0" w:line="360" w:lineRule="auto"/>
        <w:rPr>
          <w:rFonts w:eastAsia="Times New Roman" w:cs="Tahoma"/>
          <w:iCs/>
          <w:color w:val="auto"/>
          <w:lang w:val="es-ES" w:eastAsia="es-ES"/>
        </w:rPr>
      </w:pPr>
      <w:r w:rsidRPr="007910C3">
        <w:rPr>
          <w:rFonts w:eastAsia="Times New Roman" w:cs="Tahoma"/>
          <w:iCs/>
          <w:color w:val="auto"/>
          <w:lang w:val="es-ES" w:eastAsia="es-ES"/>
        </w:rPr>
        <w:t>Por tales consideraciones, se advierte que la información solicitada es inexistente, así como, que la</w:t>
      </w:r>
      <w:r w:rsidRPr="007910C3" w:rsidR="00F73C8F">
        <w:rPr>
          <w:rFonts w:eastAsia="Times New Roman" w:cs="Tahoma"/>
          <w:iCs/>
          <w:color w:val="auto"/>
          <w:lang w:val="es-ES" w:eastAsia="es-ES"/>
        </w:rPr>
        <w:t xml:space="preserve"> Presidencia Municipal y la</w:t>
      </w:r>
      <w:r w:rsidRPr="007910C3">
        <w:rPr>
          <w:rFonts w:eastAsia="Times New Roman" w:cs="Tahoma"/>
          <w:iCs/>
          <w:color w:val="auto"/>
          <w:lang w:val="es-ES" w:eastAsia="es-ES"/>
        </w:rPr>
        <w:t xml:space="preserve"> </w:t>
      </w:r>
      <w:r w:rsidRPr="007910C3">
        <w:rPr>
          <w:rFonts w:eastAsia="Times New Roman" w:cs="Tahoma"/>
          <w:iCs/>
          <w:color w:val="auto"/>
          <w:lang w:eastAsia="es-ES"/>
        </w:rPr>
        <w:t>Contraloría Interna</w:t>
      </w:r>
      <w:r w:rsidRPr="007910C3" w:rsidR="00F73C8F">
        <w:rPr>
          <w:rFonts w:eastAsia="Times New Roman" w:cs="Tahoma"/>
          <w:bCs/>
          <w:iCs/>
          <w:color w:val="auto"/>
          <w:lang w:val="es-ES" w:eastAsia="es-ES"/>
        </w:rPr>
        <w:t xml:space="preserve"> señalaron</w:t>
      </w:r>
      <w:r w:rsidRPr="007910C3">
        <w:rPr>
          <w:rFonts w:eastAsia="Times New Roman" w:cs="Tahoma"/>
          <w:iCs/>
          <w:color w:val="auto"/>
          <w:lang w:val="es-ES" w:eastAsia="es-ES"/>
        </w:rPr>
        <w:t xml:space="preserve"> las razones por las cuales no contaba con lo peticionado; </w:t>
      </w:r>
      <w:r w:rsidRPr="007910C3">
        <w:rPr>
          <w:rFonts w:eastAsia="Times New Roman" w:cs="Tahoma"/>
          <w:iCs/>
          <w:color w:val="auto"/>
          <w:lang w:eastAsia="es-ES"/>
        </w:rPr>
        <w:t xml:space="preserve">al respecto, se trae a colación, el </w:t>
      </w:r>
      <w:r w:rsidRPr="007910C3">
        <w:rPr>
          <w:rFonts w:eastAsia="Times New Roman" w:cs="Tahoma"/>
          <w:iCs/>
          <w:color w:val="auto"/>
          <w:lang w:val="es-ES" w:eastAsia="es-ES"/>
        </w:rPr>
        <w:t xml:space="preserve">artículo 19, segundo párrafo, de la Ley de Transparencia y Acceso a la Información Pública del Estado de México y Municipios, que establece que en el caso de que ciertas facultades, competencias o funciones no se hayan ejercido, se debe motivar la respuesta en función de las causas que motiven tal circunstancia. </w:t>
      </w:r>
    </w:p>
    <w:p w:rsidRPr="007910C3" w:rsidR="009E2736" w:rsidP="009E2736" w:rsidRDefault="009E2736" w14:paraId="6C1A659F" w14:textId="77777777">
      <w:pPr>
        <w:spacing w:after="0" w:line="360" w:lineRule="auto"/>
        <w:rPr>
          <w:rFonts w:eastAsia="Times New Roman" w:cs="Tahoma"/>
          <w:iCs/>
          <w:color w:val="auto"/>
          <w:lang w:eastAsia="es-ES"/>
        </w:rPr>
      </w:pPr>
    </w:p>
    <w:p w:rsidRPr="007910C3" w:rsidR="009E2736" w:rsidP="009E2736" w:rsidRDefault="009E2736" w14:paraId="4BB96CD6" w14:textId="77777777">
      <w:pPr>
        <w:spacing w:after="0" w:line="360" w:lineRule="auto"/>
        <w:rPr>
          <w:rFonts w:eastAsia="Times New Roman" w:cs="Tahoma"/>
          <w:bCs/>
          <w:iCs/>
          <w:color w:val="auto"/>
          <w:lang w:eastAsia="es-ES"/>
        </w:rPr>
      </w:pPr>
      <w:r w:rsidRPr="007910C3">
        <w:rPr>
          <w:rFonts w:eastAsia="Times New Roman" w:cs="Tahoma"/>
          <w:iCs/>
          <w:color w:val="auto"/>
          <w:lang w:val="es-ES" w:eastAsia="es-ES"/>
        </w:rPr>
        <w:lastRenderedPageBreak/>
        <w:t xml:space="preserve">De la misma manera, </w:t>
      </w:r>
      <w:r w:rsidRPr="007910C3">
        <w:rPr>
          <w:rFonts w:eastAsia="Times New Roman" w:cs="Tahoma"/>
          <w:bCs/>
          <w:iCs/>
          <w:color w:val="auto"/>
          <w:lang w:eastAsia="es-ES"/>
        </w:rPr>
        <w:t>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rsidRPr="007910C3" w:rsidR="009E2736" w:rsidP="009E2736" w:rsidRDefault="009E2736" w14:paraId="2391331F" w14:textId="77777777">
      <w:pPr>
        <w:spacing w:after="0" w:line="360" w:lineRule="auto"/>
        <w:rPr>
          <w:rFonts w:eastAsia="Times New Roman" w:cs="Tahoma"/>
          <w:iCs/>
          <w:color w:val="auto"/>
          <w:lang w:eastAsia="es-ES"/>
        </w:rPr>
      </w:pPr>
    </w:p>
    <w:p w:rsidRPr="007910C3" w:rsidR="009E2736" w:rsidP="009E2736" w:rsidRDefault="009E2736" w14:paraId="1462FCE3" w14:textId="493D350A">
      <w:pPr>
        <w:spacing w:after="0" w:line="360" w:lineRule="auto"/>
        <w:rPr>
          <w:rFonts w:eastAsia="Times New Roman" w:cs="Tahoma"/>
          <w:iCs/>
          <w:color w:val="auto"/>
          <w:lang w:val="es-ES" w:eastAsia="es-ES"/>
        </w:rPr>
      </w:pPr>
      <w:r w:rsidRPr="007910C3">
        <w:rPr>
          <w:rFonts w:eastAsia="Times New Roman" w:cs="Tahoma"/>
          <w:bCs/>
          <w:iCs/>
          <w:color w:val="auto"/>
          <w:lang w:eastAsia="es-ES"/>
        </w:rPr>
        <w:t>De tales circunstancias y toda vez que</w:t>
      </w:r>
      <w:r w:rsidRPr="007910C3" w:rsidR="00F73C8F">
        <w:rPr>
          <w:rFonts w:eastAsia="Times New Roman" w:cs="Tahoma"/>
          <w:bCs/>
          <w:iCs/>
          <w:color w:val="auto"/>
          <w:lang w:eastAsia="es-ES"/>
        </w:rPr>
        <w:t xml:space="preserve"> tanto en respuesta, como</w:t>
      </w:r>
      <w:r w:rsidRPr="007910C3">
        <w:rPr>
          <w:rFonts w:eastAsia="Times New Roman" w:cs="Tahoma"/>
          <w:bCs/>
          <w:iCs/>
          <w:color w:val="auto"/>
          <w:lang w:eastAsia="es-ES"/>
        </w:rPr>
        <w:t xml:space="preserve"> Informe Justificado el Sujeto Obligado aclaró las razones por las cuales no contaba con la información peticionada</w:t>
      </w:r>
      <w:r w:rsidRPr="007910C3" w:rsidR="00F73C8F">
        <w:rPr>
          <w:rFonts w:eastAsia="Times New Roman" w:cs="Tahoma"/>
          <w:bCs/>
          <w:iCs/>
          <w:color w:val="auto"/>
          <w:lang w:eastAsia="es-ES"/>
        </w:rPr>
        <w:t>, en términos del artículo 19, párrafo segundo, de la Ley de Transparencia y Acceso a la Información Pública del Estado de México y Municipios</w:t>
      </w:r>
      <w:r w:rsidRPr="007910C3">
        <w:rPr>
          <w:rFonts w:eastAsia="Times New Roman" w:cs="Tahoma"/>
          <w:bCs/>
          <w:iCs/>
          <w:color w:val="auto"/>
          <w:lang w:eastAsia="es-ES"/>
        </w:rPr>
        <w:t>, se considera que la controversia que se dirime ha quedado sin materia.</w:t>
      </w:r>
    </w:p>
    <w:p w:rsidRPr="007910C3" w:rsidR="00B22907" w:rsidP="00B22907" w:rsidRDefault="00B22907" w14:paraId="31FB9D31" w14:textId="77777777">
      <w:pPr>
        <w:spacing w:after="0" w:line="360" w:lineRule="auto"/>
      </w:pPr>
    </w:p>
    <w:p w:rsidRPr="007910C3" w:rsidR="00D827BF" w:rsidP="00D827BF" w:rsidRDefault="00D827BF" w14:paraId="5C2BB488" w14:textId="77777777">
      <w:pPr>
        <w:spacing w:after="0" w:line="360" w:lineRule="auto"/>
        <w:rPr>
          <w:rFonts w:eastAsia="Calibri" w:cs="Tahoma"/>
          <w:b/>
          <w:bCs/>
          <w:lang w:val="es-ES"/>
        </w:rPr>
      </w:pPr>
      <w:r w:rsidRPr="007910C3">
        <w:rPr>
          <w:rFonts w:eastAsia="Calibri" w:cs="Tahoma"/>
          <w:b/>
          <w:bCs/>
          <w:lang w:val="es-ES"/>
        </w:rPr>
        <w:t xml:space="preserve">CUARTO. Decisión. </w:t>
      </w:r>
    </w:p>
    <w:p w:rsidRPr="007910C3" w:rsidR="00D827BF" w:rsidP="00D827BF" w:rsidRDefault="00D827BF" w14:paraId="13B9B38E" w14:textId="77777777">
      <w:pPr>
        <w:spacing w:after="0" w:line="360" w:lineRule="auto"/>
        <w:rPr>
          <w:rFonts w:eastAsia="Calibri" w:cs="Tahoma"/>
          <w:b/>
          <w:bCs/>
          <w:lang w:val="es-ES"/>
        </w:rPr>
      </w:pPr>
    </w:p>
    <w:p w:rsidRPr="007910C3" w:rsidR="00D827BF" w:rsidP="00D827BF" w:rsidRDefault="00D827BF" w14:paraId="562A0283" w14:textId="77777777">
      <w:pPr>
        <w:spacing w:after="0" w:line="360" w:lineRule="auto"/>
        <w:rPr>
          <w:rFonts w:eastAsia="Calibri" w:cs="Tahoma"/>
          <w:bCs/>
          <w:lang w:val="es-ES"/>
        </w:rPr>
      </w:pPr>
      <w:r w:rsidRPr="007910C3">
        <w:rPr>
          <w:rFonts w:eastAsia="Calibri" w:cs="Tahoma"/>
          <w:bCs/>
          <w:lang w:val="es-ES"/>
        </w:rPr>
        <w:t xml:space="preserve">Con fundamento en lo dispuesto en el artículo 186, fracción I de la Ley de Transparencia y Acceso a la Información Pública del Estado de México y Municipios, se considera procedente </w:t>
      </w:r>
      <w:r w:rsidRPr="007910C3">
        <w:rPr>
          <w:rFonts w:eastAsia="Calibri" w:cs="Tahoma"/>
          <w:b/>
          <w:bCs/>
          <w:lang w:val="es-ES"/>
        </w:rPr>
        <w:t xml:space="preserve">SOBRESEER </w:t>
      </w:r>
      <w:r w:rsidRPr="007910C3">
        <w:rPr>
          <w:rFonts w:eastAsia="Calibri" w:cs="Tahoma"/>
          <w:bCs/>
          <w:lang w:val="es-ES"/>
        </w:rPr>
        <w:t>el Recurso de Revisión, en virtud de que se actualiza la hipótesis normativa prevista en la fracción III, del artículo 192, del citado ordenamiento legal.</w:t>
      </w:r>
    </w:p>
    <w:p w:rsidRPr="007910C3" w:rsidR="00172E4A" w:rsidP="00B22907" w:rsidRDefault="00172E4A" w14:paraId="42576F77" w14:textId="77777777">
      <w:pPr>
        <w:spacing w:after="0" w:line="360" w:lineRule="auto"/>
        <w:rPr>
          <w:lang w:val="es-ES"/>
        </w:rPr>
      </w:pPr>
    </w:p>
    <w:p w:rsidRPr="007910C3" w:rsidR="009B336A" w:rsidP="009B336A" w:rsidRDefault="009B336A" w14:paraId="4525936C" w14:textId="77777777">
      <w:pPr>
        <w:spacing w:after="0" w:line="360" w:lineRule="auto"/>
        <w:rPr>
          <w:rFonts w:eastAsia="Calibri" w:cs="Tahoma"/>
          <w:b/>
          <w:bCs/>
          <w:iCs/>
        </w:rPr>
      </w:pPr>
      <w:r w:rsidRPr="007910C3">
        <w:rPr>
          <w:rFonts w:eastAsia="Calibri" w:cs="Tahoma"/>
          <w:b/>
          <w:bCs/>
          <w:iCs/>
        </w:rPr>
        <w:t>Términos de la Resolución para conocimiento del Particular.</w:t>
      </w:r>
    </w:p>
    <w:p w:rsidRPr="007910C3" w:rsidR="009B336A" w:rsidP="009B336A" w:rsidRDefault="009B336A" w14:paraId="4D957D8F" w14:textId="77777777">
      <w:pPr>
        <w:spacing w:after="0" w:line="360" w:lineRule="auto"/>
        <w:rPr>
          <w:rFonts w:eastAsia="Calibri" w:cs="Tahoma"/>
          <w:b/>
          <w:bCs/>
          <w:iCs/>
        </w:rPr>
      </w:pPr>
    </w:p>
    <w:p w:rsidRPr="007910C3" w:rsidR="009B336A" w:rsidP="009B336A" w:rsidRDefault="009B336A" w14:paraId="2EF8A88C" w14:textId="4E0FF54C">
      <w:pPr>
        <w:spacing w:after="0" w:line="360" w:lineRule="auto"/>
        <w:rPr>
          <w:rFonts w:eastAsia="Calibri" w:cs="Tahoma"/>
          <w:bCs/>
          <w:iCs/>
          <w:lang w:val="es-ES"/>
        </w:rPr>
      </w:pPr>
      <w:r w:rsidRPr="007910C3">
        <w:rPr>
          <w:rFonts w:eastAsia="Calibri" w:cs="Tahoma"/>
          <w:bCs/>
          <w:iCs/>
          <w:lang w:val="es-ES"/>
        </w:rPr>
        <w:t>Se le hace del conocimiento del Particular, que, si bien en un principio se le daba</w:t>
      </w:r>
      <w:r w:rsidRPr="007910C3" w:rsidR="00F73C8F">
        <w:rPr>
          <w:rFonts w:eastAsia="Calibri" w:cs="Tahoma"/>
          <w:bCs/>
          <w:iCs/>
          <w:lang w:val="es-ES"/>
        </w:rPr>
        <w:t xml:space="preserve"> parcialmente</w:t>
      </w:r>
      <w:r w:rsidRPr="007910C3">
        <w:rPr>
          <w:rFonts w:eastAsia="Calibri" w:cs="Tahoma"/>
          <w:bCs/>
          <w:iCs/>
          <w:lang w:val="es-ES"/>
        </w:rPr>
        <w:t xml:space="preserve"> la razón, pues el Sujeto Obligado </w:t>
      </w:r>
      <w:r w:rsidRPr="007910C3" w:rsidR="00F73C8F">
        <w:rPr>
          <w:rFonts w:eastAsia="Calibri" w:cs="Tahoma"/>
          <w:bCs/>
          <w:iCs/>
          <w:lang w:val="es-ES"/>
        </w:rPr>
        <w:t xml:space="preserve">no turno la solicitud a todas las áreas competentes, lo cierto es que, durante la sustanciación del Medio de Impugnación, señaló que no existía alguna sanción en contra del Titular de la Unidad de Transparencia; </w:t>
      </w:r>
      <w:r w:rsidRPr="007910C3">
        <w:rPr>
          <w:rFonts w:eastAsia="Calibri" w:cs="Tahoma"/>
          <w:bCs/>
          <w:iCs/>
          <w:lang w:val="es-ES_tradnl"/>
        </w:rPr>
        <w:t xml:space="preserve">la labor del Instituto, es apoyar a </w:t>
      </w:r>
      <w:r w:rsidRPr="007910C3">
        <w:rPr>
          <w:rFonts w:eastAsia="Calibri" w:cs="Tahoma"/>
          <w:bCs/>
          <w:iCs/>
          <w:lang w:val="es-ES_tradnl"/>
        </w:rPr>
        <w:lastRenderedPageBreak/>
        <w:t>la población a acceder a la información pública y garantizar la protección de los datos personales.</w:t>
      </w:r>
    </w:p>
    <w:p w:rsidRPr="007910C3" w:rsidR="009B336A" w:rsidP="009B336A" w:rsidRDefault="009B336A" w14:paraId="1466C181" w14:textId="77777777">
      <w:pPr>
        <w:spacing w:after="0" w:line="360" w:lineRule="auto"/>
        <w:rPr>
          <w:rFonts w:eastAsia="Calibri" w:cs="Tahoma"/>
          <w:bCs/>
          <w:lang w:val="es-ES"/>
        </w:rPr>
      </w:pPr>
    </w:p>
    <w:p w:rsidRPr="007910C3" w:rsidR="009B336A" w:rsidP="009B336A" w:rsidRDefault="009B336A" w14:paraId="451A1FA5" w14:textId="77777777">
      <w:pPr>
        <w:spacing w:after="0" w:line="360" w:lineRule="auto"/>
        <w:rPr>
          <w:rFonts w:eastAsia="Calibri" w:cs="Tahoma"/>
          <w:bCs/>
        </w:rPr>
      </w:pPr>
      <w:r w:rsidRPr="007910C3">
        <w:rPr>
          <w:rFonts w:eastAsia="Calibri" w:cs="Tahoma"/>
          <w:bCs/>
        </w:rPr>
        <w:t>Por lo expuesto y fundado, este Pleno:</w:t>
      </w:r>
    </w:p>
    <w:p w:rsidRPr="007910C3" w:rsidR="009B336A" w:rsidP="009B336A" w:rsidRDefault="009B336A" w14:paraId="163CD61C" w14:textId="77777777">
      <w:pPr>
        <w:spacing w:after="0" w:line="360" w:lineRule="auto"/>
        <w:rPr>
          <w:rFonts w:eastAsia="Calibri" w:cs="Tahoma"/>
          <w:bCs/>
        </w:rPr>
      </w:pPr>
    </w:p>
    <w:p w:rsidRPr="007910C3" w:rsidR="009B336A" w:rsidP="009B336A" w:rsidRDefault="009B336A" w14:paraId="36EEA97E" w14:textId="77777777">
      <w:pPr>
        <w:spacing w:after="0" w:line="360" w:lineRule="auto"/>
        <w:jc w:val="center"/>
        <w:rPr>
          <w:rFonts w:eastAsia="Calibri" w:cs="Tahoma"/>
          <w:b/>
          <w:bCs/>
          <w:iCs/>
        </w:rPr>
      </w:pPr>
      <w:r w:rsidRPr="007910C3">
        <w:rPr>
          <w:rFonts w:eastAsia="Calibri" w:cs="Tahoma"/>
          <w:b/>
          <w:bCs/>
          <w:iCs/>
        </w:rPr>
        <w:t>R E S U E L V E:</w:t>
      </w:r>
    </w:p>
    <w:p w:rsidRPr="007910C3" w:rsidR="009B336A" w:rsidP="009B336A" w:rsidRDefault="009B336A" w14:paraId="7CE91EE3" w14:textId="77777777">
      <w:pPr>
        <w:spacing w:after="0" w:line="360" w:lineRule="auto"/>
        <w:rPr>
          <w:rFonts w:eastAsia="Calibri" w:cs="Tahoma"/>
          <w:b/>
          <w:bCs/>
          <w:iCs/>
        </w:rPr>
      </w:pPr>
    </w:p>
    <w:p w:rsidRPr="007910C3" w:rsidR="009B336A" w:rsidP="009B336A" w:rsidRDefault="009B336A" w14:paraId="1652DBAF" w14:textId="57FFECD8">
      <w:pPr>
        <w:spacing w:after="0" w:line="360" w:lineRule="auto"/>
        <w:rPr>
          <w:rFonts w:eastAsia="Calibri" w:cs="Tahoma"/>
          <w:b/>
          <w:bCs/>
          <w:iCs/>
        </w:rPr>
      </w:pPr>
      <w:r w:rsidRPr="007910C3">
        <w:rPr>
          <w:rFonts w:eastAsia="Calibri" w:cs="Tahoma"/>
          <w:b/>
          <w:bCs/>
          <w:iCs/>
        </w:rPr>
        <w:t xml:space="preserve">PRIMERO. </w:t>
      </w:r>
      <w:r w:rsidRPr="007910C3">
        <w:rPr>
          <w:rFonts w:eastAsia="Calibri" w:cs="Tahoma"/>
          <w:bCs/>
          <w:iCs/>
        </w:rPr>
        <w:t xml:space="preserve">Se </w:t>
      </w:r>
      <w:r w:rsidRPr="007910C3">
        <w:rPr>
          <w:rFonts w:eastAsia="Calibri" w:cs="Tahoma"/>
          <w:b/>
          <w:bCs/>
          <w:iCs/>
        </w:rPr>
        <w:t xml:space="preserve">SOBRESEE </w:t>
      </w:r>
      <w:r w:rsidRPr="007910C3">
        <w:rPr>
          <w:rFonts w:eastAsia="Calibri" w:cs="Tahoma"/>
          <w:bCs/>
          <w:iCs/>
        </w:rPr>
        <w:t>el Recurso de Revisión con número</w:t>
      </w:r>
      <w:r w:rsidRPr="007910C3">
        <w:rPr>
          <w:rFonts w:eastAsia="Calibri" w:cs="Tahoma"/>
          <w:b/>
          <w:bCs/>
          <w:iCs/>
        </w:rPr>
        <w:t xml:space="preserve"> </w:t>
      </w:r>
      <w:r w:rsidRPr="007910C3" w:rsidR="00086F6C">
        <w:rPr>
          <w:rFonts w:eastAsia="Calibri" w:cs="Tahoma"/>
          <w:bCs/>
          <w:iCs/>
        </w:rPr>
        <w:t>15506/INFOEM/IP/RR/2022</w:t>
      </w:r>
      <w:r w:rsidRPr="007910C3">
        <w:rPr>
          <w:rFonts w:eastAsia="Calibri" w:cs="Tahoma"/>
          <w:bCs/>
          <w:iCs/>
        </w:rPr>
        <w:t>,</w:t>
      </w:r>
      <w:r w:rsidRPr="007910C3">
        <w:rPr>
          <w:rFonts w:eastAsia="Calibri" w:cs="Tahoma"/>
          <w:bCs/>
          <w:iCs/>
          <w:color w:val="auto"/>
        </w:rPr>
        <w:t xml:space="preserve"> </w:t>
      </w:r>
      <w:r w:rsidRPr="007910C3">
        <w:rPr>
          <w:rFonts w:eastAsia="Calibri" w:cs="Tahoma"/>
          <w:bCs/>
          <w:iCs/>
          <w:color w:val="auto"/>
          <w:lang w:val="es-ES"/>
        </w:rPr>
        <w:t>en términos del artículo 192, fracción III, de la Ley de Transparencia y Acceso a la Información Pública del Estado de México y Municipios</w:t>
      </w:r>
      <w:r w:rsidRPr="007910C3">
        <w:rPr>
          <w:rFonts w:cs="Arial"/>
          <w:bCs/>
          <w:color w:val="000000"/>
          <w:lang w:val="es-ES"/>
        </w:rPr>
        <w:t xml:space="preserve">, </w:t>
      </w:r>
      <w:r w:rsidRPr="007910C3">
        <w:rPr>
          <w:rFonts w:cs="Tahoma"/>
          <w:bCs/>
          <w:iCs/>
          <w:szCs w:val="24"/>
          <w:lang w:val="es-ES_tradnl"/>
        </w:rPr>
        <w:t>porque el Sujeto Obligado al modificar la respuesta de la solicitud de acceso a la información con número de folio</w:t>
      </w:r>
      <w:r w:rsidRPr="007910C3">
        <w:rPr>
          <w:rFonts w:eastAsia="Calibri" w:cs="Tahoma"/>
          <w:bCs/>
          <w:iCs/>
        </w:rPr>
        <w:t xml:space="preserve"> </w:t>
      </w:r>
      <w:r w:rsidRPr="007910C3" w:rsidR="00086F6C">
        <w:rPr>
          <w:rFonts w:eastAsia="Calibri" w:cs="Tahoma"/>
          <w:bCs/>
          <w:iCs/>
        </w:rPr>
        <w:t>00423/VACHASO/IP/2022</w:t>
      </w:r>
      <w:r w:rsidRPr="007910C3">
        <w:rPr>
          <w:rFonts w:eastAsia="Calibri" w:cs="Tahoma"/>
          <w:bCs/>
          <w:iCs/>
        </w:rPr>
        <w:t>, el Medio de Impugnación, quedó sin materia, en términos de los Considerandos</w:t>
      </w:r>
      <w:r w:rsidRPr="007910C3">
        <w:rPr>
          <w:rFonts w:eastAsia="Calibri" w:cs="Tahoma"/>
          <w:b/>
          <w:bCs/>
          <w:iCs/>
        </w:rPr>
        <w:t xml:space="preserve"> </w:t>
      </w:r>
      <w:r w:rsidRPr="007910C3">
        <w:rPr>
          <w:rFonts w:eastAsia="Calibri" w:cs="Tahoma"/>
          <w:bCs/>
          <w:iCs/>
        </w:rPr>
        <w:t>TERCERO y CUARTO</w:t>
      </w:r>
      <w:r w:rsidRPr="007910C3">
        <w:rPr>
          <w:rFonts w:eastAsia="Calibri" w:cs="Tahoma"/>
          <w:b/>
          <w:bCs/>
          <w:iCs/>
        </w:rPr>
        <w:t xml:space="preserve"> </w:t>
      </w:r>
      <w:r w:rsidRPr="007910C3">
        <w:rPr>
          <w:rFonts w:eastAsia="Calibri" w:cs="Tahoma"/>
          <w:bCs/>
          <w:iCs/>
        </w:rPr>
        <w:t>de la presente Resolución.</w:t>
      </w:r>
    </w:p>
    <w:p w:rsidRPr="007910C3" w:rsidR="009B336A" w:rsidP="009B336A" w:rsidRDefault="009B336A" w14:paraId="03C28DBD" w14:textId="77777777">
      <w:pPr>
        <w:spacing w:after="0" w:line="360" w:lineRule="auto"/>
        <w:rPr>
          <w:rFonts w:eastAsia="Calibri" w:cs="Tahoma"/>
          <w:b/>
          <w:bCs/>
          <w:iCs/>
        </w:rPr>
      </w:pPr>
    </w:p>
    <w:p w:rsidRPr="007910C3" w:rsidR="009B336A" w:rsidP="009B336A" w:rsidRDefault="009B336A" w14:paraId="59C431DF" w14:textId="77777777">
      <w:pPr>
        <w:spacing w:after="0" w:line="360" w:lineRule="auto"/>
        <w:rPr>
          <w:rFonts w:eastAsia="Calibri" w:cs="Tahoma"/>
          <w:b/>
          <w:bCs/>
          <w:iCs/>
        </w:rPr>
      </w:pPr>
      <w:r w:rsidRPr="007910C3">
        <w:rPr>
          <w:rFonts w:eastAsia="Calibri" w:cs="Tahoma"/>
          <w:b/>
          <w:bCs/>
          <w:iCs/>
        </w:rPr>
        <w:t xml:space="preserve">SEGUNDO. NOTIFÍQUESE </w:t>
      </w:r>
      <w:r w:rsidRPr="007910C3">
        <w:rPr>
          <w:rFonts w:eastAsia="Calibri" w:cs="Tahoma"/>
          <w:bCs/>
          <w:iCs/>
        </w:rPr>
        <w:t>la presente Resolución al Titular de la Unidad de Transparencia del Sujeto Obligado.</w:t>
      </w:r>
    </w:p>
    <w:p w:rsidRPr="007910C3" w:rsidR="009B336A" w:rsidP="009B336A" w:rsidRDefault="009B336A" w14:paraId="56BA2A47" w14:textId="77777777">
      <w:pPr>
        <w:spacing w:after="0" w:line="360" w:lineRule="auto"/>
        <w:rPr>
          <w:rFonts w:eastAsia="Calibri" w:cs="Tahoma"/>
          <w:b/>
          <w:bCs/>
        </w:rPr>
      </w:pPr>
    </w:p>
    <w:p w:rsidRPr="007910C3" w:rsidR="009B336A" w:rsidP="009B336A" w:rsidRDefault="009B336A" w14:paraId="3EF4BFB5" w14:textId="77777777">
      <w:pPr>
        <w:spacing w:after="0" w:line="360" w:lineRule="auto"/>
        <w:rPr>
          <w:rFonts w:eastAsia="Calibri" w:cs="Tahoma"/>
          <w:b/>
          <w:bCs/>
          <w:iCs/>
        </w:rPr>
      </w:pPr>
      <w:r w:rsidRPr="007910C3">
        <w:rPr>
          <w:rFonts w:eastAsia="Calibri" w:cs="Tahoma"/>
          <w:b/>
          <w:bCs/>
          <w:iCs/>
        </w:rPr>
        <w:t xml:space="preserve">TERCERO. NOTIFÍQUESE </w:t>
      </w:r>
      <w:r w:rsidRPr="007910C3">
        <w:rPr>
          <w:rFonts w:eastAsia="Calibri" w:cs="Tahoma"/>
          <w:bCs/>
          <w:iC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7910C3" w:rsidR="00782132" w:rsidP="00C853D1" w:rsidRDefault="00782132" w14:paraId="42C8D564" w14:textId="77777777">
      <w:pPr>
        <w:spacing w:after="0" w:line="360" w:lineRule="auto"/>
        <w:rPr>
          <w:rFonts w:eastAsia="Calibri" w:cs="Tahoma"/>
          <w:bCs/>
          <w:lang w:val="es-ES"/>
        </w:rPr>
      </w:pPr>
    </w:p>
    <w:p w:rsidR="00C853D1" w:rsidP="00C853D1" w:rsidRDefault="00C853D1" w14:paraId="61493576" w14:textId="1E391FCF">
      <w:pPr>
        <w:spacing w:after="0" w:line="360" w:lineRule="auto"/>
        <w:rPr>
          <w:rFonts w:eastAsia="Calibri" w:cs="Tahoma"/>
          <w:bCs/>
        </w:rPr>
      </w:pPr>
      <w:r w:rsidRPr="007910C3">
        <w:rPr>
          <w:rFonts w:eastAsia="Calibri" w:cs="Tahoma"/>
          <w:bCs/>
        </w:rPr>
        <w:t xml:space="preserve">ASÍ LO RESUELVE, POR </w:t>
      </w:r>
      <w:r w:rsidRPr="007910C3">
        <w:rPr>
          <w:rFonts w:eastAsia="Calibri" w:cs="Tahoma"/>
          <w:b/>
        </w:rPr>
        <w:t>UNANIMIDAD</w:t>
      </w:r>
      <w:r w:rsidRPr="007910C3">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w:t>
      </w:r>
      <w:r w:rsidRPr="007910C3" w:rsidR="00577E42">
        <w:rPr>
          <w:rFonts w:eastAsia="Calibri" w:cs="Tahoma"/>
          <w:bCs/>
        </w:rPr>
        <w:t xml:space="preserve">SHARON CRISTINA MORALES MARTÍNEZ, LUIS GUSTAVO PARRA NORIEGA Y </w:t>
      </w:r>
      <w:r w:rsidRPr="007910C3" w:rsidR="00577E42">
        <w:rPr>
          <w:rFonts w:eastAsia="Calibri" w:cs="Tahoma"/>
          <w:bCs/>
        </w:rPr>
        <w:lastRenderedPageBreak/>
        <w:t xml:space="preserve">GUADALUPE RAMÍREZ PEÑA, EN LA SEXTA SESIÓN ORDINARIA, CELEBRADA EL </w:t>
      </w:r>
      <w:r w:rsidRPr="007910C3" w:rsidR="00577E42">
        <w:rPr>
          <w:rFonts w:eastAsia="Times New Roman" w:cs="Tahoma"/>
          <w:bCs/>
          <w:color w:val="auto"/>
          <w:lang w:eastAsia="es-ES"/>
        </w:rPr>
        <w:t>QUINCE DE FEBRERO DE DOS MIL VEINTITRÉS</w:t>
      </w:r>
      <w:r w:rsidRPr="007910C3" w:rsidR="00577E42">
        <w:rPr>
          <w:rFonts w:eastAsia="Calibri" w:cs="Tahoma"/>
          <w:bCs/>
        </w:rPr>
        <w:t>, ANTE EL SECRETARIO TÉCNICO DEL PLENO, ALEXIS TAPIA RAMÍREZ.</w:t>
      </w:r>
    </w:p>
    <w:p w:rsidR="00C853D1" w:rsidRDefault="00C853D1" w14:paraId="189BD5D9" w14:textId="5AA6579D">
      <w:pPr>
        <w:jc w:val="left"/>
        <w:rPr>
          <w:rFonts w:eastAsia="Calibri" w:cs="Tahoma"/>
          <w:b/>
          <w:bCs/>
        </w:rPr>
      </w:pPr>
      <w:r>
        <w:rPr>
          <w:rFonts w:eastAsia="Calibri" w:cs="Tahoma"/>
          <w:b/>
          <w:bCs/>
        </w:rPr>
        <w:br w:type="page"/>
      </w:r>
    </w:p>
    <w:p w:rsidR="00A6477D" w:rsidRDefault="00A6477D" w14:paraId="3A7BF8F4" w14:textId="77777777"/>
    <w:sectPr w:rsidR="00A6477D" w:rsidSect="002C59A0">
      <w:headerReference w:type="even" r:id="rId8"/>
      <w:headerReference w:type="default" r:id="rId9"/>
      <w:footerReference w:type="even" r:id="rId10"/>
      <w:footerReference w:type="default" r:id="rId11"/>
      <w:headerReference w:type="first" r:id="rId12"/>
      <w:footerReference w:type="first" r:id="rId13"/>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132AD" w:rsidP="00C853D1" w:rsidRDefault="002132AD" w14:paraId="7F709805" w14:textId="77777777">
      <w:pPr>
        <w:spacing w:after="0" w:line="240" w:lineRule="auto"/>
      </w:pPr>
      <w:r>
        <w:separator/>
      </w:r>
    </w:p>
  </w:endnote>
  <w:endnote w:type="continuationSeparator" w:id="0">
    <w:p w:rsidR="002132AD" w:rsidP="00C853D1" w:rsidRDefault="002132AD" w14:paraId="1253BC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7158305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B77BD">
      <w:rPr>
        <w:b/>
        <w:bCs/>
        <w:noProof/>
      </w:rPr>
      <w:t>1</w:t>
    </w:r>
    <w:r>
      <w:rPr>
        <w:b/>
        <w:bCs/>
        <w:sz w:val="24"/>
        <w:szCs w:val="24"/>
      </w:rPr>
      <w:fldChar w:fldCharType="end"/>
    </w:r>
  </w:p>
  <w:p w:rsidR="002C59A0" w:rsidRDefault="002C59A0" w14:paraId="5F4318B3"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2C59A0" w:rsidRDefault="002C59A0" w14:paraId="1AB8D0F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26</w:t>
            </w:r>
            <w:r>
              <w:rPr>
                <w:b/>
                <w:bCs/>
                <w:sz w:val="24"/>
                <w:szCs w:val="24"/>
              </w:rPr>
              <w:fldChar w:fldCharType="end"/>
            </w:r>
          </w:p>
        </w:sdtContent>
      </w:sdt>
    </w:sdtContent>
  </w:sdt>
  <w:p w:rsidR="002C59A0" w:rsidRDefault="002C59A0" w14:paraId="3F35B7C0"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C59A0" w:rsidRDefault="002C59A0" w14:paraId="46648C9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230C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230CF">
      <w:rPr>
        <w:b/>
        <w:bCs/>
        <w:noProof/>
      </w:rPr>
      <w:t>27</w:t>
    </w:r>
    <w:r>
      <w:rPr>
        <w:b/>
        <w:bCs/>
        <w:sz w:val="24"/>
        <w:szCs w:val="24"/>
      </w:rPr>
      <w:fldChar w:fldCharType="end"/>
    </w:r>
  </w:p>
  <w:p w:rsidR="002C59A0" w:rsidRDefault="002C59A0" w14:paraId="1A7218CE"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132AD" w:rsidP="00C853D1" w:rsidRDefault="002132AD" w14:paraId="6728298E" w14:textId="77777777">
      <w:pPr>
        <w:spacing w:after="0" w:line="240" w:lineRule="auto"/>
      </w:pPr>
      <w:r>
        <w:separator/>
      </w:r>
    </w:p>
  </w:footnote>
  <w:footnote w:type="continuationSeparator" w:id="0">
    <w:p w:rsidR="002132AD" w:rsidP="00C853D1" w:rsidRDefault="002132AD" w14:paraId="4538DE1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2C59A0" w:rsidTr="002C59A0" w14:paraId="282B3A75" w14:textId="77777777">
      <w:trPr>
        <w:trHeight w:val="141"/>
      </w:trPr>
      <w:tc>
        <w:tcPr>
          <w:tcW w:w="2404" w:type="dxa"/>
        </w:tcPr>
        <w:p w:rsidRPr="001B5FB6" w:rsidR="002C59A0" w:rsidP="002C59A0" w:rsidRDefault="002C59A0" w14:paraId="57F547E7" w14:textId="77777777">
          <w:pPr>
            <w:tabs>
              <w:tab w:val="right" w:pos="8838"/>
            </w:tabs>
            <w:ind w:right="-105"/>
            <w:rPr>
              <w:rFonts w:eastAsia="Calibri" w:cs="Tahoma"/>
              <w:b/>
              <w:lang w:val="es-MX"/>
            </w:rPr>
          </w:pPr>
          <w:r w:rsidRPr="001B5FB6">
            <w:rPr>
              <w:rFonts w:eastAsia="Calibri" w:cs="Tahoma"/>
              <w:b/>
              <w:lang w:val="es-MX"/>
            </w:rPr>
            <w:t>Recurso de Revisión:</w:t>
          </w:r>
        </w:p>
      </w:tc>
      <w:tc>
        <w:tcPr>
          <w:tcW w:w="3587" w:type="dxa"/>
        </w:tcPr>
        <w:p w:rsidRPr="00A8173F" w:rsidR="002C59A0" w:rsidP="002C59A0" w:rsidRDefault="002C59A0" w14:paraId="77D4576F" w14:textId="77777777">
          <w:pPr>
            <w:tabs>
              <w:tab w:val="right" w:pos="8838"/>
            </w:tabs>
            <w:ind w:left="-28" w:right="683"/>
            <w:rPr>
              <w:rFonts w:eastAsia="Calibri" w:cs="Tahoma"/>
            </w:rPr>
          </w:pPr>
          <w:r w:rsidRPr="00A8173F">
            <w:rPr>
              <w:rFonts w:eastAsia="Calibri" w:cs="Tahoma"/>
              <w:lang w:val="es-MX"/>
            </w:rPr>
            <w:t>04196/INFOEM/IP/RR/2020</w:t>
          </w:r>
        </w:p>
      </w:tc>
    </w:tr>
    <w:tr w:rsidR="002C59A0" w:rsidTr="002C59A0" w14:paraId="46AFE2B4" w14:textId="77777777">
      <w:trPr>
        <w:trHeight w:val="276"/>
      </w:trPr>
      <w:tc>
        <w:tcPr>
          <w:tcW w:w="2404" w:type="dxa"/>
        </w:tcPr>
        <w:p w:rsidRPr="001B5FB6" w:rsidR="002C59A0" w:rsidP="002C59A0" w:rsidRDefault="002C59A0" w14:paraId="1D6E5B2B" w14:textId="77777777">
          <w:pPr>
            <w:tabs>
              <w:tab w:val="right" w:pos="8838"/>
            </w:tabs>
            <w:ind w:right="-105"/>
            <w:rPr>
              <w:rFonts w:eastAsia="Calibri" w:cs="Tahoma"/>
              <w:b/>
              <w:lang w:val="es-MX"/>
            </w:rPr>
          </w:pPr>
          <w:r w:rsidRPr="001B5FB6">
            <w:rPr>
              <w:rFonts w:eastAsia="Calibri" w:cs="Tahoma"/>
              <w:b/>
              <w:lang w:val="es-MX"/>
            </w:rPr>
            <w:t>Sujeto Obligado:</w:t>
          </w:r>
        </w:p>
      </w:tc>
      <w:tc>
        <w:tcPr>
          <w:tcW w:w="3587" w:type="dxa"/>
        </w:tcPr>
        <w:p w:rsidRPr="00A8173F" w:rsidR="002C59A0" w:rsidP="002C59A0" w:rsidRDefault="002C59A0" w14:paraId="2DAC5118" w14:textId="77777777">
          <w:pPr>
            <w:tabs>
              <w:tab w:val="right" w:pos="8838"/>
            </w:tabs>
            <w:ind w:right="116"/>
            <w:rPr>
              <w:rFonts w:eastAsia="Calibri" w:cs="Tahoma"/>
              <w:lang w:val="es-MX"/>
            </w:rPr>
          </w:pPr>
          <w:r w:rsidRPr="00A8173F">
            <w:rPr>
              <w:rFonts w:eastAsia="Calibri" w:cs="Tahoma"/>
              <w:lang w:val="es-MX"/>
            </w:rPr>
            <w:t>Ayuntamiento de Chapultepec</w:t>
          </w:r>
        </w:p>
      </w:tc>
    </w:tr>
    <w:tr w:rsidR="002C59A0" w:rsidTr="002C59A0" w14:paraId="1FA679E9" w14:textId="77777777">
      <w:trPr>
        <w:trHeight w:val="276"/>
      </w:trPr>
      <w:tc>
        <w:tcPr>
          <w:tcW w:w="2404" w:type="dxa"/>
        </w:tcPr>
        <w:p w:rsidRPr="001B5FB6" w:rsidR="002C59A0" w:rsidP="002C59A0" w:rsidRDefault="002C59A0" w14:paraId="6498FD30" w14:textId="77777777">
          <w:pPr>
            <w:tabs>
              <w:tab w:val="right" w:pos="8838"/>
            </w:tabs>
            <w:ind w:right="-105"/>
            <w:rPr>
              <w:rFonts w:eastAsia="Calibri" w:cs="Tahoma"/>
              <w:b/>
              <w:lang w:val="es-MX"/>
            </w:rPr>
          </w:pPr>
          <w:r w:rsidRPr="001B5FB6">
            <w:rPr>
              <w:rFonts w:eastAsia="Calibri" w:cs="Tahoma"/>
              <w:b/>
              <w:lang w:val="es-MX"/>
            </w:rPr>
            <w:t>Comisionado Ponente:</w:t>
          </w:r>
        </w:p>
      </w:tc>
      <w:tc>
        <w:tcPr>
          <w:tcW w:w="3587" w:type="dxa"/>
        </w:tcPr>
        <w:p w:rsidRPr="00A8173F" w:rsidR="002C59A0" w:rsidP="002C59A0" w:rsidRDefault="002C59A0" w14:paraId="5C36068F" w14:textId="77777777">
          <w:pPr>
            <w:tabs>
              <w:tab w:val="right" w:pos="8838"/>
            </w:tabs>
            <w:ind w:right="-32"/>
            <w:rPr>
              <w:rFonts w:eastAsia="Calibri" w:cs="Tahoma"/>
              <w:lang w:val="es-MX"/>
            </w:rPr>
          </w:pPr>
          <w:r w:rsidRPr="00A8173F">
            <w:rPr>
              <w:rFonts w:eastAsia="Calibri" w:cs="Tahoma"/>
              <w:lang w:val="es-MX"/>
            </w:rPr>
            <w:t>Luis Gustavo Parra Noriega</w:t>
          </w:r>
        </w:p>
      </w:tc>
    </w:tr>
  </w:tbl>
  <w:p w:rsidR="002C59A0" w:rsidRDefault="007910C3" w14:paraId="509FB0F1" w14:textId="77777777">
    <w:pPr>
      <w:pStyle w:val="Encabezado"/>
    </w:pPr>
    <w:r>
      <w:rPr>
        <w:noProof/>
      </w:rPr>
      <w:pict w14:anchorId="21C568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1027"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A705D" w:rsidR="002C59A0" w:rsidRDefault="002C59A0" w14:paraId="435693B3" w14:textId="77777777">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2C59A0" w:rsidTr="00682222" w14:paraId="1E2FF18B" w14:textId="77777777">
      <w:trPr>
        <w:trHeight w:val="141"/>
      </w:trPr>
      <w:tc>
        <w:tcPr>
          <w:tcW w:w="2404" w:type="dxa"/>
        </w:tcPr>
        <w:p w:rsidRPr="001B5FB6" w:rsidR="002C59A0" w:rsidP="00682222" w:rsidRDefault="002C59A0" w14:paraId="6B6D03E8" w14:textId="77777777">
          <w:pPr>
            <w:tabs>
              <w:tab w:val="right" w:pos="8838"/>
            </w:tabs>
            <w:ind w:left="-395" w:right="-105" w:firstLine="395"/>
            <w:rPr>
              <w:rFonts w:eastAsia="Calibri" w:cs="Tahoma"/>
              <w:b/>
              <w:lang w:val="es-MX"/>
            </w:rPr>
          </w:pPr>
          <w:r w:rsidRPr="001B5FB6">
            <w:rPr>
              <w:rFonts w:eastAsia="Calibri" w:cs="Tahoma"/>
              <w:b/>
              <w:lang w:val="es-MX"/>
            </w:rPr>
            <w:t>Recurso de Revisión:</w:t>
          </w:r>
        </w:p>
      </w:tc>
      <w:tc>
        <w:tcPr>
          <w:tcW w:w="4117" w:type="dxa"/>
        </w:tcPr>
        <w:p w:rsidRPr="00C853D1" w:rsidR="002C59A0" w:rsidP="00682222" w:rsidRDefault="0033386E" w14:paraId="503BB8DE" w14:textId="6BC7AB5A">
          <w:pPr>
            <w:tabs>
              <w:tab w:val="right" w:pos="8838"/>
            </w:tabs>
            <w:ind w:left="-28" w:right="454"/>
            <w:rPr>
              <w:rFonts w:eastAsia="Calibri" w:cs="Tahoma"/>
            </w:rPr>
          </w:pPr>
          <w:r w:rsidRPr="0033386E">
            <w:rPr>
              <w:rFonts w:eastAsia="Calibri" w:cs="Tahoma"/>
              <w:lang w:val="es-MX"/>
            </w:rPr>
            <w:t>15506/INFOEM/IP/RR/2022</w:t>
          </w:r>
        </w:p>
      </w:tc>
    </w:tr>
    <w:tr w:rsidR="002C59A0" w:rsidTr="00682222" w14:paraId="110906AA" w14:textId="77777777">
      <w:trPr>
        <w:trHeight w:val="276"/>
      </w:trPr>
      <w:tc>
        <w:tcPr>
          <w:tcW w:w="2404" w:type="dxa"/>
        </w:tcPr>
        <w:p w:rsidRPr="001B5FB6" w:rsidR="002C59A0" w:rsidP="002C59A0" w:rsidRDefault="002C59A0" w14:paraId="3052339E" w14:textId="77777777">
          <w:pPr>
            <w:tabs>
              <w:tab w:val="right" w:pos="8838"/>
            </w:tabs>
            <w:ind w:right="-105"/>
            <w:rPr>
              <w:rFonts w:eastAsia="Calibri" w:cs="Tahoma"/>
              <w:b/>
              <w:lang w:val="es-MX"/>
            </w:rPr>
          </w:pPr>
          <w:r w:rsidRPr="001B5FB6">
            <w:rPr>
              <w:rFonts w:eastAsia="Calibri" w:cs="Tahoma"/>
              <w:b/>
              <w:lang w:val="es-MX"/>
            </w:rPr>
            <w:t>Sujeto Obligado:</w:t>
          </w:r>
        </w:p>
      </w:tc>
      <w:tc>
        <w:tcPr>
          <w:tcW w:w="4117" w:type="dxa"/>
        </w:tcPr>
        <w:p w:rsidRPr="00A8173F" w:rsidR="002C59A0" w:rsidP="00682222" w:rsidRDefault="0033386E" w14:paraId="5C93113C" w14:textId="5654825A">
          <w:pPr>
            <w:tabs>
              <w:tab w:val="right" w:pos="8838"/>
            </w:tabs>
            <w:ind w:right="454"/>
            <w:rPr>
              <w:rFonts w:eastAsia="Calibri" w:cs="Tahoma"/>
              <w:lang w:val="es-MX"/>
            </w:rPr>
          </w:pPr>
          <w:r w:rsidRPr="0033386E">
            <w:rPr>
              <w:rFonts w:eastAsia="Calibri" w:cs="Tahoma"/>
              <w:lang w:val="es-MX"/>
            </w:rPr>
            <w:t>Ayuntamiento de Valle de Chalco Solidaridad</w:t>
          </w:r>
        </w:p>
      </w:tc>
    </w:tr>
    <w:tr w:rsidR="002C59A0" w:rsidTr="00682222" w14:paraId="065F2043" w14:textId="77777777">
      <w:trPr>
        <w:trHeight w:val="276"/>
      </w:trPr>
      <w:tc>
        <w:tcPr>
          <w:tcW w:w="2404" w:type="dxa"/>
        </w:tcPr>
        <w:p w:rsidRPr="001B5FB6" w:rsidR="002C59A0" w:rsidP="002C59A0" w:rsidRDefault="002C59A0" w14:paraId="22514F66" w14:textId="77777777">
          <w:pPr>
            <w:tabs>
              <w:tab w:val="right" w:pos="8838"/>
            </w:tabs>
            <w:ind w:right="-105"/>
            <w:rPr>
              <w:rFonts w:eastAsia="Calibri" w:cs="Tahoma"/>
              <w:b/>
              <w:lang w:val="es-MX"/>
            </w:rPr>
          </w:pPr>
          <w:r w:rsidRPr="001B5FB6">
            <w:rPr>
              <w:rFonts w:eastAsia="Calibri" w:cs="Tahoma"/>
              <w:b/>
              <w:lang w:val="es-MX"/>
            </w:rPr>
            <w:t>Comisionado Ponente:</w:t>
          </w:r>
        </w:p>
      </w:tc>
      <w:tc>
        <w:tcPr>
          <w:tcW w:w="4117" w:type="dxa"/>
        </w:tcPr>
        <w:p w:rsidRPr="00A8173F" w:rsidR="002C59A0" w:rsidP="00682222" w:rsidRDefault="002C59A0" w14:paraId="245FB2E7" w14:textId="77777777">
          <w:pPr>
            <w:tabs>
              <w:tab w:val="right" w:pos="8838"/>
            </w:tabs>
            <w:ind w:right="454"/>
            <w:rPr>
              <w:rFonts w:eastAsia="Calibri" w:cs="Tahoma"/>
              <w:lang w:val="es-MX"/>
            </w:rPr>
          </w:pPr>
          <w:r w:rsidRPr="00A8173F">
            <w:rPr>
              <w:rFonts w:eastAsia="Calibri" w:cs="Tahoma"/>
              <w:lang w:val="es-MX"/>
            </w:rPr>
            <w:t>Luis Gustavo Parra Noriega</w:t>
          </w:r>
        </w:p>
      </w:tc>
    </w:tr>
  </w:tbl>
  <w:p w:rsidR="002C59A0" w:rsidRDefault="007910C3" w14:paraId="0A6563BD" w14:textId="77777777">
    <w:pPr>
      <w:pStyle w:val="Encabezado"/>
    </w:pPr>
    <w:r>
      <w:rPr>
        <w:noProof/>
      </w:rPr>
      <w:pict w14:anchorId="2D34045F">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Layout w:type="fixed"/>
      <w:tblLook w:val="04A0" w:firstRow="1" w:lastRow="0" w:firstColumn="1" w:lastColumn="0" w:noHBand="0" w:noVBand="1"/>
    </w:tblPr>
    <w:tblGrid>
      <w:gridCol w:w="2127"/>
      <w:gridCol w:w="6945"/>
    </w:tblGrid>
    <w:tr w:rsidRPr="005C106F" w:rsidR="002C59A0" w:rsidTr="3550A85B" w14:paraId="5D26797B" w14:textId="77777777">
      <w:trPr>
        <w:trHeight w:val="1546"/>
      </w:trPr>
      <w:tc>
        <w:tcPr>
          <w:tcW w:w="2127" w:type="dxa"/>
          <w:shd w:val="clear" w:color="auto" w:fill="auto"/>
          <w:tcMar/>
        </w:tcPr>
        <w:p w:rsidRPr="005C106F" w:rsidR="002C59A0" w:rsidP="002C59A0" w:rsidRDefault="002C59A0" w14:paraId="76E7DE43" w14:textId="77777777">
          <w:pPr>
            <w:tabs>
              <w:tab w:val="right" w:pos="4273"/>
            </w:tabs>
            <w:rPr>
              <w:rFonts w:ascii="Garamond" w:hAnsi="Garamond" w:eastAsia="Calibri"/>
              <w:sz w:val="16"/>
              <w:szCs w:val="16"/>
            </w:rPr>
          </w:pPr>
        </w:p>
      </w:tc>
      <w:tc>
        <w:tcPr>
          <w:tcW w:w="6945" w:type="dxa"/>
          <w:shd w:val="clear" w:color="auto" w:fill="auto"/>
          <w:tcMar/>
        </w:tcPr>
        <w:tbl>
          <w:tblPr>
            <w:tblStyle w:val="Tablaconcuadrcula"/>
            <w:tblW w:w="5244" w:type="dxa"/>
            <w:tblInd w:w="14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2840"/>
          </w:tblGrid>
          <w:tr w:rsidR="002C59A0" w:rsidTr="3550A85B" w14:paraId="5CB74832" w14:textId="77777777">
            <w:trPr>
              <w:trHeight w:val="141"/>
            </w:trPr>
            <w:tc>
              <w:tcPr>
                <w:tcW w:w="2404" w:type="dxa"/>
                <w:tcMar/>
                <w:vAlign w:val="bottom"/>
              </w:tcPr>
              <w:p w:rsidRPr="001B5FB6" w:rsidR="002C59A0" w:rsidP="002C59A0" w:rsidRDefault="002C59A0" w14:paraId="38469831" w14:textId="77777777">
                <w:pPr>
                  <w:tabs>
                    <w:tab w:val="right" w:pos="8838"/>
                  </w:tabs>
                  <w:ind w:right="-105"/>
                  <w:rPr>
                    <w:rFonts w:eastAsia="Calibri" w:cs="Tahoma"/>
                    <w:b/>
                    <w:lang w:val="es-MX"/>
                  </w:rPr>
                </w:pPr>
                <w:r w:rsidRPr="001B5FB6">
                  <w:rPr>
                    <w:rFonts w:eastAsia="Calibri" w:cs="Tahoma"/>
                    <w:b/>
                    <w:lang w:val="es-MX"/>
                  </w:rPr>
                  <w:t>Recurso de Revisión:</w:t>
                </w:r>
              </w:p>
            </w:tc>
            <w:tc>
              <w:tcPr>
                <w:tcW w:w="2840" w:type="dxa"/>
                <w:tcMar/>
              </w:tcPr>
              <w:p w:rsidR="002C59A0" w:rsidP="002C59A0" w:rsidRDefault="002C59A0" w14:paraId="0749605A" w14:textId="77777777">
                <w:pPr>
                  <w:tabs>
                    <w:tab w:val="right" w:pos="8838"/>
                  </w:tabs>
                  <w:ind w:left="-28" w:right="-107"/>
                  <w:rPr>
                    <w:rFonts w:eastAsia="Calibri" w:cs="Tahoma"/>
                    <w:lang w:val="es-MX"/>
                  </w:rPr>
                </w:pPr>
              </w:p>
              <w:p w:rsidRPr="00C853D1" w:rsidR="002C59A0" w:rsidP="002C59A0" w:rsidRDefault="0033386E" w14:paraId="25021A4A" w14:textId="170FB1C5">
                <w:pPr>
                  <w:tabs>
                    <w:tab w:val="right" w:pos="8838"/>
                  </w:tabs>
                  <w:ind w:left="-28" w:right="-107"/>
                  <w:rPr>
                    <w:rFonts w:eastAsia="Calibri" w:cs="Tahoma"/>
                  </w:rPr>
                </w:pPr>
                <w:r w:rsidRPr="0033386E">
                  <w:rPr>
                    <w:rFonts w:eastAsia="Calibri" w:cs="Tahoma"/>
                    <w:lang w:val="es-MX"/>
                  </w:rPr>
                  <w:t>15506/INFOEM/IP/RR/2022</w:t>
                </w:r>
              </w:p>
            </w:tc>
          </w:tr>
          <w:tr w:rsidR="002C59A0" w:rsidTr="3550A85B" w14:paraId="65D6C982" w14:textId="77777777">
            <w:trPr>
              <w:trHeight w:val="141"/>
            </w:trPr>
            <w:tc>
              <w:tcPr>
                <w:tcW w:w="2404" w:type="dxa"/>
                <w:tcMar/>
              </w:tcPr>
              <w:p w:rsidRPr="001B5FB6" w:rsidR="002C59A0" w:rsidP="002C59A0" w:rsidRDefault="002C59A0" w14:paraId="7E5992A8" w14:textId="77777777">
                <w:pPr>
                  <w:tabs>
                    <w:tab w:val="right" w:pos="8838"/>
                  </w:tabs>
                  <w:ind w:right="-105"/>
                  <w:rPr>
                    <w:rFonts w:eastAsia="Calibri" w:cs="Tahoma"/>
                    <w:b/>
                    <w:lang w:val="es-MX"/>
                  </w:rPr>
                </w:pPr>
                <w:r w:rsidRPr="001B5FB6">
                  <w:rPr>
                    <w:rFonts w:eastAsia="Calibri" w:cs="Tahoma"/>
                    <w:b/>
                    <w:lang w:val="es-MX"/>
                  </w:rPr>
                  <w:t>Recurrente:</w:t>
                </w:r>
              </w:p>
            </w:tc>
            <w:tc>
              <w:tcPr>
                <w:tcW w:w="2840" w:type="dxa"/>
                <w:tcMar/>
              </w:tcPr>
              <w:p w:rsidRPr="003405AF" w:rsidR="002C59A0" w:rsidP="3550A85B" w:rsidRDefault="0033386E" w14:paraId="4D5C37D5" w14:textId="202B2B55">
                <w:pPr>
                  <w:pStyle w:val="Normal"/>
                  <w:tabs>
                    <w:tab w:val="right" w:leader="none" w:pos="8838"/>
                  </w:tabs>
                  <w:bidi w:val="0"/>
                  <w:spacing w:before="0" w:beforeAutospacing="off" w:after="0" w:afterAutospacing="off" w:line="259" w:lineRule="auto"/>
                  <w:ind w:left="0" w:right="-107"/>
                  <w:jc w:val="both"/>
                  <w:rPr>
                    <w:rFonts w:eastAsia="Calibri" w:cs="Tahoma"/>
                    <w:highlight w:val="black"/>
                    <w:lang w:val="es-MX"/>
                  </w:rPr>
                </w:pPr>
                <w:r w:rsidRPr="3550A85B" w:rsidR="3550A85B">
                  <w:rPr>
                    <w:rFonts w:eastAsia="Calibri" w:cs="Tahoma"/>
                    <w:highlight w:val="black"/>
                    <w:lang w:val="es-MX"/>
                  </w:rPr>
                  <w:t>XXXXXXXXXXXXXXX</w:t>
                </w:r>
              </w:p>
            </w:tc>
          </w:tr>
          <w:tr w:rsidR="002C59A0" w:rsidTr="3550A85B" w14:paraId="40A995EA" w14:textId="77777777">
            <w:trPr>
              <w:trHeight w:val="276"/>
            </w:trPr>
            <w:tc>
              <w:tcPr>
                <w:tcW w:w="2404" w:type="dxa"/>
                <w:tcMar/>
              </w:tcPr>
              <w:p w:rsidRPr="001B5FB6" w:rsidR="002C59A0" w:rsidP="002C59A0" w:rsidRDefault="002C59A0" w14:paraId="7BFD65FA" w14:textId="77777777">
                <w:pPr>
                  <w:tabs>
                    <w:tab w:val="right" w:pos="8838"/>
                  </w:tabs>
                  <w:ind w:right="-105"/>
                  <w:rPr>
                    <w:rFonts w:eastAsia="Calibri" w:cs="Tahoma"/>
                    <w:b/>
                    <w:lang w:val="es-MX"/>
                  </w:rPr>
                </w:pPr>
                <w:r w:rsidRPr="001B5FB6">
                  <w:rPr>
                    <w:rFonts w:eastAsia="Calibri" w:cs="Tahoma"/>
                    <w:b/>
                    <w:lang w:val="es-MX"/>
                  </w:rPr>
                  <w:t>Sujeto Obligado:</w:t>
                </w:r>
              </w:p>
            </w:tc>
            <w:tc>
              <w:tcPr>
                <w:tcW w:w="2840" w:type="dxa"/>
                <w:tcMar/>
              </w:tcPr>
              <w:p w:rsidRPr="00C853D1" w:rsidR="002C59A0" w:rsidP="002C59A0" w:rsidRDefault="005C16AB" w14:paraId="433E1B49" w14:textId="332695A2">
                <w:pPr>
                  <w:tabs>
                    <w:tab w:val="right" w:pos="8838"/>
                  </w:tabs>
                  <w:ind w:right="-107"/>
                  <w:rPr>
                    <w:rFonts w:eastAsia="Calibri" w:cs="Tahoma"/>
                    <w:lang w:val="es-MX"/>
                  </w:rPr>
                </w:pPr>
                <w:r w:rsidRPr="005C16AB">
                  <w:rPr>
                    <w:rFonts w:eastAsia="Calibri" w:cs="Tahoma"/>
                    <w:lang w:val="es-MX"/>
                  </w:rPr>
                  <w:t>Ayuntamiento de Valle de Chalco Solidaridad</w:t>
                </w:r>
              </w:p>
            </w:tc>
          </w:tr>
          <w:tr w:rsidR="002C59A0" w:rsidTr="3550A85B" w14:paraId="386AB112" w14:textId="77777777">
            <w:trPr>
              <w:trHeight w:val="276"/>
            </w:trPr>
            <w:tc>
              <w:tcPr>
                <w:tcW w:w="2404" w:type="dxa"/>
                <w:tcMar/>
              </w:tcPr>
              <w:p w:rsidRPr="001B5FB6" w:rsidR="002C59A0" w:rsidP="002C59A0" w:rsidRDefault="002C59A0" w14:paraId="44E8F60B" w14:textId="77777777">
                <w:pPr>
                  <w:tabs>
                    <w:tab w:val="right" w:pos="8838"/>
                  </w:tabs>
                  <w:ind w:right="-105"/>
                  <w:rPr>
                    <w:rFonts w:eastAsia="Calibri" w:cs="Tahoma"/>
                    <w:b/>
                    <w:lang w:val="es-MX"/>
                  </w:rPr>
                </w:pPr>
                <w:r w:rsidRPr="001B5FB6">
                  <w:rPr>
                    <w:rFonts w:eastAsia="Calibri" w:cs="Tahoma"/>
                    <w:b/>
                    <w:lang w:val="es-MX"/>
                  </w:rPr>
                  <w:t>Comisionado Ponente:</w:t>
                </w:r>
              </w:p>
            </w:tc>
            <w:tc>
              <w:tcPr>
                <w:tcW w:w="2840" w:type="dxa"/>
                <w:tcMar/>
              </w:tcPr>
              <w:p w:rsidRPr="00A8173F" w:rsidR="002C59A0" w:rsidP="002C59A0" w:rsidRDefault="002C59A0" w14:paraId="3833DB23" w14:textId="77777777">
                <w:pPr>
                  <w:tabs>
                    <w:tab w:val="right" w:pos="8838"/>
                  </w:tabs>
                  <w:ind w:right="-107"/>
                  <w:rPr>
                    <w:rFonts w:eastAsia="Calibri" w:cs="Tahoma"/>
                    <w:lang w:val="es-MX"/>
                  </w:rPr>
                </w:pPr>
                <w:r w:rsidRPr="00A8173F">
                  <w:rPr>
                    <w:rFonts w:eastAsia="Calibri" w:cs="Tahoma"/>
                    <w:lang w:val="es-MX"/>
                  </w:rPr>
                  <w:t>Luis Gustavo Parra Noriega</w:t>
                </w:r>
              </w:p>
            </w:tc>
          </w:tr>
        </w:tbl>
        <w:p w:rsidRPr="005C106F" w:rsidR="002C59A0" w:rsidP="002C59A0" w:rsidRDefault="002C59A0" w14:paraId="7017D3D5" w14:textId="77777777">
          <w:pPr>
            <w:tabs>
              <w:tab w:val="right" w:pos="8838"/>
            </w:tabs>
            <w:ind w:left="-28"/>
            <w:rPr>
              <w:rFonts w:ascii="Arial" w:hAnsi="Arial" w:eastAsia="Calibri" w:cs="Arial"/>
              <w:b/>
            </w:rPr>
          </w:pPr>
        </w:p>
      </w:tc>
    </w:tr>
  </w:tbl>
  <w:p w:rsidR="002C59A0" w:rsidRDefault="007910C3" w14:paraId="280F3B20" w14:textId="77777777">
    <w:pPr>
      <w:pStyle w:val="Encabezado"/>
    </w:pPr>
    <w:r>
      <w:rPr>
        <w:noProof/>
      </w:rPr>
      <w:pict w14:anchorId="3F987CB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912BF"/>
    <w:multiLevelType w:val="hybridMultilevel"/>
    <w:tmpl w:val="B93CCFC6"/>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 w15:restartNumberingAfterBreak="0">
    <w:nsid w:val="118D0099"/>
    <w:multiLevelType w:val="hybridMultilevel"/>
    <w:tmpl w:val="33C0DC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DAF7422"/>
    <w:multiLevelType w:val="hybridMultilevel"/>
    <w:tmpl w:val="023E3E8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1FBA60E1"/>
    <w:multiLevelType w:val="hybridMultilevel"/>
    <w:tmpl w:val="2A62481A"/>
    <w:lvl w:ilvl="0" w:tplc="087AAEF6">
      <w:numFmt w:val="bullet"/>
      <w:lvlText w:val="-"/>
      <w:lvlJc w:val="left"/>
      <w:pPr>
        <w:ind w:left="720" w:hanging="360"/>
      </w:pPr>
      <w:rPr>
        <w:rFonts w:hint="default" w:ascii="Palatino Linotype" w:hAnsi="Palatino Linotype"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21CC422F"/>
    <w:multiLevelType w:val="hybridMultilevel"/>
    <w:tmpl w:val="8EB6763C"/>
    <w:lvl w:ilvl="0" w:tplc="9EB06EBC">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257F3E9D"/>
    <w:multiLevelType w:val="hybridMultilevel"/>
    <w:tmpl w:val="954897FA"/>
    <w:lvl w:ilvl="0" w:tplc="FEAE0966">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B627DD0"/>
    <w:multiLevelType w:val="hybridMultilevel"/>
    <w:tmpl w:val="A61AD21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7" w15:restartNumberingAfterBreak="0">
    <w:nsid w:val="303468F2"/>
    <w:multiLevelType w:val="hybridMultilevel"/>
    <w:tmpl w:val="D9727AD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15:restartNumberingAfterBreak="0">
    <w:nsid w:val="36F929F8"/>
    <w:multiLevelType w:val="hybridMultilevel"/>
    <w:tmpl w:val="77AC6174"/>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9" w15:restartNumberingAfterBreak="0">
    <w:nsid w:val="3C9F5AB9"/>
    <w:multiLevelType w:val="hybridMultilevel"/>
    <w:tmpl w:val="64E8ABDE"/>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406E0EE2"/>
    <w:multiLevelType w:val="hybridMultilevel"/>
    <w:tmpl w:val="78469DE6"/>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43777883"/>
    <w:multiLevelType w:val="hybridMultilevel"/>
    <w:tmpl w:val="F7E8021C"/>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12" w15:restartNumberingAfterBreak="0">
    <w:nsid w:val="46114E44"/>
    <w:multiLevelType w:val="hybridMultilevel"/>
    <w:tmpl w:val="9FCE3B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AE60DDA"/>
    <w:multiLevelType w:val="hybridMultilevel"/>
    <w:tmpl w:val="25825C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4" w15:restartNumberingAfterBreak="0">
    <w:nsid w:val="553B6D56"/>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6EE2D28"/>
    <w:multiLevelType w:val="hybridMultilevel"/>
    <w:tmpl w:val="82D81098"/>
    <w:lvl w:ilvl="0" w:tplc="7AA0B6C0">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15:restartNumberingAfterBreak="0">
    <w:nsid w:val="5F480B7F"/>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FC313A0"/>
    <w:multiLevelType w:val="hybridMultilevel"/>
    <w:tmpl w:val="4454BA6C"/>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8" w15:restartNumberingAfterBreak="0">
    <w:nsid w:val="652E5339"/>
    <w:multiLevelType w:val="hybridMultilevel"/>
    <w:tmpl w:val="EA9CE056"/>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9" w15:restartNumberingAfterBreak="0">
    <w:nsid w:val="67777C71"/>
    <w:multiLevelType w:val="hybridMultilevel"/>
    <w:tmpl w:val="55CE3AA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6B7531FB"/>
    <w:multiLevelType w:val="hybridMultilevel"/>
    <w:tmpl w:val="AC0E0E06"/>
    <w:lvl w:ilvl="0" w:tplc="437EAEFC">
      <w:start w:val="1"/>
      <w:numFmt w:val="lowerLetter"/>
      <w:lvlText w:val="%1."/>
      <w:lvlJc w:val="left"/>
      <w:pPr>
        <w:ind w:left="720" w:hanging="360"/>
      </w:pPr>
      <w:rPr>
        <w:rFonts w:hint="default" w:ascii="Palatino Linotype" w:hAnsi="Palatino Linotyp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8E4E74"/>
    <w:multiLevelType w:val="hybridMultilevel"/>
    <w:tmpl w:val="EFD2153A"/>
    <w:lvl w:ilvl="0" w:tplc="040A0001">
      <w:start w:val="1"/>
      <w:numFmt w:val="bullet"/>
      <w:lvlText w:val=""/>
      <w:lvlJc w:val="left"/>
      <w:pPr>
        <w:ind w:left="720" w:hanging="360"/>
      </w:pPr>
      <w:rPr>
        <w:rFonts w:hint="default" w:ascii="Symbol" w:hAnsi="Symbol"/>
      </w:rPr>
    </w:lvl>
    <w:lvl w:ilvl="1" w:tplc="040A0003" w:tentative="1">
      <w:start w:val="1"/>
      <w:numFmt w:val="bullet"/>
      <w:lvlText w:val="o"/>
      <w:lvlJc w:val="left"/>
      <w:pPr>
        <w:ind w:left="1440" w:hanging="360"/>
      </w:pPr>
      <w:rPr>
        <w:rFonts w:hint="default" w:ascii="Courier New" w:hAnsi="Courier New" w:cs="Courier New"/>
      </w:rPr>
    </w:lvl>
    <w:lvl w:ilvl="2" w:tplc="040A0005" w:tentative="1">
      <w:start w:val="1"/>
      <w:numFmt w:val="bullet"/>
      <w:lvlText w:val=""/>
      <w:lvlJc w:val="left"/>
      <w:pPr>
        <w:ind w:left="2160" w:hanging="360"/>
      </w:pPr>
      <w:rPr>
        <w:rFonts w:hint="default" w:ascii="Wingdings" w:hAnsi="Wingdings"/>
      </w:rPr>
    </w:lvl>
    <w:lvl w:ilvl="3" w:tplc="040A0001" w:tentative="1">
      <w:start w:val="1"/>
      <w:numFmt w:val="bullet"/>
      <w:lvlText w:val=""/>
      <w:lvlJc w:val="left"/>
      <w:pPr>
        <w:ind w:left="2880" w:hanging="360"/>
      </w:pPr>
      <w:rPr>
        <w:rFonts w:hint="default" w:ascii="Symbol" w:hAnsi="Symbol"/>
      </w:rPr>
    </w:lvl>
    <w:lvl w:ilvl="4" w:tplc="040A0003" w:tentative="1">
      <w:start w:val="1"/>
      <w:numFmt w:val="bullet"/>
      <w:lvlText w:val="o"/>
      <w:lvlJc w:val="left"/>
      <w:pPr>
        <w:ind w:left="3600" w:hanging="360"/>
      </w:pPr>
      <w:rPr>
        <w:rFonts w:hint="default" w:ascii="Courier New" w:hAnsi="Courier New" w:cs="Courier New"/>
      </w:rPr>
    </w:lvl>
    <w:lvl w:ilvl="5" w:tplc="040A0005" w:tentative="1">
      <w:start w:val="1"/>
      <w:numFmt w:val="bullet"/>
      <w:lvlText w:val=""/>
      <w:lvlJc w:val="left"/>
      <w:pPr>
        <w:ind w:left="4320" w:hanging="360"/>
      </w:pPr>
      <w:rPr>
        <w:rFonts w:hint="default" w:ascii="Wingdings" w:hAnsi="Wingdings"/>
      </w:rPr>
    </w:lvl>
    <w:lvl w:ilvl="6" w:tplc="040A0001" w:tentative="1">
      <w:start w:val="1"/>
      <w:numFmt w:val="bullet"/>
      <w:lvlText w:val=""/>
      <w:lvlJc w:val="left"/>
      <w:pPr>
        <w:ind w:left="5040" w:hanging="360"/>
      </w:pPr>
      <w:rPr>
        <w:rFonts w:hint="default" w:ascii="Symbol" w:hAnsi="Symbol"/>
      </w:rPr>
    </w:lvl>
    <w:lvl w:ilvl="7" w:tplc="040A0003" w:tentative="1">
      <w:start w:val="1"/>
      <w:numFmt w:val="bullet"/>
      <w:lvlText w:val="o"/>
      <w:lvlJc w:val="left"/>
      <w:pPr>
        <w:ind w:left="5760" w:hanging="360"/>
      </w:pPr>
      <w:rPr>
        <w:rFonts w:hint="default" w:ascii="Courier New" w:hAnsi="Courier New" w:cs="Courier New"/>
      </w:rPr>
    </w:lvl>
    <w:lvl w:ilvl="8" w:tplc="040A0005" w:tentative="1">
      <w:start w:val="1"/>
      <w:numFmt w:val="bullet"/>
      <w:lvlText w:val=""/>
      <w:lvlJc w:val="left"/>
      <w:pPr>
        <w:ind w:left="6480" w:hanging="360"/>
      </w:pPr>
      <w:rPr>
        <w:rFonts w:hint="default" w:ascii="Wingdings" w:hAnsi="Wingdings"/>
      </w:rPr>
    </w:lvl>
  </w:abstractNum>
  <w:abstractNum w:abstractNumId="2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3" w15:restartNumberingAfterBreak="0">
    <w:nsid w:val="75CC7057"/>
    <w:multiLevelType w:val="hybridMultilevel"/>
    <w:tmpl w:val="13DEB03E"/>
    <w:lvl w:ilvl="0" w:tplc="7AA0B6C0">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76D92C0A"/>
    <w:multiLevelType w:val="hybridMultilevel"/>
    <w:tmpl w:val="70F4CBA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num w:numId="1" w16cid:durableId="14335520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169232">
    <w:abstractNumId w:val="1"/>
  </w:num>
  <w:num w:numId="3" w16cid:durableId="1267884270">
    <w:abstractNumId w:val="6"/>
  </w:num>
  <w:num w:numId="4" w16cid:durableId="1307197225">
    <w:abstractNumId w:val="10"/>
  </w:num>
  <w:num w:numId="5" w16cid:durableId="612175880">
    <w:abstractNumId w:val="17"/>
  </w:num>
  <w:num w:numId="6" w16cid:durableId="1333099379">
    <w:abstractNumId w:val="15"/>
  </w:num>
  <w:num w:numId="7" w16cid:durableId="412240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73643448">
    <w:abstractNumId w:val="3"/>
  </w:num>
  <w:num w:numId="9" w16cid:durableId="953175145">
    <w:abstractNumId w:val="23"/>
  </w:num>
  <w:num w:numId="10" w16cid:durableId="424574641">
    <w:abstractNumId w:val="4"/>
  </w:num>
  <w:num w:numId="11" w16cid:durableId="293367193">
    <w:abstractNumId w:val="14"/>
  </w:num>
  <w:num w:numId="12" w16cid:durableId="1490513255">
    <w:abstractNumId w:val="12"/>
  </w:num>
  <w:num w:numId="13" w16cid:durableId="288705801">
    <w:abstractNumId w:val="24"/>
  </w:num>
  <w:num w:numId="14" w16cid:durableId="1905293986">
    <w:abstractNumId w:val="16"/>
  </w:num>
  <w:num w:numId="15" w16cid:durableId="1311596351">
    <w:abstractNumId w:val="13"/>
  </w:num>
  <w:num w:numId="16" w16cid:durableId="1188107508">
    <w:abstractNumId w:val="20"/>
  </w:num>
  <w:num w:numId="17" w16cid:durableId="964584171">
    <w:abstractNumId w:val="11"/>
  </w:num>
  <w:num w:numId="18" w16cid:durableId="953639465">
    <w:abstractNumId w:val="21"/>
  </w:num>
  <w:num w:numId="19" w16cid:durableId="397021515">
    <w:abstractNumId w:val="7"/>
  </w:num>
  <w:num w:numId="20" w16cid:durableId="1864055048">
    <w:abstractNumId w:val="0"/>
  </w:num>
  <w:num w:numId="21" w16cid:durableId="938221327">
    <w:abstractNumId w:val="18"/>
  </w:num>
  <w:num w:numId="22" w16cid:durableId="1897812031">
    <w:abstractNumId w:val="8"/>
  </w:num>
  <w:num w:numId="23" w16cid:durableId="680356719">
    <w:abstractNumId w:val="5"/>
  </w:num>
  <w:num w:numId="24" w16cid:durableId="1277561982">
    <w:abstractNumId w:val="19"/>
  </w:num>
  <w:num w:numId="25" w16cid:durableId="915431610">
    <w:abstractNumId w:val="2"/>
  </w:num>
  <w:num w:numId="26" w16cid:durableId="742409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3D1"/>
    <w:rsid w:val="00001F87"/>
    <w:rsid w:val="00002E53"/>
    <w:rsid w:val="000039BC"/>
    <w:rsid w:val="000051F1"/>
    <w:rsid w:val="00007008"/>
    <w:rsid w:val="00007EB8"/>
    <w:rsid w:val="0001499A"/>
    <w:rsid w:val="00017D8C"/>
    <w:rsid w:val="000223B0"/>
    <w:rsid w:val="00022A0A"/>
    <w:rsid w:val="00027FA3"/>
    <w:rsid w:val="00030561"/>
    <w:rsid w:val="000477C6"/>
    <w:rsid w:val="00052A57"/>
    <w:rsid w:val="000556A2"/>
    <w:rsid w:val="00062AAC"/>
    <w:rsid w:val="00062C8B"/>
    <w:rsid w:val="000705A9"/>
    <w:rsid w:val="000716E6"/>
    <w:rsid w:val="00077C27"/>
    <w:rsid w:val="000807BA"/>
    <w:rsid w:val="00081145"/>
    <w:rsid w:val="00086F6C"/>
    <w:rsid w:val="000939CD"/>
    <w:rsid w:val="00096694"/>
    <w:rsid w:val="000A2588"/>
    <w:rsid w:val="000A259F"/>
    <w:rsid w:val="000A61A2"/>
    <w:rsid w:val="000A785D"/>
    <w:rsid w:val="000B0EAF"/>
    <w:rsid w:val="000B145B"/>
    <w:rsid w:val="000B5A80"/>
    <w:rsid w:val="000B7029"/>
    <w:rsid w:val="000C715C"/>
    <w:rsid w:val="000D1A72"/>
    <w:rsid w:val="000D2522"/>
    <w:rsid w:val="000D45D9"/>
    <w:rsid w:val="000D59F5"/>
    <w:rsid w:val="000D69EB"/>
    <w:rsid w:val="000D6E68"/>
    <w:rsid w:val="000D73F7"/>
    <w:rsid w:val="000E28E6"/>
    <w:rsid w:val="000E4418"/>
    <w:rsid w:val="000E4E10"/>
    <w:rsid w:val="000F05A6"/>
    <w:rsid w:val="000F0B2E"/>
    <w:rsid w:val="000F2A9A"/>
    <w:rsid w:val="000F3403"/>
    <w:rsid w:val="000F45A1"/>
    <w:rsid w:val="001004CE"/>
    <w:rsid w:val="00100EB3"/>
    <w:rsid w:val="0010232F"/>
    <w:rsid w:val="0010413E"/>
    <w:rsid w:val="001059E3"/>
    <w:rsid w:val="00105EF9"/>
    <w:rsid w:val="001105F1"/>
    <w:rsid w:val="00111C2D"/>
    <w:rsid w:val="00115309"/>
    <w:rsid w:val="00117E9D"/>
    <w:rsid w:val="001202DE"/>
    <w:rsid w:val="001223E4"/>
    <w:rsid w:val="00134C39"/>
    <w:rsid w:val="00142455"/>
    <w:rsid w:val="00146731"/>
    <w:rsid w:val="001601CC"/>
    <w:rsid w:val="00161E74"/>
    <w:rsid w:val="00164599"/>
    <w:rsid w:val="001675D9"/>
    <w:rsid w:val="00172E4A"/>
    <w:rsid w:val="0017427D"/>
    <w:rsid w:val="00174F57"/>
    <w:rsid w:val="00175572"/>
    <w:rsid w:val="0017771F"/>
    <w:rsid w:val="00180003"/>
    <w:rsid w:val="001900B4"/>
    <w:rsid w:val="00190EBA"/>
    <w:rsid w:val="001935D3"/>
    <w:rsid w:val="00194DD1"/>
    <w:rsid w:val="0019678D"/>
    <w:rsid w:val="001A40CF"/>
    <w:rsid w:val="001A641F"/>
    <w:rsid w:val="001B3B40"/>
    <w:rsid w:val="001B77BD"/>
    <w:rsid w:val="001C1007"/>
    <w:rsid w:val="001C3C7E"/>
    <w:rsid w:val="001C3D02"/>
    <w:rsid w:val="001C517B"/>
    <w:rsid w:val="001C5255"/>
    <w:rsid w:val="001C6764"/>
    <w:rsid w:val="001D02DD"/>
    <w:rsid w:val="001D37BB"/>
    <w:rsid w:val="001D520A"/>
    <w:rsid w:val="001E375F"/>
    <w:rsid w:val="001E386E"/>
    <w:rsid w:val="001E4AA0"/>
    <w:rsid w:val="001E6D1F"/>
    <w:rsid w:val="001F7C51"/>
    <w:rsid w:val="00204AF1"/>
    <w:rsid w:val="002111A8"/>
    <w:rsid w:val="002132AD"/>
    <w:rsid w:val="00213776"/>
    <w:rsid w:val="00220583"/>
    <w:rsid w:val="0022261D"/>
    <w:rsid w:val="00235BA0"/>
    <w:rsid w:val="00237E41"/>
    <w:rsid w:val="002402DE"/>
    <w:rsid w:val="002419E9"/>
    <w:rsid w:val="0024313A"/>
    <w:rsid w:val="00251A4C"/>
    <w:rsid w:val="00252EF3"/>
    <w:rsid w:val="0025433F"/>
    <w:rsid w:val="002557A7"/>
    <w:rsid w:val="00257F3B"/>
    <w:rsid w:val="00260AAA"/>
    <w:rsid w:val="00261807"/>
    <w:rsid w:val="00261BED"/>
    <w:rsid w:val="002634E5"/>
    <w:rsid w:val="002718A0"/>
    <w:rsid w:val="00271D9C"/>
    <w:rsid w:val="00272886"/>
    <w:rsid w:val="00273E3B"/>
    <w:rsid w:val="0028305A"/>
    <w:rsid w:val="00296E2A"/>
    <w:rsid w:val="002A7B7D"/>
    <w:rsid w:val="002B3565"/>
    <w:rsid w:val="002B3FDA"/>
    <w:rsid w:val="002B54AE"/>
    <w:rsid w:val="002C514D"/>
    <w:rsid w:val="002C59A0"/>
    <w:rsid w:val="002C630B"/>
    <w:rsid w:val="002C6390"/>
    <w:rsid w:val="002C7309"/>
    <w:rsid w:val="002D2E5D"/>
    <w:rsid w:val="002E0552"/>
    <w:rsid w:val="002E05D6"/>
    <w:rsid w:val="002E25E7"/>
    <w:rsid w:val="002E2BC9"/>
    <w:rsid w:val="002E333F"/>
    <w:rsid w:val="002E33E8"/>
    <w:rsid w:val="002E5CED"/>
    <w:rsid w:val="002F3012"/>
    <w:rsid w:val="00300286"/>
    <w:rsid w:val="00303B81"/>
    <w:rsid w:val="003059EA"/>
    <w:rsid w:val="00311288"/>
    <w:rsid w:val="003114A1"/>
    <w:rsid w:val="00311811"/>
    <w:rsid w:val="003160D6"/>
    <w:rsid w:val="00316C63"/>
    <w:rsid w:val="00320671"/>
    <w:rsid w:val="00320B93"/>
    <w:rsid w:val="003265A2"/>
    <w:rsid w:val="0033386E"/>
    <w:rsid w:val="00334B20"/>
    <w:rsid w:val="00336980"/>
    <w:rsid w:val="00340DD8"/>
    <w:rsid w:val="0034390F"/>
    <w:rsid w:val="0034462A"/>
    <w:rsid w:val="00345528"/>
    <w:rsid w:val="00350D55"/>
    <w:rsid w:val="003537E3"/>
    <w:rsid w:val="00353D56"/>
    <w:rsid w:val="00355553"/>
    <w:rsid w:val="00360690"/>
    <w:rsid w:val="00361429"/>
    <w:rsid w:val="00362DE2"/>
    <w:rsid w:val="00363046"/>
    <w:rsid w:val="003647F7"/>
    <w:rsid w:val="00365075"/>
    <w:rsid w:val="00371DAE"/>
    <w:rsid w:val="00372BAB"/>
    <w:rsid w:val="0037442A"/>
    <w:rsid w:val="003753DD"/>
    <w:rsid w:val="00376559"/>
    <w:rsid w:val="00380368"/>
    <w:rsid w:val="00381FDE"/>
    <w:rsid w:val="003830A8"/>
    <w:rsid w:val="00384A4A"/>
    <w:rsid w:val="0038779D"/>
    <w:rsid w:val="003936D2"/>
    <w:rsid w:val="003955C4"/>
    <w:rsid w:val="003975AD"/>
    <w:rsid w:val="00397660"/>
    <w:rsid w:val="003A1B84"/>
    <w:rsid w:val="003A4C8C"/>
    <w:rsid w:val="003B0A84"/>
    <w:rsid w:val="003B0BA2"/>
    <w:rsid w:val="003B46DC"/>
    <w:rsid w:val="003C2ED7"/>
    <w:rsid w:val="003C470A"/>
    <w:rsid w:val="003C5B59"/>
    <w:rsid w:val="003D15D4"/>
    <w:rsid w:val="003D30B4"/>
    <w:rsid w:val="003D4A58"/>
    <w:rsid w:val="003D5757"/>
    <w:rsid w:val="003D7ED4"/>
    <w:rsid w:val="003E2FB0"/>
    <w:rsid w:val="003E6425"/>
    <w:rsid w:val="003E7060"/>
    <w:rsid w:val="003F0CE1"/>
    <w:rsid w:val="003F0E14"/>
    <w:rsid w:val="003F0F63"/>
    <w:rsid w:val="004059D0"/>
    <w:rsid w:val="004122A9"/>
    <w:rsid w:val="00415A15"/>
    <w:rsid w:val="00417EED"/>
    <w:rsid w:val="00422392"/>
    <w:rsid w:val="0042422A"/>
    <w:rsid w:val="00425471"/>
    <w:rsid w:val="00425CB1"/>
    <w:rsid w:val="004267EF"/>
    <w:rsid w:val="00430B0D"/>
    <w:rsid w:val="00433CAA"/>
    <w:rsid w:val="00443442"/>
    <w:rsid w:val="00450E6E"/>
    <w:rsid w:val="00452038"/>
    <w:rsid w:val="004542DC"/>
    <w:rsid w:val="004548CD"/>
    <w:rsid w:val="004603C6"/>
    <w:rsid w:val="00460EAD"/>
    <w:rsid w:val="00462A63"/>
    <w:rsid w:val="004633F1"/>
    <w:rsid w:val="00463A70"/>
    <w:rsid w:val="00464242"/>
    <w:rsid w:val="00465EC8"/>
    <w:rsid w:val="004673C4"/>
    <w:rsid w:val="00467751"/>
    <w:rsid w:val="00470A7A"/>
    <w:rsid w:val="00470AF6"/>
    <w:rsid w:val="00471A6E"/>
    <w:rsid w:val="00474538"/>
    <w:rsid w:val="00474752"/>
    <w:rsid w:val="00474E4C"/>
    <w:rsid w:val="00475206"/>
    <w:rsid w:val="00476ED1"/>
    <w:rsid w:val="004829B9"/>
    <w:rsid w:val="0048648B"/>
    <w:rsid w:val="0049061B"/>
    <w:rsid w:val="00491C3E"/>
    <w:rsid w:val="00494387"/>
    <w:rsid w:val="004945C7"/>
    <w:rsid w:val="004949AC"/>
    <w:rsid w:val="00496426"/>
    <w:rsid w:val="004A1E88"/>
    <w:rsid w:val="004A27DB"/>
    <w:rsid w:val="004A29F8"/>
    <w:rsid w:val="004A528D"/>
    <w:rsid w:val="004B15BE"/>
    <w:rsid w:val="004B720F"/>
    <w:rsid w:val="004B726A"/>
    <w:rsid w:val="004C1B53"/>
    <w:rsid w:val="004C34C6"/>
    <w:rsid w:val="004C3C1A"/>
    <w:rsid w:val="004D0716"/>
    <w:rsid w:val="004D2468"/>
    <w:rsid w:val="004D3DB8"/>
    <w:rsid w:val="004D4220"/>
    <w:rsid w:val="004D4E43"/>
    <w:rsid w:val="004D66A3"/>
    <w:rsid w:val="004E1BF6"/>
    <w:rsid w:val="004E2875"/>
    <w:rsid w:val="004E5602"/>
    <w:rsid w:val="004E617D"/>
    <w:rsid w:val="004E6D06"/>
    <w:rsid w:val="004F4445"/>
    <w:rsid w:val="004F461D"/>
    <w:rsid w:val="004F6003"/>
    <w:rsid w:val="004F662C"/>
    <w:rsid w:val="004F736C"/>
    <w:rsid w:val="004F7666"/>
    <w:rsid w:val="00506F24"/>
    <w:rsid w:val="00513F33"/>
    <w:rsid w:val="00515CA2"/>
    <w:rsid w:val="00515F2C"/>
    <w:rsid w:val="00517B06"/>
    <w:rsid w:val="00520182"/>
    <w:rsid w:val="00522F3F"/>
    <w:rsid w:val="005230CF"/>
    <w:rsid w:val="005277CB"/>
    <w:rsid w:val="00533C3F"/>
    <w:rsid w:val="00534853"/>
    <w:rsid w:val="00534932"/>
    <w:rsid w:val="0054028E"/>
    <w:rsid w:val="00540994"/>
    <w:rsid w:val="00550D10"/>
    <w:rsid w:val="00551230"/>
    <w:rsid w:val="005706CC"/>
    <w:rsid w:val="00571737"/>
    <w:rsid w:val="00572AAD"/>
    <w:rsid w:val="005747FF"/>
    <w:rsid w:val="00577E42"/>
    <w:rsid w:val="00581915"/>
    <w:rsid w:val="00583138"/>
    <w:rsid w:val="005861E7"/>
    <w:rsid w:val="00587FE6"/>
    <w:rsid w:val="005918FB"/>
    <w:rsid w:val="00592BA8"/>
    <w:rsid w:val="00593E62"/>
    <w:rsid w:val="0059523B"/>
    <w:rsid w:val="00596883"/>
    <w:rsid w:val="00597C05"/>
    <w:rsid w:val="005C16AB"/>
    <w:rsid w:val="005C3071"/>
    <w:rsid w:val="005C40CA"/>
    <w:rsid w:val="005C6308"/>
    <w:rsid w:val="005C7219"/>
    <w:rsid w:val="005D2E05"/>
    <w:rsid w:val="005D3368"/>
    <w:rsid w:val="005D3836"/>
    <w:rsid w:val="005D6139"/>
    <w:rsid w:val="005E0A33"/>
    <w:rsid w:val="005E1588"/>
    <w:rsid w:val="005E5646"/>
    <w:rsid w:val="005F0AA5"/>
    <w:rsid w:val="005F0F77"/>
    <w:rsid w:val="005F251F"/>
    <w:rsid w:val="005F2BAD"/>
    <w:rsid w:val="005F4E56"/>
    <w:rsid w:val="006026B5"/>
    <w:rsid w:val="00604FB9"/>
    <w:rsid w:val="00607213"/>
    <w:rsid w:val="00607F00"/>
    <w:rsid w:val="006134B9"/>
    <w:rsid w:val="0061403D"/>
    <w:rsid w:val="00614CDB"/>
    <w:rsid w:val="00621E91"/>
    <w:rsid w:val="00625925"/>
    <w:rsid w:val="00631373"/>
    <w:rsid w:val="00631FD1"/>
    <w:rsid w:val="0063438C"/>
    <w:rsid w:val="00635177"/>
    <w:rsid w:val="0063599F"/>
    <w:rsid w:val="006441E1"/>
    <w:rsid w:val="00644838"/>
    <w:rsid w:val="00644CE6"/>
    <w:rsid w:val="006473A8"/>
    <w:rsid w:val="006507ED"/>
    <w:rsid w:val="006510F8"/>
    <w:rsid w:val="00652614"/>
    <w:rsid w:val="00660363"/>
    <w:rsid w:val="00660E60"/>
    <w:rsid w:val="006631C9"/>
    <w:rsid w:val="006642B4"/>
    <w:rsid w:val="006703A5"/>
    <w:rsid w:val="006733E5"/>
    <w:rsid w:val="00682222"/>
    <w:rsid w:val="00684210"/>
    <w:rsid w:val="00687641"/>
    <w:rsid w:val="006901C3"/>
    <w:rsid w:val="0069249E"/>
    <w:rsid w:val="00694AA7"/>
    <w:rsid w:val="00695E03"/>
    <w:rsid w:val="00696A69"/>
    <w:rsid w:val="006A0781"/>
    <w:rsid w:val="006A0B45"/>
    <w:rsid w:val="006A4247"/>
    <w:rsid w:val="006A4E8D"/>
    <w:rsid w:val="006B06CA"/>
    <w:rsid w:val="006B5B3E"/>
    <w:rsid w:val="006B7B9F"/>
    <w:rsid w:val="006C03ED"/>
    <w:rsid w:val="006C69F3"/>
    <w:rsid w:val="006D1782"/>
    <w:rsid w:val="006D4AB9"/>
    <w:rsid w:val="006D6F5A"/>
    <w:rsid w:val="006E035D"/>
    <w:rsid w:val="006E0643"/>
    <w:rsid w:val="006E283C"/>
    <w:rsid w:val="006E353E"/>
    <w:rsid w:val="006E5273"/>
    <w:rsid w:val="006F0508"/>
    <w:rsid w:val="006F3217"/>
    <w:rsid w:val="006F3AE7"/>
    <w:rsid w:val="006F6104"/>
    <w:rsid w:val="00706604"/>
    <w:rsid w:val="00707E46"/>
    <w:rsid w:val="00716B6F"/>
    <w:rsid w:val="00721566"/>
    <w:rsid w:val="00723CF2"/>
    <w:rsid w:val="00724A49"/>
    <w:rsid w:val="007268C8"/>
    <w:rsid w:val="00726A94"/>
    <w:rsid w:val="00732599"/>
    <w:rsid w:val="007359A2"/>
    <w:rsid w:val="00740CD0"/>
    <w:rsid w:val="007430FE"/>
    <w:rsid w:val="00743B72"/>
    <w:rsid w:val="00744439"/>
    <w:rsid w:val="00745AEC"/>
    <w:rsid w:val="007474FF"/>
    <w:rsid w:val="00750797"/>
    <w:rsid w:val="00753F3B"/>
    <w:rsid w:val="007550F6"/>
    <w:rsid w:val="0075605D"/>
    <w:rsid w:val="0076077F"/>
    <w:rsid w:val="007610F4"/>
    <w:rsid w:val="00762999"/>
    <w:rsid w:val="007740CA"/>
    <w:rsid w:val="007745CA"/>
    <w:rsid w:val="00782132"/>
    <w:rsid w:val="0079077D"/>
    <w:rsid w:val="007910C3"/>
    <w:rsid w:val="00792748"/>
    <w:rsid w:val="007A0941"/>
    <w:rsid w:val="007A0978"/>
    <w:rsid w:val="007A0D0B"/>
    <w:rsid w:val="007A5334"/>
    <w:rsid w:val="007A5B3B"/>
    <w:rsid w:val="007A66D1"/>
    <w:rsid w:val="007B18F1"/>
    <w:rsid w:val="007C7F7D"/>
    <w:rsid w:val="007D42C2"/>
    <w:rsid w:val="007D779A"/>
    <w:rsid w:val="007D7AB9"/>
    <w:rsid w:val="007E2548"/>
    <w:rsid w:val="007E38E8"/>
    <w:rsid w:val="007E3959"/>
    <w:rsid w:val="007E5D97"/>
    <w:rsid w:val="007E600B"/>
    <w:rsid w:val="007E6D22"/>
    <w:rsid w:val="007E6F97"/>
    <w:rsid w:val="007F06F2"/>
    <w:rsid w:val="007F400F"/>
    <w:rsid w:val="007F7D92"/>
    <w:rsid w:val="008006C4"/>
    <w:rsid w:val="00800FED"/>
    <w:rsid w:val="00804053"/>
    <w:rsid w:val="00804248"/>
    <w:rsid w:val="008042FD"/>
    <w:rsid w:val="00810184"/>
    <w:rsid w:val="0081663D"/>
    <w:rsid w:val="00820C1B"/>
    <w:rsid w:val="00820C5D"/>
    <w:rsid w:val="00823130"/>
    <w:rsid w:val="0082578E"/>
    <w:rsid w:val="008262C2"/>
    <w:rsid w:val="00827B0C"/>
    <w:rsid w:val="00831EAC"/>
    <w:rsid w:val="00834A0C"/>
    <w:rsid w:val="00836F1F"/>
    <w:rsid w:val="00842168"/>
    <w:rsid w:val="00843AB9"/>
    <w:rsid w:val="00845AB7"/>
    <w:rsid w:val="00846BA7"/>
    <w:rsid w:val="008508E2"/>
    <w:rsid w:val="00850A5F"/>
    <w:rsid w:val="00852049"/>
    <w:rsid w:val="008538DF"/>
    <w:rsid w:val="00853ACB"/>
    <w:rsid w:val="00853F28"/>
    <w:rsid w:val="0085649B"/>
    <w:rsid w:val="00857F62"/>
    <w:rsid w:val="00863B1E"/>
    <w:rsid w:val="008644E3"/>
    <w:rsid w:val="008702B3"/>
    <w:rsid w:val="00880F6A"/>
    <w:rsid w:val="00884387"/>
    <w:rsid w:val="00884AD3"/>
    <w:rsid w:val="00892595"/>
    <w:rsid w:val="008934EE"/>
    <w:rsid w:val="008949CD"/>
    <w:rsid w:val="008977F6"/>
    <w:rsid w:val="00897AC3"/>
    <w:rsid w:val="00897D57"/>
    <w:rsid w:val="008A34BD"/>
    <w:rsid w:val="008A43BA"/>
    <w:rsid w:val="008B0792"/>
    <w:rsid w:val="008B2FFC"/>
    <w:rsid w:val="008B42C1"/>
    <w:rsid w:val="008B4F02"/>
    <w:rsid w:val="008B5B74"/>
    <w:rsid w:val="008C1062"/>
    <w:rsid w:val="008C4F3D"/>
    <w:rsid w:val="008C5A8C"/>
    <w:rsid w:val="008C66EB"/>
    <w:rsid w:val="008D1382"/>
    <w:rsid w:val="008D4F4A"/>
    <w:rsid w:val="008E3B00"/>
    <w:rsid w:val="008E702E"/>
    <w:rsid w:val="008F5FA0"/>
    <w:rsid w:val="008F619E"/>
    <w:rsid w:val="008F69B6"/>
    <w:rsid w:val="009009E3"/>
    <w:rsid w:val="00904433"/>
    <w:rsid w:val="00911857"/>
    <w:rsid w:val="009122C8"/>
    <w:rsid w:val="00912D87"/>
    <w:rsid w:val="009144C6"/>
    <w:rsid w:val="0091790E"/>
    <w:rsid w:val="009237C1"/>
    <w:rsid w:val="009264DB"/>
    <w:rsid w:val="00927AEA"/>
    <w:rsid w:val="0093192E"/>
    <w:rsid w:val="0093249D"/>
    <w:rsid w:val="009366D5"/>
    <w:rsid w:val="009402FE"/>
    <w:rsid w:val="009418D2"/>
    <w:rsid w:val="00942065"/>
    <w:rsid w:val="009430B1"/>
    <w:rsid w:val="00943E54"/>
    <w:rsid w:val="0095072F"/>
    <w:rsid w:val="009508A6"/>
    <w:rsid w:val="00951B5E"/>
    <w:rsid w:val="00951F34"/>
    <w:rsid w:val="00956CB4"/>
    <w:rsid w:val="0096288F"/>
    <w:rsid w:val="00963588"/>
    <w:rsid w:val="0097775B"/>
    <w:rsid w:val="00977D0A"/>
    <w:rsid w:val="00993F22"/>
    <w:rsid w:val="009A2F50"/>
    <w:rsid w:val="009A57DD"/>
    <w:rsid w:val="009B19EA"/>
    <w:rsid w:val="009B2A82"/>
    <w:rsid w:val="009B31FE"/>
    <w:rsid w:val="009B336A"/>
    <w:rsid w:val="009B3CF0"/>
    <w:rsid w:val="009B772D"/>
    <w:rsid w:val="009D6CD2"/>
    <w:rsid w:val="009D7F75"/>
    <w:rsid w:val="009E0DBA"/>
    <w:rsid w:val="009E2736"/>
    <w:rsid w:val="009E3B82"/>
    <w:rsid w:val="009E5AC3"/>
    <w:rsid w:val="009E6313"/>
    <w:rsid w:val="009F2E9D"/>
    <w:rsid w:val="009F508D"/>
    <w:rsid w:val="009F67A8"/>
    <w:rsid w:val="00A0114C"/>
    <w:rsid w:val="00A05BA1"/>
    <w:rsid w:val="00A1044E"/>
    <w:rsid w:val="00A14489"/>
    <w:rsid w:val="00A159E8"/>
    <w:rsid w:val="00A17DFE"/>
    <w:rsid w:val="00A22D36"/>
    <w:rsid w:val="00A26733"/>
    <w:rsid w:val="00A27233"/>
    <w:rsid w:val="00A31564"/>
    <w:rsid w:val="00A329DF"/>
    <w:rsid w:val="00A3342E"/>
    <w:rsid w:val="00A33B56"/>
    <w:rsid w:val="00A461D3"/>
    <w:rsid w:val="00A46802"/>
    <w:rsid w:val="00A477DA"/>
    <w:rsid w:val="00A47DC9"/>
    <w:rsid w:val="00A50618"/>
    <w:rsid w:val="00A519CC"/>
    <w:rsid w:val="00A556D2"/>
    <w:rsid w:val="00A6477D"/>
    <w:rsid w:val="00A712FA"/>
    <w:rsid w:val="00A7345F"/>
    <w:rsid w:val="00A760F1"/>
    <w:rsid w:val="00A82B69"/>
    <w:rsid w:val="00A91D47"/>
    <w:rsid w:val="00A92676"/>
    <w:rsid w:val="00A93292"/>
    <w:rsid w:val="00A944F4"/>
    <w:rsid w:val="00AA484B"/>
    <w:rsid w:val="00AA64FB"/>
    <w:rsid w:val="00AB0C45"/>
    <w:rsid w:val="00AC4743"/>
    <w:rsid w:val="00AC5758"/>
    <w:rsid w:val="00AC6254"/>
    <w:rsid w:val="00AC7254"/>
    <w:rsid w:val="00AD37B1"/>
    <w:rsid w:val="00AD4CDA"/>
    <w:rsid w:val="00AD546F"/>
    <w:rsid w:val="00AD5B92"/>
    <w:rsid w:val="00AE1BEB"/>
    <w:rsid w:val="00AE29CA"/>
    <w:rsid w:val="00AE3AE5"/>
    <w:rsid w:val="00AE6E01"/>
    <w:rsid w:val="00AF5CDA"/>
    <w:rsid w:val="00AF6EFA"/>
    <w:rsid w:val="00B042A0"/>
    <w:rsid w:val="00B125A8"/>
    <w:rsid w:val="00B15379"/>
    <w:rsid w:val="00B20B03"/>
    <w:rsid w:val="00B22907"/>
    <w:rsid w:val="00B22C7B"/>
    <w:rsid w:val="00B25B74"/>
    <w:rsid w:val="00B265BF"/>
    <w:rsid w:val="00B30B2A"/>
    <w:rsid w:val="00B30D07"/>
    <w:rsid w:val="00B31157"/>
    <w:rsid w:val="00B332FC"/>
    <w:rsid w:val="00B33A5D"/>
    <w:rsid w:val="00B43451"/>
    <w:rsid w:val="00B50F7D"/>
    <w:rsid w:val="00B561F9"/>
    <w:rsid w:val="00B56821"/>
    <w:rsid w:val="00B57547"/>
    <w:rsid w:val="00B57EC4"/>
    <w:rsid w:val="00B606C3"/>
    <w:rsid w:val="00B65640"/>
    <w:rsid w:val="00B70C84"/>
    <w:rsid w:val="00B8071B"/>
    <w:rsid w:val="00B808EE"/>
    <w:rsid w:val="00B81498"/>
    <w:rsid w:val="00B85DBE"/>
    <w:rsid w:val="00B935E7"/>
    <w:rsid w:val="00BA48D6"/>
    <w:rsid w:val="00BA75B1"/>
    <w:rsid w:val="00BB1C7F"/>
    <w:rsid w:val="00BB672D"/>
    <w:rsid w:val="00BC012A"/>
    <w:rsid w:val="00BC2DAE"/>
    <w:rsid w:val="00BC3F9C"/>
    <w:rsid w:val="00BC6BE1"/>
    <w:rsid w:val="00BC6F77"/>
    <w:rsid w:val="00BD0C71"/>
    <w:rsid w:val="00BD1436"/>
    <w:rsid w:val="00BD6BDC"/>
    <w:rsid w:val="00BE0C4E"/>
    <w:rsid w:val="00BE10CF"/>
    <w:rsid w:val="00BE2A2E"/>
    <w:rsid w:val="00BE5B32"/>
    <w:rsid w:val="00BF0782"/>
    <w:rsid w:val="00BF27F5"/>
    <w:rsid w:val="00BF548C"/>
    <w:rsid w:val="00BF7714"/>
    <w:rsid w:val="00C00FE4"/>
    <w:rsid w:val="00C04DBE"/>
    <w:rsid w:val="00C160F9"/>
    <w:rsid w:val="00C171B9"/>
    <w:rsid w:val="00C2167B"/>
    <w:rsid w:val="00C21871"/>
    <w:rsid w:val="00C21CEE"/>
    <w:rsid w:val="00C228A9"/>
    <w:rsid w:val="00C238F9"/>
    <w:rsid w:val="00C252B9"/>
    <w:rsid w:val="00C26F66"/>
    <w:rsid w:val="00C3323B"/>
    <w:rsid w:val="00C334F1"/>
    <w:rsid w:val="00C33C5C"/>
    <w:rsid w:val="00C35A21"/>
    <w:rsid w:val="00C4251D"/>
    <w:rsid w:val="00C452FF"/>
    <w:rsid w:val="00C526B8"/>
    <w:rsid w:val="00C546C5"/>
    <w:rsid w:val="00C72970"/>
    <w:rsid w:val="00C72F8C"/>
    <w:rsid w:val="00C7421E"/>
    <w:rsid w:val="00C74988"/>
    <w:rsid w:val="00C84C2B"/>
    <w:rsid w:val="00C853D1"/>
    <w:rsid w:val="00C85A96"/>
    <w:rsid w:val="00CA0C1D"/>
    <w:rsid w:val="00CA2F84"/>
    <w:rsid w:val="00CA5D4D"/>
    <w:rsid w:val="00CA664F"/>
    <w:rsid w:val="00CB2B7B"/>
    <w:rsid w:val="00CB5A9E"/>
    <w:rsid w:val="00CC12D9"/>
    <w:rsid w:val="00CC2EBD"/>
    <w:rsid w:val="00CC5561"/>
    <w:rsid w:val="00CC7111"/>
    <w:rsid w:val="00CC7EAC"/>
    <w:rsid w:val="00CD02E9"/>
    <w:rsid w:val="00CD573E"/>
    <w:rsid w:val="00CF1FCE"/>
    <w:rsid w:val="00CF38E2"/>
    <w:rsid w:val="00CF5199"/>
    <w:rsid w:val="00CF7911"/>
    <w:rsid w:val="00D02413"/>
    <w:rsid w:val="00D04493"/>
    <w:rsid w:val="00D060B7"/>
    <w:rsid w:val="00D069DF"/>
    <w:rsid w:val="00D104DB"/>
    <w:rsid w:val="00D10BBE"/>
    <w:rsid w:val="00D114F9"/>
    <w:rsid w:val="00D11E6B"/>
    <w:rsid w:val="00D11E84"/>
    <w:rsid w:val="00D121F9"/>
    <w:rsid w:val="00D15032"/>
    <w:rsid w:val="00D16932"/>
    <w:rsid w:val="00D16C0D"/>
    <w:rsid w:val="00D237F3"/>
    <w:rsid w:val="00D2535A"/>
    <w:rsid w:val="00D349C8"/>
    <w:rsid w:val="00D360D6"/>
    <w:rsid w:val="00D43062"/>
    <w:rsid w:val="00D5012F"/>
    <w:rsid w:val="00D53A0C"/>
    <w:rsid w:val="00D553B2"/>
    <w:rsid w:val="00D6038F"/>
    <w:rsid w:val="00D603BF"/>
    <w:rsid w:val="00D62C6E"/>
    <w:rsid w:val="00D6407D"/>
    <w:rsid w:val="00D733EF"/>
    <w:rsid w:val="00D752D2"/>
    <w:rsid w:val="00D76975"/>
    <w:rsid w:val="00D76BD7"/>
    <w:rsid w:val="00D772C9"/>
    <w:rsid w:val="00D77542"/>
    <w:rsid w:val="00D827BF"/>
    <w:rsid w:val="00D8628E"/>
    <w:rsid w:val="00D90E06"/>
    <w:rsid w:val="00D93EFD"/>
    <w:rsid w:val="00D94C0C"/>
    <w:rsid w:val="00D96276"/>
    <w:rsid w:val="00DA3751"/>
    <w:rsid w:val="00DA750C"/>
    <w:rsid w:val="00DA7965"/>
    <w:rsid w:val="00DB10DD"/>
    <w:rsid w:val="00DB268E"/>
    <w:rsid w:val="00DB5DED"/>
    <w:rsid w:val="00DB607E"/>
    <w:rsid w:val="00DB6D27"/>
    <w:rsid w:val="00DC33FF"/>
    <w:rsid w:val="00DC6387"/>
    <w:rsid w:val="00DD116F"/>
    <w:rsid w:val="00DD2536"/>
    <w:rsid w:val="00DD5573"/>
    <w:rsid w:val="00DD6442"/>
    <w:rsid w:val="00DE39DD"/>
    <w:rsid w:val="00DE4168"/>
    <w:rsid w:val="00DE6290"/>
    <w:rsid w:val="00DF2DD7"/>
    <w:rsid w:val="00DF3A7C"/>
    <w:rsid w:val="00DF63B1"/>
    <w:rsid w:val="00E00CF7"/>
    <w:rsid w:val="00E010F7"/>
    <w:rsid w:val="00E025F5"/>
    <w:rsid w:val="00E0369E"/>
    <w:rsid w:val="00E04D30"/>
    <w:rsid w:val="00E04D43"/>
    <w:rsid w:val="00E06552"/>
    <w:rsid w:val="00E160CE"/>
    <w:rsid w:val="00E240BC"/>
    <w:rsid w:val="00E278F2"/>
    <w:rsid w:val="00E30E7E"/>
    <w:rsid w:val="00E317EA"/>
    <w:rsid w:val="00E31AA1"/>
    <w:rsid w:val="00E32D11"/>
    <w:rsid w:val="00E33E03"/>
    <w:rsid w:val="00E378A7"/>
    <w:rsid w:val="00E41E5D"/>
    <w:rsid w:val="00E45953"/>
    <w:rsid w:val="00E46581"/>
    <w:rsid w:val="00E46DA8"/>
    <w:rsid w:val="00E5473E"/>
    <w:rsid w:val="00E61E5E"/>
    <w:rsid w:val="00E8346C"/>
    <w:rsid w:val="00E83494"/>
    <w:rsid w:val="00E9186A"/>
    <w:rsid w:val="00E92B4A"/>
    <w:rsid w:val="00E93EDF"/>
    <w:rsid w:val="00E966F3"/>
    <w:rsid w:val="00E97929"/>
    <w:rsid w:val="00EA1004"/>
    <w:rsid w:val="00EA27B6"/>
    <w:rsid w:val="00EA2CF6"/>
    <w:rsid w:val="00EA30B1"/>
    <w:rsid w:val="00EB051B"/>
    <w:rsid w:val="00EB0AEA"/>
    <w:rsid w:val="00EB1E57"/>
    <w:rsid w:val="00EB3268"/>
    <w:rsid w:val="00EB43DB"/>
    <w:rsid w:val="00EB4A38"/>
    <w:rsid w:val="00EB66AD"/>
    <w:rsid w:val="00EC01B9"/>
    <w:rsid w:val="00EC023F"/>
    <w:rsid w:val="00ED23EB"/>
    <w:rsid w:val="00EE23E5"/>
    <w:rsid w:val="00EE41FB"/>
    <w:rsid w:val="00EE53C5"/>
    <w:rsid w:val="00EF0402"/>
    <w:rsid w:val="00EF0D39"/>
    <w:rsid w:val="00EF639E"/>
    <w:rsid w:val="00F01225"/>
    <w:rsid w:val="00F03666"/>
    <w:rsid w:val="00F05DDC"/>
    <w:rsid w:val="00F060A2"/>
    <w:rsid w:val="00F11261"/>
    <w:rsid w:val="00F121AE"/>
    <w:rsid w:val="00F20FD7"/>
    <w:rsid w:val="00F35A10"/>
    <w:rsid w:val="00F4029B"/>
    <w:rsid w:val="00F44120"/>
    <w:rsid w:val="00F516F1"/>
    <w:rsid w:val="00F54246"/>
    <w:rsid w:val="00F561D0"/>
    <w:rsid w:val="00F7369F"/>
    <w:rsid w:val="00F73C8F"/>
    <w:rsid w:val="00F762D3"/>
    <w:rsid w:val="00F81A9B"/>
    <w:rsid w:val="00F821C8"/>
    <w:rsid w:val="00F83A23"/>
    <w:rsid w:val="00F926A0"/>
    <w:rsid w:val="00FA3952"/>
    <w:rsid w:val="00FA5759"/>
    <w:rsid w:val="00FC142C"/>
    <w:rsid w:val="00FC4CB0"/>
    <w:rsid w:val="00FC6454"/>
    <w:rsid w:val="00FC6B3E"/>
    <w:rsid w:val="00FD1578"/>
    <w:rsid w:val="00FD1A44"/>
    <w:rsid w:val="00FD42FD"/>
    <w:rsid w:val="00FD695B"/>
    <w:rsid w:val="00FE1DBC"/>
    <w:rsid w:val="00FE3038"/>
    <w:rsid w:val="00FE53FE"/>
    <w:rsid w:val="00FE5E84"/>
    <w:rsid w:val="00FF2541"/>
    <w:rsid w:val="00FF69E9"/>
    <w:rsid w:val="3550A8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629B6"/>
  <w15:chartTrackingRefBased/>
  <w15:docId w15:val="{79F345A3-8A39-49A9-900F-38268F304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853D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53D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C853D1"/>
    <w:rPr>
      <w:rFonts w:ascii="Palatino Linotype" w:hAnsi="Palatino Linotype"/>
      <w:color w:val="000000" w:themeColor="text1"/>
    </w:rPr>
  </w:style>
  <w:style w:type="paragraph" w:styleId="Piedepgina">
    <w:name w:val="footer"/>
    <w:basedOn w:val="Normal"/>
    <w:link w:val="PiedepginaCar"/>
    <w:uiPriority w:val="99"/>
    <w:unhideWhenUsed/>
    <w:rsid w:val="00C853D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C853D1"/>
    <w:rPr>
      <w:rFonts w:ascii="Palatino Linotype" w:hAnsi="Palatino Linotype"/>
      <w:color w:val="000000" w:themeColor="text1"/>
    </w:rPr>
  </w:style>
  <w:style w:type="table" w:styleId="Tablaconcuadrcula">
    <w:name w:val="Table Grid"/>
    <w:basedOn w:val="Tablanormal"/>
    <w:uiPriority w:val="39"/>
    <w:rsid w:val="00C853D1"/>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ipervnculo">
    <w:name w:val="Hyperlink"/>
    <w:aliases w:val="Hipervínculo1,Hipervínculo11,Hipervínculo12,Hipervínculo13,Hipervínculo14,Hipervínculo15"/>
    <w:basedOn w:val="Fuentedeprrafopredeter"/>
    <w:uiPriority w:val="99"/>
    <w:unhideWhenUsed/>
    <w:rsid w:val="00C853D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7A5B3B"/>
    <w:rPr>
      <w:rFonts w:ascii="Palatino Linotype" w:hAnsi="Palatino Linotype"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A5B3B"/>
    <w:pPr>
      <w:spacing w:after="0" w:line="240" w:lineRule="auto"/>
      <w:ind w:left="720"/>
      <w:contextualSpacing/>
    </w:pPr>
    <w:rPr>
      <w:rFonts w:eastAsia="Times New Roman" w:cs="Times New Roman"/>
      <w:szCs w:val="24"/>
      <w:lang w:eastAsia="es-ES"/>
    </w:rPr>
  </w:style>
  <w:style w:type="character" w:styleId="Mencinsinresolver">
    <w:name w:val="Unresolved Mention"/>
    <w:basedOn w:val="Fuentedeprrafopredeter"/>
    <w:uiPriority w:val="99"/>
    <w:semiHidden/>
    <w:unhideWhenUsed/>
    <w:rsid w:val="0079077D"/>
    <w:rPr>
      <w:color w:val="605E5C"/>
      <w:shd w:val="clear" w:color="auto" w:fill="E1DFDD"/>
    </w:rPr>
  </w:style>
  <w:style w:type="character" w:styleId="Hipervnculovisitado">
    <w:name w:val="FollowedHyperlink"/>
    <w:basedOn w:val="Fuentedeprrafopredeter"/>
    <w:uiPriority w:val="99"/>
    <w:semiHidden/>
    <w:unhideWhenUsed/>
    <w:rsid w:val="00B85DBE"/>
    <w:rPr>
      <w:color w:val="954F72" w:themeColor="followedHyperlink"/>
      <w:u w:val="single"/>
    </w:rPr>
  </w:style>
  <w:style w:type="character" w:styleId="dp6" w:customStyle="1">
    <w:name w:val="dp6"/>
    <w:basedOn w:val="Fuentedeprrafopredeter"/>
    <w:rsid w:val="00491C3E"/>
  </w:style>
  <w:style w:type="paragraph" w:styleId="Textosinformato">
    <w:name w:val="Plain Text"/>
    <w:basedOn w:val="Normal"/>
    <w:link w:val="TextosinformatoCar"/>
    <w:rsid w:val="00273E3B"/>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273E3B"/>
    <w:rPr>
      <w:rFonts w:ascii="Courier New" w:hAnsi="Courier New" w:eastAsia="Times New Roman" w:cs="Times New Roman"/>
      <w:sz w:val="20"/>
      <w:szCs w:val="20"/>
      <w:lang w:val="x-none" w:eastAsia="es-ES"/>
    </w:rPr>
  </w:style>
  <w:style w:type="paragraph" w:styleId="Texto" w:customStyle="1">
    <w:name w:val="Texto"/>
    <w:basedOn w:val="Normal"/>
    <w:link w:val="TextoCar"/>
    <w:rsid w:val="00273E3B"/>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273E3B"/>
    <w:rPr>
      <w:rFonts w:ascii="Arial" w:hAnsi="Arial" w:eastAsia="Times New Roman" w:cs="Times New Roman"/>
      <w:sz w:val="18"/>
      <w:szCs w:val="18"/>
      <w:lang w:val="es-ES" w:eastAsia="es-ES"/>
    </w:rPr>
  </w:style>
  <w:style w:type="character" w:styleId="markedcontent" w:customStyle="1">
    <w:name w:val="markedcontent"/>
    <w:basedOn w:val="Fuentedeprrafopredeter"/>
    <w:rsid w:val="003C470A"/>
  </w:style>
  <w:style w:type="paragraph" w:styleId="NormalWeb">
    <w:name w:val="Normal (Web)"/>
    <w:basedOn w:val="Normal"/>
    <w:uiPriority w:val="99"/>
    <w:semiHidden/>
    <w:unhideWhenUsed/>
    <w:rsid w:val="00682222"/>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682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59322">
      <w:bodyDiv w:val="1"/>
      <w:marLeft w:val="0"/>
      <w:marRight w:val="0"/>
      <w:marTop w:val="0"/>
      <w:marBottom w:val="0"/>
      <w:divBdr>
        <w:top w:val="none" w:sz="0" w:space="0" w:color="auto"/>
        <w:left w:val="none" w:sz="0" w:space="0" w:color="auto"/>
        <w:bottom w:val="none" w:sz="0" w:space="0" w:color="auto"/>
        <w:right w:val="none" w:sz="0" w:space="0" w:color="auto"/>
      </w:divBdr>
    </w:div>
    <w:div w:id="387798768">
      <w:bodyDiv w:val="1"/>
      <w:marLeft w:val="0"/>
      <w:marRight w:val="0"/>
      <w:marTop w:val="0"/>
      <w:marBottom w:val="0"/>
      <w:divBdr>
        <w:top w:val="none" w:sz="0" w:space="0" w:color="auto"/>
        <w:left w:val="none" w:sz="0" w:space="0" w:color="auto"/>
        <w:bottom w:val="none" w:sz="0" w:space="0" w:color="auto"/>
        <w:right w:val="none" w:sz="0" w:space="0" w:color="auto"/>
      </w:divBdr>
    </w:div>
    <w:div w:id="612901374">
      <w:bodyDiv w:val="1"/>
      <w:marLeft w:val="0"/>
      <w:marRight w:val="0"/>
      <w:marTop w:val="0"/>
      <w:marBottom w:val="0"/>
      <w:divBdr>
        <w:top w:val="none" w:sz="0" w:space="0" w:color="auto"/>
        <w:left w:val="none" w:sz="0" w:space="0" w:color="auto"/>
        <w:bottom w:val="none" w:sz="0" w:space="0" w:color="auto"/>
        <w:right w:val="none" w:sz="0" w:space="0" w:color="auto"/>
      </w:divBdr>
      <w:divsChild>
        <w:div w:id="773287151">
          <w:marLeft w:val="0"/>
          <w:marRight w:val="0"/>
          <w:marTop w:val="0"/>
          <w:marBottom w:val="0"/>
          <w:divBdr>
            <w:top w:val="none" w:sz="0" w:space="0" w:color="auto"/>
            <w:left w:val="none" w:sz="0" w:space="0" w:color="auto"/>
            <w:bottom w:val="none" w:sz="0" w:space="0" w:color="auto"/>
            <w:right w:val="none" w:sz="0" w:space="0" w:color="auto"/>
          </w:divBdr>
          <w:divsChild>
            <w:div w:id="1658723871">
              <w:marLeft w:val="0"/>
              <w:marRight w:val="0"/>
              <w:marTop w:val="0"/>
              <w:marBottom w:val="0"/>
              <w:divBdr>
                <w:top w:val="none" w:sz="0" w:space="0" w:color="auto"/>
                <w:left w:val="none" w:sz="0" w:space="0" w:color="auto"/>
                <w:bottom w:val="none" w:sz="0" w:space="0" w:color="auto"/>
                <w:right w:val="none" w:sz="0" w:space="0" w:color="auto"/>
              </w:divBdr>
              <w:divsChild>
                <w:div w:id="133371374">
                  <w:marLeft w:val="0"/>
                  <w:marRight w:val="0"/>
                  <w:marTop w:val="0"/>
                  <w:marBottom w:val="0"/>
                  <w:divBdr>
                    <w:top w:val="none" w:sz="0" w:space="0" w:color="auto"/>
                    <w:left w:val="none" w:sz="0" w:space="0" w:color="auto"/>
                    <w:bottom w:val="none" w:sz="0" w:space="0" w:color="auto"/>
                    <w:right w:val="none" w:sz="0" w:space="0" w:color="auto"/>
                  </w:divBdr>
                  <w:divsChild>
                    <w:div w:id="166612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6094971">
      <w:bodyDiv w:val="1"/>
      <w:marLeft w:val="0"/>
      <w:marRight w:val="0"/>
      <w:marTop w:val="0"/>
      <w:marBottom w:val="0"/>
      <w:divBdr>
        <w:top w:val="none" w:sz="0" w:space="0" w:color="auto"/>
        <w:left w:val="none" w:sz="0" w:space="0" w:color="auto"/>
        <w:bottom w:val="none" w:sz="0" w:space="0" w:color="auto"/>
        <w:right w:val="none" w:sz="0" w:space="0" w:color="auto"/>
      </w:divBdr>
      <w:divsChild>
        <w:div w:id="1471750448">
          <w:marLeft w:val="0"/>
          <w:marRight w:val="0"/>
          <w:marTop w:val="0"/>
          <w:marBottom w:val="0"/>
          <w:divBdr>
            <w:top w:val="none" w:sz="0" w:space="0" w:color="auto"/>
            <w:left w:val="none" w:sz="0" w:space="0" w:color="auto"/>
            <w:bottom w:val="none" w:sz="0" w:space="0" w:color="auto"/>
            <w:right w:val="none" w:sz="0" w:space="0" w:color="auto"/>
          </w:divBdr>
          <w:divsChild>
            <w:div w:id="2054648796">
              <w:marLeft w:val="0"/>
              <w:marRight w:val="0"/>
              <w:marTop w:val="0"/>
              <w:marBottom w:val="0"/>
              <w:divBdr>
                <w:top w:val="none" w:sz="0" w:space="0" w:color="auto"/>
                <w:left w:val="none" w:sz="0" w:space="0" w:color="auto"/>
                <w:bottom w:val="none" w:sz="0" w:space="0" w:color="auto"/>
                <w:right w:val="none" w:sz="0" w:space="0" w:color="auto"/>
              </w:divBdr>
              <w:divsChild>
                <w:div w:id="49846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023026">
      <w:bodyDiv w:val="1"/>
      <w:marLeft w:val="0"/>
      <w:marRight w:val="0"/>
      <w:marTop w:val="0"/>
      <w:marBottom w:val="0"/>
      <w:divBdr>
        <w:top w:val="none" w:sz="0" w:space="0" w:color="auto"/>
        <w:left w:val="none" w:sz="0" w:space="0" w:color="auto"/>
        <w:bottom w:val="none" w:sz="0" w:space="0" w:color="auto"/>
        <w:right w:val="none" w:sz="0" w:space="0" w:color="auto"/>
      </w:divBdr>
      <w:divsChild>
        <w:div w:id="2006083033">
          <w:marLeft w:val="0"/>
          <w:marRight w:val="0"/>
          <w:marTop w:val="0"/>
          <w:marBottom w:val="0"/>
          <w:divBdr>
            <w:top w:val="none" w:sz="0" w:space="0" w:color="auto"/>
            <w:left w:val="none" w:sz="0" w:space="0" w:color="auto"/>
            <w:bottom w:val="none" w:sz="0" w:space="0" w:color="auto"/>
            <w:right w:val="none" w:sz="0" w:space="0" w:color="auto"/>
          </w:divBdr>
          <w:divsChild>
            <w:div w:id="2093238247">
              <w:marLeft w:val="0"/>
              <w:marRight w:val="0"/>
              <w:marTop w:val="0"/>
              <w:marBottom w:val="0"/>
              <w:divBdr>
                <w:top w:val="none" w:sz="0" w:space="0" w:color="auto"/>
                <w:left w:val="none" w:sz="0" w:space="0" w:color="auto"/>
                <w:bottom w:val="none" w:sz="0" w:space="0" w:color="auto"/>
                <w:right w:val="none" w:sz="0" w:space="0" w:color="auto"/>
              </w:divBdr>
              <w:divsChild>
                <w:div w:id="11153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377070">
      <w:bodyDiv w:val="1"/>
      <w:marLeft w:val="0"/>
      <w:marRight w:val="0"/>
      <w:marTop w:val="0"/>
      <w:marBottom w:val="0"/>
      <w:divBdr>
        <w:top w:val="none" w:sz="0" w:space="0" w:color="auto"/>
        <w:left w:val="none" w:sz="0" w:space="0" w:color="auto"/>
        <w:bottom w:val="none" w:sz="0" w:space="0" w:color="auto"/>
        <w:right w:val="none" w:sz="0" w:space="0" w:color="auto"/>
      </w:divBdr>
    </w:div>
    <w:div w:id="1902251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glossaryDocument" Target="glossary/document.xml" Id="Rce44231ea88b4553"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9ce774d-6820-4359-ad5a-9102fb25f2fc}"/>
      </w:docPartPr>
      <w:docPartBody>
        <w:p w14:paraId="4A422AC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D45B29-71D8-5D48-8613-4044A99FE3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dc:creator>
  <keywords/>
  <dc:description/>
  <lastModifiedBy>Usuario invitado</lastModifiedBy>
  <revision>5</revision>
  <dcterms:created xsi:type="dcterms:W3CDTF">2023-02-09T03:22:00.0000000Z</dcterms:created>
  <dcterms:modified xsi:type="dcterms:W3CDTF">2023-03-09T19:53:30.0115526Z</dcterms:modified>
</coreProperties>
</file>