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F2C0C" w14:textId="419A5F61" w:rsidR="00A970D5" w:rsidRPr="00100663" w:rsidRDefault="00A970D5" w:rsidP="006922F5">
      <w:pPr>
        <w:pBdr>
          <w:top w:val="nil"/>
          <w:left w:val="nil"/>
          <w:bottom w:val="nil"/>
          <w:right w:val="nil"/>
          <w:between w:val="nil"/>
        </w:pBdr>
        <w:contextualSpacing/>
        <w:rPr>
          <w:rFonts w:eastAsia="Palatino Linotype" w:cs="Palatino Linotype"/>
          <w:color w:val="000000"/>
          <w:szCs w:val="24"/>
        </w:rPr>
      </w:pPr>
      <w:r w:rsidRPr="00100663">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100663">
        <w:rPr>
          <w:rFonts w:eastAsia="Palatino Linotype" w:cs="Palatino Linotype"/>
          <w:color w:val="000000"/>
          <w:szCs w:val="24"/>
        </w:rPr>
        <w:t>México, a</w:t>
      </w:r>
      <w:r w:rsidR="00C07AE2">
        <w:rPr>
          <w:rFonts w:eastAsia="Palatino Linotype" w:cs="Palatino Linotype"/>
          <w:color w:val="000000"/>
          <w:szCs w:val="24"/>
        </w:rPr>
        <w:t xml:space="preserve"> </w:t>
      </w:r>
      <w:r w:rsidR="00094F2E">
        <w:rPr>
          <w:rFonts w:eastAsia="Palatino Linotype" w:cs="Palatino Linotype"/>
          <w:color w:val="000000"/>
          <w:szCs w:val="24"/>
        </w:rPr>
        <w:t>do</w:t>
      </w:r>
      <w:r w:rsidR="00C07AE2">
        <w:rPr>
          <w:rFonts w:eastAsia="Palatino Linotype" w:cs="Palatino Linotype"/>
          <w:color w:val="000000"/>
          <w:szCs w:val="24"/>
        </w:rPr>
        <w:t xml:space="preserve">ce de octubre </w:t>
      </w:r>
      <w:r w:rsidR="009B4F7E">
        <w:rPr>
          <w:rFonts w:eastAsia="Palatino Linotype" w:cs="Palatino Linotype"/>
          <w:color w:val="000000"/>
          <w:szCs w:val="24"/>
        </w:rPr>
        <w:t>de dos mil veintitrés</w:t>
      </w:r>
      <w:r w:rsidRPr="00100663">
        <w:rPr>
          <w:rFonts w:eastAsia="Palatino Linotype" w:cs="Palatino Linotype"/>
          <w:color w:val="000000"/>
          <w:szCs w:val="24"/>
        </w:rPr>
        <w:t>.</w:t>
      </w:r>
    </w:p>
    <w:p w14:paraId="60399B74" w14:textId="77777777" w:rsidR="00A970D5" w:rsidRPr="00100663"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0C0871EA" w:rsidR="00A970D5" w:rsidRPr="00100663" w:rsidRDefault="00A970D5" w:rsidP="006922F5">
      <w:pPr>
        <w:pBdr>
          <w:top w:val="nil"/>
          <w:left w:val="nil"/>
          <w:bottom w:val="nil"/>
          <w:right w:val="nil"/>
          <w:between w:val="nil"/>
        </w:pBdr>
        <w:contextualSpacing/>
        <w:rPr>
          <w:rFonts w:eastAsia="Palatino Linotype" w:cs="Palatino Linotype"/>
          <w:color w:val="000000"/>
          <w:szCs w:val="24"/>
        </w:rPr>
      </w:pPr>
      <w:r w:rsidRPr="00100663">
        <w:rPr>
          <w:rFonts w:eastAsia="Palatino Linotype" w:cs="Palatino Linotype"/>
          <w:b/>
          <w:color w:val="000000"/>
          <w:szCs w:val="24"/>
        </w:rPr>
        <w:t>VISTO</w:t>
      </w:r>
      <w:r w:rsidRPr="00100663">
        <w:rPr>
          <w:rFonts w:eastAsia="Palatino Linotype" w:cs="Palatino Linotype"/>
          <w:color w:val="000000"/>
          <w:szCs w:val="24"/>
        </w:rPr>
        <w:t xml:space="preserve"> el expediente electrónico formado con motivo del recurso de revisión número </w:t>
      </w:r>
      <w:bookmarkStart w:id="0" w:name="_GoBack"/>
      <w:r w:rsidR="00DB00D6">
        <w:rPr>
          <w:rFonts w:eastAsia="Palatino Linotype" w:cs="Palatino Linotype"/>
          <w:b/>
          <w:color w:val="000000"/>
          <w:szCs w:val="24"/>
        </w:rPr>
        <w:t>044</w:t>
      </w:r>
      <w:r w:rsidR="008E7A33">
        <w:rPr>
          <w:rFonts w:eastAsia="Palatino Linotype" w:cs="Palatino Linotype"/>
          <w:b/>
          <w:color w:val="000000"/>
          <w:szCs w:val="24"/>
        </w:rPr>
        <w:t>60</w:t>
      </w:r>
      <w:r w:rsidRPr="00100663">
        <w:rPr>
          <w:rFonts w:eastAsia="Palatino Linotype" w:cs="Palatino Linotype"/>
          <w:b/>
          <w:color w:val="000000"/>
          <w:szCs w:val="24"/>
        </w:rPr>
        <w:t>/INFOEM/IP/RR/202</w:t>
      </w:r>
      <w:r w:rsidR="001D0070">
        <w:rPr>
          <w:rFonts w:eastAsia="Palatino Linotype" w:cs="Palatino Linotype"/>
          <w:b/>
          <w:color w:val="000000"/>
          <w:szCs w:val="24"/>
        </w:rPr>
        <w:t>3</w:t>
      </w:r>
      <w:bookmarkEnd w:id="0"/>
      <w:r w:rsidR="00B54BC7" w:rsidRPr="00100663">
        <w:rPr>
          <w:rFonts w:eastAsia="Palatino Linotype" w:cs="Palatino Linotype"/>
          <w:color w:val="000000"/>
          <w:szCs w:val="24"/>
        </w:rPr>
        <w:t>, interpuesto po</w:t>
      </w:r>
      <w:r w:rsidR="00430C63" w:rsidRPr="00100663">
        <w:rPr>
          <w:rFonts w:eastAsia="Palatino Linotype" w:cs="Palatino Linotype"/>
          <w:color w:val="000000"/>
          <w:szCs w:val="24"/>
        </w:rPr>
        <w:t>r</w:t>
      </w:r>
      <w:r w:rsidR="00100663" w:rsidRPr="00100663">
        <w:rPr>
          <w:rFonts w:eastAsia="Palatino Linotype" w:cs="Palatino Linotype"/>
          <w:color w:val="000000"/>
          <w:szCs w:val="24"/>
        </w:rPr>
        <w:t xml:space="preserve"> </w:t>
      </w:r>
      <w:r w:rsidR="004F2122">
        <w:rPr>
          <w:rFonts w:eastAsia="Palatino Linotype" w:cs="Palatino Linotype"/>
          <w:b/>
          <w:color w:val="000000"/>
          <w:szCs w:val="24"/>
        </w:rPr>
        <w:t>XXXXXXXXXXXXXXXXXXXXXXXX</w:t>
      </w:r>
      <w:r w:rsidR="00B54BC7" w:rsidRPr="00100663">
        <w:rPr>
          <w:rFonts w:eastAsia="Palatino Linotype" w:cs="Palatino Linotype"/>
          <w:color w:val="000000"/>
          <w:szCs w:val="24"/>
        </w:rPr>
        <w:t xml:space="preserve">, en lo sucesivo </w:t>
      </w:r>
      <w:r w:rsidR="008E5682" w:rsidRPr="00100663">
        <w:rPr>
          <w:rFonts w:eastAsia="Palatino Linotype" w:cs="Palatino Linotype"/>
          <w:color w:val="000000"/>
          <w:szCs w:val="24"/>
        </w:rPr>
        <w:t>el</w:t>
      </w:r>
      <w:r w:rsidR="00B54BC7" w:rsidRPr="00100663">
        <w:rPr>
          <w:rFonts w:eastAsia="Palatino Linotype" w:cs="Palatino Linotype"/>
          <w:color w:val="000000"/>
          <w:szCs w:val="24"/>
        </w:rPr>
        <w:t xml:space="preserve"> </w:t>
      </w:r>
      <w:r w:rsidRPr="00100663">
        <w:rPr>
          <w:rFonts w:eastAsia="Palatino Linotype" w:cs="Palatino Linotype"/>
          <w:b/>
          <w:color w:val="000000"/>
          <w:szCs w:val="24"/>
        </w:rPr>
        <w:t>Recurrente</w:t>
      </w:r>
      <w:r w:rsidRPr="00100663">
        <w:rPr>
          <w:rFonts w:eastAsia="Palatino Linotype" w:cs="Palatino Linotype"/>
          <w:color w:val="000000"/>
          <w:szCs w:val="24"/>
        </w:rPr>
        <w:t>, en contra de la respuesta de</w:t>
      </w:r>
      <w:r w:rsidR="001D0070">
        <w:rPr>
          <w:rFonts w:eastAsia="Palatino Linotype" w:cs="Palatino Linotype"/>
          <w:color w:val="000000"/>
          <w:szCs w:val="24"/>
        </w:rPr>
        <w:t>l</w:t>
      </w:r>
      <w:r w:rsidR="00DB00D6">
        <w:rPr>
          <w:rFonts w:eastAsia="Palatino Linotype" w:cs="Palatino Linotype"/>
          <w:b/>
          <w:color w:val="000000"/>
          <w:szCs w:val="24"/>
        </w:rPr>
        <w:t xml:space="preserve"> Ayuntamiento de </w:t>
      </w:r>
      <w:r w:rsidR="008E7A33">
        <w:rPr>
          <w:rFonts w:eastAsia="Palatino Linotype" w:cs="Palatino Linotype"/>
          <w:b/>
          <w:color w:val="000000"/>
          <w:szCs w:val="24"/>
        </w:rPr>
        <w:t>Toluca</w:t>
      </w:r>
      <w:r w:rsidR="0051074E" w:rsidRPr="00100663">
        <w:rPr>
          <w:rFonts w:eastAsia="Palatino Linotype" w:cs="Palatino Linotype"/>
          <w:color w:val="000000"/>
          <w:szCs w:val="24"/>
        </w:rPr>
        <w:t xml:space="preserve">, </w:t>
      </w:r>
      <w:r w:rsidRPr="00100663">
        <w:rPr>
          <w:rFonts w:eastAsia="Palatino Linotype" w:cs="Palatino Linotype"/>
          <w:color w:val="000000"/>
          <w:szCs w:val="24"/>
        </w:rPr>
        <w:t>en lo subsecuente</w:t>
      </w:r>
      <w:r w:rsidRPr="00100663">
        <w:rPr>
          <w:rFonts w:eastAsia="Palatino Linotype" w:cs="Palatino Linotype"/>
          <w:b/>
          <w:color w:val="000000"/>
          <w:szCs w:val="24"/>
        </w:rPr>
        <w:t xml:space="preserve"> </w:t>
      </w:r>
      <w:r w:rsidRPr="00100663">
        <w:rPr>
          <w:rFonts w:eastAsia="Palatino Linotype" w:cs="Palatino Linotype"/>
          <w:color w:val="000000"/>
          <w:szCs w:val="24"/>
        </w:rPr>
        <w:t>el</w:t>
      </w:r>
      <w:r w:rsidRPr="00100663">
        <w:rPr>
          <w:rFonts w:eastAsia="Palatino Linotype" w:cs="Palatino Linotype"/>
          <w:b/>
          <w:color w:val="000000"/>
          <w:szCs w:val="24"/>
        </w:rPr>
        <w:t xml:space="preserve"> Sujeto Obligado, </w:t>
      </w:r>
      <w:r w:rsidRPr="00100663">
        <w:rPr>
          <w:rFonts w:eastAsia="Palatino Linotype" w:cs="Palatino Linotype"/>
          <w:color w:val="000000"/>
          <w:szCs w:val="24"/>
        </w:rPr>
        <w:t>se procede a dictar la presente resolución.</w:t>
      </w:r>
    </w:p>
    <w:p w14:paraId="2E2053C2" w14:textId="77777777" w:rsidR="00A970D5" w:rsidRPr="00100663"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100663"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77777777" w:rsidR="00A970D5" w:rsidRPr="00100663" w:rsidRDefault="00A970D5" w:rsidP="006922F5">
      <w:pPr>
        <w:pStyle w:val="Ttulo2"/>
        <w:rPr>
          <w:rFonts w:eastAsia="Palatino Linotype"/>
          <w:sz w:val="24"/>
          <w:szCs w:val="24"/>
        </w:rPr>
      </w:pPr>
      <w:r w:rsidRPr="00100663">
        <w:rPr>
          <w:rFonts w:eastAsia="Palatino Linotype"/>
          <w:sz w:val="24"/>
          <w:szCs w:val="24"/>
        </w:rPr>
        <w:t>PRIMERO. De la Solicitud de Información.</w:t>
      </w:r>
    </w:p>
    <w:p w14:paraId="0870C154" w14:textId="5DE18853" w:rsidR="00A970D5" w:rsidRPr="00100663" w:rsidRDefault="00B36B86" w:rsidP="006922F5">
      <w:pPr>
        <w:pBdr>
          <w:top w:val="nil"/>
          <w:left w:val="nil"/>
          <w:bottom w:val="nil"/>
          <w:right w:val="nil"/>
          <w:between w:val="nil"/>
        </w:pBdr>
        <w:contextualSpacing/>
        <w:rPr>
          <w:rFonts w:eastAsia="Palatino Linotype" w:cs="Palatino Linotype"/>
          <w:color w:val="000000"/>
          <w:szCs w:val="24"/>
        </w:rPr>
      </w:pPr>
      <w:r w:rsidRPr="00100663">
        <w:rPr>
          <w:rFonts w:eastAsia="Palatino Linotype" w:cs="Palatino Linotype"/>
          <w:color w:val="000000"/>
          <w:szCs w:val="24"/>
        </w:rPr>
        <w:t xml:space="preserve">Con fecha </w:t>
      </w:r>
      <w:r w:rsidR="008E7A33">
        <w:rPr>
          <w:rFonts w:eastAsia="Palatino Linotype" w:cs="Palatino Linotype"/>
          <w:color w:val="000000"/>
          <w:szCs w:val="24"/>
        </w:rPr>
        <w:t>veintiocho de junio</w:t>
      </w:r>
      <w:r w:rsidR="001D0070">
        <w:rPr>
          <w:rFonts w:eastAsia="Palatino Linotype" w:cs="Palatino Linotype"/>
          <w:color w:val="000000"/>
          <w:szCs w:val="24"/>
        </w:rPr>
        <w:t xml:space="preserve"> de dos mil veintitrés</w:t>
      </w:r>
      <w:r w:rsidR="00B54BC7" w:rsidRPr="00100663">
        <w:rPr>
          <w:rFonts w:eastAsia="Palatino Linotype" w:cs="Palatino Linotype"/>
          <w:color w:val="000000"/>
          <w:szCs w:val="24"/>
        </w:rPr>
        <w:t xml:space="preserve">, </w:t>
      </w:r>
      <w:r w:rsidR="00430C63" w:rsidRPr="00100663">
        <w:rPr>
          <w:rFonts w:eastAsia="Palatino Linotype" w:cs="Palatino Linotype"/>
          <w:color w:val="000000"/>
          <w:szCs w:val="24"/>
        </w:rPr>
        <w:t>el</w:t>
      </w:r>
      <w:r w:rsidR="00A970D5" w:rsidRPr="00100663">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100663" w:rsidRPr="00100663">
        <w:rPr>
          <w:rFonts w:eastAsia="Palatino Linotype" w:cs="Palatino Linotype"/>
          <w:b/>
          <w:bCs/>
          <w:color w:val="000000"/>
          <w:szCs w:val="24"/>
        </w:rPr>
        <w:t xml:space="preserve"> </w:t>
      </w:r>
      <w:r w:rsidR="008E7A33" w:rsidRPr="008E7A33">
        <w:rPr>
          <w:rFonts w:eastAsia="Palatino Linotype" w:cs="Palatino Linotype"/>
          <w:b/>
          <w:bCs/>
          <w:color w:val="000000"/>
          <w:szCs w:val="24"/>
        </w:rPr>
        <w:t>02322/TOLUCA/IP/2023</w:t>
      </w:r>
      <w:r w:rsidR="00A970D5" w:rsidRPr="00100663">
        <w:rPr>
          <w:rFonts w:eastAsia="Palatino Linotype" w:cs="Palatino Linotype"/>
          <w:color w:val="000000"/>
          <w:szCs w:val="24"/>
        </w:rPr>
        <w:t>,</w:t>
      </w:r>
      <w:r w:rsidR="00A970D5" w:rsidRPr="00100663">
        <w:rPr>
          <w:rFonts w:eastAsia="Palatino Linotype" w:cs="Palatino Linotype"/>
          <w:b/>
          <w:color w:val="000000"/>
          <w:szCs w:val="24"/>
        </w:rPr>
        <w:t xml:space="preserve"> </w:t>
      </w:r>
      <w:r w:rsidR="00A970D5" w:rsidRPr="00100663">
        <w:rPr>
          <w:rFonts w:eastAsia="Palatino Linotype" w:cs="Palatino Linotype"/>
          <w:color w:val="000000"/>
          <w:szCs w:val="24"/>
        </w:rPr>
        <w:t>mediante la cual solicitó información en el tenor siguiente:</w:t>
      </w:r>
    </w:p>
    <w:p w14:paraId="68B56D82" w14:textId="77777777" w:rsidR="00A970D5" w:rsidRPr="00100663"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1C73F57" w:rsidR="00A970D5" w:rsidRPr="008B6CDF" w:rsidRDefault="723045DB" w:rsidP="008B6CDF">
      <w:pPr>
        <w:pStyle w:val="Fundamentos"/>
      </w:pPr>
      <w:r w:rsidRPr="008B6CDF">
        <w:t>“</w:t>
      </w:r>
      <w:r w:rsidR="008E7A33" w:rsidRPr="008E7A33">
        <w:t xml:space="preserve">1.- Cantidad de multas de tránsito especificando la causa por la que se han impuesto; durante los meses de mayo y junio de 2023. 2.- Elementos de la Policía Municipal destinados y habilitados para imponer multas de tránsito durante los meses de mayo y junio de 2023. 3.- Cantidad y ubicación de parquímetros en el municipio de Toluca durante los meses de mayo y junio de 2023. 4.- Cantidad de elementos operativos en activo destinados a la seguridad pública del municipio. 5.- Cantidad de elementos operativos en activo destinados a la seguridad vial del municipio. 6.- Cantidad de elementos y funcionarios administrativos de la Dirección General de Seguridad y Protección. 7.- Cantidad de Turnos programados para la Seguridad Pública del municipio y cantidad de elementos activos destinados a cada turno. 8.- Cantidad desglosada de vehículos operativos asignados a labores de seguridad pública y vial en el municipio. 9.- Atlas de incidencia delictiva o documento similar que identifique las zonas de </w:t>
      </w:r>
      <w:r w:rsidR="008E7A33" w:rsidRPr="008E7A33">
        <w:lastRenderedPageBreak/>
        <w:t>mayor criminalidad del municipio. 10.- Cantidad desglosada por causas de los procedimientos sancionatorios, amonestaciones o cualquier medida administrativa ejercida contra elementos de la Dirección General de Seguridad y Protección de enero a junio de 2023. 12.- Cantidad desglosada por causas de las consignaciones que han hecho los elementos de la Dirección General de Seguridad y Protección de enero a junio de 2023.</w:t>
      </w:r>
      <w:r w:rsidRPr="008B6CDF">
        <w:t>” (Sic)</w:t>
      </w:r>
    </w:p>
    <w:p w14:paraId="40BBECCB" w14:textId="77777777" w:rsidR="00A970D5" w:rsidRPr="00100663"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100663" w:rsidRDefault="00A970D5" w:rsidP="006922F5">
      <w:pPr>
        <w:pBdr>
          <w:top w:val="nil"/>
          <w:left w:val="nil"/>
          <w:bottom w:val="nil"/>
          <w:right w:val="nil"/>
          <w:between w:val="nil"/>
        </w:pBdr>
        <w:contextualSpacing/>
        <w:rPr>
          <w:rFonts w:eastAsia="Palatino Linotype" w:cs="Palatino Linotype"/>
          <w:b/>
          <w:color w:val="000000"/>
          <w:szCs w:val="24"/>
        </w:rPr>
      </w:pPr>
      <w:r w:rsidRPr="00100663">
        <w:rPr>
          <w:rFonts w:eastAsia="Palatino Linotype" w:cs="Palatino Linotype"/>
          <w:color w:val="000000"/>
          <w:szCs w:val="24"/>
        </w:rPr>
        <w:t xml:space="preserve">Modalidad de entrega: </w:t>
      </w:r>
      <w:r w:rsidRPr="00100663">
        <w:rPr>
          <w:rFonts w:eastAsia="Palatino Linotype" w:cs="Palatino Linotype"/>
          <w:b/>
          <w:color w:val="000000"/>
          <w:szCs w:val="24"/>
        </w:rPr>
        <w:t>A través del SAIMEX</w:t>
      </w:r>
      <w:r w:rsidRPr="00100663">
        <w:rPr>
          <w:rFonts w:eastAsia="Palatino Linotype" w:cs="Palatino Linotype"/>
          <w:color w:val="000000"/>
          <w:szCs w:val="24"/>
        </w:rPr>
        <w:t>.</w:t>
      </w:r>
    </w:p>
    <w:p w14:paraId="474DB373" w14:textId="77777777" w:rsidR="00430C63" w:rsidRPr="00100663" w:rsidRDefault="00430C63" w:rsidP="006922F5">
      <w:pPr>
        <w:pBdr>
          <w:top w:val="nil"/>
          <w:left w:val="nil"/>
          <w:bottom w:val="nil"/>
          <w:right w:val="nil"/>
          <w:between w:val="nil"/>
        </w:pBdr>
        <w:contextualSpacing/>
        <w:rPr>
          <w:rFonts w:eastAsia="Palatino Linotype" w:cs="Palatino Linotype"/>
          <w:color w:val="000000"/>
          <w:szCs w:val="24"/>
        </w:rPr>
      </w:pPr>
    </w:p>
    <w:p w14:paraId="1AEDC68E" w14:textId="47766114" w:rsidR="00A970D5" w:rsidRPr="006922F5" w:rsidRDefault="00100663" w:rsidP="006922F5">
      <w:pPr>
        <w:pStyle w:val="Ttulo2"/>
        <w:rPr>
          <w:rFonts w:eastAsia="Palatino Linotype"/>
        </w:rPr>
      </w:pPr>
      <w:r>
        <w:rPr>
          <w:rFonts w:eastAsia="Palatino Linotype"/>
        </w:rPr>
        <w:t>SEGUNDO</w:t>
      </w:r>
      <w:r w:rsidR="00A970D5" w:rsidRPr="006922F5">
        <w:rPr>
          <w:rFonts w:eastAsia="Palatino Linotype"/>
        </w:rPr>
        <w:t>. De la respuesta del Sujeto Obligado.</w:t>
      </w:r>
    </w:p>
    <w:p w14:paraId="2EE6F294" w14:textId="1DD2657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8B6CDF">
        <w:rPr>
          <w:rFonts w:eastAsia="Palatino Linotype" w:cs="Palatino Linotype"/>
          <w:color w:val="000000"/>
          <w:szCs w:val="24"/>
        </w:rPr>
        <w:t xml:space="preserve"> </w:t>
      </w:r>
      <w:r w:rsidR="008E7A33">
        <w:rPr>
          <w:rFonts w:eastAsia="Palatino Linotype" w:cs="Palatino Linotype"/>
          <w:color w:val="000000"/>
          <w:szCs w:val="24"/>
        </w:rPr>
        <w:t xml:space="preserve">dos de agosto </w:t>
      </w:r>
      <w:r w:rsidR="008B6CDF">
        <w:rPr>
          <w:rFonts w:eastAsia="Palatino Linotype" w:cs="Palatino Linotype"/>
          <w:color w:val="000000"/>
          <w:szCs w:val="24"/>
        </w:rPr>
        <w:t>de dos mil veintitrés</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0F554588" w14:textId="77777777" w:rsidR="008E7A33" w:rsidRDefault="00A970D5" w:rsidP="008E7A33">
      <w:pPr>
        <w:pStyle w:val="Fundamentos"/>
      </w:pPr>
      <w:r w:rsidRPr="0037112D">
        <w:t>“</w:t>
      </w:r>
      <w:r w:rsidR="008E7A33">
        <w:t>En respuesta a la solicitud recibida, nos permitimos hacer de su conocimiento que con fundamento en el artículo 53, Fracciones: II, V y VI de la Ley de Transparencia y Acceso a la Información Pública del Estado de México y Municipios, le contestamos que:</w:t>
      </w:r>
    </w:p>
    <w:p w14:paraId="06CC8470" w14:textId="77777777" w:rsidR="008E7A33" w:rsidRDefault="008E7A33" w:rsidP="008E7A33">
      <w:pPr>
        <w:pStyle w:val="Fundamentos"/>
      </w:pPr>
    </w:p>
    <w:p w14:paraId="555935C4" w14:textId="77777777" w:rsidR="008E7A33" w:rsidRDefault="008E7A33" w:rsidP="008E7A33">
      <w:pPr>
        <w:pStyle w:val="Fundamentos"/>
      </w:pPr>
      <w:r>
        <w:t>En atención a la solicitud con folio 02322/TOLUCA/IP/2023, me permito adjuntar al presente la respuesta correspondiente. Sin más por el momento, reciba un saludo.</w:t>
      </w:r>
    </w:p>
    <w:p w14:paraId="23E87C10" w14:textId="77777777" w:rsidR="008E7A33" w:rsidRDefault="008E7A33" w:rsidP="008E7A33">
      <w:pPr>
        <w:pStyle w:val="Fundamentos"/>
      </w:pPr>
    </w:p>
    <w:p w14:paraId="5A70855B" w14:textId="77777777" w:rsidR="008E7A33" w:rsidRDefault="008E7A33" w:rsidP="008E7A33">
      <w:pPr>
        <w:pStyle w:val="Fundamentos"/>
      </w:pPr>
      <w:r>
        <w:t>ATENTAMENTE</w:t>
      </w:r>
    </w:p>
    <w:p w14:paraId="3FE4A9EF" w14:textId="29B8D624" w:rsidR="00A970D5" w:rsidRPr="00404754" w:rsidRDefault="008E7A33" w:rsidP="008E7A33">
      <w:pPr>
        <w:pStyle w:val="Fundamentos"/>
        <w:rPr>
          <w:lang w:val="es-MX"/>
        </w:rPr>
      </w:pPr>
      <w:r>
        <w:t>Lic. Norma Sofía Pérez Martínez</w:t>
      </w:r>
      <w:r w:rsidR="00A970D5" w:rsidRPr="00404754">
        <w:rPr>
          <w:lang w:val="es-MX"/>
        </w:rPr>
        <w:t>”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25E46E14" w:rsidR="0037112D" w:rsidRPr="0037112D" w:rsidRDefault="0037112D" w:rsidP="00DD0F5C">
      <w:pPr>
        <w:pBdr>
          <w:top w:val="nil"/>
          <w:left w:val="nil"/>
          <w:bottom w:val="nil"/>
          <w:right w:val="nil"/>
          <w:between w:val="nil"/>
        </w:pBdr>
        <w:contextualSpacing/>
        <w:rPr>
          <w:rFonts w:eastAsia="Palatino Linotype" w:cs="Palatino Linotype"/>
          <w:b/>
          <w:bCs/>
          <w:color w:val="000000"/>
          <w:szCs w:val="24"/>
        </w:rPr>
      </w:pPr>
      <w:r w:rsidRPr="0037112D">
        <w:rPr>
          <w:rFonts w:eastAsia="Palatino Linotype" w:cs="Palatino Linotype"/>
          <w:color w:val="000000"/>
          <w:szCs w:val="24"/>
        </w:rPr>
        <w:t xml:space="preserve">El Sujeto Obligado </w:t>
      </w:r>
      <w:r w:rsidR="00DD0F5C">
        <w:rPr>
          <w:rFonts w:eastAsia="Palatino Linotype" w:cs="Palatino Linotype"/>
          <w:color w:val="000000"/>
          <w:szCs w:val="24"/>
        </w:rPr>
        <w:t xml:space="preserve">adjuntó a su respuesta </w:t>
      </w:r>
      <w:r w:rsidR="008E7A33">
        <w:rPr>
          <w:rFonts w:eastAsia="Palatino Linotype" w:cs="Palatino Linotype"/>
          <w:color w:val="000000"/>
          <w:szCs w:val="24"/>
        </w:rPr>
        <w:t>el</w:t>
      </w:r>
      <w:r w:rsidR="008B6CDF">
        <w:rPr>
          <w:rFonts w:eastAsia="Palatino Linotype" w:cs="Palatino Linotype"/>
          <w:color w:val="000000"/>
          <w:szCs w:val="24"/>
        </w:rPr>
        <w:t xml:space="preserve"> documento denominado</w:t>
      </w:r>
      <w:r w:rsidR="00100663">
        <w:rPr>
          <w:rFonts w:eastAsia="Palatino Linotype" w:cs="Palatino Linotype"/>
          <w:color w:val="000000"/>
          <w:szCs w:val="24"/>
        </w:rPr>
        <w:t xml:space="preserve"> </w:t>
      </w:r>
      <w:r>
        <w:rPr>
          <w:rFonts w:eastAsia="Palatino Linotype" w:cs="Palatino Linotype"/>
          <w:b/>
          <w:bCs/>
          <w:color w:val="000000"/>
          <w:szCs w:val="24"/>
        </w:rPr>
        <w:t>“</w:t>
      </w:r>
      <w:r w:rsidR="008E7A33">
        <w:rPr>
          <w:rFonts w:eastAsia="Palatino Linotype" w:cs="Palatino Linotype"/>
          <w:b/>
          <w:bCs/>
          <w:color w:val="000000"/>
          <w:szCs w:val="24"/>
        </w:rPr>
        <w:t>Respuesta 2322</w:t>
      </w:r>
      <w:r w:rsidR="00DD0F5C" w:rsidRPr="00DD0F5C">
        <w:rPr>
          <w:rFonts w:eastAsia="Palatino Linotype" w:cs="Palatino Linotype"/>
          <w:b/>
          <w:bCs/>
          <w:color w:val="000000"/>
          <w:szCs w:val="24"/>
        </w:rPr>
        <w:t>.pdf</w:t>
      </w:r>
      <w:r>
        <w:rPr>
          <w:rFonts w:eastAsia="Palatino Linotype" w:cs="Palatino Linotype"/>
          <w:b/>
          <w:bCs/>
          <w:color w:val="000000"/>
          <w:szCs w:val="24"/>
        </w:rPr>
        <w:t>”</w:t>
      </w:r>
      <w:r>
        <w:rPr>
          <w:rFonts w:eastAsia="Palatino Linotype" w:cs="Palatino Linotype"/>
          <w:color w:val="000000"/>
          <w:szCs w:val="24"/>
        </w:rPr>
        <w:t xml:space="preserve">, </w:t>
      </w:r>
      <w:r w:rsidR="009B321A">
        <w:rPr>
          <w:rFonts w:eastAsia="Palatino Linotype" w:cs="Palatino Linotype"/>
          <w:color w:val="000000"/>
          <w:szCs w:val="24"/>
        </w:rPr>
        <w:t>cuyo contenido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0C6EDAC3" w:rsidR="00A970D5" w:rsidRPr="006922F5" w:rsidRDefault="00A524B2"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5028764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 xml:space="preserve">itida por el Sujeto Obligado, </w:t>
      </w:r>
      <w:r w:rsidR="009B321A">
        <w:rPr>
          <w:rFonts w:eastAsia="Palatino Linotype" w:cs="Palatino Linotype"/>
          <w:color w:val="000000"/>
          <w:szCs w:val="24"/>
        </w:rPr>
        <w:t>la</w:t>
      </w:r>
      <w:r w:rsidRPr="006922F5">
        <w:rPr>
          <w:rFonts w:eastAsia="Palatino Linotype" w:cs="Palatino Linotype"/>
          <w:color w:val="000000"/>
          <w:szCs w:val="24"/>
        </w:rPr>
        <w:t xml:space="preserve"> Recurrente interpuso el presente recurso de revisión e</w:t>
      </w:r>
      <w:r w:rsidR="008B2951" w:rsidRPr="006922F5">
        <w:rPr>
          <w:rFonts w:eastAsia="Palatino Linotype" w:cs="Palatino Linotype"/>
          <w:color w:val="000000"/>
          <w:szCs w:val="24"/>
        </w:rPr>
        <w:t>l día</w:t>
      </w:r>
      <w:r w:rsidR="00C77CBD">
        <w:rPr>
          <w:rFonts w:eastAsia="Palatino Linotype" w:cs="Palatino Linotype"/>
          <w:color w:val="000000"/>
          <w:szCs w:val="24"/>
        </w:rPr>
        <w:t xml:space="preserve"> d</w:t>
      </w:r>
      <w:r w:rsidR="008E7A33">
        <w:rPr>
          <w:rFonts w:eastAsia="Palatino Linotype" w:cs="Palatino Linotype"/>
          <w:color w:val="000000"/>
          <w:szCs w:val="24"/>
        </w:rPr>
        <w:t>iez de agosto</w:t>
      </w:r>
      <w:r w:rsidR="00C77CBD">
        <w:rPr>
          <w:rFonts w:eastAsia="Palatino Linotype" w:cs="Palatino Linotype"/>
          <w:color w:val="000000"/>
          <w:szCs w:val="24"/>
        </w:rPr>
        <w:t xml:space="preserve"> de dos mil veintitrés</w:t>
      </w:r>
      <w:r w:rsidRPr="006922F5">
        <w:rPr>
          <w:rFonts w:eastAsia="Palatino Linotype" w:cs="Palatino Linotype"/>
          <w:color w:val="000000"/>
          <w:szCs w:val="24"/>
        </w:rPr>
        <w:t xml:space="preserve">, el cual se registró </w:t>
      </w:r>
      <w:r w:rsidRPr="006922F5">
        <w:rPr>
          <w:rFonts w:eastAsia="Palatino Linotype" w:cs="Palatino Linotype"/>
          <w:color w:val="000000"/>
          <w:szCs w:val="24"/>
        </w:rPr>
        <w:lastRenderedPageBreak/>
        <w:t xml:space="preserve">con el expediente número </w:t>
      </w:r>
      <w:r w:rsidR="00C77CBD">
        <w:rPr>
          <w:rFonts w:eastAsia="Palatino Linotype" w:cs="Palatino Linotype"/>
          <w:b/>
          <w:color w:val="000000"/>
          <w:szCs w:val="24"/>
        </w:rPr>
        <w:t>0</w:t>
      </w:r>
      <w:r w:rsidR="008E7A33">
        <w:rPr>
          <w:rFonts w:eastAsia="Palatino Linotype" w:cs="Palatino Linotype"/>
          <w:b/>
          <w:color w:val="000000"/>
          <w:szCs w:val="24"/>
        </w:rPr>
        <w:t>4</w:t>
      </w:r>
      <w:r w:rsidR="00C77CBD">
        <w:rPr>
          <w:rFonts w:eastAsia="Palatino Linotype" w:cs="Palatino Linotype"/>
          <w:b/>
          <w:color w:val="000000"/>
          <w:szCs w:val="24"/>
        </w:rPr>
        <w:t>460</w:t>
      </w:r>
      <w:r w:rsidRPr="006922F5">
        <w:rPr>
          <w:rFonts w:eastAsia="Palatino Linotype" w:cs="Palatino Linotype"/>
          <w:b/>
          <w:color w:val="000000"/>
          <w:szCs w:val="24"/>
        </w:rPr>
        <w:t>/INFOEM/IP/RR/202</w:t>
      </w:r>
      <w:r w:rsidR="00C77CBD">
        <w:rPr>
          <w:rFonts w:eastAsia="Palatino Linotype" w:cs="Palatino Linotype"/>
          <w:b/>
          <w:color w:val="000000"/>
          <w:szCs w:val="24"/>
        </w:rPr>
        <w:t>3</w:t>
      </w:r>
      <w:r w:rsidR="00A06896" w:rsidRPr="006922F5">
        <w:rPr>
          <w:rFonts w:eastAsia="Palatino Linotype" w:cs="Palatino Linotype"/>
          <w:color w:val="000000"/>
          <w:szCs w:val="24"/>
        </w:rPr>
        <w:t xml:space="preserve">, </w:t>
      </w:r>
      <w:r w:rsidR="008E7A33">
        <w:rPr>
          <w:rFonts w:eastAsia="Palatino Linotype" w:cs="Palatino Linotype"/>
          <w:color w:val="000000"/>
          <w:szCs w:val="24"/>
        </w:rPr>
        <w:t xml:space="preserve">en el que se manifestó </w:t>
      </w:r>
      <w:r w:rsidRPr="006922F5">
        <w:rPr>
          <w:rFonts w:eastAsia="Palatino Linotype" w:cs="Palatino Linotype"/>
          <w:color w:val="000000"/>
          <w:szCs w:val="24"/>
        </w:rPr>
        <w:t>lo siguiente:</w:t>
      </w:r>
    </w:p>
    <w:p w14:paraId="7AA0C9F4" w14:textId="046134A0"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38577734" w:rsidR="00A970D5" w:rsidRPr="006922F5" w:rsidRDefault="00A970D5" w:rsidP="006922F5">
      <w:pPr>
        <w:pStyle w:val="Fundamentos"/>
        <w:rPr>
          <w:b/>
        </w:rPr>
      </w:pPr>
      <w:r w:rsidRPr="006922F5">
        <w:t>“</w:t>
      </w:r>
      <w:r w:rsidR="009A2181" w:rsidRPr="009A2181">
        <w:t>La entrega de información ilegible. La respuesta a una solicitud por parte de una instancia no consultada, no proporcionando la información requerida. La entrega de información parcial.</w:t>
      </w:r>
      <w:r w:rsidR="002806D1">
        <w:t xml:space="preserve">” </w:t>
      </w:r>
      <w:r w:rsidRPr="006922F5">
        <w:t>Sic)</w:t>
      </w:r>
    </w:p>
    <w:p w14:paraId="3C40A441" w14:textId="77777777" w:rsidR="00A970D5" w:rsidRPr="006922F5" w:rsidRDefault="00A970D5" w:rsidP="006922F5">
      <w:pPr>
        <w:contextualSpacing/>
        <w:rPr>
          <w:rFonts w:eastAsia="Palatino Linotype" w:cs="Palatino Linotype"/>
          <w:iCs/>
          <w:szCs w:val="24"/>
        </w:rPr>
      </w:pPr>
    </w:p>
    <w:p w14:paraId="0FFA08C3" w14:textId="0DDF8688" w:rsidR="00004014" w:rsidRPr="006922F5" w:rsidRDefault="00A970D5" w:rsidP="006922F5">
      <w:pPr>
        <w:contextualSpacing/>
        <w:rPr>
          <w:rFonts w:eastAsia="Palatino Linotype" w:cs="Palatino Linotype"/>
        </w:rPr>
      </w:pPr>
      <w:r w:rsidRPr="006922F5">
        <w:rPr>
          <w:rFonts w:eastAsia="Palatino Linotype" w:cs="Palatino Linotype"/>
          <w:b/>
        </w:rPr>
        <w:t>Razones o Motivos de Inconformidad</w:t>
      </w:r>
      <w:r w:rsidR="00004014" w:rsidRPr="006922F5">
        <w:rPr>
          <w:rFonts w:eastAsia="Palatino Linotype" w:cs="Palatino Linotype"/>
        </w:rPr>
        <w:t>:</w:t>
      </w:r>
    </w:p>
    <w:p w14:paraId="2DAC342E" w14:textId="3773CC97" w:rsidR="00A970D5" w:rsidRPr="006922F5" w:rsidRDefault="00A970D5" w:rsidP="006922F5">
      <w:pPr>
        <w:pStyle w:val="Fundamentos"/>
      </w:pPr>
      <w:r w:rsidRPr="006922F5">
        <w:t>“</w:t>
      </w:r>
      <w:r w:rsidR="009A2181" w:rsidRPr="009A2181">
        <w:t xml:space="preserve">A la solicitud de "9.- Atlas de incidencia delictiva o documento similar que identifique las zonas de mayor criminalidad del municipio", se respondió con unos cuadros ilegibles que corresponden a reportes de incidencia delictiva; solicito que la información sea legible y se especifique a que periodo corresponde cada cuadro. A la solicitud "10.- Cantidad desglosada por causas de los procedimientos sancionatorios, amonestaciones o cualquier medida administrativa ejercida contra elementos de la Dirección General de Seguridad y Protección de enero a junio de 2023", no se especificaron las causas de las sanciones que resolvió la Comisión de Honor y Justicia, a saber: 24 bajas, 4 suspensiones temporales, 11 resoluciones sin sanción y 1 amonestación. A la solicitud "12.- Cantidad desglosada por causas de las consignaciones que han hecho los elementos de la Dirección General de Seguridad y Protección de enero a junio de 2023" se respondió que "El Personal de la Dirección de sustentabilidad Vial no ha realizado consignaciones" lo que no proporciona la información solicitada, la </w:t>
      </w:r>
      <w:proofErr w:type="spellStart"/>
      <w:r w:rsidR="009A2181" w:rsidRPr="009A2181">
        <w:t>cuál</w:t>
      </w:r>
      <w:proofErr w:type="spellEnd"/>
      <w:r w:rsidR="009A2181" w:rsidRPr="009A2181">
        <w:t xml:space="preserve"> hace referencia a las consignaciones efectuadas por la Dirección General de Seguridad y Protección, no por las realizadas por la Dirección de Sustentabilidad Vial.</w:t>
      </w:r>
      <w:r w:rsidRPr="006922F5">
        <w:t>” (Sic)</w:t>
      </w:r>
    </w:p>
    <w:p w14:paraId="06A7D20F" w14:textId="77777777" w:rsidR="00A978AF"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244365E7" w:rsidR="00A970D5" w:rsidRPr="006922F5" w:rsidRDefault="00A524B2" w:rsidP="006922F5">
      <w:pPr>
        <w:pStyle w:val="Ttulo2"/>
        <w:rPr>
          <w:rFonts w:eastAsia="Palatino Linotype"/>
        </w:rPr>
      </w:pPr>
      <w:r>
        <w:rPr>
          <w:rFonts w:eastAsia="Palatino Linotype"/>
        </w:rPr>
        <w:t>CUAR</w:t>
      </w:r>
      <w:r w:rsidR="00EB47A3">
        <w:rPr>
          <w:rFonts w:eastAsia="Palatino Linotype"/>
        </w:rPr>
        <w:t>TO</w:t>
      </w:r>
      <w:r w:rsidR="00A970D5" w:rsidRPr="006922F5">
        <w:rPr>
          <w:rFonts w:eastAsia="Palatino Linotype"/>
        </w:rPr>
        <w:t>. Del turno y admisión del recurso de revisión.</w:t>
      </w:r>
    </w:p>
    <w:p w14:paraId="2459DEBA" w14:textId="7E0FA871"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Medio de impugnación que le fue turnado al </w:t>
      </w:r>
      <w:r w:rsidRPr="006922F5">
        <w:rPr>
          <w:rFonts w:eastAsia="Palatino Linotype" w:cs="Palatino Linotype"/>
          <w:b/>
          <w:color w:val="000000"/>
          <w:szCs w:val="24"/>
        </w:rPr>
        <w:t xml:space="preserve">Comisionado </w:t>
      </w:r>
      <w:r w:rsidR="009F1E25" w:rsidRPr="006922F5">
        <w:rPr>
          <w:rFonts w:eastAsia="Palatino Linotype" w:cs="Palatino Linotype"/>
          <w:b/>
          <w:color w:val="000000"/>
          <w:szCs w:val="24"/>
        </w:rPr>
        <w:t xml:space="preserve">Presidente </w:t>
      </w:r>
      <w:r w:rsidRPr="006922F5">
        <w:rPr>
          <w:rFonts w:eastAsia="Palatino Linotype" w:cs="Palatino Linotype"/>
          <w:b/>
          <w:color w:val="000000"/>
          <w:szCs w:val="24"/>
        </w:rPr>
        <w:t>José Martínez Vilchis</w:t>
      </w:r>
      <w:r w:rsidRPr="006922F5">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6922F5">
        <w:rPr>
          <w:rFonts w:eastAsia="Palatino Linotype" w:cs="Palatino Linotype"/>
          <w:color w:val="000000"/>
          <w:szCs w:val="24"/>
        </w:rPr>
        <w:t>tado de México y Municipios, al</w:t>
      </w:r>
      <w:r w:rsidRPr="006922F5">
        <w:rPr>
          <w:rFonts w:eastAsia="Palatino Linotype" w:cs="Palatino Linotype"/>
          <w:color w:val="000000"/>
          <w:szCs w:val="24"/>
        </w:rPr>
        <w:t xml:space="preserve"> cu</w:t>
      </w:r>
      <w:r w:rsidR="008B2951" w:rsidRPr="006922F5">
        <w:rPr>
          <w:rFonts w:eastAsia="Palatino Linotype" w:cs="Palatino Linotype"/>
          <w:color w:val="000000"/>
          <w:szCs w:val="24"/>
        </w:rPr>
        <w:t>al recayó acuerdo de admisión de</w:t>
      </w:r>
      <w:r w:rsidRPr="006922F5">
        <w:rPr>
          <w:rFonts w:eastAsia="Palatino Linotype" w:cs="Palatino Linotype"/>
          <w:color w:val="000000"/>
          <w:szCs w:val="24"/>
        </w:rPr>
        <w:t xml:space="preserve"> fecha</w:t>
      </w:r>
      <w:r w:rsidR="00C77CBD">
        <w:rPr>
          <w:rFonts w:eastAsia="Palatino Linotype" w:cs="Palatino Linotype"/>
          <w:color w:val="000000"/>
          <w:szCs w:val="24"/>
        </w:rPr>
        <w:t xml:space="preserve"> </w:t>
      </w:r>
      <w:r w:rsidR="00EF5DAE">
        <w:rPr>
          <w:rFonts w:eastAsia="Palatino Linotype" w:cs="Palatino Linotype"/>
          <w:color w:val="000000"/>
          <w:szCs w:val="24"/>
        </w:rPr>
        <w:t xml:space="preserve">quince de agosto </w:t>
      </w:r>
      <w:r w:rsidR="00C77CBD">
        <w:rPr>
          <w:rFonts w:eastAsia="Palatino Linotype" w:cs="Palatino Linotype"/>
          <w:color w:val="000000"/>
          <w:szCs w:val="24"/>
        </w:rPr>
        <w:t xml:space="preserve">de dos mil </w:t>
      </w:r>
      <w:r w:rsidR="00C77CBD">
        <w:rPr>
          <w:rFonts w:eastAsia="Palatino Linotype" w:cs="Palatino Linotype"/>
          <w:color w:val="000000"/>
          <w:szCs w:val="24"/>
        </w:rPr>
        <w:lastRenderedPageBreak/>
        <w:t>veintitrés</w:t>
      </w:r>
      <w:r w:rsidRPr="006922F5">
        <w:rPr>
          <w:rFonts w:eastAsia="Palatino Linotype" w:cs="Palatino Linotype"/>
          <w:color w:val="000000"/>
          <w:szCs w:val="24"/>
        </w:rPr>
        <w:t xml:space="preserve">, </w:t>
      </w:r>
      <w:r w:rsidRPr="006922F5">
        <w:rPr>
          <w:rFonts w:eastAsia="Palatino Linotype" w:cs="Palatino Linotype"/>
          <w:szCs w:val="24"/>
        </w:rPr>
        <w:t>otorgándose</w:t>
      </w:r>
      <w:r w:rsidRPr="006922F5">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19712FF9" w:rsidR="00A970D5" w:rsidRPr="006922F5" w:rsidRDefault="00A524B2" w:rsidP="006922F5">
      <w:pPr>
        <w:pStyle w:val="Ttulo2"/>
        <w:rPr>
          <w:rFonts w:eastAsia="Palatino Linotype"/>
        </w:rPr>
      </w:pPr>
      <w:r>
        <w:rPr>
          <w:rFonts w:eastAsia="Palatino Linotype"/>
        </w:rPr>
        <w:t>QUIN</w:t>
      </w:r>
      <w:r w:rsidR="00F36B72">
        <w:rPr>
          <w:rFonts w:eastAsia="Palatino Linotype"/>
        </w:rPr>
        <w:t>TO</w:t>
      </w:r>
      <w:r w:rsidR="00A970D5" w:rsidRPr="006922F5">
        <w:rPr>
          <w:rFonts w:eastAsia="Palatino Linotype"/>
        </w:rPr>
        <w:t>. De la etapa de instrucción.</w:t>
      </w:r>
    </w:p>
    <w:p w14:paraId="134297B7" w14:textId="0725629E" w:rsidR="00EB47A3" w:rsidRPr="009849E0" w:rsidRDefault="00EB47A3" w:rsidP="00EB47A3">
      <w:pPr>
        <w:pBdr>
          <w:top w:val="nil"/>
          <w:left w:val="nil"/>
          <w:bottom w:val="nil"/>
          <w:right w:val="nil"/>
          <w:between w:val="nil"/>
        </w:pBdr>
        <w:contextualSpacing/>
        <w:rPr>
          <w:rFonts w:eastAsia="Palatino Linotype" w:cs="Palatino Linotype"/>
          <w:color w:val="000000"/>
          <w:szCs w:val="24"/>
        </w:rPr>
      </w:pPr>
      <w:r w:rsidRPr="006F65AC">
        <w:rPr>
          <w:rFonts w:eastAsia="Palatino Linotype" w:cs="Palatino Linotype"/>
          <w:color w:val="000000"/>
          <w:szCs w:val="24"/>
        </w:rPr>
        <w:t>Una vez abierta la etapa de instrucción, se observa</w:t>
      </w:r>
      <w:r w:rsidRPr="000719E4">
        <w:rPr>
          <w:rFonts w:eastAsia="Palatino Linotype" w:cs="Palatino Linotype"/>
          <w:color w:val="000000"/>
          <w:szCs w:val="24"/>
        </w:rPr>
        <w:t xml:space="preserve"> </w:t>
      </w:r>
      <w:r w:rsidRPr="006F65AC">
        <w:rPr>
          <w:rFonts w:eastAsia="Palatino Linotype" w:cs="Palatino Linotype"/>
          <w:color w:val="000000"/>
          <w:szCs w:val="24"/>
        </w:rPr>
        <w:t>que en fecha</w:t>
      </w:r>
      <w:r w:rsidR="00EF5DAE">
        <w:rPr>
          <w:rFonts w:eastAsia="Palatino Linotype" w:cs="Palatino Linotype"/>
          <w:color w:val="000000"/>
          <w:szCs w:val="24"/>
        </w:rPr>
        <w:t xml:space="preserve"> veinti</w:t>
      </w:r>
      <w:r w:rsidR="009A2181">
        <w:rPr>
          <w:rFonts w:eastAsia="Palatino Linotype" w:cs="Palatino Linotype"/>
          <w:color w:val="000000"/>
          <w:szCs w:val="24"/>
        </w:rPr>
        <w:t>cuatro</w:t>
      </w:r>
      <w:r w:rsidR="00EF5DAE">
        <w:rPr>
          <w:rFonts w:eastAsia="Palatino Linotype" w:cs="Palatino Linotype"/>
          <w:color w:val="000000"/>
          <w:szCs w:val="24"/>
        </w:rPr>
        <w:t xml:space="preserve"> de agosto</w:t>
      </w:r>
      <w:r w:rsidR="00C77CBD">
        <w:rPr>
          <w:rFonts w:eastAsia="Palatino Linotype" w:cs="Palatino Linotype"/>
          <w:color w:val="000000"/>
          <w:szCs w:val="24"/>
        </w:rPr>
        <w:t xml:space="preserve"> de dos mil veintitrés</w:t>
      </w:r>
      <w:r w:rsidRPr="006F65AC">
        <w:rPr>
          <w:rFonts w:eastAsia="Palatino Linotype" w:cs="Palatino Linotype"/>
          <w:color w:val="000000"/>
          <w:szCs w:val="24"/>
        </w:rPr>
        <w:t>, el Sujeto Obligado rindió su Informe Justificado, consistente en</w:t>
      </w:r>
      <w:r w:rsidRPr="000719E4">
        <w:rPr>
          <w:rFonts w:eastAsia="Palatino Linotype" w:cs="Palatino Linotype"/>
          <w:color w:val="000000"/>
          <w:szCs w:val="24"/>
        </w:rPr>
        <w:t xml:space="preserve"> </w:t>
      </w:r>
      <w:r w:rsidR="00EF5DAE">
        <w:rPr>
          <w:rFonts w:eastAsia="Palatino Linotype" w:cs="Palatino Linotype"/>
          <w:color w:val="000000"/>
          <w:szCs w:val="24"/>
        </w:rPr>
        <w:t>el</w:t>
      </w:r>
      <w:r w:rsidRPr="000719E4">
        <w:rPr>
          <w:rFonts w:eastAsia="Palatino Linotype" w:cs="Palatino Linotype"/>
          <w:color w:val="000000"/>
          <w:szCs w:val="24"/>
        </w:rPr>
        <w:t xml:space="preserve"> </w:t>
      </w:r>
      <w:r w:rsidRPr="006F65AC">
        <w:rPr>
          <w:rFonts w:eastAsia="Palatino Linotype" w:cs="Palatino Linotype"/>
          <w:color w:val="000000"/>
          <w:szCs w:val="24"/>
        </w:rPr>
        <w:t>documento denominado</w:t>
      </w:r>
      <w:r w:rsidR="002806D1">
        <w:rPr>
          <w:rFonts w:eastAsia="Palatino Linotype" w:cs="Palatino Linotype"/>
          <w:color w:val="000000"/>
          <w:szCs w:val="24"/>
        </w:rPr>
        <w:t xml:space="preserve"> </w:t>
      </w:r>
      <w:r w:rsidR="002806D1" w:rsidRPr="002806D1">
        <w:rPr>
          <w:rFonts w:eastAsia="Palatino Linotype" w:cs="Palatino Linotype"/>
          <w:b/>
          <w:color w:val="000000"/>
          <w:szCs w:val="24"/>
        </w:rPr>
        <w:t>“</w:t>
      </w:r>
      <w:r w:rsidR="00EF5DAE" w:rsidRPr="00EF5DAE">
        <w:rPr>
          <w:rFonts w:eastAsia="Palatino Linotype" w:cs="Palatino Linotype"/>
          <w:b/>
          <w:color w:val="000000"/>
          <w:szCs w:val="24"/>
        </w:rPr>
        <w:t>RR44</w:t>
      </w:r>
      <w:r w:rsidR="009A2181">
        <w:rPr>
          <w:rFonts w:eastAsia="Palatino Linotype" w:cs="Palatino Linotype"/>
          <w:b/>
          <w:color w:val="000000"/>
          <w:szCs w:val="24"/>
        </w:rPr>
        <w:t>60</w:t>
      </w:r>
      <w:r w:rsidR="00EF5DAE" w:rsidRPr="00EF5DAE">
        <w:rPr>
          <w:rFonts w:eastAsia="Palatino Linotype" w:cs="Palatino Linotype"/>
          <w:b/>
          <w:color w:val="000000"/>
          <w:szCs w:val="24"/>
        </w:rPr>
        <w:t>.pdf</w:t>
      </w:r>
      <w:r w:rsidRPr="006F65AC">
        <w:rPr>
          <w:rFonts w:eastAsia="Palatino Linotype" w:cs="Palatino Linotype"/>
          <w:b/>
          <w:bCs/>
          <w:color w:val="000000"/>
          <w:szCs w:val="24"/>
        </w:rPr>
        <w:t>”</w:t>
      </w:r>
      <w:r w:rsidR="002806D1">
        <w:rPr>
          <w:rFonts w:eastAsia="Palatino Linotype" w:cs="Palatino Linotype"/>
          <w:color w:val="000000"/>
          <w:szCs w:val="24"/>
        </w:rPr>
        <w:t xml:space="preserve">, </w:t>
      </w:r>
      <w:r w:rsidR="007E4E23">
        <w:rPr>
          <w:rFonts w:eastAsia="Palatino Linotype" w:cs="Palatino Linotype"/>
          <w:color w:val="000000"/>
          <w:szCs w:val="24"/>
        </w:rPr>
        <w:t>el cual</w:t>
      </w:r>
      <w:r w:rsidRPr="000719E4">
        <w:rPr>
          <w:rFonts w:eastAsia="Palatino Linotype" w:cs="Palatino Linotype"/>
          <w:color w:val="000000"/>
          <w:szCs w:val="24"/>
        </w:rPr>
        <w:t xml:space="preserve"> </w:t>
      </w:r>
      <w:r w:rsidRPr="006F65AC">
        <w:rPr>
          <w:rFonts w:eastAsia="Palatino Linotype" w:cs="Palatino Linotype"/>
          <w:color w:val="000000"/>
          <w:szCs w:val="24"/>
        </w:rPr>
        <w:t>fue</w:t>
      </w:r>
      <w:r w:rsidR="007E4E23">
        <w:rPr>
          <w:rFonts w:eastAsia="Palatino Linotype" w:cs="Palatino Linotype"/>
          <w:color w:val="000000"/>
          <w:szCs w:val="24"/>
        </w:rPr>
        <w:t xml:space="preserve"> </w:t>
      </w:r>
      <w:r w:rsidRPr="006F65AC">
        <w:rPr>
          <w:rFonts w:eastAsia="Palatino Linotype" w:cs="Palatino Linotype"/>
          <w:color w:val="000000"/>
          <w:szCs w:val="24"/>
        </w:rPr>
        <w:t>puesto a la vista del</w:t>
      </w:r>
      <w:r w:rsidRPr="000719E4">
        <w:rPr>
          <w:rFonts w:eastAsia="Palatino Linotype" w:cs="Palatino Linotype"/>
          <w:color w:val="000000"/>
          <w:szCs w:val="24"/>
        </w:rPr>
        <w:t xml:space="preserve"> </w:t>
      </w:r>
      <w:r w:rsidRPr="006F65AC">
        <w:rPr>
          <w:rFonts w:eastAsia="Palatino Linotype" w:cs="Palatino Linotype"/>
          <w:color w:val="000000"/>
          <w:szCs w:val="24"/>
        </w:rPr>
        <w:t>Recurrente mediante acuerdo de fecha</w:t>
      </w:r>
      <w:r w:rsidR="00C77CBD">
        <w:rPr>
          <w:rFonts w:eastAsia="Palatino Linotype" w:cs="Palatino Linotype"/>
          <w:color w:val="000000"/>
          <w:szCs w:val="24"/>
        </w:rPr>
        <w:t xml:space="preserve"> </w:t>
      </w:r>
      <w:r w:rsidR="007E4E23">
        <w:rPr>
          <w:rFonts w:eastAsia="Palatino Linotype" w:cs="Palatino Linotype"/>
          <w:color w:val="000000"/>
          <w:szCs w:val="24"/>
        </w:rPr>
        <w:t xml:space="preserve">veinticinco de agosto </w:t>
      </w:r>
      <w:r w:rsidR="00C77CBD">
        <w:rPr>
          <w:rFonts w:eastAsia="Palatino Linotype" w:cs="Palatino Linotype"/>
          <w:color w:val="000000"/>
          <w:szCs w:val="24"/>
        </w:rPr>
        <w:t>del año en curso</w:t>
      </w:r>
      <w:r w:rsidRPr="006F65AC">
        <w:rPr>
          <w:rFonts w:eastAsia="Palatino Linotype" w:cs="Palatino Linotype"/>
          <w:color w:val="000000"/>
          <w:szCs w:val="24"/>
        </w:rPr>
        <w:t>, en términos de la fracción III del artículo 185 de la Ley de Transparencia y Acceso a la Información Pública del Estado de México y Municipios, otorgando al</w:t>
      </w:r>
      <w:r w:rsidRPr="000719E4">
        <w:rPr>
          <w:rFonts w:eastAsia="Palatino Linotype" w:cs="Palatino Linotype"/>
          <w:color w:val="000000"/>
          <w:szCs w:val="24"/>
        </w:rPr>
        <w:t xml:space="preserve"> </w:t>
      </w:r>
      <w:r w:rsidRPr="006F65AC">
        <w:rPr>
          <w:rFonts w:eastAsia="Palatino Linotype" w:cs="Palatino Linotype"/>
          <w:color w:val="000000"/>
          <w:szCs w:val="24"/>
        </w:rPr>
        <w:t>particular un término de tres días para manifestar lo que a</w:t>
      </w:r>
      <w:r w:rsidR="009849E0">
        <w:rPr>
          <w:rFonts w:eastAsia="Palatino Linotype" w:cs="Palatino Linotype"/>
          <w:color w:val="000000"/>
          <w:szCs w:val="24"/>
        </w:rPr>
        <w:t xml:space="preserve"> su derecho conviniera. Por su</w:t>
      </w:r>
      <w:r w:rsidRPr="006F65AC">
        <w:rPr>
          <w:rFonts w:eastAsia="Palatino Linotype" w:cs="Palatino Linotype"/>
          <w:color w:val="000000"/>
          <w:szCs w:val="24"/>
        </w:rPr>
        <w:t xml:space="preserve"> parte, </w:t>
      </w:r>
      <w:r w:rsidR="009849E0">
        <w:rPr>
          <w:rFonts w:eastAsia="Palatino Linotype" w:cs="Palatino Linotype"/>
          <w:color w:val="000000"/>
          <w:szCs w:val="24"/>
        </w:rPr>
        <w:t xml:space="preserve">el Recurrente </w:t>
      </w:r>
      <w:r w:rsidR="002806D1">
        <w:rPr>
          <w:rFonts w:eastAsia="Palatino Linotype" w:cs="Palatino Linotype"/>
          <w:color w:val="000000"/>
          <w:szCs w:val="24"/>
        </w:rPr>
        <w:t xml:space="preserve">no realizó manifestaciones, vertió alegatos ni presentó pruebas que a su derecho convinieran. </w:t>
      </w:r>
      <w:r w:rsidR="009849E0">
        <w:rPr>
          <w:rFonts w:eastAsia="Palatino Linotype" w:cs="Palatino Linotype"/>
          <w:color w:val="000000"/>
          <w:szCs w:val="24"/>
        </w:rPr>
        <w:t>El contenido de ambos documentos será analizado en el estudio correspondiente.</w:t>
      </w:r>
    </w:p>
    <w:p w14:paraId="5B536618" w14:textId="7ED50870" w:rsidR="00C02596" w:rsidRDefault="00C02596" w:rsidP="006922F5">
      <w:pPr>
        <w:pBdr>
          <w:top w:val="nil"/>
          <w:left w:val="nil"/>
          <w:bottom w:val="nil"/>
          <w:right w:val="nil"/>
          <w:between w:val="nil"/>
        </w:pBdr>
        <w:contextualSpacing/>
        <w:rPr>
          <w:rFonts w:eastAsia="Palatino Linotype" w:cs="Palatino Linotype"/>
          <w:color w:val="000000"/>
          <w:szCs w:val="24"/>
        </w:rPr>
      </w:pPr>
    </w:p>
    <w:p w14:paraId="01332637" w14:textId="61C4A372" w:rsidR="00123A80" w:rsidRPr="006922F5" w:rsidRDefault="00123A80" w:rsidP="00123A80">
      <w:pPr>
        <w:pStyle w:val="Ttulo2"/>
        <w:rPr>
          <w:rFonts w:eastAsiaTheme="minorHAnsi"/>
          <w:lang w:eastAsia="en-US"/>
        </w:rPr>
      </w:pPr>
      <w:r>
        <w:rPr>
          <w:rFonts w:eastAsiaTheme="minorHAnsi"/>
          <w:lang w:eastAsia="en-US"/>
        </w:rPr>
        <w:t>SEXTO</w:t>
      </w:r>
      <w:r w:rsidRPr="006922F5">
        <w:rPr>
          <w:rFonts w:eastAsiaTheme="minorHAnsi"/>
          <w:lang w:eastAsia="en-US"/>
        </w:rPr>
        <w:t xml:space="preserve">. </w:t>
      </w:r>
      <w:r w:rsidRPr="006922F5">
        <w:rPr>
          <w:rFonts w:eastAsia="Palatino Linotype"/>
        </w:rPr>
        <w:t>Del cierre de instrucción.</w:t>
      </w:r>
    </w:p>
    <w:p w14:paraId="224DAA2E" w14:textId="4B3A9FA9" w:rsidR="00123A80" w:rsidRPr="006922F5" w:rsidRDefault="00123A80" w:rsidP="00123A80">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U</w:t>
      </w:r>
      <w:r w:rsidRPr="006922F5">
        <w:rPr>
          <w:rFonts w:eastAsia="Palatino Linotype" w:cs="Palatino Linotype"/>
          <w:color w:val="000000"/>
          <w:szCs w:val="24"/>
        </w:rPr>
        <w:t>na vez transcurrido el término legal, se decretó el cierre de instrucción en fecha</w:t>
      </w:r>
      <w:r>
        <w:rPr>
          <w:rFonts w:eastAsia="Palatino Linotype" w:cs="Palatino Linotype"/>
          <w:color w:val="000000"/>
          <w:szCs w:val="24"/>
        </w:rPr>
        <w:t xml:space="preserve"> </w:t>
      </w:r>
      <w:r w:rsidR="007E4E23">
        <w:rPr>
          <w:rFonts w:eastAsiaTheme="minorHAnsi" w:cstheme="minorBidi"/>
          <w:szCs w:val="24"/>
          <w:lang w:eastAsia="en-US"/>
        </w:rPr>
        <w:t xml:space="preserve">treinta y uno de agosto </w:t>
      </w:r>
      <w:r>
        <w:rPr>
          <w:rFonts w:eastAsia="Palatino Linotype" w:cs="Palatino Linotype"/>
          <w:color w:val="000000"/>
          <w:szCs w:val="24"/>
        </w:rPr>
        <w:t>de dos mil veintitrés</w:t>
      </w:r>
      <w:r w:rsidRPr="006922F5">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14:paraId="6F1484AF" w14:textId="77777777" w:rsidR="00123A80" w:rsidRPr="006922F5" w:rsidRDefault="00123A80" w:rsidP="006922F5">
      <w:pPr>
        <w:pBdr>
          <w:top w:val="nil"/>
          <w:left w:val="nil"/>
          <w:bottom w:val="nil"/>
          <w:right w:val="nil"/>
          <w:between w:val="nil"/>
        </w:pBdr>
        <w:contextualSpacing/>
        <w:rPr>
          <w:rFonts w:eastAsia="Palatino Linotype" w:cs="Palatino Linotype"/>
          <w:color w:val="000000"/>
          <w:szCs w:val="24"/>
        </w:rPr>
      </w:pPr>
    </w:p>
    <w:p w14:paraId="65310342" w14:textId="0A51F6E5" w:rsidR="00A970D5" w:rsidRPr="006922F5" w:rsidRDefault="00E27953" w:rsidP="006922F5">
      <w:pPr>
        <w:pStyle w:val="Ttulo2"/>
        <w:rPr>
          <w:rFonts w:eastAsia="Palatino Linotype"/>
        </w:rPr>
      </w:pPr>
      <w:r w:rsidRPr="006922F5">
        <w:rPr>
          <w:rFonts w:eastAsia="Palatino Linotype"/>
        </w:rPr>
        <w:t>S</w:t>
      </w:r>
      <w:r w:rsidR="00123A80">
        <w:rPr>
          <w:rFonts w:eastAsia="Palatino Linotype"/>
        </w:rPr>
        <w:t>ÉPTIMO</w:t>
      </w:r>
      <w:r w:rsidR="00A970D5" w:rsidRPr="006922F5">
        <w:rPr>
          <w:rFonts w:eastAsia="Palatino Linotype"/>
        </w:rPr>
        <w:t xml:space="preserve">. </w:t>
      </w:r>
      <w:r w:rsidR="006967F6" w:rsidRPr="006922F5">
        <w:rPr>
          <w:rFonts w:eastAsiaTheme="minorHAnsi"/>
          <w:lang w:eastAsia="en-US"/>
        </w:rPr>
        <w:t>De la ampliación del término para resolver.</w:t>
      </w:r>
    </w:p>
    <w:p w14:paraId="1A8CFDFD" w14:textId="3212956E" w:rsidR="007E4E23" w:rsidRPr="004926E7" w:rsidRDefault="007E4E23" w:rsidP="007E4E23">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En fecha </w:t>
      </w:r>
      <w:r>
        <w:rPr>
          <w:rFonts w:eastAsiaTheme="minorHAnsi" w:cstheme="minorBidi"/>
          <w:szCs w:val="24"/>
          <w:lang w:eastAsia="en-US"/>
        </w:rPr>
        <w:t xml:space="preserve">veintiséis de septiembre </w:t>
      </w:r>
      <w:r w:rsidRPr="004926E7">
        <w:rPr>
          <w:rFonts w:eastAsiaTheme="minorHAnsi" w:cstheme="minorBidi"/>
          <w:szCs w:val="24"/>
          <w:lang w:eastAsia="en-US"/>
        </w:rPr>
        <w:t xml:space="preserve">de dos mil veintitrés se amplió el término para resolver el recurso de revisión en términos del artículo 181 párrafo tercero de la Ley de </w:t>
      </w:r>
      <w:r w:rsidRPr="004926E7">
        <w:rPr>
          <w:rFonts w:eastAsiaTheme="minorHAnsi" w:cstheme="minorBidi"/>
          <w:szCs w:val="24"/>
          <w:lang w:eastAsia="en-US"/>
        </w:rPr>
        <w:lastRenderedPageBreak/>
        <w:t>Transparencia y Acceso a la Información Pública del Estado de México y Municipios por un plazo de quince días hábiles.</w:t>
      </w:r>
    </w:p>
    <w:p w14:paraId="2662DF91" w14:textId="77777777" w:rsidR="007E4E23" w:rsidRPr="006922F5" w:rsidRDefault="007E4E23" w:rsidP="007E4E23">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1C8E14BE"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w:t>
      </w:r>
      <w:r w:rsidR="00123A80">
        <w:rPr>
          <w:rFonts w:eastAsia="Palatino Linotype" w:cs="Palatino Linotype"/>
          <w:color w:val="000000"/>
          <w:szCs w:val="24"/>
        </w:rPr>
        <w:t>tercero</w:t>
      </w:r>
      <w:r w:rsidRPr="006922F5">
        <w:rPr>
          <w:rFonts w:eastAsia="Palatino Linotype" w:cs="Palatino Linotype"/>
          <w:color w:val="000000"/>
          <w:szCs w:val="24"/>
        </w:rPr>
        <w:t xml:space="preserve"> y trigésimo </w:t>
      </w:r>
      <w:r w:rsidR="00123A80">
        <w:rPr>
          <w:rFonts w:eastAsia="Palatino Linotype" w:cs="Palatino Linotype"/>
          <w:color w:val="000000"/>
          <w:szCs w:val="24"/>
        </w:rPr>
        <w:t>cuarto</w:t>
      </w:r>
      <w:r w:rsidRPr="006922F5">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Pr="006922F5" w:rsidRDefault="00A970D5" w:rsidP="006922F5">
      <w:r w:rsidRPr="006922F5">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w:t>
      </w:r>
      <w:r w:rsidRPr="006922F5">
        <w:lastRenderedPageBreak/>
        <w:t>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460E4FD3" w:rsidR="0031280C" w:rsidRPr="006967F6" w:rsidRDefault="0031280C" w:rsidP="006922F5">
      <w:pPr>
        <w:pBdr>
          <w:top w:val="nil"/>
          <w:left w:val="nil"/>
          <w:bottom w:val="nil"/>
          <w:right w:val="nil"/>
          <w:between w:val="nil"/>
        </w:pBdr>
        <w:contextualSpacing/>
        <w:rPr>
          <w:rFonts w:eastAsia="Palatino Linotype" w:cs="Palatino Linotype"/>
          <w:color w:val="000000"/>
          <w:szCs w:val="24"/>
        </w:rPr>
      </w:pPr>
    </w:p>
    <w:p w14:paraId="13B28D16" w14:textId="505454B0" w:rsidR="006967F6" w:rsidRPr="006967F6" w:rsidRDefault="009A2181" w:rsidP="006967F6">
      <w:pPr>
        <w:pStyle w:val="Ttulo2"/>
        <w:rPr>
          <w:rFonts w:eastAsia="Palatino Linotype"/>
        </w:rPr>
      </w:pPr>
      <w:r w:rsidRPr="00C07AE2">
        <w:rPr>
          <w:rFonts w:eastAsia="Palatino Linotype"/>
        </w:rPr>
        <w:t>TERCERO</w:t>
      </w:r>
      <w:r w:rsidR="00A970D5" w:rsidRPr="00C07AE2">
        <w:rPr>
          <w:rFonts w:eastAsia="Palatino Linotype"/>
        </w:rPr>
        <w:t>. De las causas de improcedencia.</w:t>
      </w:r>
    </w:p>
    <w:p w14:paraId="555D16DA" w14:textId="77777777" w:rsidR="00B728EA" w:rsidRPr="00FD1870" w:rsidRDefault="00B728EA" w:rsidP="00B728EA">
      <w:pPr>
        <w:pBdr>
          <w:top w:val="nil"/>
          <w:left w:val="nil"/>
          <w:bottom w:val="nil"/>
          <w:right w:val="nil"/>
          <w:between w:val="nil"/>
        </w:pBdr>
        <w:contextualSpacing/>
        <w:rPr>
          <w:rFonts w:eastAsia="Palatino Linotype" w:cs="Palatino Linotype"/>
          <w:color w:val="000000"/>
          <w:szCs w:val="24"/>
        </w:rPr>
      </w:pPr>
      <w:r w:rsidRPr="00FD1870">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FD1870">
        <w:rPr>
          <w:rFonts w:eastAsia="Palatino Linotype" w:cs="Palatino Linotype"/>
          <w:color w:val="000000"/>
          <w:szCs w:val="24"/>
        </w:rPr>
        <w:t>procedibilidad</w:t>
      </w:r>
      <w:proofErr w:type="spellEnd"/>
      <w:r w:rsidRPr="00FD1870">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F428342" w14:textId="77777777" w:rsidR="00B728EA" w:rsidRPr="00FD1870" w:rsidRDefault="00B728EA" w:rsidP="00B728EA">
      <w:pPr>
        <w:pBdr>
          <w:top w:val="nil"/>
          <w:left w:val="nil"/>
          <w:bottom w:val="nil"/>
          <w:right w:val="nil"/>
          <w:between w:val="nil"/>
        </w:pBdr>
        <w:contextualSpacing/>
        <w:rPr>
          <w:rFonts w:eastAsia="Palatino Linotype" w:cs="Palatino Linotype"/>
          <w:color w:val="000000"/>
          <w:szCs w:val="24"/>
        </w:rPr>
      </w:pPr>
    </w:p>
    <w:p w14:paraId="65B2618D" w14:textId="77777777" w:rsidR="00B728EA" w:rsidRPr="00FD1870" w:rsidRDefault="00B728EA" w:rsidP="00B728EA">
      <w:pPr>
        <w:pBdr>
          <w:top w:val="nil"/>
          <w:left w:val="nil"/>
          <w:bottom w:val="nil"/>
          <w:right w:val="nil"/>
          <w:between w:val="nil"/>
        </w:pBdr>
        <w:contextualSpacing/>
        <w:rPr>
          <w:rFonts w:eastAsia="Palatino Linotype" w:cs="Palatino Linotype"/>
          <w:color w:val="000000"/>
          <w:szCs w:val="24"/>
        </w:rPr>
      </w:pPr>
      <w:r w:rsidRPr="00FD1870">
        <w:rPr>
          <w:rFonts w:eastAsia="Palatino Linotype" w:cs="Palatino Linotype"/>
          <w:color w:val="000000"/>
          <w:szCs w:val="24"/>
        </w:rPr>
        <w:t xml:space="preserve">Por lo anterior, es una facultad legal entrar al estudio de las causas de improcedencia que hagan valer las partes o que se adviertan de oficio por este </w:t>
      </w:r>
      <w:proofErr w:type="spellStart"/>
      <w:r w:rsidRPr="00FD1870">
        <w:rPr>
          <w:rFonts w:eastAsia="Palatino Linotype" w:cs="Palatino Linotype"/>
          <w:color w:val="000000"/>
          <w:szCs w:val="24"/>
        </w:rPr>
        <w:t>Resolutor</w:t>
      </w:r>
      <w:proofErr w:type="spellEnd"/>
      <w:r w:rsidRPr="00FD1870">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FD1870">
        <w:rPr>
          <w:rFonts w:eastAsia="Palatino Linotype" w:cs="Palatino Linotype"/>
          <w:color w:val="000000"/>
          <w:szCs w:val="24"/>
          <w:vertAlign w:val="superscript"/>
        </w:rPr>
        <w:footnoteReference w:id="2"/>
      </w:r>
      <w:r w:rsidRPr="00FD1870">
        <w:rPr>
          <w:rFonts w:eastAsia="Palatino Linotype" w:cs="Palatino Linotype"/>
          <w:color w:val="000000"/>
          <w:szCs w:val="24"/>
        </w:rPr>
        <w:t xml:space="preserve">, la cual permite dilucidar alguna </w:t>
      </w:r>
      <w:r w:rsidRPr="00FD1870">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075551B1" w14:textId="77777777" w:rsidR="00B728EA" w:rsidRPr="00FD1870" w:rsidRDefault="00B728EA" w:rsidP="00B728EA">
      <w:pPr>
        <w:pBdr>
          <w:top w:val="nil"/>
          <w:left w:val="nil"/>
          <w:bottom w:val="nil"/>
          <w:right w:val="nil"/>
          <w:between w:val="nil"/>
        </w:pBdr>
        <w:contextualSpacing/>
        <w:rPr>
          <w:rFonts w:eastAsia="Palatino Linotype" w:cs="Palatino Linotype"/>
          <w:color w:val="000000"/>
          <w:szCs w:val="24"/>
        </w:rPr>
      </w:pPr>
    </w:p>
    <w:p w14:paraId="1E21B26C" w14:textId="11350076" w:rsidR="00A970D5" w:rsidRDefault="00B728EA" w:rsidP="00B728EA">
      <w:pPr>
        <w:pBdr>
          <w:top w:val="nil"/>
          <w:left w:val="nil"/>
          <w:bottom w:val="nil"/>
          <w:right w:val="nil"/>
          <w:between w:val="nil"/>
        </w:pBdr>
        <w:contextualSpacing/>
        <w:rPr>
          <w:rFonts w:eastAsia="Palatino Linotype" w:cs="Palatino Linotype"/>
          <w:color w:val="000000"/>
          <w:szCs w:val="24"/>
        </w:rPr>
      </w:pPr>
      <w:r w:rsidRPr="00FD1870">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95F72AE" w14:textId="77777777" w:rsidR="00B728EA" w:rsidRPr="006922F5" w:rsidRDefault="00B728EA" w:rsidP="00B728EA">
      <w:pPr>
        <w:pBdr>
          <w:top w:val="nil"/>
          <w:left w:val="nil"/>
          <w:bottom w:val="nil"/>
          <w:right w:val="nil"/>
          <w:between w:val="nil"/>
        </w:pBdr>
        <w:contextualSpacing/>
        <w:rPr>
          <w:rFonts w:eastAsia="Palatino Linotype" w:cs="Palatino Linotype"/>
          <w:color w:val="000000"/>
          <w:szCs w:val="24"/>
        </w:rPr>
      </w:pPr>
    </w:p>
    <w:p w14:paraId="0DC69ACD" w14:textId="5A561325" w:rsidR="00A970D5" w:rsidRPr="006922F5" w:rsidRDefault="006967F6" w:rsidP="006922F5">
      <w:pPr>
        <w:pStyle w:val="Ttulo2"/>
        <w:rPr>
          <w:rFonts w:eastAsia="Palatino Linotype"/>
        </w:rPr>
      </w:pPr>
      <w:r w:rsidRPr="00C07AE2">
        <w:rPr>
          <w:rFonts w:eastAsia="Palatino Linotype"/>
        </w:rPr>
        <w:t>QUINTO</w:t>
      </w:r>
      <w:r w:rsidR="00A970D5" w:rsidRPr="00C07AE2">
        <w:rPr>
          <w:rFonts w:eastAsia="Palatino Linotype"/>
        </w:rPr>
        <w:t>. Estudio y resolución del asunto.</w:t>
      </w:r>
    </w:p>
    <w:p w14:paraId="102DA030" w14:textId="77777777" w:rsidR="00B728EA" w:rsidRPr="00FD1870" w:rsidRDefault="00B728EA" w:rsidP="00B728EA">
      <w:pPr>
        <w:pBdr>
          <w:top w:val="nil"/>
          <w:left w:val="nil"/>
          <w:bottom w:val="nil"/>
          <w:right w:val="nil"/>
          <w:between w:val="nil"/>
        </w:pBdr>
        <w:contextualSpacing/>
        <w:rPr>
          <w:rFonts w:eastAsia="Palatino Linotype" w:cs="Palatino Linotype"/>
          <w:color w:val="000000"/>
          <w:szCs w:val="24"/>
        </w:rPr>
      </w:pPr>
      <w:r w:rsidRPr="00FD1870">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w:t>
      </w:r>
      <w:r w:rsidRPr="00FD1870">
        <w:rPr>
          <w:rFonts w:eastAsia="Palatino Linotype" w:cs="Palatino Linotype"/>
          <w:color w:val="000000"/>
          <w:szCs w:val="24"/>
        </w:rPr>
        <w:lastRenderedPageBreak/>
        <w:t>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3CF682A" w14:textId="180C658D" w:rsidR="00514C55" w:rsidRDefault="00A970D5" w:rsidP="006D438A">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tanto</w:t>
      </w:r>
      <w:r w:rsidR="007F3F9F" w:rsidRPr="006922F5">
        <w:rPr>
          <w:rFonts w:eastAsia="Palatino Linotype" w:cs="Palatino Linotype"/>
          <w:color w:val="000000"/>
          <w:szCs w:val="24"/>
        </w:rPr>
        <w:t xml:space="preserve">, es conveniente recordar que </w:t>
      </w:r>
      <w:r w:rsidR="006D438A">
        <w:rPr>
          <w:rFonts w:eastAsia="Palatino Linotype" w:cs="Palatino Linotype"/>
          <w:color w:val="000000"/>
          <w:szCs w:val="24"/>
        </w:rPr>
        <w:t>el</w:t>
      </w:r>
      <w:r w:rsidRPr="006922F5">
        <w:rPr>
          <w:rFonts w:eastAsia="Palatino Linotype" w:cs="Palatino Linotype"/>
          <w:color w:val="000000"/>
          <w:szCs w:val="24"/>
        </w:rPr>
        <w:t xml:space="preserve"> hoy Recurrente </w:t>
      </w:r>
      <w:r w:rsidR="00AE3BE0" w:rsidRPr="006922F5">
        <w:rPr>
          <w:rFonts w:eastAsia="Palatino Linotype" w:cs="Palatino Linotype"/>
          <w:color w:val="000000"/>
          <w:szCs w:val="24"/>
        </w:rPr>
        <w:t>requirió</w:t>
      </w:r>
      <w:r w:rsidR="00CF6592" w:rsidRPr="006922F5">
        <w:rPr>
          <w:rFonts w:eastAsia="Palatino Linotype" w:cs="Palatino Linotype"/>
          <w:color w:val="000000"/>
          <w:szCs w:val="24"/>
        </w:rPr>
        <w:t xml:space="preserve"> </w:t>
      </w:r>
      <w:r w:rsidR="00BC4869">
        <w:rPr>
          <w:rFonts w:eastAsia="Palatino Linotype" w:cs="Palatino Linotype"/>
          <w:color w:val="000000"/>
          <w:szCs w:val="24"/>
        </w:rPr>
        <w:t xml:space="preserve">que </w:t>
      </w:r>
      <w:r w:rsidR="006D438A">
        <w:rPr>
          <w:rFonts w:eastAsia="Palatino Linotype" w:cs="Palatino Linotype"/>
          <w:color w:val="000000"/>
          <w:szCs w:val="24"/>
        </w:rPr>
        <w:t xml:space="preserve">se le </w:t>
      </w:r>
      <w:r w:rsidR="009A2181">
        <w:rPr>
          <w:rFonts w:eastAsia="Palatino Linotype" w:cs="Palatino Linotype"/>
          <w:color w:val="000000"/>
          <w:szCs w:val="24"/>
        </w:rPr>
        <w:t>informara respecto de</w:t>
      </w:r>
      <w:r w:rsidR="00287C9D">
        <w:rPr>
          <w:rFonts w:eastAsia="Palatino Linotype" w:cs="Palatino Linotype"/>
          <w:color w:val="000000"/>
          <w:szCs w:val="24"/>
        </w:rPr>
        <w:t xml:space="preserve"> </w:t>
      </w:r>
      <w:r w:rsidR="009814C1">
        <w:rPr>
          <w:rFonts w:eastAsia="Palatino Linotype" w:cs="Palatino Linotype"/>
          <w:color w:val="000000"/>
          <w:szCs w:val="24"/>
        </w:rPr>
        <w:t>lo siguiente:</w:t>
      </w:r>
    </w:p>
    <w:p w14:paraId="5E7B1E1B" w14:textId="77777777" w:rsidR="009A2181" w:rsidRDefault="009A2181" w:rsidP="006D438A">
      <w:pPr>
        <w:pBdr>
          <w:top w:val="nil"/>
          <w:left w:val="nil"/>
          <w:bottom w:val="nil"/>
          <w:right w:val="nil"/>
          <w:between w:val="nil"/>
        </w:pBdr>
        <w:contextualSpacing/>
        <w:rPr>
          <w:rFonts w:eastAsia="Palatino Linotype" w:cs="Palatino Linotype"/>
          <w:color w:val="000000"/>
          <w:szCs w:val="24"/>
        </w:rPr>
      </w:pPr>
    </w:p>
    <w:p w14:paraId="1D4BD52F"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1.- Cantidad de multas de tránsito especificando la causa por la que se han impuesto; durante los meses de mayo y junio de 2023. </w:t>
      </w:r>
    </w:p>
    <w:p w14:paraId="013E3150"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2.- Elementos de la Policía Municipal destinados y habilitados para imponer multas de tránsito durante los meses de mayo y junio de 2023. </w:t>
      </w:r>
    </w:p>
    <w:p w14:paraId="49F6773E"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3.- Cantidad y ubicación de parquímetros en el municipio de Toluca durante los meses de mayo y junio de 2023. </w:t>
      </w:r>
    </w:p>
    <w:p w14:paraId="0F4973AC"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4.- Cantidad de elementos operativos en activo destinados a la seguridad pública del municipio. </w:t>
      </w:r>
    </w:p>
    <w:p w14:paraId="0FE74CE1"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5.- Cantidad de elementos operativos en activo destinados a la seguridad vial del municipio. </w:t>
      </w:r>
    </w:p>
    <w:p w14:paraId="377CFA7A"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6.- Cantidad de elementos y funcionarios administrativos de la Dirección General de Seguridad y Protección. </w:t>
      </w:r>
    </w:p>
    <w:p w14:paraId="50A1F0A3"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7.- Cantidad de Turnos programados para la Seguridad Pública del municipio y cantidad de elementos activos destinados a cada turno. </w:t>
      </w:r>
    </w:p>
    <w:p w14:paraId="6F9980A4"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8.- Cantidad desglosada de vehículos operativos asignados a labores de seguridad pública y vial en el municipio. </w:t>
      </w:r>
    </w:p>
    <w:p w14:paraId="6EE91534"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lastRenderedPageBreak/>
        <w:t xml:space="preserve">9.- Atlas de incidencia delictiva o documento similar que identifique las zonas de mayor criminalidad del municipio. </w:t>
      </w:r>
    </w:p>
    <w:p w14:paraId="7EDF4EDE" w14:textId="77777777" w:rsidR="00556835" w:rsidRPr="00556835"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 xml:space="preserve">10.- Cantidad desglosada por causas de los procedimientos sancionatorios, amonestaciones o cualquier medida administrativa ejercida contra elementos de la Dirección General de Seguridad y Protección de enero a junio de 2023. </w:t>
      </w:r>
    </w:p>
    <w:p w14:paraId="67EC52EA" w14:textId="57E198E7" w:rsidR="009A2181" w:rsidRDefault="00556835" w:rsidP="00556835">
      <w:pPr>
        <w:pBdr>
          <w:top w:val="nil"/>
          <w:left w:val="nil"/>
          <w:bottom w:val="nil"/>
          <w:right w:val="nil"/>
          <w:between w:val="nil"/>
        </w:pBdr>
        <w:contextualSpacing/>
        <w:rPr>
          <w:rFonts w:eastAsia="Palatino Linotype" w:cs="Palatino Linotype"/>
          <w:color w:val="000000"/>
          <w:szCs w:val="24"/>
        </w:rPr>
      </w:pPr>
      <w:r w:rsidRPr="00556835">
        <w:rPr>
          <w:rFonts w:eastAsia="Palatino Linotype" w:cs="Palatino Linotype"/>
          <w:color w:val="000000"/>
          <w:szCs w:val="24"/>
        </w:rPr>
        <w:t>12.- Cantidad desglosada por causas de las consignaciones que han hecho los elementos de la Dirección General de Seguridad y Protección de enero a junio de 2023.</w:t>
      </w:r>
    </w:p>
    <w:p w14:paraId="6E35799A" w14:textId="77777777" w:rsidR="00877767" w:rsidRPr="006922F5" w:rsidRDefault="00877767" w:rsidP="006922F5">
      <w:pPr>
        <w:pBdr>
          <w:top w:val="nil"/>
          <w:left w:val="nil"/>
          <w:bottom w:val="nil"/>
          <w:right w:val="nil"/>
          <w:between w:val="nil"/>
        </w:pBdr>
        <w:contextualSpacing/>
        <w:rPr>
          <w:rFonts w:eastAsia="Palatino Linotype" w:cs="Palatino Linotype"/>
          <w:color w:val="000000"/>
          <w:szCs w:val="24"/>
        </w:rPr>
      </w:pPr>
    </w:p>
    <w:p w14:paraId="46A58DB1" w14:textId="79B67912" w:rsidR="009308DA"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2C2D27">
        <w:rPr>
          <w:rFonts w:eastAsia="Palatino Linotype" w:cs="Palatino Linotype"/>
          <w:color w:val="000000"/>
          <w:szCs w:val="24"/>
        </w:rPr>
        <w:t xml:space="preserve">hizo </w:t>
      </w:r>
      <w:r w:rsidR="00A978AF">
        <w:rPr>
          <w:rFonts w:eastAsia="Palatino Linotype" w:cs="Palatino Linotype"/>
          <w:color w:val="000000"/>
          <w:szCs w:val="24"/>
        </w:rPr>
        <w:t>entrega de</w:t>
      </w:r>
      <w:r w:rsidR="00287C9D">
        <w:rPr>
          <w:rFonts w:eastAsia="Palatino Linotype" w:cs="Palatino Linotype"/>
          <w:color w:val="000000"/>
          <w:szCs w:val="24"/>
        </w:rPr>
        <w:t xml:space="preserve">l </w:t>
      </w:r>
      <w:r w:rsidR="00556835">
        <w:rPr>
          <w:rFonts w:eastAsia="Palatino Linotype" w:cs="Palatino Linotype"/>
          <w:color w:val="000000"/>
          <w:szCs w:val="24"/>
        </w:rPr>
        <w:t xml:space="preserve">documento denominado </w:t>
      </w:r>
      <w:r w:rsidR="00556835" w:rsidRPr="00556835">
        <w:rPr>
          <w:rFonts w:eastAsia="Palatino Linotype" w:cs="Palatino Linotype"/>
          <w:b/>
          <w:bCs/>
          <w:color w:val="000000"/>
          <w:szCs w:val="24"/>
        </w:rPr>
        <w:t>“Respuesta 2322.pdf”</w:t>
      </w:r>
      <w:r w:rsidR="00556835">
        <w:rPr>
          <w:rFonts w:eastAsia="Palatino Linotype" w:cs="Palatino Linotype"/>
          <w:color w:val="000000"/>
          <w:szCs w:val="24"/>
        </w:rPr>
        <w:t>, mediante el cual se respondió lo siguiente:</w:t>
      </w:r>
    </w:p>
    <w:p w14:paraId="54A92156" w14:textId="77777777" w:rsidR="00556835" w:rsidRDefault="00556835" w:rsidP="00B62DEC">
      <w:pPr>
        <w:pBdr>
          <w:top w:val="nil"/>
          <w:left w:val="nil"/>
          <w:bottom w:val="nil"/>
          <w:right w:val="nil"/>
          <w:between w:val="nil"/>
        </w:pBdr>
        <w:contextualSpacing/>
        <w:rPr>
          <w:rFonts w:eastAsia="Palatino Linotype" w:cs="Palatino Linotype"/>
          <w:color w:val="000000"/>
          <w:szCs w:val="24"/>
        </w:rPr>
      </w:pPr>
    </w:p>
    <w:p w14:paraId="3BC1DC3D" w14:textId="289341C9" w:rsidR="00556835" w:rsidRPr="00902321" w:rsidRDefault="004742A8" w:rsidP="00902321">
      <w:pPr>
        <w:pStyle w:val="Prrafodelista"/>
        <w:numPr>
          <w:ilvl w:val="0"/>
          <w:numId w:val="39"/>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Respecto del punto 1</w:t>
      </w:r>
      <w:r w:rsidRPr="00902321">
        <w:rPr>
          <w:rFonts w:eastAsia="Palatino Linotype" w:cs="Palatino Linotype"/>
          <w:color w:val="000000"/>
        </w:rPr>
        <w:t>, la Dirección General de Seguridad y Protección entregó un cuadro con la cantidad y motivos por los que se impusieron multas de tránsito en los meses de mayo y junio de dos mil veintitrés.</w:t>
      </w:r>
    </w:p>
    <w:p w14:paraId="380F4851" w14:textId="5313FF24" w:rsidR="004742A8" w:rsidRPr="00902321" w:rsidRDefault="004742A8" w:rsidP="00902321">
      <w:pPr>
        <w:pStyle w:val="Prrafodelista"/>
        <w:numPr>
          <w:ilvl w:val="0"/>
          <w:numId w:val="39"/>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Del punto 2</w:t>
      </w:r>
      <w:r w:rsidRPr="00902321">
        <w:rPr>
          <w:rFonts w:eastAsia="Palatino Linotype" w:cs="Palatino Linotype"/>
          <w:color w:val="000000"/>
        </w:rPr>
        <w:t>, la Dirección General de Seguridad y Protección informó que se cuenta con ciento cincuenta elementos destinados a imponer multas de tránsito durante mayo y junio de dos mil veintitrés.</w:t>
      </w:r>
    </w:p>
    <w:p w14:paraId="68D1D9D0" w14:textId="10705B8A" w:rsidR="004742A8" w:rsidRPr="00902321" w:rsidRDefault="004742A8" w:rsidP="00902321">
      <w:pPr>
        <w:pStyle w:val="Prrafodelista"/>
        <w:numPr>
          <w:ilvl w:val="0"/>
          <w:numId w:val="39"/>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Del punto 3</w:t>
      </w:r>
      <w:r w:rsidRPr="00902321">
        <w:rPr>
          <w:rFonts w:eastAsia="Palatino Linotype" w:cs="Palatino Linotype"/>
          <w:color w:val="000000"/>
        </w:rPr>
        <w:t>, la Dirección General de Seguridad y Protección remitió un cuadro con la ubicación de los parquímetros en los meses de mayo y junio de dos mil veintitrés.</w:t>
      </w:r>
    </w:p>
    <w:p w14:paraId="652ECA5C" w14:textId="21703B19" w:rsidR="00556835" w:rsidRPr="00902321" w:rsidRDefault="00D56B2B" w:rsidP="00902321">
      <w:pPr>
        <w:pStyle w:val="Prrafodelista"/>
        <w:numPr>
          <w:ilvl w:val="0"/>
          <w:numId w:val="39"/>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Para los puntos 4, 5 y 6</w:t>
      </w:r>
      <w:r w:rsidRPr="00902321">
        <w:rPr>
          <w:rFonts w:eastAsia="Palatino Linotype" w:cs="Palatino Linotype"/>
          <w:color w:val="000000"/>
        </w:rPr>
        <w:t>, la Dirección de Recursos Humanos entregó el siguiente cuadro:</w:t>
      </w:r>
    </w:p>
    <w:p w14:paraId="1B1401DF" w14:textId="476647B7" w:rsidR="00556835" w:rsidRDefault="00D56B2B" w:rsidP="00D56B2B">
      <w:pPr>
        <w:pBdr>
          <w:top w:val="nil"/>
          <w:left w:val="nil"/>
          <w:bottom w:val="nil"/>
          <w:right w:val="nil"/>
          <w:between w:val="nil"/>
        </w:pBdr>
        <w:contextualSpacing/>
        <w:jc w:val="center"/>
        <w:rPr>
          <w:rFonts w:eastAsia="Palatino Linotype" w:cs="Palatino Linotype"/>
          <w:color w:val="000000"/>
          <w:szCs w:val="24"/>
        </w:rPr>
      </w:pPr>
      <w:r>
        <w:rPr>
          <w:rFonts w:eastAsia="Palatino Linotype" w:cs="Palatino Linotype"/>
          <w:noProof/>
          <w:color w:val="000000"/>
          <w:szCs w:val="24"/>
          <w:lang w:val="es-MX"/>
        </w:rPr>
        <w:lastRenderedPageBreak/>
        <w:drawing>
          <wp:inline distT="0" distB="0" distL="0" distR="0" wp14:anchorId="39DA0F72" wp14:editId="022358FF">
            <wp:extent cx="5029200" cy="1397000"/>
            <wp:effectExtent l="0" t="0" r="0" b="0"/>
            <wp:docPr id="9118341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34150" name="Imagen 911834150"/>
                    <pic:cNvPicPr/>
                  </pic:nvPicPr>
                  <pic:blipFill>
                    <a:blip r:embed="rId8">
                      <a:extLst>
                        <a:ext uri="{28A0092B-C50C-407E-A947-70E740481C1C}">
                          <a14:useLocalDpi xmlns:a14="http://schemas.microsoft.com/office/drawing/2010/main" val="0"/>
                        </a:ext>
                      </a:extLst>
                    </a:blip>
                    <a:stretch>
                      <a:fillRect/>
                    </a:stretch>
                  </pic:blipFill>
                  <pic:spPr>
                    <a:xfrm>
                      <a:off x="0" y="0"/>
                      <a:ext cx="5029200" cy="1397000"/>
                    </a:xfrm>
                    <a:prstGeom prst="rect">
                      <a:avLst/>
                    </a:prstGeom>
                  </pic:spPr>
                </pic:pic>
              </a:graphicData>
            </a:graphic>
          </wp:inline>
        </w:drawing>
      </w:r>
    </w:p>
    <w:p w14:paraId="1CD418E8" w14:textId="66479201" w:rsidR="00556835" w:rsidRPr="00902321" w:rsidRDefault="00D56B2B" w:rsidP="00902321">
      <w:pPr>
        <w:pStyle w:val="Prrafodelista"/>
        <w:numPr>
          <w:ilvl w:val="0"/>
          <w:numId w:val="41"/>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Del punto 7</w:t>
      </w:r>
      <w:r w:rsidRPr="00902321">
        <w:rPr>
          <w:rFonts w:eastAsia="Palatino Linotype" w:cs="Palatino Linotype"/>
          <w:color w:val="000000"/>
        </w:rPr>
        <w:t>, la Dirección General de Seguridad y Protección manifestó que se cuenta con tres turnos, de los que uno de ellos tiene un horario de 24/24, se subdivide en Primer y Segundo turno; el primer turno cuenta con 650 policías; el segundo, con 689 policías; y el turno diurno se conforma por 113 policías.</w:t>
      </w:r>
    </w:p>
    <w:p w14:paraId="51568E51" w14:textId="73272FE1" w:rsidR="009814C1" w:rsidRPr="00902321" w:rsidRDefault="00D56B2B" w:rsidP="00902321">
      <w:pPr>
        <w:pStyle w:val="Prrafodelista"/>
        <w:numPr>
          <w:ilvl w:val="0"/>
          <w:numId w:val="41"/>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Del punto 8</w:t>
      </w:r>
      <w:r w:rsidRPr="00902321">
        <w:rPr>
          <w:rFonts w:eastAsia="Palatino Linotype" w:cs="Palatino Linotype"/>
          <w:color w:val="000000"/>
        </w:rPr>
        <w:t>, la Dirección General de Seguridad y Protección, señaló qu</w:t>
      </w:r>
      <w:r w:rsidR="00C102D8" w:rsidRPr="00902321">
        <w:rPr>
          <w:rFonts w:eastAsia="Palatino Linotype" w:cs="Palatino Linotype"/>
          <w:color w:val="000000"/>
        </w:rPr>
        <w:t xml:space="preserve">e, para la atención vial, se cuenta con cincuenta auto patrullas y veintiocho </w:t>
      </w:r>
      <w:proofErr w:type="spellStart"/>
      <w:r w:rsidR="00C102D8" w:rsidRPr="00902321">
        <w:rPr>
          <w:rFonts w:eastAsia="Palatino Linotype" w:cs="Palatino Linotype"/>
          <w:color w:val="000000"/>
        </w:rPr>
        <w:t>motopatrullas</w:t>
      </w:r>
      <w:proofErr w:type="spellEnd"/>
      <w:r w:rsidR="00C102D8" w:rsidRPr="00902321">
        <w:rPr>
          <w:rFonts w:eastAsia="Palatino Linotype" w:cs="Palatino Linotype"/>
          <w:color w:val="000000"/>
        </w:rPr>
        <w:t>.</w:t>
      </w:r>
    </w:p>
    <w:p w14:paraId="561241A2" w14:textId="08C34D3E" w:rsidR="00D56B2B" w:rsidRPr="00902321" w:rsidRDefault="00D56B2B" w:rsidP="00902321">
      <w:pPr>
        <w:pStyle w:val="Prrafodelista"/>
        <w:numPr>
          <w:ilvl w:val="0"/>
          <w:numId w:val="41"/>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Del punto 9</w:t>
      </w:r>
      <w:r w:rsidRPr="00902321">
        <w:rPr>
          <w:rFonts w:eastAsia="Palatino Linotype" w:cs="Palatino Linotype"/>
          <w:color w:val="000000"/>
        </w:rPr>
        <w:t>, la Dirección General de Seguridad y Protección</w:t>
      </w:r>
      <w:r w:rsidR="00C102D8" w:rsidRPr="00902321">
        <w:rPr>
          <w:rFonts w:eastAsia="Palatino Linotype" w:cs="Palatino Linotype"/>
          <w:color w:val="000000"/>
        </w:rPr>
        <w:t xml:space="preserve"> entregó un cuadro relativo al Reporte de incidencia delictiva de las zonas de mayor criminalidad, que a manera de ejemplo se inserta la siguiente imagen:</w:t>
      </w:r>
    </w:p>
    <w:p w14:paraId="3BBD57DA" w14:textId="4E32B3F1" w:rsidR="00C102D8" w:rsidRDefault="00C102D8" w:rsidP="00C102D8">
      <w:pPr>
        <w:pBdr>
          <w:top w:val="nil"/>
          <w:left w:val="nil"/>
          <w:bottom w:val="nil"/>
          <w:right w:val="nil"/>
          <w:between w:val="nil"/>
        </w:pBdr>
        <w:contextualSpacing/>
        <w:jc w:val="center"/>
        <w:rPr>
          <w:rFonts w:eastAsia="Palatino Linotype" w:cs="Palatino Linotype"/>
          <w:color w:val="000000"/>
          <w:szCs w:val="24"/>
        </w:rPr>
      </w:pPr>
      <w:r>
        <w:rPr>
          <w:rFonts w:eastAsia="Palatino Linotype" w:cs="Palatino Linotype"/>
          <w:noProof/>
          <w:color w:val="000000"/>
          <w:szCs w:val="24"/>
          <w:lang w:val="es-MX"/>
        </w:rPr>
        <w:drawing>
          <wp:inline distT="0" distB="0" distL="0" distR="0" wp14:anchorId="0A2E001E" wp14:editId="70AA1A92">
            <wp:extent cx="4720948" cy="3102015"/>
            <wp:effectExtent l="0" t="0" r="3810" b="0"/>
            <wp:docPr id="15830014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01467" name="Imagen 1583001467"/>
                    <pic:cNvPicPr/>
                  </pic:nvPicPr>
                  <pic:blipFill>
                    <a:blip r:embed="rId9">
                      <a:extLst>
                        <a:ext uri="{28A0092B-C50C-407E-A947-70E740481C1C}">
                          <a14:useLocalDpi xmlns:a14="http://schemas.microsoft.com/office/drawing/2010/main" val="0"/>
                        </a:ext>
                      </a:extLst>
                    </a:blip>
                    <a:stretch>
                      <a:fillRect/>
                    </a:stretch>
                  </pic:blipFill>
                  <pic:spPr>
                    <a:xfrm>
                      <a:off x="0" y="0"/>
                      <a:ext cx="4763093" cy="3129708"/>
                    </a:xfrm>
                    <a:prstGeom prst="rect">
                      <a:avLst/>
                    </a:prstGeom>
                  </pic:spPr>
                </pic:pic>
              </a:graphicData>
            </a:graphic>
          </wp:inline>
        </w:drawing>
      </w:r>
    </w:p>
    <w:p w14:paraId="0B17510D" w14:textId="2F2F35A4" w:rsidR="00D56B2B" w:rsidRPr="00902321" w:rsidRDefault="00D56B2B" w:rsidP="00902321">
      <w:pPr>
        <w:pStyle w:val="Prrafodelista"/>
        <w:numPr>
          <w:ilvl w:val="0"/>
          <w:numId w:val="42"/>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lastRenderedPageBreak/>
        <w:t>Del punto 10</w:t>
      </w:r>
      <w:r w:rsidRPr="00902321">
        <w:rPr>
          <w:rFonts w:eastAsia="Palatino Linotype" w:cs="Palatino Linotype"/>
          <w:color w:val="000000"/>
        </w:rPr>
        <w:t>, la Dirección General de Seguridad y Protección</w:t>
      </w:r>
      <w:r w:rsidR="00C102D8" w:rsidRPr="00902321">
        <w:rPr>
          <w:rFonts w:eastAsia="Palatino Linotype" w:cs="Palatino Linotype"/>
          <w:color w:val="000000"/>
        </w:rPr>
        <w:t xml:space="preserve"> informó que, durante el periodo de enero a junio de dos mil veintitrés, la Comisión de Honor y Justicia emitió cuarenta resoluciones: 24 bajas de servicio; 4 suspensiones temporales; 11 resoluciones sin sanción y 1 amonestación.</w:t>
      </w:r>
    </w:p>
    <w:p w14:paraId="798D8185" w14:textId="77606913" w:rsidR="00D56B2B" w:rsidRPr="00902321" w:rsidRDefault="00D56B2B" w:rsidP="00902321">
      <w:pPr>
        <w:pStyle w:val="Prrafodelista"/>
        <w:numPr>
          <w:ilvl w:val="0"/>
          <w:numId w:val="42"/>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b/>
          <w:bCs/>
          <w:color w:val="000000"/>
        </w:rPr>
        <w:t>Del punto 12,</w:t>
      </w:r>
      <w:r w:rsidRPr="00902321">
        <w:rPr>
          <w:rFonts w:eastAsia="Palatino Linotype" w:cs="Palatino Linotype"/>
          <w:color w:val="000000"/>
        </w:rPr>
        <w:t xml:space="preserve"> la Dirección General de Seguridad y Protección</w:t>
      </w:r>
      <w:r w:rsidR="00C102D8" w:rsidRPr="00902321">
        <w:rPr>
          <w:rFonts w:eastAsia="Palatino Linotype" w:cs="Palatino Linotype"/>
          <w:color w:val="000000"/>
        </w:rPr>
        <w:t xml:space="preserve"> señaló que el personal de la Dirección de Sustentabilidad Vial no realizó consignaciones durante los meses de enero a junio de dos mil veintitrés.</w:t>
      </w:r>
    </w:p>
    <w:p w14:paraId="00C27F11" w14:textId="6CE83634" w:rsidR="00D56B2B" w:rsidRPr="00902321" w:rsidRDefault="00902321" w:rsidP="00902321">
      <w:pPr>
        <w:pStyle w:val="Prrafodelista"/>
        <w:numPr>
          <w:ilvl w:val="0"/>
          <w:numId w:val="42"/>
        </w:numPr>
        <w:pBdr>
          <w:top w:val="nil"/>
          <w:left w:val="nil"/>
          <w:bottom w:val="nil"/>
          <w:right w:val="nil"/>
          <w:between w:val="nil"/>
        </w:pBdr>
        <w:contextualSpacing/>
        <w:rPr>
          <w:rFonts w:eastAsia="Palatino Linotype" w:cs="Palatino Linotype"/>
          <w:color w:val="000000"/>
        </w:rPr>
      </w:pPr>
      <w:r w:rsidRPr="00902321">
        <w:rPr>
          <w:rFonts w:eastAsia="Palatino Linotype" w:cs="Palatino Linotype"/>
          <w:color w:val="000000"/>
        </w:rPr>
        <w:t>Que la Unidad de Asuntos Internos manifestó que, luego de realizar una búsqueda exhaustiva y razonable en sus archivos, no se cuenta con la información solicitada, siendo este un desglose interno de la Dirección General de Seguridad y Protección, las cuales derivan cada informe solicitado en sus Direcciones de Sustentabilidad Vial, Operativa y de Inteligencia; por tanto, esa área se encuentra imposibilitada para responder a cada una de la información que se requiere, ya que únicamente se evalúa la conducta de los elementos de policía en el supuesto de que exista alguna falta al régimen disciplinario por el cual se rigen.</w:t>
      </w:r>
    </w:p>
    <w:p w14:paraId="257C8717" w14:textId="77777777" w:rsidR="00D56B2B" w:rsidRDefault="00D56B2B" w:rsidP="006922F5">
      <w:pPr>
        <w:pBdr>
          <w:top w:val="nil"/>
          <w:left w:val="nil"/>
          <w:bottom w:val="nil"/>
          <w:right w:val="nil"/>
          <w:between w:val="nil"/>
        </w:pBdr>
        <w:contextualSpacing/>
        <w:rPr>
          <w:rFonts w:eastAsia="Palatino Linotype" w:cs="Palatino Linotype"/>
          <w:color w:val="000000"/>
          <w:szCs w:val="24"/>
        </w:rPr>
      </w:pPr>
    </w:p>
    <w:p w14:paraId="6128DFF4" w14:textId="57C6EB76" w:rsidR="00A970D5" w:rsidRDefault="007E0B5E"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Ante la</w:t>
      </w:r>
      <w:r w:rsidR="00A970D5" w:rsidRPr="006922F5">
        <w:rPr>
          <w:rFonts w:eastAsia="Palatino Linotype" w:cs="Palatino Linotype"/>
          <w:color w:val="000000"/>
          <w:szCs w:val="24"/>
        </w:rPr>
        <w:t xml:space="preserve"> respuesta</w:t>
      </w:r>
      <w:r w:rsidRPr="006922F5">
        <w:rPr>
          <w:rFonts w:eastAsia="Palatino Linotype" w:cs="Palatino Linotype"/>
          <w:color w:val="000000"/>
          <w:szCs w:val="24"/>
        </w:rPr>
        <w:t xml:space="preserve"> emitida</w:t>
      </w:r>
      <w:r w:rsidR="00E41D06" w:rsidRPr="006922F5">
        <w:rPr>
          <w:rFonts w:eastAsia="Palatino Linotype" w:cs="Palatino Linotype"/>
          <w:color w:val="000000"/>
          <w:szCs w:val="24"/>
        </w:rPr>
        <w:t xml:space="preserve"> </w:t>
      </w:r>
      <w:r w:rsidR="00B32535" w:rsidRPr="006922F5">
        <w:rPr>
          <w:rFonts w:eastAsia="Palatino Linotype" w:cs="Palatino Linotype"/>
          <w:color w:val="000000"/>
          <w:szCs w:val="24"/>
        </w:rPr>
        <w:t>por el Sujeto Obligado,</w:t>
      </w:r>
      <w:r w:rsidRPr="006922F5">
        <w:rPr>
          <w:rFonts w:eastAsia="Palatino Linotype" w:cs="Palatino Linotype"/>
          <w:color w:val="000000"/>
          <w:szCs w:val="24"/>
        </w:rPr>
        <w:t xml:space="preserve"> </w:t>
      </w:r>
      <w:r w:rsidR="007502BD">
        <w:rPr>
          <w:rFonts w:eastAsia="Palatino Linotype" w:cs="Palatino Linotype"/>
          <w:color w:val="000000"/>
          <w:szCs w:val="24"/>
        </w:rPr>
        <w:t>el</w:t>
      </w:r>
      <w:r w:rsidR="00A970D5" w:rsidRPr="006922F5">
        <w:rPr>
          <w:rFonts w:eastAsia="Palatino Linotype" w:cs="Palatino Linotype"/>
          <w:color w:val="000000"/>
          <w:szCs w:val="24"/>
        </w:rPr>
        <w:t xml:space="preserve"> Recurr</w:t>
      </w:r>
      <w:r w:rsidR="00640056" w:rsidRPr="006922F5">
        <w:rPr>
          <w:rFonts w:eastAsia="Palatino Linotype" w:cs="Palatino Linotype"/>
          <w:color w:val="000000"/>
          <w:szCs w:val="24"/>
        </w:rPr>
        <w:t>e</w:t>
      </w:r>
      <w:r w:rsidR="00A970D5" w:rsidRPr="006922F5">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A42FC0">
        <w:rPr>
          <w:rFonts w:eastAsia="Palatino Linotype" w:cs="Palatino Linotype"/>
          <w:color w:val="000000"/>
          <w:szCs w:val="24"/>
        </w:rPr>
        <w:t xml:space="preserve"> </w:t>
      </w:r>
      <w:r w:rsidR="00DE52F6">
        <w:rPr>
          <w:rFonts w:eastAsia="Palatino Linotype" w:cs="Palatino Linotype"/>
          <w:color w:val="000000"/>
          <w:szCs w:val="24"/>
        </w:rPr>
        <w:t>la entrega de información ilegible, la respuesta a una solicitud por parte de una instancia no consultada sin proporcionar la información requerida y la entrega de información parcial</w:t>
      </w:r>
      <w:r w:rsidR="003A4262">
        <w:rPr>
          <w:rFonts w:eastAsia="Palatino Linotype" w:cs="Palatino Linotype"/>
          <w:color w:val="000000"/>
          <w:szCs w:val="24"/>
        </w:rPr>
        <w:t>; dando como razones o motivos de inconformidad</w:t>
      </w:r>
      <w:r w:rsidR="00DE52F6">
        <w:rPr>
          <w:rFonts w:eastAsia="Palatino Linotype" w:cs="Palatino Linotype"/>
          <w:color w:val="000000"/>
          <w:szCs w:val="24"/>
        </w:rPr>
        <w:t xml:space="preserve"> de manera textual lo siguiente:</w:t>
      </w:r>
    </w:p>
    <w:p w14:paraId="1D24CE00" w14:textId="77777777" w:rsidR="00DE52F6" w:rsidRDefault="00DE52F6" w:rsidP="006922F5">
      <w:pPr>
        <w:pBdr>
          <w:top w:val="nil"/>
          <w:left w:val="nil"/>
          <w:bottom w:val="nil"/>
          <w:right w:val="nil"/>
          <w:between w:val="nil"/>
        </w:pBdr>
        <w:contextualSpacing/>
        <w:rPr>
          <w:rFonts w:eastAsia="Palatino Linotype" w:cs="Palatino Linotype"/>
          <w:color w:val="000000"/>
          <w:szCs w:val="24"/>
        </w:rPr>
      </w:pPr>
    </w:p>
    <w:p w14:paraId="6FB3F378" w14:textId="77777777" w:rsidR="009E2613" w:rsidRDefault="00DE52F6" w:rsidP="009E2613">
      <w:r w:rsidRPr="009E2613">
        <w:rPr>
          <w:b/>
          <w:bCs/>
        </w:rPr>
        <w:lastRenderedPageBreak/>
        <w:t>A la solicitud de "9.- Atlas de incidencia delictiva o documento similar que identifique las zonas de mayor criminalidad del municipio"</w:t>
      </w:r>
      <w:r w:rsidRPr="00DE52F6">
        <w:t xml:space="preserve">, se respondió con unos cuadros ilegibles que corresponden a reportes de incidencia delictiva; solicito que la información sea legible y se especifique a que periodo corresponde cada cuadro. </w:t>
      </w:r>
    </w:p>
    <w:p w14:paraId="671AE36A" w14:textId="77777777" w:rsidR="009E2613" w:rsidRDefault="00DE52F6" w:rsidP="009E2613">
      <w:r w:rsidRPr="009E2613">
        <w:rPr>
          <w:b/>
          <w:bCs/>
        </w:rPr>
        <w:t>A la solicitud "10.- Cantidad desglosada por causas de los procedimientos sancionatorios, amonestaciones o cualquier medida administrativa ejercida contra elementos de la Dirección General de Seguridad y Protección de enero a junio de 2023"</w:t>
      </w:r>
      <w:r w:rsidRPr="00DE52F6">
        <w:t xml:space="preserve">, no se especificaron las causas de las sanciones que resolvió la Comisión de Honor y Justicia, a saber: 24 bajas, 4 suspensiones temporales, 11 resoluciones sin sanción y 1 amonestación. </w:t>
      </w:r>
    </w:p>
    <w:p w14:paraId="13B9A2EE" w14:textId="40A15719" w:rsidR="00DE52F6" w:rsidRDefault="00DE52F6" w:rsidP="009E2613">
      <w:r w:rsidRPr="009E2613">
        <w:rPr>
          <w:b/>
          <w:bCs/>
        </w:rPr>
        <w:t>A la solicitud "12.- Cantidad desglosada por causas de las consignaciones que han hecho los elementos de la Dirección General de Seguridad y Protección de enero a junio de 2023"</w:t>
      </w:r>
      <w:r w:rsidRPr="00DE52F6">
        <w:t xml:space="preserve"> se respondió que "El Personal de la Dirección de sustentabilidad Vial no ha realizado consignaciones" lo que no proporciona la información solicitada, la </w:t>
      </w:r>
      <w:r w:rsidR="009E2613" w:rsidRPr="00DE52F6">
        <w:t>cual</w:t>
      </w:r>
      <w:r w:rsidRPr="00DE52F6">
        <w:t xml:space="preserve"> hace referencia a las consignaciones efectuadas por la Dirección General de Seguridad y Protección, no por las realizadas por la Dirección de Sustentabilidad Vial.</w:t>
      </w:r>
      <w:r>
        <w:t>” (Sic)</w:t>
      </w:r>
    </w:p>
    <w:p w14:paraId="14D036FC" w14:textId="77777777" w:rsidR="00DE52F6" w:rsidRDefault="00DE52F6" w:rsidP="006922F5">
      <w:pPr>
        <w:pBdr>
          <w:top w:val="nil"/>
          <w:left w:val="nil"/>
          <w:bottom w:val="nil"/>
          <w:right w:val="nil"/>
          <w:between w:val="nil"/>
        </w:pBdr>
        <w:contextualSpacing/>
        <w:rPr>
          <w:rFonts w:eastAsia="Palatino Linotype" w:cs="Palatino Linotype"/>
          <w:color w:val="000000"/>
          <w:szCs w:val="24"/>
        </w:rPr>
      </w:pPr>
    </w:p>
    <w:p w14:paraId="564987EB" w14:textId="739BD263" w:rsidR="00EF5FF8" w:rsidRDefault="00216F33" w:rsidP="006922F5">
      <w:pPr>
        <w:pBdr>
          <w:top w:val="nil"/>
          <w:left w:val="nil"/>
          <w:bottom w:val="nil"/>
          <w:right w:val="nil"/>
          <w:between w:val="nil"/>
        </w:pBdr>
        <w:contextualSpacing/>
        <w:rPr>
          <w:rFonts w:eastAsia="Palatino Linotype" w:cs="Palatino Linotype"/>
          <w:szCs w:val="24"/>
        </w:rPr>
      </w:pPr>
      <w:r>
        <w:rPr>
          <w:rFonts w:eastAsia="Palatino Linotype" w:cs="Palatino Linotype"/>
          <w:szCs w:val="24"/>
        </w:rPr>
        <w:t xml:space="preserve">Así, en la etapa de instrucción, el Sujeto Obligado </w:t>
      </w:r>
      <w:r w:rsidR="00490C99">
        <w:rPr>
          <w:rFonts w:eastAsia="Palatino Linotype" w:cs="Palatino Linotype"/>
          <w:szCs w:val="24"/>
        </w:rPr>
        <w:t>rindió su Informe Justificado mediante la presentación</w:t>
      </w:r>
      <w:r w:rsidR="00C10601">
        <w:rPr>
          <w:rFonts w:eastAsia="Palatino Linotype" w:cs="Palatino Linotype"/>
          <w:szCs w:val="24"/>
        </w:rPr>
        <w:t xml:space="preserve"> de</w:t>
      </w:r>
      <w:r w:rsidR="00FC2E6B">
        <w:rPr>
          <w:rFonts w:eastAsia="Palatino Linotype" w:cs="Palatino Linotype"/>
          <w:szCs w:val="24"/>
        </w:rPr>
        <w:t>l documento</w:t>
      </w:r>
      <w:r w:rsidR="00DE52F6">
        <w:rPr>
          <w:rFonts w:eastAsia="Palatino Linotype" w:cs="Palatino Linotype"/>
          <w:szCs w:val="24"/>
        </w:rPr>
        <w:t xml:space="preserve"> denominado </w:t>
      </w:r>
      <w:r w:rsidR="00DE52F6" w:rsidRPr="00DE52F6">
        <w:rPr>
          <w:rFonts w:eastAsia="Palatino Linotype" w:cs="Palatino Linotype"/>
          <w:b/>
          <w:bCs/>
          <w:szCs w:val="24"/>
        </w:rPr>
        <w:t>“RR44660.pdf”</w:t>
      </w:r>
      <w:r w:rsidR="00DE52F6">
        <w:rPr>
          <w:rFonts w:eastAsia="Palatino Linotype" w:cs="Palatino Linotype"/>
          <w:szCs w:val="24"/>
        </w:rPr>
        <w:t>, por medio del cual se informó lo siguiente</w:t>
      </w:r>
      <w:r w:rsidR="00AD7FA9">
        <w:rPr>
          <w:rFonts w:eastAsia="Palatino Linotype" w:cs="Palatino Linotype"/>
          <w:szCs w:val="24"/>
        </w:rPr>
        <w:t xml:space="preserve">: </w:t>
      </w:r>
    </w:p>
    <w:p w14:paraId="6D89F40E" w14:textId="77777777" w:rsidR="00AD7FA9" w:rsidRDefault="00AD7FA9" w:rsidP="006922F5">
      <w:pPr>
        <w:pBdr>
          <w:top w:val="nil"/>
          <w:left w:val="nil"/>
          <w:bottom w:val="nil"/>
          <w:right w:val="nil"/>
          <w:between w:val="nil"/>
        </w:pBdr>
        <w:contextualSpacing/>
        <w:rPr>
          <w:rFonts w:eastAsia="Palatino Linotype" w:cs="Palatino Linotype"/>
          <w:szCs w:val="24"/>
        </w:rPr>
      </w:pPr>
    </w:p>
    <w:p w14:paraId="0F606404" w14:textId="15CCB3F1" w:rsidR="00AD7FA9" w:rsidRPr="004E5BB2" w:rsidRDefault="009E2613" w:rsidP="00FC2E6B">
      <w:pPr>
        <w:pStyle w:val="Prrafodelista"/>
        <w:numPr>
          <w:ilvl w:val="0"/>
          <w:numId w:val="36"/>
        </w:numPr>
        <w:pBdr>
          <w:top w:val="nil"/>
          <w:left w:val="nil"/>
          <w:bottom w:val="nil"/>
          <w:right w:val="nil"/>
          <w:between w:val="nil"/>
        </w:pBdr>
        <w:contextualSpacing/>
        <w:rPr>
          <w:rFonts w:eastAsia="Palatino Linotype" w:cs="Palatino Linotype"/>
        </w:rPr>
      </w:pPr>
      <w:r>
        <w:rPr>
          <w:rFonts w:eastAsia="Palatino Linotype" w:cs="Palatino Linotype"/>
          <w:b/>
          <w:bCs/>
          <w:color w:val="000000"/>
        </w:rPr>
        <w:t>Al punto 9:</w:t>
      </w:r>
      <w:r>
        <w:rPr>
          <w:rFonts w:eastAsia="Palatino Linotype" w:cs="Palatino Linotype"/>
          <w:color w:val="000000"/>
        </w:rPr>
        <w:t xml:space="preserve"> </w:t>
      </w:r>
      <w:r w:rsidR="004E5BB2">
        <w:rPr>
          <w:rFonts w:eastAsia="Palatino Linotype" w:cs="Palatino Linotype"/>
          <w:color w:val="000000"/>
        </w:rPr>
        <w:t xml:space="preserve">Se proporcionó un cuadro con los resultados por delegación respecto de la incidencia de violencia de género, robo de vehículo, robo a comercio, robo a </w:t>
      </w:r>
      <w:r w:rsidR="004E5BB2">
        <w:rPr>
          <w:rFonts w:eastAsia="Palatino Linotype" w:cs="Palatino Linotype"/>
          <w:color w:val="000000"/>
        </w:rPr>
        <w:lastRenderedPageBreak/>
        <w:t>casa habitación, robo a transeúnte y robo a interior de vehículo como se observa, a manera de ejemplo en la siguiente imagen:</w:t>
      </w:r>
    </w:p>
    <w:p w14:paraId="06E00883" w14:textId="148330EF" w:rsidR="004E5BB2" w:rsidRPr="004E5BB2" w:rsidRDefault="004E5BB2" w:rsidP="004E5BB2">
      <w:pPr>
        <w:pBdr>
          <w:top w:val="nil"/>
          <w:left w:val="nil"/>
          <w:bottom w:val="nil"/>
          <w:right w:val="nil"/>
          <w:between w:val="nil"/>
        </w:pBdr>
        <w:contextualSpacing/>
        <w:jc w:val="center"/>
        <w:rPr>
          <w:rFonts w:eastAsia="Palatino Linotype" w:cs="Palatino Linotype"/>
        </w:rPr>
      </w:pPr>
      <w:r>
        <w:rPr>
          <w:rFonts w:eastAsia="Palatino Linotype" w:cs="Palatino Linotype"/>
          <w:noProof/>
          <w:lang w:val="es-MX"/>
        </w:rPr>
        <w:drawing>
          <wp:inline distT="0" distB="0" distL="0" distR="0" wp14:anchorId="07F90683" wp14:editId="16426F63">
            <wp:extent cx="5197033" cy="3178650"/>
            <wp:effectExtent l="0" t="0" r="0" b="0"/>
            <wp:docPr id="2742190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19006" name="Imagen 274219006"/>
                    <pic:cNvPicPr/>
                  </pic:nvPicPr>
                  <pic:blipFill>
                    <a:blip r:embed="rId10">
                      <a:extLst>
                        <a:ext uri="{28A0092B-C50C-407E-A947-70E740481C1C}">
                          <a14:useLocalDpi xmlns:a14="http://schemas.microsoft.com/office/drawing/2010/main" val="0"/>
                        </a:ext>
                      </a:extLst>
                    </a:blip>
                    <a:stretch>
                      <a:fillRect/>
                    </a:stretch>
                  </pic:blipFill>
                  <pic:spPr>
                    <a:xfrm>
                      <a:off x="0" y="0"/>
                      <a:ext cx="5216579" cy="3190605"/>
                    </a:xfrm>
                    <a:prstGeom prst="rect">
                      <a:avLst/>
                    </a:prstGeom>
                  </pic:spPr>
                </pic:pic>
              </a:graphicData>
            </a:graphic>
          </wp:inline>
        </w:drawing>
      </w:r>
    </w:p>
    <w:p w14:paraId="44949BFE" w14:textId="71B72E63" w:rsidR="009E2613" w:rsidRPr="009E2613" w:rsidRDefault="009E2613" w:rsidP="00FC2E6B">
      <w:pPr>
        <w:pStyle w:val="Prrafodelista"/>
        <w:numPr>
          <w:ilvl w:val="0"/>
          <w:numId w:val="36"/>
        </w:numPr>
        <w:pBdr>
          <w:top w:val="nil"/>
          <w:left w:val="nil"/>
          <w:bottom w:val="nil"/>
          <w:right w:val="nil"/>
          <w:between w:val="nil"/>
        </w:pBdr>
        <w:contextualSpacing/>
        <w:rPr>
          <w:rFonts w:eastAsia="Palatino Linotype" w:cs="Palatino Linotype"/>
        </w:rPr>
      </w:pPr>
      <w:r>
        <w:rPr>
          <w:rFonts w:eastAsia="Palatino Linotype" w:cs="Palatino Linotype"/>
          <w:b/>
          <w:bCs/>
          <w:color w:val="000000"/>
        </w:rPr>
        <w:t>Al punto 10:</w:t>
      </w:r>
      <w:r>
        <w:rPr>
          <w:rFonts w:eastAsia="Palatino Linotype" w:cs="Palatino Linotype"/>
          <w:color w:val="000000"/>
        </w:rPr>
        <w:t xml:space="preserve"> </w:t>
      </w:r>
      <w:r w:rsidR="004E5BB2">
        <w:rPr>
          <w:rFonts w:eastAsia="Palatino Linotype" w:cs="Palatino Linotype"/>
          <w:color w:val="000000"/>
        </w:rPr>
        <w:t>Se amplió la respuesta y se informó que las causas de las sanciones impuestas por la Comisión de Honor y Justicia fueron las siguientes: a) de las 24 bajas, 22 se dieron por incumplimiento al régimen de permanencia (faltas a la servicio sin causa justificada) y 2 por incumplimiento al régimen disciplinario contemplado en el artículo 100, apartado B; b) las 4 suspensiones por faltas al régimen disciplinario; c) la resolución sin sanción es relativa al régimen disciplinario y de permanencia; y, d) la amonestación es relativa al régimen disciplinario.</w:t>
      </w:r>
    </w:p>
    <w:p w14:paraId="272C6300" w14:textId="2C49F1BF" w:rsidR="009E2613" w:rsidRDefault="009E2613" w:rsidP="00FC2E6B">
      <w:pPr>
        <w:pStyle w:val="Prrafodelista"/>
        <w:numPr>
          <w:ilvl w:val="0"/>
          <w:numId w:val="36"/>
        </w:numPr>
        <w:pBdr>
          <w:top w:val="nil"/>
          <w:left w:val="nil"/>
          <w:bottom w:val="nil"/>
          <w:right w:val="nil"/>
          <w:between w:val="nil"/>
        </w:pBdr>
        <w:contextualSpacing/>
        <w:rPr>
          <w:rFonts w:eastAsia="Palatino Linotype" w:cs="Palatino Linotype"/>
        </w:rPr>
      </w:pPr>
      <w:r>
        <w:rPr>
          <w:rFonts w:eastAsia="Palatino Linotype" w:cs="Palatino Linotype"/>
          <w:b/>
          <w:bCs/>
          <w:color w:val="000000"/>
        </w:rPr>
        <w:t>Al punto 12:</w:t>
      </w:r>
      <w:r>
        <w:rPr>
          <w:rFonts w:eastAsia="Palatino Linotype" w:cs="Palatino Linotype"/>
          <w:color w:val="000000"/>
        </w:rPr>
        <w:t xml:space="preserve"> </w:t>
      </w:r>
      <w:r w:rsidR="007F53ED">
        <w:rPr>
          <w:rFonts w:eastAsia="Palatino Linotype" w:cs="Palatino Linotype"/>
          <w:color w:val="000000"/>
        </w:rPr>
        <w:t>Se informó que la Dirección General de Seguridad y Protección no realiza consignaciones, por lo que se está frente a un hecho negativo, dado que no se genera, posee y administra la información requerida.</w:t>
      </w:r>
    </w:p>
    <w:p w14:paraId="21D32E8C" w14:textId="77777777" w:rsidR="00FC2E6B" w:rsidRDefault="00FC2E6B" w:rsidP="006922F5">
      <w:pPr>
        <w:pBdr>
          <w:top w:val="nil"/>
          <w:left w:val="nil"/>
          <w:bottom w:val="nil"/>
          <w:right w:val="nil"/>
          <w:between w:val="nil"/>
        </w:pBdr>
        <w:contextualSpacing/>
        <w:rPr>
          <w:rFonts w:eastAsia="Palatino Linotype" w:cs="Palatino Linotype"/>
          <w:color w:val="000000"/>
          <w:szCs w:val="24"/>
        </w:rPr>
      </w:pPr>
    </w:p>
    <w:p w14:paraId="7FE9A63F" w14:textId="58D83016" w:rsidR="00AD7FA9" w:rsidRDefault="00F82913"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su parte, el Recurrente no emitió manifestaciones, vertió alegatos ni presentó pruebas que a su derecho convinieran; asimismo, tampoco realizó pronunciamiento alguno respecto del Informe Justificado rendido por el Sujeto Obligado.</w:t>
      </w:r>
    </w:p>
    <w:p w14:paraId="198E1D48" w14:textId="77777777" w:rsidR="001602ED" w:rsidRDefault="001602ED" w:rsidP="006922F5">
      <w:pPr>
        <w:pBdr>
          <w:top w:val="nil"/>
          <w:left w:val="nil"/>
          <w:bottom w:val="nil"/>
          <w:right w:val="nil"/>
          <w:between w:val="nil"/>
        </w:pBdr>
        <w:contextualSpacing/>
        <w:rPr>
          <w:rFonts w:eastAsia="Palatino Linotype" w:cs="Palatino Linotype"/>
          <w:color w:val="000000"/>
          <w:szCs w:val="24"/>
        </w:rPr>
      </w:pPr>
    </w:p>
    <w:p w14:paraId="2195829A"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r w:rsidRPr="00286AA3">
        <w:rPr>
          <w:rFonts w:eastAsia="Palatino Linotype" w:cs="Palatino Linotype"/>
          <w:color w:val="000000"/>
          <w:szCs w:val="24"/>
        </w:rPr>
        <w:t>Así, una vez descritas las actuaciones en el expediente del recurso de revisión, es pertinente enfatizar lo que, respecto al derecho de acceso a la información pública, refiere el artículo 6° de la Constitución Política de los Estados Unidos Mexicanos, que en su parte conducente señala:</w:t>
      </w:r>
    </w:p>
    <w:p w14:paraId="7FC00790"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p>
    <w:p w14:paraId="04EF134E"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b/>
          <w:bCs/>
          <w:i/>
          <w:iCs/>
          <w:color w:val="000000" w:themeColor="text1"/>
          <w:sz w:val="22"/>
          <w:lang w:val="es-ES"/>
        </w:rPr>
        <w:t>Artículo 6o.</w:t>
      </w:r>
      <w:r w:rsidRPr="00286AA3">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86AA3">
        <w:rPr>
          <w:rFonts w:eastAsia="Palatino Linotype" w:cs="Palatino Linotype"/>
          <w:b/>
          <w:bCs/>
          <w:i/>
          <w:iCs/>
          <w:color w:val="000000" w:themeColor="text1"/>
          <w:sz w:val="22"/>
          <w:lang w:val="es-ES"/>
        </w:rPr>
        <w:t>El derecho a la información será garantizado por el Estado.</w:t>
      </w:r>
      <w:r w:rsidRPr="00286AA3">
        <w:rPr>
          <w:rFonts w:eastAsia="Palatino Linotype" w:cs="Palatino Linotype"/>
          <w:i/>
          <w:iCs/>
          <w:color w:val="000000" w:themeColor="text1"/>
          <w:sz w:val="22"/>
          <w:lang w:val="es-ES"/>
        </w:rPr>
        <w:t xml:space="preserve"> </w:t>
      </w:r>
    </w:p>
    <w:p w14:paraId="62C451B4"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07F5357"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Toda persona tiene derecho al libre acceso a información plural y oportuna, así como a buscar, recibir y difundir información e ideas de toda índole por cualquier medio de expresión.</w:t>
      </w:r>
    </w:p>
    <w:p w14:paraId="4FACE820"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7520451"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Para efectos de lo dispuesto en el presente artículo se observará lo siguiente:</w:t>
      </w:r>
    </w:p>
    <w:p w14:paraId="607C7875"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22602F6"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A. Para el ejercicio del derecho de acceso a la información, la Federación, los Estados y el Distrito Federal, en el ámbito de sus respectivas competencias, se regirán por los siguientes principios y bases:</w:t>
      </w:r>
    </w:p>
    <w:p w14:paraId="274C64C5"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8C2A565"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b/>
          <w:bCs/>
          <w:i/>
          <w:iCs/>
          <w:color w:val="000000" w:themeColor="text1"/>
          <w:sz w:val="22"/>
          <w:lang w:val="es-ES"/>
        </w:rPr>
        <w:t>I. Toda la información en posesión de</w:t>
      </w:r>
      <w:r w:rsidRPr="00286AA3">
        <w:rPr>
          <w:rFonts w:eastAsia="Palatino Linotype" w:cs="Palatino Linotype"/>
          <w:i/>
          <w:iCs/>
          <w:color w:val="000000" w:themeColor="text1"/>
          <w:sz w:val="22"/>
          <w:lang w:val="es-ES"/>
        </w:rPr>
        <w:t xml:space="preserve"> </w:t>
      </w:r>
      <w:r w:rsidRPr="00286AA3">
        <w:rPr>
          <w:rFonts w:eastAsia="Palatino Linotype" w:cs="Palatino Linotype"/>
          <w:b/>
          <w:bCs/>
          <w:i/>
          <w:iCs/>
          <w:color w:val="000000" w:themeColor="text1"/>
          <w:sz w:val="22"/>
          <w:lang w:val="es-ES"/>
        </w:rPr>
        <w:t>cualquier autoridad</w:t>
      </w:r>
      <w:r w:rsidRPr="00286AA3">
        <w:rPr>
          <w:rFonts w:eastAsia="Palatino Linotype" w:cs="Palatino Linotype"/>
          <w:i/>
          <w:iCs/>
          <w:color w:val="000000" w:themeColor="text1"/>
          <w:sz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286AA3">
        <w:rPr>
          <w:rFonts w:eastAsia="Palatino Linotype" w:cs="Palatino Linotype"/>
          <w:b/>
          <w:bCs/>
          <w:i/>
          <w:iCs/>
          <w:color w:val="000000" w:themeColor="text1"/>
          <w:sz w:val="22"/>
          <w:lang w:val="es-ES"/>
        </w:rPr>
        <w:t>en el ámbito federal, estatal y municipal, es pública</w:t>
      </w:r>
      <w:r w:rsidRPr="00286AA3">
        <w:rPr>
          <w:rFonts w:eastAsia="Palatino Linotype" w:cs="Palatino Linotype"/>
          <w:i/>
          <w:iCs/>
          <w:color w:val="000000" w:themeColor="text1"/>
          <w:sz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00286AA3">
        <w:rPr>
          <w:rFonts w:eastAsia="Palatino Linotype" w:cs="Palatino Linotype"/>
          <w:b/>
          <w:bCs/>
          <w:i/>
          <w:iCs/>
          <w:color w:val="000000" w:themeColor="text1"/>
          <w:sz w:val="22"/>
          <w:lang w:val="es-ES"/>
        </w:rPr>
        <w:t xml:space="preserve">Los sujetos obligados deberán </w:t>
      </w:r>
      <w:r w:rsidRPr="00286AA3">
        <w:rPr>
          <w:rFonts w:eastAsia="Palatino Linotype" w:cs="Palatino Linotype"/>
          <w:b/>
          <w:bCs/>
          <w:i/>
          <w:iCs/>
          <w:color w:val="000000" w:themeColor="text1"/>
          <w:sz w:val="22"/>
          <w:lang w:val="es-ES"/>
        </w:rPr>
        <w:lastRenderedPageBreak/>
        <w:t>documentar todo acto que derive del ejercicio de sus facultades, competencias o funciones</w:t>
      </w:r>
      <w:r w:rsidRPr="00286AA3">
        <w:rPr>
          <w:rFonts w:eastAsia="Palatino Linotype" w:cs="Palatino Linotype"/>
          <w:i/>
          <w:iCs/>
          <w:color w:val="000000" w:themeColor="text1"/>
          <w:sz w:val="22"/>
          <w:lang w:val="es-ES"/>
        </w:rPr>
        <w:t>, la ley determinará los supuestos específicos bajo los cuales procederá la declaración de inexistencia de la información.</w:t>
      </w:r>
    </w:p>
    <w:p w14:paraId="1E4FE6A4"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II. La información que se refiere a la vida privada y los datos personales será protegida en los términos y con las excepciones que fijen las leyes.</w:t>
      </w:r>
    </w:p>
    <w:p w14:paraId="7A4FD7F9"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641D66B6"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IV.   Se establecerán mecanismos de acceso a la información y procedimientos de revisión expeditos que se sustanciarán ante los organismos autónomos especializados e imparciales que establece esta Constitución.</w:t>
      </w:r>
    </w:p>
    <w:p w14:paraId="56FA4CAD"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b/>
          <w:bCs/>
          <w:i/>
          <w:iCs/>
          <w:color w:val="000000" w:themeColor="text1"/>
          <w:sz w:val="22"/>
          <w:lang w:val="es-ES"/>
        </w:rPr>
        <w:t>V. Los sujetos obligados deberán preservar sus documentos en archivos administrativos actualizados y publicarán, a través de los medios electrónicos disponibles</w:t>
      </w:r>
      <w:r w:rsidRPr="00286AA3">
        <w:rPr>
          <w:rFonts w:eastAsia="Palatino Linotype" w:cs="Palatino Linotype"/>
          <w:i/>
          <w:iCs/>
          <w:color w:val="000000" w:themeColor="text1"/>
          <w:sz w:val="22"/>
          <w:lang w:val="es-ES"/>
        </w:rPr>
        <w:t xml:space="preserve">, </w:t>
      </w:r>
      <w:r w:rsidRPr="00286AA3">
        <w:rPr>
          <w:rFonts w:eastAsia="Palatino Linotype" w:cs="Palatino Linotype"/>
          <w:b/>
          <w:bCs/>
          <w:i/>
          <w:iCs/>
          <w:color w:val="000000" w:themeColor="text1"/>
          <w:sz w:val="22"/>
          <w:lang w:val="es-ES"/>
        </w:rPr>
        <w:t xml:space="preserve">la información completa y actualizada sobre el ejercicio de los recursos públicos </w:t>
      </w:r>
      <w:r w:rsidRPr="00286AA3">
        <w:rPr>
          <w:rFonts w:eastAsia="Palatino Linotype" w:cs="Palatino Linotype"/>
          <w:i/>
          <w:iCs/>
          <w:color w:val="000000" w:themeColor="text1"/>
          <w:sz w:val="22"/>
          <w:lang w:val="es-ES"/>
        </w:rPr>
        <w:t>y los indicadores que permitan rendir cuenta del cumplimiento de sus objetivos y de los resultados obtenidos.</w:t>
      </w:r>
    </w:p>
    <w:p w14:paraId="5B5C6CA7"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03C11A6A"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VII. La inobservancia a las disposiciones en materia de acceso a la información pública será sancionada en los términos que dispongan las leyes.</w:t>
      </w:r>
    </w:p>
    <w:p w14:paraId="221EFC86"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9CA5402"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w:t>
      </w:r>
    </w:p>
    <w:p w14:paraId="02059477"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La ley establecerá aquella información que se considere reservada o confidencial.</w:t>
      </w:r>
    </w:p>
    <w:p w14:paraId="2B1D5480"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 w:val="22"/>
          <w:lang w:val="es-ES"/>
        </w:rPr>
      </w:pPr>
    </w:p>
    <w:p w14:paraId="1F3F7FFB"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r w:rsidRPr="00286AA3">
        <w:rPr>
          <w:rFonts w:eastAsia="Palatino Linotype" w:cs="Palatino Linotype"/>
          <w:color w:val="000000"/>
          <w:szCs w:val="24"/>
        </w:rPr>
        <w:t>Por su parte, la Constitución Política del Estado Libre y Soberano de México, en su artículo 5°, dispone en su parte conducente, lo siguiente:</w:t>
      </w:r>
    </w:p>
    <w:p w14:paraId="621D839E"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p>
    <w:p w14:paraId="214F3086"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b/>
          <w:bCs/>
          <w:i/>
          <w:iCs/>
          <w:color w:val="000000" w:themeColor="text1"/>
          <w:sz w:val="22"/>
          <w:lang w:val="es-ES"/>
        </w:rPr>
        <w:t>Artículo 5</w:t>
      </w:r>
      <w:r w:rsidRPr="00286AA3">
        <w:rPr>
          <w:rFonts w:eastAsia="Palatino Linotype" w:cs="Palatino Linotype"/>
          <w:i/>
          <w:iCs/>
          <w:color w:val="000000" w:themeColor="text1"/>
          <w:sz w:val="22"/>
          <w:lang w:val="es-ES"/>
        </w:rPr>
        <w:t xml:space="preserve">. … </w:t>
      </w:r>
    </w:p>
    <w:p w14:paraId="76053C46"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41E64117"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95BEC58"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686AF68"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4803EE8A"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Este derecho se regirá por los principios y bases siguientes:</w:t>
      </w:r>
    </w:p>
    <w:p w14:paraId="59E30217"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74D42403"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768A5E"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3A6F49E"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57031B47"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IV. Se establecerán mecanismos de acceso a la información y procedimientos de revisión expeditos que se sustanciarán ante el organismo autónomo especializado e imparcial que establece esta Constitución.</w:t>
      </w:r>
    </w:p>
    <w:p w14:paraId="2D3A5061"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12A6E0F"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3CD009A" w14:textId="77777777" w:rsidR="00286AA3" w:rsidRPr="00286AA3"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286AA3">
        <w:rPr>
          <w:rFonts w:eastAsia="Palatino Linotype" w:cs="Palatino Linotype"/>
          <w:i/>
          <w:iCs/>
          <w:color w:val="000000" w:themeColor="text1"/>
          <w:sz w:val="22"/>
          <w:lang w:val="es-ES"/>
        </w:rPr>
        <w:lastRenderedPageBreak/>
        <w:t>VII. La ley reglamentaria, determinará la manera en que los sujetos obligados deberán hacer pública la información relativa a los recursos públicos que entreguen a personas físicas o jurídicas colectivas.</w:t>
      </w:r>
    </w:p>
    <w:p w14:paraId="2A9CF4E7"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p>
    <w:p w14:paraId="626C1D67" w14:textId="4363368E" w:rsidR="00286AA3" w:rsidRPr="00286AA3" w:rsidRDefault="00286AA3" w:rsidP="00286AA3">
      <w:pPr>
        <w:rPr>
          <w:rFonts w:eastAsia="Palatino Linotype" w:cs="Palatino Linotype"/>
          <w:szCs w:val="24"/>
        </w:rPr>
      </w:pPr>
      <w:r w:rsidRPr="00286AA3">
        <w:rPr>
          <w:rFonts w:eastAsia="Palatino Linotype" w:cs="Palatino Linotype"/>
          <w:szCs w:val="24"/>
        </w:rPr>
        <w:t>En ese orden de ideas, la Ley de Transparencia y Acceso a la Información Pública del Estado de México y Municipios, prevé en su artículo 23 fracción I</w:t>
      </w:r>
      <w:r w:rsidR="008240F4">
        <w:rPr>
          <w:rFonts w:eastAsia="Palatino Linotype" w:cs="Palatino Linotype"/>
          <w:szCs w:val="24"/>
        </w:rPr>
        <w:t>V</w:t>
      </w:r>
      <w:r w:rsidRPr="00286AA3">
        <w:rPr>
          <w:rFonts w:eastAsia="Palatino Linotype" w:cs="Palatino Linotype"/>
          <w:szCs w:val="24"/>
        </w:rPr>
        <w:t>, lo siguiente:</w:t>
      </w:r>
    </w:p>
    <w:p w14:paraId="68B0F04D" w14:textId="77777777" w:rsidR="00286AA3" w:rsidRPr="00286AA3" w:rsidRDefault="00286AA3" w:rsidP="00286AA3">
      <w:pPr>
        <w:rPr>
          <w:rFonts w:eastAsia="Palatino Linotype" w:cs="Palatino Linotype"/>
          <w:szCs w:val="24"/>
        </w:rPr>
      </w:pPr>
    </w:p>
    <w:p w14:paraId="66FFABC9" w14:textId="77777777" w:rsidR="00286AA3" w:rsidRPr="00286AA3" w:rsidRDefault="00286AA3" w:rsidP="00286AA3">
      <w:pPr>
        <w:spacing w:line="240" w:lineRule="auto"/>
        <w:ind w:left="567" w:right="567"/>
        <w:rPr>
          <w:rFonts w:eastAsia="Palatino Linotype" w:cs="Palatino Linotype"/>
          <w:i/>
          <w:iCs/>
          <w:sz w:val="22"/>
          <w:lang w:val="es-ES"/>
        </w:rPr>
      </w:pPr>
      <w:r w:rsidRPr="00286AA3">
        <w:rPr>
          <w:rFonts w:eastAsia="Palatino Linotype" w:cs="Palatino Linotype"/>
          <w:b/>
          <w:bCs/>
          <w:i/>
          <w:iCs/>
          <w:sz w:val="22"/>
          <w:lang w:val="es-ES"/>
        </w:rPr>
        <w:t>Artículo 23.</w:t>
      </w:r>
      <w:r w:rsidRPr="00286AA3">
        <w:rPr>
          <w:rFonts w:eastAsia="Palatino Linotype" w:cs="Palatino Linotype"/>
          <w:i/>
          <w:iCs/>
          <w:sz w:val="22"/>
          <w:lang w:val="es-ES"/>
        </w:rPr>
        <w:t xml:space="preserve"> Son sujetos obligados a transparentar y permitir el acceso a su información y proteger los datos personales que obren en su poder:</w:t>
      </w:r>
    </w:p>
    <w:p w14:paraId="796E3AD9" w14:textId="14F78E23" w:rsidR="00286AA3" w:rsidRPr="00286AA3" w:rsidRDefault="008240F4" w:rsidP="00286AA3">
      <w:pPr>
        <w:spacing w:line="240" w:lineRule="auto"/>
        <w:ind w:left="567" w:right="567"/>
        <w:rPr>
          <w:rFonts w:eastAsia="Palatino Linotype" w:cs="Palatino Linotype"/>
          <w:i/>
          <w:iCs/>
          <w:sz w:val="22"/>
          <w:lang w:val="es-ES"/>
        </w:rPr>
      </w:pPr>
      <w:r>
        <w:rPr>
          <w:rFonts w:eastAsia="Palatino Linotype" w:cs="Palatino Linotype"/>
          <w:i/>
          <w:iCs/>
          <w:sz w:val="22"/>
          <w:lang w:val="es-ES"/>
        </w:rPr>
        <w:t>(…)</w:t>
      </w:r>
    </w:p>
    <w:p w14:paraId="14D48834" w14:textId="1BC45548" w:rsidR="00286AA3" w:rsidRPr="00286AA3" w:rsidRDefault="00286AA3" w:rsidP="00286AA3">
      <w:pPr>
        <w:spacing w:line="240" w:lineRule="auto"/>
        <w:ind w:left="567" w:right="567"/>
        <w:rPr>
          <w:rFonts w:eastAsia="Palatino Linotype" w:cs="Palatino Linotype"/>
          <w:i/>
          <w:iCs/>
          <w:sz w:val="22"/>
          <w:lang w:val="es-ES"/>
        </w:rPr>
      </w:pPr>
      <w:r w:rsidRPr="00286AA3">
        <w:rPr>
          <w:rFonts w:eastAsia="Palatino Linotype" w:cs="Palatino Linotype"/>
          <w:b/>
          <w:bCs/>
          <w:i/>
          <w:iCs/>
          <w:sz w:val="22"/>
          <w:lang w:val="es-ES"/>
        </w:rPr>
        <w:t>I</w:t>
      </w:r>
      <w:r w:rsidR="008240F4">
        <w:rPr>
          <w:rFonts w:eastAsia="Palatino Linotype" w:cs="Palatino Linotype"/>
          <w:b/>
          <w:bCs/>
          <w:i/>
          <w:iCs/>
          <w:sz w:val="22"/>
          <w:lang w:val="es-ES"/>
        </w:rPr>
        <w:t>V</w:t>
      </w:r>
      <w:r w:rsidRPr="00286AA3">
        <w:rPr>
          <w:rFonts w:eastAsia="Palatino Linotype" w:cs="Palatino Linotype"/>
          <w:b/>
          <w:bCs/>
          <w:i/>
          <w:iCs/>
          <w:sz w:val="22"/>
          <w:lang w:val="es-ES"/>
        </w:rPr>
        <w:t>.</w:t>
      </w:r>
      <w:r w:rsidR="008240F4">
        <w:rPr>
          <w:rFonts w:eastAsia="Palatino Linotype" w:cs="Palatino Linotype"/>
          <w:i/>
          <w:iCs/>
          <w:sz w:val="22"/>
          <w:lang w:val="es-ES"/>
        </w:rPr>
        <w:t xml:space="preserve"> Los</w:t>
      </w:r>
      <w:r w:rsidRPr="00286AA3">
        <w:rPr>
          <w:rFonts w:eastAsia="Palatino Linotype" w:cs="Palatino Linotype"/>
          <w:i/>
          <w:iCs/>
          <w:sz w:val="22"/>
          <w:lang w:val="es-ES"/>
        </w:rPr>
        <w:t xml:space="preserve"> </w:t>
      </w:r>
      <w:r w:rsidR="008240F4" w:rsidRPr="008240F4">
        <w:rPr>
          <w:rFonts w:eastAsia="Palatino Linotype" w:cs="Palatino Linotype"/>
          <w:i/>
          <w:iCs/>
          <w:sz w:val="22"/>
          <w:lang w:val="es-ES"/>
        </w:rPr>
        <w:t>ayuntamientos y las dependencias, organismos, órganos y entidades de la administración municipal</w:t>
      </w:r>
      <w:r w:rsidRPr="00286AA3">
        <w:rPr>
          <w:rFonts w:eastAsia="Palatino Linotype" w:cs="Palatino Linotype"/>
          <w:i/>
          <w:iCs/>
          <w:sz w:val="22"/>
          <w:lang w:val="es-ES"/>
        </w:rPr>
        <w:t>;</w:t>
      </w:r>
    </w:p>
    <w:p w14:paraId="3879DFA0" w14:textId="77777777" w:rsidR="00286AA3" w:rsidRPr="00286AA3" w:rsidRDefault="00286AA3" w:rsidP="00286AA3">
      <w:pPr>
        <w:spacing w:line="240" w:lineRule="auto"/>
        <w:ind w:left="567" w:right="567"/>
        <w:rPr>
          <w:rFonts w:eastAsia="Palatino Linotype" w:cs="Palatino Linotype"/>
          <w:i/>
          <w:iCs/>
          <w:sz w:val="22"/>
          <w:lang w:val="es-ES"/>
        </w:rPr>
      </w:pPr>
      <w:r w:rsidRPr="00286AA3">
        <w:rPr>
          <w:rFonts w:eastAsia="Palatino Linotype" w:cs="Palatino Linotype"/>
          <w:i/>
          <w:iCs/>
          <w:sz w:val="22"/>
          <w:lang w:val="es-ES"/>
        </w:rPr>
        <w:t>(…)</w:t>
      </w:r>
    </w:p>
    <w:p w14:paraId="3684C176"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p>
    <w:p w14:paraId="1DFE9885"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r w:rsidRPr="00286AA3">
        <w:rPr>
          <w:rFonts w:eastAsia="Palatino Linotype" w:cs="Palatino Linotype"/>
          <w:color w:val="000000"/>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4B2DF930" w14:textId="77777777" w:rsidR="00286AA3" w:rsidRPr="00286AA3" w:rsidRDefault="00286AA3" w:rsidP="00286AA3">
      <w:pPr>
        <w:pBdr>
          <w:top w:val="nil"/>
          <w:left w:val="nil"/>
          <w:bottom w:val="nil"/>
          <w:right w:val="nil"/>
          <w:between w:val="nil"/>
        </w:pBdr>
        <w:contextualSpacing/>
        <w:rPr>
          <w:rFonts w:eastAsia="Palatino Linotype" w:cs="Palatino Linotype"/>
          <w:color w:val="000000"/>
          <w:szCs w:val="24"/>
        </w:rPr>
      </w:pPr>
    </w:p>
    <w:p w14:paraId="7CA4DE14" w14:textId="11E2559F" w:rsidR="00DC2DA1" w:rsidRPr="00EB09B7" w:rsidRDefault="00286AA3" w:rsidP="00DC2DA1">
      <w:pPr>
        <w:contextualSpacing/>
        <w:rPr>
          <w:rFonts w:eastAsia="Palatino Linotype" w:cs="Palatino Linotype"/>
          <w:szCs w:val="24"/>
        </w:rPr>
      </w:pPr>
      <w:r w:rsidRPr="00286AA3">
        <w:t>En segundo término</w:t>
      </w:r>
      <w:r w:rsidR="00B97B0E">
        <w:t xml:space="preserve">, </w:t>
      </w:r>
      <w:r w:rsidR="000D422C">
        <w:t xml:space="preserve">se debe señalar </w:t>
      </w:r>
      <w:r w:rsidR="00DC2DA1">
        <w:t xml:space="preserve">que el Recurrente únicamente expresó su inconformidad ante </w:t>
      </w:r>
      <w:r w:rsidR="00390468">
        <w:t>las respuestas emitidas por el Sujeto Obligado a los puntos 9, 10 y 12 de la solicitud, sin</w:t>
      </w:r>
      <w:r w:rsidR="00DC2DA1">
        <w:t xml:space="preserve"> expresar ningún agravio respecto de</w:t>
      </w:r>
      <w:r w:rsidR="00390468">
        <w:t xml:space="preserve"> las respuestas a los puntos 1, 2, 3, 4, 5, 6, 7 y 8</w:t>
      </w:r>
      <w:r w:rsidR="00DC2DA1">
        <w:t xml:space="preserve">; por tanto, se debe entender que el particular </w:t>
      </w:r>
      <w:r w:rsidR="00DC2DA1" w:rsidRPr="00B10D6C">
        <w:rPr>
          <w:rStyle w:val="SinespaciadoCar"/>
          <w:rFonts w:eastAsia="Calibri"/>
        </w:rPr>
        <w:t>consintió parcialmente la respuesta</w:t>
      </w:r>
      <w:r w:rsidR="00DC2DA1">
        <w:t xml:space="preserve">. </w:t>
      </w:r>
      <w:r w:rsidR="00DC2DA1" w:rsidRPr="00EB09B7">
        <w:rPr>
          <w:rFonts w:eastAsia="Times New Roman" w:cs="Times New Roman"/>
          <w:color w:val="000000"/>
          <w:szCs w:val="24"/>
        </w:rPr>
        <w:t xml:space="preserve">Lo anterior es así debido a que cuando un solicitante no expresa razón o motivo de inconformidad en contra de todos los rubros de la respuesta que pudieran ser un agravio a su derecho, los mismos deben estimarse atendidos. Sirve de apoyo a lo </w:t>
      </w:r>
      <w:r w:rsidR="00DC2DA1" w:rsidRPr="00EB09B7">
        <w:rPr>
          <w:rFonts w:eastAsia="Times New Roman" w:cs="Times New Roman"/>
          <w:color w:val="000000"/>
          <w:szCs w:val="24"/>
        </w:rPr>
        <w:lastRenderedPageBreak/>
        <w:t>anterior, por analogía, la Tesis Jurisprudencial Número 3ª./J.7/91, publicada en el Semanario Judicial de la Federación y su Gaceta bajo el número de registro 174177, que establece lo siguiente:</w:t>
      </w:r>
    </w:p>
    <w:p w14:paraId="5BE8A4DE" w14:textId="77777777" w:rsidR="00DC2DA1" w:rsidRPr="00EB09B7" w:rsidRDefault="00DC2DA1" w:rsidP="00DC2DA1">
      <w:pPr>
        <w:rPr>
          <w:rFonts w:eastAsia="Times New Roman" w:cs="Times New Roman"/>
          <w:szCs w:val="24"/>
        </w:rPr>
      </w:pPr>
    </w:p>
    <w:p w14:paraId="0709BF61" w14:textId="77777777" w:rsidR="00DC2DA1" w:rsidRPr="00EB09B7" w:rsidRDefault="00DC2DA1" w:rsidP="00DC2DA1">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B09B7">
        <w:rPr>
          <w:rFonts w:eastAsia="Palatino Linotype" w:cs="Palatino Linotype"/>
          <w:b/>
          <w:bCs/>
          <w:i/>
          <w:color w:val="000000"/>
          <w:sz w:val="22"/>
          <w:szCs w:val="24"/>
        </w:rPr>
        <w:t>REVISIÓN EN AMPARO. LOS RESOLUTIVOS NO COMBATIDOS DEBEN DECLARARSE FIRMES. </w:t>
      </w:r>
    </w:p>
    <w:p w14:paraId="1BFFA0D7" w14:textId="77777777" w:rsidR="00DC2DA1" w:rsidRPr="00EB09B7" w:rsidRDefault="00DC2DA1" w:rsidP="00DC2DA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B09B7">
        <w:rPr>
          <w:rFonts w:eastAsia="Palatino Linotype" w:cs="Palatino Linotype"/>
          <w:i/>
          <w:color w:val="000000"/>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8CA1F37" w14:textId="77777777" w:rsidR="00DC2DA1" w:rsidRPr="00EB09B7" w:rsidRDefault="00DC2DA1" w:rsidP="00DC2DA1">
      <w:pPr>
        <w:rPr>
          <w:rFonts w:eastAsia="Times New Roman" w:cs="Times New Roman"/>
          <w:szCs w:val="24"/>
        </w:rPr>
      </w:pPr>
    </w:p>
    <w:p w14:paraId="3D1C42EB" w14:textId="77777777" w:rsidR="00DC2DA1" w:rsidRPr="00EB09B7" w:rsidRDefault="00DC2DA1" w:rsidP="00DC2DA1">
      <w:pPr>
        <w:rPr>
          <w:rFonts w:eastAsia="Times New Roman" w:cs="Times New Roman"/>
          <w:szCs w:val="24"/>
        </w:rPr>
      </w:pPr>
      <w:r w:rsidRPr="00EB09B7">
        <w:rPr>
          <w:rFonts w:eastAsia="Times New Roman" w:cs="Times New Roman"/>
          <w:color w:val="000000"/>
          <w:szCs w:val="24"/>
        </w:rPr>
        <w:t xml:space="preserve">Así, la parte de la solicitud sobre la que no se expresó inconformidad, debe declararse consentida por </w:t>
      </w:r>
      <w:r>
        <w:rPr>
          <w:rFonts w:eastAsia="Times New Roman" w:cs="Times New Roman"/>
          <w:color w:val="000000"/>
          <w:szCs w:val="24"/>
        </w:rPr>
        <w:t>la</w:t>
      </w:r>
      <w:r w:rsidRPr="00EB09B7">
        <w:rPr>
          <w:rFonts w:eastAsia="Times New Roman" w:cs="Times New Roman"/>
          <w:color w:val="000000"/>
          <w:szCs w:val="24"/>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eastAsia="Times New Roman" w:cs="Times New Roman"/>
          <w:color w:val="000000"/>
          <w:szCs w:val="24"/>
        </w:rPr>
        <w:t xml:space="preserve"> </w:t>
      </w:r>
      <w:r w:rsidRPr="00EB09B7">
        <w:rPr>
          <w:rFonts w:eastAsia="Times New Roman" w:cs="Times New Roman"/>
          <w:color w:val="000000"/>
          <w:szCs w:val="24"/>
        </w:rPr>
        <w:t>l</w:t>
      </w:r>
      <w:r>
        <w:rPr>
          <w:rFonts w:eastAsia="Times New Roman" w:cs="Times New Roman"/>
          <w:color w:val="000000"/>
          <w:szCs w:val="24"/>
        </w:rPr>
        <w:t>a</w:t>
      </w:r>
      <w:r w:rsidRPr="00EB09B7">
        <w:rPr>
          <w:rFonts w:eastAsia="Times New Roman" w:cs="Times New Roman"/>
          <w:color w:val="000000"/>
          <w:szCs w:val="24"/>
        </w:rPr>
        <w:t xml:space="preserve"> Recurrente ante la falta de impugnación eficaz. Sirve de sustento a lo anterior, por analogía, la tesis jurisprudencial número VI.3o.C. J/60, publicada en el Semanario Judicial de la Federación y su Gaceta bajo el número de registro 176,608 que a la letra establece lo siguiente:</w:t>
      </w:r>
    </w:p>
    <w:p w14:paraId="00400538" w14:textId="77777777" w:rsidR="00DC2DA1" w:rsidRPr="00EB09B7" w:rsidRDefault="00DC2DA1" w:rsidP="00DC2DA1">
      <w:pPr>
        <w:rPr>
          <w:rFonts w:eastAsia="Times New Roman" w:cs="Times New Roman"/>
          <w:szCs w:val="24"/>
        </w:rPr>
      </w:pPr>
    </w:p>
    <w:p w14:paraId="3314F2A3" w14:textId="77777777" w:rsidR="00DC2DA1" w:rsidRPr="00EB09B7" w:rsidRDefault="00DC2DA1" w:rsidP="00DC2DA1">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B09B7">
        <w:rPr>
          <w:rFonts w:eastAsia="Palatino Linotype" w:cs="Palatino Linotype"/>
          <w:b/>
          <w:bCs/>
          <w:i/>
          <w:color w:val="000000"/>
          <w:sz w:val="22"/>
          <w:szCs w:val="24"/>
        </w:rPr>
        <w:t>ACTOS CONSENTIDOS. SON LOS QUE NO SE IMPUGNAN MEDIANTE EL RECURSO IDÓNEO.</w:t>
      </w:r>
    </w:p>
    <w:p w14:paraId="45AD2105" w14:textId="77777777" w:rsidR="00DC2DA1" w:rsidRPr="00EB09B7" w:rsidRDefault="00DC2DA1" w:rsidP="00DC2DA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B09B7">
        <w:rPr>
          <w:rFonts w:eastAsia="Palatino Linotype" w:cs="Palatino Linotype"/>
          <w:i/>
          <w:color w:val="000000"/>
          <w:sz w:val="22"/>
          <w:szCs w:val="24"/>
        </w:rPr>
        <w:t xml:space="preserve">Debe reputarse como consentido el acto que no se impugnó por el medio establecido por la ley, </w:t>
      </w:r>
      <w:proofErr w:type="gramStart"/>
      <w:r w:rsidRPr="00EB09B7">
        <w:rPr>
          <w:rFonts w:eastAsia="Palatino Linotype" w:cs="Palatino Linotype"/>
          <w:i/>
          <w:color w:val="000000"/>
          <w:sz w:val="22"/>
          <w:szCs w:val="24"/>
        </w:rPr>
        <w:t>ya que</w:t>
      </w:r>
      <w:proofErr w:type="gramEnd"/>
      <w:r w:rsidRPr="00EB09B7">
        <w:rPr>
          <w:rFonts w:eastAsia="Palatino Linotype" w:cs="Palatino Linotype"/>
          <w:i/>
          <w:color w:val="000000"/>
          <w:sz w:val="22"/>
          <w:szCs w:val="24"/>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DD8A1D2" w14:textId="77777777" w:rsidR="00DC2DA1" w:rsidRPr="00EB09B7" w:rsidRDefault="00DC2DA1" w:rsidP="00DC2DA1">
      <w:pPr>
        <w:rPr>
          <w:rFonts w:eastAsia="Times New Roman" w:cs="Times New Roman"/>
          <w:szCs w:val="24"/>
        </w:rPr>
      </w:pPr>
    </w:p>
    <w:p w14:paraId="1AC4C970" w14:textId="77777777" w:rsidR="00DC2DA1" w:rsidRPr="00EB09B7" w:rsidRDefault="00DC2DA1" w:rsidP="00DC2DA1">
      <w:pPr>
        <w:rPr>
          <w:rFonts w:eastAsia="Times New Roman" w:cs="Times New Roman"/>
          <w:szCs w:val="24"/>
        </w:rPr>
      </w:pPr>
      <w:r w:rsidRPr="00EB09B7">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0A70807E" w14:textId="77777777" w:rsidR="00DC2DA1" w:rsidRPr="00EB09B7" w:rsidRDefault="00DC2DA1" w:rsidP="00DC2DA1">
      <w:pPr>
        <w:rPr>
          <w:rFonts w:eastAsia="Times New Roman" w:cs="Times New Roman"/>
          <w:szCs w:val="24"/>
        </w:rPr>
      </w:pPr>
    </w:p>
    <w:p w14:paraId="18FE1B19" w14:textId="77777777" w:rsidR="00DC2DA1" w:rsidRPr="00EB09B7" w:rsidRDefault="00DC2DA1" w:rsidP="00DC2DA1">
      <w:pPr>
        <w:spacing w:line="240" w:lineRule="auto"/>
        <w:ind w:left="567" w:right="567"/>
        <w:rPr>
          <w:rFonts w:eastAsia="Times New Roman" w:cs="Times New Roman"/>
          <w:sz w:val="22"/>
        </w:rPr>
      </w:pPr>
      <w:r w:rsidRPr="00EB09B7">
        <w:rPr>
          <w:rFonts w:eastAsia="Times New Roman" w:cs="Times New Roman"/>
          <w:b/>
          <w:bCs/>
          <w:i/>
          <w:iCs/>
          <w:color w:val="000000"/>
          <w:sz w:val="22"/>
        </w:rPr>
        <w:t xml:space="preserve">Actos consentidos tácitamente. Improcedencia de su análisis. </w:t>
      </w:r>
      <w:r w:rsidRPr="00EB09B7">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7623FD5" w14:textId="77777777" w:rsidR="00DC2DA1" w:rsidRPr="00EB09B7" w:rsidRDefault="00DC2DA1" w:rsidP="00DC2DA1">
      <w:pPr>
        <w:rPr>
          <w:rFonts w:eastAsia="Times New Roman" w:cs="Times New Roman"/>
          <w:szCs w:val="24"/>
        </w:rPr>
      </w:pPr>
    </w:p>
    <w:p w14:paraId="25718062" w14:textId="5D642F8E" w:rsidR="00DC2DA1" w:rsidRDefault="00DC2DA1" w:rsidP="00DC2DA1">
      <w:pPr>
        <w:rPr>
          <w:rFonts w:eastAsia="Times New Roman" w:cs="Times New Roman"/>
          <w:color w:val="000000"/>
          <w:szCs w:val="24"/>
        </w:rPr>
      </w:pPr>
      <w:r w:rsidRPr="00EB09B7">
        <w:rPr>
          <w:rFonts w:eastAsia="Times New Roman" w:cs="Times New Roman"/>
          <w:color w:val="000000"/>
          <w:szCs w:val="24"/>
        </w:rPr>
        <w:t>Por lo señalado anteriormente, se tiene por consentida la respuesta</w:t>
      </w:r>
      <w:r>
        <w:rPr>
          <w:rFonts w:eastAsia="Times New Roman" w:cs="Times New Roman"/>
          <w:color w:val="000000"/>
          <w:szCs w:val="24"/>
        </w:rPr>
        <w:t xml:space="preserve"> por lo que respecta a los </w:t>
      </w:r>
      <w:r w:rsidR="00390468">
        <w:rPr>
          <w:rFonts w:eastAsia="Times New Roman" w:cs="Times New Roman"/>
          <w:color w:val="000000"/>
          <w:szCs w:val="24"/>
        </w:rPr>
        <w:t>puntos referidos</w:t>
      </w:r>
      <w:r w:rsidR="00E45DC6">
        <w:rPr>
          <w:rFonts w:eastAsia="Times New Roman" w:cs="Times New Roman"/>
          <w:color w:val="000000"/>
          <w:szCs w:val="24"/>
        </w:rPr>
        <w:t>; por ende, el estudio sólo se enfocará respecto de las respuestas que son motivo de la inconformidad del hoy Recurrente.</w:t>
      </w:r>
    </w:p>
    <w:p w14:paraId="66A4BEA6" w14:textId="77777777" w:rsidR="00E45DC6" w:rsidRDefault="00E45DC6" w:rsidP="00DC2DA1">
      <w:pPr>
        <w:rPr>
          <w:rFonts w:eastAsia="Times New Roman" w:cs="Times New Roman"/>
          <w:color w:val="000000"/>
          <w:szCs w:val="24"/>
        </w:rPr>
      </w:pPr>
    </w:p>
    <w:p w14:paraId="10577FB0" w14:textId="10BBCA0C" w:rsidR="00E45DC6" w:rsidRDefault="00E45DC6" w:rsidP="00DC2DA1">
      <w:pPr>
        <w:rPr>
          <w:rFonts w:eastAsia="Times New Roman" w:cs="Times New Roman"/>
          <w:color w:val="000000"/>
          <w:szCs w:val="24"/>
        </w:rPr>
      </w:pPr>
      <w:r>
        <w:rPr>
          <w:rFonts w:eastAsia="Times New Roman" w:cs="Times New Roman"/>
          <w:color w:val="000000"/>
          <w:szCs w:val="24"/>
        </w:rPr>
        <w:t>Así, respecto del punto 9, relativo al Atlas de incidencia delictiva, se tiene que el Sujeto Obligado, tanto en respuesta como en Informe Justificado, el Sujeto Obligado remitió imágenes correspondientes a un reporte con la delegación y el total de incidentes relacionados con diversos delitos, por lo que se considera que la autoridad aceptó expresamente que cuenta con la información solicitada.</w:t>
      </w:r>
    </w:p>
    <w:p w14:paraId="15CD0A2C" w14:textId="77777777" w:rsidR="00E45DC6" w:rsidRDefault="00E45DC6" w:rsidP="00DC2DA1">
      <w:pPr>
        <w:rPr>
          <w:rFonts w:eastAsia="Times New Roman" w:cs="Times New Roman"/>
          <w:color w:val="000000"/>
          <w:szCs w:val="24"/>
        </w:rPr>
      </w:pPr>
    </w:p>
    <w:p w14:paraId="4592B7A8" w14:textId="5378B50F" w:rsidR="00E45DC6" w:rsidRDefault="00E45DC6" w:rsidP="00DC2DA1">
      <w:pPr>
        <w:rPr>
          <w:rFonts w:eastAsia="Times New Roman" w:cs="Times New Roman"/>
          <w:color w:val="000000"/>
          <w:szCs w:val="24"/>
        </w:rPr>
      </w:pPr>
      <w:r>
        <w:rPr>
          <w:rFonts w:eastAsia="Times New Roman" w:cs="Times New Roman"/>
          <w:color w:val="000000"/>
          <w:szCs w:val="24"/>
        </w:rPr>
        <w:t xml:space="preserve">No obstante, el Recurrente manifestó que la información proporcionada es ilegible, por lo que requirió que ésta le fuera entregada </w:t>
      </w:r>
      <w:r w:rsidR="009106C7">
        <w:rPr>
          <w:rFonts w:eastAsia="Times New Roman" w:cs="Times New Roman"/>
          <w:color w:val="000000"/>
          <w:szCs w:val="24"/>
        </w:rPr>
        <w:t>de manera legible y en el que se especifique a qué periodo corresponde cada cuadro.</w:t>
      </w:r>
    </w:p>
    <w:p w14:paraId="60D08D9F" w14:textId="77777777" w:rsidR="009106C7" w:rsidRDefault="009106C7" w:rsidP="00DC2DA1">
      <w:pPr>
        <w:rPr>
          <w:rFonts w:eastAsia="Times New Roman" w:cs="Times New Roman"/>
          <w:color w:val="000000"/>
          <w:szCs w:val="24"/>
        </w:rPr>
      </w:pPr>
    </w:p>
    <w:p w14:paraId="1966A353" w14:textId="04F8C418" w:rsidR="009106C7" w:rsidRDefault="009106C7" w:rsidP="00DC2DA1">
      <w:pPr>
        <w:rPr>
          <w:rFonts w:eastAsia="Times New Roman" w:cs="Times New Roman"/>
          <w:color w:val="000000"/>
          <w:szCs w:val="24"/>
        </w:rPr>
      </w:pPr>
      <w:r>
        <w:rPr>
          <w:rFonts w:eastAsia="Times New Roman" w:cs="Times New Roman"/>
          <w:color w:val="000000"/>
          <w:szCs w:val="24"/>
        </w:rPr>
        <w:lastRenderedPageBreak/>
        <w:t>Por lo anterior, el Sujeto Obligado al rendir su Informe Justificado, insertó nuevamente imágenes relacionadas con el atlas de incidencia delictiva; empero, al insertar las imágenes en su escrito, las imágenes no tienen la nitidez necesaria para considerar que son legibles y, por ende, suficientes para colmar la pretensión del Recurrente.</w:t>
      </w:r>
    </w:p>
    <w:p w14:paraId="263F9BFF" w14:textId="77777777" w:rsidR="009106C7" w:rsidRDefault="009106C7" w:rsidP="00DC2DA1">
      <w:pPr>
        <w:rPr>
          <w:rFonts w:eastAsia="Times New Roman" w:cs="Times New Roman"/>
          <w:color w:val="000000"/>
          <w:szCs w:val="24"/>
        </w:rPr>
      </w:pPr>
    </w:p>
    <w:p w14:paraId="2E2A5985" w14:textId="55147034" w:rsidR="009106C7" w:rsidRDefault="009106C7" w:rsidP="00DC2DA1">
      <w:pPr>
        <w:rPr>
          <w:rFonts w:eastAsia="Times New Roman" w:cs="Times New Roman"/>
          <w:color w:val="000000"/>
          <w:szCs w:val="24"/>
        </w:rPr>
      </w:pPr>
      <w:r>
        <w:rPr>
          <w:rFonts w:eastAsia="Times New Roman" w:cs="Times New Roman"/>
          <w:color w:val="000000"/>
          <w:szCs w:val="24"/>
        </w:rPr>
        <w:t xml:space="preserve">Por lo anterior, dado que se insertaron imágenes en los escritos de respuesta y de Informe </w:t>
      </w:r>
      <w:r w:rsidRPr="00B13792">
        <w:rPr>
          <w:rFonts w:eastAsia="Times New Roman" w:cs="Times New Roman"/>
          <w:color w:val="000000"/>
          <w:szCs w:val="24"/>
        </w:rPr>
        <w:t xml:space="preserve">Justificado, se deduce que el Sujeto Obligado cuenta con el documento original con el que se puede satisfacer el derecho de acceso a la información del particular; en consecuencia, es dable ordenar al Sujeto Obligado que haga entrega </w:t>
      </w:r>
      <w:r w:rsidR="00B3293F" w:rsidRPr="00B13792">
        <w:rPr>
          <w:rFonts w:eastAsia="Times New Roman" w:cs="Times New Roman"/>
          <w:color w:val="000000"/>
          <w:szCs w:val="24"/>
        </w:rPr>
        <w:t>del documento en donde conste el reporte de incidencia delictiva remitido en respuesta en el que la información contenida resulte clara y legible.</w:t>
      </w:r>
    </w:p>
    <w:p w14:paraId="43CE11AE" w14:textId="77777777" w:rsidR="009106C7" w:rsidRDefault="009106C7" w:rsidP="00DC2DA1">
      <w:pPr>
        <w:rPr>
          <w:rFonts w:eastAsia="Times New Roman" w:cs="Times New Roman"/>
          <w:color w:val="000000"/>
          <w:szCs w:val="24"/>
        </w:rPr>
      </w:pPr>
    </w:p>
    <w:p w14:paraId="7D931634" w14:textId="24734279" w:rsidR="00B3293F" w:rsidRPr="00B3293F" w:rsidRDefault="009106C7" w:rsidP="00B3293F">
      <w:pPr>
        <w:contextualSpacing/>
        <w:rPr>
          <w:rFonts w:eastAsia="Palatino Linotype" w:cs="Palatino Linotype"/>
          <w:szCs w:val="24"/>
        </w:rPr>
      </w:pPr>
      <w:r>
        <w:rPr>
          <w:rFonts w:eastAsia="Times New Roman" w:cs="Times New Roman"/>
          <w:color w:val="000000"/>
          <w:szCs w:val="24"/>
        </w:rPr>
        <w:t xml:space="preserve">Por otra parte, no se soslaya que el Recurrente requirió en su recurso de revisión que en este punto se especifique a que periodo corresponde cada uno de los cuadros proporcionados; sin embargo, </w:t>
      </w:r>
      <w:r w:rsidR="00B3293F">
        <w:rPr>
          <w:rFonts w:eastAsia="Times New Roman" w:cs="Times New Roman"/>
          <w:color w:val="000000"/>
          <w:szCs w:val="24"/>
        </w:rPr>
        <w:t>lo señalado en el medio de impugnación no fue requerido en la solicitud original, lo que se considera como una ampliación a su solicitud</w:t>
      </w:r>
      <w:r w:rsidR="00B3293F" w:rsidRPr="00B3293F">
        <w:rPr>
          <w:rFonts w:eastAsia="Palatino Linotype" w:cs="Palatino Linotype"/>
          <w:szCs w:val="24"/>
        </w:rPr>
        <w:t xml:space="preserve"> de información o </w:t>
      </w:r>
      <w:r w:rsidR="00B3293F" w:rsidRPr="00B3293F">
        <w:rPr>
          <w:rFonts w:eastAsia="Palatino Linotype" w:cs="Palatino Linotype"/>
          <w:i/>
          <w:szCs w:val="24"/>
        </w:rPr>
        <w:t>plus petitio</w:t>
      </w:r>
      <w:r w:rsidR="00B3293F" w:rsidRPr="00B3293F">
        <w:rPr>
          <w:rFonts w:eastAsia="Palatino Linotype" w:cs="Palatino Linotype"/>
          <w:szCs w:val="24"/>
        </w:rPr>
        <w:t xml:space="preserve">; esto es, que se adhirió información que no había sido solicitada; por tanto al haberse realizado en un momento posterior al ingreso de la solicitud original, deviene infundado el requerimiento adicional, debido a que al ser un requerimiento que no se planteó ante el Sujeto Obligado oportunamente, resulta injustificado examinar tal petición, pues ésta no fue del conocimiento del Sujeto Obligado, por lo que, no tuvo la oportunidad legal de analizarla ni de pronunciarse sobre ella. Sirve de apoyo por </w:t>
      </w:r>
      <w:r w:rsidR="00B3293F" w:rsidRPr="00B3293F">
        <w:rPr>
          <w:rFonts w:eastAsia="Palatino Linotype" w:cs="Palatino Linotype"/>
          <w:szCs w:val="24"/>
        </w:rPr>
        <w:lastRenderedPageBreak/>
        <w:t>analogía la siguiente tesis jurisprudencial con registro digital 178788</w:t>
      </w:r>
      <w:r w:rsidR="00B3293F" w:rsidRPr="00B3293F">
        <w:rPr>
          <w:rFonts w:eastAsia="Palatino Linotype" w:cs="Palatino Linotype"/>
          <w:szCs w:val="24"/>
          <w:vertAlign w:val="superscript"/>
        </w:rPr>
        <w:footnoteReference w:id="3"/>
      </w:r>
      <w:r w:rsidR="00B3293F" w:rsidRPr="00B3293F">
        <w:rPr>
          <w:rFonts w:eastAsia="Palatino Linotype" w:cs="Palatino Linotype"/>
          <w:szCs w:val="24"/>
        </w:rPr>
        <w:t>, en la que se establece lo siguiente:</w:t>
      </w:r>
    </w:p>
    <w:p w14:paraId="0EC7C3DA" w14:textId="77777777" w:rsidR="00B3293F" w:rsidRPr="00B3293F" w:rsidRDefault="00B3293F" w:rsidP="00B3293F">
      <w:pPr>
        <w:contextualSpacing/>
        <w:rPr>
          <w:rFonts w:eastAsia="Palatino Linotype" w:cs="Palatino Linotype"/>
          <w:szCs w:val="24"/>
        </w:rPr>
      </w:pPr>
    </w:p>
    <w:p w14:paraId="20B13885" w14:textId="77777777" w:rsidR="00B3293F" w:rsidRPr="00B3293F" w:rsidRDefault="00B3293F" w:rsidP="00B3293F">
      <w:pPr>
        <w:spacing w:line="240" w:lineRule="auto"/>
        <w:ind w:left="567" w:right="567"/>
        <w:rPr>
          <w:rFonts w:eastAsia="Times New Roman" w:cs="Times New Roman"/>
          <w:b/>
          <w:i/>
          <w:sz w:val="22"/>
          <w:szCs w:val="24"/>
          <w:lang w:val="es-MX" w:eastAsia="es-ES"/>
        </w:rPr>
      </w:pPr>
      <w:r w:rsidRPr="00B3293F">
        <w:rPr>
          <w:rFonts w:eastAsia="Times New Roman" w:cs="Times New Roman"/>
          <w:b/>
          <w:i/>
          <w:sz w:val="22"/>
          <w:szCs w:val="24"/>
          <w:lang w:val="es-MX" w:eastAsia="es-ES"/>
        </w:rPr>
        <w:t>CONCEPTOS DE VIOLACIÓN EN EL AMPARO DIRECTO. INOPERANCIA DE LOS QUE INTRODUCEN CUESTIONAMIENTOS NOVEDOSOS QUE NO FUERON PLANTEADOS EN EL JUICIO NATURAL.</w:t>
      </w:r>
    </w:p>
    <w:p w14:paraId="49D2143E" w14:textId="77777777" w:rsidR="00B3293F" w:rsidRPr="00B3293F" w:rsidRDefault="00B3293F" w:rsidP="00B3293F">
      <w:pPr>
        <w:spacing w:line="240" w:lineRule="auto"/>
        <w:ind w:left="567" w:right="567"/>
        <w:rPr>
          <w:rFonts w:eastAsia="Times New Roman" w:cs="Times New Roman"/>
          <w:i/>
          <w:sz w:val="22"/>
          <w:szCs w:val="24"/>
          <w:lang w:val="es-MX" w:eastAsia="es-ES"/>
        </w:rPr>
      </w:pPr>
      <w:r w:rsidRPr="00B3293F">
        <w:rPr>
          <w:rFonts w:eastAsia="Times New Roman" w:cs="Times New Roman"/>
          <w:i/>
          <w:sz w:val="22"/>
          <w:szCs w:val="24"/>
          <w:lang w:val="es-MX" w:eastAsia="es-ES"/>
        </w:rPr>
        <w:t xml:space="preserve">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w:t>
      </w:r>
      <w:proofErr w:type="spellStart"/>
      <w:r w:rsidRPr="00B3293F">
        <w:rPr>
          <w:rFonts w:eastAsia="Times New Roman" w:cs="Times New Roman"/>
          <w:i/>
          <w:sz w:val="22"/>
          <w:szCs w:val="24"/>
          <w:lang w:val="es-MX" w:eastAsia="es-ES"/>
        </w:rPr>
        <w:t>litis</w:t>
      </w:r>
      <w:proofErr w:type="spellEnd"/>
      <w:r w:rsidRPr="00B3293F">
        <w:rPr>
          <w:rFonts w:eastAsia="Times New Roman" w:cs="Times New Roman"/>
          <w:i/>
          <w:sz w:val="22"/>
          <w:szCs w:val="24"/>
          <w:lang w:val="es-MX" w:eastAsia="es-ES"/>
        </w:rPr>
        <w:t xml:space="preserve"> natural, la Sala no tuvo la oportunidad legal de analizarlas ni de pronunciarse sobre ellas.</w:t>
      </w:r>
    </w:p>
    <w:p w14:paraId="1B5F64C5" w14:textId="77777777" w:rsidR="00B3293F" w:rsidRPr="00B3293F" w:rsidRDefault="00B3293F" w:rsidP="00B3293F">
      <w:pPr>
        <w:contextualSpacing/>
        <w:rPr>
          <w:rFonts w:eastAsia="Palatino Linotype" w:cs="Palatino Linotype"/>
          <w:szCs w:val="24"/>
        </w:rPr>
      </w:pPr>
    </w:p>
    <w:p w14:paraId="4BB3CDAC" w14:textId="3966F242" w:rsidR="009106C7" w:rsidRDefault="00B3293F" w:rsidP="00B3293F">
      <w:pPr>
        <w:rPr>
          <w:rFonts w:eastAsia="Times New Roman" w:cs="Times New Roman"/>
          <w:bCs/>
          <w:szCs w:val="24"/>
          <w:lang w:val="es-ES" w:eastAsia="es-ES"/>
        </w:rPr>
      </w:pPr>
      <w:r w:rsidRPr="00B3293F">
        <w:rPr>
          <w:rFonts w:eastAsia="Palatino Linotype" w:cs="Palatino Linotype"/>
          <w:color w:val="000000"/>
          <w:szCs w:val="24"/>
        </w:rPr>
        <w:t>Consecuentemente</w:t>
      </w:r>
      <w:r w:rsidRPr="00B3293F">
        <w:rPr>
          <w:rFonts w:eastAsia="Times New Roman" w:cs="Times New Roman"/>
          <w:bCs/>
          <w:szCs w:val="24"/>
          <w:lang w:val="es-ES" w:eastAsia="es-ES"/>
        </w:rPr>
        <w:t>,</w:t>
      </w:r>
      <w:r>
        <w:rPr>
          <w:rFonts w:eastAsia="Times New Roman" w:cs="Times New Roman"/>
          <w:bCs/>
          <w:szCs w:val="24"/>
          <w:lang w:val="es-ES" w:eastAsia="es-ES"/>
        </w:rPr>
        <w:t xml:space="preserve"> resulta improcedente ordenar al Sujeto Obligado que se sujete a lo manifestado por el Recurrente en su recurso de revisión relativo al periodo al que corresponde la información de los cuadros remitidos en respuesta.</w:t>
      </w:r>
    </w:p>
    <w:p w14:paraId="74791D65" w14:textId="77777777" w:rsidR="00B3293F" w:rsidRDefault="00B3293F" w:rsidP="00B3293F">
      <w:pPr>
        <w:rPr>
          <w:rFonts w:eastAsia="Times New Roman" w:cs="Times New Roman"/>
          <w:bCs/>
          <w:szCs w:val="24"/>
          <w:lang w:val="es-ES" w:eastAsia="es-ES"/>
        </w:rPr>
      </w:pPr>
    </w:p>
    <w:p w14:paraId="50AB900D" w14:textId="1DD50B90" w:rsidR="00B3293F" w:rsidRDefault="00B3293F" w:rsidP="00B3293F">
      <w:pPr>
        <w:rPr>
          <w:rFonts w:eastAsia="Palatino Linotype" w:cs="Palatino Linotype"/>
          <w:color w:val="000000"/>
          <w:szCs w:val="24"/>
        </w:rPr>
      </w:pPr>
      <w:r>
        <w:rPr>
          <w:rFonts w:eastAsia="Times New Roman" w:cs="Times New Roman"/>
          <w:bCs/>
          <w:szCs w:val="24"/>
          <w:lang w:val="es-ES" w:eastAsia="es-ES"/>
        </w:rPr>
        <w:t xml:space="preserve">Por lo que toca al punto 10, correspondiente a las causas de </w:t>
      </w:r>
      <w:r w:rsidR="0050183E">
        <w:rPr>
          <w:rFonts w:eastAsia="Times New Roman" w:cs="Times New Roman"/>
          <w:bCs/>
          <w:szCs w:val="24"/>
          <w:lang w:val="es-ES" w:eastAsia="es-ES"/>
        </w:rPr>
        <w:t xml:space="preserve">los procedimientos sancionatorios, amonestaciones o cualquier medida administrativa ejercida contra elementos de la Dirección General de Seguridad y Protección de enero a junio de dos mil veintitrés, se tiene que en un primer momento el Sujeto Obligado se limitó a referir las sanciones que se aplicaron, al señalar que en el periodo referido </w:t>
      </w:r>
      <w:r w:rsidR="0050183E" w:rsidRPr="00902321">
        <w:rPr>
          <w:rFonts w:eastAsia="Palatino Linotype" w:cs="Palatino Linotype"/>
          <w:color w:val="000000"/>
          <w:szCs w:val="24"/>
        </w:rPr>
        <w:t>la Comisión de Honor y Justicia emitió cuarenta resoluciones: 24 bajas de servicio; 4 suspensiones temporales; 11 resoluciones sin sanción y 1 amonestación</w:t>
      </w:r>
      <w:r w:rsidR="0050183E">
        <w:rPr>
          <w:rFonts w:eastAsia="Palatino Linotype" w:cs="Palatino Linotype"/>
          <w:color w:val="000000"/>
          <w:szCs w:val="24"/>
        </w:rPr>
        <w:t>, sin señalar las causas.</w:t>
      </w:r>
    </w:p>
    <w:p w14:paraId="77F7E044" w14:textId="77777777" w:rsidR="0050183E" w:rsidRDefault="0050183E" w:rsidP="00B3293F">
      <w:pPr>
        <w:rPr>
          <w:rFonts w:eastAsia="Palatino Linotype" w:cs="Palatino Linotype"/>
          <w:color w:val="000000"/>
          <w:szCs w:val="24"/>
        </w:rPr>
      </w:pPr>
    </w:p>
    <w:p w14:paraId="35CF050C" w14:textId="24799F54" w:rsidR="0050183E" w:rsidRDefault="0050183E" w:rsidP="00B3293F">
      <w:pPr>
        <w:rPr>
          <w:rFonts w:eastAsia="Palatino Linotype" w:cs="Palatino Linotype"/>
          <w:color w:val="000000"/>
          <w:szCs w:val="24"/>
        </w:rPr>
      </w:pPr>
      <w:r>
        <w:rPr>
          <w:rFonts w:eastAsia="Palatino Linotype" w:cs="Palatino Linotype"/>
          <w:color w:val="000000"/>
          <w:szCs w:val="24"/>
        </w:rPr>
        <w:lastRenderedPageBreak/>
        <w:t>Por lo anterior, en Informe Justificado, el Sujeto Obligado amplió su respuesta y refirió que las causas por las que se dieron dichas resoluciones fueron las siguientes:</w:t>
      </w:r>
    </w:p>
    <w:p w14:paraId="47BC6889" w14:textId="77777777" w:rsidR="0050183E" w:rsidRDefault="0050183E" w:rsidP="00B3293F">
      <w:pPr>
        <w:rPr>
          <w:rFonts w:eastAsia="Palatino Linotype" w:cs="Palatino Linotype"/>
          <w:color w:val="000000"/>
          <w:szCs w:val="24"/>
        </w:rPr>
      </w:pPr>
    </w:p>
    <w:p w14:paraId="710F6F95" w14:textId="7B5855B5" w:rsidR="00762587" w:rsidRDefault="0050183E" w:rsidP="00DC2DA1">
      <w:pPr>
        <w:rPr>
          <w:rFonts w:eastAsia="Times New Roman" w:cs="Times New Roman"/>
          <w:color w:val="000000"/>
          <w:szCs w:val="24"/>
        </w:rPr>
      </w:pPr>
      <w:r>
        <w:rPr>
          <w:rFonts w:eastAsia="Times New Roman" w:cs="Times New Roman"/>
          <w:noProof/>
          <w:color w:val="000000"/>
          <w:szCs w:val="24"/>
          <w:lang w:val="es-MX"/>
        </w:rPr>
        <w:drawing>
          <wp:inline distT="0" distB="0" distL="0" distR="0" wp14:anchorId="06DCFC8A" wp14:editId="24962C6D">
            <wp:extent cx="5935980" cy="1448435"/>
            <wp:effectExtent l="0" t="0" r="0" b="0"/>
            <wp:docPr id="2126254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5425" name="Imagen 212625425"/>
                    <pic:cNvPicPr/>
                  </pic:nvPicPr>
                  <pic:blipFill>
                    <a:blip r:embed="rId11">
                      <a:extLst>
                        <a:ext uri="{28A0092B-C50C-407E-A947-70E740481C1C}">
                          <a14:useLocalDpi xmlns:a14="http://schemas.microsoft.com/office/drawing/2010/main" val="0"/>
                        </a:ext>
                      </a:extLst>
                    </a:blip>
                    <a:stretch>
                      <a:fillRect/>
                    </a:stretch>
                  </pic:blipFill>
                  <pic:spPr>
                    <a:xfrm>
                      <a:off x="0" y="0"/>
                      <a:ext cx="5935980" cy="1448435"/>
                    </a:xfrm>
                    <a:prstGeom prst="rect">
                      <a:avLst/>
                    </a:prstGeom>
                  </pic:spPr>
                </pic:pic>
              </a:graphicData>
            </a:graphic>
          </wp:inline>
        </w:drawing>
      </w:r>
    </w:p>
    <w:p w14:paraId="3357FAAC" w14:textId="77777777" w:rsidR="0050183E" w:rsidRDefault="0050183E" w:rsidP="00DC2DA1">
      <w:pPr>
        <w:rPr>
          <w:rFonts w:eastAsia="Times New Roman" w:cs="Times New Roman"/>
          <w:color w:val="000000"/>
          <w:szCs w:val="24"/>
        </w:rPr>
      </w:pPr>
    </w:p>
    <w:p w14:paraId="30A13837" w14:textId="1C68BB5E" w:rsidR="0050183E" w:rsidRDefault="0050183E" w:rsidP="00DC2DA1">
      <w:pPr>
        <w:rPr>
          <w:rFonts w:eastAsia="Times New Roman" w:cs="Times New Roman"/>
          <w:color w:val="000000"/>
          <w:szCs w:val="24"/>
        </w:rPr>
      </w:pPr>
      <w:r>
        <w:rPr>
          <w:rFonts w:eastAsia="Times New Roman" w:cs="Times New Roman"/>
          <w:color w:val="000000"/>
          <w:szCs w:val="24"/>
        </w:rPr>
        <w:t xml:space="preserve">De tal forma que la ampliación pretendida por el Sujeto Obligado no es bastante para colmar lo solicitado, toda vez que la referencia al régimen disciplinario contemplado en el artículo 100, apartado B no genera ninguna certeza respecto del cuerpo normativo al que se hace referencia, lo que impide que el solicitante conozca las causas a las que se hace referencia. </w:t>
      </w:r>
    </w:p>
    <w:p w14:paraId="177A9033" w14:textId="77777777" w:rsidR="0050183E" w:rsidRDefault="0050183E" w:rsidP="00DC2DA1">
      <w:pPr>
        <w:rPr>
          <w:rFonts w:eastAsia="Times New Roman" w:cs="Times New Roman"/>
          <w:color w:val="000000"/>
          <w:szCs w:val="24"/>
        </w:rPr>
      </w:pPr>
    </w:p>
    <w:p w14:paraId="52C9B780" w14:textId="21727E5D" w:rsidR="0050183E" w:rsidRDefault="0050183E" w:rsidP="00DC2DA1">
      <w:pPr>
        <w:rPr>
          <w:rFonts w:eastAsia="Times New Roman" w:cs="Times New Roman"/>
          <w:color w:val="000000"/>
          <w:szCs w:val="24"/>
        </w:rPr>
      </w:pPr>
      <w:r>
        <w:rPr>
          <w:rFonts w:eastAsia="Times New Roman" w:cs="Times New Roman"/>
          <w:color w:val="000000"/>
          <w:szCs w:val="24"/>
        </w:rPr>
        <w:t xml:space="preserve">Por lo anterior, resulta procedente ordenar al Sujeto Obligado </w:t>
      </w:r>
      <w:r w:rsidR="003E0554">
        <w:rPr>
          <w:rFonts w:eastAsia="Times New Roman" w:cs="Times New Roman"/>
          <w:color w:val="000000"/>
          <w:szCs w:val="24"/>
        </w:rPr>
        <w:t>que haga entrega al Recurrente de los documentos en donde consten las causas que dieron origen a las veinticuatro resoluciones referidas en la respuesta e Informe Justificado, con la finalidad de satisfacer completamente la pretensión del particular.</w:t>
      </w:r>
    </w:p>
    <w:p w14:paraId="34345D43" w14:textId="77777777" w:rsidR="003E0554" w:rsidRDefault="003E0554" w:rsidP="00DC2DA1">
      <w:pPr>
        <w:rPr>
          <w:rFonts w:eastAsia="Times New Roman" w:cs="Times New Roman"/>
          <w:color w:val="000000"/>
          <w:szCs w:val="24"/>
        </w:rPr>
      </w:pPr>
    </w:p>
    <w:p w14:paraId="7D403975" w14:textId="16EF6EA4" w:rsidR="00C86F96" w:rsidRDefault="00C86F96" w:rsidP="00DC2DA1">
      <w:pPr>
        <w:rPr>
          <w:rFonts w:eastAsia="Times New Roman" w:cs="Times New Roman"/>
          <w:color w:val="000000"/>
          <w:szCs w:val="24"/>
        </w:rPr>
      </w:pPr>
      <w:r>
        <w:rPr>
          <w:rFonts w:eastAsia="Times New Roman" w:cs="Times New Roman"/>
          <w:color w:val="000000"/>
          <w:szCs w:val="24"/>
        </w:rPr>
        <w:t xml:space="preserve">Por último, respecto del punto 12, en el que se requirieron las causas de las consignaciones que han realizado los elementos de la Dirección General de Seguridad y Protección de enero a junio, se advierte que en </w:t>
      </w:r>
      <w:r w:rsidR="00037C52">
        <w:rPr>
          <w:rFonts w:eastAsia="Times New Roman" w:cs="Times New Roman"/>
          <w:color w:val="000000"/>
          <w:szCs w:val="24"/>
        </w:rPr>
        <w:t xml:space="preserve">Informe Justificado se señaló que esa Dirección </w:t>
      </w:r>
      <w:r w:rsidR="00AB537C">
        <w:rPr>
          <w:rFonts w:eastAsia="Times New Roman" w:cs="Times New Roman"/>
          <w:color w:val="000000"/>
          <w:szCs w:val="24"/>
        </w:rPr>
        <w:t xml:space="preserve">no realiza consignaciones, por lo que esa información no se genera, posee o </w:t>
      </w:r>
      <w:r w:rsidR="00AB537C">
        <w:rPr>
          <w:rFonts w:eastAsia="Times New Roman" w:cs="Times New Roman"/>
          <w:color w:val="000000"/>
          <w:szCs w:val="24"/>
        </w:rPr>
        <w:lastRenderedPageBreak/>
        <w:t>administra, lo que constituye hechos negativos y, por ende, no obra en los archivos del Sujeto Obligado.</w:t>
      </w:r>
    </w:p>
    <w:p w14:paraId="5B0614D9" w14:textId="77777777" w:rsidR="00AB537C" w:rsidRDefault="00AB537C" w:rsidP="00DC2DA1">
      <w:pPr>
        <w:rPr>
          <w:rFonts w:eastAsia="Times New Roman" w:cs="Times New Roman"/>
          <w:color w:val="000000"/>
          <w:szCs w:val="24"/>
        </w:rPr>
      </w:pPr>
    </w:p>
    <w:p w14:paraId="18F11D35" w14:textId="74563272" w:rsidR="00AB537C" w:rsidRDefault="00C245D9" w:rsidP="00DC2DA1">
      <w:pPr>
        <w:rPr>
          <w:rFonts w:eastAsia="Times New Roman" w:cs="Times New Roman"/>
          <w:color w:val="000000"/>
          <w:szCs w:val="24"/>
        </w:rPr>
      </w:pPr>
      <w:r>
        <w:rPr>
          <w:rFonts w:eastAsia="Times New Roman" w:cs="Times New Roman"/>
          <w:color w:val="000000"/>
          <w:szCs w:val="24"/>
        </w:rPr>
        <w:t xml:space="preserve">En ese sentido, se debe señalar que una vez analizado el Manual de Organización de la Dirección General de Seguridad y Protección del Sujeto Obligado, no se encontró ninguna atribución a las áreas de dicha Dirección para realizar consignaciones, por lo que se considera necesario referir que antes de la entrada en vigor del Código Nacional de Procedimientos Penales, el término consignación se definía como </w:t>
      </w:r>
      <w:r w:rsidRPr="00C245D9">
        <w:rPr>
          <w:rFonts w:eastAsia="Times New Roman" w:cs="Times New Roman"/>
          <w:i/>
          <w:iCs/>
          <w:color w:val="000000"/>
          <w:szCs w:val="24"/>
        </w:rPr>
        <w:t>“el acto mediante el cual el Estado, a través del Ministerio Público, ejercita la acción penal ante el juez competente, cuando de la averiguación previa se des- prenda que se han acreditado el cuerpo del delito y la probable responsabilidad del inculpado. El agente del Ministerio Público debe consignar el expediente y, si es el caso, también al indiciado, ante el Juez penal que corresponda, porque la consignación puede ser con o sin detenido. La consignación del detenido significa dejar a la persona a disposición del tribunal</w:t>
      </w:r>
      <w:r>
        <w:rPr>
          <w:rStyle w:val="Refdenotaalpie"/>
          <w:rFonts w:eastAsia="Times New Roman" w:cs="Times New Roman"/>
          <w:i/>
          <w:iCs/>
          <w:color w:val="000000"/>
          <w:szCs w:val="24"/>
        </w:rPr>
        <w:footnoteReference w:id="4"/>
      </w:r>
      <w:r w:rsidRPr="00C245D9">
        <w:rPr>
          <w:rFonts w:eastAsia="Times New Roman" w:cs="Times New Roman"/>
          <w:i/>
          <w:iCs/>
          <w:color w:val="000000"/>
          <w:szCs w:val="24"/>
        </w:rPr>
        <w:t>.</w:t>
      </w:r>
      <w:r>
        <w:rPr>
          <w:rFonts w:eastAsia="Times New Roman" w:cs="Times New Roman"/>
          <w:i/>
          <w:iCs/>
          <w:color w:val="000000"/>
          <w:szCs w:val="24"/>
        </w:rPr>
        <w:t>”</w:t>
      </w:r>
    </w:p>
    <w:p w14:paraId="5B9CAB11" w14:textId="77777777" w:rsidR="00C245D9" w:rsidRDefault="00C245D9" w:rsidP="00DC2DA1">
      <w:pPr>
        <w:rPr>
          <w:rFonts w:eastAsia="Times New Roman" w:cs="Times New Roman"/>
          <w:color w:val="000000"/>
          <w:szCs w:val="24"/>
        </w:rPr>
      </w:pPr>
    </w:p>
    <w:p w14:paraId="5FE7A462" w14:textId="77777777" w:rsidR="009C40B9" w:rsidRPr="00B13792" w:rsidRDefault="0043760A" w:rsidP="009C40B9">
      <w:pPr>
        <w:rPr>
          <w:szCs w:val="24"/>
        </w:rPr>
      </w:pPr>
      <w:r>
        <w:rPr>
          <w:rFonts w:eastAsia="Times New Roman" w:cs="Times New Roman"/>
          <w:color w:val="000000"/>
          <w:szCs w:val="24"/>
        </w:rPr>
        <w:t>De tal forma que el Sujeto Obligado manifestó que no genera, posee o administra la información relativa a las consignaciones realizadas por los servidores públicos adscritos a la Dirección General de Seguridad y Protección</w:t>
      </w:r>
      <w:r w:rsidR="009C40B9">
        <w:rPr>
          <w:rFonts w:eastAsia="Times New Roman" w:cs="Times New Roman"/>
          <w:color w:val="000000"/>
          <w:szCs w:val="24"/>
        </w:rPr>
        <w:t xml:space="preserve"> y </w:t>
      </w:r>
      <w:r w:rsidR="009C40B9">
        <w:rPr>
          <w:rFonts w:eastAsia="Palatino Linotype" w:cs="Palatino Linotype"/>
          <w:color w:val="000000"/>
          <w:szCs w:val="24"/>
        </w:rPr>
        <w:t xml:space="preserve">toda vez que no existe fuente obligacional que constriña al Sujeto Obligado a contar con los documentos solicitados, se debe entender que se está frente a hechos negativos. </w:t>
      </w:r>
      <w:r w:rsidR="009C40B9" w:rsidRPr="00E17873">
        <w:rPr>
          <w:rFonts w:eastAsiaTheme="minorHAnsi" w:cs="Arial"/>
          <w:lang w:eastAsia="es-ES"/>
        </w:rPr>
        <w:t xml:space="preserve">resulta innecesaria una declaratoria de inexistencia en términos de los artículos 19, 169 y 170 de la Ley de Transparencia y </w:t>
      </w:r>
      <w:r w:rsidR="009C40B9" w:rsidRPr="00B13792">
        <w:rPr>
          <w:rFonts w:eastAsiaTheme="minorHAnsi" w:cs="Arial"/>
          <w:szCs w:val="24"/>
          <w:lang w:eastAsia="es-ES"/>
        </w:rPr>
        <w:lastRenderedPageBreak/>
        <w:t>Acceso a la Información Pública del Estado de México y Municipios, resultando aplicable la siguiente tesis:</w:t>
      </w:r>
    </w:p>
    <w:p w14:paraId="549A3B30" w14:textId="77777777" w:rsidR="009C40B9" w:rsidRPr="00B13792" w:rsidRDefault="009C40B9" w:rsidP="009C40B9">
      <w:pPr>
        <w:rPr>
          <w:rFonts w:eastAsiaTheme="minorHAnsi" w:cstheme="minorBidi"/>
          <w:szCs w:val="24"/>
        </w:rPr>
      </w:pPr>
    </w:p>
    <w:p w14:paraId="3BDD7661" w14:textId="77777777" w:rsidR="009C40B9" w:rsidRPr="00E17873" w:rsidRDefault="009C40B9" w:rsidP="009C40B9">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17873">
        <w:rPr>
          <w:rFonts w:eastAsia="Palatino Linotype" w:cs="Palatino Linotype"/>
          <w:b/>
          <w:bCs/>
          <w:i/>
          <w:color w:val="000000"/>
          <w:sz w:val="22"/>
          <w:szCs w:val="24"/>
        </w:rPr>
        <w:t xml:space="preserve">HECHOS NEGATIVOS, NO SON SUSCEPTIBLES DE DEMOSTRACIÓN. </w:t>
      </w:r>
    </w:p>
    <w:p w14:paraId="3A134E31" w14:textId="77777777" w:rsidR="009C40B9" w:rsidRPr="00E17873" w:rsidRDefault="009C40B9" w:rsidP="009C40B9">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17873">
        <w:rPr>
          <w:rFonts w:eastAsia="Palatino Linotype" w:cs="Palatino Linotype"/>
          <w:i/>
          <w:color w:val="000000"/>
          <w:sz w:val="22"/>
          <w:szCs w:val="24"/>
        </w:rPr>
        <w:t>Tratándose de un hecho negativo, el Juez no tiene por qué invocar prueba alguna de la que se desprenda, ya que es bien sabido que esta clase de hechos no son susceptibles de demostración.</w:t>
      </w:r>
    </w:p>
    <w:p w14:paraId="11AB774F" w14:textId="77777777" w:rsidR="009C40B9" w:rsidRPr="00B13792" w:rsidRDefault="009C40B9" w:rsidP="009C40B9">
      <w:pPr>
        <w:rPr>
          <w:rFonts w:eastAsiaTheme="minorHAnsi" w:cstheme="minorBidi"/>
          <w:iCs/>
          <w:szCs w:val="24"/>
        </w:rPr>
      </w:pPr>
    </w:p>
    <w:p w14:paraId="7A0CCC71" w14:textId="7836CC42" w:rsidR="009C40B9" w:rsidRPr="00B13792" w:rsidRDefault="009C40B9" w:rsidP="009C40B9">
      <w:pPr>
        <w:rPr>
          <w:rFonts w:eastAsiaTheme="minorHAnsi" w:cstheme="minorBidi"/>
          <w:szCs w:val="24"/>
        </w:rPr>
      </w:pPr>
      <w:r w:rsidRPr="00B13792">
        <w:rPr>
          <w:rFonts w:eastAsiaTheme="minorHAnsi" w:cstheme="minorBidi"/>
          <w:szCs w:val="24"/>
        </w:rPr>
        <w:t xml:space="preserve">Además, de conformidad con lo establecido en el artículo 12 de la Ley de la materia, el Sujeto Obligado sólo proporcionará la información que obra en sus archivos, lo que </w:t>
      </w:r>
      <w:r w:rsidRPr="00B13792">
        <w:rPr>
          <w:rFonts w:eastAsiaTheme="minorHAnsi" w:cstheme="minorBidi"/>
          <w:i/>
          <w:szCs w:val="24"/>
        </w:rPr>
        <w:t>a contrario sensu</w:t>
      </w:r>
      <w:r w:rsidRPr="00B13792">
        <w:rPr>
          <w:rFonts w:eastAsiaTheme="minorHAnsi" w:cstheme="minorBidi"/>
          <w:szCs w:val="24"/>
        </w:rPr>
        <w:t xml:space="preserve"> significa que no está obligado a proporcionar lo que no obre en sus archivos; por tanto, se considera que con el pronunciamiento del Sujeto Obligado se colmó lo pretendido por el Recurrente respecto del punto 12 de su solicitud de información.</w:t>
      </w:r>
    </w:p>
    <w:p w14:paraId="6493CE3C" w14:textId="77777777" w:rsidR="009C40B9" w:rsidRPr="00B13792" w:rsidRDefault="009C40B9" w:rsidP="009C40B9">
      <w:pPr>
        <w:rPr>
          <w:rFonts w:eastAsiaTheme="minorHAnsi" w:cstheme="minorBidi"/>
          <w:szCs w:val="24"/>
        </w:rPr>
      </w:pPr>
    </w:p>
    <w:p w14:paraId="38889D7D" w14:textId="797A6AFF" w:rsidR="003519DC" w:rsidRPr="00B13792" w:rsidRDefault="009C40B9" w:rsidP="003519DC">
      <w:pPr>
        <w:rPr>
          <w:rFonts w:eastAsia="Palatino Linotype" w:cs="Palatino Linotype"/>
          <w:szCs w:val="24"/>
        </w:rPr>
      </w:pPr>
      <w:r w:rsidRPr="00B13792">
        <w:rPr>
          <w:rFonts w:eastAsiaTheme="minorHAnsi" w:cstheme="minorBidi"/>
          <w:szCs w:val="24"/>
        </w:rPr>
        <w:t xml:space="preserve">Por lo referido en párrafos anteriores, </w:t>
      </w:r>
      <w:r w:rsidR="003519DC" w:rsidRPr="00B13792">
        <w:rPr>
          <w:rFonts w:eastAsia="Palatino Linotype" w:cs="Palatino Linotype"/>
          <w:szCs w:val="24"/>
        </w:rPr>
        <w:t xml:space="preserve">este Órgano Garante estima que los motivos de inconformidad del Recurrente devienen </w:t>
      </w:r>
      <w:r w:rsidR="00B13792" w:rsidRPr="00B13792">
        <w:rPr>
          <w:rFonts w:eastAsia="Palatino Linotype" w:cs="Palatino Linotype"/>
          <w:szCs w:val="24"/>
        </w:rPr>
        <w:t xml:space="preserve">parcialmente </w:t>
      </w:r>
      <w:r w:rsidR="003519DC" w:rsidRPr="00B13792">
        <w:rPr>
          <w:rFonts w:eastAsia="Palatino Linotype" w:cs="Palatino Linotype"/>
          <w:szCs w:val="24"/>
        </w:rPr>
        <w:t>fundados, por lo que es procedente modificar la respuesta del Sujeto Obligado y ordenar la entrega de</w:t>
      </w:r>
      <w:r w:rsidR="00B13792" w:rsidRPr="00B13792">
        <w:rPr>
          <w:rFonts w:eastAsia="Palatino Linotype" w:cs="Palatino Linotype"/>
          <w:szCs w:val="24"/>
        </w:rPr>
        <w:t xml:space="preserve"> </w:t>
      </w:r>
      <w:r w:rsidR="003519DC" w:rsidRPr="00B13792">
        <w:rPr>
          <w:rFonts w:eastAsia="Palatino Linotype" w:cs="Palatino Linotype"/>
          <w:szCs w:val="24"/>
        </w:rPr>
        <w:t>l</w:t>
      </w:r>
      <w:r w:rsidR="00B13792" w:rsidRPr="00B13792">
        <w:rPr>
          <w:rFonts w:eastAsia="Palatino Linotype" w:cs="Palatino Linotype"/>
          <w:szCs w:val="24"/>
        </w:rPr>
        <w:t xml:space="preserve">os documentos en donde conste el reporte de incidencia delictiva remitido en respuesta de manera legible, así como las causas que originaron las veinticuatro resoluciones emitidas por la Comisión de Honor y Justicia referidas en respuesta a la solicitud de información; lo anterior en versión pública </w:t>
      </w:r>
      <w:r w:rsidR="00C20B18" w:rsidRPr="00B13792">
        <w:rPr>
          <w:rFonts w:eastAsia="Palatino Linotype" w:cs="Palatino Linotype"/>
          <w:szCs w:val="24"/>
        </w:rPr>
        <w:t>de ser procedente, así como del acuerdo emitido por el Comité de Transparencia con el que se funde y motive dicha versión pública.</w:t>
      </w:r>
    </w:p>
    <w:p w14:paraId="57998B7A" w14:textId="346C814C" w:rsidR="003519DC" w:rsidRPr="00B13792" w:rsidRDefault="003519DC" w:rsidP="00F012D3">
      <w:pPr>
        <w:rPr>
          <w:szCs w:val="24"/>
        </w:rPr>
      </w:pPr>
    </w:p>
    <w:p w14:paraId="4EC45D6D" w14:textId="13FDC779" w:rsidR="00C20B18" w:rsidRDefault="00C20B18" w:rsidP="00C20B18">
      <w:pPr>
        <w:pStyle w:val="Ttulo3"/>
        <w:rPr>
          <w:rFonts w:eastAsia="Palatino Linotype"/>
        </w:rPr>
      </w:pPr>
      <w:r>
        <w:rPr>
          <w:rFonts w:eastAsia="Palatino Linotype"/>
        </w:rPr>
        <w:lastRenderedPageBreak/>
        <w:t>DE LA VERSIÓN PÚBLICA</w:t>
      </w:r>
    </w:p>
    <w:p w14:paraId="5E410ED7" w14:textId="38EDF18E" w:rsidR="00C20B18" w:rsidRPr="00F42CE0" w:rsidRDefault="00C20B18" w:rsidP="00C20B18">
      <w:pPr>
        <w:rPr>
          <w:rFonts w:eastAsia="Palatino Linotype" w:cs="Palatino Linotype"/>
          <w:szCs w:val="24"/>
        </w:rPr>
      </w:pPr>
      <w:r w:rsidRPr="00F42CE0">
        <w:rPr>
          <w:rFonts w:eastAsia="Palatino Linotype" w:cs="Palatino Linotype"/>
          <w:szCs w:val="24"/>
        </w:rPr>
        <w:t xml:space="preserve">En la elaboración de la versión pública se deberá considera lo dispuesto en los artículos 3 fracciones IX, XX, XXI y XLV, 91 y 132 fracciones II y III de la Ley de Transparencia </w:t>
      </w:r>
      <w:r w:rsidR="00B13792">
        <w:rPr>
          <w:rFonts w:eastAsia="Palatino Linotype" w:cs="Palatino Linotype"/>
          <w:szCs w:val="24"/>
        </w:rPr>
        <w:t xml:space="preserve">estatal, </w:t>
      </w:r>
      <w:r w:rsidRPr="00F42CE0">
        <w:rPr>
          <w:rFonts w:eastAsia="Palatino Linotype" w:cs="Palatino Linotype"/>
          <w:szCs w:val="24"/>
        </w:rPr>
        <w:t>que establecen lo siguiente:</w:t>
      </w:r>
    </w:p>
    <w:p w14:paraId="00E32BB2" w14:textId="77777777" w:rsidR="00C20B18" w:rsidRPr="00F42CE0" w:rsidRDefault="00C20B18" w:rsidP="00C20B18">
      <w:pPr>
        <w:rPr>
          <w:rFonts w:eastAsia="Palatino Linotype" w:cs="Palatino Linotype"/>
          <w:szCs w:val="24"/>
        </w:rPr>
      </w:pPr>
    </w:p>
    <w:p w14:paraId="260FFA1F"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3.</w:t>
      </w:r>
      <w:r w:rsidRPr="00F42CE0">
        <w:rPr>
          <w:rFonts w:eastAsia="Palatino Linotype" w:cs="Palatino Linotype"/>
          <w:i/>
          <w:color w:val="000000"/>
          <w:sz w:val="22"/>
          <w:szCs w:val="24"/>
        </w:rPr>
        <w:t xml:space="preserve"> Para los efectos de la presente Ley se entenderá por:</w:t>
      </w:r>
    </w:p>
    <w:p w14:paraId="4DFB426A"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3B2FC8F8"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IX. Datos personales:</w:t>
      </w:r>
      <w:r w:rsidRPr="00F42CE0">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333D95E8"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clasificada:</w:t>
      </w:r>
      <w:r w:rsidRPr="00F42CE0">
        <w:rPr>
          <w:rFonts w:eastAsia="Palatino Linotype" w:cs="Palatino Linotype"/>
          <w:i/>
          <w:color w:val="000000"/>
          <w:sz w:val="22"/>
          <w:szCs w:val="24"/>
        </w:rPr>
        <w:t xml:space="preserve"> Aquella considerada por la presente Ley como reservada o confidencial;</w:t>
      </w:r>
    </w:p>
    <w:p w14:paraId="5CACA784"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XXI.</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confidencial:</w:t>
      </w:r>
      <w:r w:rsidRPr="00F42CE0">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A362AB"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w:t>
      </w:r>
    </w:p>
    <w:p w14:paraId="250D33A8"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XLV.</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Versión pública:</w:t>
      </w:r>
      <w:r w:rsidRPr="00F42CE0">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06837F57"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7DB8CEC5"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5E1552D"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 xml:space="preserve">Artículo 91. </w:t>
      </w:r>
      <w:r w:rsidRPr="00F42CE0">
        <w:rPr>
          <w:rFonts w:eastAsia="Palatino Linotype" w:cs="Palatino Linotype"/>
          <w:i/>
          <w:color w:val="000000"/>
          <w:sz w:val="22"/>
          <w:szCs w:val="24"/>
        </w:rPr>
        <w:t>El acceso a la información pública será restringido excepcionalmente, cuando ésta sea clasificada como reservada o confidencial.</w:t>
      </w:r>
    </w:p>
    <w:p w14:paraId="208D71B2"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D4F850A"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132.</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La clasificación de la información se llevará a cabo en el momento en que</w:t>
      </w:r>
      <w:r w:rsidRPr="00F42CE0">
        <w:rPr>
          <w:rFonts w:eastAsia="Palatino Linotype" w:cs="Palatino Linotype"/>
          <w:i/>
          <w:color w:val="000000"/>
          <w:sz w:val="22"/>
          <w:szCs w:val="24"/>
        </w:rPr>
        <w:t>:</w:t>
      </w:r>
    </w:p>
    <w:p w14:paraId="1EAFC67F"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w:t>
      </w:r>
      <w:r w:rsidRPr="00F42CE0">
        <w:rPr>
          <w:rFonts w:eastAsia="Palatino Linotype" w:cs="Palatino Linotype"/>
          <w:i/>
          <w:color w:val="000000"/>
          <w:sz w:val="22"/>
          <w:szCs w:val="24"/>
        </w:rPr>
        <w:t xml:space="preserve"> Se reciba una solicitud de acceso a la información;</w:t>
      </w:r>
    </w:p>
    <w:p w14:paraId="585EC556"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determine mediante resolución de autoridad competente; o</w:t>
      </w:r>
    </w:p>
    <w:p w14:paraId="46C54DDB"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F42CE0">
        <w:rPr>
          <w:rFonts w:eastAsia="Palatino Linotype" w:cs="Palatino Linotype"/>
          <w:b/>
          <w:i/>
          <w:color w:val="000000"/>
          <w:sz w:val="22"/>
          <w:szCs w:val="24"/>
        </w:rPr>
        <w:t>III.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generen versiones públicas para dar cumplimiento a las obligaciones de transparencia previstas en esta Ley.</w:t>
      </w:r>
    </w:p>
    <w:p w14:paraId="1A48ADB1"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713C1EB0" w14:textId="77777777" w:rsidR="00C20B18" w:rsidRPr="00F42CE0" w:rsidRDefault="00C20B18" w:rsidP="00C20B18">
      <w:pPr>
        <w:rPr>
          <w:rFonts w:eastAsia="Palatino Linotype" w:cs="Palatino Linotype"/>
          <w:i/>
          <w:szCs w:val="24"/>
        </w:rPr>
      </w:pPr>
    </w:p>
    <w:p w14:paraId="2A723967" w14:textId="77777777" w:rsidR="00C20B18" w:rsidRPr="00F42CE0" w:rsidRDefault="00C20B18" w:rsidP="00C20B18">
      <w:pPr>
        <w:rPr>
          <w:rFonts w:eastAsia="Palatino Linotype" w:cs="Palatino Linotype"/>
          <w:szCs w:val="24"/>
        </w:rPr>
      </w:pPr>
      <w:r w:rsidRPr="00F42CE0">
        <w:rPr>
          <w:rFonts w:eastAsia="Palatino Linotype" w:cs="Palatino Linotype"/>
          <w:szCs w:val="24"/>
        </w:rPr>
        <w:t xml:space="preserve">De este modo, en armonía entre los principios constitucionales de máxima publicidad y de protección de datos personales, la Ley permite la elaboración de versiones públicas en </w:t>
      </w:r>
      <w:r w:rsidRPr="00F42CE0">
        <w:rPr>
          <w:rFonts w:eastAsia="Palatino Linotype" w:cs="Palatino Linotype"/>
          <w:szCs w:val="24"/>
        </w:rPr>
        <w:lastRenderedPageBreak/>
        <w:t>las que se suprima aquella información relacionada con la vida privada de los particulares.</w:t>
      </w:r>
    </w:p>
    <w:p w14:paraId="7B10FACF" w14:textId="77777777" w:rsidR="00C20B18" w:rsidRPr="00F42CE0" w:rsidRDefault="00C20B18" w:rsidP="00C20B18">
      <w:pPr>
        <w:rPr>
          <w:rFonts w:eastAsia="Palatino Linotype" w:cs="Palatino Linotype"/>
          <w:szCs w:val="24"/>
        </w:rPr>
      </w:pPr>
    </w:p>
    <w:p w14:paraId="5572C199" w14:textId="77777777" w:rsidR="00C20B18" w:rsidRPr="00F42CE0" w:rsidRDefault="00C20B18" w:rsidP="00C20B18">
      <w:pPr>
        <w:rPr>
          <w:rFonts w:eastAsia="Palatino Linotype" w:cs="Palatino Linotype"/>
          <w:szCs w:val="24"/>
        </w:rPr>
      </w:pPr>
      <w:r w:rsidRPr="00F42CE0">
        <w:rPr>
          <w:rFonts w:eastAsia="Palatino Linotype" w:cs="Palatino Linotype"/>
          <w:szCs w:val="24"/>
        </w:rPr>
        <w:t xml:space="preserve">Por otro lado, los </w:t>
      </w:r>
      <w:r w:rsidRPr="00F42CE0">
        <w:rPr>
          <w:rFonts w:eastAsia="Palatino Linotype" w:cs="Palatino Linotype"/>
          <w:i/>
          <w:szCs w:val="24"/>
        </w:rPr>
        <w:t>Lineamientos Generales en Materia de Clasificación y Desclasificación de la Información, así como para la elaboración de Versiones Públicas</w:t>
      </w:r>
      <w:r w:rsidRPr="00F42CE0">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E79E1BA" w14:textId="77777777" w:rsidR="00C20B18" w:rsidRPr="00F42CE0" w:rsidRDefault="00C20B18" w:rsidP="00C20B18">
      <w:pPr>
        <w:rPr>
          <w:rFonts w:eastAsia="Palatino Linotype" w:cs="Palatino Linotype"/>
          <w:szCs w:val="24"/>
        </w:rPr>
      </w:pPr>
    </w:p>
    <w:p w14:paraId="14D55991" w14:textId="77777777" w:rsidR="00C20B18" w:rsidRPr="00F42CE0" w:rsidRDefault="00C20B18" w:rsidP="00C20B18">
      <w:pPr>
        <w:rPr>
          <w:rFonts w:eastAsia="Palatino Linotype" w:cs="Palatino Linotype"/>
          <w:szCs w:val="24"/>
        </w:rPr>
      </w:pPr>
      <w:r>
        <w:rPr>
          <w:rFonts w:eastAsia="Palatino Linotype" w:cs="Palatino Linotype"/>
          <w:szCs w:val="24"/>
        </w:rPr>
        <w:t>Asimismo</w:t>
      </w:r>
      <w:r w:rsidRPr="00F42CE0">
        <w:rPr>
          <w:rFonts w:eastAsia="Palatino Linotype" w:cs="Palatino Linotype"/>
          <w:szCs w:val="24"/>
        </w:rPr>
        <w:t>, los Lineamientos Quincuagésimo sexto, Quincuagésimo séptimo y Quincuagésimo octavo, establecen lo siguiente:</w:t>
      </w:r>
    </w:p>
    <w:p w14:paraId="57D9BD9B" w14:textId="77777777" w:rsidR="00C20B18" w:rsidRPr="00F42CE0" w:rsidRDefault="00C20B18" w:rsidP="00C20B18">
      <w:pPr>
        <w:rPr>
          <w:rFonts w:eastAsia="Palatino Linotype" w:cs="Palatino Linotype"/>
        </w:rPr>
      </w:pPr>
    </w:p>
    <w:p w14:paraId="574BCA69" w14:textId="77777777" w:rsidR="00C20B18"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F42CE0">
        <w:rPr>
          <w:rFonts w:eastAsia="Palatino Linotype" w:cs="Palatino Linotype"/>
          <w:b/>
          <w:i/>
          <w:color w:val="000000"/>
          <w:sz w:val="22"/>
          <w:szCs w:val="24"/>
        </w:rPr>
        <w:t>Quincuagésimo sexto.</w:t>
      </w:r>
      <w:r w:rsidRPr="00F42CE0">
        <w:rPr>
          <w:rFonts w:eastAsia="Palatino Linotype" w:cs="Palatino Linotype"/>
          <w:i/>
          <w:color w:val="000000"/>
          <w:sz w:val="22"/>
          <w:szCs w:val="24"/>
        </w:rPr>
        <w:t xml:space="preserve"> </w:t>
      </w:r>
      <w:r w:rsidRPr="00EA502F">
        <w:rPr>
          <w:rFonts w:eastAsia="Palatino Linotype" w:cs="Palatino Linotype"/>
          <w:i/>
          <w:color w:val="000000"/>
          <w:sz w:val="22"/>
          <w:szCs w:val="24"/>
          <w:lang w:val="es-MX"/>
        </w:rPr>
        <w:t>Cuando la elaboración de la versión pública del documento o</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expediente que contenga partes o secciones reservadas o confidenciales, genere costos</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por reproducción por derivar de una solicitud de información o determinación de una</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autoridad competente, ésta será elaborada hasta que se haya acreditado el pago</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correspondiente.</w:t>
      </w:r>
    </w:p>
    <w:p w14:paraId="11A0F597"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6FA545B"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séptimo.</w:t>
      </w:r>
      <w:r w:rsidRPr="00F42CE0">
        <w:rPr>
          <w:rFonts w:eastAsia="Palatino Linotype" w:cs="Palatino Linotype"/>
          <w:i/>
          <w:color w:val="000000"/>
          <w:sz w:val="22"/>
          <w:szCs w:val="24"/>
        </w:rPr>
        <w:t xml:space="preserve"> Se considera, en principio, como información pública y no podrá omitirse de las versiones públicas la siguiente:</w:t>
      </w:r>
    </w:p>
    <w:p w14:paraId="2C83113C"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B38ED09"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11EA3BA1"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 El nombre de los </w:t>
      </w:r>
      <w:r>
        <w:rPr>
          <w:rFonts w:eastAsia="Palatino Linotype" w:cs="Palatino Linotype"/>
          <w:i/>
          <w:color w:val="000000"/>
          <w:sz w:val="22"/>
          <w:szCs w:val="24"/>
        </w:rPr>
        <w:t>integrantes de los sujetos obligados</w:t>
      </w:r>
      <w:r w:rsidRPr="00F42CE0">
        <w:rPr>
          <w:rFonts w:eastAsia="Palatino Linotype" w:cs="Palatino Linotype"/>
          <w:i/>
          <w:color w:val="000000"/>
          <w:sz w:val="22"/>
          <w:szCs w:val="24"/>
        </w:rPr>
        <w:t xml:space="preserve"> en los documentos, y sus firmas autógrafas</w:t>
      </w:r>
      <w:r>
        <w:rPr>
          <w:rFonts w:eastAsia="Palatino Linotype" w:cs="Palatino Linotype"/>
          <w:i/>
          <w:color w:val="000000"/>
          <w:sz w:val="22"/>
          <w:szCs w:val="24"/>
        </w:rPr>
        <w:t xml:space="preserve"> o digitales</w:t>
      </w:r>
      <w:r w:rsidRPr="00F42CE0">
        <w:rPr>
          <w:rFonts w:eastAsia="Palatino Linotype" w:cs="Palatino Linotype"/>
          <w:i/>
          <w:color w:val="000000"/>
          <w:sz w:val="22"/>
          <w:szCs w:val="24"/>
        </w:rPr>
        <w:t xml:space="preserve">, cuando sean utilizados en el ejercicio de las facultades conferidas para el desempeño del servicio público, y </w:t>
      </w:r>
    </w:p>
    <w:p w14:paraId="61FE3C4B"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15BFAE9"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0B5AB89"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482A062"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24F7B96" w14:textId="77777777" w:rsidR="00C20B18" w:rsidRPr="00F42CE0" w:rsidRDefault="00C20B18" w:rsidP="00C20B1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octavo.</w:t>
      </w:r>
      <w:r w:rsidRPr="00F42CE0">
        <w:rPr>
          <w:rFonts w:eastAsia="Palatino Linotype" w:cs="Palatino Linotype"/>
          <w:i/>
          <w:color w:val="000000"/>
          <w:sz w:val="22"/>
          <w:szCs w:val="24"/>
        </w:rPr>
        <w:t xml:space="preserve"> Los sujetos obligados garantizarán que los sistemas o medios empleados para eliminar la información en las versiones públicas </w:t>
      </w:r>
      <w:r>
        <w:rPr>
          <w:rFonts w:eastAsia="Palatino Linotype" w:cs="Palatino Linotype"/>
          <w:i/>
          <w:color w:val="000000"/>
          <w:sz w:val="22"/>
          <w:szCs w:val="24"/>
        </w:rPr>
        <w:t xml:space="preserve">sean irreversibles, de tal forma que no </w:t>
      </w:r>
      <w:r w:rsidRPr="00F42CE0">
        <w:rPr>
          <w:rFonts w:eastAsia="Palatino Linotype" w:cs="Palatino Linotype"/>
          <w:i/>
          <w:color w:val="000000"/>
          <w:sz w:val="22"/>
          <w:szCs w:val="24"/>
        </w:rPr>
        <w:t>permitan la recuperación o visualización de la misma.</w:t>
      </w:r>
    </w:p>
    <w:p w14:paraId="5E44F4DE" w14:textId="77777777" w:rsidR="00C20B18" w:rsidRPr="00F42CE0" w:rsidRDefault="00C20B18" w:rsidP="00C20B18">
      <w:pPr>
        <w:rPr>
          <w:rFonts w:eastAsia="Palatino Linotype" w:cs="Palatino Linotype"/>
          <w:i/>
          <w:szCs w:val="24"/>
        </w:rPr>
      </w:pPr>
    </w:p>
    <w:p w14:paraId="1672DE83" w14:textId="77777777" w:rsidR="00C20B18" w:rsidRPr="00F42CE0" w:rsidRDefault="00C20B18" w:rsidP="00C20B18">
      <w:pPr>
        <w:rPr>
          <w:rFonts w:eastAsia="Palatino Linotype" w:cs="Palatino Linotype"/>
          <w:szCs w:val="24"/>
        </w:rPr>
      </w:pPr>
      <w:r w:rsidRPr="00F42CE0">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FCF16B7" w14:textId="77777777" w:rsidR="00C20B18" w:rsidRPr="00F42CE0" w:rsidRDefault="00C20B18" w:rsidP="00C20B18">
      <w:pPr>
        <w:rPr>
          <w:rFonts w:eastAsia="Palatino Linotype" w:cs="Palatino Linotype"/>
          <w:szCs w:val="24"/>
        </w:rPr>
      </w:pPr>
    </w:p>
    <w:p w14:paraId="56A73D20" w14:textId="77777777" w:rsidR="00C20B18" w:rsidRPr="00F42CE0" w:rsidRDefault="00C20B18" w:rsidP="00C20B18">
      <w:pPr>
        <w:rPr>
          <w:rFonts w:eastAsia="Palatino Linotype" w:cs="Palatino Linotype"/>
          <w:szCs w:val="24"/>
        </w:rPr>
      </w:pPr>
      <w:r w:rsidRPr="00F42CE0">
        <w:rPr>
          <w:rFonts w:eastAsia="Palatino Linotype" w:cs="Palatino Linotype"/>
          <w:szCs w:val="24"/>
        </w:rPr>
        <w:t>Por lo que respecta al Acuerdo del Comité de Transparencia que sustente la versión pública de la documentación a entregar, deberá ser notificado mediante el SAIMEX.</w:t>
      </w:r>
    </w:p>
    <w:p w14:paraId="68E0DBE0" w14:textId="77777777" w:rsidR="00C20B18" w:rsidRPr="00F42CE0" w:rsidRDefault="00C20B18" w:rsidP="00C20B18">
      <w:pPr>
        <w:rPr>
          <w:rFonts w:eastAsia="Palatino Linotype" w:cs="Palatino Linotype"/>
          <w:szCs w:val="24"/>
        </w:rPr>
      </w:pPr>
    </w:p>
    <w:p w14:paraId="156005C2" w14:textId="77777777" w:rsidR="00C20B18" w:rsidRDefault="00C20B18" w:rsidP="00C20B18">
      <w:pPr>
        <w:pBdr>
          <w:top w:val="nil"/>
          <w:left w:val="nil"/>
          <w:bottom w:val="nil"/>
          <w:right w:val="nil"/>
          <w:between w:val="nil"/>
        </w:pBdr>
        <w:rPr>
          <w:rFonts w:eastAsia="Palatino Linotype" w:cs="Palatino Linotype"/>
          <w:color w:val="000000"/>
          <w:szCs w:val="24"/>
        </w:rPr>
      </w:pPr>
      <w:r w:rsidRPr="00F42CE0">
        <w:rPr>
          <w:rFonts w:eastAsia="Palatino Linotype" w:cs="Palatino Linotype"/>
          <w:color w:val="000000"/>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w:t>
      </w:r>
      <w:r w:rsidRPr="00F42CE0">
        <w:rPr>
          <w:rFonts w:eastAsia="Palatino Linotype" w:cs="Palatino Linotype"/>
          <w:color w:val="000000"/>
          <w:szCs w:val="24"/>
        </w:rPr>
        <w:lastRenderedPageBreak/>
        <w:t>Municipios, a efecto de salvaguardar el derecho de acceso a la información pública consignado a favor del Recurrente.</w:t>
      </w:r>
    </w:p>
    <w:p w14:paraId="021C8BDE" w14:textId="77777777" w:rsidR="00C20B18" w:rsidRDefault="00C20B18" w:rsidP="00F012D3"/>
    <w:p w14:paraId="0BED678B" w14:textId="29029D4D" w:rsidR="00B97B0E" w:rsidRPr="005C5EB4" w:rsidRDefault="00B97B0E" w:rsidP="00B97B0E">
      <w:pPr>
        <w:pBdr>
          <w:top w:val="nil"/>
          <w:left w:val="nil"/>
          <w:bottom w:val="nil"/>
          <w:right w:val="nil"/>
          <w:between w:val="nil"/>
        </w:pBdr>
        <w:rPr>
          <w:rFonts w:eastAsia="Palatino Linotype" w:cs="Palatino Linotype"/>
          <w:color w:val="000000"/>
          <w:szCs w:val="24"/>
        </w:rPr>
      </w:pPr>
      <w:r w:rsidRPr="005C5EB4">
        <w:rPr>
          <w:rFonts w:eastAsia="Palatino Linotype" w:cs="Palatino Linotype"/>
          <w:color w:val="000000"/>
          <w:szCs w:val="24"/>
        </w:rPr>
        <w:t xml:space="preserve">En mérito de lo expuesto en líneas anteriores, este Instituto considera que los motivos de inconformidad planteados por la Recurrente resultan fundados en el recurso de revisión que es materia de esta resolución; por ello </w:t>
      </w:r>
      <w:r w:rsidRPr="005C5EB4">
        <w:rPr>
          <w:rFonts w:eastAsia="Palatino Linotype" w:cs="Palatino Linotype"/>
          <w:b/>
          <w:color w:val="000000"/>
          <w:szCs w:val="24"/>
        </w:rPr>
        <w:t xml:space="preserve">con fundamento en la segunda hipótesis de la fracción III del artículo 186 </w:t>
      </w:r>
      <w:r w:rsidRPr="005C5EB4">
        <w:rPr>
          <w:rFonts w:eastAsia="Palatino Linotype" w:cs="Palatino Linotype"/>
          <w:color w:val="000000"/>
          <w:szCs w:val="24"/>
        </w:rPr>
        <w:t xml:space="preserve">de la Ley de Transparencia y Acceso a la Información Pública del Estado de México y Municipios, se </w:t>
      </w:r>
      <w:r w:rsidRPr="005C5EB4">
        <w:rPr>
          <w:rFonts w:eastAsia="Palatino Linotype" w:cs="Palatino Linotype"/>
          <w:b/>
          <w:color w:val="000000"/>
          <w:szCs w:val="24"/>
        </w:rPr>
        <w:t xml:space="preserve">MODIFICA </w:t>
      </w:r>
      <w:r w:rsidRPr="005C5EB4">
        <w:rPr>
          <w:rFonts w:eastAsia="Palatino Linotype" w:cs="Palatino Linotype"/>
          <w:color w:val="000000"/>
          <w:szCs w:val="24"/>
        </w:rPr>
        <w:t>la respuesta a la solicitud de información número</w:t>
      </w:r>
      <w:r w:rsidRPr="005C5EB4">
        <w:rPr>
          <w:rFonts w:eastAsia="Palatino Linotype" w:cs="Palatino Linotype"/>
          <w:b/>
          <w:color w:val="000000"/>
          <w:szCs w:val="24"/>
        </w:rPr>
        <w:t xml:space="preserve"> </w:t>
      </w:r>
      <w:r w:rsidR="00BB6884" w:rsidRPr="00BB6884">
        <w:rPr>
          <w:rFonts w:eastAsia="Palatino Linotype" w:cs="Palatino Linotype"/>
          <w:b/>
          <w:bCs/>
          <w:color w:val="000000"/>
          <w:szCs w:val="24"/>
        </w:rPr>
        <w:t>02322/TOLUCA/IP/2023</w:t>
      </w:r>
      <w:r w:rsidRPr="005C5EB4">
        <w:rPr>
          <w:rFonts w:eastAsia="Palatino Linotype" w:cs="Palatino Linotype"/>
          <w:color w:val="000000"/>
          <w:szCs w:val="24"/>
        </w:rPr>
        <w:t>, que ha sido materia del presente estudio.</w:t>
      </w:r>
    </w:p>
    <w:p w14:paraId="41A90339" w14:textId="0EE9DA60" w:rsidR="00B97B0E" w:rsidRPr="005C5EB4" w:rsidRDefault="00B97B0E" w:rsidP="00F012D3"/>
    <w:p w14:paraId="7ACEF5D9" w14:textId="4DA52709" w:rsidR="00B97B0E" w:rsidRPr="005C5EB4" w:rsidRDefault="00B97B0E" w:rsidP="00B97B0E">
      <w:pPr>
        <w:pBdr>
          <w:top w:val="nil"/>
          <w:left w:val="nil"/>
          <w:bottom w:val="nil"/>
          <w:right w:val="nil"/>
          <w:between w:val="nil"/>
        </w:pBdr>
        <w:rPr>
          <w:rFonts w:eastAsia="Palatino Linotype" w:cs="Palatino Linotype"/>
          <w:color w:val="000000"/>
          <w:szCs w:val="24"/>
        </w:rPr>
      </w:pPr>
      <w:r w:rsidRPr="005C5EB4">
        <w:rPr>
          <w:rFonts w:eastAsia="Palatino Linotype" w:cs="Palatino Linotype"/>
          <w:color w:val="000000"/>
          <w:szCs w:val="24"/>
        </w:rPr>
        <w:t>Por lo antes expuesto y fundado es de resolverse y,</w:t>
      </w:r>
    </w:p>
    <w:p w14:paraId="5A379020" w14:textId="6C8973C3" w:rsidR="00940036" w:rsidRPr="005C5EB4" w:rsidRDefault="00940036" w:rsidP="00B97B0E">
      <w:pPr>
        <w:pBdr>
          <w:top w:val="nil"/>
          <w:left w:val="nil"/>
          <w:bottom w:val="nil"/>
          <w:right w:val="nil"/>
          <w:between w:val="nil"/>
        </w:pBdr>
        <w:rPr>
          <w:rFonts w:eastAsia="Palatino Linotype" w:cs="Palatino Linotype"/>
          <w:color w:val="000000"/>
          <w:szCs w:val="24"/>
        </w:rPr>
      </w:pPr>
    </w:p>
    <w:p w14:paraId="70BA7519" w14:textId="77777777" w:rsidR="00B97B0E" w:rsidRPr="005C5EB4" w:rsidRDefault="00B97B0E" w:rsidP="005C5EB4">
      <w:pPr>
        <w:pStyle w:val="Ttulo1"/>
        <w:rPr>
          <w:rFonts w:eastAsia="Palatino Linotype"/>
        </w:rPr>
      </w:pPr>
      <w:r w:rsidRPr="005C5EB4">
        <w:rPr>
          <w:rFonts w:eastAsia="Palatino Linotype"/>
        </w:rPr>
        <w:t>S E    R E S U E L V E</w:t>
      </w:r>
    </w:p>
    <w:p w14:paraId="3C2B363F" w14:textId="77777777" w:rsidR="00B97B0E" w:rsidRPr="005C5EB4" w:rsidRDefault="00B97B0E" w:rsidP="00B97B0E">
      <w:pPr>
        <w:pBdr>
          <w:top w:val="nil"/>
          <w:left w:val="nil"/>
          <w:bottom w:val="nil"/>
          <w:right w:val="nil"/>
          <w:between w:val="nil"/>
        </w:pBdr>
        <w:rPr>
          <w:rFonts w:eastAsia="Palatino Linotype" w:cs="Palatino Linotype"/>
          <w:b/>
          <w:color w:val="000000"/>
          <w:szCs w:val="24"/>
        </w:rPr>
      </w:pPr>
    </w:p>
    <w:p w14:paraId="60CCD398" w14:textId="594A5CF2" w:rsidR="00B97B0E" w:rsidRPr="005C5EB4" w:rsidRDefault="6011CFBC" w:rsidP="6011CFBC">
      <w:pPr>
        <w:pBdr>
          <w:top w:val="nil"/>
          <w:left w:val="nil"/>
          <w:bottom w:val="nil"/>
          <w:right w:val="nil"/>
          <w:between w:val="nil"/>
        </w:pBdr>
        <w:rPr>
          <w:rFonts w:eastAsia="Palatino Linotype" w:cs="Palatino Linotype"/>
          <w:color w:val="000000"/>
        </w:rPr>
      </w:pPr>
      <w:r w:rsidRPr="005C5EB4">
        <w:rPr>
          <w:rFonts w:eastAsia="Palatino Linotype" w:cs="Palatino Linotype"/>
          <w:b/>
          <w:bCs/>
          <w:color w:val="000000" w:themeColor="text1"/>
        </w:rPr>
        <w:t>PRIMERO.</w:t>
      </w:r>
      <w:r w:rsidRPr="005C5EB4">
        <w:rPr>
          <w:rFonts w:eastAsia="Palatino Linotype" w:cs="Palatino Linotype"/>
          <w:color w:val="000000" w:themeColor="text1"/>
        </w:rPr>
        <w:t xml:space="preserve"> Se </w:t>
      </w:r>
      <w:r w:rsidRPr="005C5EB4">
        <w:rPr>
          <w:rFonts w:eastAsia="Palatino Linotype" w:cs="Palatino Linotype"/>
          <w:b/>
          <w:bCs/>
          <w:color w:val="000000" w:themeColor="text1"/>
        </w:rPr>
        <w:t>MODIFICA</w:t>
      </w:r>
      <w:r w:rsidRPr="005C5EB4">
        <w:rPr>
          <w:rFonts w:eastAsia="Palatino Linotype" w:cs="Palatino Linotype"/>
          <w:color w:val="000000" w:themeColor="text1"/>
        </w:rPr>
        <w:t xml:space="preserve"> la respuesta entregada por el Sujeto Obligado</w:t>
      </w:r>
      <w:r w:rsidRPr="005C5EB4">
        <w:rPr>
          <w:rFonts w:eastAsia="Palatino Linotype" w:cs="Palatino Linotype"/>
          <w:b/>
          <w:bCs/>
          <w:color w:val="000000" w:themeColor="text1"/>
        </w:rPr>
        <w:t xml:space="preserve"> </w:t>
      </w:r>
      <w:r w:rsidRPr="005C5EB4">
        <w:rPr>
          <w:rFonts w:eastAsia="Palatino Linotype" w:cs="Palatino Linotype"/>
          <w:color w:val="000000" w:themeColor="text1"/>
        </w:rPr>
        <w:t xml:space="preserve">a la solicitud de información número </w:t>
      </w:r>
      <w:r w:rsidR="00BB6884" w:rsidRPr="00BB6884">
        <w:rPr>
          <w:rFonts w:eastAsia="Palatino Linotype" w:cs="Palatino Linotype"/>
          <w:b/>
          <w:bCs/>
          <w:color w:val="000000" w:themeColor="text1"/>
        </w:rPr>
        <w:t>02322/TOLUCA/IP/2023</w:t>
      </w:r>
      <w:r w:rsidRPr="005C5EB4">
        <w:rPr>
          <w:rFonts w:eastAsia="Palatino Linotype" w:cs="Palatino Linotype"/>
          <w:color w:val="000000" w:themeColor="text1"/>
        </w:rPr>
        <w:t>, por resultar fundados los motivos de inconformidad argüidos por el Recurrente, en términos del</w:t>
      </w:r>
      <w:r w:rsidRPr="005C5EB4">
        <w:rPr>
          <w:rFonts w:eastAsia="Palatino Linotype" w:cs="Palatino Linotype"/>
          <w:b/>
          <w:bCs/>
          <w:color w:val="000000" w:themeColor="text1"/>
        </w:rPr>
        <w:t xml:space="preserve"> Considerando </w:t>
      </w:r>
      <w:r w:rsidR="00BB6884">
        <w:rPr>
          <w:rFonts w:eastAsia="Palatino Linotype" w:cs="Palatino Linotype"/>
          <w:b/>
          <w:bCs/>
          <w:color w:val="000000" w:themeColor="text1"/>
        </w:rPr>
        <w:t>CUAR</w:t>
      </w:r>
      <w:r w:rsidRPr="005C5EB4">
        <w:rPr>
          <w:rFonts w:eastAsia="Palatino Linotype" w:cs="Palatino Linotype"/>
          <w:b/>
          <w:bCs/>
          <w:color w:val="000000" w:themeColor="text1"/>
        </w:rPr>
        <w:t xml:space="preserve">TO </w:t>
      </w:r>
      <w:r w:rsidRPr="005C5EB4">
        <w:rPr>
          <w:rFonts w:eastAsia="Palatino Linotype" w:cs="Palatino Linotype"/>
          <w:color w:val="000000" w:themeColor="text1"/>
        </w:rPr>
        <w:t xml:space="preserve">de la presente resolución. </w:t>
      </w:r>
    </w:p>
    <w:p w14:paraId="2CDE5DB7" w14:textId="77777777" w:rsidR="00B97B0E" w:rsidRPr="005C5EB4" w:rsidRDefault="00B97B0E" w:rsidP="00B97B0E">
      <w:pPr>
        <w:pBdr>
          <w:top w:val="nil"/>
          <w:left w:val="nil"/>
          <w:bottom w:val="nil"/>
          <w:right w:val="nil"/>
          <w:between w:val="nil"/>
        </w:pBdr>
        <w:rPr>
          <w:rFonts w:eastAsia="Palatino Linotype" w:cs="Palatino Linotype"/>
          <w:color w:val="000000"/>
          <w:szCs w:val="24"/>
        </w:rPr>
      </w:pPr>
    </w:p>
    <w:p w14:paraId="0C9CBB44" w14:textId="39F87EA0" w:rsidR="00B97B0E" w:rsidRDefault="00B97B0E" w:rsidP="00B97B0E">
      <w:pPr>
        <w:pBdr>
          <w:top w:val="nil"/>
          <w:left w:val="nil"/>
          <w:bottom w:val="nil"/>
          <w:right w:val="nil"/>
          <w:between w:val="nil"/>
        </w:pBdr>
        <w:rPr>
          <w:rFonts w:eastAsia="Palatino Linotype" w:cs="Palatino Linotype"/>
          <w:color w:val="000000"/>
          <w:szCs w:val="24"/>
        </w:rPr>
      </w:pPr>
      <w:r w:rsidRPr="005C5EB4">
        <w:rPr>
          <w:rFonts w:eastAsia="Palatino Linotype" w:cs="Palatino Linotype"/>
          <w:b/>
          <w:color w:val="000000"/>
          <w:szCs w:val="24"/>
        </w:rPr>
        <w:t>SEGUNDO.</w:t>
      </w:r>
      <w:r w:rsidRPr="005C5EB4">
        <w:rPr>
          <w:rFonts w:eastAsia="Palatino Linotype" w:cs="Palatino Linotype"/>
          <w:color w:val="000000"/>
          <w:szCs w:val="24"/>
        </w:rPr>
        <w:t xml:space="preserve"> Se </w:t>
      </w:r>
      <w:r w:rsidRPr="005C5EB4">
        <w:rPr>
          <w:rFonts w:eastAsia="Palatino Linotype" w:cs="Palatino Linotype"/>
          <w:b/>
          <w:color w:val="000000"/>
          <w:szCs w:val="24"/>
        </w:rPr>
        <w:t>ORDENA</w:t>
      </w:r>
      <w:r w:rsidRPr="005C5EB4">
        <w:rPr>
          <w:rFonts w:eastAsia="Palatino Linotype" w:cs="Palatino Linotype"/>
          <w:color w:val="000000"/>
          <w:szCs w:val="24"/>
        </w:rPr>
        <w:t xml:space="preserve"> al Sujeto Obligado que haga entrega al Recurrente mediante el Sistema de Acceso a la Información Mexiquense (SAIMEX)</w:t>
      </w:r>
      <w:r w:rsidR="00940036">
        <w:rPr>
          <w:rFonts w:eastAsia="Palatino Linotype" w:cs="Palatino Linotype"/>
          <w:color w:val="000000"/>
          <w:szCs w:val="24"/>
        </w:rPr>
        <w:t>, en versión pública de ser procedente</w:t>
      </w:r>
      <w:r w:rsidRPr="005C5EB4">
        <w:rPr>
          <w:rFonts w:eastAsia="Palatino Linotype" w:cs="Palatino Linotype"/>
          <w:color w:val="000000"/>
          <w:szCs w:val="24"/>
        </w:rPr>
        <w:t xml:space="preserve"> y en términos del </w:t>
      </w:r>
      <w:r w:rsidRPr="005C5EB4">
        <w:rPr>
          <w:rFonts w:eastAsia="Palatino Linotype" w:cs="Palatino Linotype"/>
          <w:b/>
          <w:color w:val="000000"/>
          <w:szCs w:val="24"/>
        </w:rPr>
        <w:t xml:space="preserve">Considerando </w:t>
      </w:r>
      <w:r w:rsidR="00BB6884">
        <w:rPr>
          <w:rFonts w:eastAsia="Palatino Linotype" w:cs="Palatino Linotype"/>
          <w:b/>
          <w:color w:val="000000"/>
          <w:szCs w:val="24"/>
        </w:rPr>
        <w:t>CUAR</w:t>
      </w:r>
      <w:r w:rsidR="00114C24" w:rsidRPr="005C5EB4">
        <w:rPr>
          <w:rFonts w:eastAsia="Palatino Linotype" w:cs="Palatino Linotype"/>
          <w:b/>
          <w:color w:val="000000"/>
          <w:szCs w:val="24"/>
        </w:rPr>
        <w:t>TO</w:t>
      </w:r>
      <w:r w:rsidRPr="005C5EB4">
        <w:rPr>
          <w:rFonts w:eastAsia="Palatino Linotype" w:cs="Palatino Linotype"/>
          <w:color w:val="000000"/>
          <w:szCs w:val="24"/>
        </w:rPr>
        <w:t>, de</w:t>
      </w:r>
      <w:r w:rsidR="00940036">
        <w:rPr>
          <w:rFonts w:eastAsia="Palatino Linotype" w:cs="Palatino Linotype"/>
          <w:color w:val="000000"/>
          <w:szCs w:val="24"/>
        </w:rPr>
        <w:t xml:space="preserve"> </w:t>
      </w:r>
      <w:r w:rsidRPr="005C5EB4">
        <w:rPr>
          <w:rFonts w:eastAsia="Palatino Linotype" w:cs="Palatino Linotype"/>
          <w:color w:val="000000"/>
          <w:szCs w:val="24"/>
        </w:rPr>
        <w:t>l</w:t>
      </w:r>
      <w:r w:rsidR="00940036">
        <w:rPr>
          <w:rFonts w:eastAsia="Palatino Linotype" w:cs="Palatino Linotype"/>
          <w:color w:val="000000"/>
          <w:szCs w:val="24"/>
        </w:rPr>
        <w:t>o</w:t>
      </w:r>
      <w:r w:rsidR="00BB6884">
        <w:rPr>
          <w:rFonts w:eastAsia="Palatino Linotype" w:cs="Palatino Linotype"/>
          <w:color w:val="000000"/>
          <w:szCs w:val="24"/>
        </w:rPr>
        <w:t>s documentos en donde conste lo</w:t>
      </w:r>
      <w:r w:rsidR="00940036">
        <w:rPr>
          <w:rFonts w:eastAsia="Palatino Linotype" w:cs="Palatino Linotype"/>
          <w:color w:val="000000"/>
          <w:szCs w:val="24"/>
        </w:rPr>
        <w:t xml:space="preserve"> siguiente:</w:t>
      </w:r>
    </w:p>
    <w:p w14:paraId="02B1F5FE" w14:textId="77777777" w:rsidR="00940036" w:rsidRDefault="00940036" w:rsidP="00B97B0E">
      <w:pPr>
        <w:pBdr>
          <w:top w:val="nil"/>
          <w:left w:val="nil"/>
          <w:bottom w:val="nil"/>
          <w:right w:val="nil"/>
          <w:between w:val="nil"/>
        </w:pBdr>
        <w:rPr>
          <w:rFonts w:eastAsia="Palatino Linotype" w:cs="Palatino Linotype"/>
          <w:color w:val="000000"/>
          <w:szCs w:val="24"/>
        </w:rPr>
      </w:pPr>
    </w:p>
    <w:p w14:paraId="4E3861AB" w14:textId="5FCBE46F" w:rsidR="00940036" w:rsidRDefault="00940036" w:rsidP="005A4281">
      <w:pPr>
        <w:pStyle w:val="Prrafodelista"/>
        <w:numPr>
          <w:ilvl w:val="0"/>
          <w:numId w:val="37"/>
        </w:numPr>
        <w:pBdr>
          <w:top w:val="nil"/>
          <w:left w:val="nil"/>
          <w:bottom w:val="nil"/>
          <w:right w:val="nil"/>
          <w:between w:val="nil"/>
        </w:pBdr>
        <w:spacing w:line="276" w:lineRule="auto"/>
        <w:rPr>
          <w:rFonts w:eastAsia="Palatino Linotype" w:cs="Palatino Linotype"/>
          <w:i/>
          <w:iCs/>
          <w:color w:val="000000"/>
        </w:rPr>
      </w:pPr>
      <w:r w:rsidRPr="00940036">
        <w:rPr>
          <w:rFonts w:eastAsia="Palatino Linotype" w:cs="Palatino Linotype"/>
          <w:i/>
          <w:iCs/>
          <w:color w:val="000000"/>
        </w:rPr>
        <w:lastRenderedPageBreak/>
        <w:t>El</w:t>
      </w:r>
      <w:r w:rsidR="00BB6884" w:rsidRPr="00BB6884">
        <w:rPr>
          <w:rFonts w:eastAsia="Palatino Linotype" w:cs="Palatino Linotype"/>
          <w:i/>
          <w:iCs/>
          <w:color w:val="000000"/>
        </w:rPr>
        <w:t xml:space="preserve"> reporte de incidencia delictiva remitido en respuesta</w:t>
      </w:r>
      <w:r w:rsidR="00BB6884">
        <w:rPr>
          <w:rFonts w:eastAsia="Palatino Linotype" w:cs="Palatino Linotype"/>
          <w:i/>
          <w:iCs/>
          <w:color w:val="000000"/>
        </w:rPr>
        <w:t>,</w:t>
      </w:r>
      <w:r w:rsidR="00BB6884" w:rsidRPr="00BB6884">
        <w:rPr>
          <w:rFonts w:eastAsia="Palatino Linotype" w:cs="Palatino Linotype"/>
          <w:i/>
          <w:iCs/>
          <w:color w:val="000000"/>
        </w:rPr>
        <w:t xml:space="preserve"> de manera legible</w:t>
      </w:r>
      <w:r w:rsidRPr="00940036">
        <w:rPr>
          <w:rFonts w:eastAsia="Palatino Linotype" w:cs="Palatino Linotype"/>
          <w:i/>
          <w:iCs/>
          <w:color w:val="000000"/>
        </w:rPr>
        <w:t>.</w:t>
      </w:r>
    </w:p>
    <w:p w14:paraId="6A392812" w14:textId="3DDD84FF" w:rsidR="00BB6884" w:rsidRPr="00940036" w:rsidRDefault="00BB6884" w:rsidP="005A4281">
      <w:pPr>
        <w:pStyle w:val="Prrafodelista"/>
        <w:numPr>
          <w:ilvl w:val="0"/>
          <w:numId w:val="37"/>
        </w:numPr>
        <w:pBdr>
          <w:top w:val="nil"/>
          <w:left w:val="nil"/>
          <w:bottom w:val="nil"/>
          <w:right w:val="nil"/>
          <w:between w:val="nil"/>
        </w:pBdr>
        <w:spacing w:line="276" w:lineRule="auto"/>
        <w:rPr>
          <w:rFonts w:eastAsia="Palatino Linotype" w:cs="Palatino Linotype"/>
          <w:i/>
          <w:iCs/>
          <w:color w:val="000000"/>
        </w:rPr>
      </w:pPr>
      <w:r>
        <w:rPr>
          <w:rFonts w:eastAsia="Palatino Linotype" w:cs="Palatino Linotype"/>
          <w:i/>
          <w:iCs/>
          <w:color w:val="000000"/>
        </w:rPr>
        <w:t>L</w:t>
      </w:r>
      <w:r w:rsidRPr="00BB6884">
        <w:rPr>
          <w:rFonts w:eastAsia="Palatino Linotype" w:cs="Palatino Linotype"/>
          <w:i/>
          <w:iCs/>
          <w:color w:val="000000"/>
        </w:rPr>
        <w:t>as causas que originaron las veinticuatro resoluciones emitidas por la Comisión de Honor y Justicia referidas en respuesta a la solicitud de información</w:t>
      </w:r>
      <w:r w:rsidR="005A4281">
        <w:rPr>
          <w:rFonts w:eastAsia="Palatino Linotype" w:cs="Palatino Linotype"/>
          <w:i/>
          <w:iCs/>
          <w:color w:val="000000"/>
        </w:rPr>
        <w:t>.</w:t>
      </w:r>
    </w:p>
    <w:p w14:paraId="18753F2E" w14:textId="77777777" w:rsidR="00940036" w:rsidRDefault="00940036" w:rsidP="00940036">
      <w:pPr>
        <w:pBdr>
          <w:top w:val="nil"/>
          <w:left w:val="nil"/>
          <w:bottom w:val="nil"/>
          <w:right w:val="nil"/>
          <w:between w:val="nil"/>
        </w:pBdr>
        <w:rPr>
          <w:rFonts w:eastAsia="Palatino Linotype" w:cs="Palatino Linotype"/>
          <w:color w:val="000000"/>
        </w:rPr>
      </w:pPr>
    </w:p>
    <w:p w14:paraId="7FF8F568" w14:textId="77777777" w:rsidR="00940036" w:rsidRPr="004926E7" w:rsidRDefault="00940036" w:rsidP="00940036">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necesario, c</w:t>
      </w:r>
      <w:r w:rsidRPr="004926E7">
        <w:rPr>
          <w:rFonts w:eastAsia="Palatino Linotype" w:cs="Palatino Linotype"/>
          <w:color w:val="000000"/>
          <w:szCs w:val="24"/>
        </w:rPr>
        <w:t xml:space="preserve">omo sustento de la versión pública </w:t>
      </w:r>
      <w:r>
        <w:rPr>
          <w:rFonts w:eastAsia="Palatino Linotype" w:cs="Palatino Linotype"/>
          <w:color w:val="000000"/>
          <w:szCs w:val="24"/>
        </w:rPr>
        <w:t xml:space="preserve">de los documentos referidos, </w:t>
      </w:r>
      <w:r w:rsidRPr="004926E7">
        <w:rPr>
          <w:rFonts w:eastAsia="Palatino Linotype" w:cs="Palatino Linotype"/>
          <w:color w:val="000000"/>
          <w:szCs w:val="24"/>
        </w:rPr>
        <w:t>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7D7F392B" w14:textId="77777777" w:rsidR="00B97B0E" w:rsidRPr="005C5EB4" w:rsidRDefault="00B97B0E" w:rsidP="00B97B0E">
      <w:pPr>
        <w:pBdr>
          <w:top w:val="nil"/>
          <w:left w:val="nil"/>
          <w:bottom w:val="nil"/>
          <w:right w:val="nil"/>
          <w:between w:val="nil"/>
        </w:pBdr>
        <w:rPr>
          <w:rFonts w:eastAsia="Palatino Linotype" w:cs="Palatino Linotype"/>
          <w:color w:val="000000"/>
          <w:szCs w:val="24"/>
        </w:rPr>
      </w:pPr>
    </w:p>
    <w:p w14:paraId="11B92982" w14:textId="0EF4EB73" w:rsidR="00B97B0E" w:rsidRPr="00F467A8" w:rsidRDefault="00B97B0E" w:rsidP="00B97B0E">
      <w:pPr>
        <w:pBdr>
          <w:top w:val="nil"/>
          <w:left w:val="nil"/>
          <w:bottom w:val="nil"/>
          <w:right w:val="nil"/>
          <w:between w:val="nil"/>
        </w:pBdr>
        <w:rPr>
          <w:rFonts w:eastAsia="Palatino Linotype" w:cs="Palatino Linotype"/>
          <w:color w:val="000000"/>
          <w:szCs w:val="24"/>
        </w:rPr>
      </w:pPr>
      <w:r w:rsidRPr="005C5EB4">
        <w:rPr>
          <w:rFonts w:eastAsia="Palatino Linotype" w:cs="Palatino Linotype"/>
          <w:b/>
          <w:color w:val="000000"/>
          <w:szCs w:val="24"/>
        </w:rPr>
        <w:t>TERCERO. Notifíquese</w:t>
      </w:r>
      <w:r w:rsidR="005C5EB4" w:rsidRPr="005C5EB4">
        <w:rPr>
          <w:rFonts w:eastAsia="Palatino Linotype" w:cs="Palatino Linotype"/>
          <w:color w:val="000000"/>
          <w:szCs w:val="24"/>
        </w:rPr>
        <w:t xml:space="preserve"> </w:t>
      </w:r>
      <w:r w:rsidR="005C5EB4">
        <w:rPr>
          <w:rFonts w:eastAsia="Palatino Linotype" w:cs="Palatino Linotype"/>
          <w:color w:val="000000"/>
          <w:szCs w:val="24"/>
        </w:rPr>
        <w:t>la presente resolución al</w:t>
      </w:r>
      <w:r w:rsidR="005C5EB4" w:rsidRPr="00B64678">
        <w:rPr>
          <w:rFonts w:eastAsia="Palatino Linotype" w:cs="Palatino Linotype"/>
          <w:color w:val="000000"/>
          <w:szCs w:val="24"/>
        </w:rPr>
        <w:t xml:space="preserve"> Titular de la Unidad de Transparencia del Sujeto Obligado para que</w:t>
      </w:r>
      <w:r w:rsidR="005C5EB4">
        <w:rPr>
          <w:rFonts w:eastAsia="Palatino Linotype" w:cs="Palatino Linotype"/>
          <w:color w:val="000000"/>
          <w:szCs w:val="24"/>
        </w:rPr>
        <w:t>,</w:t>
      </w:r>
      <w:r w:rsidR="005C5EB4" w:rsidRPr="00B64678">
        <w:rPr>
          <w:rFonts w:eastAsia="Palatino Linotype" w:cs="Palatino Linotype"/>
          <w:color w:val="000000"/>
          <w:szCs w:val="24"/>
        </w:rPr>
        <w:t xml:space="preserve"> conforme a</w:t>
      </w:r>
      <w:r w:rsidR="005C5EB4">
        <w:rPr>
          <w:rFonts w:eastAsia="Palatino Linotype" w:cs="Palatino Linotype"/>
          <w:color w:val="000000"/>
          <w:szCs w:val="24"/>
        </w:rPr>
        <w:t xml:space="preserve"> </w:t>
      </w:r>
      <w:r w:rsidR="005C5EB4" w:rsidRPr="00B64678">
        <w:rPr>
          <w:rFonts w:eastAsia="Palatino Linotype" w:cs="Palatino Linotype"/>
          <w:color w:val="000000"/>
          <w:szCs w:val="24"/>
        </w:rPr>
        <w:t>l</w:t>
      </w:r>
      <w:r w:rsidR="005C5EB4">
        <w:rPr>
          <w:rFonts w:eastAsia="Palatino Linotype" w:cs="Palatino Linotype"/>
          <w:color w:val="000000"/>
          <w:szCs w:val="24"/>
        </w:rPr>
        <w:t>os</w:t>
      </w:r>
      <w:r w:rsidR="005C5EB4" w:rsidRPr="00B64678">
        <w:rPr>
          <w:rFonts w:eastAsia="Palatino Linotype" w:cs="Palatino Linotype"/>
          <w:color w:val="000000"/>
          <w:szCs w:val="24"/>
        </w:rPr>
        <w:t xml:space="preserve"> artículo</w:t>
      </w:r>
      <w:r w:rsidR="005C5EB4">
        <w:rPr>
          <w:rFonts w:eastAsia="Palatino Linotype" w:cs="Palatino Linotype"/>
          <w:color w:val="000000"/>
          <w:szCs w:val="24"/>
        </w:rPr>
        <w:t>s</w:t>
      </w:r>
      <w:r w:rsidR="005C5EB4" w:rsidRPr="00B64678">
        <w:rPr>
          <w:rFonts w:eastAsia="Palatino Linotype" w:cs="Palatino Linotype"/>
          <w:color w:val="000000"/>
          <w:szCs w:val="24"/>
        </w:rPr>
        <w:t xml:space="preserve"> 186 último párrafo, 189 segundo párrafo y 194 de la Ley de Transparencia y Acceso a la Información Pública del Estado de México y Municipios</w:t>
      </w:r>
      <w:r w:rsidR="005C5EB4">
        <w:rPr>
          <w:rFonts w:eastAsia="Palatino Linotype" w:cs="Palatino Linotype"/>
          <w:color w:val="000000"/>
          <w:szCs w:val="24"/>
        </w:rPr>
        <w:t>,</w:t>
      </w:r>
      <w:r w:rsidR="005C5EB4" w:rsidRPr="00B64678">
        <w:rPr>
          <w:rFonts w:eastAsia="Palatino Linotype" w:cs="Palatino Linotype"/>
          <w:color w:val="000000"/>
          <w:szCs w:val="24"/>
        </w:rPr>
        <w:t xml:space="preserve"> dé cumplimiento a lo ordenado dentro del plazo de diez días hábiles e informe a este Instituto en un plazo de tres días hábiles siguientes sobre el cumplimiento dado a la presente</w:t>
      </w:r>
      <w:r w:rsidR="005C5EB4">
        <w:rPr>
          <w:rFonts w:eastAsia="Palatino Linotype" w:cs="Palatino Linotype"/>
          <w:color w:val="000000"/>
          <w:szCs w:val="24"/>
        </w:rPr>
        <w:t>; y</w:t>
      </w:r>
      <w:r w:rsidR="005C5EB4" w:rsidRPr="00B64678">
        <w:rPr>
          <w:rFonts w:eastAsia="Palatino Linotype" w:cs="Palatino Linotype"/>
          <w:color w:val="000000"/>
          <w:szCs w:val="24"/>
        </w:rPr>
        <w:t xml:space="preserve"> se le apercibe que</w:t>
      </w:r>
      <w:r w:rsidR="005C5EB4">
        <w:rPr>
          <w:rFonts w:eastAsia="Palatino Linotype" w:cs="Palatino Linotype"/>
          <w:color w:val="000000"/>
          <w:szCs w:val="24"/>
        </w:rPr>
        <w:t>,</w:t>
      </w:r>
      <w:r w:rsidR="005C5EB4" w:rsidRPr="00B64678">
        <w:rPr>
          <w:rFonts w:eastAsia="Palatino Linotype" w:cs="Palatino Linotype"/>
          <w:color w:val="000000"/>
          <w:szCs w:val="24"/>
        </w:rPr>
        <w:t xml:space="preserve"> en caso de negarse a cumplir la presente resolución o hacerlo de manera parcial, se le impondrá una medida de apremio de conformidad con lo previsto en los artículos 198, 200 fracción III</w:t>
      </w:r>
      <w:r w:rsidR="005C5EB4">
        <w:rPr>
          <w:rFonts w:eastAsia="Palatino Linotype" w:cs="Palatino Linotype"/>
          <w:color w:val="000000"/>
          <w:szCs w:val="24"/>
        </w:rPr>
        <w:t>,</w:t>
      </w:r>
      <w:r w:rsidR="005C5EB4" w:rsidRPr="00B64678">
        <w:rPr>
          <w:rFonts w:eastAsia="Palatino Linotype" w:cs="Palatino Linotype"/>
          <w:color w:val="000000"/>
          <w:szCs w:val="24"/>
        </w:rPr>
        <w:t xml:space="preserve"> 214, 215 y 216 de la Ley de Transparencia y Acceso a la Información Pública del Estado de México y Municipios.</w:t>
      </w:r>
    </w:p>
    <w:p w14:paraId="077A2145" w14:textId="77777777" w:rsidR="00B97B0E" w:rsidRPr="00F467A8" w:rsidRDefault="00B97B0E" w:rsidP="00B97B0E">
      <w:pPr>
        <w:pBdr>
          <w:top w:val="nil"/>
          <w:left w:val="nil"/>
          <w:bottom w:val="nil"/>
          <w:right w:val="nil"/>
          <w:between w:val="nil"/>
        </w:pBdr>
        <w:rPr>
          <w:rFonts w:eastAsia="Palatino Linotype" w:cs="Palatino Linotype"/>
          <w:color w:val="000000"/>
          <w:szCs w:val="24"/>
        </w:rPr>
      </w:pPr>
    </w:p>
    <w:p w14:paraId="735AFAA7" w14:textId="77777777" w:rsidR="00B97B0E" w:rsidRPr="00F467A8" w:rsidRDefault="00B97B0E" w:rsidP="00B97B0E">
      <w:pPr>
        <w:pBdr>
          <w:top w:val="nil"/>
          <w:left w:val="nil"/>
          <w:bottom w:val="nil"/>
          <w:right w:val="nil"/>
          <w:between w:val="nil"/>
        </w:pBdr>
        <w:rPr>
          <w:rFonts w:eastAsia="Palatino Linotype" w:cs="Palatino Linotype"/>
          <w:color w:val="000000"/>
          <w:szCs w:val="24"/>
        </w:rPr>
      </w:pPr>
      <w:r w:rsidRPr="00F467A8">
        <w:rPr>
          <w:rFonts w:eastAsia="Palatino Linotype" w:cs="Palatino Linotype"/>
          <w:b/>
          <w:color w:val="000000"/>
          <w:szCs w:val="24"/>
        </w:rPr>
        <w:t xml:space="preserve">CUARTO. </w:t>
      </w:r>
      <w:r w:rsidRPr="00F467A8">
        <w:rPr>
          <w:rFonts w:eastAsia="Palatino Linotype" w:cs="Palatino Linotype"/>
          <w:color w:val="000000"/>
          <w:szCs w:val="24"/>
        </w:rPr>
        <w:t xml:space="preserve">De conformidad con el artículo 198 de la Ley de Transparencia y Acceso a la Información Pública del Estado de México y Municipios, de considerarlo procedente, el </w:t>
      </w:r>
      <w:r w:rsidRPr="00F467A8">
        <w:rPr>
          <w:rFonts w:eastAsia="Palatino Linotype" w:cs="Palatino Linotype"/>
          <w:color w:val="000000"/>
          <w:szCs w:val="24"/>
        </w:rPr>
        <w:lastRenderedPageBreak/>
        <w:t>Sujeto Obligado, de manera fundada y motivada, podrá solicitar una ampliación de plazo para el cumplimiento de la presente resolución.</w:t>
      </w:r>
    </w:p>
    <w:p w14:paraId="044EC76A" w14:textId="77777777" w:rsidR="00B97B0E" w:rsidRPr="00F467A8" w:rsidRDefault="00B97B0E" w:rsidP="00B97B0E">
      <w:pPr>
        <w:pBdr>
          <w:top w:val="nil"/>
          <w:left w:val="nil"/>
          <w:bottom w:val="nil"/>
          <w:right w:val="nil"/>
          <w:between w:val="nil"/>
        </w:pBdr>
        <w:rPr>
          <w:rFonts w:eastAsia="Palatino Linotype" w:cs="Palatino Linotype"/>
          <w:b/>
          <w:color w:val="000000"/>
          <w:szCs w:val="24"/>
        </w:rPr>
      </w:pPr>
    </w:p>
    <w:p w14:paraId="5D44F2F7" w14:textId="527F7864" w:rsidR="00B97B0E" w:rsidRPr="00F467A8" w:rsidRDefault="00B97B0E" w:rsidP="00B97B0E">
      <w:pPr>
        <w:contextualSpacing/>
        <w:rPr>
          <w:rFonts w:eastAsia="Palatino Linotype" w:cs="Palatino Linotype"/>
          <w:color w:val="000000"/>
          <w:szCs w:val="24"/>
        </w:rPr>
      </w:pPr>
      <w:r w:rsidRPr="00F467A8">
        <w:rPr>
          <w:rFonts w:eastAsia="Palatino Linotype" w:cs="Palatino Linotype"/>
          <w:b/>
          <w:color w:val="000000"/>
          <w:szCs w:val="24"/>
        </w:rPr>
        <w:t xml:space="preserve">QUINTO. Notifíquese </w:t>
      </w:r>
      <w:r w:rsidR="00940036" w:rsidRPr="00940036">
        <w:rPr>
          <w:rFonts w:eastAsia="Palatino Linotype" w:cs="Palatino Linotype"/>
          <w:color w:val="000000"/>
          <w:szCs w:val="24"/>
        </w:rPr>
        <w:t>la presente resolución a</w:t>
      </w:r>
      <w:r w:rsidR="00940036">
        <w:rPr>
          <w:rFonts w:eastAsia="Palatino Linotype" w:cs="Palatino Linotype"/>
          <w:color w:val="000000"/>
          <w:szCs w:val="24"/>
        </w:rPr>
        <w:t>l</w:t>
      </w:r>
      <w:r w:rsidR="00940036" w:rsidRPr="00940036">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3C6B48A7" w14:textId="77777777" w:rsidR="00B97B0E" w:rsidRDefault="00B97B0E" w:rsidP="00F012D3"/>
    <w:p w14:paraId="20573BFF" w14:textId="38EABB3D" w:rsidR="00A970D5" w:rsidRPr="006922F5" w:rsidRDefault="006922F5" w:rsidP="00235736">
      <w:pPr>
        <w:pBdr>
          <w:top w:val="nil"/>
          <w:left w:val="nil"/>
          <w:bottom w:val="nil"/>
          <w:right w:val="nil"/>
          <w:between w:val="nil"/>
        </w:pBdr>
        <w:ind w:right="-8"/>
        <w:contextualSpacing/>
        <w:rPr>
          <w:rFonts w:eastAsia="Palatino Linotype" w:cs="Palatino Linotype"/>
          <w:color w:val="000000"/>
          <w:szCs w:val="24"/>
        </w:rPr>
      </w:pPr>
      <w:r>
        <w:rPr>
          <w:rFonts w:eastAsia="Palatino Linotype" w:cs="Palatino Linotype"/>
          <w:color w:val="000000"/>
          <w:szCs w:val="24"/>
        </w:rPr>
        <w:t xml:space="preserve">ASÍ LO RESUELVE, POR </w:t>
      </w:r>
      <w:r w:rsidR="00593725">
        <w:rPr>
          <w:rFonts w:eastAsia="Palatino Linotype" w:cs="Palatino Linotype"/>
          <w:color w:val="000000"/>
          <w:szCs w:val="24"/>
        </w:rPr>
        <w:t xml:space="preserve">UNANIMIDAD </w:t>
      </w:r>
      <w:r>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43A6D">
        <w:rPr>
          <w:rFonts w:eastAsia="Palatino Linotype" w:cs="Palatino Linotype"/>
          <w:color w:val="000000"/>
          <w:szCs w:val="24"/>
        </w:rPr>
        <w:t xml:space="preserve"> (AUSENCIA JUSTIFICADA)</w:t>
      </w:r>
      <w:r>
        <w:rPr>
          <w:rFonts w:eastAsia="Palatino Linotype" w:cs="Palatino Linotype"/>
          <w:color w:val="000000"/>
          <w:szCs w:val="24"/>
        </w:rPr>
        <w:t xml:space="preserve">, LUIS GUSTAVO PARRA NORIEGA Y GUADALUPE RAMÍREZ PEÑA, EN LA </w:t>
      </w:r>
      <w:r w:rsidR="00B42ED1" w:rsidRPr="00C07AE2">
        <w:rPr>
          <w:rFonts w:eastAsia="Palatino Linotype" w:cs="Palatino Linotype"/>
          <w:color w:val="000000"/>
          <w:szCs w:val="24"/>
        </w:rPr>
        <w:t>T</w:t>
      </w:r>
      <w:r w:rsidR="005C5EB4" w:rsidRPr="00C07AE2">
        <w:rPr>
          <w:rFonts w:eastAsia="Palatino Linotype" w:cs="Palatino Linotype"/>
          <w:color w:val="000000"/>
          <w:szCs w:val="24"/>
        </w:rPr>
        <w:t xml:space="preserve">RIGÉSIMA </w:t>
      </w:r>
      <w:r w:rsidR="00C07AE2">
        <w:rPr>
          <w:rFonts w:eastAsia="Palatino Linotype" w:cs="Palatino Linotype"/>
          <w:color w:val="000000"/>
          <w:szCs w:val="24"/>
        </w:rPr>
        <w:t>SÉPTIMA</w:t>
      </w:r>
      <w:r>
        <w:rPr>
          <w:rFonts w:eastAsia="Palatino Linotype" w:cs="Palatino Linotype"/>
          <w:color w:val="000000"/>
          <w:szCs w:val="24"/>
        </w:rPr>
        <w:t xml:space="preserve"> SESIÓN ORDINARIA </w:t>
      </w:r>
      <w:r w:rsidRPr="00C07AE2">
        <w:rPr>
          <w:rFonts w:eastAsia="Palatino Linotype" w:cs="Palatino Linotype"/>
          <w:color w:val="000000"/>
          <w:szCs w:val="24"/>
        </w:rPr>
        <w:t>CELEBRADA EL</w:t>
      </w:r>
      <w:r w:rsidR="00593725" w:rsidRPr="00C07AE2">
        <w:rPr>
          <w:rFonts w:eastAsia="Palatino Linotype" w:cs="Palatino Linotype"/>
          <w:color w:val="000000"/>
          <w:szCs w:val="24"/>
        </w:rPr>
        <w:t xml:space="preserve"> </w:t>
      </w:r>
      <w:r w:rsidR="00094F2E">
        <w:rPr>
          <w:rFonts w:eastAsia="Palatino Linotype" w:cs="Palatino Linotype"/>
          <w:color w:val="000000"/>
          <w:szCs w:val="24"/>
        </w:rPr>
        <w:t>DO</w:t>
      </w:r>
      <w:r w:rsidR="00C07AE2">
        <w:rPr>
          <w:rFonts w:eastAsia="Palatino Linotype" w:cs="Palatino Linotype"/>
          <w:color w:val="000000"/>
          <w:szCs w:val="24"/>
        </w:rPr>
        <w:t>CE DE OCTUBRE</w:t>
      </w:r>
      <w:r w:rsidR="00593725" w:rsidRPr="00C07AE2">
        <w:rPr>
          <w:rFonts w:eastAsia="Palatino Linotype" w:cs="Palatino Linotype"/>
          <w:color w:val="000000"/>
          <w:szCs w:val="24"/>
        </w:rPr>
        <w:t xml:space="preserve"> DE</w:t>
      </w:r>
      <w:r w:rsidR="00593725">
        <w:rPr>
          <w:rFonts w:eastAsia="Palatino Linotype" w:cs="Palatino Linotype"/>
          <w:color w:val="000000"/>
          <w:szCs w:val="24"/>
        </w:rPr>
        <w:t xml:space="preserve"> DOS MIL VEINTITRÉS</w:t>
      </w:r>
      <w:r>
        <w:rPr>
          <w:rFonts w:eastAsia="Palatino Linotype" w:cs="Palatino Linotype"/>
          <w:color w:val="000000"/>
          <w:szCs w:val="24"/>
        </w:rPr>
        <w:t xml:space="preserve">, ANTE EL SECRETARIO TÉCNICO </w:t>
      </w:r>
      <w:r w:rsidR="00235736">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7F15FE" w:rsidRPr="006922F5">
        <w:rPr>
          <w:rFonts w:eastAsia="Palatino Linotype" w:cs="Palatino Linotype"/>
          <w:color w:val="000000"/>
          <w:szCs w:val="24"/>
        </w:rPr>
        <w:t>--------------</w:t>
      </w:r>
      <w:r>
        <w:rPr>
          <w:rFonts w:eastAsia="Palatino Linotype" w:cs="Palatino Linotype"/>
          <w:color w:val="000000"/>
          <w:szCs w:val="24"/>
        </w:rPr>
        <w:t>---------------------------------------------------------------------------------------------------------------------</w:t>
      </w:r>
      <w:r w:rsidR="00BB2A3A">
        <w:rPr>
          <w:rFonts w:eastAsia="Palatino Linotype" w:cs="Palatino Linotype"/>
          <w:color w:val="000000"/>
          <w:szCs w:val="24"/>
        </w:rPr>
        <w:t>---------------------</w:t>
      </w:r>
      <w:r w:rsidR="00235736">
        <w:rPr>
          <w:rFonts w:eastAsia="Palatino Linotype" w:cs="Palatino Linotype"/>
          <w:color w:val="000000"/>
          <w:szCs w:val="24"/>
        </w:rPr>
        <w:t>----------------------------------------------------------------------------------------------------------------------</w:t>
      </w:r>
      <w:r w:rsidR="00B25DBA">
        <w:rPr>
          <w:rFonts w:eastAsia="Palatino Linotype" w:cs="Palatino Linotype"/>
          <w:color w:val="000000"/>
          <w:szCs w:val="24"/>
        </w:rPr>
        <w:t>--------------------------------------------------------------------------------------------------------------------------------------------------------------------------------------------------------------------------------</w:t>
      </w:r>
    </w:p>
    <w:p w14:paraId="4DA57669" w14:textId="77777777" w:rsidR="00A970D5" w:rsidRPr="004B7011" w:rsidRDefault="00A970D5" w:rsidP="00235736">
      <w:pPr>
        <w:pBdr>
          <w:top w:val="nil"/>
          <w:left w:val="nil"/>
          <w:bottom w:val="nil"/>
          <w:right w:val="nil"/>
          <w:between w:val="nil"/>
        </w:pBdr>
        <w:spacing w:line="240" w:lineRule="auto"/>
        <w:ind w:right="-8"/>
        <w:contextualSpacing/>
        <w:rPr>
          <w:rFonts w:eastAsia="Palatino Linotype" w:cs="Palatino Linotype"/>
          <w:color w:val="000000"/>
          <w:sz w:val="20"/>
          <w:szCs w:val="20"/>
        </w:rPr>
      </w:pPr>
      <w:r w:rsidRPr="006922F5">
        <w:rPr>
          <w:rFonts w:eastAsia="Palatino Linotype" w:cs="Palatino Linotype"/>
          <w:color w:val="000000"/>
          <w:sz w:val="20"/>
          <w:szCs w:val="20"/>
        </w:rPr>
        <w:t>JMV/CCR/</w:t>
      </w:r>
      <w:proofErr w:type="spellStart"/>
      <w:r w:rsidRPr="006922F5">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82583F">
      <w:headerReference w:type="even" r:id="rId12"/>
      <w:headerReference w:type="default" r:id="rId13"/>
      <w:footerReference w:type="default" r:id="rId14"/>
      <w:headerReference w:type="first" r:id="rId15"/>
      <w:footerReference w:type="first" r:id="rId16"/>
      <w:pgSz w:w="12240" w:h="15840"/>
      <w:pgMar w:top="3062" w:right="1134" w:bottom="1134"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507D7" w14:textId="77777777" w:rsidR="00B864CA" w:rsidRDefault="00B864CA" w:rsidP="00F2498E">
      <w:pPr>
        <w:spacing w:line="240" w:lineRule="auto"/>
      </w:pPr>
      <w:r>
        <w:separator/>
      </w:r>
    </w:p>
  </w:endnote>
  <w:endnote w:type="continuationSeparator" w:id="0">
    <w:p w14:paraId="23FC0A2E" w14:textId="77777777" w:rsidR="00B864CA" w:rsidRDefault="00B864CA" w:rsidP="00F2498E">
      <w:pPr>
        <w:spacing w:line="240" w:lineRule="auto"/>
      </w:pPr>
      <w:r>
        <w:continuationSeparator/>
      </w:r>
    </w:p>
  </w:endnote>
  <w:endnote w:type="continuationNotice" w:id="1">
    <w:p w14:paraId="272A1107" w14:textId="77777777" w:rsidR="00B864CA" w:rsidRDefault="00B864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43387E4B" w:rsidR="008240F4" w:rsidRPr="00871A91" w:rsidRDefault="008240F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F2122">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F2122">
      <w:rPr>
        <w:rFonts w:ascii="Palatino Linotype" w:hAnsi="Palatino Linotype"/>
        <w:b/>
        <w:bCs/>
        <w:noProof/>
        <w:sz w:val="20"/>
      </w:rPr>
      <w:t>31</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06A78B00" w:rsidR="008240F4" w:rsidRPr="00871A91" w:rsidRDefault="008240F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F212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F2122">
      <w:rPr>
        <w:rFonts w:ascii="Palatino Linotype" w:hAnsi="Palatino Linotype"/>
        <w:b/>
        <w:bCs/>
        <w:noProof/>
        <w:sz w:val="20"/>
      </w:rPr>
      <w:t>31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C8C53" w14:textId="77777777" w:rsidR="00B864CA" w:rsidRDefault="00B864CA" w:rsidP="00F2498E">
      <w:pPr>
        <w:spacing w:line="240" w:lineRule="auto"/>
      </w:pPr>
      <w:r>
        <w:separator/>
      </w:r>
    </w:p>
  </w:footnote>
  <w:footnote w:type="continuationSeparator" w:id="0">
    <w:p w14:paraId="444D32EE" w14:textId="77777777" w:rsidR="00B864CA" w:rsidRDefault="00B864CA" w:rsidP="00F2498E">
      <w:pPr>
        <w:spacing w:line="240" w:lineRule="auto"/>
      </w:pPr>
      <w:r>
        <w:continuationSeparator/>
      </w:r>
    </w:p>
  </w:footnote>
  <w:footnote w:type="continuationNotice" w:id="1">
    <w:p w14:paraId="1AC57DEF" w14:textId="77777777" w:rsidR="00B864CA" w:rsidRDefault="00B864CA">
      <w:pPr>
        <w:spacing w:line="240" w:lineRule="auto"/>
      </w:pPr>
    </w:p>
  </w:footnote>
  <w:footnote w:id="2">
    <w:p w14:paraId="7822D80A" w14:textId="77777777" w:rsidR="008240F4" w:rsidRPr="0031280C" w:rsidRDefault="008240F4" w:rsidP="00B728EA">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BC6F955" w14:textId="77777777" w:rsidR="008240F4" w:rsidRPr="0031280C" w:rsidRDefault="008240F4" w:rsidP="00B728EA">
      <w:pPr>
        <w:pBdr>
          <w:top w:val="nil"/>
          <w:left w:val="nil"/>
          <w:bottom w:val="nil"/>
          <w:right w:val="nil"/>
          <w:between w:val="nil"/>
        </w:pBdr>
        <w:spacing w:line="240" w:lineRule="auto"/>
        <w:rPr>
          <w:rFonts w:eastAsia="Palatino Linotype" w:cs="Palatino Linotype"/>
          <w:color w:val="000000"/>
          <w:sz w:val="20"/>
          <w:szCs w:val="20"/>
        </w:rPr>
      </w:pPr>
    </w:p>
    <w:p w14:paraId="4B581BE7" w14:textId="77777777" w:rsidR="008240F4" w:rsidRPr="0031280C" w:rsidRDefault="008240F4" w:rsidP="00B728EA">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E3347A9" w14:textId="77777777" w:rsidR="008240F4" w:rsidRPr="0031280C" w:rsidRDefault="008240F4" w:rsidP="00B728EA">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44F94C24" w14:textId="77777777" w:rsidR="00B3293F" w:rsidRPr="00091848" w:rsidRDefault="00B3293F" w:rsidP="00B3293F">
      <w:pPr>
        <w:pStyle w:val="Textonotapie"/>
        <w:rPr>
          <w:lang w:val="es-MX"/>
        </w:rPr>
      </w:pPr>
      <w:r>
        <w:rPr>
          <w:rStyle w:val="Refdenotaalpie"/>
        </w:rPr>
        <w:footnoteRef/>
      </w:r>
      <w:r>
        <w:t xml:space="preserve"> </w:t>
      </w:r>
      <w:r>
        <w:rPr>
          <w:lang w:val="es-MX"/>
        </w:rPr>
        <w:t xml:space="preserve">Tesis VI.2o.A. J/7, </w:t>
      </w:r>
      <w:r>
        <w:rPr>
          <w:i/>
          <w:lang w:val="es-MX"/>
        </w:rPr>
        <w:t>Semanario Judicial de la Federación y su Gaceta</w:t>
      </w:r>
      <w:r>
        <w:rPr>
          <w:lang w:val="es-MX"/>
        </w:rPr>
        <w:t>, Novena Época, Tomo XXI, abril de 2005, pág. 1137.</w:t>
      </w:r>
    </w:p>
  </w:footnote>
  <w:footnote w:id="4">
    <w:p w14:paraId="29DA2D09" w14:textId="01A144C1" w:rsidR="00C245D9" w:rsidRDefault="00C245D9">
      <w:pPr>
        <w:pStyle w:val="Textonotapie"/>
      </w:pPr>
      <w:r>
        <w:rPr>
          <w:rStyle w:val="Refdenotaalpie"/>
        </w:rPr>
        <w:footnoteRef/>
      </w:r>
      <w:r>
        <w:t xml:space="preserve"> Defin</w:t>
      </w:r>
      <w:r w:rsidR="0043760A">
        <w:t xml:space="preserve">ición tomada de la página electrónica </w:t>
      </w:r>
      <w:hyperlink r:id="rId3" w:history="1">
        <w:r w:rsidR="0043760A" w:rsidRPr="00A40C9A">
          <w:rPr>
            <w:rStyle w:val="Hipervnculo"/>
          </w:rPr>
          <w:t>http://www.poderjudicialcdmx.gob.mx/estadistica/wp-content/uploads/Glosario.pdf</w:t>
        </w:r>
      </w:hyperlink>
      <w:r w:rsidR="0043760A">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8240F4" w:rsidRDefault="004F2122">
    <w:pPr>
      <w:pStyle w:val="Encabezado"/>
    </w:pPr>
    <w:r>
      <w:rPr>
        <w:noProof/>
        <w:lang w:val="es-MX" w:eastAsia="es-MX"/>
      </w:rPr>
      <w:pict w14:anchorId="11346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2291"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240F4" w:rsidRPr="00B17577" w14:paraId="37B9EBDE" w14:textId="77777777" w:rsidTr="003938ED">
      <w:trPr>
        <w:trHeight w:val="227"/>
      </w:trPr>
      <w:tc>
        <w:tcPr>
          <w:tcW w:w="5103" w:type="dxa"/>
          <w:hideMark/>
        </w:tcPr>
        <w:p w14:paraId="4964FBC5" w14:textId="54CDA645" w:rsidR="008240F4" w:rsidRPr="00096248" w:rsidRDefault="008240F4"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33FE28D" w:rsidR="008240F4" w:rsidRPr="00096248" w:rsidRDefault="0082583F" w:rsidP="00011C4D">
          <w:pPr>
            <w:spacing w:after="120" w:line="240" w:lineRule="auto"/>
            <w:ind w:right="71"/>
            <w:jc w:val="right"/>
            <w:rPr>
              <w:rFonts w:cs="Arial"/>
              <w:b/>
              <w:szCs w:val="24"/>
            </w:rPr>
          </w:pPr>
          <w:r>
            <w:rPr>
              <w:rFonts w:cs="Arial"/>
              <w:b/>
              <w:bCs/>
              <w:szCs w:val="24"/>
            </w:rPr>
            <w:t>044</w:t>
          </w:r>
          <w:r w:rsidR="008E7A33">
            <w:rPr>
              <w:rFonts w:cs="Arial"/>
              <w:b/>
              <w:bCs/>
              <w:szCs w:val="24"/>
            </w:rPr>
            <w:t>60</w:t>
          </w:r>
          <w:r w:rsidR="008240F4" w:rsidRPr="001D0070">
            <w:rPr>
              <w:rFonts w:cs="Arial"/>
              <w:b/>
              <w:bCs/>
              <w:szCs w:val="24"/>
            </w:rPr>
            <w:t>/INFOEM/IP/RR/2023</w:t>
          </w:r>
        </w:p>
      </w:tc>
    </w:tr>
    <w:tr w:rsidR="008240F4" w14:paraId="7591D3C9" w14:textId="77777777" w:rsidTr="003938ED">
      <w:trPr>
        <w:trHeight w:val="242"/>
      </w:trPr>
      <w:tc>
        <w:tcPr>
          <w:tcW w:w="5103" w:type="dxa"/>
          <w:hideMark/>
        </w:tcPr>
        <w:p w14:paraId="729A65A8" w14:textId="77777777" w:rsidR="008240F4" w:rsidRPr="00096248" w:rsidRDefault="008240F4"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43B88AF" w:rsidR="008240F4" w:rsidRPr="00096248" w:rsidRDefault="0082583F" w:rsidP="00100663">
          <w:pPr>
            <w:spacing w:after="120" w:line="240" w:lineRule="auto"/>
            <w:ind w:left="-81" w:right="71"/>
            <w:jc w:val="right"/>
            <w:rPr>
              <w:rFonts w:cs="Arial"/>
              <w:szCs w:val="24"/>
            </w:rPr>
          </w:pPr>
          <w:r>
            <w:rPr>
              <w:rFonts w:cs="Arial"/>
              <w:szCs w:val="24"/>
            </w:rPr>
            <w:t xml:space="preserve">Ayuntamiento de </w:t>
          </w:r>
          <w:r w:rsidR="008E7A33">
            <w:rPr>
              <w:rFonts w:cs="Arial"/>
              <w:szCs w:val="24"/>
            </w:rPr>
            <w:t>Toluca</w:t>
          </w:r>
        </w:p>
      </w:tc>
    </w:tr>
    <w:tr w:rsidR="008240F4" w:rsidRPr="00F63239" w14:paraId="037E914D" w14:textId="77777777" w:rsidTr="003938ED">
      <w:trPr>
        <w:trHeight w:val="342"/>
      </w:trPr>
      <w:tc>
        <w:tcPr>
          <w:tcW w:w="5103" w:type="dxa"/>
          <w:hideMark/>
        </w:tcPr>
        <w:p w14:paraId="7676B68F" w14:textId="64D69EAF" w:rsidR="008240F4" w:rsidRPr="00096248" w:rsidRDefault="008240F4"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8240F4" w:rsidRDefault="008240F4"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8240F4" w:rsidRPr="00711916" w:rsidRDefault="008240F4" w:rsidP="00011C4D">
          <w:pPr>
            <w:spacing w:after="120" w:line="240" w:lineRule="auto"/>
            <w:ind w:left="-486" w:right="71" w:firstLine="567"/>
            <w:jc w:val="right"/>
            <w:rPr>
              <w:rFonts w:cs="Arial"/>
              <w:sz w:val="2"/>
              <w:szCs w:val="2"/>
            </w:rPr>
          </w:pPr>
        </w:p>
      </w:tc>
    </w:tr>
  </w:tbl>
  <w:p w14:paraId="2998DBFD" w14:textId="25A9F426" w:rsidR="008240F4" w:rsidRPr="00871A91" w:rsidRDefault="004F2122">
    <w:pPr>
      <w:pStyle w:val="Encabezado"/>
      <w:rPr>
        <w:sz w:val="2"/>
      </w:rPr>
    </w:pPr>
    <w:r>
      <w:rPr>
        <w:noProof/>
        <w:lang w:val="es-MX" w:eastAsia="es-MX"/>
      </w:rPr>
      <w:pict w14:anchorId="15A91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2290" type="#_x0000_t75" alt="" style="position:absolute;left:0;text-align:left;margin-left:-82.2pt;margin-top:-147.4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8240F4">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240F4" w14:paraId="0F9FE9B6" w14:textId="77777777" w:rsidTr="003938ED">
      <w:trPr>
        <w:trHeight w:val="227"/>
      </w:trPr>
      <w:tc>
        <w:tcPr>
          <w:tcW w:w="5103" w:type="dxa"/>
          <w:hideMark/>
        </w:tcPr>
        <w:p w14:paraId="6D1D9D71" w14:textId="11150E5A" w:rsidR="008240F4" w:rsidRPr="00663A37" w:rsidRDefault="008240F4"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45801A6" w:rsidR="008240F4" w:rsidRPr="00C81ECD" w:rsidRDefault="0082583F" w:rsidP="00011C4D">
          <w:pPr>
            <w:spacing w:after="120" w:line="240" w:lineRule="auto"/>
            <w:ind w:left="-486" w:right="68" w:firstLine="558"/>
            <w:jc w:val="right"/>
            <w:rPr>
              <w:rFonts w:cs="Arial"/>
              <w:b/>
              <w:szCs w:val="24"/>
            </w:rPr>
          </w:pPr>
          <w:r>
            <w:rPr>
              <w:rFonts w:cs="Arial"/>
              <w:b/>
              <w:bCs/>
              <w:szCs w:val="24"/>
            </w:rPr>
            <w:t>04</w:t>
          </w:r>
          <w:r w:rsidR="008E7A33">
            <w:rPr>
              <w:rFonts w:cs="Arial"/>
              <w:b/>
              <w:bCs/>
              <w:szCs w:val="24"/>
            </w:rPr>
            <w:t>460</w:t>
          </w:r>
          <w:r w:rsidR="008240F4" w:rsidRPr="001D0070">
            <w:rPr>
              <w:rFonts w:cs="Arial"/>
              <w:b/>
              <w:bCs/>
              <w:szCs w:val="24"/>
            </w:rPr>
            <w:t>/INFOEM/IP/RR/2023</w:t>
          </w:r>
        </w:p>
      </w:tc>
    </w:tr>
    <w:tr w:rsidR="008240F4" w:rsidRPr="001F57CD" w14:paraId="1377D264" w14:textId="77777777" w:rsidTr="003938ED">
      <w:trPr>
        <w:trHeight w:val="196"/>
      </w:trPr>
      <w:tc>
        <w:tcPr>
          <w:tcW w:w="5103" w:type="dxa"/>
          <w:hideMark/>
        </w:tcPr>
        <w:p w14:paraId="04D597A1" w14:textId="77777777" w:rsidR="008240F4" w:rsidRPr="00663A37" w:rsidRDefault="008240F4"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5D1033E" w:rsidR="008240F4" w:rsidRPr="00663A37" w:rsidRDefault="004F2122" w:rsidP="00011C4D">
          <w:pPr>
            <w:spacing w:after="120" w:line="240" w:lineRule="auto"/>
            <w:ind w:right="68"/>
            <w:jc w:val="right"/>
            <w:rPr>
              <w:rFonts w:cs="Arial"/>
              <w:szCs w:val="24"/>
            </w:rPr>
          </w:pPr>
          <w:r>
            <w:rPr>
              <w:rFonts w:cs="Arial"/>
              <w:szCs w:val="24"/>
            </w:rPr>
            <w:t>XXXXXXXXXXXXXXXXXXXX</w:t>
          </w:r>
        </w:p>
      </w:tc>
    </w:tr>
    <w:tr w:rsidR="008240F4" w14:paraId="4DC11993" w14:textId="77777777" w:rsidTr="003938ED">
      <w:trPr>
        <w:trHeight w:val="242"/>
      </w:trPr>
      <w:tc>
        <w:tcPr>
          <w:tcW w:w="5103" w:type="dxa"/>
          <w:hideMark/>
        </w:tcPr>
        <w:p w14:paraId="76CEF1B5" w14:textId="77777777" w:rsidR="008240F4" w:rsidRPr="00663A37" w:rsidRDefault="008240F4"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64D77F68" w:rsidR="008240F4" w:rsidRPr="00663A37" w:rsidRDefault="0082583F" w:rsidP="0082583F">
          <w:pPr>
            <w:spacing w:after="120" w:line="240" w:lineRule="auto"/>
            <w:ind w:left="-70" w:right="68"/>
            <w:jc w:val="right"/>
            <w:rPr>
              <w:rFonts w:cs="Arial"/>
              <w:szCs w:val="24"/>
            </w:rPr>
          </w:pPr>
          <w:r>
            <w:rPr>
              <w:rFonts w:cs="Arial"/>
              <w:szCs w:val="24"/>
            </w:rPr>
            <w:t xml:space="preserve">Ayuntamiento de </w:t>
          </w:r>
          <w:r w:rsidR="008E7A33">
            <w:rPr>
              <w:rFonts w:cs="Arial"/>
              <w:szCs w:val="24"/>
            </w:rPr>
            <w:t>Toluca</w:t>
          </w:r>
        </w:p>
      </w:tc>
    </w:tr>
    <w:tr w:rsidR="008240F4" w14:paraId="5C2B511D" w14:textId="77777777" w:rsidTr="003938ED">
      <w:trPr>
        <w:trHeight w:val="342"/>
      </w:trPr>
      <w:tc>
        <w:tcPr>
          <w:tcW w:w="5103" w:type="dxa"/>
          <w:hideMark/>
        </w:tcPr>
        <w:p w14:paraId="03FEF68C" w14:textId="45E91CF4" w:rsidR="008240F4" w:rsidRPr="00663A37" w:rsidRDefault="008240F4"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8240F4" w:rsidRPr="00663A37" w:rsidRDefault="008240F4"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8240F4" w:rsidRPr="00871A91" w:rsidRDefault="004F2122">
    <w:pPr>
      <w:pStyle w:val="Encabezado"/>
      <w:rPr>
        <w:sz w:val="2"/>
      </w:rPr>
    </w:pPr>
    <w:r>
      <w:rPr>
        <w:noProof/>
        <w:lang w:val="es-MX" w:eastAsia="es-MX"/>
      </w:rPr>
      <w:pict w14:anchorId="3D7FF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9" type="#_x0000_t75" alt="" style="position:absolute;left:0;text-align:left;margin-left:-82.2pt;margin-top:-147.6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8240F4">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313C"/>
    <w:multiLevelType w:val="hybridMultilevel"/>
    <w:tmpl w:val="CFFA697C"/>
    <w:lvl w:ilvl="0" w:tplc="F830FA4C">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058A3F32"/>
    <w:multiLevelType w:val="hybridMultilevel"/>
    <w:tmpl w:val="5D8E8C4A"/>
    <w:lvl w:ilvl="0" w:tplc="0A606DD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5"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DB68E7"/>
    <w:multiLevelType w:val="hybridMultilevel"/>
    <w:tmpl w:val="6E90F6DA"/>
    <w:lvl w:ilvl="0" w:tplc="452E509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3" w15:restartNumberingAfterBreak="0">
    <w:nsid w:val="293B7BF5"/>
    <w:multiLevelType w:val="hybridMultilevel"/>
    <w:tmpl w:val="DE4E01F8"/>
    <w:lvl w:ilvl="0" w:tplc="753633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2E6C32ED"/>
    <w:multiLevelType w:val="hybridMultilevel"/>
    <w:tmpl w:val="2EFCD076"/>
    <w:lvl w:ilvl="0" w:tplc="6E7E4A1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F95"/>
    <w:multiLevelType w:val="hybridMultilevel"/>
    <w:tmpl w:val="35847A54"/>
    <w:lvl w:ilvl="0" w:tplc="C8120D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CB7CB8"/>
    <w:multiLevelType w:val="hybridMultilevel"/>
    <w:tmpl w:val="BE927FBC"/>
    <w:lvl w:ilvl="0" w:tplc="536CA59C">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027B1D"/>
    <w:multiLevelType w:val="multilevel"/>
    <w:tmpl w:val="35DE0966"/>
    <w:styleLink w:val="Listaactual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D278A4"/>
    <w:multiLevelType w:val="hybridMultilevel"/>
    <w:tmpl w:val="7160FAA8"/>
    <w:lvl w:ilvl="0" w:tplc="BEE4EC0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567E7187"/>
    <w:multiLevelType w:val="hybridMultilevel"/>
    <w:tmpl w:val="A5DC98F4"/>
    <w:lvl w:ilvl="0" w:tplc="0A606DD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2"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D33A6B"/>
    <w:multiLevelType w:val="multilevel"/>
    <w:tmpl w:val="75ACD4A0"/>
    <w:styleLink w:val="Listaactual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D86CDD"/>
    <w:multiLevelType w:val="hybridMultilevel"/>
    <w:tmpl w:val="2E000FEA"/>
    <w:lvl w:ilvl="0" w:tplc="0A606DD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96121A"/>
    <w:multiLevelType w:val="hybridMultilevel"/>
    <w:tmpl w:val="E4F05156"/>
    <w:lvl w:ilvl="0" w:tplc="E724ED02">
      <w:start w:val="1"/>
      <w:numFmt w:val="decimal"/>
      <w:lvlText w:val="%1."/>
      <w:lvlJc w:val="left"/>
      <w:pPr>
        <w:ind w:left="709" w:hanging="425"/>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1"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32"/>
  </w:num>
  <w:num w:numId="3">
    <w:abstractNumId w:val="6"/>
  </w:num>
  <w:num w:numId="4">
    <w:abstractNumId w:val="26"/>
  </w:num>
  <w:num w:numId="5">
    <w:abstractNumId w:val="24"/>
  </w:num>
  <w:num w:numId="6">
    <w:abstractNumId w:val="9"/>
  </w:num>
  <w:num w:numId="7">
    <w:abstractNumId w:val="29"/>
  </w:num>
  <w:num w:numId="8">
    <w:abstractNumId w:val="38"/>
  </w:num>
  <w:num w:numId="9">
    <w:abstractNumId w:val="31"/>
  </w:num>
  <w:num w:numId="10">
    <w:abstractNumId w:val="5"/>
  </w:num>
  <w:num w:numId="11">
    <w:abstractNumId w:val="28"/>
  </w:num>
  <w:num w:numId="12">
    <w:abstractNumId w:val="10"/>
  </w:num>
  <w:num w:numId="13">
    <w:abstractNumId w:val="11"/>
  </w:num>
  <w:num w:numId="14">
    <w:abstractNumId w:val="25"/>
  </w:num>
  <w:num w:numId="15">
    <w:abstractNumId w:val="14"/>
  </w:num>
  <w:num w:numId="16">
    <w:abstractNumId w:val="33"/>
  </w:num>
  <w:num w:numId="17">
    <w:abstractNumId w:val="35"/>
  </w:num>
  <w:num w:numId="18">
    <w:abstractNumId w:val="3"/>
  </w:num>
  <w:num w:numId="19">
    <w:abstractNumId w:val="30"/>
  </w:num>
  <w:num w:numId="20">
    <w:abstractNumId w:val="8"/>
  </w:num>
  <w:num w:numId="21">
    <w:abstractNumId w:val="20"/>
  </w:num>
  <w:num w:numId="22">
    <w:abstractNumId w:val="4"/>
  </w:num>
  <w:num w:numId="23">
    <w:abstractNumId w:val="2"/>
  </w:num>
  <w:num w:numId="24">
    <w:abstractNumId w:val="12"/>
  </w:num>
  <w:num w:numId="25">
    <w:abstractNumId w:val="15"/>
  </w:num>
  <w:num w:numId="26">
    <w:abstractNumId w:val="13"/>
  </w:num>
  <w:num w:numId="27">
    <w:abstractNumId w:val="36"/>
  </w:num>
  <w:num w:numId="28">
    <w:abstractNumId w:val="34"/>
  </w:num>
  <w:num w:numId="29">
    <w:abstractNumId w:val="7"/>
  </w:num>
  <w:num w:numId="30">
    <w:abstractNumId w:val="22"/>
  </w:num>
  <w:num w:numId="31">
    <w:abstractNumId w:val="18"/>
  </w:num>
  <w:num w:numId="32">
    <w:abstractNumId w:val="41"/>
  </w:num>
  <w:num w:numId="33">
    <w:abstractNumId w:val="40"/>
  </w:num>
  <w:num w:numId="34">
    <w:abstractNumId w:val="23"/>
  </w:num>
  <w:num w:numId="35">
    <w:abstractNumId w:val="16"/>
  </w:num>
  <w:num w:numId="36">
    <w:abstractNumId w:val="0"/>
  </w:num>
  <w:num w:numId="37">
    <w:abstractNumId w:val="17"/>
  </w:num>
  <w:num w:numId="38">
    <w:abstractNumId w:val="37"/>
  </w:num>
  <w:num w:numId="39">
    <w:abstractNumId w:val="27"/>
  </w:num>
  <w:num w:numId="40">
    <w:abstractNumId w:val="21"/>
  </w:num>
  <w:num w:numId="41">
    <w:abstractNumId w:val="39"/>
  </w:num>
  <w:num w:numId="4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92"/>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A2"/>
    <w:rsid w:val="00002C6A"/>
    <w:rsid w:val="00002CED"/>
    <w:rsid w:val="00003412"/>
    <w:rsid w:val="000034AA"/>
    <w:rsid w:val="00003F45"/>
    <w:rsid w:val="00004014"/>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521B"/>
    <w:rsid w:val="0003577D"/>
    <w:rsid w:val="00035A30"/>
    <w:rsid w:val="0003692B"/>
    <w:rsid w:val="00036D5F"/>
    <w:rsid w:val="00036EFC"/>
    <w:rsid w:val="00037C52"/>
    <w:rsid w:val="000405E6"/>
    <w:rsid w:val="00040A10"/>
    <w:rsid w:val="00041421"/>
    <w:rsid w:val="00041670"/>
    <w:rsid w:val="000417BE"/>
    <w:rsid w:val="00041AE7"/>
    <w:rsid w:val="00041DEA"/>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1848"/>
    <w:rsid w:val="00092681"/>
    <w:rsid w:val="00092D82"/>
    <w:rsid w:val="0009320C"/>
    <w:rsid w:val="0009328A"/>
    <w:rsid w:val="0009397B"/>
    <w:rsid w:val="00094B23"/>
    <w:rsid w:val="00094F2E"/>
    <w:rsid w:val="00094FD7"/>
    <w:rsid w:val="000951B9"/>
    <w:rsid w:val="0009609D"/>
    <w:rsid w:val="00096248"/>
    <w:rsid w:val="000A00BB"/>
    <w:rsid w:val="000A110B"/>
    <w:rsid w:val="000A1D0D"/>
    <w:rsid w:val="000A2CA6"/>
    <w:rsid w:val="000A2F65"/>
    <w:rsid w:val="000A3F41"/>
    <w:rsid w:val="000A4202"/>
    <w:rsid w:val="000A4CE4"/>
    <w:rsid w:val="000A5EA1"/>
    <w:rsid w:val="000B1F27"/>
    <w:rsid w:val="000B2390"/>
    <w:rsid w:val="000B28CF"/>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0CD3"/>
    <w:rsid w:val="000D14DA"/>
    <w:rsid w:val="000D2C63"/>
    <w:rsid w:val="000D3C8A"/>
    <w:rsid w:val="000D422C"/>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0663"/>
    <w:rsid w:val="0010147E"/>
    <w:rsid w:val="0010149D"/>
    <w:rsid w:val="00103C89"/>
    <w:rsid w:val="00103D8C"/>
    <w:rsid w:val="001050A9"/>
    <w:rsid w:val="001059AF"/>
    <w:rsid w:val="001067FE"/>
    <w:rsid w:val="00107256"/>
    <w:rsid w:val="001107C4"/>
    <w:rsid w:val="0011110C"/>
    <w:rsid w:val="001116B7"/>
    <w:rsid w:val="0011295F"/>
    <w:rsid w:val="00114C24"/>
    <w:rsid w:val="00114F1E"/>
    <w:rsid w:val="00115495"/>
    <w:rsid w:val="00116E4B"/>
    <w:rsid w:val="00116F6B"/>
    <w:rsid w:val="00121842"/>
    <w:rsid w:val="00121F46"/>
    <w:rsid w:val="0012320B"/>
    <w:rsid w:val="001235A0"/>
    <w:rsid w:val="00123A80"/>
    <w:rsid w:val="00123D0B"/>
    <w:rsid w:val="00130C18"/>
    <w:rsid w:val="00131262"/>
    <w:rsid w:val="00131C40"/>
    <w:rsid w:val="00131C6C"/>
    <w:rsid w:val="00131F2D"/>
    <w:rsid w:val="001321ED"/>
    <w:rsid w:val="00133F2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2C5"/>
    <w:rsid w:val="00155CC6"/>
    <w:rsid w:val="00155F53"/>
    <w:rsid w:val="001564E3"/>
    <w:rsid w:val="00156699"/>
    <w:rsid w:val="001568D5"/>
    <w:rsid w:val="00157D2B"/>
    <w:rsid w:val="001602ED"/>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D28"/>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0070"/>
    <w:rsid w:val="001D1B77"/>
    <w:rsid w:val="001D225B"/>
    <w:rsid w:val="001D3563"/>
    <w:rsid w:val="001D3687"/>
    <w:rsid w:val="001D3EE2"/>
    <w:rsid w:val="001D41E0"/>
    <w:rsid w:val="001D4382"/>
    <w:rsid w:val="001D6CA8"/>
    <w:rsid w:val="001E04CC"/>
    <w:rsid w:val="001E1A95"/>
    <w:rsid w:val="001E2186"/>
    <w:rsid w:val="001E21A0"/>
    <w:rsid w:val="001E2646"/>
    <w:rsid w:val="001E2BA9"/>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357"/>
    <w:rsid w:val="00205455"/>
    <w:rsid w:val="00205FAC"/>
    <w:rsid w:val="00206139"/>
    <w:rsid w:val="00206A67"/>
    <w:rsid w:val="0020763C"/>
    <w:rsid w:val="00207E11"/>
    <w:rsid w:val="0021063D"/>
    <w:rsid w:val="00210714"/>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DBC"/>
    <w:rsid w:val="00230E13"/>
    <w:rsid w:val="0023118D"/>
    <w:rsid w:val="00232621"/>
    <w:rsid w:val="0023293E"/>
    <w:rsid w:val="00232A7A"/>
    <w:rsid w:val="00232DA5"/>
    <w:rsid w:val="00232F2F"/>
    <w:rsid w:val="00232F87"/>
    <w:rsid w:val="002338B9"/>
    <w:rsid w:val="00234061"/>
    <w:rsid w:val="002349A9"/>
    <w:rsid w:val="00234E3C"/>
    <w:rsid w:val="00235736"/>
    <w:rsid w:val="0023573F"/>
    <w:rsid w:val="00236B9A"/>
    <w:rsid w:val="002372F0"/>
    <w:rsid w:val="00240046"/>
    <w:rsid w:val="00241201"/>
    <w:rsid w:val="002432E1"/>
    <w:rsid w:val="00243315"/>
    <w:rsid w:val="00245AC1"/>
    <w:rsid w:val="00246269"/>
    <w:rsid w:val="00252443"/>
    <w:rsid w:val="002530AE"/>
    <w:rsid w:val="0025386E"/>
    <w:rsid w:val="00253E5E"/>
    <w:rsid w:val="002547B2"/>
    <w:rsid w:val="0025565C"/>
    <w:rsid w:val="00255FD1"/>
    <w:rsid w:val="00256CE0"/>
    <w:rsid w:val="00261886"/>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06D1"/>
    <w:rsid w:val="002811E3"/>
    <w:rsid w:val="002813B2"/>
    <w:rsid w:val="00282431"/>
    <w:rsid w:val="00282E9E"/>
    <w:rsid w:val="00283BBD"/>
    <w:rsid w:val="00283D5E"/>
    <w:rsid w:val="00284245"/>
    <w:rsid w:val="00285034"/>
    <w:rsid w:val="00285A94"/>
    <w:rsid w:val="00286AA3"/>
    <w:rsid w:val="00287C9D"/>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2203"/>
    <w:rsid w:val="002A51B8"/>
    <w:rsid w:val="002A5ADD"/>
    <w:rsid w:val="002A5FDF"/>
    <w:rsid w:val="002A650A"/>
    <w:rsid w:val="002A6FCE"/>
    <w:rsid w:val="002A7501"/>
    <w:rsid w:val="002B0EA1"/>
    <w:rsid w:val="002B317E"/>
    <w:rsid w:val="002B3CE2"/>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7088"/>
    <w:rsid w:val="00337638"/>
    <w:rsid w:val="00340039"/>
    <w:rsid w:val="00340ADD"/>
    <w:rsid w:val="00341178"/>
    <w:rsid w:val="00341B42"/>
    <w:rsid w:val="00341DB4"/>
    <w:rsid w:val="003420E1"/>
    <w:rsid w:val="003423FC"/>
    <w:rsid w:val="0034444F"/>
    <w:rsid w:val="00344766"/>
    <w:rsid w:val="00344AD3"/>
    <w:rsid w:val="00345089"/>
    <w:rsid w:val="00345427"/>
    <w:rsid w:val="00345687"/>
    <w:rsid w:val="00345708"/>
    <w:rsid w:val="00346373"/>
    <w:rsid w:val="003467CD"/>
    <w:rsid w:val="003471F0"/>
    <w:rsid w:val="003505B2"/>
    <w:rsid w:val="0035063B"/>
    <w:rsid w:val="003511E3"/>
    <w:rsid w:val="003519DC"/>
    <w:rsid w:val="00352677"/>
    <w:rsid w:val="0035393E"/>
    <w:rsid w:val="00355981"/>
    <w:rsid w:val="00357437"/>
    <w:rsid w:val="00360189"/>
    <w:rsid w:val="0036188D"/>
    <w:rsid w:val="00362013"/>
    <w:rsid w:val="00362136"/>
    <w:rsid w:val="003623F5"/>
    <w:rsid w:val="0036336C"/>
    <w:rsid w:val="003637A1"/>
    <w:rsid w:val="00364169"/>
    <w:rsid w:val="003647C3"/>
    <w:rsid w:val="00364C0A"/>
    <w:rsid w:val="0037112D"/>
    <w:rsid w:val="003713C2"/>
    <w:rsid w:val="0037145D"/>
    <w:rsid w:val="0037172A"/>
    <w:rsid w:val="0037269A"/>
    <w:rsid w:val="0037526D"/>
    <w:rsid w:val="0037545E"/>
    <w:rsid w:val="00376405"/>
    <w:rsid w:val="0038157C"/>
    <w:rsid w:val="0038209B"/>
    <w:rsid w:val="003839F9"/>
    <w:rsid w:val="00385421"/>
    <w:rsid w:val="00386A48"/>
    <w:rsid w:val="00386F51"/>
    <w:rsid w:val="00387CF3"/>
    <w:rsid w:val="00390468"/>
    <w:rsid w:val="00390611"/>
    <w:rsid w:val="00391DD0"/>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94C"/>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30DA"/>
    <w:rsid w:val="003C4A15"/>
    <w:rsid w:val="003C4FF5"/>
    <w:rsid w:val="003C57BF"/>
    <w:rsid w:val="003D0AE2"/>
    <w:rsid w:val="003D17AF"/>
    <w:rsid w:val="003D2681"/>
    <w:rsid w:val="003D3477"/>
    <w:rsid w:val="003D372B"/>
    <w:rsid w:val="003D5450"/>
    <w:rsid w:val="003D70D0"/>
    <w:rsid w:val="003D7707"/>
    <w:rsid w:val="003D7760"/>
    <w:rsid w:val="003E0554"/>
    <w:rsid w:val="003E0B2A"/>
    <w:rsid w:val="003E0F89"/>
    <w:rsid w:val="003E13A1"/>
    <w:rsid w:val="003E2955"/>
    <w:rsid w:val="003E44DA"/>
    <w:rsid w:val="003E465F"/>
    <w:rsid w:val="003E468A"/>
    <w:rsid w:val="003E4972"/>
    <w:rsid w:val="003E606D"/>
    <w:rsid w:val="003E6C77"/>
    <w:rsid w:val="003E6E17"/>
    <w:rsid w:val="003E7594"/>
    <w:rsid w:val="003F2491"/>
    <w:rsid w:val="003F308A"/>
    <w:rsid w:val="003F4582"/>
    <w:rsid w:val="003F5D5C"/>
    <w:rsid w:val="003F6192"/>
    <w:rsid w:val="003F61FA"/>
    <w:rsid w:val="00400915"/>
    <w:rsid w:val="0040187C"/>
    <w:rsid w:val="00402CBA"/>
    <w:rsid w:val="00403319"/>
    <w:rsid w:val="00404754"/>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B00"/>
    <w:rsid w:val="00421DD1"/>
    <w:rsid w:val="004232C6"/>
    <w:rsid w:val="00426124"/>
    <w:rsid w:val="00426F24"/>
    <w:rsid w:val="00430C63"/>
    <w:rsid w:val="004310BB"/>
    <w:rsid w:val="004325EA"/>
    <w:rsid w:val="004338C7"/>
    <w:rsid w:val="00433E65"/>
    <w:rsid w:val="00434C3F"/>
    <w:rsid w:val="00434EAD"/>
    <w:rsid w:val="00437085"/>
    <w:rsid w:val="0043760A"/>
    <w:rsid w:val="004406B5"/>
    <w:rsid w:val="00440C4B"/>
    <w:rsid w:val="00441307"/>
    <w:rsid w:val="004431D5"/>
    <w:rsid w:val="004436C5"/>
    <w:rsid w:val="00444E7F"/>
    <w:rsid w:val="00445514"/>
    <w:rsid w:val="0044558A"/>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2A8"/>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529A"/>
    <w:rsid w:val="00487BBD"/>
    <w:rsid w:val="004900E8"/>
    <w:rsid w:val="0049095E"/>
    <w:rsid w:val="00490C99"/>
    <w:rsid w:val="0049216F"/>
    <w:rsid w:val="004928F5"/>
    <w:rsid w:val="004933FC"/>
    <w:rsid w:val="0049368A"/>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571F"/>
    <w:rsid w:val="004D6095"/>
    <w:rsid w:val="004D66AD"/>
    <w:rsid w:val="004D6995"/>
    <w:rsid w:val="004D7EE2"/>
    <w:rsid w:val="004E07A1"/>
    <w:rsid w:val="004E1729"/>
    <w:rsid w:val="004E1B3C"/>
    <w:rsid w:val="004E1CA8"/>
    <w:rsid w:val="004E3959"/>
    <w:rsid w:val="004E3F86"/>
    <w:rsid w:val="004E4252"/>
    <w:rsid w:val="004E4AD1"/>
    <w:rsid w:val="004E5659"/>
    <w:rsid w:val="004E5BB2"/>
    <w:rsid w:val="004E6E5F"/>
    <w:rsid w:val="004E77E1"/>
    <w:rsid w:val="004F0AB7"/>
    <w:rsid w:val="004F15D9"/>
    <w:rsid w:val="004F1B07"/>
    <w:rsid w:val="004F2122"/>
    <w:rsid w:val="004F3291"/>
    <w:rsid w:val="004F32D0"/>
    <w:rsid w:val="004F342E"/>
    <w:rsid w:val="004F483D"/>
    <w:rsid w:val="004F60C9"/>
    <w:rsid w:val="004F662C"/>
    <w:rsid w:val="004F6671"/>
    <w:rsid w:val="004F78C4"/>
    <w:rsid w:val="00500E29"/>
    <w:rsid w:val="0050183E"/>
    <w:rsid w:val="00501E92"/>
    <w:rsid w:val="005025C7"/>
    <w:rsid w:val="00504B42"/>
    <w:rsid w:val="00506DB2"/>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50ECE"/>
    <w:rsid w:val="005515F8"/>
    <w:rsid w:val="00553B9B"/>
    <w:rsid w:val="0055407F"/>
    <w:rsid w:val="005543AF"/>
    <w:rsid w:val="00554BD4"/>
    <w:rsid w:val="0055572B"/>
    <w:rsid w:val="00555CE3"/>
    <w:rsid w:val="0055603D"/>
    <w:rsid w:val="00556835"/>
    <w:rsid w:val="00556978"/>
    <w:rsid w:val="005600CD"/>
    <w:rsid w:val="00560E60"/>
    <w:rsid w:val="00561255"/>
    <w:rsid w:val="00562117"/>
    <w:rsid w:val="00562E42"/>
    <w:rsid w:val="0056402C"/>
    <w:rsid w:val="0056405F"/>
    <w:rsid w:val="00564672"/>
    <w:rsid w:val="0056494C"/>
    <w:rsid w:val="00564DDB"/>
    <w:rsid w:val="00565921"/>
    <w:rsid w:val="00565C1E"/>
    <w:rsid w:val="005660D0"/>
    <w:rsid w:val="00566380"/>
    <w:rsid w:val="0056658C"/>
    <w:rsid w:val="00567D41"/>
    <w:rsid w:val="005701EF"/>
    <w:rsid w:val="00570367"/>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209A"/>
    <w:rsid w:val="00593725"/>
    <w:rsid w:val="005944ED"/>
    <w:rsid w:val="005964D7"/>
    <w:rsid w:val="00596D61"/>
    <w:rsid w:val="00597018"/>
    <w:rsid w:val="005A030B"/>
    <w:rsid w:val="005A0521"/>
    <w:rsid w:val="005A1C6D"/>
    <w:rsid w:val="005A1EA5"/>
    <w:rsid w:val="005A2CE7"/>
    <w:rsid w:val="005A2F92"/>
    <w:rsid w:val="005A4281"/>
    <w:rsid w:val="005A43E7"/>
    <w:rsid w:val="005A4480"/>
    <w:rsid w:val="005A60E9"/>
    <w:rsid w:val="005A77E1"/>
    <w:rsid w:val="005A7E33"/>
    <w:rsid w:val="005B10CC"/>
    <w:rsid w:val="005B4E14"/>
    <w:rsid w:val="005B52A0"/>
    <w:rsid w:val="005B538B"/>
    <w:rsid w:val="005B6FFD"/>
    <w:rsid w:val="005B72D5"/>
    <w:rsid w:val="005C0894"/>
    <w:rsid w:val="005C16D1"/>
    <w:rsid w:val="005C196C"/>
    <w:rsid w:val="005C32BE"/>
    <w:rsid w:val="005C3DF3"/>
    <w:rsid w:val="005C5501"/>
    <w:rsid w:val="005C5AEA"/>
    <w:rsid w:val="005C5EB4"/>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7E9F"/>
    <w:rsid w:val="005F1439"/>
    <w:rsid w:val="005F21B0"/>
    <w:rsid w:val="005F30F1"/>
    <w:rsid w:val="005F3103"/>
    <w:rsid w:val="005F4D3D"/>
    <w:rsid w:val="005F5B10"/>
    <w:rsid w:val="005F6CAB"/>
    <w:rsid w:val="0060129A"/>
    <w:rsid w:val="0060244C"/>
    <w:rsid w:val="006055AB"/>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7F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D1EC8"/>
    <w:rsid w:val="006D2D2B"/>
    <w:rsid w:val="006D3F59"/>
    <w:rsid w:val="006D41A6"/>
    <w:rsid w:val="006D438A"/>
    <w:rsid w:val="006D6830"/>
    <w:rsid w:val="006D719C"/>
    <w:rsid w:val="006D7DF3"/>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676C"/>
    <w:rsid w:val="006F6AB6"/>
    <w:rsid w:val="00700C90"/>
    <w:rsid w:val="00701D18"/>
    <w:rsid w:val="00701F34"/>
    <w:rsid w:val="007031A2"/>
    <w:rsid w:val="00704693"/>
    <w:rsid w:val="0070491A"/>
    <w:rsid w:val="00704AB9"/>
    <w:rsid w:val="007054D8"/>
    <w:rsid w:val="00706D47"/>
    <w:rsid w:val="007070E1"/>
    <w:rsid w:val="00711916"/>
    <w:rsid w:val="00711EE2"/>
    <w:rsid w:val="00712D71"/>
    <w:rsid w:val="007130DA"/>
    <w:rsid w:val="00713380"/>
    <w:rsid w:val="00713DD5"/>
    <w:rsid w:val="007147B9"/>
    <w:rsid w:val="0071601C"/>
    <w:rsid w:val="007167AE"/>
    <w:rsid w:val="00720D8F"/>
    <w:rsid w:val="0072119A"/>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3A6D"/>
    <w:rsid w:val="0074665B"/>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587"/>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96785"/>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4416"/>
    <w:rsid w:val="007B46BF"/>
    <w:rsid w:val="007B6DD8"/>
    <w:rsid w:val="007C009D"/>
    <w:rsid w:val="007C05DC"/>
    <w:rsid w:val="007C0FF7"/>
    <w:rsid w:val="007C14EE"/>
    <w:rsid w:val="007C17F1"/>
    <w:rsid w:val="007C3040"/>
    <w:rsid w:val="007C354C"/>
    <w:rsid w:val="007C35DF"/>
    <w:rsid w:val="007C3BA4"/>
    <w:rsid w:val="007C3BBF"/>
    <w:rsid w:val="007C44C8"/>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4E23"/>
    <w:rsid w:val="007E648C"/>
    <w:rsid w:val="007E660F"/>
    <w:rsid w:val="007E781F"/>
    <w:rsid w:val="007E7E50"/>
    <w:rsid w:val="007F1049"/>
    <w:rsid w:val="007F120F"/>
    <w:rsid w:val="007F1538"/>
    <w:rsid w:val="007F15FE"/>
    <w:rsid w:val="007F3D8B"/>
    <w:rsid w:val="007F3F9F"/>
    <w:rsid w:val="007F44CF"/>
    <w:rsid w:val="007F53ED"/>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0F4"/>
    <w:rsid w:val="00824570"/>
    <w:rsid w:val="00824E58"/>
    <w:rsid w:val="0082583F"/>
    <w:rsid w:val="008275DC"/>
    <w:rsid w:val="0082778F"/>
    <w:rsid w:val="00827D60"/>
    <w:rsid w:val="008302C5"/>
    <w:rsid w:val="00830D47"/>
    <w:rsid w:val="00831867"/>
    <w:rsid w:val="00831D6C"/>
    <w:rsid w:val="00832F6C"/>
    <w:rsid w:val="008341ED"/>
    <w:rsid w:val="008362CE"/>
    <w:rsid w:val="00837584"/>
    <w:rsid w:val="00841673"/>
    <w:rsid w:val="00841963"/>
    <w:rsid w:val="008441B1"/>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0A94"/>
    <w:rsid w:val="00891CFC"/>
    <w:rsid w:val="00891E79"/>
    <w:rsid w:val="008921AE"/>
    <w:rsid w:val="00895187"/>
    <w:rsid w:val="00895BD3"/>
    <w:rsid w:val="00896EDC"/>
    <w:rsid w:val="00897CF4"/>
    <w:rsid w:val="008A06D7"/>
    <w:rsid w:val="008A0C9F"/>
    <w:rsid w:val="008A14F6"/>
    <w:rsid w:val="008A1645"/>
    <w:rsid w:val="008A3E6F"/>
    <w:rsid w:val="008A56C3"/>
    <w:rsid w:val="008A7EF2"/>
    <w:rsid w:val="008B003A"/>
    <w:rsid w:val="008B0DFB"/>
    <w:rsid w:val="008B2951"/>
    <w:rsid w:val="008B2BBB"/>
    <w:rsid w:val="008B389B"/>
    <w:rsid w:val="008B60D9"/>
    <w:rsid w:val="008B646D"/>
    <w:rsid w:val="008B6842"/>
    <w:rsid w:val="008B6CDF"/>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5682"/>
    <w:rsid w:val="008E5F35"/>
    <w:rsid w:val="008E7A33"/>
    <w:rsid w:val="008F1C22"/>
    <w:rsid w:val="008F2554"/>
    <w:rsid w:val="008F47DC"/>
    <w:rsid w:val="008F52B5"/>
    <w:rsid w:val="008F635E"/>
    <w:rsid w:val="008F738E"/>
    <w:rsid w:val="009002CE"/>
    <w:rsid w:val="00902321"/>
    <w:rsid w:val="009025FB"/>
    <w:rsid w:val="009029DB"/>
    <w:rsid w:val="009038A8"/>
    <w:rsid w:val="009042E8"/>
    <w:rsid w:val="00905C6E"/>
    <w:rsid w:val="0090753F"/>
    <w:rsid w:val="009106C7"/>
    <w:rsid w:val="009118BA"/>
    <w:rsid w:val="00913E51"/>
    <w:rsid w:val="00914986"/>
    <w:rsid w:val="00914DFE"/>
    <w:rsid w:val="0091549C"/>
    <w:rsid w:val="0091614B"/>
    <w:rsid w:val="00916CEC"/>
    <w:rsid w:val="0091735D"/>
    <w:rsid w:val="0091759C"/>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0036"/>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2A88"/>
    <w:rsid w:val="00963717"/>
    <w:rsid w:val="00963E37"/>
    <w:rsid w:val="00964678"/>
    <w:rsid w:val="00965CC4"/>
    <w:rsid w:val="0096624D"/>
    <w:rsid w:val="00966A2E"/>
    <w:rsid w:val="009674D4"/>
    <w:rsid w:val="009676E3"/>
    <w:rsid w:val="00970143"/>
    <w:rsid w:val="00970B7F"/>
    <w:rsid w:val="00970C38"/>
    <w:rsid w:val="00971614"/>
    <w:rsid w:val="00972340"/>
    <w:rsid w:val="009752FA"/>
    <w:rsid w:val="00977693"/>
    <w:rsid w:val="00977BB1"/>
    <w:rsid w:val="009814C1"/>
    <w:rsid w:val="009818E4"/>
    <w:rsid w:val="00982494"/>
    <w:rsid w:val="009845F3"/>
    <w:rsid w:val="009845FD"/>
    <w:rsid w:val="009849E0"/>
    <w:rsid w:val="00986E0B"/>
    <w:rsid w:val="00990935"/>
    <w:rsid w:val="00990A99"/>
    <w:rsid w:val="00990AFD"/>
    <w:rsid w:val="00991001"/>
    <w:rsid w:val="00991069"/>
    <w:rsid w:val="0099397C"/>
    <w:rsid w:val="00994A07"/>
    <w:rsid w:val="00996257"/>
    <w:rsid w:val="00996BCA"/>
    <w:rsid w:val="009A0E79"/>
    <w:rsid w:val="009A1740"/>
    <w:rsid w:val="009A216A"/>
    <w:rsid w:val="009A2181"/>
    <w:rsid w:val="009A23B0"/>
    <w:rsid w:val="009A35C9"/>
    <w:rsid w:val="009A3604"/>
    <w:rsid w:val="009A473C"/>
    <w:rsid w:val="009A52E0"/>
    <w:rsid w:val="009A640D"/>
    <w:rsid w:val="009A7F00"/>
    <w:rsid w:val="009B1548"/>
    <w:rsid w:val="009B321A"/>
    <w:rsid w:val="009B3A1D"/>
    <w:rsid w:val="009B41F0"/>
    <w:rsid w:val="009B4F7E"/>
    <w:rsid w:val="009B69E9"/>
    <w:rsid w:val="009B7FFD"/>
    <w:rsid w:val="009C0279"/>
    <w:rsid w:val="009C21B4"/>
    <w:rsid w:val="009C3225"/>
    <w:rsid w:val="009C3CB8"/>
    <w:rsid w:val="009C3E2A"/>
    <w:rsid w:val="009C40B9"/>
    <w:rsid w:val="009C4284"/>
    <w:rsid w:val="009C5DC4"/>
    <w:rsid w:val="009C61A3"/>
    <w:rsid w:val="009C66AA"/>
    <w:rsid w:val="009C6B84"/>
    <w:rsid w:val="009D0BC2"/>
    <w:rsid w:val="009D1368"/>
    <w:rsid w:val="009D1A7A"/>
    <w:rsid w:val="009D2CDA"/>
    <w:rsid w:val="009D553D"/>
    <w:rsid w:val="009D5A24"/>
    <w:rsid w:val="009D5B2E"/>
    <w:rsid w:val="009D636F"/>
    <w:rsid w:val="009D6B17"/>
    <w:rsid w:val="009D7457"/>
    <w:rsid w:val="009D758F"/>
    <w:rsid w:val="009D7AC7"/>
    <w:rsid w:val="009D7BF2"/>
    <w:rsid w:val="009D7D83"/>
    <w:rsid w:val="009E0BE8"/>
    <w:rsid w:val="009E172F"/>
    <w:rsid w:val="009E19CB"/>
    <w:rsid w:val="009E2613"/>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FFB"/>
    <w:rsid w:val="00A04C7E"/>
    <w:rsid w:val="00A06896"/>
    <w:rsid w:val="00A07CA6"/>
    <w:rsid w:val="00A10FD5"/>
    <w:rsid w:val="00A12981"/>
    <w:rsid w:val="00A14125"/>
    <w:rsid w:val="00A14320"/>
    <w:rsid w:val="00A14E83"/>
    <w:rsid w:val="00A151A5"/>
    <w:rsid w:val="00A15263"/>
    <w:rsid w:val="00A159DE"/>
    <w:rsid w:val="00A15E74"/>
    <w:rsid w:val="00A15FB5"/>
    <w:rsid w:val="00A164FB"/>
    <w:rsid w:val="00A16BEA"/>
    <w:rsid w:val="00A175E5"/>
    <w:rsid w:val="00A178C0"/>
    <w:rsid w:val="00A17EA1"/>
    <w:rsid w:val="00A17EDF"/>
    <w:rsid w:val="00A21509"/>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4451"/>
    <w:rsid w:val="00A34742"/>
    <w:rsid w:val="00A35811"/>
    <w:rsid w:val="00A35D0A"/>
    <w:rsid w:val="00A40E66"/>
    <w:rsid w:val="00A40FB6"/>
    <w:rsid w:val="00A41712"/>
    <w:rsid w:val="00A42629"/>
    <w:rsid w:val="00A42FC0"/>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24B2"/>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911"/>
    <w:rsid w:val="00A9454C"/>
    <w:rsid w:val="00A94751"/>
    <w:rsid w:val="00A954D7"/>
    <w:rsid w:val="00A95B2A"/>
    <w:rsid w:val="00A95E7F"/>
    <w:rsid w:val="00A96228"/>
    <w:rsid w:val="00A96DBD"/>
    <w:rsid w:val="00A970D5"/>
    <w:rsid w:val="00A97638"/>
    <w:rsid w:val="00A978AF"/>
    <w:rsid w:val="00AA0B4E"/>
    <w:rsid w:val="00AA1BBB"/>
    <w:rsid w:val="00AA1E74"/>
    <w:rsid w:val="00AA24D2"/>
    <w:rsid w:val="00AA423E"/>
    <w:rsid w:val="00AA7316"/>
    <w:rsid w:val="00AA78CE"/>
    <w:rsid w:val="00AA7F42"/>
    <w:rsid w:val="00AB0C12"/>
    <w:rsid w:val="00AB0FA7"/>
    <w:rsid w:val="00AB2605"/>
    <w:rsid w:val="00AB26D5"/>
    <w:rsid w:val="00AB3885"/>
    <w:rsid w:val="00AB49EA"/>
    <w:rsid w:val="00AB4F00"/>
    <w:rsid w:val="00AB537C"/>
    <w:rsid w:val="00AB5F3B"/>
    <w:rsid w:val="00AC004D"/>
    <w:rsid w:val="00AC09F1"/>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D7FA9"/>
    <w:rsid w:val="00AE19D1"/>
    <w:rsid w:val="00AE2666"/>
    <w:rsid w:val="00AE29DB"/>
    <w:rsid w:val="00AE2E9B"/>
    <w:rsid w:val="00AE339C"/>
    <w:rsid w:val="00AE3BE0"/>
    <w:rsid w:val="00AE50C7"/>
    <w:rsid w:val="00AE514C"/>
    <w:rsid w:val="00AE5D09"/>
    <w:rsid w:val="00AE6037"/>
    <w:rsid w:val="00AE6272"/>
    <w:rsid w:val="00AE6B11"/>
    <w:rsid w:val="00AE7EBC"/>
    <w:rsid w:val="00AF434D"/>
    <w:rsid w:val="00AF4EE4"/>
    <w:rsid w:val="00AF75A2"/>
    <w:rsid w:val="00B0036F"/>
    <w:rsid w:val="00B00C8E"/>
    <w:rsid w:val="00B02AA5"/>
    <w:rsid w:val="00B04F50"/>
    <w:rsid w:val="00B05CA6"/>
    <w:rsid w:val="00B1073D"/>
    <w:rsid w:val="00B10D6C"/>
    <w:rsid w:val="00B11CD7"/>
    <w:rsid w:val="00B1205D"/>
    <w:rsid w:val="00B128F0"/>
    <w:rsid w:val="00B13307"/>
    <w:rsid w:val="00B1367C"/>
    <w:rsid w:val="00B13792"/>
    <w:rsid w:val="00B13B7B"/>
    <w:rsid w:val="00B15202"/>
    <w:rsid w:val="00B1553A"/>
    <w:rsid w:val="00B17577"/>
    <w:rsid w:val="00B21CD1"/>
    <w:rsid w:val="00B23256"/>
    <w:rsid w:val="00B24CF5"/>
    <w:rsid w:val="00B25DBA"/>
    <w:rsid w:val="00B26507"/>
    <w:rsid w:val="00B269CE"/>
    <w:rsid w:val="00B3055A"/>
    <w:rsid w:val="00B31CD8"/>
    <w:rsid w:val="00B32535"/>
    <w:rsid w:val="00B3277B"/>
    <w:rsid w:val="00B3293F"/>
    <w:rsid w:val="00B32B21"/>
    <w:rsid w:val="00B367AA"/>
    <w:rsid w:val="00B36B86"/>
    <w:rsid w:val="00B37176"/>
    <w:rsid w:val="00B373AA"/>
    <w:rsid w:val="00B37787"/>
    <w:rsid w:val="00B40823"/>
    <w:rsid w:val="00B40DF9"/>
    <w:rsid w:val="00B42083"/>
    <w:rsid w:val="00B42270"/>
    <w:rsid w:val="00B427A9"/>
    <w:rsid w:val="00B42ED1"/>
    <w:rsid w:val="00B43455"/>
    <w:rsid w:val="00B435F8"/>
    <w:rsid w:val="00B4620E"/>
    <w:rsid w:val="00B46CB0"/>
    <w:rsid w:val="00B4725D"/>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28EA"/>
    <w:rsid w:val="00B75226"/>
    <w:rsid w:val="00B75683"/>
    <w:rsid w:val="00B75985"/>
    <w:rsid w:val="00B76050"/>
    <w:rsid w:val="00B7667D"/>
    <w:rsid w:val="00B8179C"/>
    <w:rsid w:val="00B822DB"/>
    <w:rsid w:val="00B82D4E"/>
    <w:rsid w:val="00B84A8A"/>
    <w:rsid w:val="00B864CA"/>
    <w:rsid w:val="00B87C64"/>
    <w:rsid w:val="00B87E47"/>
    <w:rsid w:val="00B91A82"/>
    <w:rsid w:val="00B9279C"/>
    <w:rsid w:val="00B934BE"/>
    <w:rsid w:val="00B93569"/>
    <w:rsid w:val="00B94B37"/>
    <w:rsid w:val="00B95178"/>
    <w:rsid w:val="00B9576A"/>
    <w:rsid w:val="00B962BB"/>
    <w:rsid w:val="00B97B0E"/>
    <w:rsid w:val="00BA088E"/>
    <w:rsid w:val="00BA152C"/>
    <w:rsid w:val="00BA2861"/>
    <w:rsid w:val="00BA3873"/>
    <w:rsid w:val="00BA636A"/>
    <w:rsid w:val="00BA6707"/>
    <w:rsid w:val="00BA74AF"/>
    <w:rsid w:val="00BA7C0B"/>
    <w:rsid w:val="00BB0F85"/>
    <w:rsid w:val="00BB16D5"/>
    <w:rsid w:val="00BB1940"/>
    <w:rsid w:val="00BB2A3A"/>
    <w:rsid w:val="00BB2E4D"/>
    <w:rsid w:val="00BB5301"/>
    <w:rsid w:val="00BB57E8"/>
    <w:rsid w:val="00BB58C8"/>
    <w:rsid w:val="00BB6884"/>
    <w:rsid w:val="00BB7349"/>
    <w:rsid w:val="00BC0196"/>
    <w:rsid w:val="00BC0367"/>
    <w:rsid w:val="00BC1CAA"/>
    <w:rsid w:val="00BC219A"/>
    <w:rsid w:val="00BC42A8"/>
    <w:rsid w:val="00BC4869"/>
    <w:rsid w:val="00BC4DA1"/>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A07"/>
    <w:rsid w:val="00BE1E12"/>
    <w:rsid w:val="00BE346A"/>
    <w:rsid w:val="00BE46DF"/>
    <w:rsid w:val="00BE635E"/>
    <w:rsid w:val="00BE6364"/>
    <w:rsid w:val="00BE6D71"/>
    <w:rsid w:val="00BE718D"/>
    <w:rsid w:val="00BE7A12"/>
    <w:rsid w:val="00BE7ADF"/>
    <w:rsid w:val="00BE7CAE"/>
    <w:rsid w:val="00BF5945"/>
    <w:rsid w:val="00BF6362"/>
    <w:rsid w:val="00BF7293"/>
    <w:rsid w:val="00BF7B4F"/>
    <w:rsid w:val="00C009C1"/>
    <w:rsid w:val="00C01B8A"/>
    <w:rsid w:val="00C01E0C"/>
    <w:rsid w:val="00C01FED"/>
    <w:rsid w:val="00C02596"/>
    <w:rsid w:val="00C027B1"/>
    <w:rsid w:val="00C0468A"/>
    <w:rsid w:val="00C0496A"/>
    <w:rsid w:val="00C049A8"/>
    <w:rsid w:val="00C05398"/>
    <w:rsid w:val="00C056BE"/>
    <w:rsid w:val="00C06182"/>
    <w:rsid w:val="00C06249"/>
    <w:rsid w:val="00C068BC"/>
    <w:rsid w:val="00C07871"/>
    <w:rsid w:val="00C0787B"/>
    <w:rsid w:val="00C07AE2"/>
    <w:rsid w:val="00C07B7F"/>
    <w:rsid w:val="00C07EC8"/>
    <w:rsid w:val="00C10243"/>
    <w:rsid w:val="00C102D8"/>
    <w:rsid w:val="00C10601"/>
    <w:rsid w:val="00C134F6"/>
    <w:rsid w:val="00C13C38"/>
    <w:rsid w:val="00C1424F"/>
    <w:rsid w:val="00C14933"/>
    <w:rsid w:val="00C14D71"/>
    <w:rsid w:val="00C14E0B"/>
    <w:rsid w:val="00C157FC"/>
    <w:rsid w:val="00C200F2"/>
    <w:rsid w:val="00C2027F"/>
    <w:rsid w:val="00C20B16"/>
    <w:rsid w:val="00C20B18"/>
    <w:rsid w:val="00C216A8"/>
    <w:rsid w:val="00C22169"/>
    <w:rsid w:val="00C233B3"/>
    <w:rsid w:val="00C235D5"/>
    <w:rsid w:val="00C238FB"/>
    <w:rsid w:val="00C23BF7"/>
    <w:rsid w:val="00C240FA"/>
    <w:rsid w:val="00C245D9"/>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5042D"/>
    <w:rsid w:val="00C52F0F"/>
    <w:rsid w:val="00C536D2"/>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77CBD"/>
    <w:rsid w:val="00C80B05"/>
    <w:rsid w:val="00C81AD2"/>
    <w:rsid w:val="00C81CD7"/>
    <w:rsid w:val="00C81ECD"/>
    <w:rsid w:val="00C82268"/>
    <w:rsid w:val="00C83AEC"/>
    <w:rsid w:val="00C83E44"/>
    <w:rsid w:val="00C84348"/>
    <w:rsid w:val="00C86F96"/>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1E78"/>
    <w:rsid w:val="00CB2149"/>
    <w:rsid w:val="00CB2159"/>
    <w:rsid w:val="00CB252D"/>
    <w:rsid w:val="00CB4BBD"/>
    <w:rsid w:val="00CB4C86"/>
    <w:rsid w:val="00CB508B"/>
    <w:rsid w:val="00CB51F5"/>
    <w:rsid w:val="00CB5B7B"/>
    <w:rsid w:val="00CB5F3F"/>
    <w:rsid w:val="00CB6418"/>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3CB"/>
    <w:rsid w:val="00CF31B4"/>
    <w:rsid w:val="00CF4606"/>
    <w:rsid w:val="00CF4CEF"/>
    <w:rsid w:val="00CF6431"/>
    <w:rsid w:val="00CF6592"/>
    <w:rsid w:val="00CF6E52"/>
    <w:rsid w:val="00D00B10"/>
    <w:rsid w:val="00D01DCF"/>
    <w:rsid w:val="00D01F15"/>
    <w:rsid w:val="00D02606"/>
    <w:rsid w:val="00D0448D"/>
    <w:rsid w:val="00D04514"/>
    <w:rsid w:val="00D05D6D"/>
    <w:rsid w:val="00D062B1"/>
    <w:rsid w:val="00D067C4"/>
    <w:rsid w:val="00D076D9"/>
    <w:rsid w:val="00D100BF"/>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35D"/>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6683"/>
    <w:rsid w:val="00D56B2B"/>
    <w:rsid w:val="00D574A2"/>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A7B"/>
    <w:rsid w:val="00DA1F2A"/>
    <w:rsid w:val="00DA2EDA"/>
    <w:rsid w:val="00DA432C"/>
    <w:rsid w:val="00DA4677"/>
    <w:rsid w:val="00DA5392"/>
    <w:rsid w:val="00DB0034"/>
    <w:rsid w:val="00DB00D6"/>
    <w:rsid w:val="00DB08A2"/>
    <w:rsid w:val="00DB0D6D"/>
    <w:rsid w:val="00DB1035"/>
    <w:rsid w:val="00DB1F84"/>
    <w:rsid w:val="00DB2F12"/>
    <w:rsid w:val="00DB44A1"/>
    <w:rsid w:val="00DB5CD7"/>
    <w:rsid w:val="00DB6647"/>
    <w:rsid w:val="00DC0C9F"/>
    <w:rsid w:val="00DC1727"/>
    <w:rsid w:val="00DC1843"/>
    <w:rsid w:val="00DC2DA1"/>
    <w:rsid w:val="00DC33BA"/>
    <w:rsid w:val="00DC4957"/>
    <w:rsid w:val="00DC4AE2"/>
    <w:rsid w:val="00DC63B3"/>
    <w:rsid w:val="00DC6B6C"/>
    <w:rsid w:val="00DD0F5C"/>
    <w:rsid w:val="00DD2877"/>
    <w:rsid w:val="00DD2EDE"/>
    <w:rsid w:val="00DD3144"/>
    <w:rsid w:val="00DD38A3"/>
    <w:rsid w:val="00DD67AC"/>
    <w:rsid w:val="00DD7FD2"/>
    <w:rsid w:val="00DE0E0F"/>
    <w:rsid w:val="00DE0F3E"/>
    <w:rsid w:val="00DE1DEE"/>
    <w:rsid w:val="00DE2A8A"/>
    <w:rsid w:val="00DE3218"/>
    <w:rsid w:val="00DE33F9"/>
    <w:rsid w:val="00DE52F6"/>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14BF"/>
    <w:rsid w:val="00E34A4E"/>
    <w:rsid w:val="00E41D06"/>
    <w:rsid w:val="00E41D0D"/>
    <w:rsid w:val="00E41E33"/>
    <w:rsid w:val="00E426BD"/>
    <w:rsid w:val="00E43C83"/>
    <w:rsid w:val="00E44669"/>
    <w:rsid w:val="00E45508"/>
    <w:rsid w:val="00E45DC6"/>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0BF9"/>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238F"/>
    <w:rsid w:val="00EC291E"/>
    <w:rsid w:val="00EC2EEA"/>
    <w:rsid w:val="00EC6033"/>
    <w:rsid w:val="00EC690F"/>
    <w:rsid w:val="00EC6ABB"/>
    <w:rsid w:val="00EC7B44"/>
    <w:rsid w:val="00ED10D9"/>
    <w:rsid w:val="00ED28F4"/>
    <w:rsid w:val="00ED2D91"/>
    <w:rsid w:val="00ED30A9"/>
    <w:rsid w:val="00ED30BB"/>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DAE"/>
    <w:rsid w:val="00EF5FF8"/>
    <w:rsid w:val="00EF6F58"/>
    <w:rsid w:val="00EF7935"/>
    <w:rsid w:val="00F012D3"/>
    <w:rsid w:val="00F01526"/>
    <w:rsid w:val="00F023A7"/>
    <w:rsid w:val="00F02EDC"/>
    <w:rsid w:val="00F039E2"/>
    <w:rsid w:val="00F04A95"/>
    <w:rsid w:val="00F058D3"/>
    <w:rsid w:val="00F10A38"/>
    <w:rsid w:val="00F1176A"/>
    <w:rsid w:val="00F11FF3"/>
    <w:rsid w:val="00F123B3"/>
    <w:rsid w:val="00F12BF1"/>
    <w:rsid w:val="00F12F4D"/>
    <w:rsid w:val="00F12FB0"/>
    <w:rsid w:val="00F12FD5"/>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597"/>
    <w:rsid w:val="00F656E5"/>
    <w:rsid w:val="00F66279"/>
    <w:rsid w:val="00F67500"/>
    <w:rsid w:val="00F70652"/>
    <w:rsid w:val="00F70B12"/>
    <w:rsid w:val="00F70F10"/>
    <w:rsid w:val="00F716BE"/>
    <w:rsid w:val="00F74A3D"/>
    <w:rsid w:val="00F74A8F"/>
    <w:rsid w:val="00F74FB9"/>
    <w:rsid w:val="00F775A3"/>
    <w:rsid w:val="00F77D38"/>
    <w:rsid w:val="00F809C6"/>
    <w:rsid w:val="00F81408"/>
    <w:rsid w:val="00F815F4"/>
    <w:rsid w:val="00F82913"/>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2E6B"/>
    <w:rsid w:val="00FC37AD"/>
    <w:rsid w:val="00FC3FBD"/>
    <w:rsid w:val="00FC54A4"/>
    <w:rsid w:val="00FC5909"/>
    <w:rsid w:val="00FC5CDF"/>
    <w:rsid w:val="00FC79E8"/>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 w:val="6011CFBC"/>
    <w:rsid w:val="723045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5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ESTUDIO RELEVANTE"/>
    <w:basedOn w:val="Normal"/>
    <w:next w:val="Normal"/>
    <w:link w:val="SinespaciadoCar"/>
    <w:uiPriority w:val="1"/>
    <w:qFormat/>
    <w:rsid w:val="00B10D6C"/>
    <w:rPr>
      <w:rFonts w:eastAsia="Times New Roman" w:cs="Times New Roman"/>
      <w:szCs w:val="24"/>
      <w:lang w:eastAsia="es-ES"/>
    </w:rPr>
  </w:style>
  <w:style w:type="character" w:customStyle="1" w:styleId="SinespaciadoCar">
    <w:name w:val="Sin espaciado Car"/>
    <w:aliases w:val="ESTUDIO RELEVANTE Car"/>
    <w:link w:val="Sinespaciado"/>
    <w:uiPriority w:val="1"/>
    <w:locked/>
    <w:rsid w:val="00B10D6C"/>
    <w:rPr>
      <w:rFonts w:ascii="Palatino Linotype" w:eastAsia="Times New Roman" w:hAnsi="Palatino Linotype" w:cs="Times New Roman"/>
      <w:sz w:val="24"/>
      <w:szCs w:val="24"/>
      <w:lang w:val="es-ES_tradnl"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numbering" w:customStyle="1" w:styleId="Listaactual11">
    <w:name w:val="Lista actual11"/>
    <w:uiPriority w:val="99"/>
    <w:rsid w:val="00514C55"/>
    <w:pPr>
      <w:numPr>
        <w:numId w:val="27"/>
      </w:numPr>
    </w:pPr>
  </w:style>
  <w:style w:type="numbering" w:customStyle="1" w:styleId="Listaactual12">
    <w:name w:val="Lista actual12"/>
    <w:uiPriority w:val="99"/>
    <w:rsid w:val="00BC4869"/>
    <w:pPr>
      <w:numPr>
        <w:numId w:val="28"/>
      </w:numPr>
    </w:pPr>
  </w:style>
  <w:style w:type="numbering" w:customStyle="1" w:styleId="Listaactual13">
    <w:name w:val="Lista actual13"/>
    <w:uiPriority w:val="99"/>
    <w:rsid w:val="00F20903"/>
    <w:pPr>
      <w:numPr>
        <w:numId w:val="30"/>
      </w:numPr>
    </w:pPr>
  </w:style>
  <w:style w:type="numbering" w:customStyle="1" w:styleId="Listaactual14">
    <w:name w:val="Lista actual14"/>
    <w:uiPriority w:val="99"/>
    <w:rsid w:val="00940036"/>
    <w:pPr>
      <w:numPr>
        <w:numId w:val="38"/>
      </w:numPr>
    </w:pPr>
  </w:style>
  <w:style w:type="numbering" w:customStyle="1" w:styleId="Listaactual15">
    <w:name w:val="Lista actual15"/>
    <w:uiPriority w:val="99"/>
    <w:rsid w:val="00902321"/>
    <w:pPr>
      <w:numPr>
        <w:numId w:val="40"/>
      </w:numPr>
    </w:pPr>
  </w:style>
  <w:style w:type="character" w:customStyle="1" w:styleId="UnresolvedMention">
    <w:name w:val="Unresolved Mention"/>
    <w:basedOn w:val="Fuentedeprrafopredeter"/>
    <w:uiPriority w:val="99"/>
    <w:semiHidden/>
    <w:unhideWhenUsed/>
    <w:rsid w:val="00437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poderjudicialcdmx.gob.mx/estadistica/wp-content/uploads/Glosario.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ECE09-4A68-4750-B22E-29736206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31</Pages>
  <Words>7349</Words>
  <Characters>40422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20</cp:revision>
  <cp:lastPrinted>2019-06-13T15:30:00Z</cp:lastPrinted>
  <dcterms:created xsi:type="dcterms:W3CDTF">2023-09-27T20:52:00Z</dcterms:created>
  <dcterms:modified xsi:type="dcterms:W3CDTF">2023-10-30T23:03:00Z</dcterms:modified>
</cp:coreProperties>
</file>