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4EA" w:rsidRPr="00E24DFE" w:rsidRDefault="009124EA" w:rsidP="009124EA">
      <w:pPr>
        <w:spacing w:line="360" w:lineRule="auto"/>
        <w:jc w:val="both"/>
        <w:rPr>
          <w:rFonts w:ascii="Palatino Linotype" w:hAnsi="Palatino Linotype"/>
          <w:sz w:val="24"/>
          <w:szCs w:val="24"/>
        </w:rPr>
      </w:pPr>
      <w:r w:rsidRPr="00E24DFE">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A71469" w:rsidRPr="00E24DFE">
        <w:rPr>
          <w:rFonts w:ascii="Palatino Linotype" w:hAnsi="Palatino Linotype"/>
          <w:sz w:val="24"/>
          <w:szCs w:val="24"/>
        </w:rPr>
        <w:t>treinta y uno (31</w:t>
      </w:r>
      <w:r w:rsidRPr="00E24DFE">
        <w:rPr>
          <w:rFonts w:ascii="Palatino Linotype" w:hAnsi="Palatino Linotype"/>
          <w:sz w:val="24"/>
          <w:szCs w:val="24"/>
        </w:rPr>
        <w:t>) de mayo de dos mil veintitrés.</w:t>
      </w:r>
    </w:p>
    <w:p w:rsidR="009124EA" w:rsidRPr="00E24DFE" w:rsidRDefault="009124EA" w:rsidP="009124EA">
      <w:pPr>
        <w:spacing w:line="360" w:lineRule="auto"/>
        <w:jc w:val="both"/>
        <w:rPr>
          <w:rFonts w:ascii="Palatino Linotype" w:hAnsi="Palatino Linotype"/>
          <w:sz w:val="24"/>
          <w:szCs w:val="24"/>
        </w:rPr>
      </w:pPr>
    </w:p>
    <w:p w:rsidR="009124EA" w:rsidRPr="00E24DFE" w:rsidRDefault="009124EA" w:rsidP="009124EA">
      <w:pPr>
        <w:pStyle w:val="Encabezado"/>
        <w:spacing w:line="360" w:lineRule="auto"/>
        <w:jc w:val="both"/>
        <w:rPr>
          <w:rFonts w:ascii="Palatino Linotype" w:hAnsi="Palatino Linotype"/>
          <w:sz w:val="24"/>
          <w:szCs w:val="24"/>
        </w:rPr>
      </w:pPr>
      <w:r w:rsidRPr="00E24DFE">
        <w:rPr>
          <w:rFonts w:ascii="Palatino Linotype" w:hAnsi="Palatino Linotype"/>
          <w:b/>
          <w:sz w:val="24"/>
          <w:szCs w:val="24"/>
        </w:rPr>
        <w:t>VISTO el</w:t>
      </w:r>
      <w:r w:rsidRPr="00E24DFE">
        <w:rPr>
          <w:rFonts w:ascii="Palatino Linotype" w:hAnsi="Palatino Linotype"/>
          <w:sz w:val="24"/>
          <w:szCs w:val="24"/>
        </w:rPr>
        <w:t xml:space="preserve"> expediente electrónico formado con motivo del recurso de revisión </w:t>
      </w:r>
      <w:r w:rsidR="00A71469" w:rsidRPr="00E24DFE">
        <w:rPr>
          <w:rFonts w:ascii="Palatino Linotype" w:eastAsia="Calibri" w:hAnsi="Palatino Linotype" w:cs="Tahoma"/>
          <w:b/>
          <w:bCs/>
          <w:sz w:val="24"/>
          <w:szCs w:val="22"/>
          <w:lang w:eastAsia="en-US"/>
        </w:rPr>
        <w:t>04008</w:t>
      </w:r>
      <w:r w:rsidRPr="00E24DFE">
        <w:rPr>
          <w:rFonts w:ascii="Palatino Linotype" w:eastAsia="Calibri" w:hAnsi="Palatino Linotype" w:cs="Tahoma"/>
          <w:b/>
          <w:bCs/>
          <w:sz w:val="24"/>
          <w:szCs w:val="22"/>
          <w:lang w:eastAsia="en-US"/>
        </w:rPr>
        <w:t>/INFOEM/</w:t>
      </w:r>
      <w:r w:rsidR="00A71469" w:rsidRPr="00E24DFE">
        <w:rPr>
          <w:rFonts w:ascii="Palatino Linotype" w:eastAsia="Calibri" w:hAnsi="Palatino Linotype" w:cs="Tahoma"/>
          <w:b/>
          <w:bCs/>
          <w:sz w:val="24"/>
          <w:szCs w:val="22"/>
          <w:lang w:eastAsia="en-US"/>
        </w:rPr>
        <w:t>ICR-220/IP/RR/2022</w:t>
      </w:r>
      <w:r w:rsidRPr="00E24DFE">
        <w:rPr>
          <w:rFonts w:ascii="Palatino Linotype" w:hAnsi="Palatino Linotype" w:cs="Arial"/>
          <w:b/>
          <w:bCs/>
          <w:sz w:val="24"/>
          <w:szCs w:val="24"/>
        </w:rPr>
        <w:t xml:space="preserve">, </w:t>
      </w:r>
      <w:r w:rsidRPr="00E24DFE">
        <w:rPr>
          <w:rFonts w:ascii="Palatino Linotype" w:hAnsi="Palatino Linotype"/>
          <w:sz w:val="24"/>
          <w:szCs w:val="24"/>
        </w:rPr>
        <w:t xml:space="preserve">promovido por </w:t>
      </w:r>
      <w:r w:rsidRPr="00E24DFE">
        <w:rPr>
          <w:rFonts w:ascii="Palatino Linotype" w:hAnsi="Palatino Linotype"/>
          <w:b/>
          <w:sz w:val="24"/>
          <w:szCs w:val="24"/>
        </w:rPr>
        <w:t>un usuario del Sistema de Acceso a la Información Mexiquense (SAIMEX)</w:t>
      </w:r>
      <w:r w:rsidRPr="00E24DFE">
        <w:rPr>
          <w:rFonts w:ascii="Palatino Linotype" w:eastAsia="Calibri" w:hAnsi="Palatino Linotype" w:cs="Tahoma"/>
          <w:b/>
          <w:sz w:val="24"/>
          <w:szCs w:val="22"/>
          <w:lang w:eastAsia="en-US"/>
        </w:rPr>
        <w:t>,</w:t>
      </w:r>
      <w:r w:rsidRPr="00E24DFE">
        <w:rPr>
          <w:rFonts w:ascii="Palatino Linotype" w:hAnsi="Palatino Linotype"/>
          <w:sz w:val="24"/>
          <w:szCs w:val="24"/>
        </w:rPr>
        <w:t xml:space="preserve"> en su calidad de </w:t>
      </w:r>
      <w:r w:rsidRPr="00E24DFE">
        <w:rPr>
          <w:rFonts w:ascii="Palatino Linotype" w:hAnsi="Palatino Linotype"/>
          <w:b/>
          <w:sz w:val="24"/>
          <w:szCs w:val="24"/>
        </w:rPr>
        <w:t>RECURRENTE</w:t>
      </w:r>
      <w:r w:rsidRPr="00E24DFE">
        <w:rPr>
          <w:rFonts w:ascii="Palatino Linotype" w:hAnsi="Palatino Linotype" w:cs="Arial"/>
          <w:sz w:val="24"/>
          <w:szCs w:val="24"/>
        </w:rPr>
        <w:t xml:space="preserve">, en contra de la falta de respuesta del </w:t>
      </w:r>
      <w:r w:rsidRPr="00E24DFE">
        <w:rPr>
          <w:rFonts w:ascii="Palatino Linotype" w:eastAsia="Calibri" w:hAnsi="Palatino Linotype" w:cs="Tahoma"/>
          <w:b/>
          <w:bCs/>
          <w:sz w:val="24"/>
          <w:szCs w:val="24"/>
          <w:lang w:eastAsia="en-US"/>
        </w:rPr>
        <w:t xml:space="preserve">Ayuntamiento de </w:t>
      </w:r>
      <w:r w:rsidR="00E5083F" w:rsidRPr="00E24DFE">
        <w:rPr>
          <w:rFonts w:ascii="Palatino Linotype" w:eastAsia="Calibri" w:hAnsi="Palatino Linotype" w:cs="Tahoma"/>
          <w:b/>
          <w:bCs/>
          <w:sz w:val="24"/>
          <w:szCs w:val="24"/>
          <w:lang w:eastAsia="en-US"/>
        </w:rPr>
        <w:t>Atizapán</w:t>
      </w:r>
      <w:r w:rsidRPr="00E24DFE">
        <w:rPr>
          <w:rFonts w:ascii="Palatino Linotype" w:hAnsi="Palatino Linotype" w:cs="Arial"/>
          <w:sz w:val="24"/>
          <w:szCs w:val="24"/>
        </w:rPr>
        <w:t>,</w:t>
      </w:r>
      <w:r w:rsidRPr="00E24DFE">
        <w:rPr>
          <w:rFonts w:ascii="Palatino Linotype" w:hAnsi="Palatino Linotype"/>
          <w:b/>
          <w:sz w:val="24"/>
          <w:szCs w:val="24"/>
        </w:rPr>
        <w:t xml:space="preserve"> </w:t>
      </w:r>
      <w:r w:rsidRPr="00E24DFE">
        <w:rPr>
          <w:rFonts w:ascii="Palatino Linotype" w:hAnsi="Palatino Linotype"/>
          <w:sz w:val="24"/>
          <w:szCs w:val="24"/>
        </w:rPr>
        <w:t>en lo sucesivo el</w:t>
      </w:r>
      <w:r w:rsidRPr="00E24DFE">
        <w:rPr>
          <w:rFonts w:ascii="Palatino Linotype" w:hAnsi="Palatino Linotype"/>
          <w:b/>
          <w:sz w:val="24"/>
          <w:szCs w:val="24"/>
        </w:rPr>
        <w:t xml:space="preserve"> SUJETO OBLIGADO, </w:t>
      </w:r>
      <w:r w:rsidRPr="00E24DFE">
        <w:rPr>
          <w:rFonts w:ascii="Palatino Linotype" w:hAnsi="Palatino Linotype"/>
          <w:sz w:val="24"/>
          <w:szCs w:val="24"/>
        </w:rPr>
        <w:t>se procede a dictar la presente resolución, con base en los siguientes:</w:t>
      </w:r>
    </w:p>
    <w:p w:rsidR="009124EA" w:rsidRPr="00E24DFE" w:rsidRDefault="009124EA" w:rsidP="009124EA">
      <w:pPr>
        <w:pStyle w:val="Ttulo1"/>
        <w:spacing w:before="0"/>
        <w:jc w:val="center"/>
        <w:rPr>
          <w:rFonts w:ascii="Palatino Linotype" w:hAnsi="Palatino Linotype"/>
          <w:b/>
          <w:color w:val="auto"/>
          <w:sz w:val="24"/>
          <w:szCs w:val="24"/>
        </w:rPr>
      </w:pPr>
      <w:bookmarkStart w:id="0" w:name="_Toc87549671"/>
      <w:r w:rsidRPr="00E24DFE">
        <w:rPr>
          <w:rFonts w:ascii="Palatino Linotype" w:hAnsi="Palatino Linotype"/>
          <w:b/>
          <w:color w:val="auto"/>
          <w:sz w:val="24"/>
          <w:szCs w:val="24"/>
        </w:rPr>
        <w:t>ANTECEDENTES</w:t>
      </w:r>
      <w:bookmarkEnd w:id="0"/>
    </w:p>
    <w:p w:rsidR="009124EA" w:rsidRPr="00E24DFE" w:rsidRDefault="009124EA" w:rsidP="009124EA"/>
    <w:p w:rsidR="009124EA" w:rsidRPr="00E24DFE" w:rsidRDefault="009124EA" w:rsidP="009124EA">
      <w:pPr>
        <w:rPr>
          <w:rFonts w:ascii="Palatino Linotype" w:hAnsi="Palatino Linotype"/>
          <w:sz w:val="24"/>
          <w:szCs w:val="24"/>
          <w:lang w:eastAsia="en-US"/>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Arial"/>
          <w:sz w:val="24"/>
          <w:lang w:val="es-ES"/>
        </w:rPr>
      </w:pPr>
      <w:r w:rsidRPr="00E24DFE">
        <w:rPr>
          <w:rFonts w:ascii="Palatino Linotype" w:eastAsia="Calibri" w:hAnsi="Palatino Linotype" w:cs="Arial"/>
          <w:sz w:val="24"/>
          <w:lang w:val="es-ES"/>
        </w:rPr>
        <w:t xml:space="preserve">El día </w:t>
      </w:r>
      <w:r w:rsidR="00A71469" w:rsidRPr="00E24DFE">
        <w:rPr>
          <w:rFonts w:ascii="Palatino Linotype" w:eastAsia="Calibri" w:hAnsi="Palatino Linotype" w:cs="Arial"/>
          <w:sz w:val="24"/>
          <w:lang w:val="es-ES"/>
        </w:rPr>
        <w:t xml:space="preserve">veintidós (22) de febrero </w:t>
      </w:r>
      <w:r w:rsidRPr="00E24DFE">
        <w:rPr>
          <w:rFonts w:ascii="Palatino Linotype" w:eastAsia="Calibri" w:hAnsi="Palatino Linotype" w:cs="Arial"/>
          <w:sz w:val="24"/>
          <w:lang w:val="es-ES"/>
        </w:rPr>
        <w:t>de dos mil veintidós,</w:t>
      </w:r>
      <w:r w:rsidRPr="00E24DFE">
        <w:rPr>
          <w:rFonts w:ascii="Palatino Linotype" w:eastAsia="Calibri" w:hAnsi="Palatino Linotype"/>
          <w:sz w:val="24"/>
          <w:lang w:val="es-ES"/>
        </w:rPr>
        <w:t xml:space="preserve"> </w:t>
      </w:r>
      <w:r w:rsidRPr="00E24DFE">
        <w:rPr>
          <w:rFonts w:ascii="Palatino Linotype" w:eastAsia="Calibri" w:hAnsi="Palatino Linotype"/>
          <w:b/>
          <w:sz w:val="24"/>
          <w:lang w:val="es-ES"/>
        </w:rPr>
        <w:t xml:space="preserve">EL RECURRENTE </w:t>
      </w:r>
      <w:r w:rsidRPr="00E24DFE">
        <w:rPr>
          <w:rFonts w:ascii="Palatino Linotype" w:eastAsia="Calibri" w:hAnsi="Palatino Linotype"/>
          <w:bCs/>
          <w:sz w:val="24"/>
          <w:lang w:val="es-ES"/>
        </w:rPr>
        <w:t>presentó</w:t>
      </w:r>
      <w:r w:rsidRPr="00E24DFE">
        <w:rPr>
          <w:rFonts w:ascii="Palatino Linotype" w:hAnsi="Palatino Linotype"/>
          <w:b/>
          <w:sz w:val="24"/>
        </w:rPr>
        <w:t>,</w:t>
      </w:r>
      <w:r w:rsidRPr="00E24DFE">
        <w:rPr>
          <w:rFonts w:ascii="Palatino Linotype" w:eastAsia="Calibri" w:hAnsi="Palatino Linotype" w:cs="Arial"/>
          <w:sz w:val="24"/>
          <w:lang w:val="es-ES"/>
        </w:rPr>
        <w:t xml:space="preserve"> ante el </w:t>
      </w:r>
      <w:r w:rsidRPr="00E24DFE">
        <w:rPr>
          <w:rFonts w:ascii="Palatino Linotype" w:eastAsia="Calibri" w:hAnsi="Palatino Linotype" w:cs="Arial"/>
          <w:b/>
          <w:sz w:val="24"/>
          <w:lang w:val="es-ES"/>
        </w:rPr>
        <w:t>SUJETO OBLIGADO</w:t>
      </w:r>
      <w:r w:rsidRPr="00E24DFE">
        <w:rPr>
          <w:rFonts w:ascii="Palatino Linotype" w:eastAsia="Calibri" w:hAnsi="Palatino Linotype" w:cs="Arial"/>
          <w:sz w:val="24"/>
        </w:rPr>
        <w:t xml:space="preserve"> vía </w:t>
      </w:r>
      <w:r w:rsidRPr="00E24DFE">
        <w:rPr>
          <w:rFonts w:ascii="Palatino Linotype" w:eastAsia="Calibri" w:hAnsi="Palatino Linotype" w:cs="Arial"/>
          <w:sz w:val="24"/>
          <w:lang w:val="es-ES"/>
        </w:rPr>
        <w:t>Sistema de Acceso a la Información Mexiquense (</w:t>
      </w:r>
      <w:r w:rsidRPr="00E24DFE">
        <w:rPr>
          <w:rFonts w:ascii="Palatino Linotype" w:eastAsia="Calibri" w:hAnsi="Palatino Linotype" w:cs="Arial"/>
          <w:b/>
          <w:sz w:val="24"/>
          <w:lang w:val="es-ES"/>
        </w:rPr>
        <w:t>SAIMEX)</w:t>
      </w:r>
      <w:r w:rsidRPr="00E24DFE">
        <w:rPr>
          <w:rFonts w:ascii="Palatino Linotype" w:eastAsia="Calibri" w:hAnsi="Palatino Linotype" w:cs="Arial"/>
          <w:sz w:val="24"/>
          <w:lang w:val="es-ES"/>
        </w:rPr>
        <w:t xml:space="preserve">, la solicitud de información pública registrada con el número </w:t>
      </w:r>
      <w:r w:rsidR="00A71469" w:rsidRPr="00E24DFE">
        <w:rPr>
          <w:rFonts w:ascii="Palatino Linotype" w:eastAsia="Calibri" w:hAnsi="Palatino Linotype" w:cs="Arial"/>
          <w:b/>
          <w:bCs/>
          <w:sz w:val="24"/>
        </w:rPr>
        <w:t xml:space="preserve">00083/ATIZAPAN/IP/2022, </w:t>
      </w:r>
      <w:r w:rsidRPr="00E24DFE">
        <w:rPr>
          <w:rFonts w:ascii="Palatino Linotype" w:eastAsia="Calibri" w:hAnsi="Palatino Linotype" w:cs="Arial"/>
          <w:sz w:val="24"/>
          <w:lang w:val="es-ES"/>
        </w:rPr>
        <w:t>mediante la cual solicitó lo siguiente:</w:t>
      </w:r>
    </w:p>
    <w:p w:rsidR="009124EA" w:rsidRPr="00E24DFE" w:rsidRDefault="009124EA" w:rsidP="009124EA">
      <w:pPr>
        <w:pStyle w:val="Prrafodelista"/>
        <w:spacing w:line="360" w:lineRule="auto"/>
        <w:ind w:left="0"/>
        <w:jc w:val="both"/>
        <w:rPr>
          <w:rFonts w:ascii="Palatino Linotype" w:hAnsi="Palatino Linotype" w:cs="Arial"/>
          <w:sz w:val="24"/>
          <w:lang w:val="es-ES"/>
        </w:rPr>
      </w:pPr>
    </w:p>
    <w:p w:rsidR="009124EA" w:rsidRPr="00E24DFE" w:rsidRDefault="009124EA" w:rsidP="009124EA">
      <w:pPr>
        <w:ind w:left="567" w:right="567"/>
        <w:jc w:val="both"/>
        <w:rPr>
          <w:rFonts w:ascii="Palatino Linotype" w:eastAsia="Calibri" w:hAnsi="Palatino Linotype" w:cs="Arial"/>
          <w:i/>
          <w:sz w:val="24"/>
          <w:szCs w:val="24"/>
          <w:lang w:val="es-ES"/>
        </w:rPr>
      </w:pPr>
      <w:r w:rsidRPr="00E24DFE">
        <w:rPr>
          <w:rFonts w:ascii="Palatino Linotype" w:eastAsia="Calibri" w:hAnsi="Palatino Linotype" w:cs="Arial"/>
          <w:i/>
          <w:sz w:val="24"/>
          <w:szCs w:val="24"/>
          <w:lang w:val="es-ES"/>
        </w:rPr>
        <w:t>“</w:t>
      </w:r>
      <w:r w:rsidR="00A71469" w:rsidRPr="00E24DFE">
        <w:rPr>
          <w:rFonts w:ascii="Palatino Linotype" w:hAnsi="Palatino Linotype"/>
          <w:i/>
          <w:sz w:val="24"/>
          <w:szCs w:val="24"/>
          <w:lang w:eastAsia="es-MX"/>
        </w:rPr>
        <w:t xml:space="preserve">Solicito nómina ordinaria y extraordinaria de igual manera solicito si es que </w:t>
      </w:r>
      <w:proofErr w:type="gramStart"/>
      <w:r w:rsidR="00A71469" w:rsidRPr="00E24DFE">
        <w:rPr>
          <w:rFonts w:ascii="Palatino Linotype" w:hAnsi="Palatino Linotype"/>
          <w:i/>
          <w:sz w:val="24"/>
          <w:szCs w:val="24"/>
          <w:lang w:eastAsia="es-MX"/>
        </w:rPr>
        <w:t>tienen</w:t>
      </w:r>
      <w:proofErr w:type="gramEnd"/>
      <w:r w:rsidR="00A71469" w:rsidRPr="00E24DFE">
        <w:rPr>
          <w:rFonts w:ascii="Palatino Linotype" w:hAnsi="Palatino Linotype"/>
          <w:i/>
          <w:sz w:val="24"/>
          <w:szCs w:val="24"/>
          <w:lang w:eastAsia="es-MX"/>
        </w:rPr>
        <w:t xml:space="preserve"> bajo contrato, por tiempo indeterminado, obra determinado, así como por periodicidad del pago ya sea semanal, decenal, </w:t>
      </w:r>
      <w:proofErr w:type="spellStart"/>
      <w:r w:rsidR="00A71469" w:rsidRPr="00E24DFE">
        <w:rPr>
          <w:rFonts w:ascii="Palatino Linotype" w:hAnsi="Palatino Linotype"/>
          <w:i/>
          <w:sz w:val="24"/>
          <w:szCs w:val="24"/>
          <w:lang w:eastAsia="es-MX"/>
        </w:rPr>
        <w:t>cartorcenal</w:t>
      </w:r>
      <w:proofErr w:type="spellEnd"/>
      <w:r w:rsidR="00A71469" w:rsidRPr="00E24DFE">
        <w:rPr>
          <w:rFonts w:ascii="Palatino Linotype" w:hAnsi="Palatino Linotype"/>
          <w:i/>
          <w:sz w:val="24"/>
          <w:szCs w:val="24"/>
          <w:lang w:eastAsia="es-MX"/>
        </w:rPr>
        <w:t>, quincenal y mensual de igual manera si manejan nómina de raya nombre cargo o puesto y sueldo de cada uno.</w:t>
      </w:r>
      <w:r w:rsidRPr="00E24DFE">
        <w:rPr>
          <w:rFonts w:ascii="Palatino Linotype" w:eastAsia="Calibri" w:hAnsi="Palatino Linotype" w:cs="Arial"/>
          <w:i/>
          <w:sz w:val="24"/>
          <w:szCs w:val="24"/>
          <w:lang w:val="es-ES"/>
        </w:rPr>
        <w:t>” (Sic)</w:t>
      </w:r>
    </w:p>
    <w:p w:rsidR="009124EA" w:rsidRPr="00E24DFE" w:rsidRDefault="009124EA" w:rsidP="009124EA">
      <w:pPr>
        <w:ind w:left="567" w:right="567"/>
        <w:jc w:val="both"/>
        <w:rPr>
          <w:rFonts w:ascii="Palatino Linotype" w:eastAsia="Calibri" w:hAnsi="Palatino Linotype" w:cs="Arial"/>
          <w:i/>
          <w:sz w:val="24"/>
          <w:szCs w:val="24"/>
          <w:lang w:val="es-ES"/>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Arial"/>
          <w:sz w:val="24"/>
          <w:lang w:val="es-ES"/>
        </w:rPr>
      </w:pPr>
      <w:r w:rsidRPr="00E24DFE">
        <w:rPr>
          <w:rFonts w:ascii="Palatino Linotype" w:hAnsi="Palatino Linotype" w:cs="Arial"/>
          <w:sz w:val="24"/>
          <w:lang w:val="es-ES"/>
        </w:rPr>
        <w:t xml:space="preserve">Señaló como modalidad de entrega de la información a través del </w:t>
      </w:r>
      <w:r w:rsidRPr="00E24DFE">
        <w:rPr>
          <w:rFonts w:ascii="Palatino Linotype" w:hAnsi="Palatino Linotype" w:cs="Arial"/>
          <w:b/>
          <w:sz w:val="24"/>
          <w:lang w:val="es-ES"/>
        </w:rPr>
        <w:t>SAIMEX.</w:t>
      </w:r>
    </w:p>
    <w:p w:rsidR="009124EA" w:rsidRPr="00E24DFE" w:rsidRDefault="009124EA" w:rsidP="009124EA">
      <w:pPr>
        <w:pStyle w:val="Prrafodelista"/>
        <w:spacing w:line="360" w:lineRule="auto"/>
        <w:ind w:left="0"/>
        <w:jc w:val="both"/>
        <w:rPr>
          <w:rFonts w:ascii="Palatino Linotype" w:hAnsi="Palatino Linotype"/>
          <w:i/>
          <w:color w:val="000000"/>
          <w:sz w:val="24"/>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i/>
          <w:color w:val="000000"/>
          <w:sz w:val="24"/>
        </w:rPr>
      </w:pPr>
      <w:r w:rsidRPr="00E24DFE">
        <w:rPr>
          <w:rFonts w:ascii="Palatino Linotype" w:eastAsia="Calibri" w:hAnsi="Palatino Linotype"/>
          <w:sz w:val="24"/>
          <w:lang w:val="es-ES"/>
        </w:rPr>
        <w:lastRenderedPageBreak/>
        <w:t>De las constancias que obran en el expediente electrónico SAIMEX, se advierte que el Sujeto Obligado no emitió respuesta a la solicitud de información.</w:t>
      </w:r>
    </w:p>
    <w:p w:rsidR="009124EA" w:rsidRPr="00E24DFE" w:rsidRDefault="009124EA" w:rsidP="009124EA">
      <w:pPr>
        <w:pStyle w:val="Prrafodelista"/>
        <w:spacing w:line="360" w:lineRule="auto"/>
        <w:ind w:left="1287" w:right="567"/>
        <w:jc w:val="both"/>
        <w:rPr>
          <w:rFonts w:ascii="Palatino Linotype" w:hAnsi="Palatino Linotype"/>
          <w:i/>
          <w:color w:val="000000"/>
          <w:sz w:val="24"/>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Arial"/>
          <w:i/>
          <w:sz w:val="24"/>
        </w:rPr>
      </w:pPr>
      <w:r w:rsidRPr="00E24DFE">
        <w:rPr>
          <w:rFonts w:ascii="Palatino Linotype" w:eastAsia="Calibri" w:hAnsi="Palatino Linotype" w:cs="Arial"/>
          <w:sz w:val="24"/>
          <w:lang w:val="es-AR"/>
        </w:rPr>
        <w:t xml:space="preserve">El </w:t>
      </w:r>
      <w:r w:rsidR="00A71469" w:rsidRPr="00E24DFE">
        <w:rPr>
          <w:rFonts w:ascii="Palatino Linotype" w:eastAsia="Calibri" w:hAnsi="Palatino Linotype" w:cs="Arial"/>
          <w:sz w:val="24"/>
          <w:lang w:val="es-AR"/>
        </w:rPr>
        <w:t>diecisiete (17) de marzo de dos mil veintidós</w:t>
      </w:r>
      <w:r w:rsidRPr="00E24DFE">
        <w:rPr>
          <w:rFonts w:ascii="Palatino Linotype" w:hAnsi="Palatino Linotype" w:cs="Arial"/>
          <w:sz w:val="24"/>
          <w:lang w:val="es-ES"/>
        </w:rPr>
        <w:t xml:space="preserve">, </w:t>
      </w:r>
      <w:r w:rsidRPr="00E24DFE">
        <w:rPr>
          <w:rFonts w:ascii="Palatino Linotype" w:hAnsi="Palatino Linotype"/>
          <w:b/>
          <w:sz w:val="24"/>
        </w:rPr>
        <w:t>EL RECURRENTE</w:t>
      </w:r>
      <w:r w:rsidRPr="00E24DFE">
        <w:rPr>
          <w:rFonts w:ascii="Palatino Linotype" w:hAnsi="Palatino Linotype" w:cs="Arial"/>
          <w:sz w:val="24"/>
          <w:lang w:val="es-ES"/>
        </w:rPr>
        <w:t xml:space="preserve"> interpuso el recurso de revisión, en contra de la falta de respuesta y, señaló como:</w:t>
      </w:r>
      <w:bookmarkStart w:id="1" w:name="_Toc462307683"/>
      <w:bookmarkStart w:id="2" w:name="_Toc472427085"/>
      <w:bookmarkStart w:id="3" w:name="_Toc472500652"/>
    </w:p>
    <w:p w:rsidR="009124EA" w:rsidRPr="00E24DFE" w:rsidRDefault="009124EA" w:rsidP="009124EA">
      <w:pPr>
        <w:pStyle w:val="Prrafodelista"/>
        <w:rPr>
          <w:rFonts w:ascii="Palatino Linotype" w:hAnsi="Palatino Linotype" w:cs="Arial"/>
          <w:i/>
          <w:sz w:val="24"/>
        </w:rPr>
      </w:pPr>
    </w:p>
    <w:p w:rsidR="009124EA" w:rsidRPr="00E24DFE" w:rsidRDefault="009124EA" w:rsidP="009124EA">
      <w:pPr>
        <w:pStyle w:val="Prrafodelista"/>
        <w:spacing w:line="360" w:lineRule="auto"/>
        <w:jc w:val="both"/>
        <w:rPr>
          <w:rFonts w:ascii="Palatino Linotype" w:hAnsi="Palatino Linotype"/>
          <w:bCs/>
          <w:i/>
          <w:iCs/>
          <w:sz w:val="24"/>
        </w:rPr>
      </w:pPr>
      <w:r w:rsidRPr="00E24DFE">
        <w:rPr>
          <w:rFonts w:ascii="Palatino Linotype" w:hAnsi="Palatino Linotype"/>
          <w:b/>
          <w:sz w:val="24"/>
        </w:rPr>
        <w:t xml:space="preserve">Acto impugnado: </w:t>
      </w:r>
      <w:r w:rsidRPr="00E24DFE">
        <w:rPr>
          <w:rFonts w:ascii="Palatino Linotype" w:hAnsi="Palatino Linotype"/>
          <w:bCs/>
          <w:i/>
          <w:iCs/>
          <w:sz w:val="24"/>
        </w:rPr>
        <w:t>“</w:t>
      </w:r>
      <w:r w:rsidR="00245326" w:rsidRPr="00E24DFE">
        <w:rPr>
          <w:rFonts w:ascii="Palatino Linotype" w:eastAsia="Calibri" w:hAnsi="Palatino Linotype" w:cs="Tahoma"/>
          <w:i/>
          <w:sz w:val="24"/>
          <w:szCs w:val="22"/>
          <w:lang w:eastAsia="en-US"/>
        </w:rPr>
        <w:t>Nunca se contestó</w:t>
      </w:r>
      <w:r w:rsidRPr="00E24DFE">
        <w:rPr>
          <w:rFonts w:ascii="Palatino Linotype" w:hAnsi="Palatino Linotype"/>
          <w:bCs/>
          <w:i/>
          <w:iCs/>
          <w:sz w:val="24"/>
        </w:rPr>
        <w:t xml:space="preserve">” (sic) </w:t>
      </w:r>
    </w:p>
    <w:p w:rsidR="009124EA" w:rsidRPr="00E24DFE" w:rsidRDefault="009124EA" w:rsidP="009124EA">
      <w:pPr>
        <w:pStyle w:val="Prrafodelista"/>
        <w:spacing w:line="360" w:lineRule="auto"/>
        <w:jc w:val="both"/>
        <w:rPr>
          <w:rFonts w:ascii="Palatino Linotype" w:hAnsi="Palatino Linotype" w:cstheme="minorBidi"/>
          <w:bCs/>
          <w:i/>
          <w:iCs/>
          <w:sz w:val="24"/>
        </w:rPr>
      </w:pPr>
    </w:p>
    <w:p w:rsidR="009124EA" w:rsidRPr="00E24DFE" w:rsidRDefault="009124EA" w:rsidP="009124EA">
      <w:pPr>
        <w:pStyle w:val="Prrafodelista"/>
        <w:spacing w:line="360" w:lineRule="auto"/>
        <w:jc w:val="both"/>
        <w:rPr>
          <w:rFonts w:ascii="Palatino Linotype" w:eastAsia="Calibri" w:hAnsi="Palatino Linotype" w:cs="Arial"/>
          <w:sz w:val="24"/>
          <w:lang w:val="es-ES"/>
        </w:rPr>
      </w:pPr>
      <w:r w:rsidRPr="00E24DFE">
        <w:rPr>
          <w:rFonts w:ascii="Palatino Linotype" w:hAnsi="Palatino Linotype"/>
          <w:b/>
          <w:sz w:val="24"/>
        </w:rPr>
        <w:t>Razones o Motivos de Inconformidad:</w:t>
      </w:r>
      <w:r w:rsidRPr="00E24DFE">
        <w:rPr>
          <w:rStyle w:val="Ttulo2Car"/>
          <w:rFonts w:ascii="Palatino Linotype" w:hAnsi="Palatino Linotype"/>
          <w:b/>
          <w:i/>
          <w:sz w:val="24"/>
          <w:lang w:val="es-ES"/>
        </w:rPr>
        <w:t xml:space="preserve"> </w:t>
      </w:r>
      <w:r w:rsidRPr="00E24DFE">
        <w:rPr>
          <w:rFonts w:ascii="Palatino Linotype" w:hAnsi="Palatino Linotype"/>
          <w:sz w:val="24"/>
        </w:rPr>
        <w:t>“</w:t>
      </w:r>
      <w:r w:rsidR="00245326" w:rsidRPr="00E24DFE">
        <w:rPr>
          <w:rFonts w:ascii="Palatino Linotype" w:hAnsi="Palatino Linotype"/>
          <w:i/>
          <w:sz w:val="24"/>
        </w:rPr>
        <w:t>El titular nunca contesto</w:t>
      </w:r>
      <w:r w:rsidRPr="00E24DFE">
        <w:rPr>
          <w:rFonts w:ascii="Palatino Linotype" w:hAnsi="Palatino Linotype"/>
          <w:i/>
          <w:sz w:val="24"/>
        </w:rPr>
        <w:t>"</w:t>
      </w:r>
      <w:r w:rsidRPr="00E24DFE">
        <w:rPr>
          <w:rFonts w:ascii="Palatino Linotype" w:eastAsia="Calibri" w:hAnsi="Palatino Linotype" w:cs="Arial"/>
          <w:sz w:val="24"/>
          <w:lang w:val="es-ES"/>
        </w:rPr>
        <w:t>(Sic)</w:t>
      </w:r>
    </w:p>
    <w:p w:rsidR="00245326" w:rsidRPr="00E24DFE" w:rsidRDefault="00245326" w:rsidP="009124EA">
      <w:pPr>
        <w:pStyle w:val="Prrafodelista"/>
        <w:spacing w:line="360" w:lineRule="auto"/>
        <w:jc w:val="both"/>
        <w:rPr>
          <w:rFonts w:ascii="Palatino Linotype" w:eastAsia="Calibri" w:hAnsi="Palatino Linotype" w:cs="Arial"/>
          <w:sz w:val="24"/>
          <w:lang w:val="es-ES"/>
        </w:rPr>
      </w:pPr>
    </w:p>
    <w:bookmarkEnd w:id="1"/>
    <w:bookmarkEnd w:id="2"/>
    <w:bookmarkEnd w:id="3"/>
    <w:p w:rsidR="009124EA" w:rsidRPr="00E24DFE" w:rsidRDefault="009124EA" w:rsidP="009124EA">
      <w:pPr>
        <w:pStyle w:val="Prrafodelista"/>
        <w:numPr>
          <w:ilvl w:val="0"/>
          <w:numId w:val="2"/>
        </w:numPr>
        <w:spacing w:line="360" w:lineRule="auto"/>
        <w:ind w:left="0" w:firstLine="0"/>
        <w:jc w:val="both"/>
        <w:rPr>
          <w:rFonts w:ascii="Palatino Linotype" w:eastAsia="Calibri" w:hAnsi="Palatino Linotype" w:cs="Arial"/>
          <w:sz w:val="24"/>
          <w:lang w:val="es-AR"/>
        </w:rPr>
      </w:pPr>
      <w:r w:rsidRPr="00E24DFE">
        <w:rPr>
          <w:rFonts w:ascii="Palatino Linotype" w:hAnsi="Palatino Linotype" w:cs="Arial"/>
          <w:sz w:val="24"/>
          <w:lang w:val="es-ES"/>
        </w:rPr>
        <w:t xml:space="preserve">Se registró el recurso de revisión bajo el número de expediente </w:t>
      </w:r>
      <w:r w:rsidRPr="00E24DFE">
        <w:rPr>
          <w:rFonts w:ascii="Palatino Linotype" w:hAnsi="Palatino Linotype" w:cs="Arial"/>
          <w:bCs/>
          <w:sz w:val="24"/>
        </w:rPr>
        <w:t xml:space="preserve">al rubro indicado, asimismo con fundamento en lo dispuesto por el </w:t>
      </w:r>
      <w:r w:rsidRPr="00E24DFE">
        <w:rPr>
          <w:rFonts w:ascii="Palatino Linotype" w:eastAsia="Calibri" w:hAnsi="Palatino Linotype" w:cs="Arial"/>
          <w:sz w:val="24"/>
          <w:lang w:val="es-ES"/>
        </w:rPr>
        <w:t xml:space="preserve">artículo 185 fracción I de la </w:t>
      </w:r>
      <w:r w:rsidRPr="00E24DFE">
        <w:rPr>
          <w:rFonts w:ascii="Palatino Linotype" w:eastAsia="Calibri" w:hAnsi="Palatino Linotype" w:cs="Arial"/>
          <w:b/>
          <w:sz w:val="24"/>
          <w:lang w:val="es-ES"/>
        </w:rPr>
        <w:t xml:space="preserve">Ley de Transparencia y Acceso a la Información Pública del Estado de México y Municipios </w:t>
      </w:r>
      <w:r w:rsidRPr="00E24DFE">
        <w:rPr>
          <w:rFonts w:ascii="Palatino Linotype" w:hAnsi="Palatino Linotype" w:cs="Arial"/>
          <w:sz w:val="24"/>
          <w:lang w:val="es-ES"/>
        </w:rPr>
        <w:t xml:space="preserve">se turnó a la </w:t>
      </w:r>
      <w:r w:rsidRPr="00E24DFE">
        <w:rPr>
          <w:rFonts w:ascii="Palatino Linotype" w:hAnsi="Palatino Linotype" w:cs="Arial"/>
          <w:b/>
          <w:sz w:val="24"/>
          <w:lang w:val="es-ES"/>
        </w:rPr>
        <w:t xml:space="preserve">Comisionada María del Rosario Mejía Ayala, </w:t>
      </w:r>
      <w:r w:rsidRPr="00E24DFE">
        <w:rPr>
          <w:rFonts w:ascii="Palatino Linotype" w:hAnsi="Palatino Linotype" w:cs="Arial"/>
          <w:sz w:val="24"/>
          <w:lang w:val="es-ES"/>
        </w:rPr>
        <w:t xml:space="preserve">con el objeto de </w:t>
      </w:r>
      <w:r w:rsidRPr="00E24DFE">
        <w:rPr>
          <w:rFonts w:ascii="Palatino Linotype" w:hAnsi="Palatino Linotype" w:cs="Arial"/>
          <w:sz w:val="24"/>
        </w:rPr>
        <w:t>su análisis.</w:t>
      </w:r>
    </w:p>
    <w:p w:rsidR="009124EA" w:rsidRPr="00E24DFE" w:rsidRDefault="009124EA" w:rsidP="009124EA">
      <w:pPr>
        <w:pStyle w:val="Prrafodelista"/>
        <w:spacing w:line="360" w:lineRule="auto"/>
        <w:ind w:left="0"/>
        <w:jc w:val="both"/>
        <w:rPr>
          <w:rFonts w:ascii="Palatino Linotype" w:eastAsia="Calibri" w:hAnsi="Palatino Linotype" w:cs="Arial"/>
          <w:sz w:val="24"/>
          <w:lang w:val="es-AR"/>
        </w:rPr>
      </w:pPr>
    </w:p>
    <w:p w:rsidR="009124EA" w:rsidRPr="00E24DFE" w:rsidRDefault="009124EA" w:rsidP="009124EA">
      <w:pPr>
        <w:pStyle w:val="Prrafodelista"/>
        <w:numPr>
          <w:ilvl w:val="0"/>
          <w:numId w:val="2"/>
        </w:numPr>
        <w:spacing w:line="360" w:lineRule="auto"/>
        <w:ind w:left="0" w:firstLine="0"/>
        <w:jc w:val="both"/>
        <w:rPr>
          <w:rFonts w:ascii="Palatino Linotype" w:eastAsiaTheme="minorEastAsia" w:hAnsi="Palatino Linotype" w:cstheme="minorBidi"/>
          <w:i/>
          <w:color w:val="000000"/>
          <w:sz w:val="24"/>
          <w:lang w:val="es-ES_tradnl"/>
        </w:rPr>
      </w:pPr>
      <w:r w:rsidRPr="00E24DFE">
        <w:rPr>
          <w:rFonts w:ascii="Palatino Linotype" w:eastAsia="Calibri" w:hAnsi="Palatino Linotype" w:cs="Arial"/>
          <w:sz w:val="24"/>
          <w:lang w:val="es-ES"/>
        </w:rPr>
        <w:t xml:space="preserve">La Comisionada Ponente con fundamento en lo dispuesto por el artículo 185 fracción II de la ley de la materia, a través del acuerdo de admisión de fecha </w:t>
      </w:r>
      <w:r w:rsidR="00245326" w:rsidRPr="00E24DFE">
        <w:rPr>
          <w:rFonts w:ascii="Palatino Linotype" w:eastAsia="Calibri" w:hAnsi="Palatino Linotype" w:cs="Arial"/>
          <w:sz w:val="24"/>
          <w:lang w:val="es-ES"/>
        </w:rPr>
        <w:t>veintitrés (23) de marzo de dos mil veintidós</w:t>
      </w:r>
      <w:r w:rsidRPr="00E24DFE">
        <w:rPr>
          <w:rFonts w:ascii="Palatino Linotype" w:eastAsia="Calibri" w:hAnsi="Palatino Linotype" w:cs="Arial"/>
          <w:sz w:val="24"/>
          <w:lang w:val="es-ES"/>
        </w:rPr>
        <w:t xml:space="preserve">, puso a disposición de las partes el expediente electrónico </w:t>
      </w:r>
      <w:r w:rsidRPr="00E24DFE">
        <w:rPr>
          <w:rFonts w:ascii="Palatino Linotype" w:eastAsia="Calibri" w:hAnsi="Palatino Linotype" w:cs="Arial"/>
          <w:sz w:val="24"/>
        </w:rPr>
        <w:t xml:space="preserve">vía </w:t>
      </w:r>
      <w:r w:rsidRPr="00E24DFE">
        <w:rPr>
          <w:rFonts w:ascii="Palatino Linotype" w:eastAsia="Calibri" w:hAnsi="Palatino Linotype" w:cs="Arial"/>
          <w:b/>
          <w:sz w:val="24"/>
          <w:lang w:val="es-ES"/>
        </w:rPr>
        <w:t xml:space="preserve">SAIMEX </w:t>
      </w:r>
      <w:r w:rsidRPr="00E24DFE">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Pr="00E24DFE">
        <w:rPr>
          <w:rFonts w:ascii="Palatino Linotype" w:eastAsia="Calibri" w:hAnsi="Palatino Linotype" w:cs="Arial"/>
          <w:sz w:val="24"/>
          <w:lang w:val="es-ES"/>
        </w:rPr>
        <w:lastRenderedPageBreak/>
        <w:t xml:space="preserve">corresponda al caso concreto, de esta forma para que el </w:t>
      </w:r>
      <w:r w:rsidRPr="00E24DFE">
        <w:rPr>
          <w:rFonts w:ascii="Palatino Linotype" w:eastAsia="Calibri" w:hAnsi="Palatino Linotype" w:cs="Arial"/>
          <w:b/>
          <w:sz w:val="24"/>
          <w:lang w:val="es-ES"/>
        </w:rPr>
        <w:t>SUJETO OBLIGADO</w:t>
      </w:r>
      <w:r w:rsidRPr="00E24DFE">
        <w:rPr>
          <w:rFonts w:ascii="Palatino Linotype" w:eastAsia="Calibri" w:hAnsi="Palatino Linotype" w:cs="Arial"/>
          <w:sz w:val="24"/>
          <w:lang w:val="es-ES"/>
        </w:rPr>
        <w:t xml:space="preserve"> presentara el informe justificado procedente.</w:t>
      </w:r>
    </w:p>
    <w:p w:rsidR="009124EA" w:rsidRPr="00E24DFE" w:rsidRDefault="009124EA" w:rsidP="009124EA">
      <w:pPr>
        <w:pStyle w:val="Prrafodelista"/>
        <w:spacing w:line="360" w:lineRule="auto"/>
        <w:ind w:left="0"/>
        <w:jc w:val="both"/>
        <w:rPr>
          <w:rFonts w:ascii="Palatino Linotype" w:eastAsiaTheme="minorEastAsia" w:hAnsi="Palatino Linotype" w:cstheme="minorBidi"/>
          <w:i/>
          <w:color w:val="000000"/>
          <w:sz w:val="24"/>
          <w:lang w:val="es-ES_tradnl"/>
        </w:rPr>
      </w:pPr>
    </w:p>
    <w:p w:rsidR="009124EA" w:rsidRPr="00E24DFE" w:rsidRDefault="009124EA" w:rsidP="009124EA">
      <w:pPr>
        <w:numPr>
          <w:ilvl w:val="0"/>
          <w:numId w:val="1"/>
        </w:numPr>
        <w:tabs>
          <w:tab w:val="left" w:pos="284"/>
        </w:tabs>
        <w:spacing w:line="360" w:lineRule="auto"/>
        <w:ind w:left="0" w:firstLine="0"/>
        <w:contextualSpacing/>
        <w:jc w:val="both"/>
        <w:rPr>
          <w:rFonts w:ascii="Palatino Linotype" w:eastAsiaTheme="minorEastAsia" w:hAnsi="Palatino Linotype"/>
          <w:i/>
          <w:color w:val="000000"/>
          <w:sz w:val="24"/>
          <w:szCs w:val="24"/>
          <w:lang w:val="es-ES_tradnl"/>
        </w:rPr>
      </w:pPr>
      <w:r w:rsidRPr="00E24DFE">
        <w:rPr>
          <w:rFonts w:ascii="Palatino Linotype" w:eastAsiaTheme="minorEastAsia" w:hAnsi="Palatino Linotype"/>
          <w:color w:val="000000"/>
          <w:sz w:val="24"/>
          <w:szCs w:val="24"/>
          <w:lang w:val="es-ES_tradnl"/>
        </w:rPr>
        <w:t xml:space="preserve">El </w:t>
      </w:r>
      <w:r w:rsidRPr="00E24DFE">
        <w:rPr>
          <w:rFonts w:ascii="Palatino Linotype" w:eastAsiaTheme="minorEastAsia" w:hAnsi="Palatino Linotype"/>
          <w:b/>
          <w:color w:val="000000"/>
          <w:sz w:val="24"/>
          <w:szCs w:val="24"/>
          <w:lang w:val="es-ES_tradnl"/>
        </w:rPr>
        <w:t xml:space="preserve">SUJETO OBLIGADO </w:t>
      </w:r>
      <w:r w:rsidRPr="00E24DFE">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E24DFE">
        <w:rPr>
          <w:rFonts w:ascii="Palatino Linotype" w:eastAsiaTheme="minorEastAsia" w:hAnsi="Palatino Linotype"/>
          <w:b/>
          <w:color w:val="000000"/>
          <w:sz w:val="24"/>
          <w:szCs w:val="24"/>
          <w:lang w:val="es-ES_tradnl"/>
        </w:rPr>
        <w:t xml:space="preserve">RECURRENTE </w:t>
      </w:r>
      <w:r w:rsidRPr="00E24DFE">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E24DFE">
        <w:rPr>
          <w:rFonts w:ascii="Palatino Linotype" w:eastAsiaTheme="minorEastAsia" w:hAnsi="Palatino Linotype"/>
          <w:b/>
          <w:color w:val="000000"/>
          <w:sz w:val="24"/>
          <w:szCs w:val="24"/>
          <w:lang w:val="es-ES_tradnl"/>
        </w:rPr>
        <w:t>SAIMEX.</w:t>
      </w:r>
    </w:p>
    <w:p w:rsidR="009124EA" w:rsidRPr="00E24DFE" w:rsidRDefault="009124EA" w:rsidP="009124EA">
      <w:pPr>
        <w:spacing w:line="360" w:lineRule="auto"/>
        <w:jc w:val="both"/>
        <w:rPr>
          <w:rFonts w:ascii="Palatino Linotype" w:hAnsi="Palatino Linotype"/>
          <w:i/>
          <w:color w:val="000000"/>
          <w:sz w:val="24"/>
        </w:rPr>
      </w:pPr>
    </w:p>
    <w:p w:rsidR="009124EA" w:rsidRPr="00E24DFE" w:rsidRDefault="009124EA" w:rsidP="009124EA">
      <w:pPr>
        <w:pStyle w:val="Prrafodelista"/>
        <w:numPr>
          <w:ilvl w:val="0"/>
          <w:numId w:val="1"/>
        </w:numPr>
        <w:tabs>
          <w:tab w:val="left" w:pos="284"/>
        </w:tabs>
        <w:spacing w:line="360" w:lineRule="auto"/>
        <w:ind w:left="0" w:firstLine="0"/>
        <w:jc w:val="both"/>
        <w:rPr>
          <w:rFonts w:ascii="Palatino Linotype" w:hAnsi="Palatino Linotype" w:cs="Arial"/>
          <w:sz w:val="24"/>
        </w:rPr>
      </w:pPr>
      <w:r w:rsidRPr="00E24DFE">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9124EA" w:rsidRPr="00E24DFE" w:rsidRDefault="009124EA" w:rsidP="009124EA">
      <w:pPr>
        <w:pStyle w:val="Prrafodelista"/>
        <w:tabs>
          <w:tab w:val="left" w:pos="284"/>
        </w:tabs>
        <w:spacing w:line="360" w:lineRule="auto"/>
        <w:ind w:left="0"/>
        <w:jc w:val="both"/>
        <w:rPr>
          <w:rFonts w:ascii="Palatino Linotype" w:hAnsi="Palatino Linotype" w:cs="Arial"/>
        </w:rPr>
      </w:pPr>
    </w:p>
    <w:p w:rsidR="009124EA" w:rsidRPr="00E24DFE" w:rsidRDefault="009124EA" w:rsidP="009124EA">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E24DFE">
        <w:rPr>
          <w:rFonts w:ascii="Palatino Linotype" w:hAnsi="Palatino Linotype" w:cs="Arial"/>
          <w:b/>
          <w:bCs/>
          <w:i/>
          <w:iCs/>
          <w:color w:val="222222"/>
          <w:sz w:val="22"/>
          <w:lang w:val="es-ES_tradnl"/>
        </w:rPr>
        <w:t>QUEJA, RECURSO DE. LA OMISION DE RENDIR EL INFORME RESPECTIVO NO IMPIDE QUE SE RESUELV</w:t>
      </w:r>
      <w:r w:rsidRPr="00E24DFE">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w:t>
      </w:r>
      <w:r w:rsidRPr="00E24DFE">
        <w:rPr>
          <w:rFonts w:ascii="Palatino Linotype" w:hAnsi="Palatino Linotype" w:cs="Arial"/>
          <w:i/>
          <w:iCs/>
          <w:color w:val="222222"/>
          <w:sz w:val="22"/>
          <w:lang w:val="es-ES_tradnl"/>
        </w:rPr>
        <w:lastRenderedPageBreak/>
        <w:t>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9124EA" w:rsidRPr="00E24DFE" w:rsidRDefault="009124EA" w:rsidP="009124EA">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rsidR="009124EA" w:rsidRPr="00E24DFE" w:rsidRDefault="009124EA" w:rsidP="009124EA">
      <w:pPr>
        <w:pStyle w:val="Prrafodelista"/>
        <w:numPr>
          <w:ilvl w:val="0"/>
          <w:numId w:val="1"/>
        </w:numPr>
        <w:tabs>
          <w:tab w:val="left" w:pos="284"/>
        </w:tabs>
        <w:spacing w:line="360" w:lineRule="auto"/>
        <w:ind w:left="0" w:firstLine="0"/>
        <w:jc w:val="both"/>
        <w:rPr>
          <w:rFonts w:ascii="Palatino Linotype" w:hAnsi="Palatino Linotype" w:cs="Arial"/>
          <w:b/>
          <w:bCs/>
          <w:sz w:val="24"/>
          <w:lang w:eastAsia="es-MX"/>
        </w:rPr>
      </w:pPr>
      <w:r w:rsidRPr="00E24DFE">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E24DFE">
        <w:rPr>
          <w:rFonts w:ascii="Palatino Linotype" w:hAnsi="Palatino Linotype" w:cs="Arial"/>
          <w:b/>
          <w:bCs/>
          <w:color w:val="222222"/>
          <w:sz w:val="24"/>
        </w:rPr>
        <w:t>SUJETO OBLIGADO</w:t>
      </w:r>
      <w:r w:rsidRPr="00E24DFE">
        <w:rPr>
          <w:rFonts w:ascii="Palatino Linotype" w:hAnsi="Palatino Linotype" w:cs="Arial"/>
          <w:color w:val="222222"/>
          <w:sz w:val="24"/>
        </w:rPr>
        <w:t> pierda la oportunidad de justificar su falta de respuesta y manifestar lo que a su derecho convenga.</w:t>
      </w:r>
    </w:p>
    <w:p w:rsidR="009124EA" w:rsidRPr="00E24DFE" w:rsidRDefault="009124EA" w:rsidP="009124EA">
      <w:pPr>
        <w:pStyle w:val="Prrafodelista"/>
        <w:spacing w:line="360" w:lineRule="auto"/>
        <w:ind w:left="0"/>
        <w:jc w:val="both"/>
        <w:rPr>
          <w:rFonts w:ascii="Palatino Linotype" w:hAnsi="Palatino Linotype"/>
          <w:i/>
          <w:color w:val="000000"/>
          <w:sz w:val="24"/>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Tahoma"/>
          <w:sz w:val="24"/>
        </w:rPr>
      </w:pPr>
      <w:r w:rsidRPr="00E24DFE">
        <w:rPr>
          <w:rFonts w:ascii="Palatino Linotype" w:eastAsia="Calibri" w:hAnsi="Palatino Linotype" w:cs="Arial"/>
          <w:sz w:val="24"/>
          <w:lang w:val="es-ES"/>
        </w:rPr>
        <w:t xml:space="preserve">El día </w:t>
      </w:r>
      <w:r w:rsidR="00245326" w:rsidRPr="00E24DFE">
        <w:rPr>
          <w:rFonts w:ascii="Palatino Linotype" w:eastAsia="Calibri" w:hAnsi="Palatino Linotype" w:cs="Arial"/>
          <w:sz w:val="24"/>
          <w:lang w:val="es-ES"/>
        </w:rPr>
        <w:t xml:space="preserve">seis (06) de abril </w:t>
      </w:r>
      <w:r w:rsidRPr="00E24DFE">
        <w:rPr>
          <w:rFonts w:ascii="Palatino Linotype" w:eastAsia="Calibri" w:hAnsi="Palatino Linotype" w:cs="Arial"/>
          <w:sz w:val="24"/>
          <w:lang w:val="es-ES"/>
        </w:rPr>
        <w:t xml:space="preserve"> de dos mil veintidós, la</w:t>
      </w:r>
      <w:r w:rsidRPr="00E24DFE">
        <w:rPr>
          <w:rFonts w:ascii="Palatino Linotype" w:hAnsi="Palatino Linotype"/>
          <w:sz w:val="24"/>
        </w:rPr>
        <w:t xml:space="preserve"> Comisionada Ponente decretó el cierre de instrucción</w:t>
      </w:r>
      <w:r w:rsidRPr="00E24DFE">
        <w:rPr>
          <w:rFonts w:ascii="Palatino Linotype" w:hAnsi="Palatino Linotype" w:cs="Arial"/>
          <w:sz w:val="24"/>
        </w:rPr>
        <w:t>.</w:t>
      </w:r>
      <w:r w:rsidRPr="00E24DFE">
        <w:rPr>
          <w:rFonts w:ascii="Palatino Linotype" w:hAnsi="Palatino Linotype" w:cs="Tahoma"/>
          <w:sz w:val="24"/>
        </w:rPr>
        <w:t xml:space="preserve"> Por lo que turnó la presente resolución para su aprobación.</w:t>
      </w:r>
    </w:p>
    <w:p w:rsidR="009124EA" w:rsidRPr="00E24DFE" w:rsidRDefault="009124EA" w:rsidP="009124EA">
      <w:pPr>
        <w:pStyle w:val="Prrafodelista"/>
        <w:spacing w:line="360" w:lineRule="auto"/>
        <w:ind w:left="0"/>
        <w:jc w:val="both"/>
        <w:rPr>
          <w:rFonts w:ascii="Palatino Linotype" w:hAnsi="Palatino Linotype" w:cs="Tahoma"/>
          <w:sz w:val="24"/>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Tahoma"/>
          <w:sz w:val="24"/>
        </w:rPr>
      </w:pPr>
      <w:r w:rsidRPr="00E24DFE">
        <w:rPr>
          <w:rFonts w:ascii="Palatino Linotype" w:hAnsi="Palatino Linotype" w:cs="Tahoma"/>
          <w:sz w:val="24"/>
        </w:rPr>
        <w:t xml:space="preserve">El </w:t>
      </w:r>
      <w:r w:rsidR="00245326" w:rsidRPr="00E24DFE">
        <w:rPr>
          <w:rFonts w:ascii="Palatino Linotype" w:hAnsi="Palatino Linotype" w:cs="Tahoma"/>
          <w:sz w:val="24"/>
        </w:rPr>
        <w:t>veinte (20) de abril de dos mil veintidós</w:t>
      </w:r>
      <w:r w:rsidRPr="00E24DFE">
        <w:rPr>
          <w:rFonts w:ascii="Palatino Linotype" w:hAnsi="Palatino Linotype" w:cs="Tahoma"/>
          <w:sz w:val="24"/>
        </w:rPr>
        <w:t xml:space="preserve">, en la </w:t>
      </w:r>
      <w:r w:rsidR="00245326" w:rsidRPr="00E24DFE">
        <w:rPr>
          <w:rFonts w:ascii="Palatino Linotype" w:hAnsi="Palatino Linotype" w:cs="Tahoma"/>
          <w:sz w:val="24"/>
        </w:rPr>
        <w:t>Décima Cuarta</w:t>
      </w:r>
      <w:r w:rsidRPr="00E24DFE">
        <w:rPr>
          <w:rFonts w:ascii="Palatino Linotype" w:hAnsi="Palatino Linotype" w:cs="Tahoma"/>
          <w:sz w:val="24"/>
        </w:rPr>
        <w:t xml:space="preserve"> Sesión Ordinaria, el Pleno del Instituto de Transparencia, Acceso a la Información Pública y Protección de Datos Personales del Estado de México y Municipios, aprobó por Unanimidad de votos, la resolución dictada</w:t>
      </w:r>
      <w:r w:rsidR="00245326" w:rsidRPr="00E24DFE">
        <w:rPr>
          <w:rFonts w:ascii="Palatino Linotype" w:hAnsi="Palatino Linotype" w:cs="Tahoma"/>
          <w:sz w:val="24"/>
        </w:rPr>
        <w:t xml:space="preserve"> en el recurso de revisión 04008/INFOEM/IP/RR/2022</w:t>
      </w:r>
      <w:r w:rsidRPr="00E24DFE">
        <w:rPr>
          <w:rFonts w:ascii="Palatino Linotype" w:hAnsi="Palatino Linotype" w:cs="Tahoma"/>
          <w:sz w:val="24"/>
        </w:rPr>
        <w:t xml:space="preserve"> en la cual se determinó los  siguiente:</w:t>
      </w:r>
    </w:p>
    <w:p w:rsidR="009124EA" w:rsidRPr="00E24DFE" w:rsidRDefault="009124EA" w:rsidP="009124EA">
      <w:pPr>
        <w:pStyle w:val="Prrafodelista"/>
        <w:rPr>
          <w:rFonts w:ascii="Palatino Linotype" w:hAnsi="Palatino Linotype" w:cs="Tahoma"/>
          <w:sz w:val="24"/>
        </w:rPr>
      </w:pPr>
    </w:p>
    <w:p w:rsidR="00245326" w:rsidRPr="00E24DFE" w:rsidRDefault="00245326" w:rsidP="00245326">
      <w:pPr>
        <w:spacing w:line="360" w:lineRule="auto"/>
        <w:ind w:left="851" w:right="680"/>
        <w:jc w:val="both"/>
        <w:rPr>
          <w:rFonts w:ascii="Palatino Linotype" w:eastAsiaTheme="minorEastAsia" w:hAnsi="Palatino Linotype" w:cs="Arial"/>
          <w:bCs/>
          <w:i/>
          <w:sz w:val="22"/>
          <w:szCs w:val="24"/>
          <w:lang w:val="es-ES_tradnl" w:eastAsia="es-MX"/>
        </w:rPr>
      </w:pPr>
      <w:r w:rsidRPr="00E24DFE">
        <w:rPr>
          <w:rFonts w:ascii="Palatino Linotype" w:hAnsi="Palatino Linotype" w:cs="Arial"/>
          <w:b/>
          <w:i/>
          <w:sz w:val="22"/>
          <w:szCs w:val="24"/>
          <w:lang w:val="es-ES_tradnl"/>
        </w:rPr>
        <w:lastRenderedPageBreak/>
        <w:t xml:space="preserve">PRIMERO. </w:t>
      </w:r>
      <w:r w:rsidRPr="00E24DFE">
        <w:rPr>
          <w:rFonts w:ascii="Palatino Linotype" w:hAnsi="Palatino Linotype" w:cs="Arial"/>
          <w:i/>
          <w:sz w:val="22"/>
          <w:szCs w:val="24"/>
          <w:lang w:val="es-ES_tradnl"/>
        </w:rPr>
        <w:t>Resultan fundadas las</w:t>
      </w:r>
      <w:r w:rsidRPr="00E24DFE">
        <w:rPr>
          <w:rFonts w:ascii="Palatino Linotype" w:hAnsi="Palatino Linotype" w:cs="Arial"/>
          <w:b/>
          <w:i/>
          <w:sz w:val="22"/>
          <w:szCs w:val="24"/>
          <w:lang w:val="es-ES_tradnl"/>
        </w:rPr>
        <w:t xml:space="preserve"> </w:t>
      </w:r>
      <w:r w:rsidRPr="00E24DFE">
        <w:rPr>
          <w:rFonts w:ascii="Palatino Linotype" w:hAnsi="Palatino Linotype" w:cs="Arial"/>
          <w:i/>
          <w:sz w:val="22"/>
          <w:szCs w:val="24"/>
          <w:lang w:val="es-ES"/>
        </w:rPr>
        <w:t xml:space="preserve">razones y motivos de inconformidad hechos valer en los recursos de revisión </w:t>
      </w:r>
      <w:r w:rsidRPr="00E24DFE">
        <w:rPr>
          <w:rFonts w:ascii="Palatino Linotype" w:hAnsi="Palatino Linotype" w:cs="Arial"/>
          <w:b/>
          <w:bCs/>
          <w:i/>
          <w:sz w:val="22"/>
          <w:szCs w:val="24"/>
          <w:lang w:val="es-ES_tradnl"/>
        </w:rPr>
        <w:t xml:space="preserve">04008/INFOEM/IP/RR/2022 y 04009/INFOEM/IP/RR/2022  </w:t>
      </w:r>
      <w:r w:rsidRPr="00E24DFE">
        <w:rPr>
          <w:rFonts w:ascii="Palatino Linotype" w:eastAsiaTheme="minorEastAsia" w:hAnsi="Palatino Linotype" w:cs="Arial"/>
          <w:bCs/>
          <w:i/>
          <w:sz w:val="22"/>
          <w:szCs w:val="24"/>
          <w:lang w:val="es-ES_tradnl" w:eastAsia="es-MX"/>
        </w:rPr>
        <w:t xml:space="preserve">en términos del </w:t>
      </w:r>
      <w:r w:rsidRPr="00E24DFE">
        <w:rPr>
          <w:rFonts w:ascii="Palatino Linotype" w:eastAsiaTheme="minorEastAsia" w:hAnsi="Palatino Linotype" w:cs="Arial"/>
          <w:b/>
          <w:bCs/>
          <w:i/>
          <w:sz w:val="22"/>
          <w:szCs w:val="24"/>
          <w:lang w:val="es-ES_tradnl" w:eastAsia="es-MX"/>
        </w:rPr>
        <w:t xml:space="preserve">Considerando CUARTO </w:t>
      </w:r>
      <w:r w:rsidRPr="00E24DFE">
        <w:rPr>
          <w:rFonts w:ascii="Palatino Linotype" w:eastAsiaTheme="minorEastAsia" w:hAnsi="Palatino Linotype" w:cs="Arial"/>
          <w:bCs/>
          <w:i/>
          <w:sz w:val="22"/>
          <w:szCs w:val="24"/>
          <w:lang w:val="es-ES_tradnl" w:eastAsia="es-MX"/>
        </w:rPr>
        <w:t>de la presente resolución.</w:t>
      </w:r>
    </w:p>
    <w:p w:rsidR="00245326" w:rsidRPr="00E24DFE" w:rsidRDefault="00245326" w:rsidP="00245326">
      <w:pPr>
        <w:spacing w:line="360" w:lineRule="auto"/>
        <w:ind w:left="851" w:right="680"/>
        <w:jc w:val="both"/>
        <w:rPr>
          <w:rFonts w:ascii="Palatino Linotype" w:eastAsiaTheme="minorEastAsia" w:hAnsi="Palatino Linotype" w:cs="Arial"/>
          <w:bCs/>
          <w:i/>
          <w:sz w:val="22"/>
          <w:szCs w:val="24"/>
          <w:lang w:val="es-ES_tradnl" w:eastAsia="es-MX"/>
        </w:rPr>
      </w:pPr>
    </w:p>
    <w:p w:rsidR="00245326" w:rsidRPr="00E24DFE" w:rsidRDefault="00245326" w:rsidP="00245326">
      <w:pPr>
        <w:spacing w:line="360" w:lineRule="auto"/>
        <w:ind w:left="851" w:right="680"/>
        <w:jc w:val="both"/>
        <w:rPr>
          <w:rFonts w:ascii="Palatino Linotype" w:eastAsia="Calibri" w:hAnsi="Palatino Linotype" w:cs="Arial"/>
          <w:b/>
          <w:i/>
          <w:sz w:val="22"/>
          <w:szCs w:val="24"/>
          <w:lang w:val="es-ES"/>
        </w:rPr>
      </w:pPr>
      <w:r w:rsidRPr="00E24DFE">
        <w:rPr>
          <w:rFonts w:ascii="Palatino Linotype" w:eastAsia="Calibri" w:hAnsi="Palatino Linotype" w:cs="Arial"/>
          <w:b/>
          <w:bCs/>
          <w:i/>
          <w:sz w:val="22"/>
          <w:szCs w:val="24"/>
          <w:lang w:val="es-ES"/>
        </w:rPr>
        <w:t xml:space="preserve">SEGUNDO. </w:t>
      </w:r>
      <w:r w:rsidRPr="00E24DFE">
        <w:rPr>
          <w:rFonts w:ascii="Palatino Linotype" w:eastAsia="Calibri" w:hAnsi="Palatino Linotype" w:cs="Arial"/>
          <w:i/>
          <w:sz w:val="22"/>
          <w:szCs w:val="24"/>
          <w:lang w:val="es-ES"/>
        </w:rPr>
        <w:t xml:space="preserve">Se </w:t>
      </w:r>
      <w:r w:rsidRPr="00E24DFE">
        <w:rPr>
          <w:rFonts w:ascii="Palatino Linotype" w:eastAsia="Calibri" w:hAnsi="Palatino Linotype" w:cs="Arial"/>
          <w:b/>
          <w:i/>
          <w:sz w:val="22"/>
          <w:szCs w:val="24"/>
          <w:lang w:val="es-ES"/>
        </w:rPr>
        <w:t xml:space="preserve">ORDENA </w:t>
      </w:r>
      <w:r w:rsidRPr="00E24DFE">
        <w:rPr>
          <w:rFonts w:ascii="Palatino Linotype" w:eastAsia="Calibri" w:hAnsi="Palatino Linotype" w:cs="Arial"/>
          <w:i/>
          <w:sz w:val="22"/>
          <w:szCs w:val="24"/>
          <w:lang w:val="es-ES"/>
        </w:rPr>
        <w:t xml:space="preserve">al </w:t>
      </w:r>
      <w:r w:rsidRPr="00E24DFE">
        <w:rPr>
          <w:rFonts w:ascii="Palatino Linotype" w:eastAsia="Calibri" w:hAnsi="Palatino Linotype" w:cs="Arial"/>
          <w:b/>
          <w:bCs/>
          <w:i/>
          <w:sz w:val="22"/>
          <w:szCs w:val="24"/>
          <w:lang w:val="es-ES_tradnl"/>
        </w:rPr>
        <w:t xml:space="preserve">Ayuntamiento de Atizapán </w:t>
      </w:r>
      <w:r w:rsidRPr="00E24DFE">
        <w:rPr>
          <w:rFonts w:ascii="Palatino Linotype" w:eastAsia="Calibri" w:hAnsi="Palatino Linotype" w:cs="Arial"/>
          <w:i/>
          <w:sz w:val="22"/>
          <w:szCs w:val="24"/>
          <w:lang w:val="es-ES"/>
        </w:rPr>
        <w:t>dar atención a las solicitudes de información</w:t>
      </w:r>
      <w:r w:rsidRPr="00E24DFE">
        <w:rPr>
          <w:rFonts w:ascii="Palatino Linotype" w:hAnsi="Palatino Linotype"/>
          <w:i/>
          <w:sz w:val="22"/>
          <w:szCs w:val="24"/>
          <w:lang w:eastAsia="es-MX"/>
        </w:rPr>
        <w:t xml:space="preserve"> </w:t>
      </w:r>
      <w:r w:rsidRPr="00E24DFE">
        <w:rPr>
          <w:rFonts w:ascii="Palatino Linotype" w:hAnsi="Palatino Linotype"/>
          <w:b/>
          <w:bCs/>
          <w:i/>
          <w:sz w:val="22"/>
          <w:szCs w:val="24"/>
          <w:lang w:eastAsia="es-MX"/>
        </w:rPr>
        <w:t xml:space="preserve">00083/ATIZAPAN/IP/2022 y 00082/ATIZAPAN/IP/2022  </w:t>
      </w:r>
      <w:r w:rsidRPr="00E24DFE">
        <w:rPr>
          <w:rFonts w:ascii="Palatino Linotype" w:eastAsia="Calibri" w:hAnsi="Palatino Linotype" w:cs="Arial"/>
          <w:i/>
          <w:sz w:val="22"/>
          <w:szCs w:val="24"/>
          <w:lang w:val="es-ES"/>
        </w:rPr>
        <w:t xml:space="preserve">y en su caso, entregar la información en la modalidad </w:t>
      </w:r>
      <w:r w:rsidRPr="00E24DFE">
        <w:rPr>
          <w:rFonts w:ascii="Palatino Linotype" w:eastAsia="Calibri" w:hAnsi="Palatino Linotype" w:cs="Arial"/>
          <w:i/>
          <w:sz w:val="22"/>
          <w:szCs w:val="24"/>
          <w:lang w:val="es-ES_tradnl"/>
        </w:rPr>
        <w:t>Sistema de Acceso a Información Mexiquense (</w:t>
      </w:r>
      <w:r w:rsidRPr="00E24DFE">
        <w:rPr>
          <w:rFonts w:ascii="Palatino Linotype" w:eastAsia="Calibri" w:hAnsi="Palatino Linotype" w:cs="Arial"/>
          <w:b/>
          <w:i/>
          <w:sz w:val="22"/>
          <w:szCs w:val="24"/>
          <w:lang w:val="es-ES"/>
        </w:rPr>
        <w:t>SAIMEX).</w:t>
      </w:r>
    </w:p>
    <w:p w:rsidR="00245326" w:rsidRPr="00E24DFE" w:rsidRDefault="00245326" w:rsidP="00245326">
      <w:pPr>
        <w:spacing w:line="360" w:lineRule="auto"/>
        <w:ind w:left="851" w:right="680"/>
        <w:jc w:val="both"/>
        <w:rPr>
          <w:rFonts w:ascii="Palatino Linotype" w:eastAsia="Calibri" w:hAnsi="Palatino Linotype" w:cs="Arial"/>
          <w:i/>
          <w:sz w:val="22"/>
          <w:szCs w:val="24"/>
          <w:lang w:val="es-ES"/>
        </w:rPr>
      </w:pPr>
    </w:p>
    <w:p w:rsidR="00245326" w:rsidRPr="00E24DFE" w:rsidRDefault="00245326" w:rsidP="00245326">
      <w:pPr>
        <w:tabs>
          <w:tab w:val="left" w:pos="8080"/>
        </w:tabs>
        <w:spacing w:line="360" w:lineRule="auto"/>
        <w:ind w:left="851" w:right="680"/>
        <w:contextualSpacing/>
        <w:jc w:val="both"/>
        <w:rPr>
          <w:rFonts w:ascii="Palatino Linotype" w:eastAsia="Palatino Linotype" w:hAnsi="Palatino Linotype" w:cs="Palatino Linotype"/>
          <w:b/>
          <w:i/>
          <w:sz w:val="22"/>
          <w:szCs w:val="24"/>
          <w:lang w:val="es-ES_tradnl"/>
        </w:rPr>
      </w:pPr>
      <w:r w:rsidRPr="00E24DFE">
        <w:rPr>
          <w:rFonts w:ascii="Palatino Linotype" w:eastAsia="Palatino Linotype" w:hAnsi="Palatino Linotype" w:cs="Palatino Linotype"/>
          <w:b/>
          <w:i/>
          <w:sz w:val="22"/>
          <w:szCs w:val="24"/>
          <w:lang w:val="es-ES_tradnl"/>
        </w:rPr>
        <w:t xml:space="preserve">TERCERO. Notifíquese </w:t>
      </w:r>
      <w:r w:rsidRPr="00E24DFE">
        <w:rPr>
          <w:rFonts w:ascii="Palatino Linotype" w:eastAsia="Palatino Linotype" w:hAnsi="Palatino Linotype" w:cs="Palatino Linotype"/>
          <w:i/>
          <w:sz w:val="22"/>
          <w:szCs w:val="24"/>
          <w:lang w:val="es-ES_tradnl"/>
        </w:rPr>
        <w:t xml:space="preserve">al Titular de la Unidad de Transparencia del </w:t>
      </w:r>
      <w:r w:rsidRPr="00E24DFE">
        <w:rPr>
          <w:rFonts w:ascii="Palatino Linotype" w:eastAsia="Palatino Linotype" w:hAnsi="Palatino Linotype" w:cs="Palatino Linotype"/>
          <w:b/>
          <w:i/>
          <w:sz w:val="22"/>
          <w:szCs w:val="24"/>
          <w:lang w:val="es-ES_tradnl"/>
        </w:rPr>
        <w:t>SUJETO OBLIGADO</w:t>
      </w:r>
      <w:r w:rsidRPr="00E24DFE">
        <w:rPr>
          <w:rFonts w:ascii="Palatino Linotype" w:eastAsia="Palatino Linotype" w:hAnsi="Palatino Linotype" w:cs="Palatino Linotype"/>
          <w:i/>
          <w:sz w:val="22"/>
          <w:szCs w:val="24"/>
          <w:lang w:val="es-ES_tradnl"/>
        </w:rPr>
        <w:t xml:space="preserve">, para que conforme a los artículos 186 último párrafo, 189 párrafo segundo y 199 de la Ley de Transparencia y Acceso a la Información Pública del Estado de México y Municipios, </w:t>
      </w:r>
      <w:r w:rsidRPr="00E24DFE">
        <w:rPr>
          <w:rFonts w:ascii="Palatino Linotype" w:eastAsiaTheme="minorEastAsia" w:hAnsi="Palatino Linotype"/>
          <w:i/>
          <w:sz w:val="22"/>
          <w:szCs w:val="24"/>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rsidR="00245326" w:rsidRPr="00E24DFE" w:rsidRDefault="00245326" w:rsidP="00245326">
      <w:pPr>
        <w:shd w:val="clear" w:color="auto" w:fill="FFFFFF"/>
        <w:spacing w:line="360" w:lineRule="auto"/>
        <w:ind w:left="851" w:right="680"/>
        <w:jc w:val="both"/>
        <w:rPr>
          <w:rFonts w:ascii="Palatino Linotype" w:hAnsi="Palatino Linotype" w:cs="Arial"/>
          <w:b/>
          <w:i/>
          <w:sz w:val="22"/>
          <w:szCs w:val="24"/>
          <w:lang w:val="es-ES_tradnl"/>
        </w:rPr>
      </w:pPr>
    </w:p>
    <w:p w:rsidR="00245326" w:rsidRPr="00E24DFE" w:rsidRDefault="00245326" w:rsidP="00245326">
      <w:pPr>
        <w:shd w:val="clear" w:color="auto" w:fill="FFFFFF"/>
        <w:spacing w:line="360" w:lineRule="auto"/>
        <w:ind w:left="851" w:right="680"/>
        <w:jc w:val="both"/>
        <w:rPr>
          <w:rFonts w:ascii="Palatino Linotype" w:eastAsia="MS Mincho" w:hAnsi="Palatino Linotype"/>
          <w:i/>
          <w:sz w:val="22"/>
          <w:szCs w:val="24"/>
          <w:lang w:val="es-ES_tradnl"/>
        </w:rPr>
      </w:pPr>
      <w:r w:rsidRPr="00E24DFE">
        <w:rPr>
          <w:rFonts w:ascii="Palatino Linotype" w:hAnsi="Palatino Linotype" w:cs="Arial"/>
          <w:b/>
          <w:i/>
          <w:sz w:val="22"/>
          <w:szCs w:val="24"/>
          <w:lang w:val="es-ES_tradnl"/>
        </w:rPr>
        <w:t xml:space="preserve">CUARTO. </w:t>
      </w:r>
      <w:r w:rsidRPr="00E24DFE">
        <w:rPr>
          <w:rFonts w:ascii="Palatino Linotype" w:hAnsi="Palatino Linotype"/>
          <w:b/>
          <w:bCs/>
          <w:i/>
          <w:sz w:val="22"/>
          <w:szCs w:val="24"/>
          <w:lang w:val="es-ES"/>
        </w:rPr>
        <w:t xml:space="preserve">Notifíquese </w:t>
      </w:r>
      <w:r w:rsidRPr="00E24DFE">
        <w:rPr>
          <w:rFonts w:ascii="Palatino Linotype" w:hAnsi="Palatino Linotype"/>
          <w:bCs/>
          <w:i/>
          <w:sz w:val="22"/>
          <w:szCs w:val="24"/>
          <w:lang w:val="es-ES"/>
        </w:rPr>
        <w:t>al</w:t>
      </w:r>
      <w:r w:rsidRPr="00E24DFE">
        <w:rPr>
          <w:rFonts w:ascii="Palatino Linotype" w:eastAsiaTheme="minorEastAsia" w:hAnsi="Palatino Linotype"/>
          <w:b/>
          <w:i/>
          <w:sz w:val="22"/>
          <w:szCs w:val="24"/>
          <w:lang w:val="es-ES_tradnl"/>
        </w:rPr>
        <w:t xml:space="preserve"> RECURRENTE </w:t>
      </w:r>
      <w:r w:rsidRPr="00E24DFE">
        <w:rPr>
          <w:rFonts w:ascii="Palatino Linotype" w:eastAsiaTheme="minorEastAsia" w:hAnsi="Palatino Linotype"/>
          <w:i/>
          <w:sz w:val="22"/>
          <w:szCs w:val="24"/>
          <w:lang w:val="es-ES_tradnl"/>
        </w:rPr>
        <w:t>la presente resolución</w:t>
      </w:r>
      <w:r w:rsidRPr="00E24DFE">
        <w:rPr>
          <w:rFonts w:ascii="Palatino Linotype" w:eastAsia="MS Mincho" w:hAnsi="Palatino Linotype"/>
          <w:i/>
          <w:sz w:val="22"/>
          <w:szCs w:val="24"/>
          <w:lang w:val="es-ES_tradnl"/>
        </w:rPr>
        <w:t>, vía SAIMEX.</w:t>
      </w:r>
    </w:p>
    <w:p w:rsidR="00245326" w:rsidRPr="00E24DFE" w:rsidRDefault="00245326" w:rsidP="00245326">
      <w:pPr>
        <w:shd w:val="clear" w:color="auto" w:fill="FFFFFF"/>
        <w:spacing w:line="360" w:lineRule="auto"/>
        <w:ind w:left="851" w:right="680"/>
        <w:jc w:val="both"/>
        <w:rPr>
          <w:rFonts w:ascii="Palatino Linotype" w:eastAsia="MS Mincho" w:hAnsi="Palatino Linotype"/>
          <w:i/>
          <w:sz w:val="22"/>
          <w:szCs w:val="24"/>
          <w:lang w:val="es-ES_tradnl"/>
        </w:rPr>
      </w:pPr>
    </w:p>
    <w:p w:rsidR="00245326" w:rsidRPr="00E24DFE" w:rsidRDefault="00245326" w:rsidP="00245326">
      <w:pPr>
        <w:shd w:val="clear" w:color="auto" w:fill="FFFFFF"/>
        <w:spacing w:line="360" w:lineRule="auto"/>
        <w:ind w:left="851" w:right="680"/>
        <w:jc w:val="both"/>
        <w:rPr>
          <w:rFonts w:ascii="Palatino Linotype" w:eastAsia="MS Mincho" w:hAnsi="Palatino Linotype"/>
          <w:i/>
          <w:sz w:val="22"/>
          <w:szCs w:val="24"/>
          <w:lang w:val="es-ES"/>
        </w:rPr>
      </w:pPr>
      <w:r w:rsidRPr="00E24DFE">
        <w:rPr>
          <w:rFonts w:ascii="Palatino Linotype" w:eastAsia="MS Mincho" w:hAnsi="Palatino Linotype"/>
          <w:b/>
          <w:i/>
          <w:sz w:val="22"/>
          <w:szCs w:val="24"/>
        </w:rPr>
        <w:t>QUINTO.</w:t>
      </w:r>
      <w:r w:rsidRPr="00E24DFE">
        <w:rPr>
          <w:rFonts w:ascii="Palatino Linotype" w:eastAsia="MS Mincho" w:hAnsi="Palatino Linotype"/>
          <w:i/>
          <w:sz w:val="22"/>
          <w:szCs w:val="24"/>
        </w:rPr>
        <w:t xml:space="preserve"> </w:t>
      </w:r>
      <w:r w:rsidRPr="00E24DFE">
        <w:rPr>
          <w:rFonts w:ascii="Palatino Linotype" w:eastAsia="MS Mincho" w:hAnsi="Palatino Linotype"/>
          <w:i/>
          <w:sz w:val="22"/>
          <w:szCs w:val="24"/>
          <w:lang w:val="es-ES"/>
        </w:rPr>
        <w:t xml:space="preserve">Se hace del conocimiento del </w:t>
      </w:r>
      <w:r w:rsidRPr="00E24DFE">
        <w:rPr>
          <w:rFonts w:ascii="Palatino Linotype" w:eastAsiaTheme="minorEastAsia" w:hAnsi="Palatino Linotype"/>
          <w:b/>
          <w:i/>
          <w:sz w:val="22"/>
          <w:szCs w:val="24"/>
          <w:lang w:val="es-ES_tradnl"/>
        </w:rPr>
        <w:t>RECURRENTE que</w:t>
      </w:r>
      <w:r w:rsidRPr="00E24DFE">
        <w:rPr>
          <w:rFonts w:ascii="Palatino Linotype" w:eastAsia="MS Mincho" w:hAnsi="Palatino Linotype"/>
          <w:i/>
          <w:sz w:val="22"/>
          <w:szCs w:val="24"/>
          <w:lang w:val="es-ES"/>
        </w:rPr>
        <w:t xml:space="preserve">, de conformidad con lo establecido en el artículo 196 de la Ley de Transparencia y Acceso a la Información Pública del Estado de México y Municipios, en caso de que considere que la </w:t>
      </w:r>
      <w:r w:rsidRPr="00E24DFE">
        <w:rPr>
          <w:rFonts w:ascii="Palatino Linotype" w:eastAsia="MS Mincho" w:hAnsi="Palatino Linotype"/>
          <w:i/>
          <w:sz w:val="22"/>
          <w:szCs w:val="24"/>
          <w:lang w:val="es-ES"/>
        </w:rPr>
        <w:lastRenderedPageBreak/>
        <w:t>resolución le cause algún perjuicio podrá impugnarla </w:t>
      </w:r>
      <w:r w:rsidRPr="00E24DFE">
        <w:rPr>
          <w:rFonts w:ascii="Palatino Linotype" w:eastAsia="MS Mincho" w:hAnsi="Palatino Linotype"/>
          <w:bCs/>
          <w:i/>
          <w:sz w:val="22"/>
          <w:szCs w:val="24"/>
          <w:lang w:val="es-ES"/>
        </w:rPr>
        <w:t>vía juicio de amparo</w:t>
      </w:r>
      <w:r w:rsidRPr="00E24DFE">
        <w:rPr>
          <w:rFonts w:ascii="Palatino Linotype" w:eastAsia="MS Mincho" w:hAnsi="Palatino Linotype"/>
          <w:i/>
          <w:sz w:val="22"/>
          <w:szCs w:val="24"/>
          <w:lang w:val="es-ES"/>
        </w:rPr>
        <w:t> en los términos de las leyes aplicables.</w:t>
      </w:r>
    </w:p>
    <w:p w:rsidR="00245326" w:rsidRPr="00E24DFE" w:rsidRDefault="00245326" w:rsidP="00245326">
      <w:pPr>
        <w:spacing w:line="360" w:lineRule="auto"/>
        <w:ind w:left="851" w:right="680"/>
        <w:jc w:val="both"/>
        <w:rPr>
          <w:rFonts w:ascii="Palatino Linotype" w:eastAsia="MS Mincho" w:hAnsi="Palatino Linotype"/>
          <w:b/>
          <w:i/>
          <w:sz w:val="22"/>
          <w:szCs w:val="24"/>
          <w:lang w:val="es-ES_tradnl"/>
        </w:rPr>
      </w:pPr>
    </w:p>
    <w:p w:rsidR="00245326" w:rsidRPr="00E24DFE" w:rsidRDefault="00245326" w:rsidP="00245326">
      <w:pPr>
        <w:spacing w:line="360" w:lineRule="auto"/>
        <w:ind w:left="851" w:right="680"/>
        <w:jc w:val="both"/>
        <w:rPr>
          <w:rFonts w:ascii="Palatino Linotype" w:eastAsia="MS Mincho" w:hAnsi="Palatino Linotype"/>
          <w:i/>
          <w:sz w:val="22"/>
          <w:szCs w:val="24"/>
          <w:lang w:val="es-ES"/>
        </w:rPr>
      </w:pPr>
      <w:r w:rsidRPr="00E24DFE">
        <w:rPr>
          <w:rFonts w:ascii="Palatino Linotype" w:eastAsia="MS Mincho" w:hAnsi="Palatino Linotype"/>
          <w:b/>
          <w:i/>
          <w:sz w:val="22"/>
          <w:szCs w:val="24"/>
          <w:lang w:val="es-ES_tradnl"/>
        </w:rPr>
        <w:t xml:space="preserve">SEXTO. </w:t>
      </w:r>
      <w:r w:rsidRPr="00E24DFE">
        <w:rPr>
          <w:rFonts w:ascii="Palatino Linotype" w:eastAsia="MS Mincho" w:hAnsi="Palatino Linotype"/>
          <w:i/>
          <w:sz w:val="22"/>
          <w:szCs w:val="24"/>
          <w:lang w:val="es-ES"/>
        </w:rPr>
        <w:t xml:space="preserve">Hágase del conocimiento del </w:t>
      </w:r>
      <w:r w:rsidRPr="00E24DFE">
        <w:rPr>
          <w:rFonts w:ascii="Palatino Linotype" w:eastAsia="MS Mincho" w:hAnsi="Palatino Linotype"/>
          <w:b/>
          <w:i/>
          <w:sz w:val="22"/>
          <w:szCs w:val="24"/>
          <w:lang w:val="es-ES"/>
        </w:rPr>
        <w:t>RECURRENTE</w:t>
      </w:r>
      <w:r w:rsidRPr="00E24DFE">
        <w:rPr>
          <w:rFonts w:ascii="Palatino Linotype" w:eastAsia="MS Mincho" w:hAnsi="Palatino Linotype"/>
          <w:i/>
          <w:sz w:val="22"/>
          <w:szCs w:val="24"/>
          <w:lang w:val="es-ES"/>
        </w:rPr>
        <w:t xml:space="preserve"> que la respuesta que dé el</w:t>
      </w:r>
      <w:r w:rsidRPr="00E24DFE">
        <w:rPr>
          <w:rFonts w:ascii="Palatino Linotype" w:eastAsia="MS Mincho" w:hAnsi="Palatino Linotype"/>
          <w:b/>
          <w:i/>
          <w:sz w:val="22"/>
          <w:szCs w:val="24"/>
          <w:lang w:val="es-ES"/>
        </w:rPr>
        <w:t xml:space="preserve"> SUJETO OBLIGADO</w:t>
      </w:r>
      <w:r w:rsidRPr="00E24DFE">
        <w:rPr>
          <w:rFonts w:ascii="Palatino Linotype" w:eastAsia="MS Mincho" w:hAnsi="Palatino Linotype"/>
          <w:i/>
          <w:sz w:val="22"/>
          <w:szCs w:val="24"/>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245326" w:rsidRPr="00E24DFE" w:rsidRDefault="00245326" w:rsidP="00245326">
      <w:pPr>
        <w:spacing w:line="360" w:lineRule="auto"/>
        <w:ind w:left="851" w:right="680"/>
        <w:jc w:val="both"/>
        <w:rPr>
          <w:rFonts w:ascii="Palatino Linotype" w:eastAsia="MS Mincho" w:hAnsi="Palatino Linotype"/>
          <w:i/>
          <w:sz w:val="22"/>
          <w:szCs w:val="24"/>
          <w:lang w:val="es-ES"/>
        </w:rPr>
      </w:pPr>
    </w:p>
    <w:p w:rsidR="00245326" w:rsidRPr="00E24DFE" w:rsidRDefault="00245326" w:rsidP="00245326">
      <w:pPr>
        <w:spacing w:line="360" w:lineRule="auto"/>
        <w:ind w:left="851" w:right="680"/>
        <w:jc w:val="both"/>
        <w:rPr>
          <w:rFonts w:ascii="Palatino Linotype" w:hAnsi="Palatino Linotype"/>
          <w:i/>
          <w:color w:val="000000"/>
          <w:sz w:val="22"/>
          <w:szCs w:val="24"/>
          <w:shd w:val="clear" w:color="auto" w:fill="FFFFFF"/>
          <w:lang w:eastAsia="es-MX"/>
        </w:rPr>
      </w:pPr>
      <w:r w:rsidRPr="00E24DFE">
        <w:rPr>
          <w:rFonts w:ascii="Palatino Linotype" w:hAnsi="Palatino Linotype"/>
          <w:b/>
          <w:bCs/>
          <w:i/>
          <w:color w:val="000000"/>
          <w:sz w:val="22"/>
          <w:szCs w:val="24"/>
          <w:shd w:val="clear" w:color="auto" w:fill="FFFFFF"/>
          <w:lang w:eastAsia="es-MX"/>
        </w:rPr>
        <w:t>SÉPTIMO.</w:t>
      </w:r>
      <w:r w:rsidRPr="00E24DFE">
        <w:rPr>
          <w:rFonts w:ascii="Palatino Linotype" w:hAnsi="Palatino Linotype"/>
          <w:i/>
          <w:color w:val="000000"/>
          <w:sz w:val="22"/>
          <w:szCs w:val="24"/>
          <w:shd w:val="clear" w:color="auto" w:fill="FFFFFF"/>
          <w:lang w:eastAsia="es-MX"/>
        </w:rPr>
        <w:t> Con fundamento en el artículo 198 de la Ley de Transparencia y Acceso a la Información Pública del Estado de México y Municipios, se apercibe al </w:t>
      </w:r>
      <w:r w:rsidRPr="00E24DFE">
        <w:rPr>
          <w:rFonts w:ascii="Palatino Linotype" w:hAnsi="Palatino Linotype"/>
          <w:b/>
          <w:bCs/>
          <w:i/>
          <w:color w:val="000000"/>
          <w:sz w:val="22"/>
          <w:szCs w:val="24"/>
          <w:shd w:val="clear" w:color="auto" w:fill="FFFFFF"/>
          <w:lang w:eastAsia="es-MX"/>
        </w:rPr>
        <w:t>SUJETO OBLIGADO</w:t>
      </w:r>
      <w:r w:rsidRPr="00E24DFE">
        <w:rPr>
          <w:rFonts w:ascii="Palatino Linotype" w:hAnsi="Palatino Linotype"/>
          <w:i/>
          <w:color w:val="000000"/>
          <w:sz w:val="22"/>
          <w:szCs w:val="24"/>
          <w:shd w:val="clear" w:color="auto" w:fill="FFFFFF"/>
          <w:lang w:eastAsia="es-MX"/>
        </w:rPr>
        <w:t> de que, en caso de incumplimiento total o parcial de la presente resolución, se actuará de conformidad con lo dispuesto en los artículos 213, 214, 215, 216 y 217 de la ley en cita. </w:t>
      </w:r>
    </w:p>
    <w:p w:rsidR="00245326" w:rsidRPr="00E24DFE" w:rsidRDefault="00245326" w:rsidP="00245326">
      <w:pPr>
        <w:spacing w:line="360" w:lineRule="auto"/>
        <w:ind w:left="851" w:right="680"/>
        <w:jc w:val="both"/>
        <w:rPr>
          <w:rFonts w:ascii="Palatino Linotype" w:eastAsia="MS Mincho" w:hAnsi="Palatino Linotype"/>
          <w:i/>
          <w:sz w:val="22"/>
          <w:szCs w:val="24"/>
          <w:lang w:val="es-ES"/>
        </w:rPr>
      </w:pPr>
    </w:p>
    <w:p w:rsidR="00245326" w:rsidRPr="00E24DFE" w:rsidRDefault="00245326" w:rsidP="00245326">
      <w:pPr>
        <w:spacing w:line="360" w:lineRule="auto"/>
        <w:ind w:left="851" w:right="680"/>
        <w:jc w:val="both"/>
        <w:rPr>
          <w:rFonts w:ascii="Palatino Linotype" w:eastAsia="MS Mincho" w:hAnsi="Palatino Linotype"/>
          <w:b/>
          <w:i/>
          <w:sz w:val="22"/>
          <w:szCs w:val="24"/>
          <w:lang w:val="es-ES_tradnl"/>
        </w:rPr>
      </w:pPr>
      <w:r w:rsidRPr="00E24DFE">
        <w:rPr>
          <w:rFonts w:ascii="Palatino Linotype" w:eastAsia="MS Mincho" w:hAnsi="Palatino Linotype"/>
          <w:b/>
          <w:i/>
          <w:sz w:val="22"/>
          <w:szCs w:val="24"/>
          <w:lang w:val="es-ES_tradnl"/>
        </w:rPr>
        <w:t>OCTAVO.</w:t>
      </w:r>
      <w:r w:rsidRPr="00E24DFE">
        <w:rPr>
          <w:rFonts w:ascii="Palatino Linotype" w:eastAsia="MS Mincho" w:hAnsi="Palatino Linotype"/>
          <w:i/>
          <w:sz w:val="22"/>
          <w:szCs w:val="24"/>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24DFE">
        <w:rPr>
          <w:rFonts w:ascii="Palatino Linotype" w:eastAsia="MS Mincho" w:hAnsi="Palatino Linotype"/>
          <w:b/>
          <w:i/>
          <w:sz w:val="22"/>
          <w:szCs w:val="24"/>
          <w:lang w:val="es-ES_tradnl"/>
        </w:rPr>
        <w:t>Considerando SEXTO.</w:t>
      </w:r>
    </w:p>
    <w:p w:rsidR="009124EA" w:rsidRPr="00E24DFE" w:rsidRDefault="009124EA" w:rsidP="009124EA">
      <w:pPr>
        <w:pStyle w:val="Prrafodelista"/>
        <w:spacing w:line="360" w:lineRule="auto"/>
        <w:ind w:left="0"/>
        <w:jc w:val="both"/>
        <w:rPr>
          <w:rFonts w:ascii="Palatino Linotype" w:hAnsi="Palatino Linotype" w:cs="Tahoma"/>
          <w:sz w:val="24"/>
        </w:rPr>
      </w:pPr>
    </w:p>
    <w:p w:rsidR="009124EA" w:rsidRPr="00E24DFE" w:rsidRDefault="009124EA" w:rsidP="009124EA">
      <w:pPr>
        <w:pStyle w:val="Prrafodelista"/>
        <w:rPr>
          <w:rFonts w:ascii="Palatino Linotype" w:eastAsia="Calibri" w:hAnsi="Palatino Linotype" w:cs="Arial"/>
          <w:sz w:val="24"/>
          <w:lang w:val="es-ES"/>
        </w:rPr>
      </w:pPr>
    </w:p>
    <w:p w:rsidR="009124EA" w:rsidRPr="00E24DFE" w:rsidRDefault="009124EA" w:rsidP="009124EA">
      <w:pPr>
        <w:pStyle w:val="Prrafodelista"/>
        <w:numPr>
          <w:ilvl w:val="0"/>
          <w:numId w:val="2"/>
        </w:numPr>
        <w:spacing w:line="360" w:lineRule="auto"/>
        <w:ind w:left="0" w:firstLine="0"/>
        <w:jc w:val="both"/>
        <w:rPr>
          <w:rFonts w:ascii="Palatino Linotype" w:hAnsi="Palatino Linotype" w:cs="Tahoma"/>
          <w:sz w:val="24"/>
        </w:rPr>
      </w:pPr>
      <w:r w:rsidRPr="00E24DFE">
        <w:rPr>
          <w:rFonts w:ascii="Palatino Linotype" w:hAnsi="Palatino Linotype" w:cs="Tahoma"/>
          <w:sz w:val="24"/>
        </w:rPr>
        <w:lastRenderedPageBreak/>
        <w:t xml:space="preserve">De las constancias que obran en el expediente electrónico del SAIMEX, se puede advertir que el Sujeto Obligado fue omiso en dar cumplimiento a la resolución. En fecha </w:t>
      </w:r>
      <w:r w:rsidR="00BF4049" w:rsidRPr="00E24DFE">
        <w:rPr>
          <w:rFonts w:ascii="Palatino Linotype" w:hAnsi="Palatino Linotype" w:cs="Tahoma"/>
          <w:sz w:val="24"/>
        </w:rPr>
        <w:t>once (11) de mayo de dos mil veintidós</w:t>
      </w:r>
      <w:r w:rsidRPr="00E24DFE">
        <w:rPr>
          <w:rFonts w:ascii="Palatino Linotype" w:hAnsi="Palatino Linotype" w:cs="Tahoma"/>
          <w:sz w:val="24"/>
        </w:rPr>
        <w:t>, se notificó el acuerdo de incumplimiento.</w:t>
      </w:r>
    </w:p>
    <w:p w:rsidR="009124EA" w:rsidRPr="00E24DFE" w:rsidRDefault="009124EA" w:rsidP="009124EA">
      <w:pPr>
        <w:pStyle w:val="Prrafodelista"/>
        <w:spacing w:line="360" w:lineRule="auto"/>
        <w:ind w:left="0"/>
        <w:jc w:val="both"/>
        <w:rPr>
          <w:rFonts w:ascii="Palatino Linotype" w:hAnsi="Palatino Linotype" w:cs="Tahoma"/>
          <w:sz w:val="24"/>
        </w:rPr>
      </w:pPr>
    </w:p>
    <w:p w:rsidR="009124EA" w:rsidRPr="00E24DFE" w:rsidRDefault="00BF4049" w:rsidP="009124EA">
      <w:pPr>
        <w:pStyle w:val="Prrafodelista"/>
        <w:numPr>
          <w:ilvl w:val="0"/>
          <w:numId w:val="2"/>
        </w:numPr>
        <w:spacing w:line="360" w:lineRule="auto"/>
        <w:ind w:left="0" w:firstLine="0"/>
        <w:jc w:val="both"/>
        <w:rPr>
          <w:rFonts w:ascii="Palatino Linotype" w:hAnsi="Palatino Linotype" w:cs="Tahoma"/>
          <w:sz w:val="24"/>
        </w:rPr>
      </w:pPr>
      <w:r w:rsidRPr="00E24DFE">
        <w:rPr>
          <w:rFonts w:ascii="Palatino Linotype" w:hAnsi="Palatino Linotype" w:cs="Tahoma"/>
          <w:sz w:val="24"/>
        </w:rPr>
        <w:t>El veintiséis (26</w:t>
      </w:r>
      <w:r w:rsidR="009124EA" w:rsidRPr="00E24DFE">
        <w:rPr>
          <w:rFonts w:ascii="Palatino Linotype" w:hAnsi="Palatino Linotype" w:cs="Tahoma"/>
          <w:sz w:val="24"/>
        </w:rPr>
        <w:t xml:space="preserve">) de abril de dos mil veintitrés, en términos del último párrafo del artículo 179 de la Ley </w:t>
      </w:r>
      <w:r w:rsidR="009124EA" w:rsidRPr="00E24DFE">
        <w:rPr>
          <w:rFonts w:ascii="Palatino Linotype" w:hAnsi="Palatino Linotype"/>
          <w:sz w:val="24"/>
        </w:rPr>
        <w:t>de Transparencia y Acceso a la Información Pública del Estado de México y Municipios, el Particular interpuso</w:t>
      </w:r>
      <w:r w:rsidR="009124EA" w:rsidRPr="00E24DFE">
        <w:rPr>
          <w:rFonts w:ascii="Palatino Linotype" w:hAnsi="Palatino Linotype"/>
          <w:sz w:val="28"/>
        </w:rPr>
        <w:t xml:space="preserve"> </w:t>
      </w:r>
      <w:r w:rsidR="009124EA" w:rsidRPr="00E24DFE">
        <w:rPr>
          <w:rFonts w:ascii="Palatino Linotype" w:hAnsi="Palatino Linotype"/>
          <w:sz w:val="24"/>
        </w:rPr>
        <w:t>el medio de impugnación en estudio indicando como acto impugnado y razones o motivos de inconformidad lo que a continuación se transcribe:</w:t>
      </w:r>
    </w:p>
    <w:p w:rsidR="009124EA" w:rsidRPr="00E24DFE" w:rsidRDefault="009124EA" w:rsidP="00BF4049">
      <w:pPr>
        <w:pStyle w:val="Prrafodelista"/>
        <w:spacing w:line="360" w:lineRule="auto"/>
        <w:ind w:left="0"/>
        <w:jc w:val="both"/>
        <w:rPr>
          <w:rFonts w:ascii="Palatino Linotype" w:hAnsi="Palatino Linotype" w:cs="Tahoma"/>
          <w:sz w:val="24"/>
        </w:rPr>
      </w:pPr>
    </w:p>
    <w:p w:rsidR="009124EA" w:rsidRPr="00E24DFE" w:rsidRDefault="009124EA" w:rsidP="00BF4049">
      <w:pPr>
        <w:pStyle w:val="Prrafodelista"/>
        <w:numPr>
          <w:ilvl w:val="0"/>
          <w:numId w:val="6"/>
        </w:numPr>
        <w:spacing w:line="360" w:lineRule="auto"/>
        <w:jc w:val="both"/>
        <w:rPr>
          <w:rFonts w:ascii="Palatino Linotype" w:hAnsi="Palatino Linotype"/>
          <w:sz w:val="24"/>
          <w:lang w:eastAsia="es-MX"/>
        </w:rPr>
      </w:pPr>
      <w:r w:rsidRPr="00E24DFE">
        <w:rPr>
          <w:rFonts w:ascii="Palatino Linotype" w:hAnsi="Palatino Linotype" w:cs="Tahoma"/>
          <w:b/>
          <w:sz w:val="24"/>
        </w:rPr>
        <w:t>Acto impugnado</w:t>
      </w:r>
      <w:r w:rsidRPr="00E24DFE">
        <w:rPr>
          <w:rFonts w:ascii="Palatino Linotype" w:hAnsi="Palatino Linotype" w:cs="Tahoma"/>
          <w:sz w:val="24"/>
        </w:rPr>
        <w:t xml:space="preserve"> “</w:t>
      </w:r>
      <w:r w:rsidR="00BF4049" w:rsidRPr="00E24DFE">
        <w:rPr>
          <w:rFonts w:ascii="Palatino Linotype" w:hAnsi="Palatino Linotype"/>
          <w:i/>
          <w:lang w:eastAsia="es-MX"/>
        </w:rPr>
        <w:t>Después de haber pasado tanto tiempo sigue sin dar contestación a lo solicitado</w:t>
      </w:r>
      <w:r w:rsidRPr="00E24DFE">
        <w:rPr>
          <w:rFonts w:ascii="Palatino Linotype" w:hAnsi="Palatino Linotype"/>
          <w:i/>
          <w:lang w:eastAsia="es-MX"/>
        </w:rPr>
        <w:t>”</w:t>
      </w:r>
      <w:r w:rsidRPr="00E24DFE">
        <w:rPr>
          <w:rFonts w:ascii="Palatino Linotype" w:hAnsi="Palatino Linotype"/>
          <w:lang w:eastAsia="es-MX"/>
        </w:rPr>
        <w:t xml:space="preserve"> (Sic)</w:t>
      </w:r>
    </w:p>
    <w:p w:rsidR="009124EA" w:rsidRPr="00E24DFE" w:rsidRDefault="009124EA" w:rsidP="009124EA">
      <w:pPr>
        <w:pStyle w:val="Prrafodelista"/>
        <w:jc w:val="both"/>
        <w:rPr>
          <w:rFonts w:ascii="Palatino Linotype" w:hAnsi="Palatino Linotype"/>
          <w:sz w:val="24"/>
          <w:lang w:eastAsia="es-MX"/>
        </w:rPr>
      </w:pPr>
    </w:p>
    <w:p w:rsidR="009124EA" w:rsidRPr="00E24DFE" w:rsidRDefault="009124EA" w:rsidP="009124EA">
      <w:pPr>
        <w:jc w:val="both"/>
        <w:rPr>
          <w:rFonts w:ascii="Palatino Linotype" w:hAnsi="Palatino Linotype"/>
          <w:sz w:val="24"/>
          <w:szCs w:val="24"/>
          <w:lang w:eastAsia="es-MX"/>
        </w:rPr>
      </w:pPr>
    </w:p>
    <w:p w:rsidR="009124EA" w:rsidRPr="00E24DFE" w:rsidRDefault="009124EA" w:rsidP="009124EA">
      <w:pPr>
        <w:pStyle w:val="Prrafodelista"/>
        <w:numPr>
          <w:ilvl w:val="0"/>
          <w:numId w:val="6"/>
        </w:numPr>
        <w:jc w:val="both"/>
        <w:rPr>
          <w:rFonts w:ascii="Palatino Linotype" w:hAnsi="Palatino Linotype"/>
          <w:sz w:val="24"/>
          <w:lang w:eastAsia="es-MX"/>
        </w:rPr>
      </w:pPr>
      <w:r w:rsidRPr="00E24DFE">
        <w:rPr>
          <w:rFonts w:ascii="Palatino Linotype" w:hAnsi="Palatino Linotype"/>
          <w:b/>
          <w:sz w:val="24"/>
          <w:lang w:eastAsia="es-MX"/>
        </w:rPr>
        <w:t>Razones o motivos de la inconformidad</w:t>
      </w:r>
      <w:r w:rsidRPr="00E24DFE">
        <w:rPr>
          <w:rFonts w:ascii="Palatino Linotype" w:hAnsi="Palatino Linotype"/>
          <w:sz w:val="24"/>
          <w:lang w:eastAsia="es-MX"/>
        </w:rPr>
        <w:t xml:space="preserve"> “</w:t>
      </w:r>
      <w:r w:rsidR="00BF4049" w:rsidRPr="00E24DFE">
        <w:rPr>
          <w:rFonts w:ascii="Palatino Linotype" w:hAnsi="Palatino Linotype"/>
          <w:i/>
          <w:lang w:eastAsia="es-MX"/>
        </w:rPr>
        <w:t>Sin proporcionar respuesta</w:t>
      </w:r>
      <w:r w:rsidRPr="00E24DFE">
        <w:rPr>
          <w:rFonts w:ascii="Palatino Linotype" w:hAnsi="Palatino Linotype"/>
          <w:i/>
          <w:sz w:val="24"/>
          <w:lang w:eastAsia="es-MX"/>
        </w:rPr>
        <w:t>” (Sic)</w:t>
      </w:r>
    </w:p>
    <w:p w:rsidR="009124EA" w:rsidRPr="00E24DFE" w:rsidRDefault="009124EA" w:rsidP="009124EA">
      <w:pPr>
        <w:pStyle w:val="Prrafodelista"/>
        <w:spacing w:line="360" w:lineRule="auto"/>
        <w:ind w:left="0"/>
        <w:jc w:val="both"/>
        <w:rPr>
          <w:rFonts w:ascii="Palatino Linotype" w:hAnsi="Palatino Linotype" w:cs="Tahoma"/>
          <w:sz w:val="24"/>
        </w:rPr>
      </w:pPr>
    </w:p>
    <w:p w:rsidR="009124EA" w:rsidRPr="00E24DFE" w:rsidRDefault="009124EA" w:rsidP="009124EA">
      <w:pPr>
        <w:pStyle w:val="Prrafodelista"/>
        <w:numPr>
          <w:ilvl w:val="0"/>
          <w:numId w:val="2"/>
        </w:numPr>
        <w:spacing w:line="360" w:lineRule="auto"/>
        <w:ind w:left="0" w:firstLine="0"/>
        <w:jc w:val="both"/>
        <w:rPr>
          <w:rFonts w:ascii="Palatino Linotype" w:eastAsiaTheme="minorEastAsia" w:hAnsi="Palatino Linotype" w:cstheme="minorBidi"/>
          <w:i/>
          <w:color w:val="000000"/>
          <w:sz w:val="24"/>
          <w:lang w:val="es-ES_tradnl"/>
        </w:rPr>
      </w:pPr>
      <w:r w:rsidRPr="00E24DFE">
        <w:rPr>
          <w:rFonts w:ascii="Palatino Linotype" w:eastAsia="Calibri" w:hAnsi="Palatino Linotype" w:cs="Arial"/>
          <w:sz w:val="24"/>
          <w:lang w:val="es-ES"/>
        </w:rPr>
        <w:t xml:space="preserve">La Comisionada Ponente con fundamento en lo dispuesto por el artículo 185 fracción II de la ley de la materia, a través del acuerdo de admisión de fecha </w:t>
      </w:r>
      <w:r w:rsidR="00BF4049" w:rsidRPr="00E24DFE">
        <w:rPr>
          <w:rFonts w:ascii="Palatino Linotype" w:eastAsia="Calibri" w:hAnsi="Palatino Linotype" w:cs="Arial"/>
          <w:sz w:val="24"/>
          <w:lang w:val="es-ES"/>
        </w:rPr>
        <w:t>tres (03) de mayo</w:t>
      </w:r>
      <w:r w:rsidRPr="00E24DFE">
        <w:rPr>
          <w:rFonts w:ascii="Palatino Linotype" w:eastAsia="Calibri" w:hAnsi="Palatino Linotype" w:cs="Arial"/>
          <w:sz w:val="24"/>
          <w:lang w:val="es-ES"/>
        </w:rPr>
        <w:t xml:space="preserve"> de dos mil veintitrés, puso a disposición de las partes el expediente electrónico </w:t>
      </w:r>
      <w:r w:rsidRPr="00E24DFE">
        <w:rPr>
          <w:rFonts w:ascii="Palatino Linotype" w:eastAsia="Calibri" w:hAnsi="Palatino Linotype" w:cs="Arial"/>
          <w:sz w:val="24"/>
        </w:rPr>
        <w:t xml:space="preserve">vía </w:t>
      </w:r>
      <w:r w:rsidRPr="00E24DFE">
        <w:rPr>
          <w:rFonts w:ascii="Palatino Linotype" w:eastAsia="Calibri" w:hAnsi="Palatino Linotype" w:cs="Arial"/>
          <w:b/>
          <w:sz w:val="24"/>
          <w:lang w:val="es-ES"/>
        </w:rPr>
        <w:t xml:space="preserve">SAIMEX </w:t>
      </w:r>
      <w:r w:rsidRPr="00E24DFE">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Pr="00E24DFE">
        <w:rPr>
          <w:rFonts w:ascii="Palatino Linotype" w:eastAsia="Calibri" w:hAnsi="Palatino Linotype" w:cs="Arial"/>
          <w:sz w:val="24"/>
          <w:lang w:val="es-ES"/>
        </w:rPr>
        <w:lastRenderedPageBreak/>
        <w:t xml:space="preserve">corresponda al caso concreto, de esta forma para que el </w:t>
      </w:r>
      <w:r w:rsidRPr="00E24DFE">
        <w:rPr>
          <w:rFonts w:ascii="Palatino Linotype" w:eastAsia="Calibri" w:hAnsi="Palatino Linotype" w:cs="Arial"/>
          <w:b/>
          <w:sz w:val="24"/>
          <w:lang w:val="es-ES"/>
        </w:rPr>
        <w:t>SUJETO OBLIGADO</w:t>
      </w:r>
      <w:r w:rsidRPr="00E24DFE">
        <w:rPr>
          <w:rFonts w:ascii="Palatino Linotype" w:eastAsia="Calibri" w:hAnsi="Palatino Linotype" w:cs="Arial"/>
          <w:sz w:val="24"/>
          <w:lang w:val="es-ES"/>
        </w:rPr>
        <w:t xml:space="preserve"> presentara el informe justificado procedente.</w:t>
      </w:r>
    </w:p>
    <w:p w:rsidR="009124EA" w:rsidRPr="00E24DFE" w:rsidRDefault="009124EA" w:rsidP="009124EA">
      <w:pPr>
        <w:pStyle w:val="Prrafodelista"/>
        <w:spacing w:line="360" w:lineRule="auto"/>
        <w:ind w:left="0"/>
        <w:jc w:val="both"/>
        <w:rPr>
          <w:rFonts w:ascii="Palatino Linotype" w:eastAsiaTheme="minorEastAsia" w:hAnsi="Palatino Linotype" w:cstheme="minorBidi"/>
          <w:i/>
          <w:color w:val="000000"/>
          <w:sz w:val="24"/>
          <w:lang w:val="es-ES_tradnl"/>
        </w:rPr>
      </w:pPr>
    </w:p>
    <w:p w:rsidR="009124EA" w:rsidRPr="00E24DFE" w:rsidRDefault="009124EA" w:rsidP="009124EA">
      <w:pPr>
        <w:pStyle w:val="Prrafodelista"/>
        <w:numPr>
          <w:ilvl w:val="0"/>
          <w:numId w:val="2"/>
        </w:numPr>
        <w:spacing w:line="360" w:lineRule="auto"/>
        <w:ind w:left="0" w:firstLine="0"/>
        <w:jc w:val="both"/>
        <w:rPr>
          <w:rFonts w:ascii="Palatino Linotype" w:eastAsiaTheme="minorEastAsia" w:hAnsi="Palatino Linotype" w:cstheme="minorBidi"/>
          <w:i/>
          <w:color w:val="000000"/>
          <w:sz w:val="24"/>
          <w:lang w:val="es-ES_tradnl"/>
        </w:rPr>
      </w:pPr>
      <w:r w:rsidRPr="00E24DFE">
        <w:rPr>
          <w:rFonts w:ascii="Palatino Linotype" w:eastAsia="Calibri" w:hAnsi="Palatino Linotype" w:cs="Arial"/>
          <w:sz w:val="24"/>
          <w:lang w:val="es-ES"/>
        </w:rPr>
        <w:t xml:space="preserve">De las constancias que obran en el expediente electrónico SAIMEX se advierte que el Recurrente omitió realizar </w:t>
      </w:r>
      <w:r w:rsidRPr="00E24DFE">
        <w:rPr>
          <w:rFonts w:ascii="Palatino Linotype" w:eastAsia="Calibri" w:hAnsi="Palatino Linotype" w:cs="Arial"/>
          <w:sz w:val="24"/>
        </w:rPr>
        <w:t>alegatos, presentar pruebas o manifestaciones que a su derecho convinieran</w:t>
      </w:r>
      <w:r w:rsidRPr="00E24DFE">
        <w:rPr>
          <w:rFonts w:ascii="Palatino Linotype" w:eastAsia="Calibri" w:hAnsi="Palatino Linotype" w:cs="Arial"/>
          <w:sz w:val="24"/>
          <w:lang w:val="es-ES"/>
        </w:rPr>
        <w:t xml:space="preserve">; por su parte el Sujeto Obligado no remitió informe justificado. </w:t>
      </w:r>
    </w:p>
    <w:p w:rsidR="00353F14" w:rsidRPr="00E24DFE" w:rsidRDefault="00353F14" w:rsidP="00353F14">
      <w:pPr>
        <w:pStyle w:val="Prrafodelista"/>
        <w:spacing w:line="360" w:lineRule="auto"/>
        <w:ind w:left="0"/>
        <w:jc w:val="both"/>
        <w:rPr>
          <w:rFonts w:ascii="Palatino Linotype" w:eastAsiaTheme="minorEastAsia" w:hAnsi="Palatino Linotype" w:cstheme="minorBidi"/>
          <w:i/>
          <w:color w:val="000000"/>
          <w:sz w:val="24"/>
          <w:lang w:val="es-ES_tradnl"/>
        </w:rPr>
      </w:pPr>
    </w:p>
    <w:p w:rsidR="00353F14" w:rsidRPr="00E24DFE" w:rsidRDefault="00353F14" w:rsidP="009124EA">
      <w:pPr>
        <w:pStyle w:val="Prrafodelista"/>
        <w:numPr>
          <w:ilvl w:val="0"/>
          <w:numId w:val="2"/>
        </w:numPr>
        <w:spacing w:line="360" w:lineRule="auto"/>
        <w:ind w:left="0" w:firstLine="0"/>
        <w:jc w:val="both"/>
        <w:rPr>
          <w:rFonts w:ascii="Palatino Linotype" w:eastAsiaTheme="minorEastAsia" w:hAnsi="Palatino Linotype" w:cstheme="minorBidi"/>
          <w:i/>
          <w:color w:val="000000"/>
          <w:sz w:val="24"/>
          <w:lang w:val="es-ES_tradnl"/>
        </w:rPr>
      </w:pPr>
      <w:r w:rsidRPr="00E24DFE">
        <w:rPr>
          <w:rFonts w:ascii="Palatino Linotype" w:eastAsia="Calibri" w:hAnsi="Palatino Linotype" w:cs="Arial"/>
          <w:sz w:val="24"/>
          <w:lang w:val="es-ES"/>
        </w:rPr>
        <w:t xml:space="preserve">El veinticuatro (24) de mayo de dos mil veintitrés, se notificó el acuerdo a través dl cual se decretó el cierre de instrucción. </w:t>
      </w:r>
    </w:p>
    <w:p w:rsidR="009124EA" w:rsidRPr="00E24DFE" w:rsidRDefault="009124EA" w:rsidP="009124EA">
      <w:pPr>
        <w:pStyle w:val="Prrafodelista"/>
        <w:spacing w:line="360" w:lineRule="auto"/>
        <w:ind w:left="0"/>
        <w:jc w:val="both"/>
        <w:rPr>
          <w:rFonts w:ascii="Palatino Linotype" w:hAnsi="Palatino Linotype" w:cs="Tahoma"/>
          <w:sz w:val="24"/>
        </w:rPr>
      </w:pPr>
    </w:p>
    <w:p w:rsidR="009124EA" w:rsidRPr="00E24DFE" w:rsidRDefault="009124EA" w:rsidP="009124EA">
      <w:pPr>
        <w:pStyle w:val="Ttulo1"/>
        <w:spacing w:before="0"/>
        <w:jc w:val="center"/>
        <w:rPr>
          <w:rFonts w:ascii="Palatino Linotype" w:hAnsi="Palatino Linotype"/>
          <w:b/>
          <w:color w:val="auto"/>
          <w:sz w:val="24"/>
          <w:szCs w:val="24"/>
        </w:rPr>
      </w:pPr>
      <w:bookmarkStart w:id="4" w:name="_Toc87549672"/>
      <w:r w:rsidRPr="00E24DFE">
        <w:rPr>
          <w:rFonts w:ascii="Palatino Linotype" w:hAnsi="Palatino Linotype"/>
          <w:b/>
          <w:color w:val="auto"/>
          <w:sz w:val="24"/>
          <w:szCs w:val="24"/>
        </w:rPr>
        <w:t>CONSIDERANDO</w:t>
      </w:r>
      <w:bookmarkEnd w:id="4"/>
      <w:r w:rsidRPr="00E24DFE">
        <w:rPr>
          <w:rFonts w:ascii="Palatino Linotype" w:hAnsi="Palatino Linotype"/>
          <w:b/>
          <w:color w:val="auto"/>
          <w:sz w:val="24"/>
          <w:szCs w:val="24"/>
        </w:rPr>
        <w:t xml:space="preserve"> </w:t>
      </w:r>
    </w:p>
    <w:p w:rsidR="009124EA" w:rsidRPr="00E24DFE" w:rsidRDefault="009124EA" w:rsidP="009124EA">
      <w:pPr>
        <w:rPr>
          <w:rFonts w:ascii="Palatino Linotype" w:hAnsi="Palatino Linotype"/>
          <w:sz w:val="24"/>
          <w:szCs w:val="24"/>
          <w:lang w:eastAsia="en-US"/>
        </w:rPr>
      </w:pPr>
    </w:p>
    <w:p w:rsidR="009124EA" w:rsidRPr="00E24DFE" w:rsidRDefault="009124EA" w:rsidP="009124EA">
      <w:pPr>
        <w:rPr>
          <w:rFonts w:ascii="Palatino Linotype" w:hAnsi="Palatino Linotype"/>
          <w:sz w:val="24"/>
          <w:szCs w:val="24"/>
          <w:lang w:eastAsia="en-US"/>
        </w:rPr>
      </w:pPr>
    </w:p>
    <w:p w:rsidR="009124EA" w:rsidRPr="00E24DFE" w:rsidRDefault="009124EA" w:rsidP="009124EA">
      <w:pPr>
        <w:pStyle w:val="Ttulo2"/>
        <w:spacing w:before="0"/>
        <w:rPr>
          <w:rFonts w:ascii="Palatino Linotype" w:hAnsi="Palatino Linotype"/>
          <w:b/>
          <w:color w:val="auto"/>
          <w:sz w:val="24"/>
          <w:szCs w:val="24"/>
        </w:rPr>
      </w:pPr>
      <w:bookmarkStart w:id="5" w:name="_Toc87549673"/>
      <w:r w:rsidRPr="00E24DFE">
        <w:rPr>
          <w:rFonts w:ascii="Palatino Linotype" w:hAnsi="Palatino Linotype"/>
          <w:b/>
          <w:color w:val="auto"/>
          <w:sz w:val="24"/>
          <w:szCs w:val="24"/>
        </w:rPr>
        <w:t>PRIMERO. De la competencia</w:t>
      </w:r>
      <w:bookmarkEnd w:id="5"/>
    </w:p>
    <w:p w:rsidR="009124EA" w:rsidRPr="00E24DFE" w:rsidRDefault="009124EA" w:rsidP="009124EA"/>
    <w:p w:rsidR="009124EA" w:rsidRPr="00E24DFE" w:rsidRDefault="009124EA" w:rsidP="009124EA"/>
    <w:p w:rsidR="009124EA" w:rsidRPr="00E24DFE" w:rsidRDefault="009124EA" w:rsidP="009124EA">
      <w:pPr>
        <w:pStyle w:val="Prrafodelista"/>
        <w:numPr>
          <w:ilvl w:val="0"/>
          <w:numId w:val="2"/>
        </w:numPr>
        <w:spacing w:line="360" w:lineRule="auto"/>
        <w:ind w:left="0" w:firstLine="0"/>
        <w:jc w:val="both"/>
        <w:rPr>
          <w:rFonts w:ascii="Palatino Linotype" w:hAnsi="Palatino Linotype"/>
          <w:sz w:val="24"/>
        </w:rPr>
      </w:pPr>
      <w:r w:rsidRPr="00E24DFE">
        <w:rPr>
          <w:rFonts w:ascii="Palatino Linotype" w:eastAsia="Calibri" w:hAnsi="Palatino Linotype"/>
          <w:sz w:val="24"/>
          <w:lang w:val="es-ES"/>
        </w:rPr>
        <w:t>Este</w:t>
      </w:r>
      <w:r w:rsidRPr="00E24DFE">
        <w:rPr>
          <w:rFonts w:ascii="Palatino Linotype" w:hAnsi="Palatino Linotype"/>
          <w:sz w:val="24"/>
        </w:rPr>
        <w:t xml:space="preserv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w:t>
      </w:r>
      <w:r w:rsidRPr="00E24DFE">
        <w:rPr>
          <w:rFonts w:ascii="Palatino Linotype" w:hAnsi="Palatino Linotype"/>
          <w:sz w:val="24"/>
        </w:rPr>
        <w:lastRenderedPageBreak/>
        <w:t>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124EA" w:rsidRPr="00E24DFE" w:rsidRDefault="009124EA" w:rsidP="009124EA">
      <w:pPr>
        <w:pStyle w:val="Prrafodelista"/>
        <w:spacing w:line="360" w:lineRule="auto"/>
        <w:ind w:left="0"/>
        <w:jc w:val="both"/>
        <w:rPr>
          <w:rFonts w:ascii="Palatino Linotype" w:hAnsi="Palatino Linotype"/>
          <w:sz w:val="24"/>
        </w:rPr>
      </w:pPr>
    </w:p>
    <w:p w:rsidR="009124EA" w:rsidRPr="00E24DFE" w:rsidRDefault="009124EA" w:rsidP="009124EA">
      <w:pPr>
        <w:pStyle w:val="Ttulo2"/>
        <w:spacing w:before="0"/>
        <w:rPr>
          <w:rFonts w:ascii="Palatino Linotype" w:hAnsi="Palatino Linotype"/>
          <w:b/>
          <w:color w:val="auto"/>
          <w:sz w:val="24"/>
          <w:szCs w:val="24"/>
        </w:rPr>
      </w:pPr>
      <w:bookmarkStart w:id="6" w:name="_Toc87549674"/>
      <w:r w:rsidRPr="00E24DFE">
        <w:rPr>
          <w:rFonts w:ascii="Palatino Linotype" w:hAnsi="Palatino Linotype"/>
          <w:b/>
          <w:color w:val="auto"/>
          <w:sz w:val="24"/>
          <w:szCs w:val="24"/>
        </w:rPr>
        <w:t>SEGUNDO. De la oportunidad y procedencia.</w:t>
      </w:r>
      <w:bookmarkEnd w:id="6"/>
    </w:p>
    <w:p w:rsidR="009124EA" w:rsidRPr="00E24DFE" w:rsidRDefault="009124EA" w:rsidP="009124EA"/>
    <w:p w:rsidR="009124EA" w:rsidRPr="00E24DFE" w:rsidRDefault="009124EA" w:rsidP="009124EA"/>
    <w:p w:rsidR="009124EA" w:rsidRPr="00E24DFE" w:rsidRDefault="009124EA" w:rsidP="009124EA"/>
    <w:p w:rsidR="009124EA" w:rsidRPr="00E24DFE" w:rsidRDefault="009124EA" w:rsidP="009124EA">
      <w:pPr>
        <w:numPr>
          <w:ilvl w:val="0"/>
          <w:numId w:val="1"/>
        </w:numPr>
        <w:tabs>
          <w:tab w:val="left" w:pos="284"/>
        </w:tabs>
        <w:spacing w:line="360" w:lineRule="auto"/>
        <w:ind w:left="0" w:firstLine="0"/>
        <w:contextualSpacing/>
        <w:jc w:val="both"/>
        <w:rPr>
          <w:rFonts w:ascii="Palatino Linotype" w:hAnsi="Palatino Linotype" w:cs="Arial"/>
          <w:color w:val="000000"/>
          <w:sz w:val="24"/>
          <w:szCs w:val="24"/>
          <w:lang w:val="es-ES_tradnl"/>
        </w:rPr>
      </w:pPr>
      <w:r w:rsidRPr="00E24DFE">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E24DFE">
        <w:rPr>
          <w:rFonts w:ascii="Palatino Linotype" w:eastAsia="Calibri" w:hAnsi="Palatino Linotype" w:cs="Arial"/>
          <w:b/>
          <w:sz w:val="24"/>
          <w:szCs w:val="24"/>
          <w:lang w:val="es-ES"/>
        </w:rPr>
        <w:t>SUJETO OBLIGADO</w:t>
      </w:r>
      <w:r w:rsidRPr="00E24DFE">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9124EA" w:rsidRPr="00E24DFE" w:rsidRDefault="009124EA" w:rsidP="009124EA">
      <w:pPr>
        <w:tabs>
          <w:tab w:val="left" w:pos="284"/>
        </w:tabs>
        <w:spacing w:line="360" w:lineRule="auto"/>
        <w:contextualSpacing/>
        <w:jc w:val="both"/>
        <w:rPr>
          <w:rFonts w:ascii="Palatino Linotype" w:hAnsi="Palatino Linotype" w:cs="Arial"/>
          <w:color w:val="000000"/>
          <w:sz w:val="24"/>
          <w:szCs w:val="24"/>
          <w:lang w:val="es-ES_tradnl"/>
        </w:rPr>
      </w:pPr>
    </w:p>
    <w:p w:rsidR="009124EA" w:rsidRPr="00E24DFE" w:rsidRDefault="009124EA" w:rsidP="009124EA">
      <w:pPr>
        <w:numPr>
          <w:ilvl w:val="0"/>
          <w:numId w:val="1"/>
        </w:numPr>
        <w:tabs>
          <w:tab w:val="left" w:pos="284"/>
        </w:tabs>
        <w:spacing w:line="360" w:lineRule="auto"/>
        <w:ind w:left="0" w:firstLine="0"/>
        <w:contextualSpacing/>
        <w:jc w:val="both"/>
        <w:rPr>
          <w:rFonts w:ascii="Palatino Linotype" w:hAnsi="Palatino Linotype" w:cs="Arial"/>
          <w:color w:val="000000"/>
          <w:sz w:val="24"/>
          <w:szCs w:val="24"/>
          <w:lang w:val="es-ES_tradnl"/>
        </w:rPr>
      </w:pPr>
      <w:r w:rsidRPr="00E24DFE">
        <w:rPr>
          <w:rFonts w:ascii="Palatino Linotype" w:eastAsia="Calibri" w:hAnsi="Palatino Linotype" w:cs="Arial"/>
          <w:sz w:val="24"/>
          <w:szCs w:val="24"/>
          <w:lang w:val="es-ES"/>
        </w:rPr>
        <w:t xml:space="preserve">Por ende, se constituye la figura jurídica de la </w:t>
      </w:r>
      <w:r w:rsidRPr="00E24DFE">
        <w:rPr>
          <w:rFonts w:ascii="Palatino Linotype" w:eastAsia="Calibri" w:hAnsi="Palatino Linotype" w:cs="Arial"/>
          <w:i/>
          <w:sz w:val="24"/>
          <w:szCs w:val="24"/>
          <w:lang w:val="es-ES"/>
        </w:rPr>
        <w:t>negativa ficta</w:t>
      </w:r>
      <w:r w:rsidRPr="00E24DFE">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E24DFE">
        <w:rPr>
          <w:rFonts w:ascii="Palatino Linotype" w:eastAsia="Calibri" w:hAnsi="Palatino Linotype" w:cs="Arial"/>
          <w:b/>
          <w:sz w:val="24"/>
          <w:szCs w:val="24"/>
          <w:lang w:val="es-ES"/>
        </w:rPr>
        <w:t>178</w:t>
      </w:r>
      <w:r w:rsidRPr="00E24DFE">
        <w:rPr>
          <w:rFonts w:ascii="Palatino Linotype" w:eastAsia="Calibri" w:hAnsi="Palatino Linotype" w:cs="Arial"/>
          <w:sz w:val="24"/>
          <w:szCs w:val="24"/>
          <w:lang w:val="es-ES"/>
        </w:rPr>
        <w:t xml:space="preserve"> segundo párrafo de </w:t>
      </w:r>
      <w:r w:rsidRPr="00E24DFE">
        <w:rPr>
          <w:rFonts w:ascii="Palatino Linotype" w:eastAsia="Calibri" w:hAnsi="Palatino Linotype" w:cs="Arial"/>
          <w:b/>
          <w:sz w:val="24"/>
          <w:szCs w:val="24"/>
          <w:lang w:val="es-ES"/>
        </w:rPr>
        <w:t>Ley de Transparencia y Acceso a la Información Pública del Estado de México y Municipios</w:t>
      </w:r>
      <w:r w:rsidRPr="00E24DFE">
        <w:rPr>
          <w:rFonts w:ascii="Palatino Linotype" w:eastAsia="Calibri" w:hAnsi="Palatino Linotype"/>
          <w:color w:val="000000"/>
          <w:sz w:val="24"/>
          <w:szCs w:val="24"/>
          <w:shd w:val="clear" w:color="auto" w:fill="FFFFFF"/>
        </w:rPr>
        <w:t xml:space="preserve">, que dispone; ante la falta </w:t>
      </w:r>
      <w:r w:rsidRPr="00E24DFE">
        <w:rPr>
          <w:rFonts w:ascii="Palatino Linotype" w:eastAsia="Calibri" w:hAnsi="Palatino Linotype"/>
          <w:color w:val="000000"/>
          <w:sz w:val="24"/>
          <w:szCs w:val="24"/>
          <w:shd w:val="clear" w:color="auto" w:fill="FFFFFF"/>
        </w:rPr>
        <w:lastRenderedPageBreak/>
        <w:t xml:space="preserve">de respuesta del </w:t>
      </w:r>
      <w:r w:rsidRPr="00E24DFE">
        <w:rPr>
          <w:rFonts w:ascii="Palatino Linotype" w:eastAsia="Calibri" w:hAnsi="Palatino Linotype"/>
          <w:b/>
          <w:color w:val="000000"/>
          <w:sz w:val="24"/>
          <w:szCs w:val="24"/>
          <w:shd w:val="clear" w:color="auto" w:fill="FFFFFF"/>
        </w:rPr>
        <w:t>SUJETO OBLIGADO,</w:t>
      </w:r>
      <w:r w:rsidRPr="00E24DFE">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E24DFE">
        <w:rPr>
          <w:rFonts w:ascii="Palatino Linotype" w:eastAsia="Calibri" w:hAnsi="Palatino Linotype"/>
          <w:b/>
          <w:color w:val="000000"/>
          <w:sz w:val="24"/>
          <w:szCs w:val="24"/>
          <w:shd w:val="clear" w:color="auto" w:fill="FFFFFF"/>
        </w:rPr>
        <w:t xml:space="preserve">podrá ser interpuesto en cualquier momento. </w:t>
      </w:r>
    </w:p>
    <w:p w:rsidR="009124EA" w:rsidRPr="00E24DFE" w:rsidRDefault="009124EA" w:rsidP="009124EA">
      <w:pPr>
        <w:tabs>
          <w:tab w:val="left" w:pos="284"/>
        </w:tabs>
        <w:contextualSpacing/>
        <w:rPr>
          <w:rFonts w:ascii="Palatino Linotype" w:hAnsi="Palatino Linotype" w:cs="Arial"/>
          <w:color w:val="000000"/>
          <w:sz w:val="24"/>
          <w:szCs w:val="24"/>
          <w:lang w:val="es-ES_tradnl"/>
        </w:rPr>
      </w:pPr>
    </w:p>
    <w:p w:rsidR="009124EA" w:rsidRPr="00E24DFE" w:rsidRDefault="009124EA" w:rsidP="009124EA">
      <w:pPr>
        <w:numPr>
          <w:ilvl w:val="0"/>
          <w:numId w:val="1"/>
        </w:numPr>
        <w:tabs>
          <w:tab w:val="left" w:pos="284"/>
        </w:tabs>
        <w:spacing w:line="360" w:lineRule="auto"/>
        <w:ind w:left="0" w:firstLine="0"/>
        <w:contextualSpacing/>
        <w:jc w:val="both"/>
        <w:rPr>
          <w:rFonts w:ascii="Palatino Linotype" w:hAnsi="Palatino Linotype" w:cs="Arial"/>
          <w:color w:val="000000"/>
          <w:sz w:val="24"/>
          <w:szCs w:val="24"/>
          <w:lang w:val="es-ES_tradnl"/>
        </w:rPr>
      </w:pPr>
      <w:r w:rsidRPr="00E24DFE">
        <w:rPr>
          <w:rFonts w:ascii="Palatino Linotype" w:eastAsia="Calibri" w:hAnsi="Palatino Linotype" w:cs="Arial"/>
          <w:sz w:val="24"/>
          <w:szCs w:val="24"/>
          <w:lang w:val="es-ES"/>
        </w:rPr>
        <w:t xml:space="preserve">Por lo que, tratándose de la </w:t>
      </w:r>
      <w:r w:rsidRPr="00E24DFE">
        <w:rPr>
          <w:rFonts w:ascii="Palatino Linotype" w:eastAsia="Calibri" w:hAnsi="Palatino Linotype" w:cs="Arial"/>
          <w:i/>
          <w:sz w:val="24"/>
          <w:szCs w:val="24"/>
          <w:lang w:val="es-ES"/>
        </w:rPr>
        <w:t>negativa ficta</w:t>
      </w:r>
      <w:r w:rsidRPr="00E24DFE">
        <w:rPr>
          <w:rFonts w:ascii="Palatino Linotype" w:eastAsia="Calibri" w:hAnsi="Palatino Linotype" w:cs="Arial"/>
          <w:sz w:val="24"/>
          <w:szCs w:val="24"/>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24DFE">
        <w:rPr>
          <w:rFonts w:ascii="Palatino Linotype" w:eastAsia="Calibri" w:hAnsi="Palatino Linotype" w:cs="Arial"/>
          <w:i/>
          <w:sz w:val="24"/>
          <w:szCs w:val="24"/>
          <w:lang w:val="es-ES"/>
        </w:rPr>
        <w:t>negativa ficta</w:t>
      </w:r>
      <w:r w:rsidRPr="00E24DFE">
        <w:rPr>
          <w:rFonts w:ascii="Palatino Linotype" w:eastAsia="Calibri" w:hAnsi="Palatino Linotype" w:cs="Arial"/>
          <w:sz w:val="24"/>
          <w:szCs w:val="24"/>
          <w:lang w:val="es-ES"/>
        </w:rPr>
        <w:t>, que señala:</w:t>
      </w:r>
    </w:p>
    <w:p w:rsidR="009124EA" w:rsidRPr="00E24DFE" w:rsidRDefault="009124EA" w:rsidP="009124EA">
      <w:pPr>
        <w:tabs>
          <w:tab w:val="left" w:pos="284"/>
        </w:tabs>
        <w:spacing w:line="360" w:lineRule="auto"/>
        <w:contextualSpacing/>
        <w:jc w:val="both"/>
        <w:rPr>
          <w:rFonts w:ascii="Palatino Linotype" w:hAnsi="Palatino Linotype" w:cs="Arial"/>
          <w:color w:val="000000"/>
          <w:sz w:val="24"/>
          <w:szCs w:val="24"/>
          <w:lang w:val="es-ES_tradnl"/>
        </w:rPr>
      </w:pPr>
    </w:p>
    <w:p w:rsidR="009124EA" w:rsidRPr="00E24DFE" w:rsidRDefault="009124EA" w:rsidP="009124EA">
      <w:pPr>
        <w:tabs>
          <w:tab w:val="left" w:pos="284"/>
          <w:tab w:val="left" w:pos="7655"/>
        </w:tabs>
        <w:spacing w:line="360" w:lineRule="auto"/>
        <w:ind w:right="567"/>
        <w:jc w:val="center"/>
        <w:rPr>
          <w:rFonts w:ascii="Palatino Linotype" w:eastAsia="Calibri" w:hAnsi="Palatino Linotype" w:cs="Arial"/>
          <w:b/>
          <w:sz w:val="24"/>
          <w:szCs w:val="24"/>
          <w:lang w:val="es-ES"/>
        </w:rPr>
      </w:pPr>
      <w:r w:rsidRPr="00E24DFE">
        <w:rPr>
          <w:rFonts w:ascii="Palatino Linotype" w:eastAsia="Calibri" w:hAnsi="Palatino Linotype" w:cs="Arial"/>
          <w:b/>
          <w:sz w:val="24"/>
          <w:szCs w:val="24"/>
          <w:lang w:val="es-ES"/>
        </w:rPr>
        <w:t>Criterio 0001-15</w:t>
      </w:r>
    </w:p>
    <w:p w:rsidR="009124EA" w:rsidRPr="00E24DFE" w:rsidRDefault="009124EA" w:rsidP="009124EA">
      <w:pPr>
        <w:tabs>
          <w:tab w:val="left" w:pos="284"/>
          <w:tab w:val="left" w:pos="7655"/>
        </w:tabs>
        <w:spacing w:line="360" w:lineRule="auto"/>
        <w:ind w:left="284" w:right="567"/>
        <w:jc w:val="both"/>
        <w:rPr>
          <w:rFonts w:ascii="Palatino Linotype" w:eastAsia="Calibri" w:hAnsi="Palatino Linotype" w:cs="Arial"/>
          <w:i/>
          <w:sz w:val="24"/>
          <w:szCs w:val="24"/>
          <w:lang w:val="es-ES"/>
        </w:rPr>
      </w:pPr>
      <w:r w:rsidRPr="00E24DFE">
        <w:rPr>
          <w:rFonts w:ascii="Palatino Linotype" w:eastAsia="Calibri" w:hAnsi="Palatino Linotype" w:cs="Arial"/>
          <w:b/>
          <w:i/>
          <w:sz w:val="24"/>
          <w:szCs w:val="24"/>
          <w:lang w:val="es-ES"/>
        </w:rPr>
        <w:t>NEGATIVA FICTA. PLAZO PARA INTERPONER EL RECURSO DE REVISIÓN TRATÁNDOSE DE.</w:t>
      </w:r>
      <w:r w:rsidRPr="00E24DFE">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w:t>
      </w:r>
      <w:r w:rsidRPr="00E24DFE">
        <w:rPr>
          <w:rFonts w:ascii="Palatino Linotype" w:eastAsia="Calibri" w:hAnsi="Palatino Linotype" w:cs="Arial"/>
          <w:i/>
          <w:sz w:val="24"/>
          <w:szCs w:val="24"/>
          <w:lang w:val="es-ES"/>
        </w:rPr>
        <w:lastRenderedPageBreak/>
        <w:t>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9124EA" w:rsidRPr="00E24DFE" w:rsidRDefault="009124EA" w:rsidP="009124EA">
      <w:pPr>
        <w:tabs>
          <w:tab w:val="left" w:pos="284"/>
          <w:tab w:val="left" w:pos="7655"/>
        </w:tabs>
        <w:spacing w:line="360" w:lineRule="auto"/>
        <w:ind w:left="284" w:right="567"/>
        <w:jc w:val="both"/>
        <w:rPr>
          <w:rFonts w:ascii="Palatino Linotype" w:eastAsia="Calibri" w:hAnsi="Palatino Linotype" w:cs="Arial"/>
          <w:i/>
          <w:sz w:val="24"/>
          <w:szCs w:val="24"/>
          <w:lang w:val="es-ES"/>
        </w:rPr>
      </w:pPr>
    </w:p>
    <w:p w:rsidR="009124EA" w:rsidRPr="00E24DFE" w:rsidRDefault="009124EA" w:rsidP="009124EA">
      <w:pPr>
        <w:numPr>
          <w:ilvl w:val="0"/>
          <w:numId w:val="1"/>
        </w:numPr>
        <w:tabs>
          <w:tab w:val="left" w:pos="284"/>
        </w:tabs>
        <w:spacing w:line="360" w:lineRule="auto"/>
        <w:ind w:left="0" w:firstLine="0"/>
        <w:contextualSpacing/>
        <w:jc w:val="both"/>
        <w:rPr>
          <w:rFonts w:ascii="Palatino Linotype" w:hAnsi="Palatino Linotype" w:cs="Arial"/>
          <w:color w:val="000000" w:themeColor="text1"/>
          <w:sz w:val="24"/>
          <w:szCs w:val="24"/>
          <w:lang w:val="es-ES" w:eastAsia="es-MX"/>
        </w:rPr>
      </w:pPr>
      <w:r w:rsidRPr="00E24DFE">
        <w:rPr>
          <w:rFonts w:ascii="Palatino Linotype" w:hAnsi="Palatino Linotype" w:cs="Arial"/>
          <w:color w:val="000000" w:themeColor="text1"/>
          <w:sz w:val="24"/>
          <w:szCs w:val="24"/>
          <w:lang w:val="es-ES" w:eastAsia="es-MX"/>
        </w:rPr>
        <w:t xml:space="preserve">Lo anterior, se explica porque la </w:t>
      </w:r>
      <w:r w:rsidRPr="00E24DFE">
        <w:rPr>
          <w:rFonts w:ascii="Palatino Linotype" w:hAnsi="Palatino Linotype" w:cs="Arial"/>
          <w:b/>
          <w:color w:val="000000" w:themeColor="text1"/>
          <w:sz w:val="24"/>
          <w:szCs w:val="24"/>
          <w:u w:val="single"/>
          <w:lang w:val="es-ES" w:eastAsia="es-MX"/>
        </w:rPr>
        <w:t>posible ausencia</w:t>
      </w:r>
      <w:r w:rsidRPr="00E24DFE">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E24DFE">
        <w:rPr>
          <w:rFonts w:ascii="Palatino Linotype" w:hAnsi="Palatino Linotype" w:cs="Arial"/>
          <w:b/>
          <w:color w:val="000000" w:themeColor="text1"/>
          <w:sz w:val="24"/>
          <w:szCs w:val="24"/>
          <w:lang w:val="es-ES" w:eastAsia="es-MX"/>
        </w:rPr>
        <w:t>SUJETO OBLIGADO</w:t>
      </w:r>
      <w:r w:rsidRPr="00E24DFE">
        <w:rPr>
          <w:rFonts w:ascii="Palatino Linotype" w:hAnsi="Palatino Linotype" w:cs="Arial"/>
          <w:color w:val="000000" w:themeColor="text1"/>
          <w:sz w:val="24"/>
          <w:szCs w:val="24"/>
          <w:lang w:val="es-ES" w:eastAsia="es-MX"/>
        </w:rPr>
        <w:t>.</w:t>
      </w:r>
    </w:p>
    <w:p w:rsidR="008E7469" w:rsidRPr="00E24DFE" w:rsidRDefault="008E7469" w:rsidP="008E7469">
      <w:pPr>
        <w:tabs>
          <w:tab w:val="left" w:pos="284"/>
        </w:tabs>
        <w:spacing w:line="360" w:lineRule="auto"/>
        <w:contextualSpacing/>
        <w:jc w:val="both"/>
        <w:rPr>
          <w:rFonts w:ascii="Palatino Linotype" w:hAnsi="Palatino Linotype" w:cs="Arial"/>
          <w:color w:val="000000" w:themeColor="text1"/>
          <w:sz w:val="24"/>
          <w:szCs w:val="24"/>
          <w:lang w:val="es-ES" w:eastAsia="es-MX"/>
        </w:rPr>
      </w:pPr>
    </w:p>
    <w:p w:rsidR="008E7469" w:rsidRPr="00E24DFE" w:rsidRDefault="008E7469" w:rsidP="008E7469">
      <w:pPr>
        <w:numPr>
          <w:ilvl w:val="0"/>
          <w:numId w:val="1"/>
        </w:numPr>
        <w:spacing w:line="360" w:lineRule="auto"/>
        <w:ind w:left="0" w:firstLine="0"/>
        <w:contextualSpacing/>
        <w:jc w:val="both"/>
        <w:rPr>
          <w:rFonts w:ascii="Palatino Linotype" w:eastAsia="Calibri" w:hAnsi="Palatino Linotype" w:cs="Arial"/>
          <w:sz w:val="24"/>
          <w:szCs w:val="24"/>
          <w:lang w:val="es-ES_tradnl"/>
        </w:rPr>
      </w:pPr>
      <w:r w:rsidRPr="00E24DFE">
        <w:rPr>
          <w:rFonts w:ascii="Palatino Linotype" w:eastAsia="Calibri" w:hAnsi="Palatino Linotype" w:cs="Arial"/>
          <w:sz w:val="24"/>
          <w:szCs w:val="24"/>
          <w:lang w:val="es-ES_tradnl"/>
        </w:rPr>
        <w:t xml:space="preserve">Por otra parte, de la revisión al expediente electrónico del </w:t>
      </w:r>
      <w:r w:rsidRPr="00E24DFE">
        <w:rPr>
          <w:rFonts w:ascii="Palatino Linotype" w:eastAsia="Calibri" w:hAnsi="Palatino Linotype" w:cs="Arial"/>
          <w:b/>
          <w:sz w:val="24"/>
          <w:szCs w:val="24"/>
          <w:lang w:val="es-ES_tradnl"/>
        </w:rPr>
        <w:t>SAIMEX</w:t>
      </w:r>
      <w:r w:rsidRPr="00E24DFE">
        <w:rPr>
          <w:rFonts w:ascii="Palatino Linotype" w:eastAsia="Calibri" w:hAnsi="Palatino Linotype" w:cs="Arial"/>
          <w:sz w:val="24"/>
          <w:szCs w:val="24"/>
          <w:lang w:val="es-ES_tradn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w:t>
      </w:r>
      <w:r w:rsidRPr="00E24DFE">
        <w:rPr>
          <w:rFonts w:ascii="Palatino Linotype" w:eastAsia="Calibri" w:hAnsi="Palatino Linotype" w:cs="Arial"/>
          <w:sz w:val="24"/>
          <w:szCs w:val="24"/>
          <w:lang w:val="es-ES_tradnl"/>
        </w:rPr>
        <w:lastRenderedPageBreak/>
        <w:t>requisito indispensable para la tramitación del acto procesal específico en materia de acceso a la información, ello en estricto apego al numeral 155 párrafo tercero de la Ley de la materia, en concatenación con el 180 del mismo ordenamiento.</w:t>
      </w:r>
    </w:p>
    <w:p w:rsidR="008E7469" w:rsidRPr="00E24DFE" w:rsidRDefault="008E7469" w:rsidP="008E7469">
      <w:pPr>
        <w:pStyle w:val="Prrafodelista"/>
        <w:ind w:left="0"/>
        <w:rPr>
          <w:rFonts w:ascii="Palatino Linotype" w:eastAsia="Calibri" w:hAnsi="Palatino Linotype" w:cs="Arial"/>
          <w:sz w:val="24"/>
          <w:lang w:val="es-ES_tradnl"/>
        </w:rPr>
      </w:pPr>
    </w:p>
    <w:p w:rsidR="008E7469" w:rsidRPr="00E24DFE" w:rsidRDefault="008E7469" w:rsidP="008E7469">
      <w:pPr>
        <w:numPr>
          <w:ilvl w:val="0"/>
          <w:numId w:val="1"/>
        </w:numPr>
        <w:spacing w:line="360" w:lineRule="auto"/>
        <w:ind w:left="0" w:firstLine="0"/>
        <w:contextualSpacing/>
        <w:jc w:val="both"/>
        <w:rPr>
          <w:rFonts w:ascii="Palatino Linotype" w:eastAsia="Calibri" w:hAnsi="Palatino Linotype" w:cs="Arial"/>
          <w:sz w:val="24"/>
          <w:szCs w:val="24"/>
          <w:lang w:val="es-ES_tradnl"/>
        </w:rPr>
      </w:pPr>
      <w:r w:rsidRPr="00E24DFE">
        <w:rPr>
          <w:rFonts w:ascii="Palatino Linotype" w:eastAsia="Calibri" w:hAnsi="Palatino Linotype" w:cs="Arial"/>
          <w:sz w:val="24"/>
          <w:szCs w:val="24"/>
          <w:lang w:val="es-ES_tradnl"/>
        </w:rPr>
        <w:t xml:space="preserve">Esto es así, ya que de conformidad con los artículos 6, Apartado A, fracciones III y IV de la Constitución Política de los Estados Unidos Mexicanos y </w:t>
      </w:r>
      <w:r w:rsidRPr="00E24DFE">
        <w:rPr>
          <w:rFonts w:ascii="Palatino Linotype" w:eastAsia="Calibri" w:hAnsi="Palatino Linotype" w:cs="Arial"/>
          <w:bCs/>
          <w:sz w:val="24"/>
          <w:szCs w:val="24"/>
          <w:lang w:val="es-ES"/>
        </w:rPr>
        <w:t xml:space="preserve">5, párrafos vigésimo, vigésimo primero y vigésimo </w:t>
      </w:r>
      <w:r w:rsidR="001E28B7" w:rsidRPr="00E24DFE">
        <w:rPr>
          <w:rFonts w:ascii="Palatino Linotype" w:eastAsia="Calibri" w:hAnsi="Palatino Linotype" w:cs="Arial"/>
          <w:bCs/>
          <w:sz w:val="24"/>
          <w:szCs w:val="24"/>
          <w:lang w:val="es-ES"/>
        </w:rPr>
        <w:t>segundo</w:t>
      </w:r>
      <w:r w:rsidRPr="00E24DFE">
        <w:rPr>
          <w:rFonts w:ascii="Palatino Linotype" w:eastAsia="Calibri" w:hAnsi="Palatino Linotype" w:cs="Arial"/>
          <w:bCs/>
          <w:sz w:val="24"/>
          <w:szCs w:val="24"/>
          <w:lang w:val="es-ES"/>
        </w:rPr>
        <w:t> fracciones IV y V </w:t>
      </w:r>
      <w:r w:rsidRPr="00E24DFE">
        <w:rPr>
          <w:rFonts w:ascii="Palatino Linotype" w:eastAsia="Calibri" w:hAnsi="Palatino Linotype" w:cs="Arial"/>
          <w:sz w:val="24"/>
          <w:szCs w:val="24"/>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E7469" w:rsidRPr="00E24DFE" w:rsidRDefault="008E7469" w:rsidP="008E7469">
      <w:pPr>
        <w:pStyle w:val="Prrafodelista"/>
        <w:ind w:left="0"/>
        <w:rPr>
          <w:rFonts w:ascii="Palatino Linotype" w:eastAsia="Calibri" w:hAnsi="Palatino Linotype" w:cs="Arial"/>
          <w:sz w:val="24"/>
          <w:lang w:val="es-ES_tradnl"/>
        </w:rPr>
      </w:pPr>
    </w:p>
    <w:p w:rsidR="008E7469" w:rsidRPr="00E24DFE" w:rsidRDefault="008E7469" w:rsidP="008E7469">
      <w:pPr>
        <w:numPr>
          <w:ilvl w:val="0"/>
          <w:numId w:val="1"/>
        </w:numPr>
        <w:spacing w:line="360" w:lineRule="auto"/>
        <w:ind w:left="0" w:firstLine="0"/>
        <w:contextualSpacing/>
        <w:jc w:val="both"/>
        <w:rPr>
          <w:rFonts w:ascii="Palatino Linotype" w:eastAsia="Calibri" w:hAnsi="Palatino Linotype" w:cs="Arial"/>
          <w:sz w:val="24"/>
          <w:szCs w:val="24"/>
          <w:lang w:val="es-ES_tradnl"/>
        </w:rPr>
      </w:pPr>
      <w:r w:rsidRPr="00E24DFE">
        <w:rPr>
          <w:rFonts w:ascii="Palatino Linotype" w:eastAsia="Calibri" w:hAnsi="Palatino Linotype" w:cs="Arial"/>
          <w:sz w:val="24"/>
          <w:szCs w:val="24"/>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E7469" w:rsidRPr="00E24DFE" w:rsidRDefault="008E7469" w:rsidP="008E7469">
      <w:pPr>
        <w:pStyle w:val="Prrafodelista"/>
        <w:ind w:left="0"/>
        <w:rPr>
          <w:rFonts w:ascii="Palatino Linotype" w:eastAsia="Calibri" w:hAnsi="Palatino Linotype" w:cs="Arial"/>
          <w:sz w:val="24"/>
          <w:lang w:val="es-ES_tradnl"/>
        </w:rPr>
      </w:pPr>
    </w:p>
    <w:p w:rsidR="008E7469" w:rsidRPr="00E24DFE" w:rsidRDefault="008E7469" w:rsidP="008E7469">
      <w:pPr>
        <w:numPr>
          <w:ilvl w:val="0"/>
          <w:numId w:val="1"/>
        </w:numPr>
        <w:spacing w:line="360" w:lineRule="auto"/>
        <w:ind w:left="0" w:firstLine="0"/>
        <w:contextualSpacing/>
        <w:jc w:val="both"/>
        <w:rPr>
          <w:rFonts w:ascii="Palatino Linotype" w:eastAsia="Calibri" w:hAnsi="Palatino Linotype" w:cs="Arial"/>
          <w:sz w:val="24"/>
          <w:szCs w:val="24"/>
          <w:lang w:val="es-ES_tradnl"/>
        </w:rPr>
      </w:pPr>
      <w:r w:rsidRPr="00E24DFE">
        <w:rPr>
          <w:rFonts w:ascii="Palatino Linotype" w:eastAsia="Calibri" w:hAnsi="Palatino Linotype" w:cs="Arial"/>
          <w:sz w:val="24"/>
          <w:szCs w:val="24"/>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8E7469" w:rsidRPr="00E24DFE" w:rsidRDefault="008E7469" w:rsidP="008E7469">
      <w:pPr>
        <w:pStyle w:val="Prrafodelista"/>
        <w:ind w:left="0"/>
        <w:rPr>
          <w:rFonts w:ascii="Palatino Linotype" w:eastAsia="Calibri" w:hAnsi="Palatino Linotype" w:cs="Arial"/>
          <w:sz w:val="24"/>
          <w:lang w:val="es-ES_tradnl"/>
        </w:rPr>
      </w:pPr>
    </w:p>
    <w:p w:rsidR="008E7469" w:rsidRPr="00E24DFE" w:rsidRDefault="008E7469" w:rsidP="008E7469">
      <w:pPr>
        <w:numPr>
          <w:ilvl w:val="0"/>
          <w:numId w:val="1"/>
        </w:numPr>
        <w:spacing w:line="360" w:lineRule="auto"/>
        <w:ind w:left="0" w:firstLine="0"/>
        <w:contextualSpacing/>
        <w:jc w:val="both"/>
        <w:rPr>
          <w:rFonts w:ascii="Palatino Linotype" w:eastAsia="Calibri" w:hAnsi="Palatino Linotype" w:cs="Arial"/>
          <w:sz w:val="24"/>
          <w:szCs w:val="24"/>
          <w:lang w:val="es-ES_tradnl"/>
        </w:rPr>
      </w:pPr>
      <w:r w:rsidRPr="00E24DFE">
        <w:rPr>
          <w:rFonts w:ascii="Palatino Linotype" w:eastAsia="Calibri" w:hAnsi="Palatino Linotype" w:cs="Arial"/>
          <w:sz w:val="24"/>
          <w:szCs w:val="24"/>
          <w:lang w:val="es-ES_tradnl"/>
        </w:rPr>
        <w:t xml:space="preserve">Por lo que el nombre del solicitando y recurrente no puede ser considerado un requisito indispensable de </w:t>
      </w:r>
      <w:proofErr w:type="spellStart"/>
      <w:r w:rsidRPr="00E24DFE">
        <w:rPr>
          <w:rFonts w:ascii="Palatino Linotype" w:eastAsia="Calibri" w:hAnsi="Palatino Linotype" w:cs="Arial"/>
          <w:sz w:val="24"/>
          <w:szCs w:val="24"/>
          <w:lang w:val="es-ES_tradnl"/>
        </w:rPr>
        <w:t>procedibilidad</w:t>
      </w:r>
      <w:proofErr w:type="spellEnd"/>
      <w:r w:rsidRPr="00E24DFE">
        <w:rPr>
          <w:rFonts w:ascii="Palatino Linotype" w:eastAsia="Calibri" w:hAnsi="Palatino Linotype" w:cs="Arial"/>
          <w:sz w:val="24"/>
          <w:szCs w:val="24"/>
          <w:lang w:val="es-ES_tradn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E24DFE">
        <w:rPr>
          <w:rFonts w:ascii="Palatino Linotype" w:eastAsia="Calibri" w:hAnsi="Palatino Linotype" w:cs="Arial"/>
          <w:sz w:val="24"/>
          <w:szCs w:val="24"/>
          <w:lang w:val="es-ES_tradnl"/>
        </w:rPr>
        <w:t>Resolutor</w:t>
      </w:r>
      <w:proofErr w:type="spellEnd"/>
      <w:r w:rsidRPr="00E24DFE">
        <w:rPr>
          <w:rFonts w:ascii="Palatino Linotype" w:eastAsia="Calibri" w:hAnsi="Palatino Linotype" w:cs="Arial"/>
          <w:sz w:val="24"/>
          <w:szCs w:val="24"/>
          <w:lang w:val="es-ES_tradnl"/>
        </w:rPr>
        <w:t>.</w:t>
      </w:r>
    </w:p>
    <w:p w:rsidR="009124EA" w:rsidRPr="00E24DFE" w:rsidRDefault="009124EA" w:rsidP="009124EA">
      <w:pPr>
        <w:tabs>
          <w:tab w:val="left" w:pos="284"/>
        </w:tabs>
        <w:contextualSpacing/>
        <w:rPr>
          <w:rFonts w:ascii="Palatino Linotype" w:hAnsi="Palatino Linotype" w:cs="Arial"/>
          <w:color w:val="000000" w:themeColor="text1"/>
          <w:sz w:val="24"/>
          <w:szCs w:val="24"/>
          <w:lang w:val="es-ES" w:eastAsia="es-MX"/>
        </w:rPr>
      </w:pPr>
    </w:p>
    <w:p w:rsidR="009124EA" w:rsidRPr="00E24DFE" w:rsidRDefault="009124EA" w:rsidP="009124EA">
      <w:pPr>
        <w:numPr>
          <w:ilvl w:val="0"/>
          <w:numId w:val="1"/>
        </w:numPr>
        <w:tabs>
          <w:tab w:val="left" w:pos="284"/>
        </w:tabs>
        <w:spacing w:line="360" w:lineRule="auto"/>
        <w:ind w:left="0" w:right="49" w:firstLine="0"/>
        <w:contextualSpacing/>
        <w:jc w:val="both"/>
        <w:rPr>
          <w:rFonts w:ascii="Palatino Linotype" w:eastAsiaTheme="minorEastAsia" w:hAnsi="Palatino Linotype" w:cs="Arial"/>
          <w:b/>
          <w:sz w:val="24"/>
          <w:szCs w:val="24"/>
          <w:lang w:val="es-ES_tradnl"/>
        </w:rPr>
      </w:pPr>
      <w:r w:rsidRPr="00E24DFE">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124EA" w:rsidRPr="00E24DFE" w:rsidRDefault="009124EA" w:rsidP="009124EA">
      <w:pPr>
        <w:tabs>
          <w:tab w:val="left" w:pos="284"/>
        </w:tabs>
        <w:spacing w:line="360" w:lineRule="auto"/>
        <w:ind w:right="49"/>
        <w:contextualSpacing/>
        <w:jc w:val="both"/>
        <w:rPr>
          <w:rFonts w:ascii="Palatino Linotype" w:eastAsiaTheme="minorEastAsia" w:hAnsi="Palatino Linotype" w:cs="Arial"/>
          <w:b/>
          <w:sz w:val="24"/>
          <w:szCs w:val="24"/>
          <w:lang w:val="es-ES_tradnl"/>
        </w:rPr>
      </w:pPr>
    </w:p>
    <w:p w:rsidR="009124EA" w:rsidRPr="00E24DFE" w:rsidRDefault="009124EA" w:rsidP="009124EA">
      <w:pPr>
        <w:pStyle w:val="Ttulo1"/>
        <w:spacing w:before="0"/>
        <w:rPr>
          <w:rFonts w:ascii="Palatino Linotype" w:hAnsi="Palatino Linotype"/>
          <w:b/>
          <w:color w:val="auto"/>
          <w:sz w:val="24"/>
          <w:szCs w:val="24"/>
        </w:rPr>
      </w:pPr>
      <w:bookmarkStart w:id="7" w:name="_Toc87549675"/>
      <w:r w:rsidRPr="00E24DFE">
        <w:rPr>
          <w:rFonts w:ascii="Palatino Linotype" w:hAnsi="Palatino Linotype"/>
          <w:b/>
          <w:color w:val="auto"/>
          <w:sz w:val="24"/>
          <w:szCs w:val="24"/>
        </w:rPr>
        <w:t>TERCERO. Planteamiento de la Litis</w:t>
      </w:r>
      <w:bookmarkEnd w:id="7"/>
      <w:r w:rsidRPr="00E24DFE">
        <w:rPr>
          <w:rFonts w:ascii="Palatino Linotype" w:hAnsi="Palatino Linotype"/>
          <w:b/>
          <w:color w:val="auto"/>
          <w:sz w:val="24"/>
          <w:szCs w:val="24"/>
        </w:rPr>
        <w:t xml:space="preserve"> </w:t>
      </w:r>
    </w:p>
    <w:p w:rsidR="009124EA" w:rsidRPr="00E24DFE" w:rsidRDefault="009124EA" w:rsidP="009124EA"/>
    <w:p w:rsidR="009124EA" w:rsidRPr="00E24DFE" w:rsidRDefault="009124EA" w:rsidP="009124EA">
      <w:pPr>
        <w:rPr>
          <w:rFonts w:eastAsia="MS Mincho"/>
        </w:rPr>
      </w:pPr>
    </w:p>
    <w:p w:rsidR="009124EA" w:rsidRPr="00E24DFE" w:rsidRDefault="00353F14" w:rsidP="009124EA">
      <w:pPr>
        <w:pStyle w:val="Prrafodelista"/>
        <w:numPr>
          <w:ilvl w:val="0"/>
          <w:numId w:val="2"/>
        </w:numPr>
        <w:spacing w:line="360" w:lineRule="auto"/>
        <w:ind w:left="0" w:right="49" w:firstLine="0"/>
        <w:jc w:val="both"/>
        <w:rPr>
          <w:rFonts w:ascii="Palatino Linotype" w:hAnsi="Palatino Linotype"/>
          <w:i/>
          <w:sz w:val="24"/>
          <w:lang w:eastAsia="es-MX"/>
        </w:rPr>
      </w:pPr>
      <w:r w:rsidRPr="00E24DFE">
        <w:rPr>
          <w:rFonts w:ascii="Palatino Linotype" w:hAnsi="Palatino Linotype"/>
          <w:bCs/>
          <w:sz w:val="24"/>
        </w:rPr>
        <w:t>De las constancias que obran en el expediente electrónico SAIMEX, se advierte que el particular quiere del</w:t>
      </w:r>
      <w:r w:rsidR="0096313B" w:rsidRPr="00E24DFE">
        <w:rPr>
          <w:rFonts w:ascii="Palatino Linotype" w:hAnsi="Palatino Linotype"/>
          <w:bCs/>
          <w:sz w:val="24"/>
        </w:rPr>
        <w:t xml:space="preserve"> personal del </w:t>
      </w:r>
      <w:r w:rsidRPr="00E24DFE">
        <w:rPr>
          <w:rFonts w:ascii="Palatino Linotype" w:hAnsi="Palatino Linotype"/>
          <w:bCs/>
          <w:sz w:val="24"/>
        </w:rPr>
        <w:t xml:space="preserve"> Ayuntamiento de Atizapán, la nómina</w:t>
      </w:r>
      <w:r w:rsidR="0096313B" w:rsidRPr="00E24DFE">
        <w:rPr>
          <w:rFonts w:ascii="Palatino Linotype" w:hAnsi="Palatino Linotype"/>
          <w:bCs/>
          <w:sz w:val="24"/>
        </w:rPr>
        <w:t xml:space="preserve"> ordinaria y extraordinaria</w:t>
      </w:r>
      <w:r w:rsidRPr="00E24DFE">
        <w:rPr>
          <w:rFonts w:ascii="Palatino Linotype" w:hAnsi="Palatino Linotype"/>
          <w:bCs/>
          <w:sz w:val="24"/>
        </w:rPr>
        <w:t xml:space="preserve">, la modalidad bajo la cual se encuentre laborando </w:t>
      </w:r>
      <w:r w:rsidRPr="00E24DFE">
        <w:rPr>
          <w:rFonts w:ascii="Palatino Linotype" w:hAnsi="Palatino Linotype"/>
          <w:bCs/>
          <w:sz w:val="24"/>
        </w:rPr>
        <w:lastRenderedPageBreak/>
        <w:t xml:space="preserve">el personal (contrato, tiempo determinado, obra determinada), la periodicidad del pago (semanal, decenal, catorcenal, quincenal) y las listas de raya en la que incluya el nombre, cargo, puesto y sueldo.  </w:t>
      </w:r>
    </w:p>
    <w:p w:rsidR="009124EA" w:rsidRPr="00E24DFE" w:rsidRDefault="009124EA" w:rsidP="009124EA">
      <w:pPr>
        <w:pStyle w:val="Prrafodelista"/>
        <w:tabs>
          <w:tab w:val="left" w:pos="284"/>
        </w:tabs>
        <w:spacing w:line="360" w:lineRule="auto"/>
        <w:ind w:left="1287"/>
        <w:jc w:val="both"/>
        <w:rPr>
          <w:rFonts w:ascii="Palatino Linotype" w:eastAsiaTheme="minorEastAsia" w:hAnsi="Palatino Linotype"/>
          <w:iCs/>
          <w:sz w:val="24"/>
          <w:lang w:val="es-ES_tradnl"/>
        </w:rPr>
      </w:pPr>
    </w:p>
    <w:p w:rsidR="009124EA" w:rsidRPr="00E24DFE" w:rsidRDefault="009124EA" w:rsidP="009124EA">
      <w:pPr>
        <w:pStyle w:val="Prrafodelista"/>
        <w:numPr>
          <w:ilvl w:val="0"/>
          <w:numId w:val="1"/>
        </w:numPr>
        <w:tabs>
          <w:tab w:val="left" w:pos="284"/>
        </w:tabs>
        <w:spacing w:line="360" w:lineRule="auto"/>
        <w:ind w:left="0" w:firstLine="0"/>
        <w:jc w:val="both"/>
        <w:rPr>
          <w:rFonts w:ascii="Palatino Linotype" w:eastAsiaTheme="minorEastAsia" w:hAnsi="Palatino Linotype"/>
          <w:iCs/>
          <w:sz w:val="24"/>
          <w:lang w:val="es-ES_tradnl"/>
        </w:rPr>
      </w:pPr>
      <w:r w:rsidRPr="00E24DFE">
        <w:rPr>
          <w:rFonts w:ascii="Palatino Linotype" w:eastAsiaTheme="minorEastAsia" w:hAnsi="Palatino Linotype"/>
          <w:iCs/>
          <w:sz w:val="24"/>
          <w:lang w:val="es-ES_tradnl"/>
        </w:rPr>
        <w:t>El Sujeto Obligado no entregó respuesta a la solicitud, motivo de inconformidad el recurrente.</w:t>
      </w:r>
    </w:p>
    <w:p w:rsidR="009124EA" w:rsidRPr="00E24DFE" w:rsidRDefault="009124EA" w:rsidP="009124EA">
      <w:pPr>
        <w:pStyle w:val="Prrafodelista"/>
        <w:tabs>
          <w:tab w:val="left" w:pos="284"/>
        </w:tabs>
        <w:spacing w:line="360" w:lineRule="auto"/>
        <w:ind w:left="0"/>
        <w:jc w:val="both"/>
        <w:rPr>
          <w:rFonts w:ascii="Palatino Linotype" w:eastAsiaTheme="minorEastAsia" w:hAnsi="Palatino Linotype"/>
          <w:iCs/>
          <w:sz w:val="24"/>
          <w:lang w:val="es-ES_tradnl"/>
        </w:rPr>
      </w:pPr>
    </w:p>
    <w:p w:rsidR="009124EA" w:rsidRPr="00E24DFE" w:rsidRDefault="009124EA" w:rsidP="009124EA">
      <w:pPr>
        <w:numPr>
          <w:ilvl w:val="0"/>
          <w:numId w:val="1"/>
        </w:numPr>
        <w:tabs>
          <w:tab w:val="left" w:pos="284"/>
        </w:tabs>
        <w:spacing w:line="360" w:lineRule="auto"/>
        <w:ind w:left="0" w:firstLine="0"/>
        <w:contextualSpacing/>
        <w:jc w:val="both"/>
        <w:rPr>
          <w:rFonts w:ascii="Palatino Linotype" w:eastAsiaTheme="minorEastAsia" w:hAnsi="Palatino Linotype"/>
          <w:i/>
          <w:sz w:val="24"/>
          <w:szCs w:val="24"/>
          <w:lang w:val="es-ES_tradnl"/>
        </w:rPr>
      </w:pPr>
      <w:r w:rsidRPr="00E24DFE">
        <w:rPr>
          <w:rFonts w:ascii="Palatino Linotype" w:eastAsiaTheme="minorEastAsia" w:hAnsi="Palatino Linotype" w:cs="Arial"/>
          <w:sz w:val="24"/>
          <w:szCs w:val="24"/>
          <w:lang w:val="es-ES_tradnl"/>
        </w:rPr>
        <w:t xml:space="preserve">Por lo tanto, el presente recurso de revisión se circunscribe en determinar si se </w:t>
      </w:r>
      <w:r w:rsidRPr="00E24DFE">
        <w:rPr>
          <w:rFonts w:ascii="Palatino Linotype" w:hAnsi="Palatino Linotype"/>
          <w:sz w:val="24"/>
          <w:szCs w:val="24"/>
          <w:lang w:val="es-ES_tradnl"/>
        </w:rPr>
        <w:t>actualiza las causales de procedencia</w:t>
      </w:r>
      <w:r w:rsidRPr="00E24DFE">
        <w:rPr>
          <w:rFonts w:ascii="Palatino Linotype" w:hAnsi="Palatino Linotype"/>
          <w:b/>
          <w:sz w:val="24"/>
          <w:szCs w:val="24"/>
          <w:lang w:val="es-ES_tradnl"/>
        </w:rPr>
        <w:t xml:space="preserve"> </w:t>
      </w:r>
      <w:r w:rsidRPr="00E24DFE">
        <w:rPr>
          <w:rFonts w:ascii="Palatino Linotype" w:hAnsi="Palatino Linotype" w:cs="Arial"/>
          <w:sz w:val="24"/>
          <w:szCs w:val="24"/>
          <w:lang w:val="es-ES_tradnl" w:eastAsia="es-MX"/>
        </w:rPr>
        <w:t xml:space="preserve">contenidas en </w:t>
      </w:r>
      <w:r w:rsidRPr="00E24DFE">
        <w:rPr>
          <w:rFonts w:ascii="Palatino Linotype" w:hAnsi="Palatino Linotype" w:cs="Arial"/>
          <w:sz w:val="24"/>
          <w:szCs w:val="24"/>
          <w:lang w:val="es-ES" w:eastAsia="es-MX"/>
        </w:rPr>
        <w:t xml:space="preserve">el artículo 179 fracciones </w:t>
      </w:r>
      <w:r w:rsidR="0039502A" w:rsidRPr="00E24DFE">
        <w:rPr>
          <w:rFonts w:ascii="Palatino Linotype" w:hAnsi="Palatino Linotype" w:cs="Arial"/>
          <w:sz w:val="24"/>
          <w:szCs w:val="24"/>
          <w:lang w:val="es-ES" w:eastAsia="es-MX"/>
        </w:rPr>
        <w:t xml:space="preserve">I, </w:t>
      </w:r>
      <w:r w:rsidRPr="00E24DFE">
        <w:rPr>
          <w:rFonts w:ascii="Palatino Linotype" w:hAnsi="Palatino Linotype" w:cs="Arial"/>
          <w:sz w:val="24"/>
          <w:szCs w:val="24"/>
          <w:lang w:val="es-ES" w:eastAsia="es-MX"/>
        </w:rPr>
        <w:t>VII</w:t>
      </w:r>
      <w:r w:rsidR="0039502A" w:rsidRPr="00E24DFE">
        <w:rPr>
          <w:rFonts w:ascii="Palatino Linotype" w:hAnsi="Palatino Linotype" w:cs="Arial"/>
          <w:sz w:val="24"/>
          <w:szCs w:val="24"/>
          <w:lang w:val="es-ES" w:eastAsia="es-MX"/>
        </w:rPr>
        <w:t xml:space="preserve"> y XI</w:t>
      </w:r>
      <w:r w:rsidRPr="00E24DFE">
        <w:rPr>
          <w:rFonts w:ascii="Palatino Linotype" w:hAnsi="Palatino Linotype" w:cs="Arial"/>
          <w:sz w:val="24"/>
          <w:szCs w:val="24"/>
          <w:lang w:val="es-ES" w:eastAsia="es-MX"/>
        </w:rPr>
        <w:t xml:space="preserve"> de la </w:t>
      </w:r>
      <w:r w:rsidRPr="00E24DFE">
        <w:rPr>
          <w:rFonts w:ascii="Palatino Linotype" w:eastAsia="Calibri" w:hAnsi="Palatino Linotype" w:cs="Arial"/>
          <w:b/>
          <w:sz w:val="24"/>
          <w:szCs w:val="24"/>
          <w:lang w:val="es-ES"/>
        </w:rPr>
        <w:t>Ley de Transparencia y Acceso a la Información Pública del Estado de México y Municipios</w:t>
      </w:r>
      <w:r w:rsidRPr="00E24DFE">
        <w:rPr>
          <w:rFonts w:ascii="Palatino Linotype" w:hAnsi="Palatino Linotype" w:cs="Arial"/>
          <w:sz w:val="24"/>
          <w:szCs w:val="24"/>
          <w:lang w:val="es-ES" w:eastAsia="es-MX"/>
        </w:rPr>
        <w:t>.</w:t>
      </w:r>
    </w:p>
    <w:p w:rsidR="009124EA" w:rsidRPr="00E24DFE" w:rsidRDefault="009124EA" w:rsidP="009124EA">
      <w:pPr>
        <w:tabs>
          <w:tab w:val="left" w:pos="284"/>
        </w:tabs>
        <w:spacing w:line="360" w:lineRule="auto"/>
        <w:contextualSpacing/>
        <w:jc w:val="both"/>
        <w:rPr>
          <w:rFonts w:ascii="Palatino Linotype" w:eastAsiaTheme="minorEastAsia" w:hAnsi="Palatino Linotype"/>
          <w:i/>
          <w:sz w:val="24"/>
          <w:szCs w:val="24"/>
          <w:lang w:val="es-ES_tradnl"/>
        </w:rPr>
      </w:pPr>
    </w:p>
    <w:p w:rsidR="009124EA" w:rsidRPr="00E24DFE" w:rsidRDefault="009124EA" w:rsidP="009124EA">
      <w:pPr>
        <w:pStyle w:val="Ttulo1"/>
        <w:spacing w:before="0" w:line="360" w:lineRule="auto"/>
        <w:rPr>
          <w:rFonts w:ascii="Palatino Linotype" w:hAnsi="Palatino Linotype"/>
          <w:b/>
          <w:color w:val="auto"/>
          <w:sz w:val="24"/>
          <w:szCs w:val="24"/>
        </w:rPr>
      </w:pPr>
      <w:bookmarkStart w:id="8" w:name="_Toc4061675"/>
      <w:bookmarkStart w:id="9" w:name="_Toc3372324"/>
      <w:bookmarkStart w:id="10" w:name="_Toc499201873"/>
      <w:bookmarkStart w:id="11" w:name="_Toc87549676"/>
      <w:r w:rsidRPr="00E24DFE">
        <w:rPr>
          <w:rFonts w:ascii="Palatino Linotype" w:hAnsi="Palatino Linotype"/>
          <w:b/>
          <w:color w:val="auto"/>
          <w:sz w:val="24"/>
          <w:szCs w:val="24"/>
        </w:rPr>
        <w:t>CUARTO. Estudio y resolución del asunto</w:t>
      </w:r>
      <w:bookmarkEnd w:id="8"/>
      <w:bookmarkEnd w:id="9"/>
      <w:bookmarkEnd w:id="10"/>
      <w:bookmarkEnd w:id="11"/>
    </w:p>
    <w:p w:rsidR="009124EA" w:rsidRPr="00E24DFE" w:rsidRDefault="009124EA" w:rsidP="009124EA"/>
    <w:p w:rsidR="009124EA" w:rsidRPr="00E24DFE" w:rsidRDefault="009124EA" w:rsidP="009124EA">
      <w:pPr>
        <w:pStyle w:val="Ttulo2"/>
        <w:numPr>
          <w:ilvl w:val="0"/>
          <w:numId w:val="3"/>
        </w:numPr>
        <w:spacing w:before="0" w:line="360" w:lineRule="auto"/>
        <w:ind w:left="709"/>
        <w:rPr>
          <w:rFonts w:ascii="Palatino Linotype" w:hAnsi="Palatino Linotype"/>
          <w:b/>
          <w:color w:val="auto"/>
          <w:sz w:val="24"/>
        </w:rPr>
      </w:pPr>
      <w:bookmarkStart w:id="12" w:name="_Toc517362765"/>
      <w:bookmarkStart w:id="13" w:name="_Toc34910145"/>
      <w:bookmarkStart w:id="14" w:name="_Toc65830217"/>
      <w:bookmarkStart w:id="15" w:name="_Toc87549682"/>
      <w:bookmarkStart w:id="16" w:name="_Toc34911390"/>
      <w:r w:rsidRPr="00E24DFE">
        <w:rPr>
          <w:rFonts w:ascii="Palatino Linotype" w:hAnsi="Palatino Linotype"/>
          <w:b/>
          <w:color w:val="auto"/>
          <w:sz w:val="24"/>
        </w:rPr>
        <w:t>Omisión de atender una solicitud de información.</w:t>
      </w:r>
      <w:bookmarkEnd w:id="12"/>
      <w:bookmarkEnd w:id="13"/>
      <w:bookmarkEnd w:id="14"/>
    </w:p>
    <w:p w:rsidR="009124EA" w:rsidRPr="00E24DFE" w:rsidRDefault="009124EA" w:rsidP="009124EA"/>
    <w:p w:rsidR="009124EA" w:rsidRPr="00E24DFE" w:rsidRDefault="009124EA" w:rsidP="009124EA"/>
    <w:p w:rsidR="009124EA" w:rsidRPr="00E24DFE" w:rsidRDefault="009124EA" w:rsidP="009124EA">
      <w:pPr>
        <w:pStyle w:val="Prrafodelista"/>
        <w:numPr>
          <w:ilvl w:val="0"/>
          <w:numId w:val="1"/>
        </w:numPr>
        <w:spacing w:line="360" w:lineRule="auto"/>
        <w:ind w:left="0" w:right="49" w:firstLine="0"/>
        <w:jc w:val="both"/>
        <w:rPr>
          <w:rFonts w:ascii="Palatino Linotype" w:hAnsi="Palatino Linotype" w:cs="Arial"/>
          <w:color w:val="000000"/>
          <w:sz w:val="24"/>
        </w:rPr>
      </w:pPr>
      <w:r w:rsidRPr="00E24DFE">
        <w:rPr>
          <w:rFonts w:ascii="Palatino Linotype" w:hAnsi="Palatino Linotype" w:cs="Arial"/>
          <w:color w:val="000000"/>
          <w:sz w:val="24"/>
        </w:rPr>
        <w:t xml:space="preserve">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E24DFE">
        <w:rPr>
          <w:rFonts w:ascii="Palatino Linotype" w:hAnsi="Palatino Linotype" w:cs="Arial"/>
          <w:color w:val="000000"/>
        </w:rPr>
        <w:t>“</w:t>
      </w:r>
      <w:r w:rsidRPr="00E24DFE">
        <w:rPr>
          <w:rFonts w:ascii="Palatino Linotype" w:hAnsi="Palatino Linotype" w:cs="Helvetica"/>
          <w:i/>
          <w:szCs w:val="23"/>
          <w:shd w:val="clear" w:color="auto" w:fill="FFFFFF"/>
        </w:rPr>
        <w:t xml:space="preserve">Todas las autoridades, en el ámbito de sus competencias, tienen la obligación de promover, respetar, proteger y garantizar los derechos humanos de conformidad con los </w:t>
      </w:r>
      <w:r w:rsidRPr="00E24DFE">
        <w:rPr>
          <w:rFonts w:ascii="Palatino Linotype" w:hAnsi="Palatino Linotype" w:cs="Helvetica"/>
          <w:i/>
          <w:szCs w:val="23"/>
          <w:shd w:val="clear" w:color="auto" w:fill="FFFFFF"/>
        </w:rPr>
        <w:lastRenderedPageBreak/>
        <w:t>principios de universalidad, interdependencia, indivisibilidad y progresividad…”</w:t>
      </w:r>
      <w:r w:rsidRPr="00E24DFE">
        <w:rPr>
          <w:rStyle w:val="Refdenotaalpie"/>
          <w:rFonts w:ascii="Palatino Linotype" w:hAnsi="Palatino Linotype" w:cs="Helvetica"/>
          <w:i/>
          <w:szCs w:val="23"/>
          <w:shd w:val="clear" w:color="auto" w:fill="FFFFFF"/>
        </w:rPr>
        <w:footnoteReference w:id="1"/>
      </w:r>
      <w:r w:rsidRPr="00E24DFE">
        <w:rPr>
          <w:rFonts w:ascii="Palatino Linotype" w:hAnsi="Palatino Linotype" w:cs="Helvetica"/>
          <w:szCs w:val="23"/>
          <w:shd w:val="clear" w:color="auto" w:fill="FFFFFF"/>
        </w:rPr>
        <w:t>, por lo tanto, como el mismo ordenamiento refiere que “</w:t>
      </w:r>
      <w:r w:rsidRPr="00E24DFE">
        <w:rPr>
          <w:rFonts w:ascii="Palatino Linotype" w:hAnsi="Palatino Linotype"/>
          <w:i/>
          <w:szCs w:val="20"/>
        </w:rPr>
        <w:t>Toda persona tiene derecho al libre acceso a información plural y oportuna, así como a buscar, recibir y difundir información e ideas de toda índole por cualquier medio de expresión.”</w:t>
      </w:r>
      <w:r w:rsidRPr="00E24DFE">
        <w:rPr>
          <w:rStyle w:val="Refdenotaalpie"/>
          <w:rFonts w:ascii="Palatino Linotype" w:hAnsi="Palatino Linotype"/>
          <w:i/>
        </w:rPr>
        <w:footnoteReference w:id="2"/>
      </w:r>
      <w:r w:rsidRPr="00E24DFE">
        <w:rPr>
          <w:rFonts w:ascii="Palatino Linotype" w:hAnsi="Palatino Linotype"/>
          <w:i/>
          <w:szCs w:val="20"/>
        </w:rPr>
        <w:t xml:space="preserve">,  </w:t>
      </w:r>
      <w:r w:rsidRPr="00E24DFE">
        <w:rPr>
          <w:rFonts w:ascii="Palatino Linotype" w:hAnsi="Palatino Linotype"/>
          <w:sz w:val="24"/>
          <w:szCs w:val="20"/>
        </w:rPr>
        <w:t>se e</w:t>
      </w:r>
      <w:r w:rsidRPr="00E24DFE">
        <w:rPr>
          <w:rFonts w:ascii="Palatino Linotype" w:hAnsi="Palatino Linotype" w:cs="Helvetica"/>
          <w:sz w:val="24"/>
          <w:szCs w:val="23"/>
          <w:shd w:val="clear" w:color="auto" w:fill="FFFFFF"/>
        </w:rPr>
        <w:t xml:space="preserve">ntiende que el acceso a la información es un derecho, por lo tanto, todas las autoridades en el ámbito de su competencia se ven impuestas por la obligación de </w:t>
      </w:r>
      <w:r w:rsidRPr="00E24DFE">
        <w:rPr>
          <w:rFonts w:ascii="Palatino Linotype" w:hAnsi="Palatino Linotype" w:cs="Helvetica"/>
          <w:b/>
          <w:sz w:val="24"/>
          <w:szCs w:val="23"/>
          <w:shd w:val="clear" w:color="auto" w:fill="FFFFFF"/>
        </w:rPr>
        <w:t>promover, proteger, respetar y garantizar</w:t>
      </w:r>
      <w:r w:rsidRPr="00E24DFE">
        <w:rPr>
          <w:rFonts w:ascii="Palatino Linotype" w:hAnsi="Palatino Linotype" w:cs="Helvetica"/>
          <w:sz w:val="24"/>
          <w:szCs w:val="23"/>
          <w:shd w:val="clear" w:color="auto" w:fill="FFFFFF"/>
        </w:rPr>
        <w:t xml:space="preserve"> el libre acceso a la información.</w:t>
      </w:r>
    </w:p>
    <w:p w:rsidR="009124EA" w:rsidRPr="00E24DFE" w:rsidRDefault="009124EA" w:rsidP="009124EA">
      <w:pPr>
        <w:pStyle w:val="Prrafodelista"/>
        <w:spacing w:line="360" w:lineRule="auto"/>
        <w:ind w:left="0" w:right="49"/>
        <w:jc w:val="both"/>
        <w:rPr>
          <w:rFonts w:ascii="Palatino Linotype" w:hAnsi="Palatino Linotype" w:cs="Arial"/>
          <w:color w:val="000000"/>
          <w:sz w:val="24"/>
        </w:rPr>
      </w:pPr>
    </w:p>
    <w:p w:rsidR="009124EA" w:rsidRPr="00E24DFE" w:rsidRDefault="009124EA" w:rsidP="009124EA">
      <w:pPr>
        <w:pStyle w:val="Prrafodelista"/>
        <w:numPr>
          <w:ilvl w:val="0"/>
          <w:numId w:val="1"/>
        </w:numPr>
        <w:spacing w:line="360" w:lineRule="auto"/>
        <w:ind w:left="0" w:right="49" w:firstLine="0"/>
        <w:jc w:val="both"/>
        <w:rPr>
          <w:rFonts w:ascii="Palatino Linotype" w:hAnsi="Palatino Linotype" w:cs="Arial"/>
          <w:color w:val="000000"/>
          <w:sz w:val="24"/>
        </w:rPr>
      </w:pPr>
      <w:r w:rsidRPr="00E24DFE">
        <w:rPr>
          <w:rFonts w:ascii="Palatino Linotype" w:hAnsi="Palatino Linotype" w:cs="Helvetica"/>
          <w:sz w:val="24"/>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E24DFE">
        <w:rPr>
          <w:rFonts w:ascii="Palatino Linotype" w:hAnsi="Palatino Linotype" w:cs="Helvetica"/>
          <w:b/>
          <w:sz w:val="24"/>
          <w:szCs w:val="23"/>
          <w:shd w:val="clear" w:color="auto" w:fill="FFFFFF"/>
        </w:rPr>
        <w:t>no promovió, protegió, respetó ni garantizo el derecho constitucional y convencionalmente reconocido de acceso a la información</w:t>
      </w:r>
      <w:r w:rsidRPr="00E24DFE">
        <w:rPr>
          <w:rFonts w:ascii="Palatino Linotype" w:hAnsi="Palatino Linotype" w:cs="Helvetica"/>
          <w:sz w:val="24"/>
          <w:szCs w:val="23"/>
          <w:shd w:val="clear" w:color="auto" w:fill="FFFFFF"/>
        </w:rPr>
        <w:t xml:space="preserve">, toda vez que no brindó lo que le fue solicitado en el tiempo previamente establecido para tal efecto, provocando así que el particular deba de recurrir a </w:t>
      </w:r>
      <w:r w:rsidRPr="00E24DFE">
        <w:rPr>
          <w:rFonts w:ascii="Palatino Linotype" w:hAnsi="Palatino Linotype" w:cs="Helvetica"/>
          <w:i/>
          <w:szCs w:val="23"/>
          <w:shd w:val="clear" w:color="auto" w:fill="FFFFFF"/>
        </w:rPr>
        <w:t>“la garantía secundaria mediante la cual se pretender reparar cualquier posible afectación al derecho de acceso a la información pública…”</w:t>
      </w:r>
      <w:r w:rsidRPr="00E24DFE">
        <w:rPr>
          <w:rStyle w:val="Refdenotaalpie"/>
          <w:rFonts w:ascii="Palatino Linotype" w:hAnsi="Palatino Linotype" w:cs="Helvetica"/>
          <w:i/>
          <w:sz w:val="24"/>
          <w:szCs w:val="23"/>
          <w:shd w:val="clear" w:color="auto" w:fill="FFFFFF"/>
        </w:rPr>
        <w:footnoteReference w:id="3"/>
      </w:r>
      <w:r w:rsidRPr="00E24DFE">
        <w:rPr>
          <w:rFonts w:ascii="Palatino Linotype" w:hAnsi="Palatino Linotype" w:cs="Helvetica"/>
          <w:i/>
          <w:sz w:val="24"/>
          <w:szCs w:val="23"/>
          <w:shd w:val="clear" w:color="auto" w:fill="FFFFFF"/>
        </w:rPr>
        <w:t xml:space="preserve"> </w:t>
      </w:r>
      <w:r w:rsidRPr="00E24DFE">
        <w:rPr>
          <w:rFonts w:ascii="Palatino Linotype" w:hAnsi="Palatino Linotype" w:cs="Helvetica"/>
          <w:sz w:val="24"/>
          <w:szCs w:val="23"/>
          <w:shd w:val="clear" w:color="auto" w:fill="FFFFFF"/>
        </w:rPr>
        <w:t>siendo el recurso de revisión.</w:t>
      </w:r>
    </w:p>
    <w:p w:rsidR="009124EA" w:rsidRPr="00E24DFE" w:rsidRDefault="009124EA" w:rsidP="009124EA">
      <w:pPr>
        <w:pStyle w:val="Prrafodelista"/>
        <w:spacing w:line="360" w:lineRule="auto"/>
        <w:rPr>
          <w:rFonts w:ascii="Palatino Linotype" w:hAnsi="Palatino Linotype" w:cs="Arial"/>
          <w:color w:val="000000"/>
          <w:sz w:val="24"/>
        </w:rPr>
      </w:pPr>
    </w:p>
    <w:p w:rsidR="009124EA" w:rsidRPr="00E24DFE" w:rsidRDefault="009124EA" w:rsidP="009124EA">
      <w:pPr>
        <w:pStyle w:val="Prrafodelista"/>
        <w:numPr>
          <w:ilvl w:val="0"/>
          <w:numId w:val="1"/>
        </w:numPr>
        <w:spacing w:line="360" w:lineRule="auto"/>
        <w:ind w:left="0" w:right="49" w:firstLine="0"/>
        <w:jc w:val="both"/>
        <w:rPr>
          <w:rFonts w:ascii="Palatino Linotype" w:hAnsi="Palatino Linotype" w:cs="Arial"/>
          <w:color w:val="000000"/>
          <w:sz w:val="24"/>
        </w:rPr>
      </w:pPr>
      <w:r w:rsidRPr="00E24DFE">
        <w:rPr>
          <w:rFonts w:ascii="Palatino Linotype" w:hAnsi="Palatino Linotype" w:cs="Arial"/>
          <w:color w:val="000000"/>
          <w:sz w:val="24"/>
        </w:rPr>
        <w:lastRenderedPageBreak/>
        <w:t xml:space="preserve">Se reitera que la omisión a atender una solicitud de información representa una afectación continua al derecho de acceso a la información, y es importante señalar que este derecho se colma una vez que se hace entrega </w:t>
      </w:r>
      <w:r w:rsidRPr="00E24DFE">
        <w:rPr>
          <w:rFonts w:ascii="Palatino Linotype" w:hAnsi="Palatino Linotype" w:cs="Arial"/>
          <w:sz w:val="24"/>
        </w:rPr>
        <w:t xml:space="preserve">del </w:t>
      </w:r>
      <w:r w:rsidRPr="00E24DFE">
        <w:rPr>
          <w:rFonts w:ascii="Palatino Linotype" w:hAnsi="Palatino Linotype" w:cs="Arial"/>
          <w:b/>
          <w:sz w:val="24"/>
          <w:u w:val="single"/>
        </w:rPr>
        <w:t>soporte documental</w:t>
      </w:r>
      <w:r w:rsidRPr="00E24DFE">
        <w:rPr>
          <w:rFonts w:ascii="Palatino Linotype" w:hAnsi="Palatino Linotype" w:cs="Arial"/>
          <w:sz w:val="24"/>
        </w:rPr>
        <w:t xml:space="preserve"> que el </w:t>
      </w:r>
      <w:r w:rsidRPr="00E24DFE">
        <w:rPr>
          <w:rFonts w:ascii="Palatino Linotype" w:hAnsi="Palatino Linotype" w:cs="Arial"/>
          <w:b/>
          <w:sz w:val="24"/>
        </w:rPr>
        <w:t>Sujeto Obligado</w:t>
      </w:r>
      <w:r w:rsidRPr="00E24DFE">
        <w:rPr>
          <w:rFonts w:ascii="Palatino Linotype" w:hAnsi="Palatino Linotype" w:cs="Arial"/>
          <w:sz w:val="24"/>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9124EA" w:rsidRPr="00E24DFE" w:rsidRDefault="009124EA" w:rsidP="009124EA">
      <w:pPr>
        <w:pStyle w:val="Prrafodelista"/>
        <w:autoSpaceDE w:val="0"/>
        <w:autoSpaceDN w:val="0"/>
        <w:adjustRightInd w:val="0"/>
        <w:spacing w:line="360" w:lineRule="auto"/>
        <w:ind w:left="0"/>
        <w:jc w:val="both"/>
        <w:rPr>
          <w:rFonts w:ascii="Palatino Linotype" w:hAnsi="Palatino Linotype"/>
          <w:sz w:val="24"/>
        </w:rPr>
      </w:pPr>
    </w:p>
    <w:p w:rsidR="009124EA" w:rsidRPr="00E24DFE" w:rsidRDefault="009124EA" w:rsidP="009124EA">
      <w:pPr>
        <w:pStyle w:val="Prrafodelista"/>
        <w:numPr>
          <w:ilvl w:val="0"/>
          <w:numId w:val="1"/>
        </w:numPr>
        <w:autoSpaceDE w:val="0"/>
        <w:autoSpaceDN w:val="0"/>
        <w:adjustRightInd w:val="0"/>
        <w:spacing w:line="360" w:lineRule="auto"/>
        <w:ind w:left="0" w:firstLine="0"/>
        <w:jc w:val="both"/>
        <w:rPr>
          <w:rFonts w:ascii="Palatino Linotype" w:hAnsi="Palatino Linotype"/>
          <w:b/>
          <w:sz w:val="24"/>
        </w:rPr>
      </w:pPr>
      <w:r w:rsidRPr="00E24DFE">
        <w:rPr>
          <w:rFonts w:ascii="Palatino Linotype" w:hAnsi="Palatino Linotype"/>
          <w:sz w:val="24"/>
        </w:rPr>
        <w:t>Bajo ese tenor y de acuerdo con el artículo 166 primer párrafo de la</w:t>
      </w:r>
      <w:r w:rsidRPr="00E24DFE">
        <w:rPr>
          <w:sz w:val="24"/>
          <w:lang w:eastAsia="en-US"/>
        </w:rPr>
        <w:t xml:space="preserve"> </w:t>
      </w:r>
      <w:r w:rsidRPr="00E24DFE">
        <w:rPr>
          <w:rFonts w:ascii="Palatino Linotype" w:hAnsi="Palatino Linotype"/>
          <w:b/>
          <w:sz w:val="24"/>
        </w:rPr>
        <w:t xml:space="preserve">Ley de Transparencia y Acceso a la Información Pública del Estado de México y Municipios, </w:t>
      </w:r>
      <w:r w:rsidRPr="00E24DFE">
        <w:rPr>
          <w:rFonts w:ascii="Palatino Linotype" w:hAnsi="Palatino Linotype"/>
          <w:color w:val="000000" w:themeColor="text1"/>
          <w:sz w:val="24"/>
        </w:rPr>
        <w:t>la obligación de acceso a la información pública se tendrá por cumplida cuando el solicitante tenga a su disposición la información requerida, o cuando realice la consulta de la misma en el lugar en el que ésta se localice, tal como se cita:</w:t>
      </w:r>
    </w:p>
    <w:p w:rsidR="009124EA" w:rsidRPr="00E24DFE" w:rsidRDefault="009124EA" w:rsidP="009124EA">
      <w:pPr>
        <w:pStyle w:val="Prrafodelista"/>
        <w:autoSpaceDE w:val="0"/>
        <w:autoSpaceDN w:val="0"/>
        <w:adjustRightInd w:val="0"/>
        <w:spacing w:line="360" w:lineRule="auto"/>
        <w:ind w:left="0"/>
        <w:jc w:val="both"/>
        <w:rPr>
          <w:rFonts w:ascii="Palatino Linotype" w:hAnsi="Palatino Linotype"/>
          <w:b/>
          <w:sz w:val="24"/>
        </w:rPr>
      </w:pPr>
    </w:p>
    <w:p w:rsidR="009124EA" w:rsidRPr="00E24DFE" w:rsidRDefault="009124EA" w:rsidP="009124EA">
      <w:pPr>
        <w:pStyle w:val="Prrafodelista"/>
        <w:shd w:val="clear" w:color="auto" w:fill="FFFFFF"/>
        <w:spacing w:line="360" w:lineRule="auto"/>
        <w:ind w:left="567" w:right="616"/>
        <w:jc w:val="both"/>
        <w:rPr>
          <w:rFonts w:ascii="Palatino Linotype" w:hAnsi="Palatino Linotype"/>
          <w:i/>
          <w:color w:val="000000" w:themeColor="text1"/>
          <w:szCs w:val="22"/>
        </w:rPr>
      </w:pPr>
      <w:r w:rsidRPr="00E24DFE">
        <w:rPr>
          <w:rFonts w:ascii="Palatino Linotype" w:hAnsi="Palatino Linotype"/>
          <w:b/>
          <w:i/>
          <w:color w:val="000000" w:themeColor="text1"/>
          <w:szCs w:val="22"/>
        </w:rPr>
        <w:t>Artículo 166.</w:t>
      </w:r>
      <w:r w:rsidRPr="00E24DFE">
        <w:rPr>
          <w:rFonts w:ascii="Palatino Linotype" w:hAnsi="Palatino Linotype"/>
          <w:i/>
          <w:color w:val="000000" w:themeColor="text1"/>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rsidR="009124EA" w:rsidRPr="00E24DFE" w:rsidRDefault="009124EA" w:rsidP="009124EA">
      <w:pPr>
        <w:pStyle w:val="Prrafodelista"/>
        <w:shd w:val="clear" w:color="auto" w:fill="FFFFFF"/>
        <w:spacing w:line="360" w:lineRule="auto"/>
        <w:ind w:left="567" w:right="616"/>
        <w:jc w:val="both"/>
        <w:rPr>
          <w:rFonts w:ascii="Palatino Linotype" w:hAnsi="Palatino Linotype"/>
          <w:i/>
          <w:color w:val="000000" w:themeColor="text1"/>
          <w:szCs w:val="22"/>
        </w:rPr>
      </w:pPr>
      <w:r w:rsidRPr="00E24DFE">
        <w:rPr>
          <w:rFonts w:ascii="Palatino Linotype" w:hAnsi="Palatino Linotype"/>
          <w:b/>
          <w:i/>
          <w:color w:val="000000" w:themeColor="text1"/>
          <w:szCs w:val="22"/>
        </w:rPr>
        <w:t>…</w:t>
      </w:r>
    </w:p>
    <w:p w:rsidR="009124EA" w:rsidRPr="00E24DFE" w:rsidRDefault="009124EA" w:rsidP="009124EA">
      <w:pPr>
        <w:pStyle w:val="Prrafodelista"/>
        <w:autoSpaceDE w:val="0"/>
        <w:autoSpaceDN w:val="0"/>
        <w:adjustRightInd w:val="0"/>
        <w:spacing w:line="360" w:lineRule="auto"/>
        <w:ind w:left="0"/>
        <w:jc w:val="both"/>
        <w:rPr>
          <w:rFonts w:ascii="Palatino Linotype" w:hAnsi="Palatino Linotype"/>
        </w:rPr>
      </w:pPr>
    </w:p>
    <w:p w:rsidR="009124EA" w:rsidRPr="00E24DFE" w:rsidRDefault="009124EA" w:rsidP="009124EA">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E24DFE">
        <w:rPr>
          <w:rFonts w:ascii="Palatino Linotype" w:hAnsi="Palatino Linotype" w:cs="Arial"/>
          <w:color w:val="000000" w:themeColor="text1"/>
          <w:sz w:val="24"/>
          <w:lang w:eastAsia="es-MX"/>
        </w:rPr>
        <w:lastRenderedPageBreak/>
        <w:t xml:space="preserve">Además, el derecho a la información es la </w:t>
      </w:r>
      <w:r w:rsidRPr="00E24DFE">
        <w:rPr>
          <w:rFonts w:ascii="Palatino Linotype" w:eastAsia="MS Mincho" w:hAnsi="Palatino Linotype"/>
          <w:i/>
          <w:sz w:val="24"/>
        </w:rPr>
        <w:t>igualdad de oportunidades para recibir, buscar e impartir información</w:t>
      </w:r>
      <w:r w:rsidRPr="00E24DFE">
        <w:rPr>
          <w:rStyle w:val="Refdenotaalpie"/>
          <w:rFonts w:ascii="Palatino Linotype" w:eastAsia="MS Mincho" w:hAnsi="Palatino Linotype"/>
          <w:i/>
          <w:sz w:val="24"/>
        </w:rPr>
        <w:footnoteReference w:id="4"/>
      </w:r>
      <w:r w:rsidRPr="00E24DFE">
        <w:rPr>
          <w:rFonts w:ascii="Palatino Linotype" w:eastAsia="MS Mincho" w:hAnsi="Palatino Linotype"/>
          <w:i/>
          <w:sz w:val="24"/>
        </w:rPr>
        <w:t xml:space="preserve"> </w:t>
      </w:r>
      <w:r w:rsidRPr="00E24DFE">
        <w:rPr>
          <w:rFonts w:ascii="Palatino Linotype" w:eastAsia="MS Mincho" w:hAnsi="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24DFE">
        <w:rPr>
          <w:rStyle w:val="Refdenotaalpie"/>
          <w:rFonts w:ascii="Palatino Linotype" w:eastAsia="MS Mincho" w:hAnsi="Palatino Linotype"/>
        </w:rPr>
        <w:footnoteReference w:id="5"/>
      </w:r>
      <w:r w:rsidRPr="00E24DFE">
        <w:rPr>
          <w:rFonts w:ascii="Palatino Linotype" w:eastAsia="MS Mincho" w:hAnsi="Palatino Linotype"/>
          <w:i/>
        </w:rPr>
        <w:t xml:space="preserve"> </w:t>
      </w:r>
      <w:r w:rsidRPr="00E24DFE">
        <w:rPr>
          <w:rFonts w:ascii="Palatino Linotype" w:eastAsia="MS Mincho" w:hAnsi="Palatino Linotype"/>
          <w:sz w:val="24"/>
        </w:rPr>
        <w:t xml:space="preserve">que se constituye como una herramienta fundamental para </w:t>
      </w:r>
      <w:r w:rsidRPr="00E24DFE">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E24DFE">
        <w:rPr>
          <w:rStyle w:val="Refdenotaalpie"/>
          <w:rFonts w:ascii="Palatino Linotype" w:eastAsia="MS Mincho" w:hAnsi="Palatino Linotype"/>
          <w:i/>
          <w:sz w:val="24"/>
        </w:rPr>
        <w:footnoteReference w:id="6"/>
      </w:r>
      <w:r w:rsidRPr="00E24DFE">
        <w:rPr>
          <w:rFonts w:ascii="Palatino Linotype" w:eastAsia="MS Mincho" w:hAnsi="Palatino Linotype"/>
          <w:sz w:val="24"/>
        </w:rPr>
        <w:t>fomentando</w:t>
      </w:r>
      <w:r w:rsidRPr="00E24DFE">
        <w:rPr>
          <w:rFonts w:ascii="Palatino Linotype" w:eastAsia="MS Mincho" w:hAnsi="Palatino Linotype"/>
          <w:i/>
          <w:sz w:val="24"/>
        </w:rPr>
        <w:t xml:space="preserve"> </w:t>
      </w:r>
      <w:r w:rsidRPr="00E24DFE">
        <w:rPr>
          <w:rFonts w:ascii="Palatino Linotype" w:eastAsia="MS Mincho" w:hAnsi="Palatino Linotype"/>
          <w:i/>
        </w:rPr>
        <w:t>la transparencia de las actividades estatales y</w:t>
      </w:r>
      <w:r w:rsidRPr="00E24DFE">
        <w:rPr>
          <w:rFonts w:ascii="Palatino Linotype" w:eastAsia="MS Mincho" w:hAnsi="Palatino Linotype"/>
        </w:rPr>
        <w:t xml:space="preserve"> promoviendo</w:t>
      </w:r>
      <w:r w:rsidRPr="00E24DFE">
        <w:rPr>
          <w:rFonts w:ascii="Palatino Linotype" w:eastAsia="MS Mincho" w:hAnsi="Palatino Linotype"/>
          <w:i/>
        </w:rPr>
        <w:t xml:space="preserve"> la responsabilidad de los funcionarios sobre su gestión pública</w:t>
      </w:r>
      <w:r w:rsidRPr="00E24DFE">
        <w:rPr>
          <w:rStyle w:val="Refdenotaalpie"/>
          <w:rFonts w:ascii="Palatino Linotype" w:eastAsia="MS Mincho" w:hAnsi="Palatino Linotype"/>
          <w:i/>
          <w:sz w:val="24"/>
        </w:rPr>
        <w:footnoteReference w:id="7"/>
      </w:r>
      <w:r w:rsidRPr="00E24DFE">
        <w:rPr>
          <w:rFonts w:ascii="Palatino Linotype" w:eastAsia="MS Mincho" w:hAnsi="Palatino Linotype"/>
          <w:i/>
          <w:sz w:val="24"/>
        </w:rPr>
        <w:t xml:space="preserve"> </w:t>
      </w:r>
      <w:r w:rsidRPr="00E24DFE">
        <w:rPr>
          <w:rFonts w:ascii="Palatino Linotype" w:eastAsia="MS Mincho" w:hAnsi="Palatino Linotype"/>
          <w:sz w:val="24"/>
        </w:rPr>
        <w:t>que permite</w:t>
      </w:r>
      <w:r w:rsidRPr="00E24DFE">
        <w:rPr>
          <w:rFonts w:ascii="Palatino Linotype" w:eastAsia="MS Mincho" w:hAnsi="Palatino Linotype"/>
          <w:i/>
          <w:sz w:val="24"/>
        </w:rPr>
        <w:t xml:space="preserve"> </w:t>
      </w:r>
      <w:r w:rsidRPr="00E24DFE">
        <w:rPr>
          <w:rFonts w:ascii="Palatino Linotype" w:eastAsia="MS Mincho" w:hAnsi="Palatino Linotype"/>
          <w:i/>
        </w:rPr>
        <w:t>saber qué están haciendo los gobiernos por sus pueblos, sin lo cual la verdad languidecería y la participación en el gobierno permanecería fragmentada.</w:t>
      </w:r>
      <w:r w:rsidRPr="00E24DFE">
        <w:rPr>
          <w:rStyle w:val="Refdenotaalpie"/>
          <w:rFonts w:ascii="Palatino Linotype" w:eastAsia="MS Mincho" w:hAnsi="Palatino Linotype"/>
          <w:i/>
        </w:rPr>
        <w:footnoteReference w:id="8"/>
      </w:r>
      <w:r w:rsidRPr="00E24DFE">
        <w:rPr>
          <w:rFonts w:ascii="Palatino Linotype" w:eastAsia="MS Mincho" w:hAnsi="Palatino Linotype"/>
        </w:rPr>
        <w:t xml:space="preserve"> ”.</w:t>
      </w:r>
    </w:p>
    <w:p w:rsidR="0039502A" w:rsidRPr="00E24DFE" w:rsidRDefault="0039502A" w:rsidP="0039502A">
      <w:pPr>
        <w:pStyle w:val="Prrafodelista"/>
        <w:autoSpaceDE w:val="0"/>
        <w:autoSpaceDN w:val="0"/>
        <w:adjustRightInd w:val="0"/>
        <w:spacing w:line="360" w:lineRule="auto"/>
        <w:ind w:left="0"/>
        <w:jc w:val="both"/>
        <w:rPr>
          <w:rFonts w:ascii="Palatino Linotype" w:hAnsi="Palatino Linotype"/>
        </w:rPr>
      </w:pPr>
    </w:p>
    <w:p w:rsidR="009124EA" w:rsidRPr="00E24DFE" w:rsidRDefault="009124EA" w:rsidP="009124EA">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E24DFE">
        <w:rPr>
          <w:rFonts w:ascii="Palatino Linotype" w:hAnsi="Palatino Linotype" w:cs="Arial"/>
          <w:sz w:val="24"/>
        </w:rPr>
        <w:t xml:space="preserve">Ahora bien para entender los alcances de la información pública se considera importante citar el criterio </w:t>
      </w:r>
      <w:r w:rsidRPr="00E24DFE">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E24DFE">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E24DFE">
        <w:rPr>
          <w:rFonts w:ascii="Palatino Linotype" w:hAnsi="Palatino Linotype" w:cs="Arial"/>
          <w:sz w:val="24"/>
        </w:rPr>
        <w:t>cuyo rubro y texto dispone:</w:t>
      </w:r>
    </w:p>
    <w:p w:rsidR="009124EA" w:rsidRPr="00E24DFE" w:rsidRDefault="009124EA" w:rsidP="009124EA">
      <w:pPr>
        <w:pStyle w:val="Prrafodelista"/>
        <w:autoSpaceDE w:val="0"/>
        <w:autoSpaceDN w:val="0"/>
        <w:adjustRightInd w:val="0"/>
        <w:spacing w:line="360" w:lineRule="auto"/>
        <w:ind w:left="0"/>
        <w:jc w:val="both"/>
        <w:rPr>
          <w:rFonts w:ascii="Palatino Linotype" w:hAnsi="Palatino Linotype" w:cs="Arial"/>
          <w:sz w:val="24"/>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b/>
          <w:i/>
          <w:sz w:val="22"/>
          <w:szCs w:val="22"/>
          <w:lang w:eastAsia="es-MX"/>
        </w:rPr>
      </w:pPr>
      <w:r w:rsidRPr="00E24DFE">
        <w:rPr>
          <w:rFonts w:ascii="Palatino Linotype" w:hAnsi="Palatino Linotype" w:cs="Arial"/>
          <w:b/>
          <w:i/>
          <w:sz w:val="22"/>
          <w:szCs w:val="22"/>
          <w:lang w:eastAsia="es-MX"/>
        </w:rPr>
        <w:t>“CRITERIO 0002-11</w:t>
      </w: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i/>
          <w:sz w:val="22"/>
          <w:szCs w:val="22"/>
          <w:lang w:eastAsia="es-MX"/>
        </w:rPr>
      </w:pPr>
      <w:r w:rsidRPr="00E24DFE">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E24DFE">
        <w:rPr>
          <w:rFonts w:ascii="Palatino Linotype" w:hAnsi="Palatino Linotype" w:cs="Arial"/>
          <w:b/>
          <w:bCs/>
          <w:i/>
          <w:sz w:val="22"/>
          <w:szCs w:val="22"/>
          <w:lang w:eastAsia="es-MX"/>
        </w:rPr>
        <w:t xml:space="preserve">V, XV, Y XVI, </w:t>
      </w:r>
      <w:r w:rsidRPr="00E24DFE">
        <w:rPr>
          <w:rFonts w:ascii="Palatino Linotype" w:hAnsi="Palatino Linotype" w:cs="Arial"/>
          <w:b/>
          <w:i/>
          <w:sz w:val="22"/>
          <w:szCs w:val="22"/>
          <w:lang w:eastAsia="es-MX"/>
        </w:rPr>
        <w:t>3, 4,11 Y 41.</w:t>
      </w:r>
      <w:r w:rsidRPr="00E24DF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i/>
          <w:sz w:val="22"/>
          <w:szCs w:val="22"/>
          <w:lang w:eastAsia="es-MX"/>
        </w:rPr>
      </w:pPr>
      <w:r w:rsidRPr="00E24DFE">
        <w:rPr>
          <w:rFonts w:ascii="Palatino Linotype" w:hAnsi="Palatino Linotype" w:cs="Arial"/>
          <w:i/>
          <w:sz w:val="22"/>
          <w:szCs w:val="22"/>
          <w:lang w:eastAsia="es-MX"/>
        </w:rPr>
        <w:t>En consecuencia el acceso a la información se refiere a que se cumplan cualquiera de los siguientes tres supuestos:</w:t>
      </w: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i/>
          <w:sz w:val="22"/>
          <w:szCs w:val="22"/>
          <w:lang w:eastAsia="es-MX"/>
        </w:rPr>
      </w:pPr>
      <w:r w:rsidRPr="00E24DFE">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i/>
          <w:sz w:val="22"/>
          <w:szCs w:val="22"/>
          <w:lang w:eastAsia="es-MX"/>
        </w:rPr>
      </w:pPr>
      <w:r w:rsidRPr="00E24DFE">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rsidR="009124EA" w:rsidRPr="00E24DFE" w:rsidRDefault="009124EA" w:rsidP="009124EA">
      <w:pPr>
        <w:spacing w:line="360" w:lineRule="auto"/>
        <w:ind w:left="567" w:right="567"/>
        <w:jc w:val="both"/>
        <w:rPr>
          <w:rFonts w:ascii="Palatino Linotype" w:hAnsi="Palatino Linotype" w:cs="Arial"/>
          <w:i/>
          <w:sz w:val="22"/>
          <w:szCs w:val="22"/>
          <w:lang w:eastAsia="es-MX"/>
        </w:rPr>
      </w:pPr>
      <w:r w:rsidRPr="00E24DFE">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rsidR="009124EA" w:rsidRPr="00E24DFE" w:rsidRDefault="009124EA" w:rsidP="009124EA">
      <w:pPr>
        <w:spacing w:line="360" w:lineRule="auto"/>
        <w:ind w:left="567" w:right="567"/>
        <w:jc w:val="both"/>
        <w:rPr>
          <w:rFonts w:ascii="Palatino Linotype" w:hAnsi="Palatino Linotype" w:cs="Arial"/>
          <w:i/>
          <w:color w:val="000000" w:themeColor="text1"/>
          <w:sz w:val="22"/>
          <w:szCs w:val="22"/>
        </w:rPr>
      </w:pPr>
    </w:p>
    <w:p w:rsidR="009124EA" w:rsidRPr="00E24DFE" w:rsidRDefault="009124EA" w:rsidP="009124EA">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E24DFE">
        <w:rPr>
          <w:rFonts w:ascii="Palatino Linotype" w:hAnsi="Palatino Linotype"/>
          <w:color w:val="000000" w:themeColor="text1"/>
          <w:sz w:val="24"/>
        </w:rPr>
        <w:lastRenderedPageBreak/>
        <w:t>En esa virtud, el</w:t>
      </w:r>
      <w:r w:rsidRPr="00E24DFE">
        <w:rPr>
          <w:rStyle w:val="apple-converted-space"/>
          <w:rFonts w:ascii="Palatino Linotype" w:hAnsi="Palatino Linotype"/>
          <w:color w:val="000000" w:themeColor="text1"/>
          <w:sz w:val="24"/>
        </w:rPr>
        <w:t xml:space="preserve"> </w:t>
      </w:r>
      <w:r w:rsidRPr="00E24DFE">
        <w:rPr>
          <w:rFonts w:ascii="Palatino Linotype" w:hAnsi="Palatino Linotype"/>
          <w:b/>
          <w:bCs/>
          <w:color w:val="000000" w:themeColor="text1"/>
          <w:sz w:val="24"/>
        </w:rPr>
        <w:t>Sujeto Obligado</w:t>
      </w:r>
      <w:r w:rsidRPr="00E24DFE">
        <w:rPr>
          <w:rStyle w:val="apple-converted-space"/>
          <w:rFonts w:ascii="Palatino Linotype" w:hAnsi="Palatino Linotype"/>
          <w:color w:val="000000" w:themeColor="text1"/>
          <w:sz w:val="24"/>
        </w:rPr>
        <w:t xml:space="preserve"> </w:t>
      </w:r>
      <w:r w:rsidRPr="00E24DFE">
        <w:rPr>
          <w:rFonts w:ascii="Palatino Linotype" w:hAnsi="Palatino Linotype"/>
          <w:color w:val="000000" w:themeColor="text1"/>
          <w:sz w:val="24"/>
        </w:rPr>
        <w:t>está constreñido a entregar los documentos en los que conste la información que sea generada, poseída o administrada en el ejercicio de sus atribuciones a toda persona que lo solicite.</w:t>
      </w:r>
    </w:p>
    <w:p w:rsidR="009124EA" w:rsidRPr="00E24DFE" w:rsidRDefault="009124EA" w:rsidP="009124EA">
      <w:pPr>
        <w:pStyle w:val="Prrafodelista"/>
        <w:spacing w:line="360" w:lineRule="auto"/>
        <w:ind w:left="0"/>
        <w:jc w:val="both"/>
        <w:rPr>
          <w:rFonts w:ascii="Palatino Linotype" w:hAnsi="Palatino Linotype" w:cs="Arial"/>
          <w:i/>
          <w:color w:val="000000" w:themeColor="text1"/>
          <w:sz w:val="24"/>
        </w:rPr>
      </w:pPr>
    </w:p>
    <w:p w:rsidR="009124EA" w:rsidRPr="00E24DFE" w:rsidRDefault="009124EA" w:rsidP="009124EA">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E24DFE">
        <w:rPr>
          <w:rFonts w:ascii="Palatino Linotype" w:hAnsi="Palatino Linotype"/>
          <w:color w:val="000000" w:themeColor="text1"/>
          <w:sz w:val="24"/>
        </w:rPr>
        <w:t xml:space="preserve">Robustece lo anterior expuesto el primer párrafo del artículo 160 de la </w:t>
      </w:r>
      <w:r w:rsidRPr="00E24DFE">
        <w:rPr>
          <w:rFonts w:ascii="Palatino Linotype" w:hAnsi="Palatino Linotype"/>
          <w:b/>
          <w:sz w:val="24"/>
        </w:rPr>
        <w:t xml:space="preserve">Ley de Transparencia y Acceso a la Información Pública del Estado de México y Municipios, </w:t>
      </w:r>
      <w:r w:rsidRPr="00E24DFE">
        <w:rPr>
          <w:rFonts w:ascii="Palatino Linotype" w:hAnsi="Palatino Linotype" w:cs="Tahoma"/>
          <w:sz w:val="24"/>
        </w:rPr>
        <w:t>que a la letra dispone:</w:t>
      </w:r>
    </w:p>
    <w:p w:rsidR="009124EA" w:rsidRPr="00E24DFE" w:rsidRDefault="009124EA" w:rsidP="009124EA">
      <w:pPr>
        <w:pStyle w:val="Prrafodelista"/>
        <w:spacing w:line="360" w:lineRule="auto"/>
        <w:ind w:left="0"/>
        <w:jc w:val="both"/>
        <w:rPr>
          <w:rFonts w:ascii="Palatino Linotype" w:hAnsi="Palatino Linotype" w:cs="Arial"/>
          <w:color w:val="000000" w:themeColor="text1"/>
          <w:sz w:val="24"/>
        </w:rPr>
      </w:pPr>
    </w:p>
    <w:p w:rsidR="009124EA" w:rsidRPr="00E24DFE" w:rsidRDefault="009124EA" w:rsidP="009124EA">
      <w:pPr>
        <w:pStyle w:val="Prrafodelista"/>
        <w:spacing w:line="360" w:lineRule="auto"/>
        <w:ind w:left="567" w:right="567"/>
        <w:jc w:val="both"/>
        <w:rPr>
          <w:rFonts w:ascii="Palatino Linotype" w:hAnsi="Palatino Linotype" w:cs="Arial"/>
          <w:i/>
          <w:szCs w:val="22"/>
        </w:rPr>
      </w:pPr>
      <w:r w:rsidRPr="00E24DFE">
        <w:rPr>
          <w:rFonts w:ascii="Palatino Linotype" w:hAnsi="Palatino Linotype"/>
          <w:b/>
          <w:i/>
          <w:szCs w:val="22"/>
        </w:rPr>
        <w:t>Artículo 160.</w:t>
      </w:r>
      <w:r w:rsidRPr="00E24DFE">
        <w:rPr>
          <w:rFonts w:ascii="Palatino Linotype" w:hAnsi="Palatino Linotype"/>
          <w:i/>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124EA" w:rsidRPr="00E24DFE" w:rsidRDefault="009124EA" w:rsidP="009124EA">
      <w:pPr>
        <w:pStyle w:val="Prrafodelista"/>
        <w:spacing w:line="360" w:lineRule="auto"/>
        <w:ind w:left="0"/>
        <w:jc w:val="both"/>
        <w:rPr>
          <w:rFonts w:ascii="Palatino Linotype" w:hAnsi="Palatino Linotype" w:cs="Arial"/>
          <w:color w:val="000000" w:themeColor="text1"/>
          <w:sz w:val="24"/>
        </w:rPr>
      </w:pPr>
    </w:p>
    <w:p w:rsidR="009124EA" w:rsidRPr="00E24DFE" w:rsidRDefault="009124EA" w:rsidP="009124EA">
      <w:pPr>
        <w:pStyle w:val="Prrafodelista"/>
        <w:numPr>
          <w:ilvl w:val="0"/>
          <w:numId w:val="1"/>
        </w:numPr>
        <w:spacing w:line="360" w:lineRule="auto"/>
        <w:ind w:left="0" w:firstLine="0"/>
        <w:jc w:val="both"/>
        <w:rPr>
          <w:rFonts w:ascii="Palatino Linotype" w:hAnsi="Palatino Linotype" w:cs="Arial"/>
          <w:bCs/>
          <w:color w:val="000000" w:themeColor="text1"/>
          <w:sz w:val="24"/>
          <w:lang w:val="es-ES"/>
        </w:rPr>
      </w:pPr>
      <w:r w:rsidRPr="00E24DFE">
        <w:rPr>
          <w:rFonts w:ascii="Palatino Linotype" w:hAnsi="Palatino Linotype" w:cs="Arial"/>
          <w:bCs/>
          <w:color w:val="000000" w:themeColor="text1"/>
          <w:sz w:val="24"/>
          <w:lang w:val="es-ES"/>
        </w:rPr>
        <w:t xml:space="preserve">Por ello, el </w:t>
      </w:r>
      <w:r w:rsidRPr="00E24DFE">
        <w:rPr>
          <w:rFonts w:ascii="Palatino Linotype" w:hAnsi="Palatino Linotype" w:cs="Arial"/>
          <w:b/>
          <w:bCs/>
          <w:color w:val="000000" w:themeColor="text1"/>
          <w:sz w:val="24"/>
          <w:lang w:val="es-ES"/>
        </w:rPr>
        <w:t>Sujeto Obligado</w:t>
      </w:r>
      <w:r w:rsidRPr="00E24DFE">
        <w:rPr>
          <w:rFonts w:ascii="Palatino Linotype" w:hAnsi="Palatino Linotype" w:cs="Arial"/>
          <w:bCs/>
          <w:color w:val="000000" w:themeColor="text1"/>
          <w:sz w:val="24"/>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39502A" w:rsidRPr="00E24DFE" w:rsidRDefault="0039502A" w:rsidP="0039502A">
      <w:pPr>
        <w:pStyle w:val="Prrafodelista"/>
        <w:spacing w:line="360" w:lineRule="auto"/>
        <w:ind w:left="0"/>
        <w:jc w:val="both"/>
        <w:rPr>
          <w:rFonts w:ascii="Palatino Linotype" w:hAnsi="Palatino Linotype" w:cs="Arial"/>
          <w:bCs/>
          <w:color w:val="000000" w:themeColor="text1"/>
          <w:sz w:val="24"/>
          <w:lang w:val="es-ES"/>
        </w:rPr>
      </w:pPr>
    </w:p>
    <w:p w:rsidR="00091C94" w:rsidRPr="00E24DFE" w:rsidRDefault="009124EA" w:rsidP="00091C94">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Debemos reco</w:t>
      </w:r>
      <w:r w:rsidR="00091C94" w:rsidRPr="00E24DFE">
        <w:rPr>
          <w:rFonts w:ascii="Palatino Linotype" w:hAnsi="Palatino Linotype" w:cs="Arial"/>
          <w:sz w:val="24"/>
        </w:rPr>
        <w:t xml:space="preserve">rdar que el particular requirió </w:t>
      </w:r>
      <w:r w:rsidR="00091C94" w:rsidRPr="00E24DFE">
        <w:rPr>
          <w:rFonts w:ascii="Palatino Linotype" w:hAnsi="Palatino Linotype"/>
          <w:bCs/>
          <w:sz w:val="24"/>
        </w:rPr>
        <w:t xml:space="preserve">del personal del  Ayuntamiento de Atizapán, la nómina ordinaria y extraordinaria, la modalidad bajo la cual se </w:t>
      </w:r>
      <w:r w:rsidR="00091C94" w:rsidRPr="00E24DFE">
        <w:rPr>
          <w:rFonts w:ascii="Palatino Linotype" w:hAnsi="Palatino Linotype"/>
          <w:bCs/>
          <w:sz w:val="24"/>
        </w:rPr>
        <w:lastRenderedPageBreak/>
        <w:t xml:space="preserve">encuentre laborando el personal (contrato, tiempo determinado, obra determinada), la periodicidad del pago (semanal, decenal, catorcenal, quincenal) y las listas de raya en la que incluya el nombre, cargo, puesto y sueldo.  </w:t>
      </w:r>
    </w:p>
    <w:p w:rsidR="00091C94" w:rsidRPr="00E24DFE" w:rsidRDefault="00091C94" w:rsidP="00091C94">
      <w:pPr>
        <w:pStyle w:val="Prrafodelista"/>
        <w:spacing w:line="360" w:lineRule="auto"/>
        <w:ind w:left="0"/>
        <w:jc w:val="both"/>
        <w:rPr>
          <w:rFonts w:ascii="Palatino Linotype" w:hAnsi="Palatino Linotype" w:cs="Arial"/>
          <w:sz w:val="24"/>
        </w:rPr>
      </w:pPr>
    </w:p>
    <w:p w:rsidR="00091C94" w:rsidRPr="00E24DFE" w:rsidRDefault="00091C94" w:rsidP="009124EA">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 xml:space="preserve">Puntualizado lo anterior, debemos señalar que el particular no refirió temporalidad de la información solicitada, en ese sentido, es criterio de este instituto que tratándose de nómina, se deberá hacer entrega de la información de un mes anterior de la fecha de la solicitud, es decir que, en este caso, se deberá hacer entrega de la información referente  a la segunda quincena de enero y la primera quincena de febrero de dos mil veintidós (del quince de enero al quince de febrero de dos mil veintidós). </w:t>
      </w:r>
    </w:p>
    <w:p w:rsidR="00970A48" w:rsidRPr="00E24DFE" w:rsidRDefault="00970A48" w:rsidP="00970A48">
      <w:pPr>
        <w:pStyle w:val="Prrafodelista"/>
        <w:spacing w:line="360" w:lineRule="auto"/>
        <w:ind w:left="0"/>
        <w:jc w:val="both"/>
        <w:rPr>
          <w:rFonts w:ascii="Palatino Linotype" w:hAnsi="Palatino Linotype" w:cs="Arial"/>
          <w:sz w:val="24"/>
        </w:rPr>
      </w:pPr>
    </w:p>
    <w:p w:rsidR="00970A48" w:rsidRPr="00E24DFE" w:rsidRDefault="00970A48" w:rsidP="00970A48">
      <w:pPr>
        <w:numPr>
          <w:ilvl w:val="0"/>
          <w:numId w:val="1"/>
        </w:numPr>
        <w:spacing w:line="360" w:lineRule="auto"/>
        <w:ind w:left="0" w:right="49" w:firstLine="0"/>
        <w:contextualSpacing/>
        <w:jc w:val="both"/>
        <w:rPr>
          <w:rFonts w:ascii="Palatino Linotype" w:eastAsiaTheme="minorEastAsia" w:hAnsi="Palatino Linotype"/>
          <w:sz w:val="24"/>
        </w:rPr>
      </w:pPr>
      <w:r w:rsidRPr="00E24DFE">
        <w:rPr>
          <w:rFonts w:ascii="Palatino Linotype" w:hAnsi="Palatino Linotype" w:cs="Arial"/>
          <w:sz w:val="24"/>
        </w:rPr>
        <w:t xml:space="preserve">Ahora bien, </w:t>
      </w:r>
      <w:r w:rsidRPr="00E24DFE">
        <w:rPr>
          <w:rFonts w:ascii="Palatino Linotype" w:hAnsi="Palatino Linotype" w:cs="Arial"/>
          <w:sz w:val="24"/>
          <w:lang w:val="es-ES"/>
        </w:rPr>
        <w:t xml:space="preserve">en la normatividad de la materia de Transparencia, no se cuenta con una definición de la palabra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24DFE">
        <w:rPr>
          <w:rFonts w:ascii="Palatino Linotype" w:hAnsi="Palatino Linotype" w:cs="Arial"/>
          <w:sz w:val="24"/>
          <w:lang w:val="es-ES"/>
        </w:rPr>
        <w:t>Presupuestación</w:t>
      </w:r>
      <w:proofErr w:type="spellEnd"/>
      <w:r w:rsidRPr="00E24DFE">
        <w:rPr>
          <w:rFonts w:ascii="Palatino Linotype" w:hAnsi="Palatino Linotype" w:cs="Arial"/>
          <w:sz w:val="24"/>
          <w:lang w:val="es-ES"/>
        </w:rPr>
        <w:t xml:space="preserve"> y Evaluación en la Administración Pública”, elaborado por el Grupo de Trabajo de Sistemas de Información Financiera, Contable y Presupuestal de la Comisión Permanente de Funcionarios Fiscales del Instituto para el Desarrollo </w:t>
      </w:r>
      <w:r w:rsidRPr="00E24DFE">
        <w:rPr>
          <w:rFonts w:ascii="Palatino Linotype" w:hAnsi="Palatino Linotype" w:cs="Arial"/>
          <w:sz w:val="24"/>
          <w:lang w:val="es-ES"/>
        </w:rPr>
        <w:lastRenderedPageBreak/>
        <w:t>Técnico de las Haciendas Públicas (INDETEC) señalan la siguiente definición de la palabra nómina:</w:t>
      </w:r>
    </w:p>
    <w:p w:rsidR="00970A48" w:rsidRPr="00E24DFE" w:rsidRDefault="00970A48" w:rsidP="00970A48">
      <w:pPr>
        <w:spacing w:line="360" w:lineRule="auto"/>
        <w:ind w:right="49"/>
        <w:contextualSpacing/>
        <w:jc w:val="both"/>
        <w:rPr>
          <w:rFonts w:ascii="Palatino Linotype" w:eastAsiaTheme="minorEastAsia" w:hAnsi="Palatino Linotype"/>
        </w:rPr>
      </w:pPr>
    </w:p>
    <w:p w:rsidR="00970A48" w:rsidRPr="00E24DFE" w:rsidRDefault="00970A48" w:rsidP="00970A48">
      <w:pPr>
        <w:pStyle w:val="Prrafodelista"/>
        <w:spacing w:line="360" w:lineRule="auto"/>
        <w:ind w:left="644" w:right="899"/>
        <w:jc w:val="both"/>
        <w:rPr>
          <w:rFonts w:ascii="Palatino Linotype" w:hAnsi="Palatino Linotype" w:cs="Arial"/>
          <w:i/>
          <w:lang w:val="es-ES" w:eastAsia="es-MX"/>
        </w:rPr>
      </w:pPr>
      <w:r w:rsidRPr="00E24DFE">
        <w:rPr>
          <w:rFonts w:ascii="Palatino Linotype" w:hAnsi="Palatino Linotype" w:cs="Arial"/>
          <w:b/>
          <w:bCs/>
          <w:i/>
          <w:lang w:val="es-ES"/>
        </w:rPr>
        <w:t xml:space="preserve">“NÓMINA </w:t>
      </w:r>
      <w:r w:rsidRPr="00E24DFE">
        <w:rPr>
          <w:rFonts w:ascii="Palatino Linotype" w:hAnsi="Palatino Linotype" w:cs="Arial"/>
          <w:i/>
          <w:lang w:val="es-ES"/>
        </w:rPr>
        <w:t>Listado general de los trabajadores de una institución, en</w:t>
      </w:r>
      <w:r w:rsidRPr="00E24DFE">
        <w:rPr>
          <w:rFonts w:ascii="Palatino Linotype" w:hAnsi="Palatino Linotype" w:cs="Arial"/>
          <w:b/>
          <w:bCs/>
          <w:i/>
          <w:lang w:val="es-ES"/>
        </w:rPr>
        <w:t xml:space="preserve"> </w:t>
      </w:r>
      <w:r w:rsidRPr="00E24DFE">
        <w:rPr>
          <w:rFonts w:ascii="Palatino Linotype" w:hAnsi="Palatino Linotype" w:cs="Arial"/>
          <w:i/>
          <w:lang w:val="es-ES"/>
        </w:rPr>
        <w:t>el cual se asientan las percepciones brutas, deducciones y</w:t>
      </w:r>
      <w:r w:rsidRPr="00E24DFE">
        <w:rPr>
          <w:rFonts w:ascii="Palatino Linotype" w:hAnsi="Palatino Linotype" w:cs="Arial"/>
          <w:b/>
          <w:bCs/>
          <w:i/>
          <w:lang w:val="es-ES"/>
        </w:rPr>
        <w:t xml:space="preserve"> </w:t>
      </w:r>
      <w:r w:rsidRPr="00E24DFE">
        <w:rPr>
          <w:rFonts w:ascii="Palatino Linotype" w:hAnsi="Palatino Linotype" w:cs="Arial"/>
          <w:i/>
          <w:lang w:val="es-ES"/>
        </w:rPr>
        <w:t xml:space="preserve">alcance neto </w:t>
      </w:r>
      <w:r w:rsidRPr="00E24DFE">
        <w:rPr>
          <w:rFonts w:ascii="Palatino Linotype" w:hAnsi="Palatino Linotype" w:cs="Arial"/>
          <w:i/>
          <w:color w:val="000000"/>
          <w:lang w:val="es-ES"/>
        </w:rPr>
        <w:t>de</w:t>
      </w:r>
      <w:r w:rsidRPr="00E24DFE">
        <w:rPr>
          <w:rFonts w:ascii="Palatino Linotype" w:hAnsi="Palatino Linotype" w:cs="Arial"/>
          <w:i/>
          <w:lang w:val="es-ES"/>
        </w:rPr>
        <w:t xml:space="preserve"> las mismas; la nómina es utilizada para</w:t>
      </w:r>
      <w:r w:rsidRPr="00E24DFE">
        <w:rPr>
          <w:rFonts w:ascii="Palatino Linotype" w:hAnsi="Palatino Linotype" w:cs="Arial"/>
          <w:b/>
          <w:bCs/>
          <w:i/>
          <w:lang w:val="es-ES"/>
        </w:rPr>
        <w:t xml:space="preserve"> </w:t>
      </w:r>
      <w:r w:rsidRPr="00E24DFE">
        <w:rPr>
          <w:rFonts w:ascii="Palatino Linotype" w:hAnsi="Palatino Linotype" w:cs="Arial"/>
          <w:i/>
          <w:lang w:val="es-ES"/>
        </w:rPr>
        <w:t>efectuar los pagos periódicos (semanales, quincenales o</w:t>
      </w:r>
      <w:r w:rsidRPr="00E24DFE">
        <w:rPr>
          <w:rFonts w:ascii="Palatino Linotype" w:hAnsi="Palatino Linotype" w:cs="Arial"/>
          <w:b/>
          <w:bCs/>
          <w:i/>
          <w:lang w:val="es-ES"/>
        </w:rPr>
        <w:t xml:space="preserve"> </w:t>
      </w:r>
      <w:r w:rsidRPr="00E24DFE">
        <w:rPr>
          <w:rFonts w:ascii="Palatino Linotype" w:hAnsi="Palatino Linotype" w:cs="Arial"/>
          <w:i/>
          <w:lang w:val="es-ES"/>
        </w:rPr>
        <w:t>mensuales) a los trabajadores por concepto de sueldos y</w:t>
      </w:r>
      <w:r w:rsidRPr="00E24DFE">
        <w:rPr>
          <w:rFonts w:ascii="Palatino Linotype" w:hAnsi="Palatino Linotype" w:cs="Arial"/>
          <w:b/>
          <w:bCs/>
          <w:i/>
          <w:lang w:val="es-ES"/>
        </w:rPr>
        <w:t xml:space="preserve"> </w:t>
      </w:r>
      <w:r w:rsidRPr="00E24DFE">
        <w:rPr>
          <w:rFonts w:ascii="Palatino Linotype" w:hAnsi="Palatino Linotype" w:cs="Arial"/>
          <w:i/>
          <w:lang w:val="es-ES"/>
        </w:rPr>
        <w:t>salarios.”</w:t>
      </w:r>
    </w:p>
    <w:p w:rsidR="00970A48" w:rsidRPr="00E24DFE" w:rsidRDefault="00970A48" w:rsidP="00970A48">
      <w:pPr>
        <w:spacing w:line="360" w:lineRule="auto"/>
        <w:ind w:right="49"/>
        <w:contextualSpacing/>
        <w:jc w:val="both"/>
        <w:rPr>
          <w:rFonts w:ascii="Palatino Linotype" w:eastAsiaTheme="minorEastAsia" w:hAnsi="Palatino Linotype"/>
        </w:rPr>
      </w:pPr>
    </w:p>
    <w:p w:rsidR="00970A48" w:rsidRPr="00E24DFE" w:rsidRDefault="00970A48" w:rsidP="00970A48">
      <w:pPr>
        <w:numPr>
          <w:ilvl w:val="0"/>
          <w:numId w:val="1"/>
        </w:numPr>
        <w:spacing w:line="360" w:lineRule="auto"/>
        <w:ind w:left="0" w:right="49" w:firstLine="0"/>
        <w:contextualSpacing/>
        <w:jc w:val="both"/>
        <w:rPr>
          <w:rFonts w:ascii="Palatino Linotype" w:eastAsiaTheme="minorEastAsia" w:hAnsi="Palatino Linotype"/>
          <w:sz w:val="24"/>
        </w:rPr>
      </w:pPr>
      <w:r w:rsidRPr="00E24DFE">
        <w:rPr>
          <w:rFonts w:ascii="Palatino Linotype" w:hAnsi="Palatino Linotype"/>
          <w:color w:val="000000"/>
          <w:sz w:val="24"/>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E24DFE">
        <w:rPr>
          <w:rFonts w:ascii="Palatino Linotype" w:hAnsi="Palatino Linotype" w:cs="Arial"/>
          <w:color w:val="000000"/>
          <w:sz w:val="24"/>
        </w:rPr>
        <w:t>Ley de Fiscalización Superior del Estado de México</w:t>
      </w:r>
      <w:r w:rsidRPr="00E24DFE">
        <w:rPr>
          <w:rFonts w:ascii="Palatino Linotype" w:hAnsi="Palatino Linotype" w:cs="Arial"/>
          <w:color w:val="000000"/>
          <w:sz w:val="24"/>
          <w:vertAlign w:val="superscript"/>
        </w:rPr>
        <w:footnoteReference w:id="9"/>
      </w:r>
      <w:r w:rsidRPr="00E24DFE">
        <w:rPr>
          <w:rFonts w:ascii="Palatino Linotype" w:hAnsi="Palatino Linotype" w:cs="Arial"/>
          <w:color w:val="000000"/>
          <w:sz w:val="24"/>
        </w:rPr>
        <w:t xml:space="preserve">; razón por la cual, el Órgano Superior de Fiscalización del Estado de México, (OSFEM) emitió en su momento los </w:t>
      </w:r>
      <w:r w:rsidRPr="00E24DFE">
        <w:rPr>
          <w:rFonts w:ascii="Palatino Linotype" w:hAnsi="Palatino Linotype" w:cs="Arial"/>
          <w:b/>
          <w:color w:val="000000"/>
          <w:sz w:val="24"/>
        </w:rPr>
        <w:t>Lineamientos para la Integración del Informe Trimestral</w:t>
      </w:r>
      <w:r w:rsidRPr="00E24DFE">
        <w:rPr>
          <w:rFonts w:ascii="Palatino Linotype" w:hAnsi="Palatino Linotype" w:cs="Arial"/>
          <w:color w:val="000000"/>
          <w:sz w:val="24"/>
        </w:rPr>
        <w:t xml:space="preserve">, en términos de la fracción XI del artículo 8 de la Ley de Fiscalización Superior del Estado de México, que señala: </w:t>
      </w:r>
    </w:p>
    <w:p w:rsidR="00970A48" w:rsidRPr="00E24DFE" w:rsidRDefault="00970A48" w:rsidP="00970A48">
      <w:pPr>
        <w:spacing w:line="360" w:lineRule="auto"/>
        <w:ind w:right="49"/>
        <w:contextualSpacing/>
        <w:jc w:val="both"/>
        <w:rPr>
          <w:rFonts w:ascii="Palatino Linotype" w:hAnsi="Palatino Linotype" w:cs="Arial"/>
          <w:color w:val="000000"/>
          <w:lang w:eastAsia="es-MX"/>
        </w:rPr>
      </w:pPr>
    </w:p>
    <w:p w:rsidR="00970A48" w:rsidRPr="00E24DFE" w:rsidRDefault="00970A48" w:rsidP="00970A48">
      <w:pPr>
        <w:autoSpaceDE w:val="0"/>
        <w:autoSpaceDN w:val="0"/>
        <w:adjustRightInd w:val="0"/>
        <w:spacing w:line="360" w:lineRule="auto"/>
        <w:ind w:left="851" w:right="899"/>
        <w:jc w:val="both"/>
        <w:rPr>
          <w:i/>
          <w:sz w:val="22"/>
          <w:szCs w:val="22"/>
        </w:rPr>
      </w:pPr>
      <w:r w:rsidRPr="00E24DFE">
        <w:rPr>
          <w:rFonts w:ascii="Palatino Linotype" w:hAnsi="Palatino Linotype" w:cs="Arial"/>
          <w:b/>
          <w:bCs/>
          <w:i/>
          <w:sz w:val="22"/>
          <w:szCs w:val="22"/>
        </w:rPr>
        <w:t>“Artículo</w:t>
      </w:r>
      <w:r w:rsidRPr="00E24DFE">
        <w:rPr>
          <w:rFonts w:ascii="Palatino Linotype" w:hAnsi="Palatino Linotype" w:cs="Arial"/>
          <w:b/>
          <w:bCs/>
          <w:i/>
        </w:rPr>
        <w:t xml:space="preserve"> </w:t>
      </w:r>
      <w:r w:rsidRPr="00E24DFE">
        <w:rPr>
          <w:rFonts w:ascii="Palatino Linotype" w:hAnsi="Palatino Linotype" w:cs="Arial"/>
          <w:b/>
          <w:bCs/>
          <w:i/>
          <w:sz w:val="22"/>
          <w:szCs w:val="22"/>
        </w:rPr>
        <w:t>8.</w:t>
      </w:r>
      <w:r w:rsidRPr="00E24DFE">
        <w:rPr>
          <w:rFonts w:ascii="Palatino Linotype" w:hAnsi="Palatino Linotype" w:cs="Arial"/>
          <w:b/>
          <w:bCs/>
          <w:i/>
        </w:rPr>
        <w:t xml:space="preserve"> </w:t>
      </w:r>
      <w:r w:rsidRPr="00E24DFE">
        <w:rPr>
          <w:rFonts w:ascii="Palatino Linotype" w:hAnsi="Palatino Linotype" w:cs="Arial"/>
          <w:i/>
          <w:sz w:val="22"/>
          <w:szCs w:val="22"/>
        </w:rPr>
        <w:t>El</w:t>
      </w:r>
      <w:r w:rsidRPr="00E24DFE">
        <w:rPr>
          <w:rFonts w:ascii="Palatino Linotype" w:hAnsi="Palatino Linotype" w:cs="Arial"/>
          <w:i/>
        </w:rPr>
        <w:t xml:space="preserve"> </w:t>
      </w:r>
      <w:r w:rsidRPr="00E24DFE">
        <w:rPr>
          <w:rFonts w:ascii="Palatino Linotype" w:hAnsi="Palatino Linotype" w:cs="Arial"/>
          <w:i/>
          <w:sz w:val="22"/>
          <w:szCs w:val="22"/>
        </w:rPr>
        <w:t>Órgano</w:t>
      </w:r>
      <w:r w:rsidRPr="00E24DFE">
        <w:rPr>
          <w:rFonts w:ascii="Palatino Linotype" w:hAnsi="Palatino Linotype" w:cs="Arial"/>
          <w:i/>
        </w:rPr>
        <w:t xml:space="preserve"> </w:t>
      </w:r>
      <w:r w:rsidRPr="00E24DFE">
        <w:rPr>
          <w:rFonts w:ascii="Palatino Linotype" w:hAnsi="Palatino Linotype" w:cs="Arial"/>
          <w:i/>
          <w:sz w:val="22"/>
          <w:szCs w:val="22"/>
        </w:rPr>
        <w:t>Superior</w:t>
      </w:r>
      <w:r w:rsidRPr="00E24DFE">
        <w:rPr>
          <w:rFonts w:ascii="Palatino Linotype" w:hAnsi="Palatino Linotype" w:cs="Arial"/>
          <w:i/>
        </w:rPr>
        <w:t xml:space="preserve"> </w:t>
      </w:r>
      <w:r w:rsidRPr="00E24DFE">
        <w:rPr>
          <w:rFonts w:ascii="Palatino Linotype" w:hAnsi="Palatino Linotype" w:cs="Arial"/>
          <w:i/>
          <w:sz w:val="22"/>
          <w:szCs w:val="22"/>
        </w:rPr>
        <w:t>tendrá</w:t>
      </w:r>
      <w:r w:rsidRPr="00E24DFE">
        <w:rPr>
          <w:rFonts w:ascii="Palatino Linotype" w:hAnsi="Palatino Linotype" w:cs="Arial"/>
          <w:i/>
        </w:rPr>
        <w:t xml:space="preserve"> </w:t>
      </w:r>
      <w:r w:rsidRPr="00E24DFE">
        <w:rPr>
          <w:rFonts w:ascii="Palatino Linotype" w:hAnsi="Palatino Linotype" w:cs="Arial"/>
          <w:i/>
          <w:sz w:val="22"/>
          <w:szCs w:val="22"/>
        </w:rPr>
        <w:t>las</w:t>
      </w:r>
      <w:r w:rsidRPr="00E24DFE">
        <w:rPr>
          <w:rFonts w:ascii="Palatino Linotype" w:hAnsi="Palatino Linotype" w:cs="Arial"/>
          <w:i/>
        </w:rPr>
        <w:t xml:space="preserve"> </w:t>
      </w:r>
      <w:r w:rsidRPr="00E24DFE">
        <w:rPr>
          <w:rFonts w:ascii="Palatino Linotype" w:hAnsi="Palatino Linotype" w:cs="Arial"/>
          <w:i/>
          <w:sz w:val="22"/>
          <w:szCs w:val="22"/>
        </w:rPr>
        <w:t>siguientes</w:t>
      </w:r>
      <w:r w:rsidRPr="00E24DFE">
        <w:rPr>
          <w:rFonts w:ascii="Palatino Linotype" w:hAnsi="Palatino Linotype" w:cs="Arial"/>
          <w:i/>
        </w:rPr>
        <w:t xml:space="preserve"> </w:t>
      </w:r>
      <w:r w:rsidRPr="00E24DFE">
        <w:rPr>
          <w:rFonts w:ascii="Palatino Linotype" w:hAnsi="Palatino Linotype" w:cs="Arial"/>
          <w:i/>
          <w:sz w:val="22"/>
          <w:szCs w:val="22"/>
        </w:rPr>
        <w:t>atribuciones:</w:t>
      </w:r>
    </w:p>
    <w:p w:rsidR="00970A48" w:rsidRPr="00E24DFE" w:rsidRDefault="00970A48" w:rsidP="00970A48">
      <w:pPr>
        <w:autoSpaceDE w:val="0"/>
        <w:autoSpaceDN w:val="0"/>
        <w:adjustRightInd w:val="0"/>
        <w:spacing w:line="360" w:lineRule="auto"/>
        <w:ind w:left="851" w:right="899"/>
        <w:jc w:val="both"/>
        <w:rPr>
          <w:rFonts w:ascii="Palatino Linotype" w:hAnsi="Palatino Linotype" w:cs="Arial"/>
          <w:i/>
          <w:sz w:val="22"/>
          <w:szCs w:val="22"/>
        </w:rPr>
      </w:pPr>
      <w:r w:rsidRPr="00E24DFE">
        <w:rPr>
          <w:rFonts w:ascii="Palatino Linotype" w:hAnsi="Palatino Linotype" w:cs="Arial"/>
          <w:i/>
          <w:sz w:val="22"/>
          <w:szCs w:val="22"/>
        </w:rPr>
        <w:t>…</w:t>
      </w:r>
    </w:p>
    <w:p w:rsidR="00970A48" w:rsidRPr="00E24DFE" w:rsidRDefault="00970A48" w:rsidP="00970A48">
      <w:pPr>
        <w:autoSpaceDE w:val="0"/>
        <w:autoSpaceDN w:val="0"/>
        <w:adjustRightInd w:val="0"/>
        <w:spacing w:after="240" w:line="360" w:lineRule="auto"/>
        <w:ind w:left="851" w:right="899"/>
        <w:jc w:val="both"/>
        <w:rPr>
          <w:rFonts w:ascii="Palatino Linotype" w:hAnsi="Palatino Linotype" w:cs="Arial"/>
          <w:color w:val="000000"/>
          <w:sz w:val="22"/>
          <w:szCs w:val="22"/>
        </w:rPr>
      </w:pPr>
      <w:r w:rsidRPr="00E24DFE">
        <w:rPr>
          <w:rFonts w:ascii="Palatino Linotype" w:hAnsi="Palatino Linotype" w:cs="Arial"/>
          <w:b/>
          <w:bCs/>
          <w:i/>
          <w:sz w:val="22"/>
          <w:szCs w:val="22"/>
        </w:rPr>
        <w:lastRenderedPageBreak/>
        <w:t>XI.</w:t>
      </w:r>
      <w:r w:rsidRPr="00E24DFE">
        <w:rPr>
          <w:rFonts w:ascii="Palatino Linotype" w:hAnsi="Palatino Linotype" w:cs="Arial"/>
          <w:b/>
          <w:bCs/>
          <w:i/>
        </w:rPr>
        <w:t xml:space="preserve"> </w:t>
      </w:r>
      <w:r w:rsidRPr="00E24DFE">
        <w:rPr>
          <w:rFonts w:ascii="Palatino Linotype" w:hAnsi="Palatino Linotype" w:cs="Arial"/>
          <w:i/>
          <w:sz w:val="22"/>
          <w:szCs w:val="22"/>
        </w:rPr>
        <w:t>Establecer</w:t>
      </w:r>
      <w:r w:rsidRPr="00E24DFE">
        <w:rPr>
          <w:rFonts w:ascii="Palatino Linotype" w:hAnsi="Palatino Linotype" w:cs="Arial"/>
          <w:i/>
        </w:rPr>
        <w:t xml:space="preserve"> </w:t>
      </w:r>
      <w:r w:rsidRPr="00E24DFE">
        <w:rPr>
          <w:rFonts w:ascii="Palatino Linotype" w:hAnsi="Palatino Linotype" w:cs="Arial"/>
          <w:i/>
          <w:sz w:val="22"/>
          <w:szCs w:val="22"/>
        </w:rPr>
        <w:t>los</w:t>
      </w:r>
      <w:r w:rsidRPr="00E24DFE">
        <w:rPr>
          <w:rFonts w:ascii="Palatino Linotype" w:hAnsi="Palatino Linotype" w:cs="Arial"/>
          <w:i/>
        </w:rPr>
        <w:t xml:space="preserve"> </w:t>
      </w:r>
      <w:r w:rsidRPr="00E24DFE">
        <w:rPr>
          <w:rFonts w:ascii="Palatino Linotype" w:hAnsi="Palatino Linotype" w:cs="Arial"/>
          <w:i/>
          <w:sz w:val="22"/>
          <w:szCs w:val="22"/>
        </w:rPr>
        <w:t>lineamientos,</w:t>
      </w:r>
      <w:r w:rsidRPr="00E24DFE">
        <w:rPr>
          <w:rFonts w:ascii="Palatino Linotype" w:hAnsi="Palatino Linotype" w:cs="Arial"/>
          <w:i/>
        </w:rPr>
        <w:t xml:space="preserve"> </w:t>
      </w:r>
      <w:r w:rsidRPr="00E24DFE">
        <w:rPr>
          <w:rFonts w:ascii="Palatino Linotype" w:hAnsi="Palatino Linotype" w:cs="Arial"/>
          <w:i/>
          <w:sz w:val="22"/>
          <w:szCs w:val="22"/>
        </w:rPr>
        <w:t>criterios,</w:t>
      </w:r>
      <w:r w:rsidRPr="00E24DFE">
        <w:rPr>
          <w:rFonts w:ascii="Palatino Linotype" w:hAnsi="Palatino Linotype" w:cs="Arial"/>
          <w:i/>
        </w:rPr>
        <w:t xml:space="preserve"> </w:t>
      </w:r>
      <w:r w:rsidRPr="00E24DFE">
        <w:rPr>
          <w:rFonts w:ascii="Palatino Linotype" w:hAnsi="Palatino Linotype" w:cs="Arial"/>
          <w:i/>
          <w:sz w:val="22"/>
          <w:szCs w:val="22"/>
        </w:rPr>
        <w:t>procedimientos,</w:t>
      </w:r>
      <w:r w:rsidRPr="00E24DFE">
        <w:rPr>
          <w:rFonts w:ascii="Palatino Linotype" w:hAnsi="Palatino Linotype" w:cs="Arial"/>
          <w:i/>
        </w:rPr>
        <w:t xml:space="preserve"> </w:t>
      </w:r>
      <w:r w:rsidRPr="00E24DFE">
        <w:rPr>
          <w:rFonts w:ascii="Palatino Linotype" w:hAnsi="Palatino Linotype" w:cs="Arial"/>
          <w:i/>
          <w:sz w:val="22"/>
          <w:szCs w:val="22"/>
        </w:rPr>
        <w:t>métodos</w:t>
      </w:r>
      <w:r w:rsidRPr="00E24DFE">
        <w:rPr>
          <w:rFonts w:ascii="Palatino Linotype" w:hAnsi="Palatino Linotype" w:cs="Arial"/>
          <w:i/>
        </w:rPr>
        <w:t xml:space="preserve"> </w:t>
      </w:r>
      <w:r w:rsidRPr="00E24DFE">
        <w:rPr>
          <w:rFonts w:ascii="Palatino Linotype" w:hAnsi="Palatino Linotype" w:cs="Arial"/>
          <w:i/>
          <w:sz w:val="22"/>
          <w:szCs w:val="22"/>
        </w:rPr>
        <w:t>y</w:t>
      </w:r>
      <w:r w:rsidRPr="00E24DFE">
        <w:rPr>
          <w:rFonts w:ascii="Palatino Linotype" w:hAnsi="Palatino Linotype" w:cs="Arial"/>
          <w:i/>
        </w:rPr>
        <w:t xml:space="preserve"> </w:t>
      </w:r>
      <w:r w:rsidRPr="00E24DFE">
        <w:rPr>
          <w:rFonts w:ascii="Palatino Linotype" w:hAnsi="Palatino Linotype" w:cs="Arial"/>
          <w:i/>
          <w:sz w:val="22"/>
          <w:szCs w:val="22"/>
        </w:rPr>
        <w:t>sistemas</w:t>
      </w:r>
      <w:r w:rsidRPr="00E24DFE">
        <w:rPr>
          <w:rFonts w:ascii="Palatino Linotype" w:hAnsi="Palatino Linotype" w:cs="Arial"/>
          <w:i/>
        </w:rPr>
        <w:t xml:space="preserve"> </w:t>
      </w:r>
      <w:r w:rsidRPr="00E24DFE">
        <w:rPr>
          <w:rFonts w:ascii="Palatino Linotype" w:hAnsi="Palatino Linotype" w:cs="Arial"/>
          <w:i/>
          <w:sz w:val="22"/>
          <w:szCs w:val="22"/>
        </w:rPr>
        <w:t>para</w:t>
      </w:r>
      <w:r w:rsidRPr="00E24DFE">
        <w:rPr>
          <w:rFonts w:ascii="Palatino Linotype" w:hAnsi="Palatino Linotype" w:cs="Arial"/>
          <w:i/>
        </w:rPr>
        <w:t xml:space="preserve"> </w:t>
      </w:r>
      <w:r w:rsidRPr="00E24DFE">
        <w:rPr>
          <w:rFonts w:ascii="Palatino Linotype" w:hAnsi="Palatino Linotype" w:cs="Arial"/>
          <w:i/>
          <w:sz w:val="22"/>
          <w:szCs w:val="22"/>
        </w:rPr>
        <w:t>las</w:t>
      </w:r>
      <w:r w:rsidRPr="00E24DFE">
        <w:rPr>
          <w:rFonts w:ascii="Palatino Linotype" w:hAnsi="Palatino Linotype" w:cs="Arial"/>
          <w:i/>
        </w:rPr>
        <w:t xml:space="preserve"> </w:t>
      </w:r>
      <w:r w:rsidRPr="00E24DFE">
        <w:rPr>
          <w:rFonts w:ascii="Palatino Linotype" w:hAnsi="Palatino Linotype" w:cs="Arial"/>
          <w:i/>
          <w:sz w:val="22"/>
          <w:szCs w:val="22"/>
        </w:rPr>
        <w:t>acciones</w:t>
      </w:r>
      <w:r w:rsidRPr="00E24DFE">
        <w:rPr>
          <w:rFonts w:ascii="Palatino Linotype" w:hAnsi="Palatino Linotype" w:cs="Arial"/>
          <w:i/>
        </w:rPr>
        <w:t xml:space="preserve"> </w:t>
      </w:r>
      <w:r w:rsidRPr="00E24DFE">
        <w:rPr>
          <w:rFonts w:ascii="Palatino Linotype" w:hAnsi="Palatino Linotype" w:cs="Arial"/>
          <w:i/>
          <w:sz w:val="22"/>
          <w:szCs w:val="22"/>
        </w:rPr>
        <w:t>de</w:t>
      </w:r>
      <w:r w:rsidRPr="00E24DFE">
        <w:rPr>
          <w:rFonts w:ascii="Palatino Linotype" w:hAnsi="Palatino Linotype" w:cs="Arial"/>
          <w:i/>
        </w:rPr>
        <w:t xml:space="preserve"> </w:t>
      </w:r>
      <w:r w:rsidRPr="00E24DFE">
        <w:rPr>
          <w:rFonts w:ascii="Palatino Linotype" w:hAnsi="Palatino Linotype" w:cs="Arial"/>
          <w:i/>
          <w:sz w:val="22"/>
          <w:szCs w:val="22"/>
        </w:rPr>
        <w:t>control</w:t>
      </w:r>
      <w:r w:rsidRPr="00E24DFE">
        <w:rPr>
          <w:rFonts w:ascii="Palatino Linotype" w:hAnsi="Palatino Linotype" w:cs="Arial"/>
          <w:i/>
        </w:rPr>
        <w:t xml:space="preserve"> </w:t>
      </w:r>
      <w:r w:rsidRPr="00E24DFE">
        <w:rPr>
          <w:rFonts w:ascii="Palatino Linotype" w:hAnsi="Palatino Linotype" w:cs="Arial"/>
          <w:i/>
          <w:sz w:val="22"/>
          <w:szCs w:val="22"/>
        </w:rPr>
        <w:t>y</w:t>
      </w:r>
      <w:r w:rsidRPr="00E24DFE">
        <w:rPr>
          <w:rFonts w:ascii="Palatino Linotype" w:hAnsi="Palatino Linotype" w:cs="Arial"/>
          <w:i/>
        </w:rPr>
        <w:t xml:space="preserve"> </w:t>
      </w:r>
      <w:r w:rsidRPr="00E24DFE">
        <w:rPr>
          <w:rFonts w:ascii="Palatino Linotype" w:hAnsi="Palatino Linotype" w:cs="Arial"/>
          <w:i/>
          <w:sz w:val="22"/>
          <w:szCs w:val="22"/>
        </w:rPr>
        <w:t>evaluación,</w:t>
      </w:r>
      <w:r w:rsidRPr="00E24DFE">
        <w:rPr>
          <w:rFonts w:ascii="Palatino Linotype" w:hAnsi="Palatino Linotype" w:cs="Arial"/>
          <w:i/>
        </w:rPr>
        <w:t xml:space="preserve"> </w:t>
      </w:r>
      <w:r w:rsidRPr="00E24DFE">
        <w:rPr>
          <w:rFonts w:ascii="Palatino Linotype" w:hAnsi="Palatino Linotype" w:cs="Arial"/>
          <w:i/>
          <w:sz w:val="22"/>
          <w:szCs w:val="22"/>
        </w:rPr>
        <w:t>necesarios</w:t>
      </w:r>
      <w:r w:rsidRPr="00E24DFE">
        <w:rPr>
          <w:rFonts w:ascii="Palatino Linotype" w:hAnsi="Palatino Linotype" w:cs="Arial"/>
          <w:i/>
        </w:rPr>
        <w:t xml:space="preserve"> </w:t>
      </w:r>
      <w:r w:rsidRPr="00E24DFE">
        <w:rPr>
          <w:rFonts w:ascii="Palatino Linotype" w:hAnsi="Palatino Linotype" w:cs="Arial"/>
          <w:i/>
          <w:sz w:val="22"/>
          <w:szCs w:val="22"/>
        </w:rPr>
        <w:t>para</w:t>
      </w:r>
      <w:r w:rsidRPr="00E24DFE">
        <w:rPr>
          <w:rFonts w:ascii="Palatino Linotype" w:hAnsi="Palatino Linotype" w:cs="Arial"/>
          <w:i/>
        </w:rPr>
        <w:t xml:space="preserve"> </w:t>
      </w:r>
      <w:r w:rsidRPr="00E24DFE">
        <w:rPr>
          <w:rFonts w:ascii="Palatino Linotype" w:hAnsi="Palatino Linotype" w:cs="Arial"/>
          <w:i/>
          <w:sz w:val="22"/>
          <w:szCs w:val="22"/>
        </w:rPr>
        <w:t>la</w:t>
      </w:r>
      <w:r w:rsidRPr="00E24DFE">
        <w:rPr>
          <w:rFonts w:ascii="Palatino Linotype" w:hAnsi="Palatino Linotype" w:cs="Arial"/>
          <w:i/>
        </w:rPr>
        <w:t xml:space="preserve"> </w:t>
      </w:r>
      <w:r w:rsidRPr="00E24DFE">
        <w:rPr>
          <w:rFonts w:ascii="Palatino Linotype" w:hAnsi="Palatino Linotype" w:cs="Arial"/>
          <w:i/>
          <w:sz w:val="22"/>
          <w:szCs w:val="22"/>
        </w:rPr>
        <w:t>fiscalización</w:t>
      </w:r>
      <w:r w:rsidRPr="00E24DFE">
        <w:rPr>
          <w:rFonts w:ascii="Palatino Linotype" w:hAnsi="Palatino Linotype" w:cs="Arial"/>
          <w:i/>
        </w:rPr>
        <w:t xml:space="preserve"> </w:t>
      </w:r>
      <w:r w:rsidRPr="00E24DFE">
        <w:rPr>
          <w:rFonts w:ascii="Palatino Linotype" w:hAnsi="Palatino Linotype" w:cs="Arial"/>
          <w:i/>
          <w:sz w:val="22"/>
          <w:szCs w:val="22"/>
        </w:rPr>
        <w:t>de</w:t>
      </w:r>
      <w:r w:rsidRPr="00E24DFE">
        <w:rPr>
          <w:rFonts w:ascii="Palatino Linotype" w:hAnsi="Palatino Linotype" w:cs="Arial"/>
          <w:i/>
        </w:rPr>
        <w:t xml:space="preserve"> </w:t>
      </w:r>
      <w:r w:rsidRPr="00E24DFE">
        <w:rPr>
          <w:rFonts w:ascii="Palatino Linotype" w:hAnsi="Palatino Linotype" w:cs="Arial"/>
          <w:i/>
          <w:sz w:val="22"/>
          <w:szCs w:val="22"/>
        </w:rPr>
        <w:t>las</w:t>
      </w:r>
      <w:r w:rsidRPr="00E24DFE">
        <w:rPr>
          <w:rFonts w:ascii="Palatino Linotype" w:hAnsi="Palatino Linotype" w:cs="Arial"/>
          <w:i/>
        </w:rPr>
        <w:t xml:space="preserve"> </w:t>
      </w:r>
      <w:r w:rsidRPr="00E24DFE">
        <w:rPr>
          <w:rFonts w:ascii="Palatino Linotype" w:hAnsi="Palatino Linotype" w:cs="Arial"/>
          <w:i/>
          <w:sz w:val="22"/>
          <w:szCs w:val="22"/>
        </w:rPr>
        <w:t>cuentas</w:t>
      </w:r>
      <w:r w:rsidRPr="00E24DFE">
        <w:rPr>
          <w:rFonts w:ascii="Palatino Linotype" w:hAnsi="Palatino Linotype" w:cs="Arial"/>
          <w:i/>
        </w:rPr>
        <w:t xml:space="preserve"> </w:t>
      </w:r>
      <w:r w:rsidRPr="00E24DFE">
        <w:rPr>
          <w:rFonts w:ascii="Palatino Linotype" w:hAnsi="Palatino Linotype" w:cs="Arial"/>
          <w:i/>
          <w:sz w:val="22"/>
          <w:szCs w:val="22"/>
        </w:rPr>
        <w:t>públi</w:t>
      </w:r>
      <w:r w:rsidRPr="00E24DFE">
        <w:rPr>
          <w:rFonts w:ascii="Palatino Linotype" w:hAnsi="Palatino Linotype" w:cs="Arial"/>
          <w:i/>
        </w:rPr>
        <w:t>cas y los informes trimestrales</w:t>
      </w:r>
      <w:r w:rsidRPr="00E24DFE">
        <w:rPr>
          <w:rStyle w:val="Refdenotaalpie"/>
          <w:rFonts w:ascii="Palatino Linotype" w:hAnsi="Palatino Linotype" w:cs="Arial"/>
          <w:i/>
        </w:rPr>
        <w:footnoteReference w:id="10"/>
      </w:r>
      <w:r w:rsidRPr="00E24DFE">
        <w:rPr>
          <w:rFonts w:ascii="Palatino Linotype" w:hAnsi="Palatino Linotype" w:cs="Arial"/>
          <w:color w:val="000000"/>
          <w:sz w:val="22"/>
          <w:szCs w:val="22"/>
        </w:rPr>
        <w:t>…”</w:t>
      </w:r>
      <w:r w:rsidRPr="00E24DFE">
        <w:rPr>
          <w:rFonts w:ascii="Palatino Linotype" w:hAnsi="Palatino Linotype" w:cs="Arial"/>
          <w:color w:val="000000"/>
        </w:rPr>
        <w:t xml:space="preserve"> </w:t>
      </w:r>
      <w:r w:rsidRPr="00E24DFE">
        <w:rPr>
          <w:rFonts w:ascii="Palatino Linotype" w:hAnsi="Palatino Linotype" w:cs="Arial"/>
          <w:color w:val="000000"/>
          <w:sz w:val="22"/>
          <w:szCs w:val="22"/>
        </w:rPr>
        <w:t>(Sic)</w:t>
      </w:r>
    </w:p>
    <w:p w:rsidR="00091C94" w:rsidRPr="00E24DFE" w:rsidRDefault="00091C94" w:rsidP="00091C94">
      <w:pPr>
        <w:pStyle w:val="Prrafodelista"/>
        <w:spacing w:line="360" w:lineRule="auto"/>
        <w:ind w:left="0"/>
        <w:jc w:val="both"/>
        <w:rPr>
          <w:rFonts w:ascii="Palatino Linotype" w:hAnsi="Palatino Linotype" w:cs="Arial"/>
          <w:sz w:val="24"/>
        </w:rPr>
      </w:pPr>
    </w:p>
    <w:p w:rsidR="00B842E1" w:rsidRPr="00E24DFE" w:rsidRDefault="00B842E1" w:rsidP="00970A48">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 xml:space="preserve">Ahora bien, </w:t>
      </w:r>
      <w:r w:rsidRPr="00E24DFE">
        <w:rPr>
          <w:rFonts w:ascii="Palatino Linotype" w:eastAsia="Palatino Linotype" w:hAnsi="Palatino Linotype" w:cs="Palatino Linotype"/>
          <w:color w:val="000000"/>
          <w:sz w:val="24"/>
        </w:rPr>
        <w:t>e</w:t>
      </w:r>
      <w:r w:rsidRPr="00E24DFE">
        <w:rPr>
          <w:rFonts w:ascii="Palatino Linotype" w:eastAsia="Palatino Linotype" w:hAnsi="Palatino Linotype" w:cs="Palatino Linotype"/>
          <w:sz w:val="24"/>
        </w:rPr>
        <w:t>l artículo 32, párrafo segundo, de la Ley de Fiscalización Superior del Estado de México, establece que los Presidentes Municipales, presentarán a la Legislatura las cuentas públicas de sus respectivos municipios.</w:t>
      </w:r>
      <w:r w:rsidR="00970A48" w:rsidRPr="00E24DFE">
        <w:rPr>
          <w:rFonts w:ascii="Palatino Linotype" w:hAnsi="Palatino Linotype" w:cs="Arial"/>
          <w:sz w:val="24"/>
        </w:rPr>
        <w:t xml:space="preserve"> </w:t>
      </w:r>
      <w:r w:rsidRPr="00E24DFE">
        <w:rPr>
          <w:rFonts w:ascii="Palatino Linotype" w:eastAsia="Palatino Linotype" w:hAnsi="Palatino Linotype" w:cs="Palatino Linotype"/>
          <w:sz w:val="24"/>
        </w:rPr>
        <w:t>En ese orden de ideas, el diverso 8°, fracciones XI y XIV, de dicho ordenamiento jurídico,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rsidR="00B842E1" w:rsidRPr="00E24DFE" w:rsidRDefault="00B842E1" w:rsidP="00970A48">
      <w:pPr>
        <w:pStyle w:val="Prrafodelista"/>
        <w:spacing w:line="360" w:lineRule="auto"/>
        <w:ind w:left="0"/>
        <w:jc w:val="both"/>
        <w:rPr>
          <w:rFonts w:ascii="Palatino Linotype" w:eastAsia="Palatino Linotype" w:hAnsi="Palatino Linotype" w:cs="Palatino Linotype"/>
        </w:rPr>
      </w:pPr>
    </w:p>
    <w:p w:rsidR="00B842E1" w:rsidRPr="00E24DFE" w:rsidRDefault="00B842E1" w:rsidP="00B842E1">
      <w:pPr>
        <w:pStyle w:val="Prrafodelista"/>
        <w:numPr>
          <w:ilvl w:val="0"/>
          <w:numId w:val="1"/>
        </w:numPr>
        <w:spacing w:line="360" w:lineRule="auto"/>
        <w:ind w:left="0" w:firstLine="0"/>
        <w:jc w:val="both"/>
        <w:rPr>
          <w:rFonts w:ascii="Palatino Linotype" w:eastAsia="Palatino Linotype" w:hAnsi="Palatino Linotype" w:cs="Palatino Linotype"/>
          <w:b/>
          <w:sz w:val="24"/>
        </w:rPr>
      </w:pPr>
      <w:r w:rsidRPr="00E24DFE">
        <w:rPr>
          <w:rFonts w:ascii="Palatino Linotype" w:eastAsia="Palatino Linotype" w:hAnsi="Palatino Linotype" w:cs="Palatino Linotype"/>
          <w:sz w:val="24"/>
        </w:rPr>
        <w:t xml:space="preserve">Además, el artículo 350 del Código Financiero del Estado de México y Municipios, establece que, de manera trimestral, dentro de los primeros veinte días hábiles posteriores al término del trimestre que se informa, las Tesorerías Municipales, enviarán para su análisis y evaluación al Órgano Superior de Fiscalización del Estado de México, la información Patrimonial, Presupuestal, de la Obra Pública y </w:t>
      </w:r>
      <w:r w:rsidRPr="00E24DFE">
        <w:rPr>
          <w:rFonts w:ascii="Palatino Linotype" w:eastAsia="Palatino Linotype" w:hAnsi="Palatino Linotype" w:cs="Palatino Linotype"/>
          <w:b/>
          <w:sz w:val="24"/>
        </w:rPr>
        <w:t>de Nómina.</w:t>
      </w:r>
    </w:p>
    <w:p w:rsidR="00B842E1" w:rsidRPr="00E24DFE" w:rsidRDefault="00B842E1" w:rsidP="00970A48">
      <w:pPr>
        <w:pStyle w:val="Prrafodelista"/>
        <w:spacing w:line="360" w:lineRule="auto"/>
        <w:ind w:left="0"/>
        <w:jc w:val="both"/>
        <w:rPr>
          <w:rFonts w:ascii="Palatino Linotype" w:eastAsia="Palatino Linotype" w:hAnsi="Palatino Linotype" w:cs="Palatino Linotype"/>
        </w:rPr>
      </w:pPr>
    </w:p>
    <w:p w:rsidR="00B842E1" w:rsidRPr="00E24DFE" w:rsidRDefault="00B842E1" w:rsidP="00B842E1">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E24DFE">
        <w:rPr>
          <w:rFonts w:ascii="Palatino Linotype" w:eastAsia="Palatino Linotype" w:hAnsi="Palatino Linotype" w:cs="Palatino Linotype"/>
          <w:sz w:val="24"/>
        </w:rPr>
        <w:lastRenderedPageBreak/>
        <w:t xml:space="preserve">En ese sentido, los Lineamientos para la Integración del Informe Trimestral de los Sujetos de Fiscalización Municipales, para los ejercicios fiscales dos mil veintidós y veintidós, se advierte que el </w:t>
      </w:r>
      <w:r w:rsidRPr="00E24DFE">
        <w:rPr>
          <w:rFonts w:ascii="Palatino Linotype" w:eastAsia="Palatino Linotype" w:hAnsi="Palatino Linotype" w:cs="Palatino Linotype"/>
          <w:b/>
          <w:sz w:val="24"/>
        </w:rPr>
        <w:t>Módulo 4</w:t>
      </w:r>
      <w:r w:rsidRPr="00E24DFE">
        <w:rPr>
          <w:rFonts w:ascii="Palatino Linotype" w:eastAsia="Palatino Linotype" w:hAnsi="Palatino Linotype" w:cs="Palatino Linotype"/>
          <w:sz w:val="24"/>
        </w:rPr>
        <w:t xml:space="preserve">, se integra por diversos documentos, entre los que se encuentra </w:t>
      </w:r>
      <w:r w:rsidRPr="00E24DFE">
        <w:rPr>
          <w:rFonts w:ascii="Palatino Linotype" w:eastAsia="Palatino Linotype" w:hAnsi="Palatino Linotype" w:cs="Palatino Linotype"/>
          <w:b/>
          <w:sz w:val="24"/>
        </w:rPr>
        <w:t>la Conciliación de la Nómina Mensual,</w:t>
      </w:r>
      <w:r w:rsidRPr="00E24DFE">
        <w:rPr>
          <w:rFonts w:ascii="Palatino Linotype" w:eastAsia="Palatino Linotype" w:hAnsi="Palatino Linotype" w:cs="Palatino Linotype"/>
          <w:sz w:val="24"/>
        </w:rPr>
        <w:t xml:space="preserve"> mismo que serán entregados al Órgano Superior de Fiscalización del Estado de México, tal como se muestra a continuación:</w:t>
      </w:r>
    </w:p>
    <w:p w:rsidR="00970A48" w:rsidRPr="00E24DFE" w:rsidRDefault="00970A48" w:rsidP="00970A48">
      <w:pPr>
        <w:pStyle w:val="Prrafodelista"/>
        <w:spacing w:line="360" w:lineRule="auto"/>
        <w:ind w:left="0"/>
        <w:jc w:val="both"/>
        <w:rPr>
          <w:rFonts w:ascii="Palatino Linotype" w:eastAsia="Palatino Linotype" w:hAnsi="Palatino Linotype" w:cs="Palatino Linotype"/>
          <w:sz w:val="24"/>
        </w:rPr>
      </w:pPr>
    </w:p>
    <w:p w:rsidR="00B842E1" w:rsidRPr="00E24DFE" w:rsidRDefault="00B842E1" w:rsidP="00970A48">
      <w:pPr>
        <w:pStyle w:val="Prrafodelista"/>
        <w:spacing w:line="360" w:lineRule="auto"/>
        <w:ind w:left="0"/>
        <w:jc w:val="center"/>
        <w:rPr>
          <w:rFonts w:ascii="Palatino Linotype" w:eastAsia="Palatino Linotype" w:hAnsi="Palatino Linotype" w:cs="Palatino Linotype"/>
          <w:sz w:val="20"/>
          <w:szCs w:val="20"/>
        </w:rPr>
      </w:pPr>
      <w:r w:rsidRPr="00E24DFE">
        <w:rPr>
          <w:rFonts w:eastAsia="Palatino Linotype"/>
          <w:noProof/>
          <w:lang w:eastAsia="es-MX"/>
        </w:rPr>
        <w:drawing>
          <wp:inline distT="0" distB="0" distL="0" distR="0">
            <wp:extent cx="4809890" cy="121654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a:extLst>
                        <a:ext uri="{28A0092B-C50C-407E-A947-70E740481C1C}">
                          <a14:useLocalDpi xmlns:a14="http://schemas.microsoft.com/office/drawing/2010/main" val="0"/>
                        </a:ext>
                      </a:extLst>
                    </a:blip>
                    <a:srcRect r="9235"/>
                    <a:stretch>
                      <a:fillRect/>
                    </a:stretch>
                  </pic:blipFill>
                  <pic:spPr bwMode="auto">
                    <a:xfrm>
                      <a:off x="0" y="0"/>
                      <a:ext cx="4856117" cy="1228241"/>
                    </a:xfrm>
                    <a:prstGeom prst="rect">
                      <a:avLst/>
                    </a:prstGeom>
                    <a:noFill/>
                    <a:ln>
                      <a:noFill/>
                    </a:ln>
                  </pic:spPr>
                </pic:pic>
              </a:graphicData>
            </a:graphic>
          </wp:inline>
        </w:drawing>
      </w:r>
    </w:p>
    <w:p w:rsidR="00B842E1" w:rsidRPr="00E24DFE" w:rsidRDefault="00B842E1" w:rsidP="00970A48">
      <w:pPr>
        <w:pStyle w:val="Prrafodelista"/>
        <w:spacing w:line="360" w:lineRule="auto"/>
        <w:ind w:left="4613"/>
        <w:jc w:val="both"/>
        <w:rPr>
          <w:rFonts w:ascii="Palatino Linotype" w:eastAsia="Palatino Linotype" w:hAnsi="Palatino Linotype" w:cs="Palatino Linotype"/>
          <w:sz w:val="24"/>
        </w:rPr>
      </w:pPr>
    </w:p>
    <w:p w:rsidR="00B842E1" w:rsidRPr="00E24DFE" w:rsidRDefault="00B842E1" w:rsidP="00D51D4B">
      <w:pPr>
        <w:pStyle w:val="Prrafodelista"/>
        <w:spacing w:line="360" w:lineRule="auto"/>
        <w:ind w:left="0"/>
        <w:jc w:val="center"/>
        <w:rPr>
          <w:rFonts w:ascii="Palatino Linotype" w:eastAsia="Palatino Linotype" w:hAnsi="Palatino Linotype" w:cs="Palatino Linotype"/>
          <w:sz w:val="20"/>
          <w:szCs w:val="20"/>
        </w:rPr>
      </w:pPr>
      <w:r w:rsidRPr="00E24DFE">
        <w:rPr>
          <w:noProof/>
          <w:lang w:eastAsia="es-MX"/>
        </w:rPr>
        <w:lastRenderedPageBreak/>
        <w:drawing>
          <wp:inline distT="0" distB="0" distL="0" distR="0">
            <wp:extent cx="5119896" cy="3069204"/>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l="28445" t="11218" r="14194" b="34178"/>
                    <a:stretch>
                      <a:fillRect/>
                    </a:stretch>
                  </pic:blipFill>
                  <pic:spPr bwMode="auto">
                    <a:xfrm>
                      <a:off x="0" y="0"/>
                      <a:ext cx="5130719" cy="3075692"/>
                    </a:xfrm>
                    <a:prstGeom prst="rect">
                      <a:avLst/>
                    </a:prstGeom>
                    <a:noFill/>
                    <a:ln>
                      <a:noFill/>
                    </a:ln>
                  </pic:spPr>
                </pic:pic>
              </a:graphicData>
            </a:graphic>
          </wp:inline>
        </w:drawing>
      </w:r>
    </w:p>
    <w:p w:rsidR="00970A48" w:rsidRPr="00E24DFE" w:rsidRDefault="00970A48" w:rsidP="00970A48">
      <w:pPr>
        <w:pStyle w:val="Prrafodelista"/>
        <w:spacing w:line="360" w:lineRule="auto"/>
        <w:ind w:left="0"/>
        <w:jc w:val="center"/>
        <w:rPr>
          <w:rFonts w:ascii="Palatino Linotype" w:eastAsia="Palatino Linotype" w:hAnsi="Palatino Linotype" w:cs="Palatino Linotype"/>
        </w:rPr>
      </w:pPr>
    </w:p>
    <w:p w:rsidR="00B842E1" w:rsidRPr="00E24DFE" w:rsidRDefault="00B842E1" w:rsidP="00B842E1">
      <w:pPr>
        <w:pStyle w:val="Prrafodelista"/>
        <w:numPr>
          <w:ilvl w:val="0"/>
          <w:numId w:val="1"/>
        </w:numPr>
        <w:spacing w:line="360" w:lineRule="auto"/>
        <w:ind w:left="0" w:firstLine="0"/>
        <w:jc w:val="both"/>
        <w:rPr>
          <w:rFonts w:ascii="Palatino Linotype" w:eastAsia="Palatino Linotype" w:hAnsi="Palatino Linotype" w:cs="Palatino Linotype"/>
        </w:rPr>
      </w:pPr>
      <w:r w:rsidRPr="00E24DFE">
        <w:rPr>
          <w:rFonts w:ascii="Palatino Linotype" w:eastAsia="Palatino Linotype" w:hAnsi="Palatino Linotype" w:cs="Palatino Linotype"/>
        </w:rPr>
        <w:t xml:space="preserve">Con lo cual se acredita que el Ayuntamiento de </w:t>
      </w:r>
      <w:r w:rsidR="00B533C0" w:rsidRPr="00E24DFE">
        <w:rPr>
          <w:rFonts w:ascii="Palatino Linotype" w:eastAsia="Palatino Linotype" w:hAnsi="Palatino Linotype" w:cs="Palatino Linotype"/>
        </w:rPr>
        <w:t>Atizapán</w:t>
      </w:r>
      <w:r w:rsidRPr="00E24DFE">
        <w:rPr>
          <w:rFonts w:ascii="Palatino Linotype" w:eastAsia="Palatino Linotype" w:hAnsi="Palatino Linotype" w:cs="Palatino Linotype"/>
        </w:rPr>
        <w:t>, debió haber entregado al Órgano Superior de Fiscalización del Estado de México, el concentrado de la información correspondiente a la conciliación de la nómina, de manera mensual y remitirla de manera trimestral al Órgano Superior de Fiscalización del Estado de México, para su respectiva revisión y fiscalización, siendo el do</w:t>
      </w:r>
      <w:r w:rsidR="00B533C0" w:rsidRPr="00E24DFE">
        <w:rPr>
          <w:rFonts w:ascii="Palatino Linotype" w:eastAsia="Palatino Linotype" w:hAnsi="Palatino Linotype" w:cs="Palatino Linotype"/>
        </w:rPr>
        <w:t>cumento que contiene la nómina</w:t>
      </w:r>
      <w:r w:rsidRPr="00E24DFE">
        <w:rPr>
          <w:rFonts w:ascii="Palatino Linotype" w:eastAsia="Palatino Linotype" w:hAnsi="Palatino Linotype" w:cs="Palatino Linotype"/>
        </w:rPr>
        <w:t xml:space="preserve">, y que es información que el </w:t>
      </w:r>
      <w:r w:rsidRPr="00E24DFE">
        <w:rPr>
          <w:rFonts w:ascii="Palatino Linotype" w:eastAsia="Palatino Linotype" w:hAnsi="Palatino Linotype" w:cs="Palatino Linotype"/>
          <w:b/>
        </w:rPr>
        <w:t>SUJETO OBLIGADO</w:t>
      </w:r>
      <w:r w:rsidRPr="00E24DFE">
        <w:rPr>
          <w:rFonts w:ascii="Palatino Linotype" w:eastAsia="Palatino Linotype" w:hAnsi="Palatino Linotype" w:cs="Palatino Linotype"/>
        </w:rPr>
        <w:t>, debió haber</w:t>
      </w:r>
      <w:r w:rsidRPr="00E24DFE">
        <w:rPr>
          <w:rFonts w:ascii="Palatino Linotype" w:eastAsia="Palatino Linotype" w:hAnsi="Palatino Linotype" w:cs="Palatino Linotype"/>
          <w:b/>
        </w:rPr>
        <w:t xml:space="preserve"> </w:t>
      </w:r>
      <w:r w:rsidRPr="00E24DFE">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E24DFE">
        <w:rPr>
          <w:rFonts w:ascii="Palatino Linotype" w:eastAsia="Palatino Linotype" w:hAnsi="Palatino Linotype" w:cs="Palatino Linotype"/>
          <w:b/>
        </w:rPr>
        <w:t>SUJETO OBLIGADO</w:t>
      </w:r>
      <w:r w:rsidRPr="00E24DFE">
        <w:rPr>
          <w:rFonts w:ascii="Palatino Linotype" w:eastAsia="Palatino Linotype" w:hAnsi="Palatino Linotype" w:cs="Palatino Linotype"/>
        </w:rPr>
        <w:t xml:space="preserve"> su entrega salvaguardando los datos personales que contenga, de conformidad con el considerando quinto. </w:t>
      </w:r>
    </w:p>
    <w:p w:rsidR="00B842E1" w:rsidRPr="00E24DFE" w:rsidRDefault="00B842E1" w:rsidP="00B842E1">
      <w:pPr>
        <w:pStyle w:val="Prrafodelista"/>
        <w:spacing w:line="360" w:lineRule="auto"/>
        <w:ind w:left="0" w:right="51"/>
        <w:jc w:val="both"/>
        <w:rPr>
          <w:rFonts w:ascii="Palatino Linotype" w:eastAsia="Palatino Linotype" w:hAnsi="Palatino Linotype" w:cs="Palatino Linotype"/>
        </w:rPr>
      </w:pPr>
    </w:p>
    <w:p w:rsidR="00B842E1" w:rsidRPr="00E24DFE" w:rsidRDefault="00B842E1" w:rsidP="00B842E1">
      <w:pPr>
        <w:pStyle w:val="Prrafodelista"/>
        <w:numPr>
          <w:ilvl w:val="0"/>
          <w:numId w:val="1"/>
        </w:numPr>
        <w:spacing w:line="360" w:lineRule="auto"/>
        <w:ind w:left="0" w:firstLine="0"/>
        <w:jc w:val="both"/>
        <w:rPr>
          <w:rFonts w:ascii="Palatino Linotype" w:eastAsia="Palatino Linotype" w:hAnsi="Palatino Linotype" w:cs="Palatino Linotype"/>
        </w:rPr>
      </w:pPr>
      <w:r w:rsidRPr="00E24DFE">
        <w:rPr>
          <w:rFonts w:ascii="Palatino Linotype" w:eastAsia="Palatino Linotype" w:hAnsi="Palatino Linotype" w:cs="Palatino Linotype"/>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B842E1" w:rsidRPr="00E24DFE" w:rsidRDefault="00B842E1" w:rsidP="00B842E1">
      <w:pPr>
        <w:spacing w:line="360" w:lineRule="auto"/>
        <w:ind w:left="851" w:right="680"/>
        <w:jc w:val="both"/>
        <w:rPr>
          <w:rFonts w:ascii="Palatino Linotype" w:eastAsia="Palatino Linotype" w:hAnsi="Palatino Linotype" w:cs="Palatino Linotype"/>
        </w:rPr>
      </w:pPr>
    </w:p>
    <w:p w:rsidR="00B842E1" w:rsidRPr="00E24DFE" w:rsidRDefault="00B842E1" w:rsidP="00B842E1">
      <w:pPr>
        <w:pStyle w:val="Prrafodelista"/>
        <w:ind w:left="851" w:right="680"/>
        <w:jc w:val="both"/>
        <w:rPr>
          <w:rFonts w:ascii="Palatino Linotype" w:eastAsia="Palatino Linotype" w:hAnsi="Palatino Linotype" w:cs="Palatino Linotype"/>
          <w:i/>
          <w:szCs w:val="22"/>
          <w:u w:val="single"/>
        </w:rPr>
      </w:pPr>
      <w:r w:rsidRPr="00E24DFE">
        <w:rPr>
          <w:rFonts w:ascii="Palatino Linotype" w:eastAsia="Palatino Linotype" w:hAnsi="Palatino Linotype" w:cs="Palatino Linotype"/>
          <w:b/>
          <w:i/>
          <w:szCs w:val="22"/>
          <w:u w:val="single"/>
        </w:rPr>
        <w:t>“Artículo 7. El Estado de México garantizará el efectivo acceso de toda persona a la información en posesión de cualquier entidad,</w:t>
      </w:r>
      <w:r w:rsidRPr="00E24DFE">
        <w:rPr>
          <w:rFonts w:ascii="Palatino Linotype" w:eastAsia="Palatino Linotype" w:hAnsi="Palatino Linotype" w:cs="Palatino Linotype"/>
          <w:i/>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24DFE">
        <w:rPr>
          <w:rFonts w:ascii="Palatino Linotype" w:eastAsia="Palatino Linotype" w:hAnsi="Palatino Linotype" w:cs="Palatino Linotype"/>
          <w:b/>
          <w:i/>
          <w:szCs w:val="22"/>
          <w:u w:val="single"/>
        </w:rPr>
        <w:t>que reciba y ejerza recursos públicos</w:t>
      </w:r>
      <w:r w:rsidRPr="00E24DFE">
        <w:rPr>
          <w:rFonts w:ascii="Palatino Linotype" w:eastAsia="Palatino Linotype" w:hAnsi="Palatino Linotype" w:cs="Palatino Linotype"/>
          <w:i/>
          <w:szCs w:val="22"/>
        </w:rPr>
        <w:t xml:space="preserve"> o realice actos de autoridad </w:t>
      </w:r>
      <w:r w:rsidRPr="00E24DFE">
        <w:rPr>
          <w:rFonts w:ascii="Palatino Linotype" w:eastAsia="Palatino Linotype" w:hAnsi="Palatino Linotype" w:cs="Palatino Linotype"/>
          <w:b/>
          <w:i/>
          <w:szCs w:val="22"/>
          <w:u w:val="single"/>
        </w:rPr>
        <w:t>en el ámbito de competencia del Estado de México y sus municipios</w:t>
      </w:r>
      <w:r w:rsidRPr="00E24DFE">
        <w:rPr>
          <w:rFonts w:ascii="Palatino Linotype" w:eastAsia="Palatino Linotype" w:hAnsi="Palatino Linotype" w:cs="Palatino Linotype"/>
          <w:i/>
          <w:szCs w:val="22"/>
          <w:u w:val="single"/>
        </w:rPr>
        <w:t>.</w:t>
      </w:r>
    </w:p>
    <w:p w:rsidR="00B842E1" w:rsidRPr="00E24DFE" w:rsidRDefault="00B842E1" w:rsidP="00B842E1">
      <w:pPr>
        <w:pStyle w:val="Prrafodelista"/>
        <w:ind w:left="851" w:right="680"/>
        <w:jc w:val="both"/>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Artículo 23. Son sujetos obligados a transparentar y permitir el acceso a su información y proteger los datos personales que obren en su poder:</w:t>
      </w:r>
    </w:p>
    <w:p w:rsidR="00B842E1" w:rsidRPr="00E24DFE" w:rsidRDefault="00B842E1" w:rsidP="00B842E1">
      <w:pPr>
        <w:pStyle w:val="Prrafodelista"/>
        <w:ind w:left="851" w:right="680"/>
        <w:jc w:val="both"/>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w:t>
      </w:r>
    </w:p>
    <w:p w:rsidR="00B842E1" w:rsidRPr="00E24DFE" w:rsidRDefault="00B842E1" w:rsidP="00B842E1">
      <w:pPr>
        <w:pStyle w:val="Prrafodelista"/>
        <w:ind w:left="851" w:right="680"/>
        <w:jc w:val="both"/>
        <w:rPr>
          <w:rFonts w:ascii="Palatino Linotype" w:eastAsia="Palatino Linotype" w:hAnsi="Palatino Linotype" w:cs="Palatino Linotype"/>
          <w:b/>
          <w:i/>
          <w:szCs w:val="22"/>
          <w:u w:val="single"/>
        </w:rPr>
      </w:pPr>
      <w:r w:rsidRPr="00E24DFE">
        <w:rPr>
          <w:rFonts w:ascii="Palatino Linotype" w:eastAsia="Palatino Linotype" w:hAnsi="Palatino Linotype" w:cs="Palatino Linotype"/>
          <w:b/>
          <w:i/>
          <w:szCs w:val="22"/>
          <w:u w:val="single"/>
        </w:rPr>
        <w:t>IV. Los ayuntamientos y las dependencias, organismos, órganos y entidades de la administración municipal;</w:t>
      </w:r>
    </w:p>
    <w:p w:rsidR="00B842E1" w:rsidRPr="00E24DFE" w:rsidRDefault="00B842E1" w:rsidP="00B842E1">
      <w:pPr>
        <w:pStyle w:val="Prrafodelista"/>
        <w:ind w:left="851" w:right="680"/>
        <w:jc w:val="both"/>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w:t>
      </w:r>
    </w:p>
    <w:p w:rsidR="00B842E1" w:rsidRPr="00E24DFE" w:rsidRDefault="00B842E1" w:rsidP="00B842E1">
      <w:pPr>
        <w:pStyle w:val="Prrafodelista"/>
        <w:ind w:left="851" w:right="680"/>
        <w:jc w:val="both"/>
        <w:rPr>
          <w:rFonts w:ascii="Palatino Linotype" w:eastAsia="Palatino Linotype" w:hAnsi="Palatino Linotype" w:cs="Palatino Linotype"/>
          <w:b/>
          <w:i/>
          <w:szCs w:val="22"/>
          <w:u w:val="single"/>
        </w:rPr>
      </w:pPr>
      <w:r w:rsidRPr="00E24DFE">
        <w:rPr>
          <w:rFonts w:ascii="Palatino Linotype" w:eastAsia="Palatino Linotype" w:hAnsi="Palatino Linotype" w:cs="Palatino Linotype"/>
          <w:b/>
          <w:i/>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842E1" w:rsidRPr="00E24DFE" w:rsidRDefault="00B842E1" w:rsidP="00B842E1">
      <w:pPr>
        <w:pStyle w:val="Prrafodelista"/>
        <w:ind w:left="851" w:right="680"/>
        <w:jc w:val="both"/>
        <w:rPr>
          <w:rFonts w:ascii="Palatino Linotype" w:eastAsia="Palatino Linotype" w:hAnsi="Palatino Linotype" w:cs="Palatino Linotype"/>
          <w:b/>
          <w:i/>
          <w:szCs w:val="22"/>
        </w:rPr>
      </w:pPr>
      <w:r w:rsidRPr="00E24DFE">
        <w:rPr>
          <w:rFonts w:ascii="Palatino Linotype" w:eastAsia="Palatino Linotype" w:hAnsi="Palatino Linotype" w:cs="Palatino Linotype"/>
          <w:i/>
          <w:szCs w:val="22"/>
        </w:rPr>
        <w:lastRenderedPageBreak/>
        <w:t>Los servidores públicos deberán transparentar sus acciones así como garantizar y respetar el derecho de acceso a la información pública.”</w:t>
      </w:r>
      <w:r w:rsidRPr="00E24DFE">
        <w:rPr>
          <w:rFonts w:ascii="Palatino Linotype" w:eastAsia="Palatino Linotype" w:hAnsi="Palatino Linotype" w:cs="Palatino Linotype"/>
          <w:b/>
          <w:i/>
          <w:szCs w:val="22"/>
        </w:rPr>
        <w:t xml:space="preserve"> [Sic]</w:t>
      </w:r>
    </w:p>
    <w:p w:rsidR="00B842E1" w:rsidRPr="00E24DFE" w:rsidRDefault="00B842E1" w:rsidP="00B842E1">
      <w:pPr>
        <w:pStyle w:val="Prrafodelista"/>
        <w:spacing w:line="360" w:lineRule="auto"/>
        <w:ind w:left="4613"/>
        <w:jc w:val="both"/>
        <w:rPr>
          <w:rFonts w:ascii="Palatino Linotype" w:eastAsia="Palatino Linotype" w:hAnsi="Palatino Linotype" w:cs="Palatino Linotype"/>
          <w:sz w:val="24"/>
        </w:rPr>
      </w:pPr>
    </w:p>
    <w:p w:rsidR="00B842E1" w:rsidRPr="00E24DFE" w:rsidRDefault="00B842E1" w:rsidP="00B842E1">
      <w:pPr>
        <w:pStyle w:val="Prrafodelista"/>
        <w:numPr>
          <w:ilvl w:val="0"/>
          <w:numId w:val="1"/>
        </w:numPr>
        <w:spacing w:line="360" w:lineRule="auto"/>
        <w:ind w:left="0" w:firstLine="0"/>
        <w:jc w:val="both"/>
        <w:rPr>
          <w:rFonts w:ascii="Palatino Linotype" w:eastAsia="Palatino Linotype" w:hAnsi="Palatino Linotype" w:cs="Palatino Linotype"/>
        </w:rPr>
      </w:pPr>
      <w:r w:rsidRPr="00E24DFE">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24DFE">
        <w:rPr>
          <w:rFonts w:ascii="Palatino Linotype" w:eastAsia="Palatino Linotype" w:hAnsi="Palatino Linotype" w:cs="Palatino Linotype"/>
          <w:b/>
        </w:rPr>
        <w:t>01/2003</w:t>
      </w:r>
      <w:r w:rsidRPr="00E24DFE">
        <w:rPr>
          <w:rFonts w:ascii="Palatino Linotype" w:eastAsia="Palatino Linotype" w:hAnsi="Palatino Linotype" w:cs="Palatino Linotype"/>
        </w:rPr>
        <w:t xml:space="preserve"> y </w:t>
      </w:r>
      <w:r w:rsidRPr="00E24DFE">
        <w:rPr>
          <w:rFonts w:ascii="Palatino Linotype" w:eastAsia="Palatino Linotype" w:hAnsi="Palatino Linotype" w:cs="Palatino Linotype"/>
          <w:b/>
        </w:rPr>
        <w:t>02/2003</w:t>
      </w:r>
      <w:r w:rsidRPr="00E24DFE">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B842E1" w:rsidRPr="00E24DFE" w:rsidRDefault="00B842E1" w:rsidP="00B842E1">
      <w:pPr>
        <w:pStyle w:val="Prrafodelista"/>
        <w:spacing w:line="360" w:lineRule="auto"/>
        <w:ind w:left="4613"/>
        <w:jc w:val="both"/>
        <w:rPr>
          <w:rFonts w:ascii="Palatino Linotype" w:eastAsia="Palatino Linotype" w:hAnsi="Palatino Linotype" w:cs="Palatino Linotype"/>
        </w:rPr>
      </w:pPr>
    </w:p>
    <w:p w:rsidR="00B842E1" w:rsidRPr="00E24DFE" w:rsidRDefault="00B842E1" w:rsidP="00B842E1">
      <w:pPr>
        <w:pStyle w:val="Prrafodelista"/>
        <w:ind w:left="851" w:right="851"/>
        <w:rPr>
          <w:rFonts w:ascii="Palatino Linotype" w:eastAsia="Palatino Linotype" w:hAnsi="Palatino Linotype" w:cs="Palatino Linotype"/>
          <w:b/>
          <w:i/>
          <w:szCs w:val="22"/>
        </w:rPr>
      </w:pPr>
      <w:r w:rsidRPr="00E24DFE">
        <w:rPr>
          <w:rFonts w:ascii="Palatino Linotype" w:eastAsia="Palatino Linotype" w:hAnsi="Palatino Linotype" w:cs="Palatino Linotype"/>
          <w:b/>
          <w:i/>
          <w:szCs w:val="22"/>
        </w:rPr>
        <w:t>“Criterio 01/2003.</w:t>
      </w:r>
    </w:p>
    <w:p w:rsidR="00B842E1" w:rsidRPr="00E24DFE" w:rsidRDefault="00B842E1" w:rsidP="00B842E1">
      <w:pPr>
        <w:pStyle w:val="Prrafodelista"/>
        <w:ind w:left="851" w:right="851"/>
        <w:jc w:val="both"/>
        <w:rPr>
          <w:rFonts w:ascii="Palatino Linotype" w:eastAsia="Palatino Linotype" w:hAnsi="Palatino Linotype" w:cs="Palatino Linotype"/>
          <w:i/>
          <w:szCs w:val="22"/>
        </w:rPr>
      </w:pPr>
      <w:r w:rsidRPr="00E24DFE">
        <w:rPr>
          <w:rFonts w:ascii="Palatino Linotype" w:eastAsia="Palatino Linotype" w:hAnsi="Palatino Linotype" w:cs="Palatino Linotype"/>
          <w:b/>
          <w:i/>
          <w:szCs w:val="22"/>
        </w:rPr>
        <w:t>INGRESOS DE LOS SERVIDORES PÚBLICOS. CONSTITUYEN INFORMACIÓN PÚBLICA AÚN Y CUANDO SU DIFUSIÓN PUEDE AFECTAR LA VIDA O LA SEGURIDAD DE AQUELLOS.</w:t>
      </w:r>
      <w:r w:rsidRPr="00E24DFE">
        <w:rPr>
          <w:rFonts w:ascii="Palatino Linotype" w:eastAsia="Palatino Linotype" w:hAnsi="Palatino Linotype" w:cs="Palatino Linotype"/>
          <w:i/>
          <w:szCs w:val="22"/>
        </w:rPr>
        <w:t xml:space="preserve"> </w:t>
      </w:r>
    </w:p>
    <w:p w:rsidR="00B842E1" w:rsidRPr="00E24DFE" w:rsidRDefault="00B842E1" w:rsidP="00B842E1">
      <w:pPr>
        <w:pStyle w:val="Prrafodelista"/>
        <w:ind w:left="851" w:right="851"/>
        <w:jc w:val="both"/>
        <w:rPr>
          <w:rFonts w:ascii="Palatino Linotype" w:eastAsia="Palatino Linotype" w:hAnsi="Palatino Linotype" w:cs="Palatino Linotype"/>
          <w:i/>
          <w:szCs w:val="22"/>
          <w:u w:val="single"/>
        </w:rPr>
      </w:pPr>
      <w:r w:rsidRPr="00E24DFE">
        <w:rPr>
          <w:rFonts w:ascii="Palatino Linotype" w:eastAsia="Palatino Linotype" w:hAnsi="Palatino Linotype" w:cs="Palatino Linotype"/>
          <w:i/>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24DFE">
        <w:rPr>
          <w:rFonts w:ascii="Palatino Linotype" w:eastAsia="Palatino Linotype" w:hAnsi="Palatino Linotype" w:cs="Palatino Linotype"/>
          <w:b/>
          <w:i/>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24DFE">
        <w:rPr>
          <w:rFonts w:ascii="Palatino Linotype" w:eastAsia="Palatino Linotype" w:hAnsi="Palatino Linotype" w:cs="Palatino Linotype"/>
          <w:i/>
          <w:szCs w:val="22"/>
          <w:u w:val="single"/>
        </w:rPr>
        <w:t>…”</w:t>
      </w:r>
    </w:p>
    <w:p w:rsidR="00B842E1" w:rsidRPr="00E24DFE" w:rsidRDefault="00B842E1" w:rsidP="00B842E1">
      <w:pPr>
        <w:pStyle w:val="Prrafodelista"/>
        <w:ind w:left="851" w:right="851"/>
        <w:jc w:val="both"/>
        <w:rPr>
          <w:rFonts w:ascii="Palatino Linotype" w:eastAsia="Palatino Linotype" w:hAnsi="Palatino Linotype" w:cs="Palatino Linotype"/>
          <w:i/>
          <w:szCs w:val="22"/>
        </w:rPr>
      </w:pPr>
    </w:p>
    <w:p w:rsidR="00B842E1" w:rsidRPr="00E24DFE" w:rsidRDefault="00B842E1" w:rsidP="00B842E1">
      <w:pPr>
        <w:pStyle w:val="Prrafodelista"/>
        <w:ind w:left="851" w:right="851"/>
        <w:rPr>
          <w:rFonts w:ascii="Palatino Linotype" w:eastAsia="Palatino Linotype" w:hAnsi="Palatino Linotype" w:cs="Palatino Linotype"/>
          <w:b/>
          <w:i/>
          <w:szCs w:val="22"/>
        </w:rPr>
      </w:pPr>
      <w:r w:rsidRPr="00E24DFE">
        <w:rPr>
          <w:rFonts w:ascii="Palatino Linotype" w:eastAsia="Palatino Linotype" w:hAnsi="Palatino Linotype" w:cs="Palatino Linotype"/>
          <w:b/>
          <w:i/>
          <w:szCs w:val="22"/>
        </w:rPr>
        <w:t>“Criterio 02/2003.</w:t>
      </w:r>
    </w:p>
    <w:p w:rsidR="00B842E1" w:rsidRPr="00E24DFE" w:rsidRDefault="00B842E1" w:rsidP="00B842E1">
      <w:pPr>
        <w:pStyle w:val="Prrafodelista"/>
        <w:ind w:left="851" w:right="851"/>
        <w:jc w:val="both"/>
        <w:rPr>
          <w:rFonts w:ascii="Palatino Linotype" w:eastAsia="Palatino Linotype" w:hAnsi="Palatino Linotype" w:cs="Palatino Linotype"/>
          <w:i/>
          <w:szCs w:val="22"/>
        </w:rPr>
      </w:pPr>
      <w:r w:rsidRPr="00E24DFE">
        <w:rPr>
          <w:rFonts w:ascii="Palatino Linotype" w:eastAsia="Palatino Linotype" w:hAnsi="Palatino Linotype" w:cs="Palatino Linotype"/>
          <w:b/>
          <w:i/>
          <w:szCs w:val="22"/>
        </w:rPr>
        <w:lastRenderedPageBreak/>
        <w:t>INGRESOS DE LOS SERVIDORES PÚBLICOS, SON INFORMACIÓN PÚBLICA AÚN Y CUANDO CONSTITUYEN DATOS PERSONALES QUE SE REFIEREN AL PATRIMONIO DE AQUÉLLOS.</w:t>
      </w:r>
      <w:r w:rsidRPr="00E24DFE">
        <w:rPr>
          <w:rFonts w:ascii="Palatino Linotype" w:eastAsia="Palatino Linotype" w:hAnsi="Palatino Linotype" w:cs="Palatino Linotype"/>
          <w:i/>
          <w:szCs w:val="22"/>
        </w:rPr>
        <w:t xml:space="preserve"> </w:t>
      </w:r>
    </w:p>
    <w:p w:rsidR="00B842E1" w:rsidRPr="00E24DFE" w:rsidRDefault="00B842E1" w:rsidP="00B842E1">
      <w:pPr>
        <w:pStyle w:val="Prrafodelista"/>
        <w:ind w:left="851" w:right="851"/>
        <w:jc w:val="both"/>
        <w:rPr>
          <w:rFonts w:ascii="Palatino Linotype" w:eastAsia="Palatino Linotype" w:hAnsi="Palatino Linotype" w:cs="Palatino Linotype"/>
          <w:b/>
          <w:i/>
          <w:szCs w:val="22"/>
        </w:rPr>
      </w:pPr>
      <w:r w:rsidRPr="00E24DFE">
        <w:rPr>
          <w:rFonts w:ascii="Palatino Linotype" w:eastAsia="Palatino Linotype" w:hAnsi="Palatino Linotype" w:cs="Palatino Linotype"/>
          <w:i/>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24DFE">
        <w:rPr>
          <w:rFonts w:ascii="Palatino Linotype" w:eastAsia="Palatino Linotype" w:hAnsi="Palatino Linotype" w:cs="Palatino Linotype"/>
          <w:b/>
          <w:i/>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24DFE">
        <w:rPr>
          <w:rFonts w:ascii="Palatino Linotype" w:eastAsia="Palatino Linotype" w:hAnsi="Palatino Linotype" w:cs="Palatino Linotype"/>
          <w:i/>
          <w:szCs w:val="22"/>
        </w:rPr>
        <w:t xml:space="preserve"> el sistema de compensación…” </w:t>
      </w:r>
      <w:r w:rsidRPr="00E24DFE">
        <w:rPr>
          <w:rFonts w:ascii="Palatino Linotype" w:eastAsia="Palatino Linotype" w:hAnsi="Palatino Linotype" w:cs="Palatino Linotype"/>
          <w:b/>
          <w:i/>
          <w:szCs w:val="22"/>
        </w:rPr>
        <w:t>[Sic]</w:t>
      </w:r>
    </w:p>
    <w:p w:rsidR="00B842E1" w:rsidRPr="00E24DFE" w:rsidRDefault="00B842E1" w:rsidP="00B842E1">
      <w:pPr>
        <w:pStyle w:val="Prrafodelista"/>
        <w:spacing w:line="360" w:lineRule="auto"/>
        <w:ind w:left="4613" w:right="-93"/>
        <w:jc w:val="both"/>
        <w:rPr>
          <w:rFonts w:ascii="Palatino Linotype" w:eastAsia="Palatino Linotype" w:hAnsi="Palatino Linotype" w:cs="Palatino Linotype"/>
          <w:sz w:val="24"/>
        </w:rPr>
      </w:pPr>
    </w:p>
    <w:p w:rsidR="00B842E1" w:rsidRPr="00E24DFE" w:rsidRDefault="00B842E1" w:rsidP="00B842E1">
      <w:pPr>
        <w:pStyle w:val="Prrafodelista"/>
        <w:numPr>
          <w:ilvl w:val="0"/>
          <w:numId w:val="1"/>
        </w:numPr>
        <w:tabs>
          <w:tab w:val="left" w:pos="709"/>
        </w:tabs>
        <w:spacing w:line="360" w:lineRule="auto"/>
        <w:ind w:left="0" w:firstLine="0"/>
        <w:jc w:val="both"/>
        <w:rPr>
          <w:rFonts w:ascii="Palatino Linotype" w:eastAsia="Palatino Linotype" w:hAnsi="Palatino Linotype" w:cs="Palatino Linotype"/>
        </w:rPr>
      </w:pPr>
      <w:r w:rsidRPr="00E24DFE">
        <w:rPr>
          <w:rFonts w:ascii="Palatino Linotype" w:eastAsia="Palatino Linotype" w:hAnsi="Palatino Linotype" w:cs="Palatino Linotype"/>
        </w:rPr>
        <w:t>Máxime, que se trata de una obligación de transparencia en términos de lo señalado por el artículo 92 fracción VIII de la Ley de Transparencia y Acceso a la Información Pública del Estado de México y Municipios vigente, que señala:</w:t>
      </w:r>
    </w:p>
    <w:p w:rsidR="00B842E1" w:rsidRPr="00E24DFE" w:rsidRDefault="00B842E1" w:rsidP="00B842E1">
      <w:pPr>
        <w:pStyle w:val="Prrafodelista"/>
        <w:tabs>
          <w:tab w:val="left" w:pos="709"/>
        </w:tabs>
        <w:spacing w:line="360" w:lineRule="auto"/>
        <w:ind w:left="4613"/>
        <w:jc w:val="both"/>
        <w:rPr>
          <w:rFonts w:ascii="Palatino Linotype" w:eastAsia="Palatino Linotype" w:hAnsi="Palatino Linotype" w:cs="Palatino Linotype"/>
        </w:rPr>
      </w:pPr>
    </w:p>
    <w:p w:rsidR="00B842E1" w:rsidRPr="00E24DFE" w:rsidRDefault="00B842E1" w:rsidP="00B842E1">
      <w:pPr>
        <w:pStyle w:val="Prrafodelista"/>
        <w:ind w:left="851" w:right="851"/>
        <w:jc w:val="both"/>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842E1" w:rsidRPr="00E24DFE" w:rsidRDefault="00B842E1" w:rsidP="00B842E1">
      <w:pPr>
        <w:pStyle w:val="Prrafodelista"/>
        <w:ind w:left="851" w:right="851"/>
        <w:jc w:val="both"/>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w:t>
      </w:r>
    </w:p>
    <w:p w:rsidR="00B842E1" w:rsidRPr="00E24DFE" w:rsidRDefault="00B842E1" w:rsidP="00B842E1">
      <w:pPr>
        <w:pStyle w:val="Prrafodelista"/>
        <w:ind w:left="851"/>
        <w:rPr>
          <w:rFonts w:ascii="Palatino Linotype" w:eastAsia="Palatino Linotype" w:hAnsi="Palatino Linotype" w:cs="Palatino Linotype"/>
          <w:i/>
          <w:szCs w:val="22"/>
        </w:rPr>
      </w:pPr>
      <w:r w:rsidRPr="00E24DFE">
        <w:rPr>
          <w:rFonts w:ascii="Palatino Linotype" w:eastAsia="Palatino Linotype" w:hAnsi="Palatino Linotype" w:cs="Palatino Linotype"/>
          <w:i/>
          <w:szCs w:val="22"/>
        </w:rPr>
        <w:t xml:space="preserve">VIII. </w:t>
      </w:r>
      <w:r w:rsidRPr="00E24DFE">
        <w:rPr>
          <w:rFonts w:ascii="Palatino Linotype" w:eastAsia="Palatino Linotype" w:hAnsi="Palatino Linotype" w:cs="Palatino Linotype"/>
          <w:i/>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E24DFE">
        <w:rPr>
          <w:rFonts w:ascii="Palatino Linotype" w:eastAsia="Palatino Linotype" w:hAnsi="Palatino Linotype" w:cs="Palatino Linotype"/>
          <w:i/>
          <w:szCs w:val="22"/>
        </w:rPr>
        <w:t>, señalando la periodicidad de dicha remuneración…” (Sic)</w:t>
      </w:r>
    </w:p>
    <w:p w:rsidR="00B842E1" w:rsidRPr="00E24DFE" w:rsidRDefault="00B842E1" w:rsidP="00970A48">
      <w:pPr>
        <w:spacing w:line="360" w:lineRule="auto"/>
        <w:jc w:val="both"/>
        <w:rPr>
          <w:rFonts w:ascii="Palatino Linotype" w:hAnsi="Palatino Linotype" w:cs="Arial"/>
          <w:sz w:val="24"/>
        </w:rPr>
      </w:pPr>
    </w:p>
    <w:p w:rsidR="000A3FE0" w:rsidRPr="00E24DFE" w:rsidRDefault="00B533C0" w:rsidP="000A3FE0">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 xml:space="preserve">Derivado de lo anteriormente señalado, no debemos perder de vista que el particular solicitó la </w:t>
      </w:r>
      <w:r w:rsidRPr="00E24DFE">
        <w:rPr>
          <w:rFonts w:ascii="Palatino Linotype" w:hAnsi="Palatino Linotype" w:cs="Arial"/>
          <w:b/>
          <w:sz w:val="24"/>
        </w:rPr>
        <w:t xml:space="preserve">nómina ordinaria y extraordinaria, </w:t>
      </w:r>
      <w:r w:rsidR="000A3FE0" w:rsidRPr="00E24DFE">
        <w:rPr>
          <w:rFonts w:ascii="Palatino Linotype" w:hAnsi="Palatino Linotype" w:cs="Arial"/>
          <w:b/>
          <w:sz w:val="24"/>
        </w:rPr>
        <w:t xml:space="preserve">la periodicidad con la que </w:t>
      </w:r>
      <w:r w:rsidR="000A3FE0" w:rsidRPr="00E24DFE">
        <w:rPr>
          <w:rFonts w:ascii="Palatino Linotype" w:hAnsi="Palatino Linotype" w:cs="Arial"/>
          <w:b/>
          <w:sz w:val="24"/>
        </w:rPr>
        <w:lastRenderedPageBreak/>
        <w:t>se realizan los pagos a los servidores públicos, modalidad bajo la cual se encuentra contratado el personal adscrito al Ayuntamiento de Atizapán;</w:t>
      </w:r>
      <w:r w:rsidR="000A3FE0" w:rsidRPr="00E24DFE">
        <w:rPr>
          <w:rFonts w:ascii="Palatino Linotype" w:hAnsi="Palatino Linotype" w:cs="Arial"/>
          <w:sz w:val="24"/>
        </w:rPr>
        <w:t xml:space="preserve"> en este caso, cabe señalar que esos tres requerimientos se pueden colmar con la entrega de la conciliación de nómina, ya que como se observa en las siguientes imágenes, se encuentran contemplados en el punto 4, 16, 17 y 18 del instructivos de llenado:</w:t>
      </w:r>
    </w:p>
    <w:p w:rsidR="000A3FE0" w:rsidRPr="00E24DFE" w:rsidRDefault="000A3FE0" w:rsidP="000A3FE0">
      <w:pPr>
        <w:pStyle w:val="Prrafodelista"/>
        <w:spacing w:line="360" w:lineRule="auto"/>
        <w:ind w:left="0"/>
        <w:jc w:val="both"/>
        <w:rPr>
          <w:rFonts w:ascii="Palatino Linotype" w:hAnsi="Palatino Linotype" w:cs="Arial"/>
          <w:sz w:val="24"/>
        </w:rPr>
      </w:pPr>
    </w:p>
    <w:p w:rsidR="000A3FE0" w:rsidRPr="00E24DFE" w:rsidRDefault="000A3FE0" w:rsidP="000A3FE0">
      <w:pPr>
        <w:pStyle w:val="Prrafodelista"/>
        <w:spacing w:line="360" w:lineRule="auto"/>
        <w:ind w:left="0"/>
        <w:jc w:val="center"/>
        <w:rPr>
          <w:rFonts w:ascii="Palatino Linotype" w:hAnsi="Palatino Linotype" w:cs="Arial"/>
          <w:sz w:val="24"/>
        </w:rPr>
      </w:pPr>
      <w:r w:rsidRPr="00E24DFE">
        <w:rPr>
          <w:noProof/>
          <w:lang w:eastAsia="es-MX"/>
        </w:rPr>
        <mc:AlternateContent>
          <mc:Choice Requires="wps">
            <w:drawing>
              <wp:anchor distT="0" distB="0" distL="114300" distR="114300" simplePos="0" relativeHeight="251664384" behindDoc="0" locked="0" layoutInCell="1" allowOverlap="1" wp14:anchorId="45618001" wp14:editId="48788CCA">
                <wp:simplePos x="0" y="0"/>
                <wp:positionH relativeFrom="margin">
                  <wp:align>center</wp:align>
                </wp:positionH>
                <wp:positionV relativeFrom="paragraph">
                  <wp:posOffset>1255892</wp:posOffset>
                </wp:positionV>
                <wp:extent cx="4711147" cy="1023731"/>
                <wp:effectExtent l="19050" t="19050" r="32385" b="43180"/>
                <wp:wrapNone/>
                <wp:docPr id="23" name="Rectángulo redondeado 23"/>
                <wp:cNvGraphicFramePr/>
                <a:graphic xmlns:a="http://schemas.openxmlformats.org/drawingml/2006/main">
                  <a:graphicData uri="http://schemas.microsoft.com/office/word/2010/wordprocessingShape">
                    <wps:wsp>
                      <wps:cNvSpPr/>
                      <wps:spPr>
                        <a:xfrm>
                          <a:off x="0" y="0"/>
                          <a:ext cx="4711147" cy="1023731"/>
                        </a:xfrm>
                        <a:prstGeom prst="round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D6649" id="Rectángulo redondeado 23" o:spid="_x0000_s1026" style="position:absolute;margin-left:0;margin-top:98.9pt;width:370.95pt;height:80.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" filled="f" strokecolor="red" strokeweight="4.5pt">
                <v:stroke joinstyle="miter"/>
                <w10:wrap anchorx="margin"/>
              </v:roundrect>
            </w:pict>
          </mc:Fallback>
        </mc:AlternateContent>
      </w:r>
      <w:r w:rsidRPr="00E24DFE">
        <w:rPr>
          <w:noProof/>
          <w:lang w:val="es-ES"/>
        </w:rPr>
        <w:t xml:space="preserve"> </w:t>
      </w:r>
      <w:r w:rsidRPr="00E24DFE">
        <w:rPr>
          <w:noProof/>
          <w:lang w:eastAsia="es-MX"/>
        </w:rPr>
        <w:drawing>
          <wp:inline distT="0" distB="0" distL="0" distR="0" wp14:anchorId="00948673" wp14:editId="5CF69C34">
            <wp:extent cx="4651375" cy="2854519"/>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l="27502" t="11888" r="13731" b="11905"/>
                    <a:stretch>
                      <a:fillRect/>
                    </a:stretch>
                  </pic:blipFill>
                  <pic:spPr bwMode="auto">
                    <a:xfrm>
                      <a:off x="0" y="0"/>
                      <a:ext cx="4659223" cy="2859335"/>
                    </a:xfrm>
                    <a:prstGeom prst="rect">
                      <a:avLst/>
                    </a:prstGeom>
                    <a:noFill/>
                    <a:ln>
                      <a:noFill/>
                    </a:ln>
                  </pic:spPr>
                </pic:pic>
              </a:graphicData>
            </a:graphic>
          </wp:inline>
        </w:drawing>
      </w:r>
    </w:p>
    <w:p w:rsidR="000A3FE0" w:rsidRPr="00E24DFE" w:rsidRDefault="000A3FE0" w:rsidP="000A3FE0">
      <w:pPr>
        <w:pStyle w:val="Prrafodelista"/>
        <w:spacing w:line="360" w:lineRule="auto"/>
        <w:ind w:left="0"/>
        <w:jc w:val="both"/>
        <w:rPr>
          <w:rFonts w:ascii="Palatino Linotype" w:hAnsi="Palatino Linotype" w:cs="Arial"/>
          <w:sz w:val="24"/>
        </w:rPr>
      </w:pPr>
    </w:p>
    <w:p w:rsidR="00F22650" w:rsidRPr="00E24DFE" w:rsidRDefault="00613E49" w:rsidP="00613E49">
      <w:pPr>
        <w:pStyle w:val="Prrafodelista"/>
        <w:spacing w:line="360" w:lineRule="auto"/>
        <w:ind w:left="0"/>
        <w:jc w:val="center"/>
        <w:rPr>
          <w:rFonts w:ascii="Palatino Linotype" w:hAnsi="Palatino Linotype" w:cs="Arial"/>
          <w:sz w:val="24"/>
        </w:rPr>
      </w:pPr>
      <w:r w:rsidRPr="00E24DFE">
        <w:rPr>
          <w:noProof/>
          <w:lang w:eastAsia="es-MX"/>
        </w:rPr>
        <w:lastRenderedPageBreak/>
        <mc:AlternateContent>
          <mc:Choice Requires="wps">
            <w:drawing>
              <wp:anchor distT="0" distB="0" distL="114300" distR="114300" simplePos="0" relativeHeight="251662336" behindDoc="0" locked="0" layoutInCell="1" allowOverlap="1" wp14:anchorId="7F5A93CB" wp14:editId="50E4BEB8">
                <wp:simplePos x="0" y="0"/>
                <wp:positionH relativeFrom="margin">
                  <wp:align>center</wp:align>
                </wp:positionH>
                <wp:positionV relativeFrom="paragraph">
                  <wp:posOffset>958739</wp:posOffset>
                </wp:positionV>
                <wp:extent cx="4516120" cy="1192696"/>
                <wp:effectExtent l="19050" t="19050" r="36830" b="45720"/>
                <wp:wrapNone/>
                <wp:docPr id="18" name="Rectángulo redondeado 18"/>
                <wp:cNvGraphicFramePr/>
                <a:graphic xmlns:a="http://schemas.openxmlformats.org/drawingml/2006/main">
                  <a:graphicData uri="http://schemas.microsoft.com/office/word/2010/wordprocessingShape">
                    <wps:wsp>
                      <wps:cNvSpPr/>
                      <wps:spPr>
                        <a:xfrm>
                          <a:off x="0" y="0"/>
                          <a:ext cx="4516120" cy="1192696"/>
                        </a:xfrm>
                        <a:prstGeom prst="round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78AB64" id="Rectángulo redondeado 18" o:spid="_x0000_s1026" style="position:absolute;margin-left:0;margin-top:75.5pt;width:355.6pt;height:93.9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" filled="f" strokecolor="red" strokeweight="4.5pt">
                <v:stroke joinstyle="miter"/>
                <w10:wrap anchorx="margin"/>
              </v:roundrect>
            </w:pict>
          </mc:Fallback>
        </mc:AlternateContent>
      </w:r>
      <w:r w:rsidR="00D51D4B" w:rsidRPr="00E24DFE">
        <w:rPr>
          <w:noProof/>
          <w:lang w:eastAsia="es-MX"/>
        </w:rPr>
        <w:drawing>
          <wp:inline distT="0" distB="0" distL="0" distR="0" wp14:anchorId="6A7AF88A" wp14:editId="0A9DAF09">
            <wp:extent cx="4586826" cy="4055165"/>
            <wp:effectExtent l="0" t="0" r="444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l="40312" t="12894" r="25407" b="8891"/>
                    <a:stretch>
                      <a:fillRect/>
                    </a:stretch>
                  </pic:blipFill>
                  <pic:spPr bwMode="auto">
                    <a:xfrm>
                      <a:off x="0" y="0"/>
                      <a:ext cx="4604949" cy="4071187"/>
                    </a:xfrm>
                    <a:prstGeom prst="rect">
                      <a:avLst/>
                    </a:prstGeom>
                    <a:noFill/>
                    <a:ln>
                      <a:noFill/>
                    </a:ln>
                  </pic:spPr>
                </pic:pic>
              </a:graphicData>
            </a:graphic>
          </wp:inline>
        </w:drawing>
      </w:r>
    </w:p>
    <w:p w:rsidR="00F22650" w:rsidRPr="00E24DFE" w:rsidRDefault="00F22650" w:rsidP="00F22650">
      <w:pPr>
        <w:pStyle w:val="Prrafodelista"/>
        <w:spacing w:line="360" w:lineRule="auto"/>
        <w:ind w:left="0"/>
        <w:jc w:val="both"/>
        <w:rPr>
          <w:rFonts w:ascii="Palatino Linotype" w:hAnsi="Palatino Linotype" w:cs="Arial"/>
          <w:sz w:val="24"/>
        </w:rPr>
      </w:pPr>
    </w:p>
    <w:p w:rsidR="00B842E1" w:rsidRPr="00E24DFE" w:rsidRDefault="00D51D4B" w:rsidP="009124EA">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En ese contexto, con la entrega de la conciliación de nómina, se colmaría de manera enunciativa, más no limitativa, la nómina y la periodicidad con la que</w:t>
      </w:r>
      <w:r w:rsidR="000A3FE0" w:rsidRPr="00E24DFE">
        <w:rPr>
          <w:rFonts w:ascii="Palatino Linotype" w:hAnsi="Palatino Linotype" w:cs="Arial"/>
          <w:sz w:val="24"/>
        </w:rPr>
        <w:t xml:space="preserve"> paga a los servidores públicos y la categoría con la que se encuentran contratados. </w:t>
      </w:r>
    </w:p>
    <w:p w:rsidR="00791FD4" w:rsidRPr="00E24DFE" w:rsidRDefault="00791FD4" w:rsidP="00791FD4">
      <w:pPr>
        <w:pStyle w:val="Prrafodelista"/>
        <w:spacing w:line="360" w:lineRule="auto"/>
        <w:ind w:left="0"/>
        <w:jc w:val="both"/>
        <w:rPr>
          <w:rFonts w:ascii="Palatino Linotype" w:hAnsi="Palatino Linotype" w:cs="Arial"/>
          <w:sz w:val="24"/>
        </w:rPr>
      </w:pPr>
    </w:p>
    <w:p w:rsidR="00791FD4" w:rsidRPr="00E24DFE" w:rsidRDefault="00791FD4" w:rsidP="00791FD4">
      <w:pPr>
        <w:numPr>
          <w:ilvl w:val="0"/>
          <w:numId w:val="2"/>
        </w:numPr>
        <w:spacing w:line="360" w:lineRule="auto"/>
        <w:ind w:left="0" w:right="49" w:firstLine="0"/>
        <w:contextualSpacing/>
        <w:jc w:val="both"/>
        <w:rPr>
          <w:rFonts w:ascii="Palatino Linotype" w:eastAsiaTheme="minorEastAsia" w:hAnsi="Palatino Linotype"/>
          <w:sz w:val="24"/>
          <w:szCs w:val="24"/>
        </w:rPr>
      </w:pPr>
      <w:r w:rsidRPr="00E24DFE">
        <w:rPr>
          <w:rFonts w:ascii="Palatino Linotype" w:hAnsi="Palatino Linotype" w:cs="Arial"/>
          <w:sz w:val="24"/>
          <w:szCs w:val="24"/>
        </w:rPr>
        <w:t xml:space="preserve">Por otro lado, el particular también solicitó las listas de raya en las que se advierta </w:t>
      </w:r>
      <w:r w:rsidRPr="00E24DFE">
        <w:rPr>
          <w:rFonts w:ascii="Palatino Linotype" w:hAnsi="Palatino Linotype"/>
          <w:bCs/>
          <w:sz w:val="24"/>
          <w:szCs w:val="24"/>
        </w:rPr>
        <w:t xml:space="preserve">nombre, cargo, puesto y sueldo. Al respecto, el </w:t>
      </w:r>
      <w:r w:rsidRPr="00E24DFE">
        <w:rPr>
          <w:rFonts w:ascii="Palatino Linotype" w:eastAsiaTheme="minorEastAsia" w:hAnsi="Palatino Linotype" w:cs="Arial"/>
          <w:sz w:val="24"/>
          <w:szCs w:val="24"/>
          <w:lang w:val="es-ES_tradnl"/>
        </w:rPr>
        <w:t xml:space="preserve">tenemos que la petición de datos que dio origen al presente escrito, estriba en información que deriva de una </w:t>
      </w:r>
      <w:r w:rsidRPr="00E24DFE">
        <w:rPr>
          <w:rFonts w:ascii="Palatino Linotype" w:eastAsiaTheme="minorEastAsia" w:hAnsi="Palatino Linotype" w:cs="Arial"/>
          <w:sz w:val="24"/>
          <w:szCs w:val="24"/>
          <w:lang w:val="es-ES_tradnl"/>
        </w:rPr>
        <w:lastRenderedPageBreak/>
        <w:t xml:space="preserve">relación laboral en la que se envuelve el desempeño funcional de servidores públicos cuyas actividades son remuneradas periódicamente y de la cual se debe contar con un registro con el fin de salvaguardar los derechos de ese nexo de supra subordinación; sirva de apoyo los siguientes fragmentos normativos de la </w:t>
      </w:r>
      <w:r w:rsidRPr="00E24DFE">
        <w:rPr>
          <w:rFonts w:ascii="Palatino Linotype" w:hAnsi="Palatino Linotype" w:cs="Arial"/>
          <w:sz w:val="24"/>
          <w:szCs w:val="24"/>
        </w:rPr>
        <w:t>Ley del Trabajo de los Servidores Públicos del Estado y Municipios:</w:t>
      </w:r>
    </w:p>
    <w:p w:rsidR="00791FD4" w:rsidRPr="00E24DFE" w:rsidRDefault="00791FD4" w:rsidP="00791FD4">
      <w:pPr>
        <w:spacing w:line="360" w:lineRule="auto"/>
        <w:ind w:right="49"/>
        <w:contextualSpacing/>
        <w:jc w:val="both"/>
        <w:rPr>
          <w:rFonts w:ascii="Palatino Linotype" w:hAnsi="Palatino Linotype" w:cs="Arial"/>
          <w:lang w:eastAsia="es-MX"/>
        </w:rPr>
      </w:pPr>
    </w:p>
    <w:p w:rsidR="00791FD4" w:rsidRPr="00E24DFE" w:rsidRDefault="00791FD4" w:rsidP="00791FD4">
      <w:pPr>
        <w:ind w:left="851" w:right="899"/>
        <w:jc w:val="both"/>
        <w:rPr>
          <w:rFonts w:ascii="Palatino Linotype" w:hAnsi="Palatino Linotype"/>
          <w:i/>
          <w:sz w:val="22"/>
          <w:szCs w:val="22"/>
        </w:rPr>
      </w:pPr>
      <w:r w:rsidRPr="00E24DFE">
        <w:rPr>
          <w:rFonts w:ascii="Palatino Linotype" w:hAnsi="Palatino Linotype"/>
          <w:i/>
          <w:sz w:val="22"/>
          <w:szCs w:val="22"/>
        </w:rPr>
        <w:t>“</w:t>
      </w:r>
      <w:r w:rsidRPr="00E24DFE">
        <w:rPr>
          <w:rFonts w:ascii="Palatino Linotype" w:hAnsi="Palatino Linotype"/>
          <w:b/>
          <w:i/>
          <w:sz w:val="22"/>
          <w:szCs w:val="22"/>
        </w:rPr>
        <w:t>ARTÍCULO 50</w:t>
      </w:r>
      <w:r w:rsidRPr="00E24DF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791FD4" w:rsidRPr="00E24DFE" w:rsidRDefault="00791FD4" w:rsidP="00791FD4">
      <w:pPr>
        <w:ind w:left="851" w:right="899"/>
        <w:jc w:val="both"/>
        <w:rPr>
          <w:rFonts w:ascii="Palatino Linotype" w:hAnsi="Palatino Linotype"/>
          <w:i/>
          <w:sz w:val="22"/>
          <w:szCs w:val="22"/>
        </w:rPr>
      </w:pPr>
      <w:r w:rsidRPr="00E24DFE">
        <w:rPr>
          <w:rFonts w:ascii="Palatino Linotype" w:hAnsi="Palatino Linotype"/>
          <w:i/>
          <w:sz w:val="22"/>
          <w:szCs w:val="22"/>
        </w:rPr>
        <w:t xml:space="preserve">Iguales consecuencias se generarán para todos los </w:t>
      </w:r>
      <w:r w:rsidRPr="00E24DFE">
        <w:rPr>
          <w:rFonts w:ascii="Palatino Linotype" w:hAnsi="Palatino Linotype"/>
          <w:b/>
          <w:i/>
          <w:sz w:val="22"/>
          <w:szCs w:val="22"/>
        </w:rPr>
        <w:t>servidores públicos, cuando la relación de trabajo se formalice mediante un contrato o por encontrarse en lista de raya</w:t>
      </w:r>
      <w:r w:rsidRPr="00E24DFE">
        <w:rPr>
          <w:rFonts w:ascii="Palatino Linotype" w:hAnsi="Palatino Linotype"/>
          <w:i/>
          <w:sz w:val="22"/>
          <w:szCs w:val="22"/>
        </w:rPr>
        <w:t>.”</w:t>
      </w:r>
    </w:p>
    <w:p w:rsidR="00791FD4" w:rsidRPr="00E24DFE" w:rsidRDefault="00791FD4" w:rsidP="00791FD4">
      <w:pPr>
        <w:ind w:left="851" w:right="899"/>
        <w:jc w:val="both"/>
        <w:rPr>
          <w:rFonts w:ascii="Palatino Linotype" w:hAnsi="Palatino Linotype" w:cs="Arial"/>
          <w:sz w:val="22"/>
          <w:szCs w:val="22"/>
        </w:rPr>
      </w:pP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
          <w:bCs/>
          <w:i/>
          <w:sz w:val="22"/>
          <w:szCs w:val="22"/>
        </w:rPr>
        <w:t xml:space="preserve"> “ARTÍCULO 220 K.-</w:t>
      </w:r>
      <w:r w:rsidRPr="00E24DFE">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Cs/>
          <w:i/>
          <w:sz w:val="22"/>
          <w:szCs w:val="22"/>
        </w:rPr>
        <w:t>…</w:t>
      </w: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Cs/>
          <w:i/>
          <w:sz w:val="22"/>
          <w:szCs w:val="22"/>
        </w:rPr>
        <w:t xml:space="preserve">II. Recibos de pagos de salarios o </w:t>
      </w:r>
      <w:r w:rsidRPr="00E24DFE">
        <w:rPr>
          <w:rFonts w:ascii="Palatino Linotype" w:hAnsi="Palatino Linotype"/>
          <w:b/>
          <w:bCs/>
          <w:i/>
          <w:sz w:val="22"/>
          <w:szCs w:val="22"/>
        </w:rPr>
        <w:t>las constancias documentales del pago de salario</w:t>
      </w:r>
      <w:r w:rsidRPr="00E24DFE">
        <w:rPr>
          <w:rFonts w:ascii="Palatino Linotype" w:hAnsi="Palatino Linotype"/>
          <w:bCs/>
          <w:i/>
          <w:sz w:val="22"/>
          <w:szCs w:val="22"/>
        </w:rPr>
        <w:t xml:space="preserve"> cuando sea por depósito o mediante información electrónica;</w:t>
      </w: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Cs/>
          <w:i/>
          <w:sz w:val="22"/>
          <w:szCs w:val="22"/>
        </w:rPr>
        <w:t>…</w:t>
      </w: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791FD4" w:rsidRPr="00E24DFE" w:rsidRDefault="00791FD4" w:rsidP="00791FD4">
      <w:pPr>
        <w:tabs>
          <w:tab w:val="left" w:pos="8222"/>
          <w:tab w:val="left" w:pos="9072"/>
        </w:tabs>
        <w:ind w:left="851" w:right="899"/>
        <w:jc w:val="both"/>
        <w:rPr>
          <w:rFonts w:ascii="Palatino Linotype" w:hAnsi="Palatino Linotype"/>
          <w:bCs/>
          <w:i/>
          <w:sz w:val="22"/>
          <w:szCs w:val="22"/>
        </w:rPr>
      </w:pPr>
      <w:r w:rsidRPr="00E24DFE">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24DFE">
        <w:rPr>
          <w:rFonts w:ascii="Palatino Linotype" w:hAnsi="Palatino Linotype"/>
          <w:b/>
          <w:bCs/>
          <w:i/>
          <w:sz w:val="22"/>
          <w:szCs w:val="22"/>
        </w:rPr>
        <w:t>”</w:t>
      </w:r>
    </w:p>
    <w:p w:rsidR="00791FD4" w:rsidRPr="00E24DFE" w:rsidRDefault="00791FD4" w:rsidP="00791FD4">
      <w:pPr>
        <w:tabs>
          <w:tab w:val="left" w:pos="8222"/>
        </w:tabs>
        <w:ind w:left="851" w:right="899"/>
        <w:jc w:val="both"/>
        <w:rPr>
          <w:rFonts w:ascii="Palatino Linotype" w:hAnsi="Palatino Linotype" w:cs="Arial"/>
          <w:sz w:val="22"/>
          <w:szCs w:val="22"/>
        </w:rPr>
      </w:pPr>
      <w:r w:rsidRPr="00E24DFE">
        <w:rPr>
          <w:rFonts w:ascii="Palatino Linotype" w:hAnsi="Palatino Linotype" w:cs="Arial"/>
          <w:sz w:val="22"/>
          <w:szCs w:val="22"/>
        </w:rPr>
        <w:t>(Énfasis añadido)</w:t>
      </w:r>
    </w:p>
    <w:p w:rsidR="00791FD4" w:rsidRPr="00E24DFE" w:rsidRDefault="00791FD4" w:rsidP="00791FD4">
      <w:pPr>
        <w:spacing w:line="360" w:lineRule="auto"/>
        <w:ind w:right="49"/>
        <w:contextualSpacing/>
        <w:jc w:val="both"/>
        <w:rPr>
          <w:rFonts w:ascii="Palatino Linotype" w:eastAsiaTheme="minorEastAsia" w:hAnsi="Palatino Linotype"/>
          <w:sz w:val="24"/>
          <w:szCs w:val="24"/>
        </w:rPr>
      </w:pPr>
    </w:p>
    <w:p w:rsidR="00791FD4" w:rsidRPr="00E24DFE" w:rsidRDefault="00791FD4" w:rsidP="00791FD4">
      <w:pPr>
        <w:numPr>
          <w:ilvl w:val="0"/>
          <w:numId w:val="2"/>
        </w:numPr>
        <w:spacing w:line="360" w:lineRule="auto"/>
        <w:ind w:left="0" w:right="49" w:firstLine="0"/>
        <w:contextualSpacing/>
        <w:jc w:val="both"/>
        <w:rPr>
          <w:rFonts w:ascii="Palatino Linotype" w:eastAsiaTheme="minorEastAsia" w:hAnsi="Palatino Linotype"/>
          <w:sz w:val="24"/>
        </w:rPr>
      </w:pPr>
      <w:r w:rsidRPr="00E24DFE">
        <w:rPr>
          <w:rFonts w:ascii="Palatino Linotype" w:hAnsi="Palatino Linotype" w:cs="Arial"/>
          <w:sz w:val="24"/>
        </w:rPr>
        <w:t xml:space="preserve">Así las cosas, se advierte de lo anteriormente citado,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Por lo tanto, es dable ordenar la entrega, de ser procedente en versión pública, de las listas de raya en las que se advierta </w:t>
      </w:r>
      <w:r w:rsidRPr="00E24DFE">
        <w:rPr>
          <w:rFonts w:ascii="Palatino Linotype" w:hAnsi="Palatino Linotype"/>
          <w:bCs/>
          <w:sz w:val="24"/>
          <w:szCs w:val="24"/>
        </w:rPr>
        <w:t xml:space="preserve">nombre, cargo, puesto y sueldo del personal. </w:t>
      </w:r>
    </w:p>
    <w:p w:rsidR="00B842E1" w:rsidRPr="00E24DFE" w:rsidRDefault="00B842E1" w:rsidP="00791FD4">
      <w:pPr>
        <w:pStyle w:val="Prrafodelista"/>
        <w:spacing w:line="360" w:lineRule="auto"/>
        <w:ind w:left="0"/>
        <w:jc w:val="both"/>
        <w:rPr>
          <w:rFonts w:ascii="Palatino Linotype" w:hAnsi="Palatino Linotype" w:cs="Arial"/>
          <w:sz w:val="24"/>
        </w:rPr>
      </w:pPr>
    </w:p>
    <w:p w:rsidR="009124EA" w:rsidRPr="00E24DFE" w:rsidRDefault="009124EA" w:rsidP="009124EA">
      <w:pPr>
        <w:pStyle w:val="Prrafodelista"/>
        <w:numPr>
          <w:ilvl w:val="0"/>
          <w:numId w:val="1"/>
        </w:numPr>
        <w:spacing w:line="360" w:lineRule="auto"/>
        <w:ind w:left="0" w:firstLine="0"/>
        <w:jc w:val="both"/>
        <w:rPr>
          <w:rFonts w:ascii="Palatino Linotype" w:hAnsi="Palatino Linotype" w:cs="Arial"/>
          <w:sz w:val="24"/>
        </w:rPr>
      </w:pPr>
      <w:r w:rsidRPr="00E24DFE">
        <w:rPr>
          <w:rFonts w:ascii="Palatino Linotype" w:hAnsi="Palatino Linotype" w:cs="Arial"/>
          <w:sz w:val="24"/>
        </w:rPr>
        <w:t>Ahora bien</w:t>
      </w:r>
      <w:r w:rsidRPr="00E24DFE">
        <w:rPr>
          <w:rFonts w:ascii="Palatino Linotype" w:hAnsi="Palatino Linotype" w:cs="Arial"/>
          <w:color w:val="000000"/>
          <w:sz w:val="24"/>
        </w:rPr>
        <w:t>, debemos tomar en cuenta los artículos 4 y 12, de la Ley de Transparencia y Acceso a la Información Pública del Estado de México y Municipios, los cuales establecen lo siguiente:</w:t>
      </w:r>
    </w:p>
    <w:p w:rsidR="009124EA" w:rsidRPr="00E24DFE" w:rsidRDefault="009124EA" w:rsidP="009124EA">
      <w:pPr>
        <w:pStyle w:val="Prrafodelista"/>
        <w:spacing w:line="360" w:lineRule="auto"/>
        <w:rPr>
          <w:rFonts w:ascii="Palatino Linotype" w:hAnsi="Palatino Linotype" w:cs="Arial"/>
          <w:color w:val="000000"/>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r w:rsidRPr="00E24DFE">
        <w:rPr>
          <w:rFonts w:ascii="Palatino Linotype" w:hAnsi="Palatino Linotype" w:cs="Bookman Old Style,Bold"/>
          <w:b/>
          <w:bCs/>
          <w:i/>
          <w:sz w:val="22"/>
        </w:rPr>
        <w:t xml:space="preserve">Artículo 4. </w:t>
      </w:r>
      <w:r w:rsidRPr="00E24DFE">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r w:rsidRPr="00E24DFE">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E24DFE">
        <w:rPr>
          <w:rFonts w:ascii="Palatino Linotype" w:hAnsi="Palatino Linotype" w:cs="Bookman Old Style"/>
          <w:i/>
          <w:sz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r w:rsidRPr="00E24DFE">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9124EA" w:rsidRPr="00E24DFE" w:rsidRDefault="009124EA" w:rsidP="009124EA">
      <w:pPr>
        <w:autoSpaceDE w:val="0"/>
        <w:autoSpaceDN w:val="0"/>
        <w:adjustRightInd w:val="0"/>
        <w:spacing w:line="360" w:lineRule="auto"/>
        <w:ind w:right="567"/>
        <w:jc w:val="both"/>
        <w:rPr>
          <w:rFonts w:ascii="Palatino Linotype" w:hAnsi="Palatino Linotype" w:cs="Arial"/>
          <w:i/>
          <w:color w:val="000000"/>
          <w:sz w:val="28"/>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r w:rsidRPr="00E24DFE">
        <w:rPr>
          <w:rFonts w:ascii="Palatino Linotype" w:hAnsi="Palatino Linotype" w:cs="Bookman Old Style,Bold"/>
          <w:b/>
          <w:bCs/>
          <w:i/>
          <w:sz w:val="22"/>
        </w:rPr>
        <w:t xml:space="preserve">Artículo 12. </w:t>
      </w:r>
      <w:r w:rsidRPr="00E24DFE">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p>
    <w:p w:rsidR="009124EA" w:rsidRPr="00E24DFE" w:rsidRDefault="009124EA" w:rsidP="009124EA">
      <w:pPr>
        <w:autoSpaceDE w:val="0"/>
        <w:autoSpaceDN w:val="0"/>
        <w:adjustRightInd w:val="0"/>
        <w:spacing w:line="360" w:lineRule="auto"/>
        <w:ind w:left="567" w:right="567"/>
        <w:jc w:val="both"/>
        <w:rPr>
          <w:rFonts w:ascii="Palatino Linotype" w:hAnsi="Palatino Linotype" w:cs="Bookman Old Style"/>
          <w:i/>
          <w:sz w:val="22"/>
        </w:rPr>
      </w:pPr>
      <w:r w:rsidRPr="00E24DFE">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24DFE">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9124EA" w:rsidRPr="00E24DFE" w:rsidRDefault="009124EA" w:rsidP="009124EA">
      <w:pPr>
        <w:autoSpaceDE w:val="0"/>
        <w:autoSpaceDN w:val="0"/>
        <w:adjustRightInd w:val="0"/>
        <w:spacing w:line="360" w:lineRule="auto"/>
        <w:ind w:left="567" w:right="567"/>
        <w:jc w:val="both"/>
        <w:rPr>
          <w:rFonts w:ascii="Palatino Linotype" w:hAnsi="Palatino Linotype" w:cs="Arial"/>
          <w:i/>
          <w:color w:val="000000"/>
          <w:sz w:val="28"/>
        </w:rPr>
      </w:pPr>
    </w:p>
    <w:p w:rsidR="009124EA" w:rsidRPr="00E24DFE" w:rsidRDefault="009124EA" w:rsidP="009124E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24DFE">
        <w:rPr>
          <w:rFonts w:ascii="Palatino Linotype" w:hAnsi="Palatino Linotype"/>
          <w:sz w:val="24"/>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E24DFE">
        <w:rPr>
          <w:rFonts w:ascii="Palatino Linotype" w:hAnsi="Palatino Linotype"/>
          <w:sz w:val="24"/>
          <w:lang w:val="es-ES"/>
        </w:rPr>
        <w:lastRenderedPageBreak/>
        <w:t>aquella información que se encuentre en su posesión en estricto apego a los principios de eficacia</w:t>
      </w:r>
      <w:r w:rsidRPr="00E24DFE">
        <w:rPr>
          <w:rStyle w:val="Refdenotaalpie"/>
          <w:rFonts w:ascii="Palatino Linotype" w:hAnsi="Palatino Linotype"/>
          <w:sz w:val="24"/>
          <w:lang w:val="es-ES"/>
        </w:rPr>
        <w:footnoteReference w:id="11"/>
      </w:r>
      <w:r w:rsidRPr="00E24DFE">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124EA" w:rsidRPr="00E24DFE" w:rsidRDefault="009124EA" w:rsidP="009124EA">
      <w:pPr>
        <w:pStyle w:val="Prrafodelista"/>
        <w:tabs>
          <w:tab w:val="left" w:pos="851"/>
        </w:tabs>
        <w:spacing w:line="360" w:lineRule="auto"/>
        <w:ind w:left="0" w:right="49"/>
        <w:jc w:val="both"/>
        <w:rPr>
          <w:rFonts w:ascii="Palatino Linotype" w:hAnsi="Palatino Linotype"/>
          <w:sz w:val="24"/>
          <w:lang w:val="es-ES"/>
        </w:rPr>
      </w:pPr>
    </w:p>
    <w:p w:rsidR="009124EA" w:rsidRPr="00E24DFE" w:rsidRDefault="009124EA" w:rsidP="009124E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24DFE">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124EA" w:rsidRPr="00E24DFE" w:rsidRDefault="009124EA" w:rsidP="009124EA">
      <w:pPr>
        <w:pStyle w:val="Prrafodelista"/>
        <w:spacing w:line="360" w:lineRule="auto"/>
        <w:rPr>
          <w:rFonts w:ascii="Palatino Linotype" w:hAnsi="Palatino Linotype"/>
          <w:lang w:val="es-ES"/>
        </w:rPr>
      </w:pPr>
    </w:p>
    <w:p w:rsidR="009124EA" w:rsidRPr="00E24DFE" w:rsidRDefault="009124EA" w:rsidP="009124EA">
      <w:pPr>
        <w:pStyle w:val="Prrafodelista"/>
        <w:tabs>
          <w:tab w:val="left" w:pos="851"/>
        </w:tabs>
        <w:spacing w:line="360" w:lineRule="auto"/>
        <w:ind w:left="567" w:right="567"/>
        <w:jc w:val="both"/>
        <w:rPr>
          <w:rFonts w:ascii="Palatino Linotype" w:hAnsi="Palatino Linotype"/>
          <w:i/>
        </w:rPr>
      </w:pPr>
      <w:r w:rsidRPr="00E24DFE">
        <w:rPr>
          <w:rFonts w:ascii="Palatino Linotype" w:hAnsi="Palatino Linotype"/>
          <w:b/>
          <w:i/>
        </w:rPr>
        <w:t>ACCESO A LA INFORMACIÓN. IMPLICACIÓN DEL PRINCIPIO DE MÁXIMA PUBLICIDAD EN EL DERECHO FUNDAMENTAL RELATIVO.</w:t>
      </w:r>
      <w:r w:rsidRPr="00E24DF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E24DFE">
        <w:rPr>
          <w:rFonts w:ascii="Palatino Linotype" w:hAnsi="Palatino Linotype"/>
          <w:i/>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9124EA" w:rsidRPr="00E24DFE" w:rsidRDefault="009124EA" w:rsidP="009124EA">
      <w:pPr>
        <w:pStyle w:val="Prrafodelista"/>
        <w:tabs>
          <w:tab w:val="left" w:pos="851"/>
        </w:tabs>
        <w:spacing w:line="360" w:lineRule="auto"/>
        <w:ind w:left="567" w:right="567"/>
        <w:jc w:val="both"/>
        <w:rPr>
          <w:rFonts w:ascii="Palatino Linotype" w:hAnsi="Palatino Linotype"/>
          <w:i/>
        </w:rPr>
      </w:pPr>
    </w:p>
    <w:p w:rsidR="009124EA" w:rsidRPr="00E24DFE" w:rsidRDefault="009124EA" w:rsidP="009124EA">
      <w:pPr>
        <w:pStyle w:val="Prrafodelista"/>
        <w:tabs>
          <w:tab w:val="left" w:pos="851"/>
        </w:tabs>
        <w:spacing w:line="360" w:lineRule="auto"/>
        <w:ind w:left="567" w:right="567"/>
        <w:jc w:val="both"/>
        <w:rPr>
          <w:rFonts w:ascii="Palatino Linotype" w:hAnsi="Palatino Linotype"/>
          <w:i/>
        </w:rPr>
      </w:pPr>
      <w:r w:rsidRPr="00E24DFE">
        <w:rPr>
          <w:rFonts w:ascii="Palatino Linotype" w:hAnsi="Palatino Linotype"/>
          <w:i/>
        </w:rPr>
        <w:t xml:space="preserve">CUARTO TRIBUNAL COLEGIADO EN MATERIA ADMINISTRATIVA DEL PRIMER CIRCUITO. </w:t>
      </w:r>
    </w:p>
    <w:p w:rsidR="009124EA" w:rsidRPr="00E24DFE" w:rsidRDefault="009124EA" w:rsidP="009124EA">
      <w:pPr>
        <w:pStyle w:val="Prrafodelista"/>
        <w:tabs>
          <w:tab w:val="left" w:pos="851"/>
        </w:tabs>
        <w:spacing w:line="360" w:lineRule="auto"/>
        <w:ind w:left="567" w:right="567"/>
        <w:jc w:val="both"/>
        <w:rPr>
          <w:rFonts w:ascii="Palatino Linotype" w:hAnsi="Palatino Linotype"/>
          <w:i/>
        </w:rPr>
      </w:pPr>
    </w:p>
    <w:p w:rsidR="009124EA" w:rsidRPr="00E24DFE" w:rsidRDefault="009124EA" w:rsidP="009124EA">
      <w:pPr>
        <w:pStyle w:val="Prrafodelista"/>
        <w:tabs>
          <w:tab w:val="left" w:pos="851"/>
        </w:tabs>
        <w:spacing w:line="360" w:lineRule="auto"/>
        <w:ind w:left="567" w:right="567"/>
        <w:jc w:val="both"/>
        <w:rPr>
          <w:rFonts w:ascii="Palatino Linotype" w:hAnsi="Palatino Linotype"/>
          <w:i/>
          <w:lang w:val="es-ES"/>
        </w:rPr>
      </w:pPr>
      <w:r w:rsidRPr="00E24DFE">
        <w:rPr>
          <w:rFonts w:ascii="Palatino Linotype" w:hAnsi="Palatino Linotype"/>
          <w:i/>
        </w:rPr>
        <w:t xml:space="preserve">Amparo en revisión 257/2012. Ruth Corona Muñoz. 6 de diciembre de 2012. Unanimidad de votos. Ponente: Jean Claude </w:t>
      </w:r>
      <w:proofErr w:type="spellStart"/>
      <w:r w:rsidRPr="00E24DFE">
        <w:rPr>
          <w:rFonts w:ascii="Palatino Linotype" w:hAnsi="Palatino Linotype"/>
          <w:i/>
        </w:rPr>
        <w:t>Tron</w:t>
      </w:r>
      <w:proofErr w:type="spellEnd"/>
      <w:r w:rsidRPr="00E24DFE">
        <w:rPr>
          <w:rFonts w:ascii="Palatino Linotype" w:hAnsi="Palatino Linotype"/>
          <w:i/>
        </w:rPr>
        <w:t xml:space="preserve"> </w:t>
      </w:r>
      <w:proofErr w:type="spellStart"/>
      <w:r w:rsidRPr="00E24DFE">
        <w:rPr>
          <w:rFonts w:ascii="Palatino Linotype" w:hAnsi="Palatino Linotype"/>
          <w:i/>
        </w:rPr>
        <w:t>Petit</w:t>
      </w:r>
      <w:proofErr w:type="spellEnd"/>
      <w:r w:rsidRPr="00E24DFE">
        <w:rPr>
          <w:rFonts w:ascii="Palatino Linotype" w:hAnsi="Palatino Linotype"/>
          <w:i/>
        </w:rPr>
        <w:t>. Secretaria: Mayra Susana Martínez López.</w:t>
      </w:r>
    </w:p>
    <w:p w:rsidR="009124EA" w:rsidRPr="00E24DFE" w:rsidRDefault="009124EA" w:rsidP="009124EA">
      <w:pPr>
        <w:pStyle w:val="Prrafodelista"/>
        <w:spacing w:line="360" w:lineRule="auto"/>
        <w:rPr>
          <w:rFonts w:ascii="Palatino Linotype" w:hAnsi="Palatino Linotype"/>
          <w:lang w:val="es-ES"/>
        </w:rPr>
      </w:pPr>
    </w:p>
    <w:p w:rsidR="009124EA" w:rsidRPr="00E24DFE" w:rsidRDefault="009124EA" w:rsidP="009124EA">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E24DFE">
        <w:rPr>
          <w:rFonts w:ascii="Palatino Linotype" w:hAnsi="Palatino Linotype"/>
          <w:sz w:val="24"/>
          <w:lang w:val="es-ES"/>
        </w:rPr>
        <w:lastRenderedPageBreak/>
        <w:t>El derecho de acceso a la información encuentra su materia elemental en los documentos, y la Ley de Transparencia local  nos brinda el siguiente concepto, para darnos un mejor panorama:</w:t>
      </w:r>
    </w:p>
    <w:p w:rsidR="009124EA" w:rsidRPr="00E24DFE" w:rsidRDefault="009124EA" w:rsidP="009124EA">
      <w:pPr>
        <w:autoSpaceDE w:val="0"/>
        <w:autoSpaceDN w:val="0"/>
        <w:adjustRightInd w:val="0"/>
        <w:spacing w:line="360" w:lineRule="auto"/>
        <w:ind w:left="567" w:right="567"/>
        <w:jc w:val="both"/>
        <w:rPr>
          <w:rFonts w:ascii="Palatino Linotype" w:hAnsi="Palatino Linotype"/>
          <w:i/>
          <w:sz w:val="28"/>
          <w:lang w:val="es-ES"/>
        </w:rPr>
      </w:pPr>
      <w:r w:rsidRPr="00E24DFE">
        <w:rPr>
          <w:rFonts w:ascii="Palatino Linotype" w:eastAsiaTheme="minorHAnsi" w:hAnsi="Palatino Linotype" w:cs="Bookman Old Style,Bold"/>
          <w:b/>
          <w:bCs/>
          <w:i/>
          <w:sz w:val="22"/>
          <w:lang w:eastAsia="en-US"/>
        </w:rPr>
        <w:t xml:space="preserve">XI. Documento: </w:t>
      </w:r>
      <w:r w:rsidRPr="00E24DFE">
        <w:rPr>
          <w:rFonts w:ascii="Palatino Linotype" w:eastAsiaTheme="minorHAnsi" w:hAnsi="Palatino Linotype" w:cs="Bookman Old Style"/>
          <w:i/>
          <w:sz w:val="22"/>
          <w:lang w:eastAsia="en-US"/>
        </w:rPr>
        <w:t xml:space="preserve">Los expedientes, reportes, estudios, actas, resoluciones, </w:t>
      </w:r>
      <w:r w:rsidRPr="00E24DFE">
        <w:rPr>
          <w:rFonts w:ascii="Palatino Linotype" w:eastAsiaTheme="minorHAnsi" w:hAnsi="Palatino Linotype" w:cs="Bookman Old Style"/>
          <w:b/>
          <w:i/>
          <w:sz w:val="22"/>
          <w:lang w:eastAsia="en-US"/>
        </w:rPr>
        <w:t>oficios</w:t>
      </w:r>
      <w:r w:rsidRPr="00E24DFE">
        <w:rPr>
          <w:rFonts w:ascii="Palatino Linotype" w:eastAsiaTheme="minorHAnsi" w:hAnsi="Palatino Linotype" w:cs="Bookman Old Style"/>
          <w:i/>
          <w:sz w:val="22"/>
          <w:lang w:eastAsia="en-US"/>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124EA" w:rsidRPr="00E24DFE" w:rsidRDefault="009124EA" w:rsidP="009124EA">
      <w:pPr>
        <w:pStyle w:val="Prrafodelista"/>
        <w:tabs>
          <w:tab w:val="left" w:pos="851"/>
        </w:tabs>
        <w:spacing w:line="360" w:lineRule="auto"/>
        <w:ind w:left="0" w:right="49"/>
        <w:jc w:val="both"/>
        <w:rPr>
          <w:rFonts w:ascii="Palatino Linotype" w:hAnsi="Palatino Linotype"/>
          <w:lang w:val="es-ES"/>
        </w:rPr>
      </w:pPr>
    </w:p>
    <w:p w:rsidR="009124EA" w:rsidRPr="00E24DFE" w:rsidRDefault="009124EA" w:rsidP="009124E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24DFE">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 Por lo tanto, al advertir fuente obligacional que constriñe al Sujeto Obligado a poseer la información</w:t>
      </w:r>
      <w:r w:rsidRPr="00E24DFE">
        <w:rPr>
          <w:rFonts w:ascii="Palatino Linotype" w:hAnsi="Palatino Linotype" w:cs="Arial"/>
          <w:sz w:val="24"/>
        </w:rPr>
        <w:t>, este Órgano Garante determina dable ORDENAR la entrega</w:t>
      </w:r>
      <w:r w:rsidR="00791FD4" w:rsidRPr="00E24DFE">
        <w:rPr>
          <w:rFonts w:ascii="Palatino Linotype" w:hAnsi="Palatino Linotype" w:cs="Arial"/>
          <w:sz w:val="24"/>
        </w:rPr>
        <w:t xml:space="preserve"> de la información solicitada.</w:t>
      </w:r>
      <w:r w:rsidRPr="00E24DFE">
        <w:rPr>
          <w:rFonts w:ascii="Palatino Linotype" w:hAnsi="Palatino Linotype" w:cs="Arial"/>
          <w:sz w:val="24"/>
        </w:rPr>
        <w:t xml:space="preserve"> </w:t>
      </w:r>
    </w:p>
    <w:p w:rsidR="009124EA" w:rsidRPr="00E24DFE" w:rsidRDefault="009124EA" w:rsidP="009124EA">
      <w:pPr>
        <w:pStyle w:val="Prrafodelista"/>
        <w:tabs>
          <w:tab w:val="left" w:pos="851"/>
        </w:tabs>
        <w:spacing w:line="360" w:lineRule="auto"/>
        <w:ind w:left="0" w:right="49"/>
        <w:jc w:val="both"/>
        <w:rPr>
          <w:rFonts w:ascii="Palatino Linotype" w:hAnsi="Palatino Linotype"/>
          <w:sz w:val="24"/>
          <w:lang w:val="es-ES"/>
        </w:rPr>
      </w:pPr>
    </w:p>
    <w:p w:rsidR="009124EA" w:rsidRPr="00E24DFE" w:rsidRDefault="009124EA" w:rsidP="009124EA">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E24DFE">
        <w:rPr>
          <w:rFonts w:ascii="Palatino Linotype" w:hAnsi="Palatino Linotype" w:cs="Arial"/>
          <w:sz w:val="24"/>
        </w:rPr>
        <w:t xml:space="preserve">Por otro lado, dada la naturaleza de la información que se ordena, el Sujeto Obligado deberá atender a lo establecido en el considerando de la versión pública. </w:t>
      </w:r>
    </w:p>
    <w:p w:rsidR="009124EA" w:rsidRPr="00E24DFE" w:rsidRDefault="009124EA" w:rsidP="009124EA">
      <w:pPr>
        <w:pStyle w:val="Prrafodelista"/>
        <w:spacing w:line="360" w:lineRule="auto"/>
        <w:ind w:left="0"/>
        <w:jc w:val="both"/>
        <w:rPr>
          <w:rFonts w:ascii="Palatino Linotype" w:hAnsi="Palatino Linotype" w:cs="Arial"/>
          <w:sz w:val="24"/>
        </w:rPr>
      </w:pPr>
    </w:p>
    <w:p w:rsidR="009124EA" w:rsidRPr="00E24DFE" w:rsidRDefault="009124EA" w:rsidP="009124EA">
      <w:pPr>
        <w:pStyle w:val="Ttulo1"/>
        <w:spacing w:before="0"/>
        <w:rPr>
          <w:rFonts w:ascii="Palatino Linotype" w:hAnsi="Palatino Linotype"/>
          <w:b/>
          <w:color w:val="auto"/>
          <w:sz w:val="24"/>
          <w:lang w:val="es-ES_tradnl"/>
        </w:rPr>
      </w:pPr>
      <w:r w:rsidRPr="00E24DFE">
        <w:rPr>
          <w:rFonts w:ascii="Palatino Linotype" w:hAnsi="Palatino Linotype"/>
          <w:b/>
          <w:color w:val="auto"/>
          <w:sz w:val="24"/>
          <w:lang w:val="es-ES_tradnl"/>
        </w:rPr>
        <w:lastRenderedPageBreak/>
        <w:t>QUINTO. De la versión pública.</w:t>
      </w:r>
      <w:bookmarkEnd w:id="15"/>
    </w:p>
    <w:p w:rsidR="009124EA" w:rsidRPr="00E24DFE" w:rsidRDefault="009124EA" w:rsidP="009124EA">
      <w:pPr>
        <w:rPr>
          <w:rFonts w:eastAsiaTheme="minorEastAsia"/>
          <w:lang w:val="es-ES_tradnl"/>
        </w:rPr>
      </w:pPr>
    </w:p>
    <w:p w:rsidR="009124EA" w:rsidRPr="00E24DFE" w:rsidRDefault="009124EA" w:rsidP="009124EA">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 w:name="_Toc48135362"/>
      <w:bookmarkStart w:id="18" w:name="_Toc72309902"/>
      <w:bookmarkStart w:id="19" w:name="_Toc73643041"/>
      <w:bookmarkStart w:id="20" w:name="_Toc73911519"/>
      <w:bookmarkStart w:id="21" w:name="_Toc87549683"/>
      <w:r w:rsidRPr="00E24DFE">
        <w:rPr>
          <w:rFonts w:ascii="Palatino Linotype" w:hAnsi="Palatino Linotype" w:cs="Times New Roman"/>
          <w:b/>
          <w:color w:val="000000" w:themeColor="text1"/>
          <w:sz w:val="24"/>
          <w:szCs w:val="24"/>
          <w:lang w:eastAsia="es-ES_tradnl"/>
        </w:rPr>
        <w:t>Nociones generales.</w:t>
      </w:r>
      <w:bookmarkEnd w:id="17"/>
      <w:bookmarkEnd w:id="18"/>
      <w:bookmarkEnd w:id="19"/>
      <w:bookmarkEnd w:id="20"/>
      <w:bookmarkEnd w:id="21"/>
      <w:r w:rsidRPr="00E24DFE">
        <w:rPr>
          <w:rFonts w:ascii="Palatino Linotype" w:hAnsi="Palatino Linotype" w:cs="Times New Roman"/>
          <w:b/>
          <w:color w:val="000000" w:themeColor="text1"/>
          <w:sz w:val="24"/>
          <w:szCs w:val="24"/>
          <w:lang w:eastAsia="es-ES_tradnl"/>
        </w:rPr>
        <w:t xml:space="preserve"> </w:t>
      </w:r>
    </w:p>
    <w:p w:rsidR="009124EA" w:rsidRPr="00E24DFE" w:rsidRDefault="009124EA" w:rsidP="009124EA">
      <w:pPr>
        <w:rPr>
          <w:lang w:eastAsia="es-ES_tradnl"/>
        </w:rPr>
      </w:pPr>
    </w:p>
    <w:p w:rsidR="009124EA" w:rsidRPr="00E24DFE" w:rsidRDefault="009124EA" w:rsidP="009124EA">
      <w:pPr>
        <w:pStyle w:val="Prrafodelista"/>
        <w:numPr>
          <w:ilvl w:val="0"/>
          <w:numId w:val="1"/>
        </w:numPr>
        <w:tabs>
          <w:tab w:val="left" w:pos="284"/>
        </w:tabs>
        <w:spacing w:line="360" w:lineRule="auto"/>
        <w:ind w:left="0" w:right="49" w:firstLine="0"/>
        <w:jc w:val="both"/>
        <w:rPr>
          <w:rFonts w:ascii="Palatino Linotype" w:hAnsi="Palatino Linotype" w:cs="Arial"/>
          <w:color w:val="000000"/>
          <w:sz w:val="24"/>
        </w:rPr>
      </w:pPr>
      <w:r w:rsidRPr="00E24DFE">
        <w:rPr>
          <w:rFonts w:ascii="Palatino Linotype" w:hAnsi="Palatino Linotype" w:cs="Arial"/>
          <w:color w:val="000000"/>
          <w:sz w:val="24"/>
        </w:rPr>
        <w:t>Debe destacarse que, debido a la naturaleza de la información solicitada</w:t>
      </w:r>
      <w:r w:rsidRPr="00E24DFE">
        <w:rPr>
          <w:rFonts w:ascii="Palatino Linotype" w:hAnsi="Palatino Linotype" w:cs="Arial"/>
          <w:b/>
          <w:color w:val="000000"/>
          <w:sz w:val="24"/>
        </w:rPr>
        <w:t xml:space="preserve">, </w:t>
      </w:r>
      <w:r w:rsidRPr="00E24DFE">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E24DFE">
        <w:rPr>
          <w:rFonts w:ascii="Palatino Linotype" w:hAnsi="Palatino Linotype" w:cs="Arial"/>
          <w:b/>
          <w:bCs/>
          <w:color w:val="000000"/>
          <w:sz w:val="24"/>
        </w:rPr>
        <w:t xml:space="preserve">Sujeto Obligado </w:t>
      </w:r>
      <w:r w:rsidRPr="00E24DFE">
        <w:rPr>
          <w:rFonts w:ascii="Palatino Linotype" w:hAnsi="Palatino Linotype" w:cs="Arial"/>
          <w:color w:val="000000"/>
          <w:sz w:val="24"/>
        </w:rPr>
        <w:t xml:space="preserve">deberá de hacer la adecuada versión pública, protegiendo los datos que no son susceptibles de ser proporcionados. </w:t>
      </w:r>
    </w:p>
    <w:p w:rsidR="009124EA" w:rsidRPr="00E24DFE" w:rsidRDefault="009124EA" w:rsidP="009124EA">
      <w:pPr>
        <w:pStyle w:val="Prrafodelista"/>
        <w:tabs>
          <w:tab w:val="left" w:pos="0"/>
          <w:tab w:val="left" w:pos="284"/>
        </w:tabs>
        <w:spacing w:line="360" w:lineRule="auto"/>
        <w:ind w:left="0" w:right="49"/>
        <w:jc w:val="both"/>
        <w:rPr>
          <w:rFonts w:ascii="Palatino Linotype" w:eastAsia="MS Mincho" w:hAnsi="Palatino Linotype"/>
          <w:sz w:val="24"/>
          <w:lang w:val="es-ES"/>
        </w:rPr>
      </w:pPr>
    </w:p>
    <w:p w:rsidR="009124EA" w:rsidRPr="00E24DFE" w:rsidRDefault="009124EA" w:rsidP="009124EA">
      <w:pPr>
        <w:numPr>
          <w:ilvl w:val="0"/>
          <w:numId w:val="1"/>
        </w:numPr>
        <w:tabs>
          <w:tab w:val="left" w:pos="284"/>
        </w:tabs>
        <w:spacing w:line="360" w:lineRule="auto"/>
        <w:ind w:left="0" w:right="49" w:firstLine="0"/>
        <w:contextualSpacing/>
        <w:jc w:val="both"/>
        <w:rPr>
          <w:rFonts w:ascii="Palatino Linotype" w:hAnsi="Palatino Linotype" w:cs="Arial"/>
          <w:color w:val="000000"/>
          <w:sz w:val="24"/>
          <w:szCs w:val="24"/>
        </w:rPr>
      </w:pPr>
      <w:r w:rsidRPr="00E24DFE">
        <w:rPr>
          <w:rFonts w:ascii="Palatino Linotype" w:hAnsi="Palatino Linotype" w:cs="Arial"/>
          <w:color w:val="000000"/>
          <w:sz w:val="24"/>
          <w:szCs w:val="24"/>
        </w:rPr>
        <w:t xml:space="preserve">No pasa desapercibido para este Órgano Garante que los </w:t>
      </w:r>
      <w:r w:rsidRPr="00E24DFE">
        <w:rPr>
          <w:rFonts w:ascii="Palatino Linotype" w:hAnsi="Palatino Linotype" w:cs="Arial"/>
          <w:b/>
          <w:bCs/>
          <w:color w:val="000000"/>
          <w:sz w:val="24"/>
          <w:szCs w:val="24"/>
        </w:rPr>
        <w:t xml:space="preserve">Sujetos Obligados </w:t>
      </w:r>
      <w:r w:rsidRPr="00E24DFE">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124EA" w:rsidRPr="00E24DFE" w:rsidRDefault="009124EA" w:rsidP="009124EA">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9124EA" w:rsidRPr="00E24DFE" w:rsidTr="00791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9124EA" w:rsidRPr="00E24DFE" w:rsidRDefault="009124EA" w:rsidP="00791FD4">
            <w:pPr>
              <w:tabs>
                <w:tab w:val="left" w:pos="284"/>
              </w:tabs>
              <w:spacing w:line="360" w:lineRule="auto"/>
              <w:rPr>
                <w:rFonts w:ascii="Palatino Linotype" w:hAnsi="Palatino Linotype"/>
                <w:bCs w:val="0"/>
                <w:sz w:val="22"/>
                <w:szCs w:val="24"/>
              </w:rPr>
            </w:pPr>
            <w:r w:rsidRPr="00E24DFE">
              <w:rPr>
                <w:rFonts w:ascii="Palatino Linotype" w:hAnsi="Palatino Linotype" w:cstheme="majorBidi"/>
                <w:bCs w:val="0"/>
                <w:sz w:val="22"/>
                <w:szCs w:val="24"/>
              </w:rPr>
              <w:t>a) Requisitos previos.</w:t>
            </w:r>
          </w:p>
        </w:tc>
        <w:tc>
          <w:tcPr>
            <w:tcW w:w="6990" w:type="dxa"/>
            <w:hideMark/>
          </w:tcPr>
          <w:p w:rsidR="009124EA" w:rsidRPr="00E24DFE" w:rsidRDefault="009124EA" w:rsidP="00791FD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szCs w:val="24"/>
              </w:rPr>
            </w:pPr>
            <w:r w:rsidRPr="00E24DFE">
              <w:rPr>
                <w:rFonts w:ascii="Palatino Linotype" w:hAnsi="Palatino Linotype" w:cs="Arial"/>
                <w:b w:val="0"/>
                <w:bCs w:val="0"/>
                <w:color w:val="000000"/>
                <w:sz w:val="22"/>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124EA" w:rsidRPr="00E24DFE" w:rsidRDefault="009124EA" w:rsidP="00791FD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szCs w:val="24"/>
              </w:rPr>
            </w:pPr>
            <w:r w:rsidRPr="00E24DFE">
              <w:rPr>
                <w:rFonts w:ascii="Palatino Linotype" w:hAnsi="Palatino Linotype" w:cs="Arial"/>
                <w:b w:val="0"/>
                <w:bCs w:val="0"/>
                <w:color w:val="000000"/>
                <w:sz w:val="22"/>
                <w:szCs w:val="24"/>
              </w:rPr>
              <w:lastRenderedPageBreak/>
              <w:t>Al hacerlo tienen que precisar de qué información se trata, señalando el supuesto de clasificación (confidencialidad o reserva).</w:t>
            </w:r>
          </w:p>
          <w:p w:rsidR="009124EA" w:rsidRPr="00E24DFE" w:rsidRDefault="009124EA" w:rsidP="00791FD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szCs w:val="24"/>
              </w:rPr>
            </w:pPr>
            <w:r w:rsidRPr="00E24DFE">
              <w:rPr>
                <w:rFonts w:ascii="Palatino Linotype" w:hAnsi="Palatino Linotype" w:cs="Arial"/>
                <w:b w:val="0"/>
                <w:bCs w:val="0"/>
                <w:color w:val="000000"/>
                <w:sz w:val="22"/>
                <w:szCs w:val="24"/>
              </w:rPr>
              <w:t>Además, se debe señalar el procedimiento, de los tres que establecen los artículos 132 y 106 de la Ley Estatal y General, respectivamente.</w:t>
            </w:r>
          </w:p>
          <w:p w:rsidR="009124EA" w:rsidRPr="00E24DFE" w:rsidRDefault="009124EA" w:rsidP="00791FD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4"/>
              </w:rPr>
            </w:pPr>
            <w:r w:rsidRPr="00E24DFE">
              <w:rPr>
                <w:rFonts w:ascii="Palatino Linotype" w:hAnsi="Palatino Linotype" w:cs="Arial"/>
                <w:b w:val="0"/>
                <w:bCs w:val="0"/>
                <w:color w:val="000000"/>
                <w:sz w:val="22"/>
                <w:szCs w:val="24"/>
              </w:rPr>
              <w:t xml:space="preserve">El último de estos requisitos previos consiste en que no se pueden emitir acuerdos de carácter general ni particular, esto es, </w:t>
            </w:r>
            <w:r w:rsidRPr="00E24DFE">
              <w:rPr>
                <w:rFonts w:ascii="Palatino Linotype" w:hAnsi="Palatino Linotype" w:cs="Arial"/>
                <w:b w:val="0"/>
                <w:bCs w:val="0"/>
                <w:color w:val="000000"/>
                <w:sz w:val="22"/>
                <w:szCs w:val="24"/>
                <w:u w:val="single"/>
              </w:rPr>
              <w:t>no se puede hacer un acuerdo para clasificar de manera general todos los documentos de un expediente o área, sin</w:t>
            </w:r>
            <w:r w:rsidRPr="00E24DFE">
              <w:rPr>
                <w:rFonts w:ascii="Palatino Linotype" w:hAnsi="Palatino Linotype" w:cs="Arial"/>
                <w:b w:val="0"/>
                <w:bCs w:val="0"/>
                <w:color w:val="000000"/>
                <w:sz w:val="22"/>
                <w:szCs w:val="24"/>
              </w:rPr>
              <w:t xml:space="preserve"> individualizar su análisis y tampoco se puede hacer un acuerdo por cada dato que se vaya a clasificar dentro de un documento con diez datos, por ejemplo, susceptibles de ser clasificados.</w:t>
            </w:r>
          </w:p>
        </w:tc>
      </w:tr>
      <w:tr w:rsidR="009124EA" w:rsidRPr="00E24DFE" w:rsidTr="0079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9124EA" w:rsidRPr="00E24DFE" w:rsidRDefault="009124EA" w:rsidP="00791FD4">
            <w:pPr>
              <w:tabs>
                <w:tab w:val="left" w:pos="284"/>
              </w:tabs>
              <w:spacing w:line="360" w:lineRule="auto"/>
              <w:rPr>
                <w:rFonts w:ascii="Palatino Linotype" w:hAnsi="Palatino Linotype"/>
                <w:bCs w:val="0"/>
                <w:sz w:val="22"/>
                <w:szCs w:val="24"/>
              </w:rPr>
            </w:pPr>
            <w:r w:rsidRPr="00E24DFE">
              <w:rPr>
                <w:rFonts w:ascii="Palatino Linotype" w:hAnsi="Palatino Linotype" w:cstheme="majorBidi"/>
                <w:bCs w:val="0"/>
                <w:sz w:val="22"/>
                <w:szCs w:val="24"/>
              </w:rPr>
              <w:lastRenderedPageBreak/>
              <w:t>b) Supuestos de clasificación.</w:t>
            </w:r>
          </w:p>
        </w:tc>
        <w:tc>
          <w:tcPr>
            <w:tcW w:w="6990" w:type="dxa"/>
            <w:hideMark/>
          </w:tcPr>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Las disposiciones constitucionales y legales en la materia establecen los dos supuestos generales para clasificar la información: por reserva y por confidencialidad.</w:t>
            </w:r>
          </w:p>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124EA" w:rsidRPr="00E24DFE" w:rsidRDefault="009124EA" w:rsidP="00791FD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4"/>
              </w:rPr>
            </w:pPr>
            <w:r w:rsidRPr="00E24DFE">
              <w:rPr>
                <w:rFonts w:ascii="Palatino Linotype" w:hAnsi="Palatino Linotype" w:cs="Arial"/>
                <w:color w:val="000000"/>
                <w:sz w:val="22"/>
                <w:szCs w:val="24"/>
              </w:rPr>
              <w:lastRenderedPageBreak/>
              <w:t xml:space="preserve">El </w:t>
            </w:r>
            <w:r w:rsidRPr="00E24DFE">
              <w:rPr>
                <w:rFonts w:ascii="Palatino Linotype" w:hAnsi="Palatino Linotype" w:cs="Arial"/>
                <w:b/>
                <w:color w:val="000000"/>
                <w:sz w:val="22"/>
                <w:szCs w:val="24"/>
              </w:rPr>
              <w:t>Sujeto Obligado</w:t>
            </w:r>
            <w:r w:rsidRPr="00E24DFE">
              <w:rPr>
                <w:rFonts w:ascii="Palatino Linotype" w:hAnsi="Palatino Linotype" w:cs="Arial"/>
                <w:color w:val="000000"/>
                <w:sz w:val="22"/>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124EA" w:rsidRPr="00E24DFE" w:rsidTr="00791FD4">
        <w:tc>
          <w:tcPr>
            <w:cnfStyle w:val="001000000000" w:firstRow="0" w:lastRow="0" w:firstColumn="1" w:lastColumn="0" w:oddVBand="0" w:evenVBand="0" w:oddHBand="0" w:evenHBand="0" w:firstRowFirstColumn="0" w:firstRowLastColumn="0" w:lastRowFirstColumn="0" w:lastRowLastColumn="0"/>
            <w:tcW w:w="1838" w:type="dxa"/>
            <w:hideMark/>
          </w:tcPr>
          <w:p w:rsidR="009124EA" w:rsidRPr="00E24DFE" w:rsidRDefault="009124EA" w:rsidP="00791FD4">
            <w:pPr>
              <w:tabs>
                <w:tab w:val="left" w:pos="284"/>
              </w:tabs>
              <w:spacing w:line="360" w:lineRule="auto"/>
              <w:rPr>
                <w:rFonts w:ascii="Palatino Linotype" w:hAnsi="Palatino Linotype"/>
                <w:bCs w:val="0"/>
                <w:sz w:val="22"/>
                <w:szCs w:val="24"/>
              </w:rPr>
            </w:pPr>
            <w:r w:rsidRPr="00E24DFE">
              <w:rPr>
                <w:rFonts w:ascii="Palatino Linotype" w:hAnsi="Palatino Linotype" w:cstheme="majorBidi"/>
                <w:bCs w:val="0"/>
                <w:sz w:val="22"/>
                <w:szCs w:val="24"/>
              </w:rPr>
              <w:lastRenderedPageBreak/>
              <w:t>c) Formalidades para emitir el acuerdo de clasificación.</w:t>
            </w:r>
          </w:p>
        </w:tc>
        <w:tc>
          <w:tcPr>
            <w:tcW w:w="6990" w:type="dxa"/>
            <w:hideMark/>
          </w:tcPr>
          <w:p w:rsidR="009124EA" w:rsidRPr="00E24DFE" w:rsidRDefault="009124EA" w:rsidP="00791FD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El Comité de Transparencia, según lo dispuesto en los artículos cuenta con las facultades para aprobar, modificar o revocar la clasificación de la información que haya propuesto. </w:t>
            </w:r>
          </w:p>
          <w:p w:rsidR="009124EA" w:rsidRPr="00E24DFE" w:rsidRDefault="009124EA" w:rsidP="00791FD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Es necesario que </w:t>
            </w:r>
            <w:r w:rsidRPr="00E24DFE">
              <w:rPr>
                <w:rFonts w:ascii="Palatino Linotype" w:hAnsi="Palatino Linotype" w:cs="Arial"/>
                <w:b/>
                <w:color w:val="000000"/>
                <w:sz w:val="22"/>
                <w:szCs w:val="24"/>
                <w:u w:val="single"/>
              </w:rPr>
              <w:t>el acto reúna con los requisitos elementales</w:t>
            </w:r>
            <w:r w:rsidRPr="00E24DFE">
              <w:rPr>
                <w:rFonts w:ascii="Palatino Linotype" w:hAnsi="Palatino Linotype" w:cs="Arial"/>
                <w:color w:val="000000"/>
                <w:sz w:val="22"/>
                <w:szCs w:val="24"/>
              </w:rPr>
              <w:t>, entre ellos, que la autoridad que va a emitir el acto de autoridad sea la legalmente facultada para ello.</w:t>
            </w:r>
          </w:p>
          <w:p w:rsidR="009124EA" w:rsidRPr="00E24DFE" w:rsidRDefault="009124EA" w:rsidP="00791FD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4"/>
              </w:rPr>
            </w:pPr>
            <w:r w:rsidRPr="00E24DFE">
              <w:rPr>
                <w:rFonts w:ascii="Palatino Linotype" w:hAnsi="Palatino Linotype" w:cs="Arial"/>
                <w:color w:val="000000"/>
                <w:sz w:val="22"/>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124EA" w:rsidRPr="00E24DFE" w:rsidTr="00791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124EA" w:rsidRPr="00E24DFE" w:rsidRDefault="009124EA" w:rsidP="00791FD4">
            <w:pPr>
              <w:tabs>
                <w:tab w:val="left" w:pos="284"/>
              </w:tabs>
              <w:spacing w:line="360" w:lineRule="auto"/>
              <w:rPr>
                <w:rFonts w:ascii="Palatino Linotype" w:hAnsi="Palatino Linotype"/>
                <w:b w:val="0"/>
                <w:sz w:val="22"/>
                <w:szCs w:val="24"/>
              </w:rPr>
            </w:pPr>
          </w:p>
          <w:p w:rsidR="009124EA" w:rsidRPr="00E24DFE" w:rsidRDefault="009124EA" w:rsidP="00791FD4">
            <w:pPr>
              <w:tabs>
                <w:tab w:val="left" w:pos="284"/>
              </w:tabs>
              <w:spacing w:line="360" w:lineRule="auto"/>
              <w:jc w:val="both"/>
              <w:rPr>
                <w:rFonts w:ascii="Palatino Linotype" w:hAnsi="Palatino Linotype"/>
                <w:bCs w:val="0"/>
                <w:sz w:val="22"/>
                <w:szCs w:val="24"/>
              </w:rPr>
            </w:pPr>
            <w:r w:rsidRPr="00E24DFE">
              <w:rPr>
                <w:rFonts w:ascii="Palatino Linotype" w:hAnsi="Palatino Linotype" w:cs="Arial"/>
                <w:bCs w:val="0"/>
                <w:color w:val="000000"/>
                <w:sz w:val="22"/>
                <w:szCs w:val="24"/>
              </w:rPr>
              <w:t xml:space="preserve">d) Requisitos de fondo del </w:t>
            </w:r>
            <w:r w:rsidRPr="00E24DFE">
              <w:rPr>
                <w:rFonts w:ascii="Palatino Linotype" w:hAnsi="Palatino Linotype" w:cs="Arial"/>
                <w:bCs w:val="0"/>
                <w:color w:val="000000"/>
                <w:sz w:val="22"/>
                <w:szCs w:val="24"/>
              </w:rPr>
              <w:lastRenderedPageBreak/>
              <w:t xml:space="preserve">acuerdo de clasificación. </w:t>
            </w:r>
          </w:p>
        </w:tc>
        <w:tc>
          <w:tcPr>
            <w:tcW w:w="6990" w:type="dxa"/>
            <w:hideMark/>
          </w:tcPr>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w:t>
            </w:r>
            <w:r w:rsidRPr="00E24DFE">
              <w:rPr>
                <w:rFonts w:ascii="Palatino Linotype" w:hAnsi="Palatino Linotype" w:cs="Arial"/>
                <w:color w:val="000000"/>
                <w:sz w:val="22"/>
                <w:szCs w:val="24"/>
              </w:rPr>
              <w:lastRenderedPageBreak/>
              <w:t xml:space="preserve">Transparencia, la ley señala que la carga de la prueba, para justificar las restricciones, corresponde a los </w:t>
            </w:r>
            <w:r w:rsidRPr="00E24DFE">
              <w:rPr>
                <w:rFonts w:ascii="Palatino Linotype" w:hAnsi="Palatino Linotype" w:cs="Arial"/>
                <w:b/>
                <w:color w:val="000000"/>
                <w:sz w:val="22"/>
                <w:szCs w:val="24"/>
              </w:rPr>
              <w:t>Sujetos Obligados</w:t>
            </w:r>
            <w:r w:rsidRPr="00E24DFE">
              <w:rPr>
                <w:rFonts w:ascii="Palatino Linotype" w:hAnsi="Palatino Linotype" w:cs="Arial"/>
                <w:color w:val="000000"/>
                <w:sz w:val="22"/>
                <w:szCs w:val="24"/>
              </w:rPr>
              <w:t xml:space="preserve">, por lo que deberán fundar y motivar debidamente la clasificación. </w:t>
            </w:r>
          </w:p>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De lo anterior, se desprende que para una correcta </w:t>
            </w:r>
            <w:r w:rsidRPr="00E24DFE">
              <w:rPr>
                <w:rFonts w:ascii="Palatino Linotype" w:hAnsi="Palatino Linotype" w:cs="Arial"/>
                <w:b/>
                <w:color w:val="000000"/>
                <w:sz w:val="22"/>
                <w:szCs w:val="24"/>
              </w:rPr>
              <w:t>clasificación total o parcial</w:t>
            </w:r>
            <w:r w:rsidRPr="00E24DFE">
              <w:rPr>
                <w:rFonts w:ascii="Palatino Linotype" w:hAnsi="Palatino Linotype" w:cs="Arial"/>
                <w:color w:val="000000"/>
                <w:sz w:val="22"/>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En ese mismo sentido, el numeral trigésimo tercero fracción V de los Lineamientos Generales, precisa que para motivar la clasificación se deben acreditar las circunstancias de tiempo, modo y lugar.</w:t>
            </w:r>
          </w:p>
          <w:p w:rsidR="009124EA" w:rsidRPr="00E24DFE" w:rsidRDefault="009124EA" w:rsidP="00791FD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Ahora bien, </w:t>
            </w:r>
            <w:r w:rsidRPr="00E24DFE">
              <w:rPr>
                <w:rFonts w:ascii="Palatino Linotype" w:hAnsi="Palatino Linotype" w:cs="Arial"/>
                <w:b/>
                <w:color w:val="000000"/>
                <w:sz w:val="22"/>
                <w:szCs w:val="24"/>
                <w:u w:val="single"/>
              </w:rPr>
              <w:t>para cada caso además de fundar y motivar</w:t>
            </w:r>
            <w:r w:rsidRPr="00E24DFE">
              <w:rPr>
                <w:rFonts w:ascii="Palatino Linotype" w:hAnsi="Palatino Linotype" w:cs="Arial"/>
                <w:color w:val="000000"/>
                <w:sz w:val="22"/>
                <w:szCs w:val="24"/>
              </w:rPr>
              <w:t xml:space="preserve">, se debe identificar con claridad que datos contenidos en las documentales que son susceptibles de suprimirse, por ejemplo; </w:t>
            </w:r>
            <w:r w:rsidRPr="00E24DFE">
              <w:rPr>
                <w:rFonts w:ascii="Palatino Linotype" w:hAnsi="Palatino Linotype" w:cs="Arial"/>
                <w:color w:val="000000"/>
                <w:sz w:val="22"/>
                <w:szCs w:val="24"/>
                <w:lang w:val="es-ES"/>
              </w:rPr>
              <w:t xml:space="preserve">Clave Única de Registro </w:t>
            </w:r>
            <w:r w:rsidRPr="00E24DFE">
              <w:rPr>
                <w:rFonts w:ascii="Palatino Linotype" w:hAnsi="Palatino Linotype" w:cs="Arial"/>
                <w:color w:val="000000"/>
                <w:sz w:val="22"/>
                <w:szCs w:val="24"/>
                <w:lang w:val="es-ES"/>
              </w:rPr>
              <w:lastRenderedPageBreak/>
              <w:t>de Población (CURP), Registro Federal de Contribuyentes (R.F.C.), claves de seguros, préstamos o descuentos personales, secretos bancario, fiduciario, industrial, comercial, fiscal, bursátil y postal, cuya titularidad corresponda a particulares, entre otros.</w:t>
            </w:r>
          </w:p>
        </w:tc>
      </w:tr>
      <w:tr w:rsidR="009124EA" w:rsidRPr="00E24DFE" w:rsidTr="00791FD4">
        <w:tc>
          <w:tcPr>
            <w:cnfStyle w:val="001000000000" w:firstRow="0" w:lastRow="0" w:firstColumn="1" w:lastColumn="0" w:oddVBand="0" w:evenVBand="0" w:oddHBand="0" w:evenHBand="0" w:firstRowFirstColumn="0" w:firstRowLastColumn="0" w:lastRowFirstColumn="0" w:lastRowLastColumn="0"/>
            <w:tcW w:w="1838" w:type="dxa"/>
          </w:tcPr>
          <w:p w:rsidR="009124EA" w:rsidRPr="00E24DFE" w:rsidRDefault="009124EA" w:rsidP="00791FD4">
            <w:pPr>
              <w:tabs>
                <w:tab w:val="left" w:pos="284"/>
              </w:tabs>
              <w:spacing w:line="360" w:lineRule="auto"/>
              <w:ind w:right="49"/>
              <w:jc w:val="both"/>
              <w:rPr>
                <w:rFonts w:ascii="Palatino Linotype" w:hAnsi="Palatino Linotype" w:cs="Arial"/>
                <w:bCs w:val="0"/>
                <w:sz w:val="22"/>
                <w:szCs w:val="24"/>
              </w:rPr>
            </w:pPr>
            <w:r w:rsidRPr="00E24DFE">
              <w:rPr>
                <w:rFonts w:ascii="Palatino Linotype" w:eastAsia="MS Gothic" w:hAnsi="Palatino Linotype"/>
                <w:b w:val="0"/>
                <w:sz w:val="22"/>
                <w:szCs w:val="24"/>
              </w:rPr>
              <w:lastRenderedPageBreak/>
              <w:t>e</w:t>
            </w:r>
            <w:r w:rsidRPr="00E24DFE">
              <w:rPr>
                <w:rFonts w:ascii="Palatino Linotype" w:eastAsia="MS Gothic" w:hAnsi="Palatino Linotype"/>
                <w:bCs w:val="0"/>
                <w:sz w:val="22"/>
                <w:szCs w:val="24"/>
              </w:rPr>
              <w:t xml:space="preserve">) Condiciones especiales de la clasificación de la información como confidencial. </w:t>
            </w:r>
          </w:p>
        </w:tc>
        <w:tc>
          <w:tcPr>
            <w:tcW w:w="6990" w:type="dxa"/>
            <w:hideMark/>
          </w:tcPr>
          <w:p w:rsidR="009124EA" w:rsidRPr="00E24DFE" w:rsidRDefault="009124EA" w:rsidP="00791FD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Los artículos 148 y 120 de la Ley Estatal y de la Ley General, respectivamente, establecen que aun tratándose de datos personales, se podrán proporcionar, incluso sin solicitar el consentimiento de su titular. </w:t>
            </w:r>
          </w:p>
          <w:p w:rsidR="009124EA" w:rsidRPr="00E24DFE" w:rsidRDefault="009124EA" w:rsidP="00791FD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4"/>
              </w:rPr>
            </w:pPr>
            <w:r w:rsidRPr="00E24DFE">
              <w:rPr>
                <w:rFonts w:ascii="Palatino Linotype" w:hAnsi="Palatino Linotype" w:cs="Arial"/>
                <w:color w:val="000000"/>
                <w:sz w:val="22"/>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124EA" w:rsidRPr="00E24DFE" w:rsidRDefault="009124EA" w:rsidP="00791FD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4"/>
              </w:rPr>
            </w:pPr>
            <w:r w:rsidRPr="00E24DFE">
              <w:rPr>
                <w:rFonts w:ascii="Palatino Linotype" w:hAnsi="Palatino Linotype" w:cs="Arial"/>
                <w:color w:val="000000"/>
                <w:sz w:val="22"/>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124EA" w:rsidRPr="00E24DFE" w:rsidRDefault="009124EA" w:rsidP="009124EA">
      <w:pPr>
        <w:pStyle w:val="Prrafodelista"/>
        <w:tabs>
          <w:tab w:val="left" w:pos="284"/>
        </w:tabs>
        <w:ind w:left="0"/>
        <w:rPr>
          <w:rFonts w:ascii="Palatino Linotype" w:hAnsi="Palatino Linotype" w:cs="Arial"/>
          <w:color w:val="000000"/>
        </w:rPr>
      </w:pPr>
    </w:p>
    <w:p w:rsidR="009124EA" w:rsidRPr="00E24DFE" w:rsidRDefault="009124EA" w:rsidP="009124EA">
      <w:pPr>
        <w:pStyle w:val="Prrafodelista"/>
        <w:numPr>
          <w:ilvl w:val="0"/>
          <w:numId w:val="1"/>
        </w:numPr>
        <w:tabs>
          <w:tab w:val="left" w:pos="284"/>
        </w:tabs>
        <w:spacing w:line="360" w:lineRule="auto"/>
        <w:ind w:left="0" w:firstLine="0"/>
        <w:jc w:val="both"/>
        <w:rPr>
          <w:rFonts w:ascii="Palatino Linotype" w:hAnsi="Palatino Linotype" w:cs="Arial"/>
          <w:color w:val="000000"/>
          <w:sz w:val="24"/>
        </w:rPr>
      </w:pPr>
      <w:r w:rsidRPr="00E24DFE">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91FD4" w:rsidRPr="00E24DFE" w:rsidRDefault="00791FD4" w:rsidP="00791FD4">
      <w:pPr>
        <w:keepNext/>
        <w:keepLines/>
        <w:spacing w:before="240" w:line="256" w:lineRule="auto"/>
        <w:outlineLvl w:val="0"/>
        <w:rPr>
          <w:rFonts w:ascii="Palatino Linotype" w:eastAsia="MS Gothic" w:hAnsi="Palatino Linotype"/>
          <w:b/>
          <w:color w:val="000000"/>
        </w:rPr>
      </w:pPr>
      <w:bookmarkStart w:id="22" w:name="_Toc102644153"/>
      <w:bookmarkStart w:id="23" w:name="_Toc98978657"/>
      <w:bookmarkStart w:id="24" w:name="_Toc98429042"/>
      <w:bookmarkStart w:id="25" w:name="_Toc96007420"/>
      <w:r w:rsidRPr="00E24DFE">
        <w:rPr>
          <w:rFonts w:ascii="Palatino Linotype" w:eastAsia="MS Gothic" w:hAnsi="Palatino Linotype"/>
          <w:b/>
          <w:color w:val="000000"/>
        </w:rPr>
        <w:lastRenderedPageBreak/>
        <w:t>a) Del nombre de policías.</w:t>
      </w:r>
      <w:bookmarkEnd w:id="22"/>
      <w:bookmarkEnd w:id="23"/>
      <w:bookmarkEnd w:id="24"/>
      <w:bookmarkEnd w:id="25"/>
      <w:r w:rsidRPr="00E24DFE">
        <w:rPr>
          <w:rFonts w:ascii="Palatino Linotype" w:eastAsia="MS Gothic" w:hAnsi="Palatino Linotype"/>
          <w:b/>
          <w:color w:val="000000"/>
        </w:rPr>
        <w:t xml:space="preserve"> </w:t>
      </w:r>
    </w:p>
    <w:p w:rsidR="00791FD4" w:rsidRPr="00E24DFE" w:rsidRDefault="00791FD4" w:rsidP="00791FD4">
      <w:pPr>
        <w:spacing w:after="160" w:line="256" w:lineRule="auto"/>
        <w:rPr>
          <w:rFonts w:ascii="Palatino Linotype" w:eastAsia="Calibri" w:hAnsi="Palatino Linotype"/>
        </w:rPr>
      </w:pPr>
    </w:p>
    <w:p w:rsidR="00791FD4" w:rsidRPr="00E24DFE" w:rsidRDefault="00791FD4" w:rsidP="00791FD4">
      <w:pPr>
        <w:numPr>
          <w:ilvl w:val="0"/>
          <w:numId w:val="2"/>
        </w:numPr>
        <w:tabs>
          <w:tab w:val="left" w:pos="0"/>
        </w:tabs>
        <w:spacing w:before="240" w:after="240" w:line="360" w:lineRule="auto"/>
        <w:ind w:left="0" w:right="49" w:firstLine="0"/>
        <w:contextualSpacing/>
        <w:jc w:val="both"/>
        <w:rPr>
          <w:rFonts w:ascii="Palatino Linotype" w:eastAsia="Calibri" w:hAnsi="Palatino Linotype"/>
          <w:sz w:val="24"/>
        </w:rPr>
      </w:pPr>
      <w:r w:rsidRPr="00E24DFE">
        <w:rPr>
          <w:rFonts w:ascii="Palatino Linotype" w:eastAsia="Calibri" w:hAnsi="Palatino Linotype"/>
          <w:sz w:val="24"/>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rsidR="00791FD4" w:rsidRPr="00E24DFE" w:rsidRDefault="00791FD4" w:rsidP="00791FD4">
      <w:pPr>
        <w:spacing w:before="240" w:after="240" w:line="360" w:lineRule="auto"/>
        <w:ind w:right="49"/>
        <w:contextualSpacing/>
        <w:jc w:val="both"/>
        <w:rPr>
          <w:rFonts w:ascii="Palatino Linotype" w:eastAsia="Calibri" w:hAnsi="Palatino Linotype"/>
          <w:sz w:val="24"/>
        </w:rPr>
      </w:pPr>
    </w:p>
    <w:p w:rsidR="00791FD4" w:rsidRPr="00E24DFE" w:rsidRDefault="00791FD4" w:rsidP="00791FD4">
      <w:pPr>
        <w:numPr>
          <w:ilvl w:val="0"/>
          <w:numId w:val="2"/>
        </w:numPr>
        <w:tabs>
          <w:tab w:val="left" w:pos="0"/>
        </w:tabs>
        <w:spacing w:before="240" w:after="240" w:line="360" w:lineRule="auto"/>
        <w:ind w:left="0" w:right="49" w:firstLine="0"/>
        <w:contextualSpacing/>
        <w:jc w:val="both"/>
        <w:rPr>
          <w:rFonts w:ascii="Palatino Linotype" w:eastAsia="Calibri" w:hAnsi="Palatino Linotype"/>
          <w:sz w:val="24"/>
        </w:rPr>
      </w:pPr>
      <w:r w:rsidRPr="00E24DFE">
        <w:rPr>
          <w:rFonts w:ascii="Palatino Linotype" w:eastAsia="Calibri" w:hAnsi="Palatino Linotype"/>
          <w:sz w:val="24"/>
        </w:rPr>
        <w:t>En efecto</w:t>
      </w:r>
      <w:r w:rsidRPr="00E24DFE">
        <w:rPr>
          <w:rFonts w:ascii="Palatino Linotype" w:hAnsi="Palatino Linotype"/>
          <w:sz w:val="24"/>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rsidR="00791FD4" w:rsidRPr="00E24DFE" w:rsidRDefault="00791FD4" w:rsidP="00791FD4">
      <w:pPr>
        <w:spacing w:line="360" w:lineRule="auto"/>
        <w:ind w:left="708"/>
        <w:rPr>
          <w:rFonts w:ascii="Palatino Linotype" w:hAnsi="Palatino Linotype"/>
        </w:rPr>
      </w:pPr>
    </w:p>
    <w:p w:rsidR="00791FD4" w:rsidRPr="00E24DFE" w:rsidRDefault="00791FD4" w:rsidP="00791FD4">
      <w:pPr>
        <w:spacing w:before="240" w:after="240" w:line="360" w:lineRule="auto"/>
        <w:ind w:left="567" w:right="616"/>
        <w:contextualSpacing/>
        <w:jc w:val="both"/>
        <w:rPr>
          <w:rFonts w:ascii="Palatino Linotype" w:hAnsi="Palatino Linotype"/>
          <w:i/>
          <w:sz w:val="22"/>
        </w:rPr>
      </w:pPr>
      <w:r w:rsidRPr="00E24DFE">
        <w:rPr>
          <w:rFonts w:ascii="Palatino Linotype" w:hAnsi="Palatino Linotype"/>
          <w:b/>
          <w:i/>
          <w:sz w:val="22"/>
        </w:rPr>
        <w:t>“Artículo 140.</w:t>
      </w:r>
      <w:r w:rsidRPr="00E24DFE">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rsidR="00791FD4" w:rsidRPr="00E24DFE" w:rsidRDefault="00791FD4" w:rsidP="00791FD4">
      <w:pPr>
        <w:spacing w:before="240" w:after="240" w:line="360" w:lineRule="auto"/>
        <w:ind w:left="567" w:right="616"/>
        <w:contextualSpacing/>
        <w:jc w:val="both"/>
        <w:rPr>
          <w:rFonts w:ascii="Palatino Linotype" w:hAnsi="Palatino Linotype"/>
          <w:i/>
          <w:sz w:val="22"/>
        </w:rPr>
      </w:pPr>
      <w:r w:rsidRPr="00E24DFE">
        <w:rPr>
          <w:rFonts w:ascii="Palatino Linotype" w:hAnsi="Palatino Linotype"/>
          <w:i/>
          <w:sz w:val="22"/>
        </w:rPr>
        <w:t xml:space="preserve">I. Comprometa la seguridad pública y cuente con un propósito genuino y un efecto demostrable; </w:t>
      </w:r>
    </w:p>
    <w:p w:rsidR="00791FD4" w:rsidRPr="00E24DFE" w:rsidRDefault="00791FD4" w:rsidP="00791FD4">
      <w:pPr>
        <w:spacing w:before="240" w:after="240" w:line="360" w:lineRule="auto"/>
        <w:ind w:left="567" w:right="616"/>
        <w:contextualSpacing/>
        <w:jc w:val="both"/>
        <w:rPr>
          <w:rFonts w:ascii="Palatino Linotype" w:hAnsi="Palatino Linotype"/>
          <w:i/>
          <w:sz w:val="22"/>
        </w:rPr>
      </w:pPr>
      <w:r w:rsidRPr="00E24DFE">
        <w:rPr>
          <w:rFonts w:ascii="Palatino Linotype" w:hAnsi="Palatino Linotype"/>
          <w:i/>
          <w:sz w:val="22"/>
        </w:rPr>
        <w:t xml:space="preserve">II. Pueda menoscabar la conducción de las negociaciones y relaciones internacionales; </w:t>
      </w:r>
    </w:p>
    <w:p w:rsidR="00791FD4" w:rsidRPr="00E24DFE" w:rsidRDefault="00791FD4" w:rsidP="00791FD4">
      <w:pPr>
        <w:spacing w:before="240" w:after="240" w:line="360" w:lineRule="auto"/>
        <w:ind w:left="567" w:right="616"/>
        <w:contextualSpacing/>
        <w:jc w:val="both"/>
        <w:rPr>
          <w:rFonts w:ascii="Palatino Linotype" w:hAnsi="Palatino Linotype"/>
          <w:i/>
          <w:sz w:val="22"/>
        </w:rPr>
      </w:pPr>
      <w:r w:rsidRPr="00E24DFE">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791FD4" w:rsidRPr="00E24DFE" w:rsidRDefault="00791FD4" w:rsidP="00791FD4">
      <w:pPr>
        <w:spacing w:before="240" w:after="240" w:line="360" w:lineRule="auto"/>
        <w:ind w:left="567" w:right="616"/>
        <w:contextualSpacing/>
        <w:jc w:val="both"/>
        <w:rPr>
          <w:rFonts w:ascii="Palatino Linotype" w:hAnsi="Palatino Linotype"/>
          <w:b/>
          <w:i/>
          <w:sz w:val="22"/>
        </w:rPr>
      </w:pPr>
      <w:r w:rsidRPr="00E24DFE">
        <w:rPr>
          <w:rFonts w:ascii="Palatino Linotype" w:hAnsi="Palatino Linotype"/>
          <w:b/>
          <w:i/>
          <w:sz w:val="22"/>
        </w:rPr>
        <w:t>IV. Ponga en riesgo la vida, la seguridad o la salud de una persona física;</w:t>
      </w:r>
    </w:p>
    <w:p w:rsidR="00791FD4" w:rsidRPr="00E24DFE" w:rsidRDefault="00791FD4" w:rsidP="00791FD4">
      <w:pPr>
        <w:spacing w:before="240" w:after="240" w:line="360" w:lineRule="auto"/>
        <w:ind w:left="567" w:right="616"/>
        <w:contextualSpacing/>
        <w:jc w:val="both"/>
        <w:rPr>
          <w:rFonts w:ascii="Palatino Linotype" w:eastAsia="Calibri" w:hAnsi="Palatino Linotype"/>
          <w:i/>
          <w:sz w:val="22"/>
        </w:rPr>
      </w:pPr>
      <w:r w:rsidRPr="00E24DFE">
        <w:rPr>
          <w:rFonts w:ascii="Palatino Linotype" w:hAnsi="Palatino Linotype"/>
          <w:i/>
          <w:sz w:val="22"/>
        </w:rPr>
        <w:lastRenderedPageBreak/>
        <w:t xml:space="preserve"> (…)” (Sic)</w:t>
      </w:r>
    </w:p>
    <w:p w:rsidR="00791FD4" w:rsidRPr="00E24DFE" w:rsidRDefault="00791FD4" w:rsidP="00791FD4">
      <w:pPr>
        <w:spacing w:before="240" w:after="240" w:line="360" w:lineRule="auto"/>
        <w:ind w:right="49"/>
        <w:contextualSpacing/>
        <w:jc w:val="both"/>
        <w:rPr>
          <w:rFonts w:ascii="Palatino Linotype" w:eastAsia="Calibri" w:hAnsi="Palatino Linotype"/>
          <w:sz w:val="24"/>
        </w:rPr>
      </w:pPr>
    </w:p>
    <w:p w:rsidR="00791FD4" w:rsidRPr="00E24DFE" w:rsidRDefault="00791FD4" w:rsidP="00791FD4">
      <w:pPr>
        <w:numPr>
          <w:ilvl w:val="0"/>
          <w:numId w:val="2"/>
        </w:numPr>
        <w:tabs>
          <w:tab w:val="left" w:pos="0"/>
        </w:tabs>
        <w:spacing w:after="160" w:line="360" w:lineRule="auto"/>
        <w:ind w:left="0" w:firstLine="0"/>
        <w:contextualSpacing/>
        <w:jc w:val="both"/>
        <w:rPr>
          <w:rFonts w:ascii="Palatino Linotype" w:hAnsi="Palatino Linotype"/>
          <w:sz w:val="24"/>
        </w:rPr>
      </w:pPr>
      <w:r w:rsidRPr="00E24DFE">
        <w:rPr>
          <w:rFonts w:ascii="Palatino Linotype" w:hAnsi="Palatino Linotype"/>
          <w:sz w:val="24"/>
        </w:rPr>
        <w:t>En este contexto, este Pleno considera que dar a conocer los nombres de servidores públicos que realizan funciones en materia de seguridad, tal como es el caso de los policías, los vuelve identificables y posiblemente reconocibles para grupos delictivos</w:t>
      </w:r>
      <w:r w:rsidRPr="00E24DFE">
        <w:rPr>
          <w:rFonts w:ascii="Palatino Linotype" w:hAnsi="Palatino Linotype" w:cs="Tahoma"/>
          <w:bCs/>
          <w:sz w:val="24"/>
        </w:rPr>
        <w:t xml:space="preserve">; así, dicha información puede ser utilizada para </w:t>
      </w:r>
      <w:r w:rsidRPr="00E24DFE">
        <w:rPr>
          <w:rFonts w:ascii="Palatino Linotype" w:hAnsi="Palatino Linotype" w:cs="Tahoma"/>
          <w:b/>
          <w:bCs/>
          <w:sz w:val="24"/>
        </w:rPr>
        <w:t xml:space="preserve">vulnerar la vida, seguridad o salud de dichos elementos, incluso la de sus familias o entorno social, </w:t>
      </w:r>
      <w:r w:rsidRPr="00E24DFE">
        <w:rPr>
          <w:rFonts w:ascii="Palatino Linotype" w:hAnsi="Palatino Linotype" w:cs="Tahoma"/>
          <w:bCs/>
          <w:sz w:val="24"/>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791FD4" w:rsidRPr="00E24DFE" w:rsidRDefault="00791FD4" w:rsidP="00791FD4">
      <w:pPr>
        <w:spacing w:line="360" w:lineRule="auto"/>
        <w:jc w:val="both"/>
        <w:rPr>
          <w:rFonts w:ascii="Palatino Linotype" w:hAnsi="Palatino Linotype"/>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En ese sentido, el proporcionar el nombre de los elementos policiales operativos en la nómina general de la </w:t>
      </w:r>
      <w:r w:rsidR="003234AC" w:rsidRPr="00E24DFE">
        <w:rPr>
          <w:rFonts w:ascii="Palatino Linotype" w:eastAsia="Calibri" w:hAnsi="Palatino Linotype" w:cs="Tahoma"/>
          <w:bCs/>
          <w:sz w:val="24"/>
        </w:rPr>
        <w:t xml:space="preserve">Dirección </w:t>
      </w:r>
      <w:r w:rsidRPr="00E24DFE">
        <w:rPr>
          <w:rFonts w:ascii="Palatino Linotype" w:eastAsia="Calibri" w:hAnsi="Palatino Linotype" w:cs="Tahoma"/>
          <w:bCs/>
          <w:sz w:val="24"/>
        </w:rPr>
        <w:t xml:space="preserve"> de Seguridad Pública </w:t>
      </w:r>
      <w:r w:rsidR="003234AC" w:rsidRPr="00E24DFE">
        <w:rPr>
          <w:rFonts w:ascii="Palatino Linotype" w:eastAsia="Calibri" w:hAnsi="Palatino Linotype" w:cs="Tahoma"/>
          <w:bCs/>
          <w:sz w:val="24"/>
        </w:rPr>
        <w:t>o equivalente de Atizapán</w:t>
      </w:r>
      <w:r w:rsidRPr="00E24DFE">
        <w:rPr>
          <w:rFonts w:ascii="Palatino Linotype" w:eastAsia="Calibri" w:hAnsi="Palatino Linotype" w:cs="Tahoma"/>
          <w:bCs/>
          <w:sz w:val="24"/>
        </w:rPr>
        <w:t xml:space="preserve">, pone en riesgo de manera directa la vida y la seguridad de dicho servidor, siendo obligación de la Institución protegerla en todo momento para salvaguarda de sus integrantes. </w:t>
      </w:r>
    </w:p>
    <w:p w:rsidR="00791FD4" w:rsidRPr="00E24DFE" w:rsidRDefault="00791FD4" w:rsidP="00791FD4">
      <w:pPr>
        <w:spacing w:line="360" w:lineRule="auto"/>
        <w:rPr>
          <w:rFonts w:ascii="Palatino Linotype" w:eastAsia="Calibri" w:hAnsi="Palatino Linotype" w:cs="Tahoma"/>
          <w:bCs/>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791FD4" w:rsidRPr="00E24DFE" w:rsidRDefault="00791FD4" w:rsidP="00791FD4">
      <w:pPr>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E24DFE">
        <w:rPr>
          <w:rFonts w:ascii="Palatino Linotype" w:eastAsia="Calibri" w:hAnsi="Palatino Linotype" w:cs="Tahoma"/>
          <w:b/>
          <w:bCs/>
          <w:sz w:val="24"/>
        </w:rPr>
        <w:t xml:space="preserve"> SUJETO OBLIGADO</w:t>
      </w:r>
      <w:r w:rsidRPr="00E24DFE">
        <w:rPr>
          <w:rFonts w:ascii="Palatino Linotype" w:eastAsia="Calibri" w:hAnsi="Palatino Linotype" w:cs="Tahoma"/>
          <w:bCs/>
          <w:sz w:val="24"/>
        </w:rPr>
        <w:t>, colocando en inminente riesgo la vida de todos los integrantes, menoscabando así las actividades de prevención del delito y combate a la delincuencia.</w:t>
      </w:r>
    </w:p>
    <w:p w:rsidR="00791FD4" w:rsidRPr="00E24DFE" w:rsidRDefault="00791FD4" w:rsidP="00791FD4">
      <w:pPr>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rsidR="00791FD4" w:rsidRPr="00E24DFE" w:rsidRDefault="00791FD4" w:rsidP="00791FD4">
      <w:pPr>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El dar el nombre de los servidores públicos operativos de la </w:t>
      </w:r>
      <w:r w:rsidR="003234AC" w:rsidRPr="00E24DFE">
        <w:rPr>
          <w:rFonts w:ascii="Palatino Linotype" w:eastAsia="Calibri" w:hAnsi="Palatino Linotype" w:cs="Tahoma"/>
          <w:bCs/>
          <w:sz w:val="24"/>
        </w:rPr>
        <w:t xml:space="preserve">Dirección </w:t>
      </w:r>
      <w:r w:rsidRPr="00E24DFE">
        <w:rPr>
          <w:rFonts w:ascii="Palatino Linotype" w:eastAsia="Calibri" w:hAnsi="Palatino Linotype" w:cs="Tahoma"/>
          <w:bCs/>
          <w:sz w:val="24"/>
        </w:rPr>
        <w:t xml:space="preserve">de Seguridad Pública </w:t>
      </w:r>
      <w:r w:rsidR="003234AC" w:rsidRPr="00E24DFE">
        <w:rPr>
          <w:rFonts w:ascii="Palatino Linotype" w:eastAsia="Calibri" w:hAnsi="Palatino Linotype" w:cs="Tahoma"/>
          <w:bCs/>
          <w:sz w:val="24"/>
        </w:rPr>
        <w:t xml:space="preserve">o equivalente de </w:t>
      </w:r>
      <w:proofErr w:type="spellStart"/>
      <w:r w:rsidR="003234AC" w:rsidRPr="00E24DFE">
        <w:rPr>
          <w:rFonts w:ascii="Palatino Linotype" w:eastAsia="Calibri" w:hAnsi="Palatino Linotype" w:cs="Tahoma"/>
          <w:bCs/>
          <w:sz w:val="24"/>
        </w:rPr>
        <w:t>Atizapan</w:t>
      </w:r>
      <w:proofErr w:type="spellEnd"/>
      <w:r w:rsidRPr="00E24DFE">
        <w:rPr>
          <w:rFonts w:ascii="Palatino Linotype" w:eastAsia="Calibri" w:hAnsi="Palatino Linotype" w:cs="Tahoma"/>
          <w:bCs/>
          <w:sz w:val="24"/>
        </w:rPr>
        <w:t xml:space="preserve"> pone en riesgo sus vidas y seguridad, </w:t>
      </w:r>
      <w:r w:rsidRPr="00E24DFE">
        <w:rPr>
          <w:rFonts w:ascii="Palatino Linotype" w:eastAsia="Calibri" w:hAnsi="Palatino Linotype" w:cs="Tahoma"/>
          <w:bCs/>
          <w:sz w:val="24"/>
        </w:rPr>
        <w:lastRenderedPageBreak/>
        <w:t xml:space="preserve">ya que pueden ser identificarles, provocando que se utilice la información para amenazar, intimidar o extorsionar al integrante.  </w:t>
      </w:r>
    </w:p>
    <w:p w:rsidR="00791FD4" w:rsidRPr="00E24DFE" w:rsidRDefault="00791FD4" w:rsidP="00791FD4">
      <w:pPr>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rsidR="00791FD4" w:rsidRPr="00E24DFE" w:rsidRDefault="00791FD4" w:rsidP="00791FD4">
      <w:pPr>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tabs>
          <w:tab w:val="left" w:pos="0"/>
        </w:tabs>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w:t>
      </w:r>
      <w:r w:rsidRPr="00E24DFE">
        <w:rPr>
          <w:rFonts w:ascii="Palatino Linotype" w:eastAsia="Calibri" w:hAnsi="Palatino Linotype" w:cs="Tahoma"/>
          <w:bCs/>
          <w:sz w:val="24"/>
        </w:rPr>
        <w:lastRenderedPageBreak/>
        <w:t>derecho permite a las personas tener una participación activa en la toma de decisiones de los gobernantes y a su vez, funciona como un ejercicio de fiscalización para supervisar las actividades que realiza eh Estado.</w:t>
      </w:r>
    </w:p>
    <w:p w:rsidR="00791FD4" w:rsidRPr="00E24DFE" w:rsidRDefault="00791FD4" w:rsidP="00791FD4">
      <w:pPr>
        <w:tabs>
          <w:tab w:val="left" w:pos="0"/>
        </w:tabs>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tabs>
          <w:tab w:val="left" w:pos="0"/>
        </w:tabs>
        <w:spacing w:after="160" w:line="360" w:lineRule="auto"/>
        <w:ind w:left="0" w:firstLine="0"/>
        <w:contextualSpacing/>
        <w:jc w:val="both"/>
        <w:rPr>
          <w:rFonts w:ascii="Palatino Linotype" w:eastAsia="Calibri" w:hAnsi="Palatino Linotype" w:cs="Tahoma"/>
          <w:bCs/>
          <w:sz w:val="24"/>
        </w:rPr>
      </w:pPr>
      <w:r w:rsidRPr="00E24DFE">
        <w:rPr>
          <w:rFonts w:ascii="Palatino Linotype" w:eastAsia="Calibri" w:hAnsi="Palatino Linotype" w:cs="Tahoma"/>
          <w:bCs/>
          <w:sz w:val="24"/>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791FD4" w:rsidRPr="00E24DFE" w:rsidRDefault="00791FD4" w:rsidP="00791FD4">
      <w:pPr>
        <w:tabs>
          <w:tab w:val="left" w:pos="0"/>
        </w:tabs>
        <w:spacing w:line="360" w:lineRule="auto"/>
        <w:jc w:val="both"/>
        <w:rPr>
          <w:rFonts w:ascii="Palatino Linotype" w:eastAsia="Calibri" w:hAnsi="Palatino Linotype" w:cs="Tahoma"/>
          <w:bCs/>
          <w:sz w:val="24"/>
        </w:rPr>
      </w:pPr>
    </w:p>
    <w:p w:rsidR="00791FD4" w:rsidRPr="00E24DFE" w:rsidRDefault="00791FD4" w:rsidP="00791FD4">
      <w:pPr>
        <w:numPr>
          <w:ilvl w:val="0"/>
          <w:numId w:val="2"/>
        </w:numPr>
        <w:tabs>
          <w:tab w:val="left" w:pos="0"/>
        </w:tabs>
        <w:spacing w:after="160" w:line="360" w:lineRule="auto"/>
        <w:ind w:left="0" w:firstLine="0"/>
        <w:contextualSpacing/>
        <w:jc w:val="both"/>
        <w:rPr>
          <w:rFonts w:ascii="Palatino Linotype" w:eastAsia="MS Mincho" w:hAnsi="Palatino Linotype" w:cs="Arial"/>
          <w:sz w:val="24"/>
        </w:rPr>
      </w:pPr>
      <w:r w:rsidRPr="00E24DFE">
        <w:rPr>
          <w:rFonts w:ascii="Palatino Linotype" w:eastAsia="MS Mincho" w:hAnsi="Palatino Linotype" w:cs="Arial"/>
          <w:sz w:val="24"/>
          <w:lang w:val="es-ES_tradnl"/>
        </w:rPr>
        <w:t xml:space="preserve">Al respecto, cabe hacer mención que el artículo 81 fracción III de la Ley de Seguridad del Estado de México, establece lo siguiente: </w:t>
      </w:r>
    </w:p>
    <w:p w:rsidR="00791FD4" w:rsidRPr="00E24DFE" w:rsidRDefault="00791FD4" w:rsidP="00791FD4">
      <w:pPr>
        <w:spacing w:line="360" w:lineRule="auto"/>
        <w:ind w:left="720" w:right="851"/>
        <w:contextualSpacing/>
        <w:jc w:val="both"/>
        <w:rPr>
          <w:rFonts w:ascii="Palatino Linotype" w:eastAsia="MS Mincho" w:hAnsi="Palatino Linotype" w:cs="Arial"/>
          <w:i/>
          <w:lang w:val="es-ES_tradnl"/>
        </w:rPr>
      </w:pPr>
    </w:p>
    <w:p w:rsidR="00791FD4" w:rsidRPr="00E24DFE" w:rsidRDefault="00791FD4" w:rsidP="00791FD4">
      <w:pPr>
        <w:spacing w:line="360" w:lineRule="auto"/>
        <w:ind w:left="720" w:right="567"/>
        <w:contextualSpacing/>
        <w:jc w:val="both"/>
        <w:rPr>
          <w:rFonts w:ascii="Palatino Linotype" w:eastAsia="MS Mincho" w:hAnsi="Palatino Linotype" w:cs="Arial"/>
          <w:i/>
          <w:sz w:val="22"/>
          <w:lang w:val="es-ES_tradnl"/>
        </w:rPr>
      </w:pPr>
      <w:r w:rsidRPr="00E24DFE">
        <w:rPr>
          <w:rFonts w:ascii="Palatino Linotype" w:eastAsia="MS Mincho" w:hAnsi="Palatino Linotype" w:cs="Arial"/>
          <w:i/>
          <w:sz w:val="22"/>
          <w:lang w:val="es-ES_tradnl"/>
        </w:rPr>
        <w:t>“</w:t>
      </w:r>
      <w:r w:rsidRPr="00E24DFE">
        <w:rPr>
          <w:rFonts w:ascii="Palatino Linotype" w:eastAsia="MS Mincho" w:hAnsi="Palatino Linotype" w:cs="Arial"/>
          <w:b/>
          <w:i/>
          <w:sz w:val="22"/>
          <w:lang w:val="es-ES_tradnl"/>
        </w:rPr>
        <w:t>Artículo 81.-</w:t>
      </w:r>
      <w:r w:rsidRPr="00E24DFE">
        <w:rPr>
          <w:rFonts w:ascii="Palatino Linotype" w:eastAsia="MS Mincho" w:hAnsi="Palatino Linotype" w:cs="Arial"/>
          <w:i/>
          <w:sz w:val="22"/>
          <w:lang w:val="es-ES_tradnl"/>
        </w:rPr>
        <w:t xml:space="preserve"> </w:t>
      </w:r>
      <w:r w:rsidRPr="00E24DFE">
        <w:rPr>
          <w:rFonts w:ascii="Palatino Linotype" w:eastAsia="MS Mincho" w:hAnsi="Palatino Linotype" w:cs="Arial"/>
          <w:b/>
          <w:i/>
          <w:sz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E24DFE">
        <w:rPr>
          <w:rFonts w:ascii="Palatino Linotype" w:eastAsia="MS Mincho" w:hAnsi="Palatino Linotype" w:cs="Arial"/>
          <w:i/>
          <w:sz w:val="22"/>
          <w:lang w:val="es-ES_tradnl"/>
        </w:rPr>
        <w:t xml:space="preserve"> en los casos siguientes:</w:t>
      </w:r>
    </w:p>
    <w:p w:rsidR="00791FD4" w:rsidRPr="00E24DFE" w:rsidRDefault="00791FD4" w:rsidP="00791FD4">
      <w:pPr>
        <w:spacing w:line="360" w:lineRule="auto"/>
        <w:ind w:left="720" w:right="567"/>
        <w:contextualSpacing/>
        <w:jc w:val="both"/>
        <w:rPr>
          <w:rFonts w:ascii="Palatino Linotype" w:eastAsia="MS Mincho" w:hAnsi="Palatino Linotype" w:cs="Arial"/>
          <w:i/>
          <w:sz w:val="22"/>
          <w:lang w:val="es-ES_tradnl"/>
        </w:rPr>
      </w:pPr>
      <w:r w:rsidRPr="00E24DFE">
        <w:rPr>
          <w:rFonts w:ascii="Palatino Linotype" w:eastAsia="MS Mincho" w:hAnsi="Palatino Linotype" w:cs="Arial"/>
          <w:i/>
          <w:sz w:val="22"/>
          <w:lang w:val="es-ES_tradnl"/>
        </w:rPr>
        <w:t>…</w:t>
      </w:r>
    </w:p>
    <w:p w:rsidR="00791FD4" w:rsidRPr="00E24DFE" w:rsidRDefault="00791FD4" w:rsidP="00791FD4">
      <w:pPr>
        <w:spacing w:line="360" w:lineRule="auto"/>
        <w:ind w:left="720" w:right="567"/>
        <w:contextualSpacing/>
        <w:jc w:val="both"/>
        <w:rPr>
          <w:rFonts w:ascii="Palatino Linotype" w:eastAsia="MS Mincho" w:hAnsi="Palatino Linotype" w:cs="Arial"/>
          <w:i/>
          <w:sz w:val="22"/>
          <w:lang w:val="es-ES_tradnl"/>
        </w:rPr>
      </w:pPr>
      <w:r w:rsidRPr="00E24DFE">
        <w:rPr>
          <w:rFonts w:ascii="Palatino Linotype" w:eastAsia="MS Mincho" w:hAnsi="Palatino Linotype" w:cs="Arial"/>
          <w:b/>
          <w:i/>
          <w:sz w:val="22"/>
          <w:lang w:val="es-ES_tradnl"/>
        </w:rPr>
        <w:t>III.</w:t>
      </w:r>
      <w:r w:rsidRPr="00E24DFE">
        <w:rPr>
          <w:rFonts w:ascii="Palatino Linotype" w:eastAsia="MS Mincho" w:hAnsi="Palatino Linotype" w:cs="Arial"/>
          <w:i/>
          <w:sz w:val="22"/>
          <w:lang w:val="es-ES_tradnl"/>
        </w:rPr>
        <w:t xml:space="preserve"> </w:t>
      </w:r>
      <w:r w:rsidRPr="00E24DFE">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E24DFE">
        <w:rPr>
          <w:rFonts w:ascii="Palatino Linotype" w:eastAsia="MS Mincho" w:hAnsi="Palatino Linotype" w:cs="Arial"/>
          <w:i/>
          <w:sz w:val="22"/>
          <w:lang w:val="es-ES_tradnl"/>
        </w:rPr>
        <w:t>”</w:t>
      </w:r>
    </w:p>
    <w:p w:rsidR="00791FD4" w:rsidRPr="00E24DFE" w:rsidRDefault="00791FD4" w:rsidP="00791FD4">
      <w:pPr>
        <w:spacing w:line="360" w:lineRule="auto"/>
        <w:ind w:left="720" w:right="851"/>
        <w:contextualSpacing/>
        <w:jc w:val="both"/>
        <w:rPr>
          <w:rFonts w:ascii="Palatino Linotype" w:eastAsia="MS Mincho" w:hAnsi="Palatino Linotype" w:cs="Arial"/>
          <w:sz w:val="22"/>
          <w:lang w:val="es-ES_tradnl"/>
        </w:rPr>
      </w:pPr>
      <w:r w:rsidRPr="00E24DFE">
        <w:rPr>
          <w:rFonts w:ascii="Palatino Linotype" w:eastAsia="MS Mincho" w:hAnsi="Palatino Linotype" w:cs="Arial"/>
          <w:sz w:val="22"/>
          <w:lang w:val="es-ES_tradnl"/>
        </w:rPr>
        <w:t>(Énfasis añadido)</w:t>
      </w:r>
    </w:p>
    <w:p w:rsidR="00791FD4" w:rsidRPr="00E24DFE" w:rsidRDefault="00791FD4" w:rsidP="00791FD4">
      <w:pPr>
        <w:spacing w:line="360" w:lineRule="auto"/>
        <w:jc w:val="both"/>
        <w:rPr>
          <w:rFonts w:ascii="Palatino Linotype" w:eastAsia="MS Mincho" w:hAnsi="Palatino Linotype" w:cs="Arial"/>
          <w:sz w:val="24"/>
        </w:rPr>
      </w:pPr>
    </w:p>
    <w:p w:rsidR="00791FD4" w:rsidRPr="00E24DFE" w:rsidRDefault="00791FD4" w:rsidP="00791FD4">
      <w:pPr>
        <w:numPr>
          <w:ilvl w:val="0"/>
          <w:numId w:val="2"/>
        </w:numPr>
        <w:tabs>
          <w:tab w:val="left" w:pos="0"/>
        </w:tabs>
        <w:spacing w:after="160" w:line="360" w:lineRule="auto"/>
        <w:ind w:left="0" w:firstLine="0"/>
        <w:contextualSpacing/>
        <w:jc w:val="both"/>
        <w:rPr>
          <w:rFonts w:ascii="Palatino Linotype" w:eastAsia="MS Mincho" w:hAnsi="Palatino Linotype" w:cs="Arial"/>
          <w:sz w:val="24"/>
        </w:rPr>
      </w:pPr>
      <w:r w:rsidRPr="00E24DFE">
        <w:rPr>
          <w:rFonts w:ascii="Palatino Linotype" w:hAnsi="Palatino Linotype" w:cs="Arial"/>
          <w:sz w:val="24"/>
        </w:rPr>
        <w:t>Argumento que se fortalece con lo estipulado en el criterio número 6-09, del Instituto Nacional de Transparencia, Acceso a la Información y Protección de Datos Personales, antes (INAI)</w:t>
      </w:r>
      <w:r w:rsidRPr="00E24DFE">
        <w:rPr>
          <w:rFonts w:ascii="Palatino Linotype" w:hAnsi="Palatino Linotype" w:cs="Arial"/>
          <w:b/>
          <w:bCs/>
          <w:sz w:val="24"/>
        </w:rPr>
        <w:t xml:space="preserve">, </w:t>
      </w:r>
      <w:r w:rsidRPr="00E24DFE">
        <w:rPr>
          <w:rFonts w:ascii="Palatino Linotype" w:hAnsi="Palatino Linotype" w:cs="Arial"/>
          <w:sz w:val="24"/>
        </w:rPr>
        <w:t xml:space="preserve">el cual refiere: </w:t>
      </w:r>
    </w:p>
    <w:p w:rsidR="00791FD4" w:rsidRPr="00E24DFE" w:rsidRDefault="00791FD4" w:rsidP="00791FD4">
      <w:pPr>
        <w:spacing w:line="360" w:lineRule="auto"/>
        <w:jc w:val="both"/>
        <w:rPr>
          <w:rFonts w:ascii="Palatino Linotype" w:hAnsi="Palatino Linotype" w:cs="Arial"/>
        </w:rPr>
      </w:pPr>
    </w:p>
    <w:p w:rsidR="00791FD4" w:rsidRPr="00E24DFE" w:rsidRDefault="00791FD4" w:rsidP="00791FD4">
      <w:pPr>
        <w:autoSpaceDE w:val="0"/>
        <w:autoSpaceDN w:val="0"/>
        <w:adjustRightInd w:val="0"/>
        <w:spacing w:line="360" w:lineRule="auto"/>
        <w:ind w:left="720" w:right="567"/>
        <w:contextualSpacing/>
        <w:jc w:val="center"/>
        <w:rPr>
          <w:rFonts w:ascii="Palatino Linotype" w:hAnsi="Palatino Linotype" w:cs="Arial"/>
          <w:i/>
          <w:sz w:val="22"/>
        </w:rPr>
      </w:pPr>
      <w:r w:rsidRPr="00E24DFE">
        <w:rPr>
          <w:rFonts w:ascii="Palatino Linotype" w:hAnsi="Palatino Linotype" w:cs="Arial"/>
          <w:b/>
          <w:bCs/>
          <w:i/>
          <w:sz w:val="22"/>
        </w:rPr>
        <w:t>“Criterio 6-09</w:t>
      </w:r>
    </w:p>
    <w:p w:rsidR="00791FD4" w:rsidRPr="00E24DFE" w:rsidRDefault="00791FD4" w:rsidP="00791FD4">
      <w:pPr>
        <w:autoSpaceDE w:val="0"/>
        <w:autoSpaceDN w:val="0"/>
        <w:adjustRightInd w:val="0"/>
        <w:spacing w:line="360" w:lineRule="auto"/>
        <w:ind w:left="720" w:right="567"/>
        <w:contextualSpacing/>
        <w:jc w:val="both"/>
        <w:rPr>
          <w:rFonts w:ascii="Palatino Linotype" w:hAnsi="Palatino Linotype" w:cs="Arial"/>
          <w:i/>
          <w:sz w:val="22"/>
        </w:rPr>
      </w:pPr>
      <w:r w:rsidRPr="00E24DFE">
        <w:rPr>
          <w:rFonts w:ascii="Palatino Linotype" w:hAnsi="Palatino Linotype" w:cs="Arial"/>
          <w:b/>
          <w:bCs/>
          <w:i/>
          <w:sz w:val="22"/>
        </w:rPr>
        <w:t xml:space="preserve">Nombres de servidores públicos dedicados a actividades en materia de seguridad, por excepción pueden considerarse información reservada. </w:t>
      </w:r>
      <w:r w:rsidRPr="00E24DFE">
        <w:rPr>
          <w:rFonts w:ascii="Palatino Linotype" w:hAnsi="Palatino Linotype" w:cs="Arial"/>
          <w:bCs/>
          <w:i/>
          <w:sz w:val="22"/>
        </w:rPr>
        <w:t xml:space="preserve">De conformidad con el artículo 7, fracciones I y III de la Ley Federal de Transparencia y Acceso a la Información Pública Gubernamental </w:t>
      </w:r>
      <w:r w:rsidRPr="00E24DFE">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24DFE">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24DFE">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E24DFE">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w:t>
      </w:r>
      <w:r w:rsidRPr="00E24DFE">
        <w:rPr>
          <w:rFonts w:ascii="Palatino Linotype" w:hAnsi="Palatino Linotype" w:cs="Arial"/>
          <w:bCs/>
          <w:i/>
          <w:sz w:val="22"/>
        </w:rPr>
        <w:lastRenderedPageBreak/>
        <w:t xml:space="preserve">operativo, mediante el conocimiento de dicha situación, </w:t>
      </w:r>
      <w:r w:rsidRPr="00E24DFE">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E24DFE">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E24DFE">
        <w:rPr>
          <w:rFonts w:ascii="Palatino Linotype" w:hAnsi="Palatino Linotype" w:cs="Arial"/>
          <w:i/>
          <w:sz w:val="22"/>
        </w:rPr>
        <w:t>” (Sic)</w:t>
      </w:r>
    </w:p>
    <w:p w:rsidR="00791FD4" w:rsidRPr="00E24DFE" w:rsidRDefault="00791FD4" w:rsidP="00791FD4">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E24DFE">
        <w:rPr>
          <w:rFonts w:ascii="Palatino Linotype" w:hAnsi="Palatino Linotype" w:cs="Arial"/>
          <w:sz w:val="22"/>
        </w:rPr>
        <w:t>(Énfasis añadido).</w:t>
      </w:r>
    </w:p>
    <w:p w:rsidR="00791FD4" w:rsidRPr="00E24DFE" w:rsidRDefault="00791FD4" w:rsidP="00791FD4">
      <w:pPr>
        <w:spacing w:before="240" w:after="240" w:line="360" w:lineRule="auto"/>
        <w:ind w:right="49"/>
        <w:contextualSpacing/>
        <w:jc w:val="both"/>
        <w:rPr>
          <w:rFonts w:ascii="Palatino Linotype" w:eastAsia="Calibri" w:hAnsi="Palatino Linotype"/>
          <w:sz w:val="24"/>
        </w:rPr>
      </w:pPr>
    </w:p>
    <w:p w:rsidR="00791FD4" w:rsidRPr="00E24DFE" w:rsidRDefault="00791FD4" w:rsidP="00791FD4">
      <w:pPr>
        <w:numPr>
          <w:ilvl w:val="0"/>
          <w:numId w:val="2"/>
        </w:numPr>
        <w:spacing w:before="240" w:after="240" w:line="360" w:lineRule="auto"/>
        <w:ind w:left="0" w:right="49" w:firstLine="0"/>
        <w:contextualSpacing/>
        <w:jc w:val="both"/>
        <w:rPr>
          <w:rFonts w:ascii="Palatino Linotype" w:eastAsia="Calibri" w:hAnsi="Palatino Linotype"/>
          <w:sz w:val="24"/>
        </w:rPr>
      </w:pPr>
      <w:r w:rsidRPr="00E24DFE">
        <w:rPr>
          <w:rFonts w:ascii="Palatino Linotype" w:hAnsi="Palatino Linotype"/>
          <w:sz w:val="24"/>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E24DFE">
        <w:rPr>
          <w:rFonts w:ascii="Palatino Linotype" w:hAnsi="Palatino Linotype"/>
          <w:b/>
          <w:sz w:val="24"/>
        </w:rPr>
        <w:t>SUJETO OBLIGADO</w:t>
      </w:r>
      <w:r w:rsidRPr="00E24DFE">
        <w:rPr>
          <w:rFonts w:ascii="Palatino Linotype" w:hAnsi="Palatino Linotype"/>
          <w:sz w:val="24"/>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rsidR="00791FD4" w:rsidRPr="00E24DFE" w:rsidRDefault="00791FD4" w:rsidP="00791FD4">
      <w:pPr>
        <w:spacing w:line="360" w:lineRule="auto"/>
        <w:jc w:val="both"/>
        <w:rPr>
          <w:rFonts w:ascii="Palatino Linotype" w:hAnsi="Palatino Linotype"/>
          <w:sz w:val="24"/>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“Artículo 49</w:t>
      </w:r>
      <w:r w:rsidRPr="00E24DFE">
        <w:rPr>
          <w:rFonts w:ascii="Palatino Linotype" w:hAnsi="Palatino Linotype"/>
          <w:i/>
          <w:sz w:val="22"/>
        </w:rPr>
        <w:t xml:space="preserve">. Los Comités de Transparencia tendrán las siguientes atribuciones: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VIII. Aprobar, modificar o revocar la clasificación de la información;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lastRenderedPageBreak/>
        <w:t>Artículo 132</w:t>
      </w:r>
      <w:r w:rsidRPr="00E24DFE">
        <w:rPr>
          <w:rFonts w:ascii="Palatino Linotype" w:hAnsi="Palatino Linotype"/>
          <w:i/>
          <w:sz w:val="22"/>
        </w:rPr>
        <w:t xml:space="preserve">. La clasificación de la información se llevará a cabo en el momento en que: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I. Se reciba una solicitud de acceso a la información;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II. Se determine mediante resolución de autoridad competente; o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III. Se generen versiones públicas para dar cumplimiento a las obligaciones de transparencia previstas en esta Ley.”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Cuarto.</w:t>
      </w:r>
      <w:r w:rsidRPr="00E24DFE">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Quinto.</w:t>
      </w:r>
      <w:r w:rsidRPr="00E24DFE">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lastRenderedPageBreak/>
        <w:t>Sexto.</w:t>
      </w:r>
      <w:r w:rsidRPr="00E24DFE">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La clasificación de información se realizará conforme a un análisis caso por caso, mediante la aplicación de la prueba de daño y de interés público.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Séptimo.</w:t>
      </w:r>
      <w:r w:rsidRPr="00E24DFE">
        <w:rPr>
          <w:rFonts w:ascii="Palatino Linotype" w:hAnsi="Palatino Linotype"/>
          <w:i/>
          <w:sz w:val="22"/>
        </w:rPr>
        <w:t xml:space="preserve"> La clasificación de la información se llevará a cabo en el momento en que: I. Se reciba una solicitud de acceso a la información;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II. Se determine mediante resolución de autoridad competente, o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III. Se generen versiones públicas para dar cumplimiento a las obligaciones de transparencia previstas en la Ley General, la Ley Federal y las correspondientes de las entidades federativas.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Los titulares de las áreas deberán revisar la clasificación al momento de la recepción de una solicitud de acceso a la información, para verificar si encuadra en una causal de reserva o de confidencialidad.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Octavo.</w:t>
      </w:r>
      <w:r w:rsidRPr="00E24DFE">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lastRenderedPageBreak/>
        <w:t xml:space="preserve">Para motivar la clasificación se deberán señalar las razones o circunstancias especiales que lo llevaron a concluir que el caso particular se ajusta al supuesto previsto por la norma legal invocada como fundamento.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En caso de referirse a información reservada, la motivación de la clasificación también deberá comprender las circunstancias que justifican el establecimiento de determinado plazo de reserva.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Décimo</w:t>
      </w:r>
      <w:r w:rsidRPr="00E24DFE">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E24DFE">
        <w:rPr>
          <w:rFonts w:ascii="Palatino Linotype" w:hAnsi="Palatino Linotype"/>
          <w:i/>
          <w:sz w:val="22"/>
        </w:rPr>
        <w:lastRenderedPageBreak/>
        <w:t xml:space="preserve">clasificada, en los términos de los Lineamientos para la Organización y Conservación de Archivos.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i/>
          <w:sz w:val="22"/>
        </w:rPr>
        <w:t xml:space="preserve">En ausencia de los titulares de las áreas, la información será clasificada o desclasificada por la persona que lo supla, en términos de la normativa que rija la actuación del sujeto obligado.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spacing w:line="360" w:lineRule="auto"/>
        <w:ind w:left="720" w:right="538"/>
        <w:contextualSpacing/>
        <w:jc w:val="both"/>
        <w:rPr>
          <w:rFonts w:ascii="Palatino Linotype" w:hAnsi="Palatino Linotype"/>
          <w:i/>
          <w:sz w:val="22"/>
        </w:rPr>
      </w:pPr>
      <w:r w:rsidRPr="00E24DFE">
        <w:rPr>
          <w:rFonts w:ascii="Palatino Linotype" w:hAnsi="Palatino Linotype"/>
          <w:b/>
          <w:i/>
          <w:sz w:val="22"/>
        </w:rPr>
        <w:t>Décimo primero</w:t>
      </w:r>
      <w:r w:rsidRPr="00E24DFE">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791FD4" w:rsidRPr="00E24DFE" w:rsidRDefault="00791FD4" w:rsidP="00791FD4">
      <w:pPr>
        <w:spacing w:line="360" w:lineRule="auto"/>
        <w:ind w:left="720" w:right="538"/>
        <w:contextualSpacing/>
        <w:jc w:val="both"/>
        <w:rPr>
          <w:rFonts w:ascii="Palatino Linotype" w:hAnsi="Palatino Linotype"/>
          <w:i/>
          <w:sz w:val="22"/>
        </w:rPr>
      </w:pPr>
    </w:p>
    <w:p w:rsidR="00791FD4" w:rsidRPr="00E24DFE" w:rsidRDefault="00791FD4" w:rsidP="00791FD4">
      <w:pPr>
        <w:pStyle w:val="Prrafodelista"/>
        <w:numPr>
          <w:ilvl w:val="0"/>
          <w:numId w:val="2"/>
        </w:numPr>
        <w:spacing w:line="360" w:lineRule="auto"/>
        <w:ind w:left="0" w:right="538" w:firstLine="0"/>
        <w:jc w:val="both"/>
        <w:rPr>
          <w:rFonts w:ascii="Palatino Linotype" w:hAnsi="Palatino Linotype"/>
          <w:i/>
          <w:sz w:val="24"/>
        </w:rPr>
      </w:pPr>
      <w:r w:rsidRPr="00E24DFE">
        <w:rPr>
          <w:rFonts w:ascii="Palatino Linotype" w:hAnsi="Palatino Linotype"/>
          <w:sz w:val="24"/>
        </w:rPr>
        <w:t xml:space="preserve">En tal contexto se deberá proceder a la clasificación de los nombres de los elementos de policía que realicen actividades operativas en campo. </w:t>
      </w:r>
    </w:p>
    <w:p w:rsidR="009124EA" w:rsidRPr="00E24DFE" w:rsidRDefault="009124EA" w:rsidP="00791FD4">
      <w:pPr>
        <w:pStyle w:val="Prrafodelista"/>
        <w:tabs>
          <w:tab w:val="left" w:pos="284"/>
        </w:tabs>
        <w:spacing w:line="360" w:lineRule="auto"/>
        <w:ind w:left="0"/>
        <w:jc w:val="both"/>
        <w:rPr>
          <w:rFonts w:ascii="Palatino Linotype" w:hAnsi="Palatino Linotype" w:cs="Arial"/>
          <w:color w:val="000000"/>
          <w:sz w:val="24"/>
        </w:rPr>
      </w:pPr>
    </w:p>
    <w:bookmarkEnd w:id="16"/>
    <w:p w:rsidR="009124EA" w:rsidRPr="00E24DFE" w:rsidRDefault="009124EA" w:rsidP="009124EA">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E24DFE">
        <w:rPr>
          <w:rFonts w:ascii="Palatino Linotype" w:hAnsi="Palatino Linotype" w:cs="Arial"/>
          <w:color w:val="222222"/>
          <w:sz w:val="24"/>
          <w:lang w:eastAsia="es-MX"/>
        </w:rPr>
        <w:t xml:space="preserve">Por lo anteriormente expuesto y fundado, este </w:t>
      </w:r>
      <w:r w:rsidRPr="00E24DFE">
        <w:rPr>
          <w:rFonts w:ascii="Palatino Linotype" w:hAnsi="Palatino Linotype" w:cs="Arial"/>
          <w:b/>
          <w:bCs/>
          <w:color w:val="222222"/>
          <w:sz w:val="24"/>
          <w:lang w:eastAsia="es-MX"/>
        </w:rPr>
        <w:t>ÓRGANO GARANTE</w:t>
      </w:r>
      <w:r w:rsidRPr="00E24DFE">
        <w:rPr>
          <w:rFonts w:ascii="Palatino Linotype" w:hAnsi="Palatino Linotype" w:cs="Arial"/>
          <w:color w:val="222222"/>
          <w:sz w:val="24"/>
          <w:lang w:eastAsia="es-MX"/>
        </w:rPr>
        <w:t xml:space="preserve"> emite los siguientes:</w:t>
      </w:r>
    </w:p>
    <w:p w:rsidR="008D7C52" w:rsidRPr="00E24DFE" w:rsidRDefault="008D7C52" w:rsidP="008D7C52">
      <w:pPr>
        <w:tabs>
          <w:tab w:val="left" w:pos="567"/>
        </w:tabs>
        <w:spacing w:line="360" w:lineRule="auto"/>
        <w:jc w:val="both"/>
        <w:rPr>
          <w:rFonts w:ascii="Palatino Linotype" w:eastAsia="Calibri" w:hAnsi="Palatino Linotype" w:cs="Arial"/>
          <w:sz w:val="24"/>
        </w:rPr>
      </w:pPr>
    </w:p>
    <w:p w:rsidR="008D7C52" w:rsidRPr="00E24DFE" w:rsidRDefault="008D7C52" w:rsidP="008D7C52">
      <w:pPr>
        <w:tabs>
          <w:tab w:val="left" w:pos="567"/>
        </w:tabs>
        <w:spacing w:line="360" w:lineRule="auto"/>
        <w:jc w:val="both"/>
        <w:rPr>
          <w:rFonts w:ascii="Palatino Linotype" w:eastAsia="Calibri" w:hAnsi="Palatino Linotype" w:cs="Arial"/>
          <w:sz w:val="24"/>
        </w:rPr>
      </w:pPr>
    </w:p>
    <w:p w:rsidR="008D7C52" w:rsidRPr="00E24DFE" w:rsidRDefault="008D7C52" w:rsidP="008D7C52">
      <w:pPr>
        <w:tabs>
          <w:tab w:val="left" w:pos="567"/>
        </w:tabs>
        <w:spacing w:line="360" w:lineRule="auto"/>
        <w:jc w:val="both"/>
        <w:rPr>
          <w:rFonts w:ascii="Palatino Linotype" w:eastAsia="Calibri" w:hAnsi="Palatino Linotype" w:cs="Arial"/>
          <w:sz w:val="24"/>
        </w:rPr>
      </w:pPr>
    </w:p>
    <w:p w:rsidR="009124EA" w:rsidRPr="00E24DFE" w:rsidRDefault="009124EA" w:rsidP="009124EA">
      <w:pPr>
        <w:pStyle w:val="Ttulo1"/>
        <w:spacing w:before="0"/>
        <w:jc w:val="center"/>
        <w:rPr>
          <w:rFonts w:ascii="Palatino Linotype" w:hAnsi="Palatino Linotype"/>
          <w:b/>
          <w:color w:val="auto"/>
          <w:sz w:val="24"/>
          <w:szCs w:val="24"/>
        </w:rPr>
      </w:pPr>
      <w:bookmarkStart w:id="26" w:name="_Toc4061692"/>
      <w:bookmarkStart w:id="27" w:name="_Toc486525261"/>
      <w:bookmarkStart w:id="28" w:name="_Toc445745148"/>
      <w:bookmarkStart w:id="29" w:name="_Toc447699324"/>
      <w:bookmarkStart w:id="30" w:name="_Toc87549684"/>
      <w:r w:rsidRPr="00E24DFE">
        <w:rPr>
          <w:rFonts w:ascii="Palatino Linotype" w:hAnsi="Palatino Linotype"/>
          <w:b/>
          <w:color w:val="auto"/>
          <w:sz w:val="24"/>
          <w:szCs w:val="24"/>
        </w:rPr>
        <w:lastRenderedPageBreak/>
        <w:t>R E S O L U T I V O S</w:t>
      </w:r>
      <w:bookmarkEnd w:id="26"/>
      <w:bookmarkEnd w:id="27"/>
      <w:bookmarkEnd w:id="28"/>
      <w:bookmarkEnd w:id="29"/>
      <w:bookmarkEnd w:id="30"/>
    </w:p>
    <w:p w:rsidR="009124EA" w:rsidRPr="00E24DFE" w:rsidRDefault="009124EA" w:rsidP="009124EA">
      <w:pPr>
        <w:keepNext/>
        <w:keepLines/>
        <w:spacing w:line="360" w:lineRule="auto"/>
        <w:jc w:val="center"/>
        <w:outlineLvl w:val="0"/>
        <w:rPr>
          <w:rFonts w:ascii="Palatino Linotype" w:hAnsi="Palatino Linotype" w:cstheme="majorBidi"/>
          <w:b/>
          <w:bCs/>
          <w:sz w:val="24"/>
          <w:szCs w:val="24"/>
        </w:rPr>
      </w:pPr>
    </w:p>
    <w:p w:rsidR="009124EA" w:rsidRPr="00E24DFE" w:rsidRDefault="009124EA" w:rsidP="009124EA">
      <w:pPr>
        <w:tabs>
          <w:tab w:val="left" w:pos="284"/>
        </w:tabs>
        <w:spacing w:line="360" w:lineRule="auto"/>
        <w:jc w:val="both"/>
        <w:rPr>
          <w:rFonts w:ascii="Palatino Linotype" w:eastAsiaTheme="minorEastAsia" w:hAnsi="Palatino Linotype" w:cs="Arial"/>
          <w:bCs/>
          <w:sz w:val="24"/>
          <w:szCs w:val="24"/>
          <w:lang w:val="es-ES_tradnl" w:eastAsia="es-MX"/>
        </w:rPr>
      </w:pPr>
      <w:r w:rsidRPr="00E24DFE">
        <w:rPr>
          <w:rFonts w:ascii="Palatino Linotype" w:hAnsi="Palatino Linotype" w:cs="Arial"/>
          <w:b/>
          <w:sz w:val="24"/>
          <w:szCs w:val="24"/>
          <w:lang w:val="es-ES_tradnl"/>
        </w:rPr>
        <w:t xml:space="preserve">PRIMERO. </w:t>
      </w:r>
      <w:r w:rsidRPr="00E24DFE">
        <w:rPr>
          <w:rFonts w:ascii="Palatino Linotype" w:hAnsi="Palatino Linotype" w:cs="Arial"/>
          <w:sz w:val="24"/>
          <w:szCs w:val="24"/>
          <w:lang w:val="es-ES_tradnl"/>
        </w:rPr>
        <w:t>Resultan fundadas las</w:t>
      </w:r>
      <w:r w:rsidRPr="00E24DFE">
        <w:rPr>
          <w:rFonts w:ascii="Palatino Linotype" w:hAnsi="Palatino Linotype" w:cs="Arial"/>
          <w:b/>
          <w:sz w:val="24"/>
          <w:szCs w:val="24"/>
          <w:lang w:val="es-ES_tradnl"/>
        </w:rPr>
        <w:t xml:space="preserve"> </w:t>
      </w:r>
      <w:r w:rsidRPr="00E24DFE">
        <w:rPr>
          <w:rFonts w:ascii="Palatino Linotype" w:hAnsi="Palatino Linotype" w:cs="Arial"/>
          <w:sz w:val="24"/>
          <w:szCs w:val="24"/>
          <w:lang w:val="es-ES"/>
        </w:rPr>
        <w:t xml:space="preserve">razones o motivos de inconformidad hechos valer en el recurso de revisión </w:t>
      </w:r>
      <w:r w:rsidR="00660DE9" w:rsidRPr="00E24DFE">
        <w:rPr>
          <w:rFonts w:ascii="Palatino Linotype" w:eastAsia="Calibri" w:hAnsi="Palatino Linotype" w:cs="Tahoma"/>
          <w:b/>
          <w:bCs/>
          <w:sz w:val="24"/>
          <w:szCs w:val="22"/>
          <w:lang w:eastAsia="en-US"/>
        </w:rPr>
        <w:t>04008</w:t>
      </w:r>
      <w:r w:rsidRPr="00E24DFE">
        <w:rPr>
          <w:rFonts w:ascii="Palatino Linotype" w:eastAsia="Calibri" w:hAnsi="Palatino Linotype" w:cs="Tahoma"/>
          <w:b/>
          <w:bCs/>
          <w:sz w:val="24"/>
          <w:szCs w:val="22"/>
          <w:lang w:eastAsia="en-US"/>
        </w:rPr>
        <w:t>/INFOEM/</w:t>
      </w:r>
      <w:r w:rsidR="00660DE9" w:rsidRPr="00E24DFE">
        <w:rPr>
          <w:rFonts w:ascii="Palatino Linotype" w:eastAsia="Calibri" w:hAnsi="Palatino Linotype" w:cs="Tahoma"/>
          <w:b/>
          <w:bCs/>
          <w:sz w:val="24"/>
          <w:szCs w:val="22"/>
          <w:lang w:eastAsia="en-US"/>
        </w:rPr>
        <w:t>ICR-220</w:t>
      </w:r>
      <w:r w:rsidR="0047745E" w:rsidRPr="00E24DFE">
        <w:rPr>
          <w:rFonts w:ascii="Palatino Linotype" w:eastAsia="Calibri" w:hAnsi="Palatino Linotype" w:cs="Tahoma"/>
          <w:b/>
          <w:bCs/>
          <w:sz w:val="24"/>
          <w:szCs w:val="22"/>
          <w:lang w:eastAsia="en-US"/>
        </w:rPr>
        <w:t>/IP/RR/2022</w:t>
      </w:r>
      <w:r w:rsidR="001E28B7" w:rsidRPr="00E24DFE">
        <w:rPr>
          <w:rFonts w:ascii="Palatino Linotype" w:eastAsia="Calibri" w:hAnsi="Palatino Linotype" w:cs="Tahoma"/>
          <w:b/>
          <w:bCs/>
          <w:sz w:val="24"/>
          <w:szCs w:val="22"/>
          <w:lang w:eastAsia="en-US"/>
        </w:rPr>
        <w:t>,</w:t>
      </w:r>
      <w:r w:rsidRPr="00E24DFE">
        <w:rPr>
          <w:rFonts w:ascii="Palatino Linotype" w:hAnsi="Palatino Linotype" w:cs="Arial"/>
          <w:b/>
          <w:bCs/>
          <w:sz w:val="24"/>
          <w:lang w:eastAsia="es-MX"/>
        </w:rPr>
        <w:t xml:space="preserve"> </w:t>
      </w:r>
      <w:r w:rsidRPr="00E24DFE">
        <w:rPr>
          <w:rFonts w:ascii="Palatino Linotype" w:eastAsiaTheme="minorEastAsia" w:hAnsi="Palatino Linotype" w:cs="Arial"/>
          <w:bCs/>
          <w:sz w:val="24"/>
          <w:szCs w:val="24"/>
          <w:lang w:val="es-ES_tradnl" w:eastAsia="es-MX"/>
        </w:rPr>
        <w:t xml:space="preserve">en términos del </w:t>
      </w:r>
      <w:r w:rsidR="001E28B7" w:rsidRPr="00E24DFE">
        <w:rPr>
          <w:rFonts w:ascii="Palatino Linotype" w:eastAsiaTheme="minorEastAsia" w:hAnsi="Palatino Linotype" w:cs="Arial"/>
          <w:b/>
          <w:bCs/>
          <w:sz w:val="24"/>
          <w:szCs w:val="24"/>
          <w:lang w:val="es-ES_tradnl" w:eastAsia="es-MX"/>
        </w:rPr>
        <w:t>c</w:t>
      </w:r>
      <w:r w:rsidRPr="00E24DFE">
        <w:rPr>
          <w:rFonts w:ascii="Palatino Linotype" w:eastAsiaTheme="minorEastAsia" w:hAnsi="Palatino Linotype" w:cs="Arial"/>
          <w:b/>
          <w:bCs/>
          <w:sz w:val="24"/>
          <w:szCs w:val="24"/>
          <w:lang w:val="es-ES_tradnl" w:eastAsia="es-MX"/>
        </w:rPr>
        <w:t xml:space="preserve">onsiderando CUARTO y QUINTO </w:t>
      </w:r>
      <w:r w:rsidRPr="00E24DFE">
        <w:rPr>
          <w:rFonts w:ascii="Palatino Linotype" w:eastAsiaTheme="minorEastAsia" w:hAnsi="Palatino Linotype" w:cs="Arial"/>
          <w:bCs/>
          <w:sz w:val="24"/>
          <w:szCs w:val="24"/>
          <w:lang w:val="es-ES_tradnl" w:eastAsia="es-MX"/>
        </w:rPr>
        <w:t xml:space="preserve">de la presente resolución. </w:t>
      </w:r>
    </w:p>
    <w:p w:rsidR="009124EA" w:rsidRPr="00E24DFE" w:rsidRDefault="009124EA" w:rsidP="009124EA">
      <w:pPr>
        <w:tabs>
          <w:tab w:val="left" w:pos="284"/>
        </w:tabs>
        <w:spacing w:line="360" w:lineRule="auto"/>
        <w:jc w:val="both"/>
        <w:rPr>
          <w:rFonts w:ascii="Palatino Linotype" w:eastAsiaTheme="minorEastAsia" w:hAnsi="Palatino Linotype" w:cs="Arial"/>
          <w:bCs/>
          <w:sz w:val="24"/>
          <w:szCs w:val="24"/>
          <w:lang w:val="es-ES_tradnl" w:eastAsia="es-MX"/>
        </w:rPr>
      </w:pPr>
    </w:p>
    <w:p w:rsidR="009124EA" w:rsidRPr="00E24DFE" w:rsidRDefault="009124EA" w:rsidP="009124EA">
      <w:pPr>
        <w:tabs>
          <w:tab w:val="left" w:pos="284"/>
        </w:tabs>
        <w:spacing w:line="360" w:lineRule="auto"/>
        <w:jc w:val="both"/>
        <w:rPr>
          <w:rFonts w:ascii="Palatino Linotype" w:eastAsia="Calibri" w:hAnsi="Palatino Linotype" w:cs="Arial"/>
          <w:sz w:val="24"/>
          <w:szCs w:val="24"/>
          <w:lang w:val="es-ES"/>
        </w:rPr>
      </w:pPr>
      <w:r w:rsidRPr="00E24DFE">
        <w:rPr>
          <w:rFonts w:ascii="Palatino Linotype" w:eastAsia="Calibri" w:hAnsi="Palatino Linotype" w:cs="Arial"/>
          <w:b/>
          <w:bCs/>
          <w:sz w:val="24"/>
          <w:szCs w:val="24"/>
          <w:lang w:val="es-ES"/>
        </w:rPr>
        <w:t xml:space="preserve">SEGUNDO. </w:t>
      </w:r>
      <w:r w:rsidRPr="00E24DFE">
        <w:rPr>
          <w:rFonts w:ascii="Palatino Linotype" w:eastAsia="Calibri" w:hAnsi="Palatino Linotype" w:cs="Arial"/>
          <w:sz w:val="24"/>
          <w:szCs w:val="24"/>
          <w:lang w:val="es-ES"/>
        </w:rPr>
        <w:t xml:space="preserve">Se </w:t>
      </w:r>
      <w:r w:rsidRPr="00E24DFE">
        <w:rPr>
          <w:rFonts w:ascii="Palatino Linotype" w:eastAsia="Calibri" w:hAnsi="Palatino Linotype" w:cs="Arial"/>
          <w:b/>
          <w:sz w:val="24"/>
          <w:szCs w:val="24"/>
          <w:lang w:val="es-ES"/>
        </w:rPr>
        <w:t xml:space="preserve">ORDENA </w:t>
      </w:r>
      <w:r w:rsidRPr="00E24DFE">
        <w:rPr>
          <w:rFonts w:ascii="Palatino Linotype" w:eastAsia="Calibri" w:hAnsi="Palatino Linotype" w:cs="Arial"/>
          <w:sz w:val="24"/>
          <w:szCs w:val="24"/>
          <w:lang w:val="es-ES"/>
        </w:rPr>
        <w:t xml:space="preserve">al </w:t>
      </w:r>
      <w:r w:rsidRPr="00E24DFE">
        <w:rPr>
          <w:rFonts w:ascii="Palatino Linotype" w:eastAsia="Calibri" w:hAnsi="Palatino Linotype" w:cs="Tahoma"/>
          <w:b/>
          <w:bCs/>
          <w:sz w:val="24"/>
          <w:szCs w:val="24"/>
          <w:lang w:eastAsia="en-US"/>
        </w:rPr>
        <w:t xml:space="preserve">Ayuntamiento de </w:t>
      </w:r>
      <w:r w:rsidR="00660DE9" w:rsidRPr="00E24DFE">
        <w:rPr>
          <w:rFonts w:ascii="Palatino Linotype" w:eastAsia="Calibri" w:hAnsi="Palatino Linotype" w:cs="Tahoma"/>
          <w:b/>
          <w:bCs/>
          <w:sz w:val="24"/>
          <w:szCs w:val="24"/>
          <w:lang w:eastAsia="en-US"/>
        </w:rPr>
        <w:t>Atizapán</w:t>
      </w:r>
      <w:r w:rsidRPr="00E24DFE">
        <w:rPr>
          <w:rFonts w:ascii="Palatino Linotype" w:eastAsia="Calibri" w:hAnsi="Palatino Linotype" w:cs="Arial"/>
          <w:b/>
          <w:bCs/>
          <w:sz w:val="24"/>
          <w:szCs w:val="24"/>
          <w:lang w:val="es-ES_tradnl"/>
        </w:rPr>
        <w:t xml:space="preserve"> </w:t>
      </w:r>
      <w:r w:rsidRPr="00E24DFE">
        <w:rPr>
          <w:rFonts w:ascii="Palatino Linotype" w:eastAsia="Calibri" w:hAnsi="Palatino Linotype" w:cs="Arial"/>
          <w:bCs/>
          <w:sz w:val="24"/>
          <w:szCs w:val="24"/>
          <w:lang w:val="es-ES_tradnl"/>
        </w:rPr>
        <w:t>entregar vía</w:t>
      </w:r>
      <w:r w:rsidRPr="00E24DFE">
        <w:rPr>
          <w:rFonts w:ascii="Palatino Linotype" w:eastAsia="Calibri" w:hAnsi="Palatino Linotype" w:cs="Arial"/>
          <w:b/>
          <w:bCs/>
          <w:sz w:val="24"/>
          <w:szCs w:val="24"/>
          <w:lang w:val="es-ES_tradnl"/>
        </w:rPr>
        <w:t xml:space="preserve"> </w:t>
      </w:r>
      <w:r w:rsidRPr="00E24DFE">
        <w:rPr>
          <w:rFonts w:ascii="Palatino Linotype" w:eastAsia="Calibri" w:hAnsi="Palatino Linotype" w:cs="Arial"/>
          <w:sz w:val="24"/>
          <w:szCs w:val="24"/>
          <w:lang w:val="es-ES"/>
        </w:rPr>
        <w:t>Sistema de Acceso a la Información Mexiquense (SAIMEX), de ser el caso en versión pública, lo siguiente:</w:t>
      </w:r>
    </w:p>
    <w:p w:rsidR="009124EA" w:rsidRPr="00E24DFE" w:rsidRDefault="009124EA" w:rsidP="009124EA">
      <w:pPr>
        <w:tabs>
          <w:tab w:val="left" w:pos="284"/>
        </w:tabs>
        <w:spacing w:line="360" w:lineRule="auto"/>
        <w:jc w:val="both"/>
        <w:rPr>
          <w:rFonts w:ascii="Palatino Linotype" w:eastAsia="Calibri" w:hAnsi="Palatino Linotype" w:cs="Arial"/>
          <w:b/>
          <w:sz w:val="24"/>
          <w:szCs w:val="24"/>
          <w:lang w:val="es-ES"/>
        </w:rPr>
      </w:pPr>
    </w:p>
    <w:p w:rsidR="00660DE9" w:rsidRPr="00E24DFE" w:rsidRDefault="00660DE9" w:rsidP="008D7C52">
      <w:pPr>
        <w:pStyle w:val="Prrafodelista"/>
        <w:tabs>
          <w:tab w:val="left" w:pos="284"/>
        </w:tabs>
        <w:spacing w:line="360" w:lineRule="auto"/>
        <w:jc w:val="both"/>
        <w:rPr>
          <w:rFonts w:ascii="Palatino Linotype" w:hAnsi="Palatino Linotype" w:cs="Arial"/>
          <w:b/>
          <w:sz w:val="24"/>
        </w:rPr>
      </w:pPr>
      <w:r w:rsidRPr="00E24DFE">
        <w:rPr>
          <w:rFonts w:ascii="Palatino Linotype" w:hAnsi="Palatino Linotype" w:cs="Arial"/>
          <w:b/>
          <w:sz w:val="24"/>
        </w:rPr>
        <w:t>a). Conciliación de Nómina del Ayuntamiento de Atizapán del quince de enero al quince de febrero de dos mil veintidós.</w:t>
      </w:r>
    </w:p>
    <w:p w:rsidR="008D7C52" w:rsidRPr="00E24DFE" w:rsidRDefault="008D7C52" w:rsidP="008D7C52">
      <w:pPr>
        <w:tabs>
          <w:tab w:val="left" w:pos="284"/>
        </w:tabs>
        <w:spacing w:line="360" w:lineRule="auto"/>
        <w:jc w:val="both"/>
        <w:rPr>
          <w:rFonts w:ascii="Palatino Linotype" w:eastAsia="Calibri" w:hAnsi="Palatino Linotype" w:cs="Arial"/>
          <w:b/>
          <w:sz w:val="24"/>
          <w:lang w:val="es-ES"/>
        </w:rPr>
      </w:pPr>
    </w:p>
    <w:p w:rsidR="00660DE9" w:rsidRPr="00E24DFE" w:rsidRDefault="003234AC" w:rsidP="008D7C52">
      <w:pPr>
        <w:pStyle w:val="Prrafodelista"/>
        <w:tabs>
          <w:tab w:val="left" w:pos="284"/>
        </w:tabs>
        <w:spacing w:line="360" w:lineRule="auto"/>
        <w:jc w:val="both"/>
        <w:rPr>
          <w:rFonts w:ascii="Palatino Linotype" w:eastAsia="Calibri" w:hAnsi="Palatino Linotype" w:cs="Arial"/>
          <w:b/>
          <w:sz w:val="24"/>
          <w:lang w:val="es-ES"/>
        </w:rPr>
      </w:pPr>
      <w:r w:rsidRPr="00E24DFE">
        <w:rPr>
          <w:rFonts w:ascii="Palatino Linotype" w:eastAsia="Calibri" w:hAnsi="Palatino Linotype" w:cs="Arial"/>
          <w:b/>
          <w:sz w:val="24"/>
          <w:lang w:val="es-ES"/>
        </w:rPr>
        <w:t>b</w:t>
      </w:r>
      <w:r w:rsidR="00660DE9" w:rsidRPr="00E24DFE">
        <w:rPr>
          <w:rFonts w:ascii="Palatino Linotype" w:eastAsia="Calibri" w:hAnsi="Palatino Linotype" w:cs="Arial"/>
          <w:b/>
          <w:sz w:val="24"/>
          <w:lang w:val="es-ES"/>
        </w:rPr>
        <w:t xml:space="preserve">). Lista de Raya donde conste el nombre, cargo, puesto y sueldo del quince de enero al quince de febrero de dos mil veintidós. </w:t>
      </w:r>
    </w:p>
    <w:p w:rsidR="009124EA" w:rsidRPr="00E24DFE" w:rsidRDefault="009124EA" w:rsidP="009124EA">
      <w:pPr>
        <w:tabs>
          <w:tab w:val="left" w:pos="284"/>
        </w:tabs>
        <w:spacing w:line="360" w:lineRule="auto"/>
        <w:jc w:val="both"/>
        <w:rPr>
          <w:rFonts w:ascii="Palatino Linotype" w:eastAsia="Calibri" w:hAnsi="Palatino Linotype" w:cs="Arial"/>
          <w:b/>
          <w:sz w:val="24"/>
          <w:szCs w:val="24"/>
          <w:lang w:val="es-ES"/>
        </w:rPr>
      </w:pPr>
    </w:p>
    <w:p w:rsidR="00660DE9" w:rsidRPr="00E24DFE" w:rsidRDefault="009124EA" w:rsidP="009124EA">
      <w:pPr>
        <w:spacing w:line="360" w:lineRule="auto"/>
        <w:jc w:val="both"/>
        <w:rPr>
          <w:rFonts w:ascii="Palatino Linotype" w:eastAsia="Calibri" w:hAnsi="Palatino Linotype" w:cs="Arial"/>
          <w:sz w:val="24"/>
        </w:rPr>
      </w:pPr>
      <w:r w:rsidRPr="00E24DFE">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660DE9" w:rsidRPr="00E24DFE" w:rsidRDefault="00660DE9" w:rsidP="009124EA">
      <w:pPr>
        <w:spacing w:line="360" w:lineRule="auto"/>
        <w:jc w:val="both"/>
        <w:rPr>
          <w:rFonts w:ascii="Palatino Linotype" w:eastAsia="Calibri" w:hAnsi="Palatino Linotype" w:cs="Arial"/>
          <w:sz w:val="24"/>
        </w:rPr>
      </w:pPr>
    </w:p>
    <w:p w:rsidR="00660DE9" w:rsidRPr="00E24DFE" w:rsidRDefault="00660DE9" w:rsidP="00660DE9">
      <w:pPr>
        <w:spacing w:line="360" w:lineRule="auto"/>
        <w:jc w:val="both"/>
        <w:rPr>
          <w:rFonts w:ascii="Palatino Linotype" w:eastAsia="Calibri" w:hAnsi="Palatino Linotype" w:cs="Arial"/>
          <w:sz w:val="24"/>
        </w:rPr>
      </w:pPr>
      <w:r w:rsidRPr="00E24DFE">
        <w:rPr>
          <w:rFonts w:ascii="Palatino Linotype" w:eastAsia="Calibri" w:hAnsi="Palatino Linotype" w:cs="Arial"/>
          <w:sz w:val="24"/>
        </w:rPr>
        <w:t xml:space="preserve">De ser el caso de no localizar la información que se ordena entregar </w:t>
      </w:r>
      <w:r w:rsidR="003234AC" w:rsidRPr="00E24DFE">
        <w:rPr>
          <w:rFonts w:ascii="Palatino Linotype" w:eastAsia="Calibri" w:hAnsi="Palatino Linotype" w:cs="Arial"/>
          <w:sz w:val="24"/>
        </w:rPr>
        <w:t>en el inciso b</w:t>
      </w:r>
      <w:r w:rsidRPr="00E24DFE">
        <w:rPr>
          <w:rFonts w:ascii="Palatino Linotype" w:eastAsia="Calibri" w:hAnsi="Palatino Linotype" w:cs="Arial"/>
          <w:sz w:val="24"/>
        </w:rPr>
        <w:t>), por no haberse generado, el Sujeto Obligado deberá de manifestar las razones que expliquen las causas por las cuales no se cuenta con la información.</w:t>
      </w:r>
    </w:p>
    <w:p w:rsidR="009124EA" w:rsidRPr="00E24DFE" w:rsidRDefault="009124EA" w:rsidP="009124EA">
      <w:pPr>
        <w:tabs>
          <w:tab w:val="left" w:pos="284"/>
        </w:tabs>
        <w:spacing w:line="360" w:lineRule="auto"/>
        <w:jc w:val="both"/>
        <w:rPr>
          <w:rFonts w:ascii="Palatino Linotype" w:eastAsia="Calibri" w:hAnsi="Palatino Linotype" w:cs="Arial"/>
          <w:sz w:val="24"/>
          <w:szCs w:val="24"/>
          <w:lang w:val="es-ES"/>
        </w:rPr>
      </w:pPr>
    </w:p>
    <w:p w:rsidR="009124EA" w:rsidRPr="00E24DFE" w:rsidRDefault="009124EA" w:rsidP="009124EA">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r w:rsidRPr="00E24DFE">
        <w:rPr>
          <w:rFonts w:ascii="Palatino Linotype" w:eastAsia="Palatino Linotype" w:hAnsi="Palatino Linotype" w:cs="Palatino Linotype"/>
          <w:b/>
          <w:sz w:val="24"/>
          <w:szCs w:val="24"/>
          <w:lang w:val="es-ES_tradnl"/>
        </w:rPr>
        <w:t xml:space="preserve">TERCERO. </w:t>
      </w:r>
      <w:r w:rsidRPr="00E24DFE">
        <w:rPr>
          <w:rFonts w:ascii="Palatino Linotype" w:eastAsia="Palatino Linotype" w:hAnsi="Palatino Linotype" w:cs="Palatino Linotype"/>
          <w:b/>
          <w:sz w:val="24"/>
        </w:rPr>
        <w:t xml:space="preserve">Notifíquese </w:t>
      </w:r>
      <w:r w:rsidRPr="00E24DFE">
        <w:rPr>
          <w:rFonts w:ascii="Palatino Linotype" w:eastAsia="Palatino Linotype" w:hAnsi="Palatino Linotype" w:cs="Palatino Linotype"/>
          <w:sz w:val="24"/>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E24DFE">
        <w:rPr>
          <w:rFonts w:ascii="Palatino Linotype" w:eastAsia="Palatino Linotype" w:hAnsi="Palatino Linotype" w:cs="Palatino Linotype"/>
          <w:b/>
          <w:sz w:val="24"/>
        </w:rPr>
        <w:t>plazo de diez días hábiles</w:t>
      </w:r>
      <w:r w:rsidRPr="00E24DFE">
        <w:rPr>
          <w:rFonts w:ascii="Palatino Linotype" w:eastAsia="Palatino Linotype" w:hAnsi="Palatino Linotype" w:cs="Palatino Linotype"/>
          <w:sz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124EA" w:rsidRPr="00E24DFE" w:rsidRDefault="009124EA" w:rsidP="009124EA">
      <w:pPr>
        <w:shd w:val="clear" w:color="auto" w:fill="FFFFFF"/>
        <w:tabs>
          <w:tab w:val="left" w:pos="284"/>
        </w:tabs>
        <w:spacing w:line="360" w:lineRule="auto"/>
        <w:jc w:val="both"/>
        <w:rPr>
          <w:rFonts w:ascii="Palatino Linotype" w:hAnsi="Palatino Linotype" w:cs="Arial"/>
          <w:b/>
          <w:sz w:val="24"/>
          <w:szCs w:val="24"/>
          <w:lang w:val="es-ES_tradnl"/>
        </w:rPr>
      </w:pPr>
    </w:p>
    <w:p w:rsidR="009124EA" w:rsidRPr="00E24DFE" w:rsidRDefault="009124EA" w:rsidP="009124EA">
      <w:pPr>
        <w:shd w:val="clear" w:color="auto" w:fill="FFFFFF"/>
        <w:tabs>
          <w:tab w:val="left" w:pos="284"/>
        </w:tabs>
        <w:spacing w:line="360" w:lineRule="auto"/>
        <w:jc w:val="both"/>
        <w:rPr>
          <w:rFonts w:ascii="Palatino Linotype" w:eastAsia="MS Mincho" w:hAnsi="Palatino Linotype"/>
          <w:sz w:val="24"/>
          <w:szCs w:val="24"/>
          <w:lang w:val="es-ES_tradnl"/>
        </w:rPr>
      </w:pPr>
      <w:r w:rsidRPr="00E24DFE">
        <w:rPr>
          <w:rFonts w:ascii="Palatino Linotype" w:hAnsi="Palatino Linotype" w:cs="Arial"/>
          <w:b/>
          <w:sz w:val="24"/>
          <w:szCs w:val="24"/>
          <w:lang w:val="es-ES_tradnl"/>
        </w:rPr>
        <w:t xml:space="preserve">CUARTO. </w:t>
      </w:r>
      <w:r w:rsidRPr="00E24DFE">
        <w:rPr>
          <w:rFonts w:ascii="Palatino Linotype" w:hAnsi="Palatino Linotype"/>
          <w:b/>
          <w:bCs/>
          <w:color w:val="222222"/>
          <w:sz w:val="24"/>
          <w:szCs w:val="24"/>
          <w:lang w:val="es-ES"/>
        </w:rPr>
        <w:t xml:space="preserve">Notifíquese </w:t>
      </w:r>
      <w:r w:rsidRPr="00E24DFE">
        <w:rPr>
          <w:rFonts w:ascii="Palatino Linotype" w:hAnsi="Palatino Linotype"/>
          <w:bCs/>
          <w:color w:val="222222"/>
          <w:sz w:val="24"/>
          <w:szCs w:val="24"/>
          <w:lang w:val="es-ES"/>
        </w:rPr>
        <w:t xml:space="preserve">al </w:t>
      </w:r>
      <w:r w:rsidRPr="00E24DFE">
        <w:rPr>
          <w:rFonts w:ascii="Palatino Linotype" w:hAnsi="Palatino Linotype"/>
          <w:b/>
          <w:sz w:val="24"/>
          <w:szCs w:val="24"/>
        </w:rPr>
        <w:t>RECURRENTE</w:t>
      </w:r>
      <w:r w:rsidRPr="00E24DFE">
        <w:rPr>
          <w:rFonts w:ascii="Palatino Linotype" w:hAnsi="Palatino Linotype"/>
          <w:b/>
          <w:color w:val="222222"/>
          <w:sz w:val="24"/>
          <w:szCs w:val="24"/>
          <w:lang w:val="es-ES"/>
        </w:rPr>
        <w:t xml:space="preserve"> </w:t>
      </w:r>
      <w:r w:rsidRPr="00E24DFE">
        <w:rPr>
          <w:rFonts w:ascii="Palatino Linotype" w:eastAsiaTheme="minorEastAsia" w:hAnsi="Palatino Linotype"/>
          <w:sz w:val="24"/>
          <w:szCs w:val="24"/>
          <w:lang w:val="es-ES_tradnl"/>
        </w:rPr>
        <w:t>la presente resolución</w:t>
      </w:r>
      <w:r w:rsidRPr="00E24DFE">
        <w:rPr>
          <w:rFonts w:ascii="Palatino Linotype" w:eastAsia="MS Mincho" w:hAnsi="Palatino Linotype"/>
          <w:sz w:val="24"/>
          <w:szCs w:val="24"/>
          <w:lang w:val="es-ES_tradnl"/>
        </w:rPr>
        <w:t xml:space="preserve"> a través del Sistema de Acceso a la Información Mexiquense (SAIMEX)</w:t>
      </w:r>
    </w:p>
    <w:p w:rsidR="009124EA" w:rsidRPr="00E24DFE" w:rsidRDefault="009124EA" w:rsidP="009124EA">
      <w:pPr>
        <w:shd w:val="clear" w:color="auto" w:fill="FFFFFF"/>
        <w:tabs>
          <w:tab w:val="left" w:pos="284"/>
        </w:tabs>
        <w:spacing w:line="360" w:lineRule="auto"/>
        <w:jc w:val="both"/>
        <w:rPr>
          <w:rFonts w:ascii="Palatino Linotype" w:eastAsia="MS Mincho" w:hAnsi="Palatino Linotype"/>
          <w:sz w:val="24"/>
          <w:szCs w:val="24"/>
          <w:lang w:val="es-ES_tradnl"/>
        </w:rPr>
      </w:pPr>
    </w:p>
    <w:p w:rsidR="009124EA" w:rsidRPr="00E24DFE" w:rsidRDefault="009124EA" w:rsidP="009124EA">
      <w:pPr>
        <w:shd w:val="clear" w:color="auto" w:fill="FFFFFF"/>
        <w:tabs>
          <w:tab w:val="left" w:pos="284"/>
        </w:tabs>
        <w:spacing w:line="360" w:lineRule="auto"/>
        <w:jc w:val="both"/>
        <w:rPr>
          <w:rFonts w:ascii="Palatino Linotype" w:hAnsi="Palatino Linotype"/>
          <w:color w:val="222222"/>
          <w:sz w:val="24"/>
          <w:lang w:val="es-ES" w:eastAsia="es-MX"/>
        </w:rPr>
      </w:pPr>
      <w:r w:rsidRPr="00E24DFE">
        <w:rPr>
          <w:rFonts w:ascii="Palatino Linotype" w:eastAsia="MS Mincho" w:hAnsi="Palatino Linotype"/>
          <w:b/>
          <w:sz w:val="24"/>
          <w:szCs w:val="24"/>
          <w:lang w:val="es-ES_tradnl"/>
        </w:rPr>
        <w:t>QUINTO</w:t>
      </w:r>
      <w:r w:rsidRPr="00E24DFE">
        <w:rPr>
          <w:rFonts w:ascii="Palatino Linotype" w:hAnsi="Palatino Linotype"/>
          <w:b/>
        </w:rPr>
        <w:t>.</w:t>
      </w:r>
      <w:r w:rsidRPr="00E24DFE">
        <w:rPr>
          <w:rFonts w:ascii="Palatino Linotype" w:hAnsi="Palatino Linotype"/>
          <w:color w:val="222222"/>
          <w:lang w:val="es-ES" w:eastAsia="es-MX"/>
        </w:rPr>
        <w:t xml:space="preserve"> </w:t>
      </w:r>
      <w:r w:rsidRPr="00E24DFE">
        <w:rPr>
          <w:rFonts w:ascii="Palatino Linotype" w:hAnsi="Palatino Linotype"/>
          <w:color w:val="222222"/>
          <w:sz w:val="24"/>
          <w:lang w:val="es-ES" w:eastAsia="es-MX"/>
        </w:rPr>
        <w:t xml:space="preserve">Se hace del conocimiento del </w:t>
      </w:r>
      <w:r w:rsidRPr="00E24DFE">
        <w:rPr>
          <w:rFonts w:ascii="Palatino Linotype" w:hAnsi="Palatino Linotype"/>
          <w:b/>
          <w:bCs/>
          <w:color w:val="222222"/>
          <w:sz w:val="24"/>
          <w:lang w:val="es-ES" w:eastAsia="es-MX"/>
        </w:rPr>
        <w:t>RECURRENTE</w:t>
      </w:r>
      <w:r w:rsidRPr="00E24DFE">
        <w:rPr>
          <w:rFonts w:ascii="Palatino Linotype" w:hAnsi="Palatino Linotype"/>
          <w:color w:val="222222"/>
          <w:sz w:val="24"/>
          <w:lang w:eastAsia="es-MX"/>
        </w:rPr>
        <w:t xml:space="preserve"> que,</w:t>
      </w:r>
      <w:r w:rsidRPr="00E24DFE">
        <w:rPr>
          <w:rFonts w:ascii="Palatino Linotype" w:hAnsi="Palatino Linotype" w:cs="Arial"/>
          <w:b/>
          <w:sz w:val="24"/>
          <w:lang w:val="es-ES"/>
        </w:rPr>
        <w:t xml:space="preserve"> </w:t>
      </w:r>
      <w:r w:rsidRPr="00E24DFE">
        <w:rPr>
          <w:rFonts w:ascii="Palatino Linotype" w:hAnsi="Palatino Linotype"/>
          <w:color w:val="222222"/>
          <w:sz w:val="24"/>
          <w:lang w:val="es-ES" w:eastAsia="es-MX"/>
        </w:rPr>
        <w:t xml:space="preserve">de conformidad con lo establecido en el artículo 196 de la Ley de Transparencia y Acceso a la Información </w:t>
      </w:r>
      <w:r w:rsidRPr="00E24DFE">
        <w:rPr>
          <w:rFonts w:ascii="Palatino Linotype" w:hAnsi="Palatino Linotype"/>
          <w:color w:val="222222"/>
          <w:sz w:val="24"/>
          <w:lang w:val="es-ES" w:eastAsia="es-MX"/>
        </w:rPr>
        <w:lastRenderedPageBreak/>
        <w:t xml:space="preserve">Pública del Estado de México y Municipios, en caso de que considere que la resolución le cause algún perjuicio podrá impugnarla </w:t>
      </w:r>
      <w:r w:rsidRPr="00E24DFE">
        <w:rPr>
          <w:rFonts w:ascii="Palatino Linotype" w:hAnsi="Palatino Linotype"/>
          <w:bCs/>
          <w:color w:val="222222"/>
          <w:sz w:val="24"/>
          <w:lang w:val="es-ES" w:eastAsia="es-MX"/>
        </w:rPr>
        <w:t>vía juicio de amparo</w:t>
      </w:r>
      <w:r w:rsidRPr="00E24DFE">
        <w:rPr>
          <w:rFonts w:ascii="Palatino Linotype" w:hAnsi="Palatino Linotype"/>
          <w:color w:val="222222"/>
          <w:sz w:val="24"/>
          <w:lang w:val="es-ES" w:eastAsia="es-MX"/>
        </w:rPr>
        <w:t xml:space="preserve"> en los términos de las leyes aplicables.</w:t>
      </w:r>
    </w:p>
    <w:p w:rsidR="009124EA" w:rsidRPr="00E24DFE" w:rsidRDefault="009124EA" w:rsidP="009124EA">
      <w:pPr>
        <w:shd w:val="clear" w:color="auto" w:fill="FFFFFF"/>
        <w:tabs>
          <w:tab w:val="left" w:pos="284"/>
        </w:tabs>
        <w:spacing w:line="360" w:lineRule="auto"/>
        <w:jc w:val="both"/>
        <w:rPr>
          <w:rFonts w:ascii="Palatino Linotype" w:eastAsia="MS Mincho" w:hAnsi="Palatino Linotype"/>
          <w:sz w:val="32"/>
          <w:szCs w:val="24"/>
          <w:lang w:val="es-ES_tradnl"/>
        </w:rPr>
      </w:pPr>
    </w:p>
    <w:p w:rsidR="001E28B7" w:rsidRPr="008F5B3A" w:rsidRDefault="0047745E" w:rsidP="001E28B7">
      <w:pPr>
        <w:spacing w:before="240" w:after="240" w:line="360" w:lineRule="auto"/>
        <w:ind w:firstLine="1"/>
        <w:jc w:val="both"/>
        <w:rPr>
          <w:rFonts w:ascii="Palatino Linotype" w:hAnsi="Palatino Linotype"/>
          <w:smallCaps/>
        </w:rPr>
      </w:pPr>
      <w:bookmarkStart w:id="31" w:name="_Hlk129792997"/>
      <w:r w:rsidRPr="00E24DFE">
        <w:rPr>
          <w:rStyle w:val="Referenciasutil"/>
          <w:rFonts w:ascii="Palatino Linotype" w:eastAsiaTheme="majorEastAsia" w:hAnsi="Palatino Linotype"/>
          <w:color w:val="auto"/>
          <w:sz w:val="24"/>
        </w:rPr>
        <w:t>ASÍ LO RESUELVE, POR MAYORÍA</w:t>
      </w:r>
      <w:r w:rsidR="001E28B7" w:rsidRPr="00E24DFE">
        <w:rPr>
          <w:rStyle w:val="Referenciasutil"/>
          <w:rFonts w:ascii="Palatino Linotype" w:eastAsiaTheme="majorEastAsia" w:hAnsi="Palatino Linotype"/>
          <w:color w:val="auto"/>
          <w:sz w:val="24"/>
        </w:rPr>
        <w:t xml:space="preserve"> DE VOTOS, EL PLENO DEL INSTITUTO DE TRANSPARENCIA, ACCESO A LA INFORMACIÓN PÚBLICA Y PROTECCIÓN DE DATOS PERSONALES DEL ESTADO DE MÉXICO Y MUNICIPIOS, CONFORMADO POR LOS COMISIONADOS JOSÉ MARTÍNEZ VILCHIS</w:t>
      </w:r>
      <w:r w:rsidRPr="00E24DFE">
        <w:rPr>
          <w:rStyle w:val="Referenciasutil"/>
          <w:rFonts w:ascii="Palatino Linotype" w:eastAsiaTheme="majorEastAsia" w:hAnsi="Palatino Linotype"/>
          <w:color w:val="auto"/>
          <w:sz w:val="24"/>
        </w:rPr>
        <w:t>, EMTIENDO VOTO PARTICULAR</w:t>
      </w:r>
      <w:r w:rsidR="001E28B7" w:rsidRPr="00E24DFE">
        <w:rPr>
          <w:rStyle w:val="Referenciasutil"/>
          <w:rFonts w:ascii="Palatino Linotype" w:eastAsiaTheme="majorEastAsia" w:hAnsi="Palatino Linotype"/>
          <w:color w:val="auto"/>
          <w:sz w:val="24"/>
        </w:rPr>
        <w:t>; MARÍA DEL ROSARIO MEJÍA AYALA; SHARON CRISTINA MORALES MARTÍNEZ</w:t>
      </w:r>
      <w:r w:rsidRPr="00E24DFE">
        <w:rPr>
          <w:rStyle w:val="Referenciasutil"/>
          <w:rFonts w:ascii="Palatino Linotype" w:eastAsiaTheme="majorEastAsia" w:hAnsi="Palatino Linotype"/>
          <w:color w:val="auto"/>
          <w:sz w:val="24"/>
        </w:rPr>
        <w:t>, EMITINDO VOTO DISIDENTE</w:t>
      </w:r>
      <w:r w:rsidR="001E28B7" w:rsidRPr="00E24DFE">
        <w:rPr>
          <w:rStyle w:val="Referenciasutil"/>
          <w:rFonts w:ascii="Palatino Linotype" w:eastAsiaTheme="majorEastAsia" w:hAnsi="Palatino Linotype"/>
          <w:color w:val="auto"/>
          <w:sz w:val="24"/>
        </w:rPr>
        <w:t>; LUIS GUSTAVO PARRA NORIEGA</w:t>
      </w:r>
      <w:r w:rsidRPr="00E24DFE">
        <w:rPr>
          <w:rStyle w:val="Referenciasutil"/>
          <w:rFonts w:ascii="Palatino Linotype" w:eastAsiaTheme="majorEastAsia" w:hAnsi="Palatino Linotype"/>
          <w:color w:val="auto"/>
          <w:sz w:val="24"/>
        </w:rPr>
        <w:t>, EMITIENDO VOTO PARTICULAR</w:t>
      </w:r>
      <w:r w:rsidR="001E28B7" w:rsidRPr="00E24DFE">
        <w:rPr>
          <w:rStyle w:val="Referenciasutil"/>
          <w:rFonts w:ascii="Palatino Linotype" w:eastAsiaTheme="majorEastAsia" w:hAnsi="Palatino Linotype"/>
          <w:color w:val="auto"/>
          <w:sz w:val="24"/>
        </w:rPr>
        <w:t xml:space="preserve"> Y GUADALUPE RAMÍREZ PEÑA, EN LA VEGÉSIMA SESIÓN ORDINARIA CELEBRADA EL </w:t>
      </w:r>
      <w:r w:rsidR="001E28B7" w:rsidRPr="00E24DFE">
        <w:rPr>
          <w:rStyle w:val="Referenciasutil"/>
          <w:rFonts w:ascii="Palatino Linotype" w:eastAsiaTheme="majorEastAsia" w:hAnsi="Palatino Linotype"/>
          <w:color w:val="auto"/>
          <w:sz w:val="24"/>
          <w:szCs w:val="24"/>
        </w:rPr>
        <w:t>TREINTA Y UNO (31)</w:t>
      </w:r>
      <w:r w:rsidR="001E28B7" w:rsidRPr="00E24DFE">
        <w:rPr>
          <w:rStyle w:val="Referenciasutil"/>
          <w:rFonts w:ascii="Palatino Linotype" w:eastAsiaTheme="majorEastAsia" w:hAnsi="Palatino Linotype"/>
          <w:color w:val="auto"/>
          <w:sz w:val="24"/>
        </w:rPr>
        <w:t xml:space="preserve"> DE MAYO DE DOS MIL VEINTITRÉS, ANTE EL SECRETARIO TÉCNICO DEL PLENO ALEXIS TAPIA RAMÍREZ.</w:t>
      </w:r>
      <w:bookmarkStart w:id="32" w:name="_GoBack"/>
      <w:bookmarkEnd w:id="32"/>
      <w:r w:rsidR="001E28B7" w:rsidRPr="008F5B3A">
        <w:rPr>
          <w:rStyle w:val="Referenciasutil"/>
          <w:rFonts w:ascii="Palatino Linotype" w:eastAsiaTheme="majorEastAsia" w:hAnsi="Palatino Linotype"/>
          <w:color w:val="auto"/>
          <w:sz w:val="24"/>
        </w:rPr>
        <w:t xml:space="preserve"> </w:t>
      </w:r>
      <w:bookmarkEnd w:id="31"/>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9124EA" w:rsidRDefault="009124EA" w:rsidP="009124EA">
      <w:pPr>
        <w:spacing w:line="360" w:lineRule="auto"/>
        <w:jc w:val="both"/>
        <w:rPr>
          <w:rFonts w:ascii="Palatino Linotype" w:hAnsi="Palatino Linotype"/>
          <w:color w:val="222222"/>
          <w:sz w:val="24"/>
          <w:szCs w:val="24"/>
          <w:lang w:val="es-ES" w:eastAsia="es-MX"/>
        </w:rPr>
      </w:pPr>
    </w:p>
    <w:p w:rsidR="00791FD4" w:rsidRDefault="00791FD4"/>
    <w:sectPr w:rsidR="00791FD4" w:rsidSect="009124EA">
      <w:headerReference w:type="even" r:id="rId11"/>
      <w:headerReference w:type="default" r:id="rId12"/>
      <w:footerReference w:type="default" r:id="rId13"/>
      <w:headerReference w:type="first" r:id="rId14"/>
      <w:footerReference w:type="first" r:id="rId15"/>
      <w:pgSz w:w="12240" w:h="15840"/>
      <w:pgMar w:top="80" w:right="1750"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58" w:rsidRDefault="008A4C58" w:rsidP="009124EA">
      <w:r>
        <w:separator/>
      </w:r>
    </w:p>
  </w:endnote>
  <w:endnote w:type="continuationSeparator" w:id="0">
    <w:p w:rsidR="008A4C58" w:rsidRDefault="008A4C58" w:rsidP="0091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rsidR="00791FD4" w:rsidRDefault="00791FD4">
            <w:pPr>
              <w:pStyle w:val="Piedepgina"/>
              <w:jc w:val="right"/>
            </w:pPr>
          </w:p>
          <w:p w:rsidR="00791FD4" w:rsidRDefault="00791F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4DFE">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4DFE">
              <w:rPr>
                <w:b/>
                <w:bCs/>
                <w:noProof/>
              </w:rPr>
              <w:t>55</w:t>
            </w:r>
            <w:r>
              <w:rPr>
                <w:b/>
                <w:bCs/>
                <w:sz w:val="24"/>
                <w:szCs w:val="24"/>
              </w:rPr>
              <w:fldChar w:fldCharType="end"/>
            </w:r>
          </w:p>
        </w:sdtContent>
      </w:sdt>
    </w:sdtContent>
  </w:sdt>
  <w:p w:rsidR="00791FD4" w:rsidRDefault="00791FD4">
    <w:pPr>
      <w:pStyle w:val="Piedepgina"/>
    </w:pPr>
  </w:p>
  <w:p w:rsidR="00791FD4" w:rsidRDefault="00791FD4"/>
  <w:p w:rsidR="00791FD4" w:rsidRDefault="00791FD4"/>
  <w:p w:rsidR="00791FD4" w:rsidRDefault="00791F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rsidR="00791FD4" w:rsidRDefault="00791F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4DF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4DFE">
              <w:rPr>
                <w:b/>
                <w:bCs/>
                <w:noProof/>
              </w:rPr>
              <w:t>55</w:t>
            </w:r>
            <w:r>
              <w:rPr>
                <w:b/>
                <w:bCs/>
                <w:sz w:val="24"/>
                <w:szCs w:val="24"/>
              </w:rPr>
              <w:fldChar w:fldCharType="end"/>
            </w:r>
          </w:p>
        </w:sdtContent>
      </w:sdt>
    </w:sdtContent>
  </w:sdt>
  <w:p w:rsidR="00791FD4" w:rsidRDefault="00791FD4">
    <w:pPr>
      <w:pStyle w:val="Piedepgina"/>
    </w:pPr>
  </w:p>
  <w:p w:rsidR="00791FD4" w:rsidRDefault="00791FD4"/>
  <w:p w:rsidR="00791FD4" w:rsidRDefault="00791FD4"/>
  <w:p w:rsidR="00791FD4" w:rsidRDefault="00791F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58" w:rsidRDefault="008A4C58" w:rsidP="009124EA">
      <w:r>
        <w:separator/>
      </w:r>
    </w:p>
  </w:footnote>
  <w:footnote w:type="continuationSeparator" w:id="0">
    <w:p w:rsidR="008A4C58" w:rsidRDefault="008A4C58" w:rsidP="009124EA">
      <w:r>
        <w:continuationSeparator/>
      </w:r>
    </w:p>
  </w:footnote>
  <w:footnote w:id="1">
    <w:p w:rsidR="00791FD4" w:rsidRDefault="00791FD4" w:rsidP="009124EA">
      <w:pPr>
        <w:pStyle w:val="Textonotapie"/>
      </w:pPr>
      <w:r>
        <w:rPr>
          <w:rStyle w:val="Refdenotaalpie"/>
        </w:rPr>
        <w:footnoteRef/>
      </w:r>
      <w:r>
        <w:t xml:space="preserve"> Tercer párrafo, artículo 1º, Constitución Política de los Estados Unidos Mexicanos.</w:t>
      </w:r>
    </w:p>
  </w:footnote>
  <w:footnote w:id="2">
    <w:p w:rsidR="00791FD4" w:rsidRDefault="00791FD4" w:rsidP="009124EA">
      <w:pPr>
        <w:pStyle w:val="Textonotapie"/>
      </w:pPr>
      <w:r>
        <w:rPr>
          <w:rStyle w:val="Refdenotaalpie"/>
        </w:rPr>
        <w:footnoteRef/>
      </w:r>
      <w:r>
        <w:t xml:space="preserve"> Segundo Párrafo, artículo 6º, Constitución Política de los Estados Unidos Mexicanos.</w:t>
      </w:r>
    </w:p>
  </w:footnote>
  <w:footnote w:id="3">
    <w:p w:rsidR="00791FD4" w:rsidRDefault="00791FD4" w:rsidP="009124EA">
      <w:pPr>
        <w:pStyle w:val="Textonotapie"/>
      </w:pPr>
      <w:r>
        <w:rPr>
          <w:rStyle w:val="Refdenotaalpie"/>
        </w:rPr>
        <w:footnoteRef/>
      </w:r>
      <w:r>
        <w:t xml:space="preserve"> Artículo 176, Ley de Transparencia y Acceso a la Información Pública del Estado de México y Municipios.</w:t>
      </w:r>
    </w:p>
  </w:footnote>
  <w:footnote w:id="4">
    <w:p w:rsidR="00791FD4" w:rsidRDefault="00791FD4" w:rsidP="009124EA">
      <w:pPr>
        <w:pStyle w:val="Textonotapie"/>
      </w:pPr>
      <w:r>
        <w:rPr>
          <w:rStyle w:val="Refdenotaalpie"/>
        </w:rPr>
        <w:footnoteRef/>
      </w:r>
      <w:r>
        <w:t xml:space="preserve"> Convención Americana sobre Derechos Humanos. Artículo 13.</w:t>
      </w:r>
    </w:p>
  </w:footnote>
  <w:footnote w:id="5">
    <w:p w:rsidR="00791FD4" w:rsidRDefault="00791FD4" w:rsidP="009124EA">
      <w:pPr>
        <w:pStyle w:val="Textonotapie"/>
      </w:pPr>
      <w:r>
        <w:rPr>
          <w:rStyle w:val="Refdenotaalpie"/>
        </w:rPr>
        <w:footnoteRef/>
      </w:r>
      <w:r>
        <w:t xml:space="preserve"> Constitución Política de los Estados Unidos Mexicanos. Artículo sexto, sección A, Fracción I.</w:t>
      </w:r>
    </w:p>
  </w:footnote>
  <w:footnote w:id="6">
    <w:p w:rsidR="00791FD4" w:rsidRDefault="00791FD4" w:rsidP="009124E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rsidR="00791FD4" w:rsidRDefault="00791FD4" w:rsidP="009124EA">
      <w:pPr>
        <w:pStyle w:val="Textonotapie"/>
      </w:pPr>
      <w:r>
        <w:rPr>
          <w:rStyle w:val="Refdenotaalpie"/>
        </w:rPr>
        <w:footnoteRef/>
      </w:r>
      <w:r>
        <w:t xml:space="preserve"> Ibídem. Párr. 87.</w:t>
      </w:r>
    </w:p>
  </w:footnote>
  <w:footnote w:id="8">
    <w:p w:rsidR="00791FD4" w:rsidRDefault="00791FD4" w:rsidP="009124E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rsidR="00791FD4" w:rsidRDefault="00791FD4" w:rsidP="00970A48">
      <w:pPr>
        <w:pStyle w:val="Textonotapie"/>
        <w:rPr>
          <w:rFonts w:ascii="Palatino Linotype" w:hAnsi="Palatino Linotype" w:cstheme="minorBidi"/>
          <w:sz w:val="16"/>
          <w:szCs w:val="16"/>
        </w:rPr>
      </w:pPr>
      <w:r>
        <w:rPr>
          <w:rStyle w:val="Refdenotaalpie"/>
        </w:rPr>
        <w:footnoteRef/>
      </w:r>
      <w:r>
        <w:t xml:space="preserve"> </w:t>
      </w:r>
      <w:r>
        <w:rPr>
          <w:rFonts w:ascii="Palatino Linotype" w:hAnsi="Palatino Linotype"/>
          <w:sz w:val="16"/>
          <w:szCs w:val="16"/>
        </w:rPr>
        <w:t>El precepto legal en cita establece que los Municipios son sujetos de fiscalización.</w:t>
      </w:r>
    </w:p>
  </w:footnote>
  <w:footnote w:id="10">
    <w:p w:rsidR="00791FD4" w:rsidRDefault="00791FD4" w:rsidP="00970A48">
      <w:pPr>
        <w:pStyle w:val="Textonotapie"/>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A partir del ejercicio fiscal de 2021, son informes trimestrales.</w:t>
      </w:r>
    </w:p>
  </w:footnote>
  <w:footnote w:id="11">
    <w:p w:rsidR="00791FD4" w:rsidRDefault="00791FD4" w:rsidP="009124EA">
      <w:pPr>
        <w:pStyle w:val="Textonotapie"/>
      </w:pPr>
      <w:r>
        <w:rPr>
          <w:rStyle w:val="Refdenotaalpie"/>
        </w:rPr>
        <w:footnoteRef/>
      </w:r>
      <w:r>
        <w:t xml:space="preserve"> Ley de Transparencia y Acceso a la Información Pública del Estado de México y Municipios. Artículo 9. …</w:t>
      </w:r>
    </w:p>
    <w:p w:rsidR="00791FD4" w:rsidRDefault="00791FD4" w:rsidP="009124EA">
      <w:pPr>
        <w:pStyle w:val="Textonotapie"/>
      </w:pPr>
      <w:r>
        <w:t>II. Eficacia: Obligación del Instituto para tutelar, de manera efectiva, el derecho de acceso a la información;</w:t>
      </w:r>
    </w:p>
    <w:p w:rsidR="00791FD4" w:rsidRDefault="00791FD4" w:rsidP="009124E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FD4" w:rsidRDefault="008A4C5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6192;mso-position-horizontal:center;mso-position-horizontal-relative:margin;mso-position-vertical:center;mso-position-vertical-relative:margin" o:allowincell="f">
          <v:imagedata r:id="rId1" o:title="marcaaguaINFOEM"/>
          <w10:wrap anchorx="margin" anchory="margin"/>
        </v:shape>
      </w:pict>
    </w:r>
  </w:p>
  <w:p w:rsidR="00791FD4" w:rsidRDefault="00791FD4"/>
  <w:p w:rsidR="00791FD4" w:rsidRDefault="00791FD4"/>
  <w:p w:rsidR="00791FD4" w:rsidRDefault="00791F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791FD4" w:rsidTr="00791FD4">
      <w:trPr>
        <w:trHeight w:val="1435"/>
      </w:trPr>
      <w:tc>
        <w:tcPr>
          <w:tcW w:w="1843" w:type="dxa"/>
          <w:shd w:val="clear" w:color="auto" w:fill="auto"/>
        </w:tcPr>
        <w:p w:rsidR="00791FD4" w:rsidRDefault="00791FD4">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rsidR="00791FD4" w:rsidRDefault="00791FD4"/>
        <w:tbl>
          <w:tblPr>
            <w:tblStyle w:val="Tablaconcuadrcula"/>
            <w:tblW w:w="6223"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3705"/>
          </w:tblGrid>
          <w:tr w:rsidR="00791FD4" w:rsidRPr="00C52890" w:rsidTr="00791FD4">
            <w:trPr>
              <w:trHeight w:val="323"/>
            </w:trPr>
            <w:tc>
              <w:tcPr>
                <w:tcW w:w="2518" w:type="dxa"/>
              </w:tcPr>
              <w:p w:rsidR="00791FD4" w:rsidRDefault="00791FD4">
                <w:pPr>
                  <w:tabs>
                    <w:tab w:val="right" w:pos="8838"/>
                  </w:tabs>
                  <w:ind w:right="-105"/>
                  <w:rPr>
                    <w:rFonts w:ascii="Palatino Linotype" w:eastAsia="Calibri" w:hAnsi="Palatino Linotype" w:cs="Tahoma"/>
                    <w:b/>
                    <w:sz w:val="22"/>
                    <w:szCs w:val="22"/>
                    <w:lang w:eastAsia="en-US"/>
                  </w:rPr>
                </w:pPr>
              </w:p>
              <w:p w:rsidR="00791FD4" w:rsidRDefault="00791FD4">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3705" w:type="dxa"/>
              </w:tcPr>
              <w:p w:rsidR="00791FD4" w:rsidRPr="00C52890" w:rsidRDefault="00791FD4" w:rsidP="00791FD4">
                <w:pPr>
                  <w:tabs>
                    <w:tab w:val="right" w:pos="8838"/>
                  </w:tabs>
                  <w:ind w:right="-105" w:hanging="101"/>
                  <w:jc w:val="both"/>
                  <w:rPr>
                    <w:rFonts w:ascii="Palatino Linotype" w:eastAsia="Calibri" w:hAnsi="Palatino Linotype" w:cs="Tahoma"/>
                    <w:bCs/>
                    <w:sz w:val="22"/>
                    <w:szCs w:val="22"/>
                    <w:lang w:eastAsia="en-US"/>
                  </w:rPr>
                </w:pPr>
              </w:p>
              <w:p w:rsidR="00791FD4" w:rsidRPr="00A71469" w:rsidRDefault="00791FD4" w:rsidP="00791FD4">
                <w:pPr>
                  <w:tabs>
                    <w:tab w:val="right" w:pos="8838"/>
                  </w:tabs>
                  <w:ind w:right="-105" w:hanging="101"/>
                  <w:jc w:val="both"/>
                  <w:rPr>
                    <w:rFonts w:ascii="Palatino Linotype" w:eastAsia="Calibri" w:hAnsi="Palatino Linotype" w:cs="Tahoma"/>
                    <w:b/>
                    <w:bCs/>
                    <w:sz w:val="22"/>
                    <w:szCs w:val="22"/>
                    <w:lang w:eastAsia="en-US"/>
                  </w:rPr>
                </w:pPr>
                <w:r w:rsidRPr="00A71469">
                  <w:rPr>
                    <w:rStyle w:val="Hipervnculo"/>
                    <w:rFonts w:ascii="Palatino Linotype" w:eastAsia="Calibri" w:hAnsi="Palatino Linotype" w:cs="Tahoma"/>
                    <w:b/>
                    <w:bCs/>
                    <w:color w:val="auto"/>
                    <w:sz w:val="22"/>
                    <w:szCs w:val="22"/>
                    <w:u w:val="none"/>
                    <w:lang w:eastAsia="en-US"/>
                  </w:rPr>
                  <w:t>04008/INFOEM/ICR-220/IP/RR/202</w:t>
                </w:r>
                <w:r w:rsidRPr="00A71469">
                  <w:rPr>
                    <w:rFonts w:ascii="Palatino Linotype" w:eastAsia="Calibri" w:hAnsi="Palatino Linotype"/>
                    <w:b/>
                    <w:sz w:val="22"/>
                    <w:szCs w:val="22"/>
                  </w:rPr>
                  <w:t>2</w:t>
                </w:r>
              </w:p>
            </w:tc>
          </w:tr>
          <w:tr w:rsidR="00791FD4" w:rsidTr="00791FD4">
            <w:trPr>
              <w:trHeight w:val="271"/>
            </w:trPr>
            <w:tc>
              <w:tcPr>
                <w:tcW w:w="2518" w:type="dxa"/>
              </w:tcPr>
              <w:p w:rsidR="00791FD4" w:rsidRDefault="00791FD4">
                <w:pPr>
                  <w:tabs>
                    <w:tab w:val="right" w:pos="8838"/>
                  </w:tabs>
                  <w:ind w:right="-105"/>
                  <w:rPr>
                    <w:rFonts w:ascii="Palatino Linotype" w:eastAsia="Calibri" w:hAnsi="Palatino Linotype" w:cs="Tahoma"/>
                    <w:b/>
                    <w:sz w:val="22"/>
                    <w:szCs w:val="22"/>
                    <w:lang w:eastAsia="en-US"/>
                  </w:rPr>
                </w:pPr>
                <w:bookmarkStart w:id="33" w:name="_Hlk33010189"/>
                <w:r>
                  <w:rPr>
                    <w:rFonts w:ascii="Palatino Linotype" w:eastAsia="Calibri" w:hAnsi="Palatino Linotype" w:cs="Tahoma"/>
                    <w:b/>
                    <w:sz w:val="22"/>
                    <w:szCs w:val="22"/>
                    <w:lang w:eastAsia="en-US"/>
                  </w:rPr>
                  <w:t>Sujeto Obligado:</w:t>
                </w:r>
              </w:p>
            </w:tc>
            <w:tc>
              <w:tcPr>
                <w:tcW w:w="3705" w:type="dxa"/>
              </w:tcPr>
              <w:p w:rsidR="00791FD4" w:rsidRPr="00977A2B" w:rsidRDefault="00791FD4" w:rsidP="00791FD4">
                <w:pPr>
                  <w:tabs>
                    <w:tab w:val="left" w:pos="2834"/>
                    <w:tab w:val="right" w:pos="8838"/>
                  </w:tabs>
                  <w:ind w:left="-113" w:right="1318"/>
                  <w:jc w:val="both"/>
                  <w:rPr>
                    <w:rFonts w:ascii="Palatino Linotype" w:eastAsia="Calibri" w:hAnsi="Palatino Linotype" w:cs="Tahoma"/>
                    <w:b/>
                    <w:sz w:val="22"/>
                    <w:szCs w:val="22"/>
                    <w:lang w:eastAsia="en-US"/>
                  </w:rPr>
                </w:pPr>
                <w:r w:rsidRPr="00977A2B">
                  <w:rPr>
                    <w:rFonts w:ascii="Palatino Linotype" w:eastAsia="Calibri" w:hAnsi="Palatino Linotype" w:cs="Tahoma"/>
                    <w:b/>
                    <w:sz w:val="22"/>
                    <w:szCs w:val="22"/>
                    <w:lang w:eastAsia="en-US"/>
                  </w:rPr>
                  <w:t xml:space="preserve">Ayuntamiento de </w:t>
                </w:r>
                <w:r>
                  <w:rPr>
                    <w:rFonts w:ascii="Palatino Linotype" w:eastAsia="Calibri" w:hAnsi="Palatino Linotype" w:cs="Tahoma"/>
                    <w:b/>
                    <w:sz w:val="22"/>
                    <w:szCs w:val="22"/>
                    <w:lang w:eastAsia="en-US"/>
                  </w:rPr>
                  <w:t>Atizapán</w:t>
                </w:r>
              </w:p>
            </w:tc>
          </w:tr>
          <w:bookmarkEnd w:id="33"/>
          <w:tr w:rsidR="00791FD4" w:rsidTr="00791FD4">
            <w:trPr>
              <w:trHeight w:val="271"/>
            </w:trPr>
            <w:tc>
              <w:tcPr>
                <w:tcW w:w="2518" w:type="dxa"/>
              </w:tcPr>
              <w:p w:rsidR="00791FD4" w:rsidRDefault="00791FD4">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705" w:type="dxa"/>
              </w:tcPr>
              <w:p w:rsidR="00791FD4" w:rsidRPr="00A71469" w:rsidRDefault="00791FD4" w:rsidP="00791FD4">
                <w:pPr>
                  <w:tabs>
                    <w:tab w:val="right" w:pos="8838"/>
                  </w:tabs>
                  <w:ind w:left="-113" w:right="-105"/>
                  <w:jc w:val="both"/>
                  <w:rPr>
                    <w:rFonts w:ascii="Palatino Linotype" w:eastAsia="Calibri" w:hAnsi="Palatino Linotype" w:cs="Tahoma"/>
                    <w:b/>
                    <w:sz w:val="22"/>
                    <w:szCs w:val="22"/>
                    <w:lang w:eastAsia="en-US"/>
                  </w:rPr>
                </w:pPr>
                <w:r w:rsidRPr="00A71469">
                  <w:rPr>
                    <w:rFonts w:ascii="Palatino Linotype" w:eastAsia="Calibri" w:hAnsi="Palatino Linotype" w:cs="Tahoma"/>
                    <w:b/>
                    <w:sz w:val="22"/>
                    <w:szCs w:val="22"/>
                    <w:lang w:eastAsia="en-US"/>
                  </w:rPr>
                  <w:t>María del Rosario Mejía Ayala</w:t>
                </w:r>
              </w:p>
            </w:tc>
          </w:tr>
        </w:tbl>
        <w:p w:rsidR="00791FD4" w:rsidRDefault="00791FD4">
          <w:pPr>
            <w:tabs>
              <w:tab w:val="right" w:pos="8838"/>
            </w:tabs>
            <w:ind w:left="-28"/>
            <w:jc w:val="both"/>
            <w:rPr>
              <w:rFonts w:ascii="Arial" w:eastAsia="Calibri" w:hAnsi="Arial" w:cs="Arial"/>
              <w:b/>
              <w:sz w:val="22"/>
              <w:szCs w:val="22"/>
              <w:lang w:eastAsia="en-US"/>
            </w:rPr>
          </w:pPr>
        </w:p>
      </w:tc>
    </w:tr>
  </w:tbl>
  <w:p w:rsidR="00791FD4" w:rsidRDefault="008A4C58" w:rsidP="00791FD4">
    <w:pPr>
      <w:pStyle w:val="Encabezado"/>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5168;mso-position-horizontal-relative:margin;mso-position-vertical-relative:margin" o:allowincell="f">
          <v:imagedata r:id="rId1" o:title="marcaaguaINFOEM"/>
          <w10:wrap anchorx="margin" anchory="margin"/>
        </v:shape>
      </w:pict>
    </w:r>
  </w:p>
  <w:p w:rsidR="00791FD4" w:rsidRDefault="00791FD4"/>
  <w:p w:rsidR="00791FD4" w:rsidRDefault="00791FD4"/>
  <w:p w:rsidR="00791FD4" w:rsidRDefault="00791F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791FD4" w:rsidTr="00791FD4">
      <w:trPr>
        <w:trHeight w:val="1435"/>
      </w:trPr>
      <w:tc>
        <w:tcPr>
          <w:tcW w:w="1560" w:type="dxa"/>
          <w:shd w:val="clear" w:color="auto" w:fill="auto"/>
        </w:tcPr>
        <w:p w:rsidR="00791FD4" w:rsidRDefault="00791FD4">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780"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218"/>
            <w:gridCol w:w="3118"/>
          </w:tblGrid>
          <w:tr w:rsidR="00791FD4" w:rsidTr="00791FD4">
            <w:trPr>
              <w:trHeight w:val="144"/>
            </w:trPr>
            <w:tc>
              <w:tcPr>
                <w:tcW w:w="2444" w:type="dxa"/>
              </w:tcPr>
              <w:p w:rsidR="00791FD4" w:rsidRPr="00C52890" w:rsidRDefault="00791FD4" w:rsidP="00791FD4">
                <w:pPr>
                  <w:tabs>
                    <w:tab w:val="right" w:pos="8838"/>
                  </w:tabs>
                  <w:ind w:left="-74" w:right="-105"/>
                  <w:rPr>
                    <w:rFonts w:ascii="Palatino Linotype" w:eastAsia="Calibri" w:hAnsi="Palatino Linotype" w:cs="Tahoma"/>
                    <w:b/>
                    <w:sz w:val="22"/>
                    <w:szCs w:val="22"/>
                    <w:lang w:eastAsia="en-US"/>
                  </w:rPr>
                </w:pPr>
                <w:bookmarkStart w:id="34" w:name="_Hlk12526980"/>
                <w:r w:rsidRPr="00C52890">
                  <w:rPr>
                    <w:rFonts w:ascii="Palatino Linotype" w:eastAsia="Calibri" w:hAnsi="Palatino Linotype" w:cs="Tahoma"/>
                    <w:b/>
                    <w:sz w:val="22"/>
                    <w:szCs w:val="22"/>
                    <w:lang w:eastAsia="en-US"/>
                  </w:rPr>
                  <w:t>Recurso de Revisión:</w:t>
                </w:r>
              </w:p>
            </w:tc>
            <w:tc>
              <w:tcPr>
                <w:tcW w:w="4218" w:type="dxa"/>
              </w:tcPr>
              <w:p w:rsidR="00791FD4" w:rsidRPr="00A71469" w:rsidRDefault="00791FD4" w:rsidP="00791FD4">
                <w:pPr>
                  <w:tabs>
                    <w:tab w:val="right" w:pos="8838"/>
                  </w:tabs>
                  <w:ind w:right="-105"/>
                  <w:jc w:val="both"/>
                  <w:rPr>
                    <w:rFonts w:ascii="Palatino Linotype" w:eastAsia="Calibri" w:hAnsi="Palatino Linotype" w:cs="Tahoma"/>
                    <w:sz w:val="22"/>
                    <w:szCs w:val="22"/>
                    <w:lang w:eastAsia="en-US"/>
                  </w:rPr>
                </w:pPr>
                <w:r w:rsidRPr="00A71469">
                  <w:rPr>
                    <w:rStyle w:val="Hipervnculo"/>
                    <w:rFonts w:ascii="Palatino Linotype" w:eastAsia="Calibri" w:hAnsi="Palatino Linotype" w:cs="Tahoma"/>
                    <w:b/>
                    <w:bCs/>
                    <w:color w:val="auto"/>
                    <w:sz w:val="22"/>
                    <w:szCs w:val="22"/>
                    <w:u w:val="none"/>
                    <w:lang w:eastAsia="en-US"/>
                  </w:rPr>
                  <w:t>04008/INFOEM/ICR-220/IP/RR/2022</w:t>
                </w:r>
                <w:r w:rsidRPr="00A71469">
                  <w:rPr>
                    <w:rFonts w:ascii="Palatino Linotype" w:eastAsia="Calibri" w:hAnsi="Palatino Linotype" w:cs="Tahoma"/>
                    <w:bCs/>
                    <w:sz w:val="22"/>
                    <w:szCs w:val="22"/>
                    <w:lang w:eastAsia="en-US"/>
                  </w:rPr>
                  <w:t xml:space="preserve"> </w:t>
                </w:r>
              </w:p>
            </w:tc>
            <w:tc>
              <w:tcPr>
                <w:tcW w:w="3118" w:type="dxa"/>
              </w:tcPr>
              <w:p w:rsidR="00791FD4" w:rsidRDefault="00791FD4" w:rsidP="00791FD4">
                <w:pPr>
                  <w:tabs>
                    <w:tab w:val="right" w:pos="8838"/>
                  </w:tabs>
                  <w:ind w:left="-74" w:right="-105"/>
                  <w:jc w:val="both"/>
                  <w:rPr>
                    <w:rFonts w:ascii="Palatino Linotype" w:eastAsia="Calibri" w:hAnsi="Palatino Linotype" w:cs="Tahoma"/>
                    <w:bCs/>
                    <w:sz w:val="22"/>
                    <w:szCs w:val="22"/>
                    <w:lang w:eastAsia="en-US"/>
                  </w:rPr>
                </w:pPr>
              </w:p>
            </w:tc>
          </w:tr>
          <w:tr w:rsidR="00791FD4" w:rsidTr="00791FD4">
            <w:trPr>
              <w:trHeight w:val="144"/>
            </w:trPr>
            <w:tc>
              <w:tcPr>
                <w:tcW w:w="2444" w:type="dxa"/>
              </w:tcPr>
              <w:p w:rsidR="00791FD4" w:rsidRPr="00C52890" w:rsidRDefault="00791FD4" w:rsidP="00791FD4">
                <w:pPr>
                  <w:tabs>
                    <w:tab w:val="right" w:pos="8838"/>
                  </w:tabs>
                  <w:ind w:left="-74" w:right="-105"/>
                  <w:rPr>
                    <w:rFonts w:ascii="Palatino Linotype" w:eastAsia="Calibri" w:hAnsi="Palatino Linotype" w:cs="Tahoma"/>
                    <w:b/>
                    <w:sz w:val="22"/>
                    <w:szCs w:val="22"/>
                    <w:lang w:eastAsia="en-US"/>
                  </w:rPr>
                </w:pPr>
                <w:bookmarkStart w:id="35" w:name="_Hlk10641523"/>
                <w:bookmarkEnd w:id="34"/>
                <w:r w:rsidRPr="00C52890">
                  <w:rPr>
                    <w:rFonts w:ascii="Palatino Linotype" w:eastAsia="Calibri" w:hAnsi="Palatino Linotype" w:cs="Tahoma"/>
                    <w:b/>
                    <w:sz w:val="22"/>
                    <w:szCs w:val="22"/>
                    <w:lang w:eastAsia="en-US"/>
                  </w:rPr>
                  <w:t>Recurrente:</w:t>
                </w:r>
              </w:p>
            </w:tc>
            <w:tc>
              <w:tcPr>
                <w:tcW w:w="4218" w:type="dxa"/>
              </w:tcPr>
              <w:p w:rsidR="00791FD4" w:rsidRPr="00C52890" w:rsidRDefault="00791FD4" w:rsidP="00791FD4">
                <w:pPr>
                  <w:tabs>
                    <w:tab w:val="left" w:pos="3122"/>
                    <w:tab w:val="right" w:pos="8838"/>
                  </w:tabs>
                  <w:ind w:right="1457"/>
                  <w:jc w:val="both"/>
                  <w:rPr>
                    <w:rFonts w:ascii="Palatino Linotype" w:eastAsia="Calibri" w:hAnsi="Palatino Linotype" w:cs="Tahoma"/>
                    <w:b/>
                    <w:sz w:val="22"/>
                    <w:szCs w:val="22"/>
                    <w:lang w:eastAsia="en-US"/>
                  </w:rPr>
                </w:pPr>
              </w:p>
            </w:tc>
            <w:tc>
              <w:tcPr>
                <w:tcW w:w="3118" w:type="dxa"/>
              </w:tcPr>
              <w:p w:rsidR="00791FD4" w:rsidRDefault="00791FD4" w:rsidP="00791FD4">
                <w:pPr>
                  <w:tabs>
                    <w:tab w:val="left" w:pos="3122"/>
                    <w:tab w:val="right" w:pos="8838"/>
                  </w:tabs>
                  <w:ind w:right="-105"/>
                  <w:jc w:val="both"/>
                  <w:rPr>
                    <w:rFonts w:ascii="Palatino Linotype" w:eastAsia="Calibri" w:hAnsi="Palatino Linotype" w:cs="Tahoma"/>
                    <w:sz w:val="22"/>
                    <w:szCs w:val="22"/>
                    <w:lang w:eastAsia="en-US"/>
                  </w:rPr>
                </w:pPr>
              </w:p>
            </w:tc>
          </w:tr>
          <w:bookmarkEnd w:id="35"/>
          <w:tr w:rsidR="00791FD4" w:rsidTr="00791FD4">
            <w:trPr>
              <w:trHeight w:val="283"/>
            </w:trPr>
            <w:tc>
              <w:tcPr>
                <w:tcW w:w="2444" w:type="dxa"/>
              </w:tcPr>
              <w:p w:rsidR="00791FD4" w:rsidRPr="00C52890" w:rsidRDefault="00791FD4" w:rsidP="00791FD4">
                <w:pPr>
                  <w:tabs>
                    <w:tab w:val="right" w:pos="8838"/>
                  </w:tabs>
                  <w:ind w:left="-74" w:right="-105"/>
                  <w:rPr>
                    <w:rFonts w:ascii="Palatino Linotype" w:eastAsia="Calibri" w:hAnsi="Palatino Linotype" w:cs="Tahoma"/>
                    <w:b/>
                    <w:sz w:val="22"/>
                    <w:szCs w:val="22"/>
                    <w:lang w:eastAsia="en-US"/>
                  </w:rPr>
                </w:pPr>
                <w:r w:rsidRPr="00C52890">
                  <w:rPr>
                    <w:rFonts w:ascii="Palatino Linotype" w:eastAsia="Calibri" w:hAnsi="Palatino Linotype" w:cs="Tahoma"/>
                    <w:b/>
                    <w:sz w:val="22"/>
                    <w:szCs w:val="22"/>
                    <w:lang w:eastAsia="en-US"/>
                  </w:rPr>
                  <w:t>Sujeto Obligado:</w:t>
                </w:r>
              </w:p>
            </w:tc>
            <w:tc>
              <w:tcPr>
                <w:tcW w:w="4218" w:type="dxa"/>
              </w:tcPr>
              <w:p w:rsidR="00791FD4" w:rsidRPr="00C52890" w:rsidRDefault="00791FD4" w:rsidP="00A71469">
                <w:pPr>
                  <w:tabs>
                    <w:tab w:val="left" w:pos="2834"/>
                    <w:tab w:val="right" w:pos="8838"/>
                  </w:tabs>
                  <w:ind w:left="-3" w:right="1315"/>
                  <w:jc w:val="both"/>
                  <w:rPr>
                    <w:rFonts w:ascii="Palatino Linotype" w:eastAsia="Calibri" w:hAnsi="Palatino Linotype" w:cs="Tahoma"/>
                    <w:b/>
                    <w:sz w:val="22"/>
                    <w:szCs w:val="22"/>
                    <w:lang w:eastAsia="en-US"/>
                  </w:rPr>
                </w:pPr>
                <w:r w:rsidRPr="00C52890">
                  <w:rPr>
                    <w:rFonts w:ascii="Palatino Linotype" w:eastAsia="Calibri" w:hAnsi="Palatino Linotype" w:cs="Tahoma"/>
                    <w:b/>
                    <w:sz w:val="22"/>
                    <w:szCs w:val="22"/>
                    <w:lang w:eastAsia="en-US"/>
                  </w:rPr>
                  <w:t xml:space="preserve">Ayuntamiento de </w:t>
                </w:r>
                <w:r>
                  <w:rPr>
                    <w:rFonts w:ascii="Palatino Linotype" w:eastAsia="Calibri" w:hAnsi="Palatino Linotype" w:cs="Tahoma"/>
                    <w:b/>
                    <w:sz w:val="22"/>
                    <w:szCs w:val="22"/>
                    <w:lang w:eastAsia="en-US"/>
                  </w:rPr>
                  <w:t xml:space="preserve">Atizapán </w:t>
                </w:r>
              </w:p>
            </w:tc>
            <w:tc>
              <w:tcPr>
                <w:tcW w:w="3118" w:type="dxa"/>
              </w:tcPr>
              <w:p w:rsidR="00791FD4" w:rsidRDefault="00791FD4" w:rsidP="00791FD4">
                <w:pPr>
                  <w:tabs>
                    <w:tab w:val="left" w:pos="2834"/>
                    <w:tab w:val="right" w:pos="8838"/>
                  </w:tabs>
                  <w:ind w:left="-74" w:right="-105"/>
                  <w:jc w:val="both"/>
                  <w:rPr>
                    <w:rFonts w:ascii="Palatino Linotype" w:eastAsia="Calibri" w:hAnsi="Palatino Linotype" w:cs="Tahoma"/>
                    <w:sz w:val="22"/>
                    <w:szCs w:val="22"/>
                    <w:lang w:eastAsia="en-US"/>
                  </w:rPr>
                </w:pPr>
              </w:p>
            </w:tc>
          </w:tr>
          <w:tr w:rsidR="00791FD4" w:rsidTr="00791FD4">
            <w:trPr>
              <w:trHeight w:val="283"/>
            </w:trPr>
            <w:tc>
              <w:tcPr>
                <w:tcW w:w="2444" w:type="dxa"/>
              </w:tcPr>
              <w:p w:rsidR="00791FD4" w:rsidRPr="00C52890" w:rsidRDefault="00791FD4" w:rsidP="00791FD4">
                <w:pPr>
                  <w:tabs>
                    <w:tab w:val="right" w:pos="8838"/>
                  </w:tabs>
                  <w:ind w:left="-74" w:right="-105"/>
                  <w:rPr>
                    <w:rFonts w:ascii="Palatino Linotype" w:eastAsia="Calibri" w:hAnsi="Palatino Linotype" w:cs="Tahoma"/>
                    <w:b/>
                    <w:sz w:val="22"/>
                    <w:szCs w:val="22"/>
                    <w:lang w:eastAsia="en-US"/>
                  </w:rPr>
                </w:pPr>
                <w:r w:rsidRPr="00C52890">
                  <w:rPr>
                    <w:rFonts w:ascii="Palatino Linotype" w:eastAsia="Calibri" w:hAnsi="Palatino Linotype" w:cs="Tahoma"/>
                    <w:b/>
                    <w:sz w:val="22"/>
                    <w:szCs w:val="22"/>
                    <w:lang w:eastAsia="en-US"/>
                  </w:rPr>
                  <w:t>Comisionada Ponente:</w:t>
                </w:r>
              </w:p>
            </w:tc>
            <w:tc>
              <w:tcPr>
                <w:tcW w:w="4218" w:type="dxa"/>
              </w:tcPr>
              <w:p w:rsidR="00791FD4" w:rsidRPr="00C52890" w:rsidRDefault="00791FD4" w:rsidP="00791FD4">
                <w:pPr>
                  <w:tabs>
                    <w:tab w:val="right" w:pos="8838"/>
                  </w:tabs>
                  <w:ind w:left="-3" w:right="-105"/>
                  <w:jc w:val="both"/>
                  <w:rPr>
                    <w:rFonts w:ascii="Palatino Linotype" w:eastAsia="Calibri" w:hAnsi="Palatino Linotype" w:cs="Tahoma"/>
                    <w:b/>
                    <w:sz w:val="22"/>
                    <w:szCs w:val="22"/>
                    <w:lang w:eastAsia="en-US"/>
                  </w:rPr>
                </w:pPr>
                <w:r w:rsidRPr="00C52890">
                  <w:rPr>
                    <w:rFonts w:ascii="Palatino Linotype" w:eastAsia="Calibri" w:hAnsi="Palatino Linotype" w:cs="Tahoma"/>
                    <w:b/>
                    <w:sz w:val="22"/>
                    <w:szCs w:val="22"/>
                    <w:lang w:eastAsia="en-US"/>
                  </w:rPr>
                  <w:t>María del Rosario Mejía Ayala</w:t>
                </w:r>
              </w:p>
            </w:tc>
            <w:tc>
              <w:tcPr>
                <w:tcW w:w="3118" w:type="dxa"/>
              </w:tcPr>
              <w:p w:rsidR="00791FD4" w:rsidRDefault="00791FD4" w:rsidP="00791FD4">
                <w:pPr>
                  <w:tabs>
                    <w:tab w:val="right" w:pos="8838"/>
                  </w:tabs>
                  <w:ind w:left="-74" w:right="-105"/>
                  <w:jc w:val="both"/>
                  <w:rPr>
                    <w:rFonts w:ascii="Palatino Linotype" w:eastAsia="Calibri" w:hAnsi="Palatino Linotype" w:cs="Tahoma"/>
                    <w:sz w:val="22"/>
                    <w:szCs w:val="22"/>
                    <w:lang w:eastAsia="en-US"/>
                  </w:rPr>
                </w:pPr>
              </w:p>
            </w:tc>
          </w:tr>
        </w:tbl>
        <w:p w:rsidR="00791FD4" w:rsidRDefault="00791FD4">
          <w:pPr>
            <w:tabs>
              <w:tab w:val="right" w:pos="8838"/>
            </w:tabs>
            <w:ind w:left="-28"/>
            <w:jc w:val="both"/>
            <w:rPr>
              <w:rFonts w:ascii="Arial" w:eastAsia="Calibri" w:hAnsi="Arial" w:cs="Arial"/>
              <w:b/>
              <w:sz w:val="22"/>
              <w:szCs w:val="22"/>
              <w:lang w:eastAsia="en-US"/>
            </w:rPr>
          </w:pPr>
        </w:p>
      </w:tc>
    </w:tr>
  </w:tbl>
  <w:p w:rsidR="00791FD4" w:rsidRDefault="008A4C58" w:rsidP="00791FD4">
    <w:pPr>
      <w:pStyle w:val="Encabezado"/>
      <w:tabs>
        <w:tab w:val="clear" w:pos="4419"/>
        <w:tab w:val="clear" w:pos="8838"/>
        <w:tab w:val="center" w:pos="4522"/>
      </w:tabs>
    </w:pPr>
    <w:r>
      <w:rPr>
        <w:noProof/>
        <w:sz w:val="14"/>
        <w:szCs w:val="22"/>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7216;mso-position-horizontal-relative:margin;mso-position-vertical-relative:margin" o:allowincell="f">
          <v:imagedata r:id="rId1" o:title="marcaaguaINFOEM"/>
          <w10:wrap anchorx="margin" anchory="margin"/>
        </v:shape>
      </w:pict>
    </w:r>
  </w:p>
  <w:p w:rsidR="00791FD4" w:rsidRDefault="00791FD4"/>
  <w:p w:rsidR="00791FD4" w:rsidRDefault="00791F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2529F9"/>
    <w:multiLevelType w:val="hybridMultilevel"/>
    <w:tmpl w:val="7E18FA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355341"/>
    <w:multiLevelType w:val="hybridMultilevel"/>
    <w:tmpl w:val="45CE4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4EA"/>
    <w:rsid w:val="00003231"/>
    <w:rsid w:val="00007A3C"/>
    <w:rsid w:val="00091C94"/>
    <w:rsid w:val="000A3FE0"/>
    <w:rsid w:val="001E28B7"/>
    <w:rsid w:val="00214EBE"/>
    <w:rsid w:val="00245326"/>
    <w:rsid w:val="003234AC"/>
    <w:rsid w:val="00353F14"/>
    <w:rsid w:val="003553C0"/>
    <w:rsid w:val="0039502A"/>
    <w:rsid w:val="003D15AB"/>
    <w:rsid w:val="0047745E"/>
    <w:rsid w:val="00613E49"/>
    <w:rsid w:val="00660DE9"/>
    <w:rsid w:val="0076643E"/>
    <w:rsid w:val="00791FD4"/>
    <w:rsid w:val="00813509"/>
    <w:rsid w:val="008219D1"/>
    <w:rsid w:val="008A4C58"/>
    <w:rsid w:val="008D7C52"/>
    <w:rsid w:val="008E7469"/>
    <w:rsid w:val="009124EA"/>
    <w:rsid w:val="0096313B"/>
    <w:rsid w:val="00970A48"/>
    <w:rsid w:val="00A67EBA"/>
    <w:rsid w:val="00A71469"/>
    <w:rsid w:val="00B533C0"/>
    <w:rsid w:val="00B842E1"/>
    <w:rsid w:val="00BF4049"/>
    <w:rsid w:val="00C95A31"/>
    <w:rsid w:val="00D51D4B"/>
    <w:rsid w:val="00E24DFE"/>
    <w:rsid w:val="00E5083F"/>
    <w:rsid w:val="00F226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94431B4-AB83-4061-AF82-41F0A345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4EA"/>
    <w:pPr>
      <w:spacing w:after="0" w:line="240" w:lineRule="auto"/>
    </w:pPr>
    <w:rPr>
      <w:rFonts w:ascii="Times New Roman" w:eastAsia="Times New Roman" w:hAnsi="Times New Roman" w:cs="Times New Roman"/>
      <w:sz w:val="20"/>
      <w:szCs w:val="20"/>
      <w:lang w:val="es-MX" w:eastAsia="es-ES"/>
    </w:rPr>
  </w:style>
  <w:style w:type="paragraph" w:styleId="Ttulo1">
    <w:name w:val="heading 1"/>
    <w:basedOn w:val="Normal"/>
    <w:next w:val="Normal"/>
    <w:link w:val="Ttulo1Car"/>
    <w:uiPriority w:val="9"/>
    <w:qFormat/>
    <w:rsid w:val="009124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124E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4EA"/>
    <w:rPr>
      <w:rFonts w:asciiTheme="majorHAnsi" w:eastAsiaTheme="majorEastAsia" w:hAnsiTheme="majorHAnsi" w:cstheme="majorBidi"/>
      <w:color w:val="2E74B5" w:themeColor="accent1" w:themeShade="BF"/>
      <w:sz w:val="32"/>
      <w:szCs w:val="32"/>
      <w:lang w:val="es-MX" w:eastAsia="es-ES"/>
    </w:rPr>
  </w:style>
  <w:style w:type="character" w:customStyle="1" w:styleId="Ttulo2Car">
    <w:name w:val="Título 2 Car"/>
    <w:basedOn w:val="Fuentedeprrafopredeter"/>
    <w:link w:val="Ttulo2"/>
    <w:uiPriority w:val="9"/>
    <w:rsid w:val="009124EA"/>
    <w:rPr>
      <w:rFonts w:asciiTheme="majorHAnsi" w:eastAsiaTheme="majorEastAsia" w:hAnsiTheme="majorHAnsi" w:cstheme="majorBidi"/>
      <w:color w:val="2E74B5" w:themeColor="accent1" w:themeShade="BF"/>
      <w:sz w:val="26"/>
      <w:szCs w:val="26"/>
      <w:lang w:val="es-MX"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124EA"/>
    <w:rPr>
      <w:rFonts w:ascii="Calibri" w:eastAsia="Calibri" w:hAnsi="Calibri"/>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124EA"/>
    <w:rPr>
      <w:rFonts w:ascii="Calibri" w:eastAsia="Calibri" w:hAnsi="Calibri" w:cs="Times New Roman"/>
      <w:sz w:val="20"/>
      <w:szCs w:val="20"/>
      <w:lang w:val="es-MX"/>
    </w:rPr>
  </w:style>
  <w:style w:type="paragraph" w:styleId="Encabezado">
    <w:name w:val="header"/>
    <w:basedOn w:val="Normal"/>
    <w:link w:val="EncabezadoCar"/>
    <w:uiPriority w:val="99"/>
    <w:unhideWhenUsed/>
    <w:qFormat/>
    <w:rsid w:val="009124EA"/>
    <w:pPr>
      <w:tabs>
        <w:tab w:val="center" w:pos="4419"/>
        <w:tab w:val="right" w:pos="8838"/>
      </w:tabs>
    </w:pPr>
  </w:style>
  <w:style w:type="character" w:customStyle="1" w:styleId="EncabezadoCar">
    <w:name w:val="Encabezado Car"/>
    <w:basedOn w:val="Fuentedeprrafopredeter"/>
    <w:link w:val="Encabezado"/>
    <w:uiPriority w:val="99"/>
    <w:qFormat/>
    <w:rsid w:val="009124EA"/>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qFormat/>
    <w:rsid w:val="009124EA"/>
    <w:pPr>
      <w:tabs>
        <w:tab w:val="center" w:pos="4419"/>
        <w:tab w:val="right" w:pos="8838"/>
      </w:tabs>
    </w:pPr>
  </w:style>
  <w:style w:type="character" w:customStyle="1" w:styleId="PiedepginaCar">
    <w:name w:val="Pie de página Car"/>
    <w:basedOn w:val="Fuentedeprrafopredeter"/>
    <w:link w:val="Piedepgina"/>
    <w:uiPriority w:val="99"/>
    <w:qFormat/>
    <w:rsid w:val="009124EA"/>
    <w:rPr>
      <w:rFonts w:ascii="Times New Roman" w:eastAsia="Times New Roman" w:hAnsi="Times New Roman" w:cs="Times New Roman"/>
      <w:sz w:val="20"/>
      <w:szCs w:val="20"/>
      <w:lang w:val="es-MX"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124E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124EA"/>
    <w:rPr>
      <w:color w:val="0563C1" w:themeColor="hyperlink"/>
      <w:u w:val="single"/>
    </w:rPr>
  </w:style>
  <w:style w:type="table" w:styleId="Tablaconcuadrcula">
    <w:name w:val="Table Grid"/>
    <w:basedOn w:val="Tablanormal"/>
    <w:uiPriority w:val="39"/>
    <w:qFormat/>
    <w:rsid w:val="009124EA"/>
    <w:pPr>
      <w:spacing w:after="0" w:line="240" w:lineRule="auto"/>
    </w:pPr>
    <w:rPr>
      <w:rFonts w:ascii="Times New Roman" w:eastAsia="SimSu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24EA"/>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124EA"/>
    <w:rPr>
      <w:rFonts w:ascii="Century Gothic" w:eastAsia="Times New Roman" w:hAnsi="Century Gothic" w:cs="Times New Roman"/>
      <w:szCs w:val="24"/>
      <w:lang w:val="es-MX" w:eastAsia="es-ES"/>
    </w:rPr>
  </w:style>
  <w:style w:type="character" w:customStyle="1" w:styleId="apple-converted-space">
    <w:name w:val="apple-converted-space"/>
    <w:basedOn w:val="Fuentedeprrafopredeter"/>
    <w:qFormat/>
    <w:rsid w:val="009124EA"/>
  </w:style>
  <w:style w:type="paragraph" w:customStyle="1" w:styleId="m1609377113336227858gmail-msonormal">
    <w:name w:val="m_1609377113336227858gmail-msonormal"/>
    <w:basedOn w:val="Normal"/>
    <w:rsid w:val="009124EA"/>
    <w:pPr>
      <w:spacing w:before="100" w:beforeAutospacing="1" w:after="100" w:afterAutospacing="1"/>
    </w:pPr>
    <w:rPr>
      <w:sz w:val="24"/>
      <w:szCs w:val="24"/>
      <w:lang w:val="es-ES"/>
    </w:rPr>
  </w:style>
  <w:style w:type="table" w:styleId="Tablanormal1">
    <w:name w:val="Plain Table 1"/>
    <w:basedOn w:val="Tablanormal"/>
    <w:uiPriority w:val="41"/>
    <w:rsid w:val="009124EA"/>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1E28B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6884">
      <w:bodyDiv w:val="1"/>
      <w:marLeft w:val="0"/>
      <w:marRight w:val="0"/>
      <w:marTop w:val="0"/>
      <w:marBottom w:val="0"/>
      <w:divBdr>
        <w:top w:val="none" w:sz="0" w:space="0" w:color="auto"/>
        <w:left w:val="none" w:sz="0" w:space="0" w:color="auto"/>
        <w:bottom w:val="none" w:sz="0" w:space="0" w:color="auto"/>
        <w:right w:val="none" w:sz="0" w:space="0" w:color="auto"/>
      </w:divBdr>
    </w:div>
    <w:div w:id="654450380">
      <w:bodyDiv w:val="1"/>
      <w:marLeft w:val="0"/>
      <w:marRight w:val="0"/>
      <w:marTop w:val="0"/>
      <w:marBottom w:val="0"/>
      <w:divBdr>
        <w:top w:val="none" w:sz="0" w:space="0" w:color="auto"/>
        <w:left w:val="none" w:sz="0" w:space="0" w:color="auto"/>
        <w:bottom w:val="none" w:sz="0" w:space="0" w:color="auto"/>
        <w:right w:val="none" w:sz="0" w:space="0" w:color="auto"/>
      </w:divBdr>
    </w:div>
    <w:div w:id="877083886">
      <w:bodyDiv w:val="1"/>
      <w:marLeft w:val="0"/>
      <w:marRight w:val="0"/>
      <w:marTop w:val="0"/>
      <w:marBottom w:val="0"/>
      <w:divBdr>
        <w:top w:val="none" w:sz="0" w:space="0" w:color="auto"/>
        <w:left w:val="none" w:sz="0" w:space="0" w:color="auto"/>
        <w:bottom w:val="none" w:sz="0" w:space="0" w:color="auto"/>
        <w:right w:val="none" w:sz="0" w:space="0" w:color="auto"/>
      </w:divBdr>
    </w:div>
    <w:div w:id="1007905834">
      <w:bodyDiv w:val="1"/>
      <w:marLeft w:val="0"/>
      <w:marRight w:val="0"/>
      <w:marTop w:val="0"/>
      <w:marBottom w:val="0"/>
      <w:divBdr>
        <w:top w:val="none" w:sz="0" w:space="0" w:color="auto"/>
        <w:left w:val="none" w:sz="0" w:space="0" w:color="auto"/>
        <w:bottom w:val="none" w:sz="0" w:space="0" w:color="auto"/>
        <w:right w:val="none" w:sz="0" w:space="0" w:color="auto"/>
      </w:divBdr>
    </w:div>
    <w:div w:id="1160732303">
      <w:bodyDiv w:val="1"/>
      <w:marLeft w:val="0"/>
      <w:marRight w:val="0"/>
      <w:marTop w:val="0"/>
      <w:marBottom w:val="0"/>
      <w:divBdr>
        <w:top w:val="none" w:sz="0" w:space="0" w:color="auto"/>
        <w:left w:val="none" w:sz="0" w:space="0" w:color="auto"/>
        <w:bottom w:val="none" w:sz="0" w:space="0" w:color="auto"/>
        <w:right w:val="none" w:sz="0" w:space="0" w:color="auto"/>
      </w:divBdr>
    </w:div>
    <w:div w:id="1344823610">
      <w:bodyDiv w:val="1"/>
      <w:marLeft w:val="0"/>
      <w:marRight w:val="0"/>
      <w:marTop w:val="0"/>
      <w:marBottom w:val="0"/>
      <w:divBdr>
        <w:top w:val="none" w:sz="0" w:space="0" w:color="auto"/>
        <w:left w:val="none" w:sz="0" w:space="0" w:color="auto"/>
        <w:bottom w:val="none" w:sz="0" w:space="0" w:color="auto"/>
        <w:right w:val="none" w:sz="0" w:space="0" w:color="auto"/>
      </w:divBdr>
    </w:div>
    <w:div w:id="208086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55</Pages>
  <Words>10742</Words>
  <Characters>59087</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2023-05-24T20:44:00Z</dcterms:created>
  <dcterms:modified xsi:type="dcterms:W3CDTF">2023-06-05T18:52:00Z</dcterms:modified>
</cp:coreProperties>
</file>