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abril de dos mil veintitrés. </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VISTO</w:t>
      </w:r>
      <w:r w:rsidRPr="000F54CB">
        <w:rPr>
          <w:rFonts w:ascii="Palatino Linotype" w:eastAsia="Palatino Linotype" w:hAnsi="Palatino Linotype" w:cs="Palatino Linotype"/>
        </w:rPr>
        <w:t xml:space="preserve"> el expediente formado con motivo del recurso de revisión </w:t>
      </w:r>
      <w:r w:rsidRPr="000F54CB">
        <w:rPr>
          <w:rFonts w:ascii="Palatino Linotype" w:eastAsia="Palatino Linotype" w:hAnsi="Palatino Linotype" w:cs="Palatino Linotype"/>
          <w:b/>
        </w:rPr>
        <w:t>00034/INFOEM/IP/RR/2023</w:t>
      </w:r>
      <w:r w:rsidRPr="000F54CB">
        <w:rPr>
          <w:rFonts w:ascii="Palatino Linotype" w:eastAsia="Palatino Linotype" w:hAnsi="Palatino Linotype" w:cs="Palatino Linotype"/>
        </w:rPr>
        <w:t xml:space="preserve">, interpuesto por </w:t>
      </w:r>
      <w:r w:rsidR="00F679E7">
        <w:rPr>
          <w:rFonts w:ascii="Palatino Linotype" w:eastAsia="Palatino Linotype" w:hAnsi="Palatino Linotype" w:cs="Palatino Linotype"/>
          <w:b/>
        </w:rPr>
        <w:t>XXXXXX XXXXX XXXXXX</w:t>
      </w:r>
      <w:bookmarkStart w:id="0" w:name="_GoBack"/>
      <w:bookmarkEnd w:id="0"/>
      <w:r w:rsidRPr="000F54CB">
        <w:rPr>
          <w:rFonts w:ascii="Palatino Linotype" w:eastAsia="Palatino Linotype" w:hAnsi="Palatino Linotype" w:cs="Palatino Linotype"/>
        </w:rPr>
        <w:t>, en lo sucesivo</w:t>
      </w:r>
      <w:r w:rsidRPr="000F54CB">
        <w:rPr>
          <w:rFonts w:ascii="Palatino Linotype" w:eastAsia="Palatino Linotype" w:hAnsi="Palatino Linotype" w:cs="Palatino Linotype"/>
          <w:b/>
        </w:rPr>
        <w:t xml:space="preserve"> </w:t>
      </w:r>
      <w:r w:rsidRPr="000F54CB">
        <w:rPr>
          <w:rFonts w:ascii="Palatino Linotype" w:eastAsia="Palatino Linotype" w:hAnsi="Palatino Linotype" w:cs="Palatino Linotype"/>
        </w:rPr>
        <w:t xml:space="preserve">la parte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en contra de la respuesta a su solicitud por parte del </w:t>
      </w:r>
      <w:r w:rsidRPr="000F54CB">
        <w:rPr>
          <w:rFonts w:ascii="Palatino Linotype" w:eastAsia="Palatino Linotype" w:hAnsi="Palatino Linotype" w:cs="Palatino Linotype"/>
          <w:b/>
        </w:rPr>
        <w:t xml:space="preserve">Ayuntamiento de Toluca, </w:t>
      </w:r>
      <w:r w:rsidRPr="000F54CB">
        <w:rPr>
          <w:rFonts w:ascii="Palatino Linotype" w:eastAsia="Palatino Linotype" w:hAnsi="Palatino Linotype" w:cs="Palatino Linotype"/>
        </w:rPr>
        <w:t xml:space="preserve">en lo sucesivo el </w:t>
      </w:r>
      <w:r w:rsidRPr="000F54CB">
        <w:rPr>
          <w:rFonts w:ascii="Palatino Linotype" w:eastAsia="Palatino Linotype" w:hAnsi="Palatino Linotype" w:cs="Palatino Linotype"/>
          <w:b/>
        </w:rPr>
        <w:t xml:space="preserve">SUJETO OBLIGADO, </w:t>
      </w:r>
      <w:r w:rsidRPr="000F54CB">
        <w:rPr>
          <w:rFonts w:ascii="Palatino Linotype" w:eastAsia="Palatino Linotype" w:hAnsi="Palatino Linotype" w:cs="Palatino Linotype"/>
        </w:rPr>
        <w:t xml:space="preserve">se procede a dictar la presente resolución con base en los siguientes: </w:t>
      </w:r>
    </w:p>
    <w:p w:rsidR="00F5580C" w:rsidRPr="000F54CB" w:rsidRDefault="00B318F5">
      <w:pPr>
        <w:spacing w:before="240" w:after="240" w:line="360" w:lineRule="auto"/>
        <w:jc w:val="center"/>
        <w:rPr>
          <w:rFonts w:ascii="Palatino Linotype" w:eastAsia="Palatino Linotype" w:hAnsi="Palatino Linotype" w:cs="Palatino Linotype"/>
          <w:b/>
        </w:rPr>
      </w:pPr>
      <w:r w:rsidRPr="000F54CB">
        <w:rPr>
          <w:rFonts w:ascii="Palatino Linotype" w:eastAsia="Palatino Linotype" w:hAnsi="Palatino Linotype" w:cs="Palatino Linotype"/>
          <w:b/>
        </w:rPr>
        <w:t>I. A N T E C E D E N T E S</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1. Solicitud de acceso a la información.</w:t>
      </w:r>
      <w:r w:rsidRPr="000F54CB">
        <w:rPr>
          <w:rFonts w:ascii="Palatino Linotype" w:eastAsia="Palatino Linotype" w:hAnsi="Palatino Linotype" w:cs="Palatino Linotype"/>
        </w:rPr>
        <w:t xml:space="preserve"> Con fecha </w:t>
      </w:r>
      <w:r w:rsidRPr="000F54CB">
        <w:rPr>
          <w:rFonts w:ascii="Palatino Linotype" w:eastAsia="Palatino Linotype" w:hAnsi="Palatino Linotype" w:cs="Palatino Linotype"/>
          <w:b/>
        </w:rPr>
        <w:t>veintinueve de noviembre de dos mil veintidós,</w:t>
      </w:r>
      <w:r w:rsidRPr="000F54CB">
        <w:rPr>
          <w:rFonts w:ascii="Palatino Linotype" w:eastAsia="Palatino Linotype" w:hAnsi="Palatino Linotype" w:cs="Palatino Linotype"/>
        </w:rPr>
        <w:t xml:space="preserve"> la parte </w:t>
      </w:r>
      <w:r w:rsidRPr="000F54CB">
        <w:rPr>
          <w:rFonts w:ascii="Palatino Linotype" w:eastAsia="Palatino Linotype" w:hAnsi="Palatino Linotype" w:cs="Palatino Linotype"/>
          <w:b/>
        </w:rPr>
        <w:t xml:space="preserve">RECURRENTE </w:t>
      </w:r>
      <w:r w:rsidRPr="000F54CB">
        <w:rPr>
          <w:rFonts w:ascii="Palatino Linotype" w:eastAsia="Palatino Linotype" w:hAnsi="Palatino Linotype" w:cs="Palatino Linotype"/>
        </w:rPr>
        <w:t xml:space="preserve">presentó, través del Sistema de Acceso a la Información Mexiquense, en lo subsecuente el </w:t>
      </w:r>
      <w:r w:rsidRPr="000F54CB">
        <w:rPr>
          <w:rFonts w:ascii="Palatino Linotype" w:eastAsia="Palatino Linotype" w:hAnsi="Palatino Linotype" w:cs="Palatino Linotype"/>
          <w:b/>
        </w:rPr>
        <w:t>SAIMEX,</w:t>
      </w:r>
      <w:r w:rsidRPr="000F54CB">
        <w:rPr>
          <w:rFonts w:ascii="Palatino Linotype" w:eastAsia="Palatino Linotype" w:hAnsi="Palatino Linotype" w:cs="Palatino Linotype"/>
        </w:rPr>
        <w:t xml:space="preserve"> ante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la solicitud de acceso a la información pública, a la que se le asignó el número</w:t>
      </w:r>
      <w:r w:rsidRPr="000F54CB">
        <w:rPr>
          <w:rFonts w:ascii="Palatino Linotype" w:eastAsia="Palatino Linotype" w:hAnsi="Palatino Linotype" w:cs="Palatino Linotype"/>
          <w:b/>
        </w:rPr>
        <w:t xml:space="preserve"> 02676/TOLUCA/IP/2022, </w:t>
      </w:r>
      <w:r w:rsidRPr="000F54CB">
        <w:rPr>
          <w:rFonts w:ascii="Palatino Linotype" w:eastAsia="Palatino Linotype" w:hAnsi="Palatino Linotype" w:cs="Palatino Linotype"/>
        </w:rPr>
        <w:t xml:space="preserve">mediante la cual requirió la información siguiente: </w:t>
      </w:r>
    </w:p>
    <w:p w:rsidR="00F5580C" w:rsidRPr="000F54CB" w:rsidRDefault="00B318F5">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0F54CB">
        <w:rPr>
          <w:rFonts w:ascii="Palatino Linotype" w:eastAsia="Palatino Linotype" w:hAnsi="Palatino Linotype" w:cs="Palatino Linotype"/>
          <w:i/>
          <w:sz w:val="22"/>
          <w:szCs w:val="22"/>
        </w:rPr>
        <w:t>“SOLICITO TODAS LAS CERTIFICACIONES VIGENTES DE LOS TITULARES OBLIGADOS POR LA LEY. (OBRA PÚBLICA, CONTRALORIA, MEDIO AMBIENTE, TRANSPARENCIA, TESORERIA, SECRETARIA DEL AYUNTAMIENTO, TITULAR DEL IMCUFIDET, CONTRALOR DE IMCUFIDET, DERECHOS HUMANOS)” (Sic)</w:t>
      </w:r>
    </w:p>
    <w:p w:rsidR="00F5580C" w:rsidRPr="000F54CB" w:rsidRDefault="00F5580C">
      <w:pPr>
        <w:ind w:left="851" w:right="902"/>
        <w:jc w:val="both"/>
        <w:rPr>
          <w:rFonts w:ascii="Palatino Linotype" w:eastAsia="Palatino Linotype" w:hAnsi="Palatino Linotype" w:cs="Palatino Linotype"/>
          <w:i/>
          <w:sz w:val="22"/>
          <w:szCs w:val="22"/>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Modalidad de Entrega:</w:t>
      </w:r>
      <w:r w:rsidRPr="000F54CB">
        <w:rPr>
          <w:rFonts w:ascii="Palatino Linotype" w:eastAsia="Palatino Linotype" w:hAnsi="Palatino Linotype" w:cs="Palatino Linotype"/>
        </w:rPr>
        <w:t xml:space="preserve"> A través de SAIMEX.</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after="240" w:line="360" w:lineRule="auto"/>
        <w:jc w:val="both"/>
        <w:rPr>
          <w:rFonts w:ascii="Palatino Linotype" w:eastAsia="Palatino Linotype" w:hAnsi="Palatino Linotype" w:cs="Palatino Linotype"/>
          <w:b/>
        </w:rPr>
      </w:pPr>
      <w:r w:rsidRPr="000F54CB">
        <w:rPr>
          <w:rFonts w:ascii="Palatino Linotype" w:eastAsia="Palatino Linotype" w:hAnsi="Palatino Linotype" w:cs="Palatino Linotype"/>
          <w:b/>
        </w:rPr>
        <w:lastRenderedPageBreak/>
        <w:t xml:space="preserve">2. Respuesta. </w:t>
      </w:r>
      <w:r w:rsidRPr="000F54CB">
        <w:rPr>
          <w:rFonts w:ascii="Palatino Linotype" w:eastAsia="Palatino Linotype" w:hAnsi="Palatino Linotype" w:cs="Palatino Linotype"/>
        </w:rPr>
        <w:t xml:space="preserve">Con fecha </w:t>
      </w:r>
      <w:r w:rsidRPr="000F54CB">
        <w:rPr>
          <w:rFonts w:ascii="Palatino Linotype" w:eastAsia="Palatino Linotype" w:hAnsi="Palatino Linotype" w:cs="Palatino Linotype"/>
          <w:b/>
        </w:rPr>
        <w:t>veinte de diciembre de dos mil veintidós</w:t>
      </w:r>
      <w:r w:rsidRPr="000F54CB">
        <w:rPr>
          <w:rFonts w:ascii="Palatino Linotype" w:eastAsia="Palatino Linotype" w:hAnsi="Palatino Linotype" w:cs="Palatino Linotype"/>
        </w:rPr>
        <w:t xml:space="preserve">, el </w:t>
      </w:r>
      <w:r w:rsidRPr="000F54CB">
        <w:rPr>
          <w:rFonts w:ascii="Palatino Linotype" w:eastAsia="Palatino Linotype" w:hAnsi="Palatino Linotype" w:cs="Palatino Linotype"/>
          <w:b/>
        </w:rPr>
        <w:t xml:space="preserve">SUJETO OBLIGADO </w:t>
      </w:r>
      <w:r w:rsidRPr="000F54CB">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F5580C" w:rsidRPr="000F54CB" w:rsidRDefault="00B318F5">
      <w:pPr>
        <w:spacing w:before="240" w:after="240"/>
        <w:ind w:left="851" w:right="902"/>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“…En atención a la solicitud con folio 02676/TOLUCA/IP/2022, me permito adjuntar al presente la respuesta correspondiente y anexos. Sin más por el momento, reciba un saludo...” (Sic)</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adjuntó los siguientes archivos:</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8">
        <w:r w:rsidRPr="000F54CB">
          <w:rPr>
            <w:rFonts w:ascii="Palatino Linotype" w:eastAsia="Palatino Linotype" w:hAnsi="Palatino Linotype" w:cs="Palatino Linotype"/>
          </w:rPr>
          <w:t>Respuesta 2676.pdf</w:t>
        </w:r>
      </w:hyperlink>
      <w:r w:rsidRPr="000F54CB">
        <w:rPr>
          <w:rFonts w:ascii="Palatino Linotype" w:eastAsia="Palatino Linotype" w:hAnsi="Palatino Linotype" w:cs="Palatino Linotype"/>
        </w:rPr>
        <w:t>”, el cual contiene la respuesta de la Titular de la Unidad de Transparencia en donde con base a la información proporcionada por la Dirección General de Administración, entregó las certificaciones vigentes de los titulares obligados por ley (Obra Pública, Contraloría, Medio Ambiente, Transparencia, Tesorería, Secretaria del Ayuntamiento) los cuales se remiten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Por otro lado, informó que el Instituto Municipal de Cultura Física y Deporte de Toluca, remitía dos certificaciones correspondientes a la Coordinadora de Administración y Finanzas y de la Contraloría Interna de dicho Instituto,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w:t>
      </w:r>
      <w:hyperlink r:id="rId9">
        <w:r w:rsidRPr="000F54CB">
          <w:rPr>
            <w:rFonts w:ascii="Palatino Linotype" w:eastAsia="Palatino Linotype" w:hAnsi="Palatino Linotype" w:cs="Palatino Linotype"/>
          </w:rPr>
          <w:t>Acta 776.pdf</w:t>
        </w:r>
      </w:hyperlink>
      <w:r w:rsidRPr="000F54CB">
        <w:rPr>
          <w:rFonts w:ascii="Palatino Linotype" w:eastAsia="Palatino Linotype" w:hAnsi="Palatino Linotype" w:cs="Palatino Linotype"/>
        </w:rPr>
        <w:t>”, el cual contiene el acta de la septingentésima septuagésima sexta sesión extraordinaria del Comité de Transparencia del Ayuntamiento de Toluca de fecha 13 de diciembre del año 2022, constate de ocho fojas.</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10">
        <w:r w:rsidRPr="000F54CB">
          <w:rPr>
            <w:rFonts w:ascii="Palatino Linotype" w:eastAsia="Palatino Linotype" w:hAnsi="Palatino Linotype" w:cs="Palatino Linotype"/>
          </w:rPr>
          <w:t>2676_.pdf</w:t>
        </w:r>
      </w:hyperlink>
      <w:r w:rsidRPr="000F54CB">
        <w:rPr>
          <w:rFonts w:ascii="Palatino Linotype" w:eastAsia="Palatino Linotype" w:hAnsi="Palatino Linotype" w:cs="Palatino Linotype"/>
        </w:rPr>
        <w:t>”, El cual contiene dos certificaciones, la certificación de competencia laboral de Coordinadora de Administración y Finanzas del Instituto Municipal de Cultura Física y Deporte de Toluca, y la certificación de competencia de la Contraloría Interna del Instituto Municipal de Cultura Física y Deporte de Toluca.</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11">
        <w:r w:rsidRPr="000F54CB">
          <w:rPr>
            <w:rFonts w:ascii="Palatino Linotype" w:eastAsia="Palatino Linotype" w:hAnsi="Palatino Linotype" w:cs="Palatino Linotype"/>
          </w:rPr>
          <w:t>2676-20221220T181550Z-001.zip</w:t>
        </w:r>
      </w:hyperlink>
      <w:r w:rsidRPr="000F54CB">
        <w:rPr>
          <w:rFonts w:ascii="Palatino Linotype" w:eastAsia="Palatino Linotype" w:hAnsi="Palatino Linotype" w:cs="Palatino Linotype"/>
        </w:rPr>
        <w:t>”, el cual contiene a su vez diversas certificaciones de competencia laboral del Ayuntamiento de Toluca, que se enlistan a continuación:</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Bienestar Social.</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Contraloría Municipal.</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dirección de Desarrollo Económico.</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*Titular de la Dirección de Cultura y Turismo. </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Dirección de Obra Pública.</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*Titular de la Dirección de Desarrollo Urbano y Obra Pública. </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Dirección de Medio Ambiente.</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Secretaria del Ayuntamiento.</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*Titular de la Tesorería Municipal. </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*Titular de la Unidad de Transparencia.</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Un diploma del Titular de la Mejora Regulatoria.</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3. Interposición del recurso de revisión. </w:t>
      </w:r>
      <w:r w:rsidRPr="000F54CB">
        <w:rPr>
          <w:rFonts w:ascii="Palatino Linotype" w:eastAsia="Palatino Linotype" w:hAnsi="Palatino Linotype" w:cs="Palatino Linotype"/>
        </w:rPr>
        <w:t xml:space="preserve">Inconforme con los términos de la respuesta emitida por parte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el </w:t>
      </w:r>
      <w:r w:rsidRPr="000F54CB">
        <w:rPr>
          <w:rFonts w:ascii="Palatino Linotype" w:eastAsia="Palatino Linotype" w:hAnsi="Palatino Linotype" w:cs="Palatino Linotype"/>
          <w:b/>
        </w:rPr>
        <w:t>nueve de enero del año dos mil veintitrés,</w:t>
      </w:r>
      <w:r w:rsidRPr="000F54CB">
        <w:rPr>
          <w:rFonts w:ascii="Palatino Linotype" w:eastAsia="Palatino Linotype" w:hAnsi="Palatino Linotype" w:cs="Palatino Linotype"/>
        </w:rPr>
        <w:t xml:space="preserve"> la parte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interpuso el recurso de revisión a través de </w:t>
      </w:r>
      <w:r w:rsidRPr="000F54CB">
        <w:rPr>
          <w:rFonts w:ascii="Palatino Linotype" w:eastAsia="Palatino Linotype" w:hAnsi="Palatino Linotype" w:cs="Palatino Linotype"/>
          <w:b/>
        </w:rPr>
        <w:t xml:space="preserve">SAIMEX, </w:t>
      </w:r>
      <w:r w:rsidRPr="000F54CB">
        <w:rPr>
          <w:rFonts w:ascii="Palatino Linotype" w:eastAsia="Palatino Linotype" w:hAnsi="Palatino Linotype" w:cs="Palatino Linotype"/>
        </w:rPr>
        <w:t>en donde se manifestó de la siguiente manera:</w:t>
      </w:r>
    </w:p>
    <w:p w:rsidR="00F5580C" w:rsidRPr="000F54CB" w:rsidRDefault="00B318F5">
      <w:pPr>
        <w:tabs>
          <w:tab w:val="left" w:pos="2745"/>
        </w:tabs>
        <w:spacing w:before="240" w:after="240" w:line="360" w:lineRule="auto"/>
        <w:jc w:val="both"/>
        <w:rPr>
          <w:rFonts w:ascii="Palatino Linotype" w:eastAsia="Palatino Linotype" w:hAnsi="Palatino Linotype" w:cs="Palatino Linotype"/>
          <w:b/>
        </w:rPr>
      </w:pPr>
      <w:r w:rsidRPr="000F54CB">
        <w:rPr>
          <w:rFonts w:ascii="Palatino Linotype" w:eastAsia="Palatino Linotype" w:hAnsi="Palatino Linotype" w:cs="Palatino Linotype"/>
          <w:b/>
        </w:rPr>
        <w:t xml:space="preserve">Acto impugnado: </w:t>
      </w:r>
      <w:r w:rsidRPr="000F54CB">
        <w:rPr>
          <w:rFonts w:ascii="Palatino Linotype" w:eastAsia="Palatino Linotype" w:hAnsi="Palatino Linotype" w:cs="Palatino Linotype"/>
          <w:b/>
        </w:rPr>
        <w:tab/>
      </w:r>
    </w:p>
    <w:p w:rsidR="00F5580C" w:rsidRPr="000F54CB" w:rsidRDefault="00B318F5">
      <w:pPr>
        <w:spacing w:line="360" w:lineRule="auto"/>
        <w:ind w:left="851"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“La respuesta entregada por la Unidad de Transparencia.” (Sic)</w:t>
      </w: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Y Razones o motivos de inconformidad</w:t>
      </w:r>
      <w:r w:rsidRPr="000F54CB">
        <w:rPr>
          <w:rFonts w:ascii="Palatino Linotype" w:eastAsia="Palatino Linotype" w:hAnsi="Palatino Linotype" w:cs="Palatino Linotype"/>
        </w:rPr>
        <w:t>:</w:t>
      </w:r>
    </w:p>
    <w:p w:rsidR="00F5580C" w:rsidRPr="000F54CB" w:rsidRDefault="00B318F5">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0F54CB">
        <w:rPr>
          <w:rFonts w:ascii="Palatino Linotype" w:eastAsia="Palatino Linotype" w:hAnsi="Palatino Linotype" w:cs="Palatino Linotype"/>
          <w:i/>
          <w:sz w:val="22"/>
          <w:szCs w:val="22"/>
        </w:rPr>
        <w:t xml:space="preserve"> “La Titular de la Unidad de Transparencia no me entregó la información de manera completa, faltó la certificación de la Titular de la Unidad de Transparencia, (me entregó una que no </w:t>
      </w:r>
      <w:proofErr w:type="spellStart"/>
      <w:r w:rsidRPr="000F54CB">
        <w:rPr>
          <w:rFonts w:ascii="Palatino Linotype" w:eastAsia="Palatino Linotype" w:hAnsi="Palatino Linotype" w:cs="Palatino Linotype"/>
          <w:i/>
          <w:sz w:val="22"/>
          <w:szCs w:val="22"/>
        </w:rPr>
        <w:t>esta</w:t>
      </w:r>
      <w:proofErr w:type="spellEnd"/>
      <w:r w:rsidRPr="000F54CB">
        <w:rPr>
          <w:rFonts w:ascii="Palatino Linotype" w:eastAsia="Palatino Linotype" w:hAnsi="Palatino Linotype" w:cs="Palatino Linotype"/>
          <w:i/>
          <w:sz w:val="22"/>
          <w:szCs w:val="22"/>
        </w:rPr>
        <w:t xml:space="preserve"> obligada a hacer) entre otras.” (Sic)</w:t>
      </w:r>
    </w:p>
    <w:p w:rsidR="00F5580C" w:rsidRPr="000F54CB" w:rsidRDefault="00F5580C">
      <w:pPr>
        <w:spacing w:line="360" w:lineRule="auto"/>
        <w:ind w:right="51"/>
        <w:jc w:val="both"/>
        <w:rPr>
          <w:rFonts w:ascii="Palatino Linotype" w:eastAsia="Palatino Linotype" w:hAnsi="Palatino Linotype" w:cs="Palatino Linotype"/>
          <w:b/>
        </w:rPr>
      </w:pPr>
    </w:p>
    <w:p w:rsidR="00F5580C" w:rsidRPr="000F54CB" w:rsidRDefault="00B318F5">
      <w:pPr>
        <w:spacing w:line="360" w:lineRule="auto"/>
        <w:ind w:right="51"/>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4. Turno. </w:t>
      </w:r>
      <w:r w:rsidRPr="000F54C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F54CB">
        <w:rPr>
          <w:rFonts w:ascii="Palatino Linotype" w:eastAsia="Palatino Linotype" w:hAnsi="Palatino Linotype" w:cs="Palatino Linotype"/>
          <w:b/>
        </w:rPr>
        <w:t xml:space="preserve">Guadalupe Ramírez Peña, </w:t>
      </w:r>
      <w:r w:rsidRPr="000F54CB">
        <w:rPr>
          <w:rFonts w:ascii="Palatino Linotype" w:eastAsia="Palatino Linotype" w:hAnsi="Palatino Linotype" w:cs="Palatino Linotype"/>
        </w:rPr>
        <w:t xml:space="preserve">a efecto de que analizara sobre su admisión o su </w:t>
      </w:r>
      <w:proofErr w:type="spellStart"/>
      <w:r w:rsidRPr="000F54CB">
        <w:rPr>
          <w:rFonts w:ascii="Palatino Linotype" w:eastAsia="Palatino Linotype" w:hAnsi="Palatino Linotype" w:cs="Palatino Linotype"/>
        </w:rPr>
        <w:t>desechamiento</w:t>
      </w:r>
      <w:proofErr w:type="spellEnd"/>
      <w:r w:rsidRPr="000F54CB">
        <w:rPr>
          <w:rFonts w:ascii="Palatino Linotype" w:eastAsia="Palatino Linotype" w:hAnsi="Palatino Linotype" w:cs="Palatino Linotype"/>
        </w:rPr>
        <w:t>.</w:t>
      </w:r>
    </w:p>
    <w:p w:rsidR="00F5580C" w:rsidRPr="000F54CB" w:rsidRDefault="00F5580C">
      <w:pPr>
        <w:spacing w:line="360" w:lineRule="auto"/>
        <w:ind w:right="51"/>
        <w:jc w:val="both"/>
        <w:rPr>
          <w:rFonts w:ascii="Palatino Linotype" w:eastAsia="Palatino Linotype" w:hAnsi="Palatino Linotype" w:cs="Palatino Linotype"/>
        </w:rPr>
      </w:pP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5. Admisión del Recurso de revisión.</w:t>
      </w:r>
      <w:r w:rsidRPr="000F54CB">
        <w:rPr>
          <w:rFonts w:ascii="Palatino Linotype" w:eastAsia="Palatino Linotype" w:hAnsi="Palatino Linotype" w:cs="Palatino Linotype"/>
        </w:rPr>
        <w:t xml:space="preserve"> Con fecha</w:t>
      </w:r>
      <w:r w:rsidRPr="000F54CB">
        <w:rPr>
          <w:rFonts w:ascii="Palatino Linotype" w:eastAsia="Palatino Linotype" w:hAnsi="Palatino Linotype" w:cs="Palatino Linotype"/>
          <w:b/>
        </w:rPr>
        <w:t xml:space="preserve"> doce de enero de dos mil veintidós, </w:t>
      </w:r>
      <w:r w:rsidRPr="000F54C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0F54CB">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0F54CB">
        <w:rPr>
          <w:rFonts w:ascii="Palatino Linotype" w:eastAsia="Palatino Linotype" w:hAnsi="Palatino Linotype" w:cs="Palatino Linotype"/>
          <w:b/>
        </w:rPr>
        <w:t xml:space="preserve">SUJETO OBLIGADO </w:t>
      </w:r>
      <w:r w:rsidRPr="000F54CB">
        <w:rPr>
          <w:rFonts w:ascii="Palatino Linotype" w:eastAsia="Palatino Linotype" w:hAnsi="Palatino Linotype" w:cs="Palatino Linotype"/>
        </w:rPr>
        <w:t>presentara su informe justificado.</w:t>
      </w:r>
    </w:p>
    <w:p w:rsidR="00F5580C" w:rsidRPr="000F54CB" w:rsidRDefault="00B318F5">
      <w:pPr>
        <w:spacing w:after="240" w:line="360" w:lineRule="auto"/>
        <w:jc w:val="both"/>
        <w:rPr>
          <w:rFonts w:ascii="Palatino Linotype" w:eastAsia="Palatino Linotype" w:hAnsi="Palatino Linotype" w:cs="Palatino Linotype"/>
        </w:rPr>
      </w:pPr>
      <w:bookmarkStart w:id="3" w:name="_heading=h.2s8eyo1" w:colFirst="0" w:colLast="0"/>
      <w:bookmarkEnd w:id="3"/>
      <w:r w:rsidRPr="000F54CB">
        <w:rPr>
          <w:rFonts w:ascii="Palatino Linotype" w:eastAsia="Palatino Linotype" w:hAnsi="Palatino Linotype" w:cs="Palatino Linotype"/>
          <w:b/>
        </w:rPr>
        <w:t>6. Manifestaciones</w:t>
      </w:r>
      <w:r w:rsidRPr="000F54CB">
        <w:rPr>
          <w:rFonts w:ascii="Palatino Linotype" w:eastAsia="Palatino Linotype" w:hAnsi="Palatino Linotype" w:cs="Palatino Linotype"/>
        </w:rPr>
        <w:t>. En fecha veinte de enero de dos mil veintitrés</w:t>
      </w:r>
      <w:r w:rsidRPr="000F54CB">
        <w:rPr>
          <w:rFonts w:ascii="Palatino Linotype" w:eastAsia="Palatino Linotype" w:hAnsi="Palatino Linotype" w:cs="Palatino Linotype"/>
          <w:b/>
        </w:rPr>
        <w:t xml:space="preserve">, </w:t>
      </w:r>
      <w:r w:rsidRPr="000F54CB">
        <w:rPr>
          <w:rFonts w:ascii="Palatino Linotype" w:eastAsia="Palatino Linotype" w:hAnsi="Palatino Linotype" w:cs="Palatino Linotype"/>
        </w:rPr>
        <w:t xml:space="preserve">el </w:t>
      </w:r>
      <w:r w:rsidRPr="000F54CB">
        <w:rPr>
          <w:rFonts w:ascii="Palatino Linotype" w:eastAsia="Palatino Linotype" w:hAnsi="Palatino Linotype" w:cs="Palatino Linotype"/>
          <w:b/>
        </w:rPr>
        <w:t xml:space="preserve">SUJETO OBLIGADO </w:t>
      </w:r>
      <w:r w:rsidRPr="000F54CB">
        <w:rPr>
          <w:rFonts w:ascii="Palatino Linotype" w:eastAsia="Palatino Linotype" w:hAnsi="Palatino Linotype" w:cs="Palatino Linotype"/>
        </w:rPr>
        <w:t>remitió, a través del SAIMEX, los siguientes archivos electrónicos:</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12">
        <w:r w:rsidRPr="000F54CB">
          <w:rPr>
            <w:rFonts w:ascii="Palatino Linotype" w:eastAsia="Palatino Linotype" w:hAnsi="Palatino Linotype" w:cs="Palatino Linotype"/>
          </w:rPr>
          <w:t>Acta 776.pdf</w:t>
        </w:r>
      </w:hyperlink>
      <w:r w:rsidRPr="000F54CB">
        <w:rPr>
          <w:rFonts w:ascii="Palatino Linotype" w:eastAsia="Palatino Linotype" w:hAnsi="Palatino Linotype" w:cs="Palatino Linotype"/>
        </w:rPr>
        <w:t>”, el acta de la septingentésima septuagésima sexta sesión extraordinaria del Comité de Transparencia del Ayuntamiento de Toluca de fecha 13 de diciembre del año 2022, constate de ocho fojas.</w:t>
      </w: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13">
        <w:r w:rsidRPr="000F54CB">
          <w:rPr>
            <w:rFonts w:ascii="Palatino Linotype" w:eastAsia="Palatino Linotype" w:hAnsi="Palatino Linotype" w:cs="Palatino Linotype"/>
          </w:rPr>
          <w:t>NORMA SOFÍA PÉREZ MARTÍNEZ, TITULAR DE LA UNIDAD DE TRANSPARENCIA (2).</w:t>
        </w:r>
        <w:proofErr w:type="spellStart"/>
        <w:r w:rsidRPr="000F54CB">
          <w:rPr>
            <w:rFonts w:ascii="Palatino Linotype" w:eastAsia="Palatino Linotype" w:hAnsi="Palatino Linotype" w:cs="Palatino Linotype"/>
          </w:rPr>
          <w:t>pdf</w:t>
        </w:r>
        <w:proofErr w:type="spellEnd"/>
      </w:hyperlink>
      <w:r w:rsidRPr="000F54CB">
        <w:rPr>
          <w:rFonts w:ascii="Palatino Linotype" w:eastAsia="Palatino Linotype" w:hAnsi="Palatino Linotype" w:cs="Palatino Linotype"/>
        </w:rPr>
        <w:t xml:space="preserve">”, el cual contiene la certificación de competencia labora de la Titular de la Unidad de Transparencia en derecho de acceso a la información pública. </w:t>
      </w: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w:t>
      </w:r>
      <w:hyperlink r:id="rId14">
        <w:r w:rsidRPr="000F54CB">
          <w:rPr>
            <w:rFonts w:ascii="Palatino Linotype" w:eastAsia="Palatino Linotype" w:hAnsi="Palatino Linotype" w:cs="Palatino Linotype"/>
          </w:rPr>
          <w:t>RR 00034_23.pdf</w:t>
        </w:r>
      </w:hyperlink>
      <w:r w:rsidRPr="000F54CB">
        <w:rPr>
          <w:rFonts w:ascii="Palatino Linotype" w:eastAsia="Palatino Linotype" w:hAnsi="Palatino Linotype" w:cs="Palatino Linotype"/>
        </w:rPr>
        <w:t xml:space="preserve">”, el cual contiene el informe justificado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a través del cual informó en cuanto a los motivos de inconformidad de la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que si bien la Dirección de Administración hizo entrega de la información con la que contaba que son dos certificaciones, por un error involuntario faltó una de ellas; adjuntando para tal efecto la certificación de competencia labora de la Titular de la Unidad de Transparencia en derecho de acceso a la información pública, en términos de los motivos y fundamentos legales expuestos. </w:t>
      </w: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Documento que, una vez analizado en fecha veintiocho de marzo del año en curso, se hizo del conocimiento de la parte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a efecto de que manifestara lo </w:t>
      </w:r>
      <w:r w:rsidRPr="000F54CB">
        <w:rPr>
          <w:rFonts w:ascii="Palatino Linotype" w:eastAsia="Palatino Linotype" w:hAnsi="Palatino Linotype" w:cs="Palatino Linotype"/>
        </w:rPr>
        <w:lastRenderedPageBreak/>
        <w:t>que a su derecho estimara conveniente, sin embargo, fue omisa en ejercer dicha prerrogativa en el plazo establecido para tal efecto.</w:t>
      </w:r>
    </w:p>
    <w:p w:rsidR="00F5580C" w:rsidRPr="000F54CB" w:rsidRDefault="00B318F5">
      <w:pPr>
        <w:widowControl w:val="0"/>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color w:val="000000"/>
        </w:rPr>
        <w:t xml:space="preserve">7. </w:t>
      </w:r>
      <w:r w:rsidRPr="000F54CB">
        <w:rPr>
          <w:rFonts w:ascii="Palatino Linotype" w:eastAsia="Palatino Linotype" w:hAnsi="Palatino Linotype" w:cs="Palatino Linotype"/>
          <w:b/>
        </w:rPr>
        <w:t>Ampliación del plazo.</w:t>
      </w:r>
      <w:r w:rsidRPr="000F54CB">
        <w:rPr>
          <w:rFonts w:ascii="Palatino Linotype" w:eastAsia="Palatino Linotype" w:hAnsi="Palatino Linotype" w:cs="Palatino Linotype"/>
        </w:rPr>
        <w:t xml:space="preserve"> En fecha veintiocho de marzo del año dos mil veintitrés, con fundamento en el artículo 181, párrafo tercero de la Ley de Transparencia y Acceso a la Información Pública del Estado de México y Municipios, se acordó la ampliación del plazo para su resolución.</w:t>
      </w:r>
    </w:p>
    <w:p w:rsidR="00F5580C" w:rsidRPr="000F54CB" w:rsidRDefault="00F5580C">
      <w:pPr>
        <w:widowControl w:val="0"/>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0F54CB">
        <w:rPr>
          <w:rFonts w:ascii="Palatino Linotype" w:eastAsia="Palatino Linotype" w:hAnsi="Palatino Linotype" w:cs="Palatino Linotype"/>
        </w:rPr>
        <w:lastRenderedPageBreak/>
        <w:t>en el menor tiempo posible, tomando en consideración la dilación total del procedimiento; esto es, en un plazo razonable.</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strike/>
          <w:color w:val="FF0000"/>
        </w:rPr>
      </w:pPr>
      <w:r w:rsidRPr="000F54C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numPr>
          <w:ilvl w:val="0"/>
          <w:numId w:val="3"/>
        </w:numPr>
        <w:ind w:left="851"/>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5580C" w:rsidRPr="000F54CB" w:rsidRDefault="00F5580C">
      <w:pPr>
        <w:ind w:left="851" w:hanging="360"/>
        <w:jc w:val="both"/>
        <w:rPr>
          <w:rFonts w:ascii="Palatino Linotype" w:eastAsia="Palatino Linotype" w:hAnsi="Palatino Linotype" w:cs="Palatino Linotype"/>
        </w:rPr>
      </w:pPr>
    </w:p>
    <w:p w:rsidR="00F5580C" w:rsidRPr="000F54CB" w:rsidRDefault="00B318F5">
      <w:pPr>
        <w:numPr>
          <w:ilvl w:val="0"/>
          <w:numId w:val="3"/>
        </w:numPr>
        <w:ind w:left="851"/>
        <w:jc w:val="both"/>
        <w:rPr>
          <w:rFonts w:ascii="Palatino Linotype" w:eastAsia="Palatino Linotype" w:hAnsi="Palatino Linotype" w:cs="Palatino Linotype"/>
        </w:rPr>
      </w:pPr>
      <w:r w:rsidRPr="000F54CB">
        <w:rPr>
          <w:rFonts w:ascii="Palatino Linotype" w:eastAsia="Palatino Linotype" w:hAnsi="Palatino Linotype" w:cs="Palatino Linotype"/>
        </w:rPr>
        <w:t>Actividad Procesal del interesado. Acciones u omisiones del interesado.</w:t>
      </w:r>
    </w:p>
    <w:p w:rsidR="00F5580C" w:rsidRPr="000F54CB" w:rsidRDefault="00F5580C">
      <w:pPr>
        <w:ind w:left="851" w:hanging="360"/>
        <w:jc w:val="both"/>
        <w:rPr>
          <w:rFonts w:ascii="Palatino Linotype" w:eastAsia="Palatino Linotype" w:hAnsi="Palatino Linotype" w:cs="Palatino Linotype"/>
        </w:rPr>
      </w:pPr>
    </w:p>
    <w:p w:rsidR="00F5580C" w:rsidRPr="000F54CB" w:rsidRDefault="00B318F5">
      <w:pPr>
        <w:numPr>
          <w:ilvl w:val="0"/>
          <w:numId w:val="3"/>
        </w:numPr>
        <w:ind w:left="851"/>
        <w:jc w:val="both"/>
        <w:rPr>
          <w:rFonts w:ascii="Palatino Linotype" w:eastAsia="Palatino Linotype" w:hAnsi="Palatino Linotype" w:cs="Palatino Linotype"/>
        </w:rPr>
      </w:pPr>
      <w:r w:rsidRPr="000F54CB">
        <w:rPr>
          <w:rFonts w:ascii="Palatino Linotype" w:eastAsia="Palatino Linotype" w:hAnsi="Palatino Linotype" w:cs="Palatino Linotype"/>
        </w:rPr>
        <w:t>Conducta de la Autoridad: Las Acciones u omisiones realizadas en el procedimiento. Así como si la autoridad actuó con la debida diligencia.</w:t>
      </w:r>
    </w:p>
    <w:p w:rsidR="00F5580C" w:rsidRPr="000F54CB" w:rsidRDefault="00F5580C">
      <w:pPr>
        <w:ind w:left="851" w:hanging="360"/>
        <w:rPr>
          <w:rFonts w:ascii="Palatino Linotype" w:eastAsia="Palatino Linotype" w:hAnsi="Palatino Linotype" w:cs="Palatino Linotype"/>
        </w:rPr>
      </w:pPr>
    </w:p>
    <w:p w:rsidR="00F5580C" w:rsidRPr="000F54CB" w:rsidRDefault="00B318F5">
      <w:pPr>
        <w:ind w:left="851" w:hanging="360"/>
        <w:jc w:val="both"/>
        <w:rPr>
          <w:rFonts w:ascii="Palatino Linotype" w:eastAsia="Palatino Linotype" w:hAnsi="Palatino Linotype" w:cs="Palatino Linotype"/>
        </w:rPr>
      </w:pPr>
      <w:r w:rsidRPr="000F54CB">
        <w:rPr>
          <w:rFonts w:ascii="Palatino Linotype" w:eastAsia="Palatino Linotype" w:hAnsi="Palatino Linotype" w:cs="Palatino Linotype"/>
        </w:rPr>
        <w:t>d) La afectación generada en la situación jurídica de la persona involucrada en el proceso: Violación a sus derechos humanos.</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F54CB">
        <w:rPr>
          <w:rFonts w:ascii="Palatino Linotype" w:eastAsia="Palatino Linotype" w:hAnsi="Palatino Linotype" w:cs="Palatino Linotype"/>
        </w:rPr>
        <w:lastRenderedPageBreak/>
        <w:t>relación con la actuación del funcionario, como ha acontecido en el caso que nos ocupa.</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b/>
        </w:rPr>
      </w:pPr>
      <w:r w:rsidRPr="000F54CB">
        <w:rPr>
          <w:rFonts w:ascii="Palatino Linotype" w:eastAsia="Palatino Linotype" w:hAnsi="Palatino Linotype" w:cs="Palatino Linotype"/>
        </w:rPr>
        <w:t>Argumento que encuentra sustento en la jurisprudencia P</w:t>
      </w:r>
      <w:proofErr w:type="gramStart"/>
      <w:r w:rsidRPr="000F54CB">
        <w:rPr>
          <w:rFonts w:ascii="Palatino Linotype" w:eastAsia="Palatino Linotype" w:hAnsi="Palatino Linotype" w:cs="Palatino Linotype"/>
        </w:rPr>
        <w:t>./</w:t>
      </w:r>
      <w:proofErr w:type="gramEnd"/>
      <w:r w:rsidRPr="000F54CB">
        <w:rPr>
          <w:rFonts w:ascii="Palatino Linotype" w:eastAsia="Palatino Linotype" w:hAnsi="Palatino Linotype" w:cs="Palatino Linotype"/>
        </w:rPr>
        <w:t xml:space="preserve">J. 32/92 emitida por el Pleno de la Suprema Corte de Justicia de la Nación de rubro </w:t>
      </w:r>
      <w:r w:rsidRPr="000F54C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F54CB">
        <w:rPr>
          <w:rFonts w:ascii="Palatino Linotype" w:eastAsia="Palatino Linotype" w:hAnsi="Palatino Linotype" w:cs="Palatino Linotype"/>
        </w:rPr>
        <w:t>, visible en la Gaceta del Seminario Judicial de la Federación con el registro digital 205635.</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 </w:t>
      </w:r>
      <w:r w:rsidRPr="000F54CB">
        <w:rPr>
          <w:rFonts w:ascii="Palatino Linotype" w:eastAsia="Palatino Linotype" w:hAnsi="Palatino Linotype" w:cs="Palatino Linotype"/>
          <w:i/>
        </w:rPr>
        <w:t>“PLAZO RAZONABLE PARA RESOLVER. DIMENSIÓN Y EFECTOS DE ESTE CONCEPTO CUANDO SE ADUCE EXCESIVA CARGA DE TRABAJO.”</w:t>
      </w:r>
      <w:r w:rsidRPr="000F54CB">
        <w:rPr>
          <w:rFonts w:ascii="Palatino Linotype" w:eastAsia="Palatino Linotype" w:hAnsi="Palatino Linotype" w:cs="Palatino Linotype"/>
        </w:rPr>
        <w:t xml:space="preserve"> consultable en el Seminario Judicial de la Federación y su gaceta, con el registro digital 2002351.</w:t>
      </w:r>
    </w:p>
    <w:p w:rsidR="00F5580C" w:rsidRPr="000F54CB" w:rsidRDefault="00F5580C">
      <w:pPr>
        <w:spacing w:line="360" w:lineRule="auto"/>
        <w:jc w:val="both"/>
        <w:rPr>
          <w:rFonts w:ascii="Palatino Linotype" w:eastAsia="Palatino Linotype" w:hAnsi="Palatino Linotype" w:cs="Palatino Linotype"/>
          <w:b/>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i/>
        </w:rPr>
        <w:t>“PLAZO RAZONABLE PARA RESOLVER. CONCEPTO Y ELEMENTOS QUE LO INTEGRAN A LA LUZ DEL DERECHO INTERNACIONAL DE LOS DERECHOS HUMANOS.”</w:t>
      </w:r>
      <w:r w:rsidRPr="000F54CB">
        <w:rPr>
          <w:rFonts w:ascii="Palatino Linotype" w:eastAsia="Palatino Linotype" w:hAnsi="Palatino Linotype" w:cs="Palatino Linotype"/>
        </w:rPr>
        <w:t>, visible en el Seminario Judicial de la Federación y su gaceta, con el registro digital 2002350.</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8. Cierre de instrucción. </w:t>
      </w:r>
      <w:r w:rsidRPr="000F54C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F54CB">
        <w:rPr>
          <w:rFonts w:ascii="Palatino Linotype" w:eastAsia="Palatino Linotype" w:hAnsi="Palatino Linotype" w:cs="Palatino Linotype"/>
          <w:b/>
        </w:rPr>
        <w:t xml:space="preserve">diez de abril de dos mil veintidós, </w:t>
      </w:r>
      <w:r w:rsidRPr="000F54CB">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5580C" w:rsidRPr="000F54CB" w:rsidRDefault="00B318F5">
      <w:pPr>
        <w:widowControl w:val="0"/>
        <w:spacing w:line="360" w:lineRule="auto"/>
        <w:jc w:val="center"/>
        <w:rPr>
          <w:rFonts w:ascii="Palatino Linotype" w:eastAsia="Palatino Linotype" w:hAnsi="Palatino Linotype" w:cs="Palatino Linotype"/>
          <w:b/>
        </w:rPr>
      </w:pPr>
      <w:r w:rsidRPr="000F54CB">
        <w:rPr>
          <w:rFonts w:ascii="Palatino Linotype" w:eastAsia="Palatino Linotype" w:hAnsi="Palatino Linotype" w:cs="Palatino Linotype"/>
          <w:b/>
        </w:rPr>
        <w:lastRenderedPageBreak/>
        <w:t>II. C O N S I D E R A N D O S</w:t>
      </w:r>
    </w:p>
    <w:p w:rsidR="00F5580C" w:rsidRPr="000F54CB" w:rsidRDefault="00F5580C">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Primero. Competencia.</w:t>
      </w:r>
      <w:r w:rsidRPr="000F54C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5580C" w:rsidRPr="000F54CB" w:rsidRDefault="00B318F5">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0F54CB">
        <w:rPr>
          <w:rFonts w:ascii="Palatino Linotype" w:eastAsia="Palatino Linotype" w:hAnsi="Palatino Linotype" w:cs="Palatino Linotype"/>
          <w:b/>
        </w:rPr>
        <w:t xml:space="preserve">Segundo. Oportunidad y </w:t>
      </w:r>
      <w:proofErr w:type="spellStart"/>
      <w:r w:rsidRPr="000F54CB">
        <w:rPr>
          <w:rFonts w:ascii="Palatino Linotype" w:eastAsia="Palatino Linotype" w:hAnsi="Palatino Linotype" w:cs="Palatino Linotype"/>
          <w:b/>
        </w:rPr>
        <w:t>Procedibilidad</w:t>
      </w:r>
      <w:proofErr w:type="spellEnd"/>
      <w:r w:rsidRPr="000F54CB">
        <w:rPr>
          <w:rFonts w:ascii="Palatino Linotype" w:eastAsia="Palatino Linotype" w:hAnsi="Palatino Linotype" w:cs="Palatino Linotype"/>
          <w:b/>
        </w:rPr>
        <w:t xml:space="preserve"> del Recurso de Revisión. </w:t>
      </w:r>
      <w:r w:rsidRPr="000F54CB">
        <w:rPr>
          <w:rFonts w:ascii="Palatino Linotype" w:eastAsia="Palatino Linotype" w:hAnsi="Palatino Linotype" w:cs="Palatino Linotype"/>
        </w:rPr>
        <w:t xml:space="preserve">Previo al estudio del fondo del asunto, se procede a analizar los requisitos de oportunidad y </w:t>
      </w:r>
      <w:proofErr w:type="spellStart"/>
      <w:r w:rsidRPr="000F54CB">
        <w:rPr>
          <w:rFonts w:ascii="Palatino Linotype" w:eastAsia="Palatino Linotype" w:hAnsi="Palatino Linotype" w:cs="Palatino Linotype"/>
        </w:rPr>
        <w:t>procedibilidad</w:t>
      </w:r>
      <w:proofErr w:type="spellEnd"/>
      <w:r w:rsidRPr="000F54CB">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Al respecto la Ley de Transparencia y Acceso a la Información Pública del Estado de México y Municipios, establece lo siguiente:</w:t>
      </w:r>
    </w:p>
    <w:p w:rsidR="00F5580C" w:rsidRPr="000F54CB" w:rsidRDefault="00B318F5">
      <w:pPr>
        <w:ind w:left="851" w:right="900"/>
        <w:jc w:val="both"/>
        <w:rPr>
          <w:rFonts w:ascii="Palatino Linotype" w:eastAsia="Palatino Linotype" w:hAnsi="Palatino Linotype" w:cs="Palatino Linotype"/>
          <w:i/>
          <w:sz w:val="28"/>
          <w:szCs w:val="28"/>
        </w:rPr>
      </w:pPr>
      <w:r w:rsidRPr="000F54CB">
        <w:rPr>
          <w:rFonts w:ascii="Palatino Linotype" w:eastAsia="Palatino Linotype" w:hAnsi="Palatino Linotype" w:cs="Palatino Linotype"/>
          <w:b/>
          <w:i/>
          <w:sz w:val="22"/>
          <w:szCs w:val="22"/>
        </w:rPr>
        <w:t xml:space="preserve">“Artículo 178. </w:t>
      </w:r>
      <w:r w:rsidRPr="000F54C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remitió la respuesta a la solicitud de información el día </w:t>
      </w:r>
      <w:r w:rsidRPr="000F54CB">
        <w:rPr>
          <w:rFonts w:ascii="Palatino Linotype" w:eastAsia="Palatino Linotype" w:hAnsi="Palatino Linotype" w:cs="Palatino Linotype"/>
          <w:b/>
        </w:rPr>
        <w:t xml:space="preserve">veinte de diciembre de dos mil veintidós, </w:t>
      </w:r>
      <w:r w:rsidRPr="000F54CB">
        <w:rPr>
          <w:rFonts w:ascii="Palatino Linotype" w:eastAsia="Palatino Linotype" w:hAnsi="Palatino Linotype" w:cs="Palatino Linotype"/>
        </w:rPr>
        <w:t xml:space="preserve">mientras que el recurso de revisión interpuesto por la parte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se tuvo por presentado el día </w:t>
      </w:r>
      <w:r w:rsidRPr="000F54CB">
        <w:rPr>
          <w:rFonts w:ascii="Palatino Linotype" w:eastAsia="Palatino Linotype" w:hAnsi="Palatino Linotype" w:cs="Palatino Linotype"/>
          <w:b/>
        </w:rPr>
        <w:t>nueve de enero del año dos mil veintitrés</w:t>
      </w:r>
      <w:r w:rsidRPr="000F54CB">
        <w:rPr>
          <w:rFonts w:ascii="Palatino Linotype" w:eastAsia="Palatino Linotype" w:hAnsi="Palatino Linotype" w:cs="Palatino Linotype"/>
        </w:rPr>
        <w:t>; esto es, al segundo día hábil en que tuvo conocimiento de la respuesta impugnada, en términos del calendario oficial de este Organismo Garante para los años 2022 y 2023.</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Así también, por cuanto hace a la </w:t>
      </w:r>
      <w:proofErr w:type="spellStart"/>
      <w:r w:rsidRPr="000F54CB">
        <w:rPr>
          <w:rFonts w:ascii="Palatino Linotype" w:eastAsia="Palatino Linotype" w:hAnsi="Palatino Linotype" w:cs="Palatino Linotype"/>
        </w:rPr>
        <w:t>procedibilidad</w:t>
      </w:r>
      <w:proofErr w:type="spellEnd"/>
      <w:r w:rsidRPr="000F54CB">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rsidR="00F5580C" w:rsidRPr="000F54CB" w:rsidRDefault="00B318F5">
      <w:pPr>
        <w:ind w:left="1276" w:right="1752"/>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 xml:space="preserve">Artículo 179. </w:t>
      </w:r>
      <w:r w:rsidRPr="000F54CB">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0F54CB">
        <w:rPr>
          <w:rFonts w:ascii="Palatino Linotype" w:eastAsia="Palatino Linotype" w:hAnsi="Palatino Linotype" w:cs="Palatino Linotype"/>
          <w:i/>
        </w:rPr>
        <w:t>causas</w:t>
      </w:r>
      <w:r w:rsidRPr="000F54CB">
        <w:rPr>
          <w:rFonts w:ascii="Palatino Linotype" w:eastAsia="Palatino Linotype" w:hAnsi="Palatino Linotype" w:cs="Palatino Linotype"/>
          <w:i/>
          <w:sz w:val="22"/>
          <w:szCs w:val="22"/>
        </w:rPr>
        <w:t>:</w:t>
      </w:r>
    </w:p>
    <w:p w:rsidR="00F5580C" w:rsidRPr="000F54CB" w:rsidRDefault="00B318F5">
      <w:pPr>
        <w:ind w:left="1276" w:right="1752"/>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ind w:left="1276" w:right="1752"/>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lastRenderedPageBreak/>
        <w:t>V. La entrega de información incompleta…” (Sic)</w:t>
      </w:r>
    </w:p>
    <w:p w:rsidR="00F5580C" w:rsidRPr="000F54CB" w:rsidRDefault="00B318F5">
      <w:pPr>
        <w:spacing w:before="280" w:after="28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color w:val="000000"/>
        </w:rPr>
        <w:t>Tercero. Materia de Revisión</w:t>
      </w:r>
      <w:r w:rsidRPr="000F54CB">
        <w:rPr>
          <w:rFonts w:ascii="Palatino Linotype" w:eastAsia="Palatino Linotype" w:hAnsi="Palatino Linotype" w:cs="Palatino Linotype"/>
          <w:color w:val="000000"/>
        </w:rPr>
        <w:t xml:space="preserve">: </w:t>
      </w:r>
      <w:r w:rsidRPr="000F54CB">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0F54CB">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sidRPr="000F54CB">
        <w:rPr>
          <w:rFonts w:ascii="Palatino Linotype" w:eastAsia="Palatino Linotype" w:hAnsi="Palatino Linotype" w:cs="Palatino Linotype"/>
        </w:rPr>
        <w:t xml:space="preserve">del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o en su defecto, en caso de ser procedente, ordenar la entrega de información.</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Cuarto. Estudio de fondo del asunto. </w:t>
      </w:r>
      <w:r w:rsidRPr="000F54CB">
        <w:rPr>
          <w:rFonts w:ascii="Palatino Linotype" w:eastAsia="Palatino Linotype" w:hAnsi="Palatino Linotype" w:cs="Palatino Linotype"/>
        </w:rPr>
        <w:t xml:space="preserve">Es conveniente analizar si la respuesta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5580C" w:rsidRPr="000F54CB" w:rsidRDefault="00B318F5">
      <w:pPr>
        <w:spacing w:before="240"/>
        <w:ind w:left="709" w:right="76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4</w:t>
      </w:r>
      <w:r w:rsidRPr="000F54C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5580C" w:rsidRPr="000F54CB" w:rsidRDefault="00B318F5">
      <w:pPr>
        <w:ind w:left="709" w:right="76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F54CB">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0F54CB">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F5580C" w:rsidRPr="000F54CB" w:rsidRDefault="00B318F5">
      <w:pPr>
        <w:ind w:left="709" w:right="76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F54CB">
        <w:rPr>
          <w:rFonts w:ascii="Palatino Linotype" w:eastAsia="Palatino Linotype" w:hAnsi="Palatino Linotype" w:cs="Palatino Linotype"/>
          <w:i/>
          <w:sz w:val="22"/>
          <w:szCs w:val="22"/>
        </w:rPr>
        <w:t>.”(Sic)</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ind w:left="567" w:right="75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“Artículo 12.-</w:t>
      </w:r>
      <w:r w:rsidRPr="000F54C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5580C" w:rsidRPr="000F54CB" w:rsidRDefault="00F5580C">
      <w:pPr>
        <w:ind w:left="567" w:right="758"/>
        <w:jc w:val="both"/>
        <w:rPr>
          <w:rFonts w:ascii="Palatino Linotype" w:eastAsia="Palatino Linotype" w:hAnsi="Palatino Linotype" w:cs="Palatino Linotype"/>
          <w:i/>
          <w:sz w:val="22"/>
          <w:szCs w:val="22"/>
        </w:rPr>
      </w:pPr>
    </w:p>
    <w:p w:rsidR="00F5580C" w:rsidRPr="000F54CB" w:rsidRDefault="00B318F5">
      <w:pPr>
        <w:ind w:left="567" w:right="75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F54CB">
        <w:rPr>
          <w:rFonts w:ascii="Palatino Linotype" w:eastAsia="Palatino Linotype" w:hAnsi="Palatino Linotype" w:cs="Palatino Linotype"/>
          <w:i/>
          <w:sz w:val="22"/>
          <w:szCs w:val="22"/>
        </w:rPr>
        <w:t xml:space="preserve">. </w:t>
      </w:r>
      <w:r w:rsidRPr="000F54C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F5580C" w:rsidRPr="000F54CB" w:rsidRDefault="00F5580C">
      <w:pPr>
        <w:spacing w:line="360" w:lineRule="auto"/>
        <w:ind w:right="-93"/>
        <w:jc w:val="both"/>
        <w:rPr>
          <w:rFonts w:ascii="Palatino Linotype" w:eastAsia="Palatino Linotype" w:hAnsi="Palatino Linotype" w:cs="Palatino Linotype"/>
          <w:color w:val="000000"/>
        </w:rPr>
      </w:pPr>
    </w:p>
    <w:p w:rsidR="00F5580C" w:rsidRPr="000F54CB" w:rsidRDefault="00B318F5">
      <w:pPr>
        <w:spacing w:line="360" w:lineRule="auto"/>
        <w:ind w:right="-93"/>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0F54CB">
        <w:rPr>
          <w:rFonts w:ascii="Palatino Linotype" w:eastAsia="Palatino Linotype" w:hAnsi="Palatino Linotype" w:cs="Palatino Linotype"/>
        </w:rPr>
        <w:t>sólo</w:t>
      </w:r>
      <w:r w:rsidRPr="000F54CB">
        <w:rPr>
          <w:rFonts w:ascii="Palatino Linotype" w:eastAsia="Palatino Linotype" w:hAnsi="Palatino Linotype" w:cs="Palatino Linotype"/>
          <w:color w:val="000000"/>
        </w:rPr>
        <w:t xml:space="preserve"> se </w:t>
      </w:r>
      <w:r w:rsidRPr="000F54CB">
        <w:rPr>
          <w:rFonts w:ascii="Palatino Linotype" w:eastAsia="Palatino Linotype" w:hAnsi="Palatino Linotype" w:cs="Palatino Linotype"/>
        </w:rPr>
        <w:t>concretarán</w:t>
      </w:r>
      <w:r w:rsidRPr="000F54CB">
        <w:rPr>
          <w:rFonts w:ascii="Palatino Linotype" w:eastAsia="Palatino Linotype" w:hAnsi="Palatino Linotype" w:cs="Palatino Linotype"/>
          <w:color w:val="000000"/>
        </w:rPr>
        <w:t xml:space="preserve"> a proporcionar la información </w:t>
      </w:r>
      <w:r w:rsidRPr="000F54CB">
        <w:rPr>
          <w:rFonts w:ascii="Palatino Linotype" w:eastAsia="Palatino Linotype" w:hAnsi="Palatino Linotype" w:cs="Palatino Linotype"/>
          <w:color w:val="000000"/>
        </w:rPr>
        <w:lastRenderedPageBreak/>
        <w:t>solicitada que tengan en su poder en el estado que se encuentran, sin necesidad de concretarse al interés o términos específicos del solicitante.</w:t>
      </w:r>
    </w:p>
    <w:p w:rsidR="00F5580C" w:rsidRPr="000F54CB" w:rsidRDefault="00F5580C">
      <w:pPr>
        <w:spacing w:line="360" w:lineRule="auto"/>
        <w:ind w:right="-93"/>
        <w:jc w:val="both"/>
        <w:rPr>
          <w:rFonts w:ascii="Palatino Linotype" w:eastAsia="Palatino Linotype" w:hAnsi="Palatino Linotype" w:cs="Palatino Linotype"/>
          <w:color w:val="000000"/>
        </w:rPr>
      </w:pPr>
    </w:p>
    <w:p w:rsidR="00F5580C" w:rsidRPr="000F54CB" w:rsidRDefault="00B318F5">
      <w:pPr>
        <w:spacing w:line="360" w:lineRule="auto"/>
        <w:jc w:val="both"/>
        <w:rPr>
          <w:rFonts w:ascii="Palatino Linotype" w:eastAsia="Palatino Linotype" w:hAnsi="Palatino Linotype" w:cs="Palatino Linotype"/>
          <w:b/>
          <w:color w:val="000000"/>
        </w:rPr>
      </w:pPr>
      <w:r w:rsidRPr="000F54CB">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0F54CB">
        <w:rPr>
          <w:rFonts w:ascii="Palatino Linotype" w:eastAsia="Palatino Linotype" w:hAnsi="Palatino Linotype" w:cs="Palatino Linotype"/>
          <w:b/>
          <w:color w:val="000000"/>
        </w:rPr>
        <w:t xml:space="preserve"> </w:t>
      </w:r>
    </w:p>
    <w:p w:rsidR="00F5580C" w:rsidRPr="000F54CB" w:rsidRDefault="00F5580C">
      <w:pPr>
        <w:ind w:left="851" w:right="850"/>
        <w:jc w:val="both"/>
        <w:rPr>
          <w:rFonts w:ascii="Palatino Linotype" w:eastAsia="Palatino Linotype" w:hAnsi="Palatino Linotype" w:cs="Palatino Linotype"/>
          <w:color w:val="000000"/>
        </w:rPr>
      </w:pPr>
    </w:p>
    <w:p w:rsidR="00F5580C" w:rsidRPr="000F54CB" w:rsidRDefault="00B318F5">
      <w:pPr>
        <w:ind w:left="851" w:right="901"/>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w:t>
      </w:r>
      <w:r w:rsidRPr="000F54CB">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0F54CB">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5580C" w:rsidRPr="000F54CB" w:rsidRDefault="00B318F5">
      <w:pPr>
        <w:ind w:left="851" w:right="901"/>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Resoluciones: </w:t>
      </w:r>
    </w:p>
    <w:p w:rsidR="00F5580C" w:rsidRPr="000F54CB" w:rsidRDefault="00B318F5">
      <w:pPr>
        <w:ind w:left="851" w:right="901"/>
        <w:jc w:val="both"/>
        <w:rPr>
          <w:rFonts w:ascii="Palatino Linotype" w:eastAsia="Palatino Linotype" w:hAnsi="Palatino Linotype" w:cs="Palatino Linotype"/>
          <w:i/>
          <w:color w:val="000000"/>
          <w:sz w:val="22"/>
          <w:szCs w:val="22"/>
        </w:rPr>
      </w:pPr>
      <w:r w:rsidRPr="000F54CB">
        <w:rPr>
          <w:rFonts w:ascii="Noto Sans Symbols" w:eastAsia="Noto Sans Symbols" w:hAnsi="Noto Sans Symbols" w:cs="Noto Sans Symbols"/>
          <w:i/>
          <w:color w:val="000000"/>
          <w:sz w:val="22"/>
          <w:szCs w:val="22"/>
        </w:rPr>
        <w:t>∙</w:t>
      </w:r>
      <w:r w:rsidRPr="000F54CB">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5580C" w:rsidRPr="000F54CB" w:rsidRDefault="00B318F5">
      <w:pPr>
        <w:ind w:left="851" w:right="901"/>
        <w:jc w:val="both"/>
        <w:rPr>
          <w:rFonts w:ascii="Palatino Linotype" w:eastAsia="Palatino Linotype" w:hAnsi="Palatino Linotype" w:cs="Palatino Linotype"/>
          <w:i/>
          <w:color w:val="000000"/>
          <w:sz w:val="22"/>
          <w:szCs w:val="22"/>
        </w:rPr>
      </w:pPr>
      <w:r w:rsidRPr="000F54CB">
        <w:rPr>
          <w:rFonts w:ascii="Noto Sans Symbols" w:eastAsia="Noto Sans Symbols" w:hAnsi="Noto Sans Symbols" w:cs="Noto Sans Symbols"/>
          <w:i/>
          <w:color w:val="000000"/>
          <w:sz w:val="22"/>
          <w:szCs w:val="22"/>
        </w:rPr>
        <w:t>∙</w:t>
      </w:r>
      <w:r w:rsidRPr="000F54CB">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F5580C" w:rsidRPr="000F54CB" w:rsidRDefault="00B318F5">
      <w:pPr>
        <w:ind w:left="851" w:right="901"/>
        <w:jc w:val="both"/>
        <w:rPr>
          <w:rFonts w:ascii="Palatino Linotype" w:eastAsia="Palatino Linotype" w:hAnsi="Palatino Linotype" w:cs="Palatino Linotype"/>
          <w:i/>
          <w:color w:val="000000"/>
          <w:sz w:val="22"/>
          <w:szCs w:val="22"/>
        </w:rPr>
      </w:pPr>
      <w:r w:rsidRPr="000F54CB">
        <w:rPr>
          <w:rFonts w:ascii="Noto Sans Symbols" w:eastAsia="Noto Sans Symbols" w:hAnsi="Noto Sans Symbols" w:cs="Noto Sans Symbols"/>
          <w:i/>
          <w:color w:val="000000"/>
          <w:sz w:val="22"/>
          <w:szCs w:val="22"/>
        </w:rPr>
        <w:t>∙</w:t>
      </w:r>
      <w:r w:rsidRPr="000F54CB">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F5580C" w:rsidRPr="000F54CB" w:rsidRDefault="00F5580C">
      <w:pPr>
        <w:spacing w:line="360" w:lineRule="auto"/>
        <w:ind w:right="-93"/>
        <w:jc w:val="both"/>
        <w:rPr>
          <w:rFonts w:ascii="Palatino Linotype" w:eastAsia="Palatino Linotype" w:hAnsi="Palatino Linotype" w:cs="Palatino Linotype"/>
          <w:color w:val="000000"/>
        </w:rPr>
      </w:pPr>
    </w:p>
    <w:p w:rsidR="00F5580C" w:rsidRPr="000F54CB" w:rsidRDefault="00B318F5">
      <w:pPr>
        <w:spacing w:line="360" w:lineRule="auto"/>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rPr>
        <w:t xml:space="preserve">En esa tesitura, el artículo 24 en su último párrafo de la Ley de la Materia, dispone que los Sujetos Obligados </w:t>
      </w:r>
      <w:r w:rsidRPr="000F54CB">
        <w:rPr>
          <w:rFonts w:ascii="Palatino Linotype" w:eastAsia="Palatino Linotype" w:hAnsi="Palatino Linotype" w:cs="Palatino Linotype"/>
          <w:color w:val="000000"/>
        </w:rPr>
        <w:t xml:space="preserve">sólo proporcionarán la información pública que </w:t>
      </w:r>
      <w:r w:rsidRPr="000F54CB">
        <w:rPr>
          <w:rFonts w:ascii="Palatino Linotype" w:eastAsia="Palatino Linotype" w:hAnsi="Palatino Linotype" w:cs="Palatino Linotype"/>
        </w:rPr>
        <w:t>generen</w:t>
      </w:r>
      <w:r w:rsidRPr="000F54CB">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5580C" w:rsidRPr="000F54CB" w:rsidRDefault="00F5580C">
      <w:pPr>
        <w:spacing w:line="360" w:lineRule="auto"/>
        <w:ind w:right="49"/>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5580C" w:rsidRPr="000F54CB" w:rsidRDefault="00F5580C">
      <w:pPr>
        <w:ind w:left="851" w:right="899"/>
        <w:jc w:val="both"/>
        <w:rPr>
          <w:rFonts w:ascii="Palatino Linotype" w:eastAsia="Palatino Linotype" w:hAnsi="Palatino Linotype" w:cs="Palatino Linotype"/>
          <w:i/>
          <w:sz w:val="22"/>
          <w:szCs w:val="22"/>
        </w:rPr>
      </w:pP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 xml:space="preserve">Artículo 3. </w:t>
      </w:r>
      <w:r w:rsidRPr="000F54CB">
        <w:rPr>
          <w:rFonts w:ascii="Palatino Linotype" w:eastAsia="Palatino Linotype" w:hAnsi="Palatino Linotype" w:cs="Palatino Linotype"/>
          <w:i/>
          <w:sz w:val="22"/>
          <w:szCs w:val="22"/>
        </w:rPr>
        <w:t>Para los efectos de la presente Ley se entenderá por:</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ind w:left="851" w:right="899"/>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b/>
          <w:i/>
          <w:color w:val="000000"/>
          <w:sz w:val="22"/>
          <w:szCs w:val="22"/>
        </w:rPr>
        <w:t>XI. Documento:</w:t>
      </w:r>
      <w:r w:rsidRPr="000F54CB">
        <w:rPr>
          <w:rFonts w:ascii="Palatino Linotype" w:eastAsia="Palatino Linotype" w:hAnsi="Palatino Linotype" w:cs="Palatino Linotype"/>
          <w:i/>
          <w:color w:val="000000"/>
          <w:sz w:val="22"/>
          <w:szCs w:val="22"/>
        </w:rPr>
        <w:t xml:space="preserve"> Los expedientes, reportes, estudios, actas</w:t>
      </w:r>
      <w:r w:rsidRPr="000F54CB">
        <w:rPr>
          <w:rFonts w:ascii="Palatino Linotype" w:eastAsia="Palatino Linotype" w:hAnsi="Palatino Linotype" w:cs="Palatino Linotype"/>
          <w:b/>
          <w:i/>
          <w:color w:val="000000"/>
          <w:sz w:val="22"/>
          <w:szCs w:val="22"/>
        </w:rPr>
        <w:t>,</w:t>
      </w:r>
      <w:r w:rsidRPr="000F54CB">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5580C" w:rsidRPr="000F54CB" w:rsidRDefault="00F5580C">
      <w:pPr>
        <w:ind w:left="851" w:right="899"/>
        <w:jc w:val="both"/>
        <w:rPr>
          <w:rFonts w:ascii="Palatino Linotype" w:eastAsia="Palatino Linotype" w:hAnsi="Palatino Linotype" w:cs="Palatino Linotype"/>
          <w:sz w:val="22"/>
          <w:szCs w:val="22"/>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5580C" w:rsidRPr="000F54CB" w:rsidRDefault="00F5580C">
      <w:pPr>
        <w:ind w:left="851" w:right="899"/>
        <w:jc w:val="both"/>
        <w:rPr>
          <w:rFonts w:ascii="Palatino Linotype" w:eastAsia="Palatino Linotype" w:hAnsi="Palatino Linotype" w:cs="Palatino Linotype"/>
        </w:rPr>
      </w:pPr>
    </w:p>
    <w:p w:rsidR="00F5580C" w:rsidRPr="000F54CB" w:rsidRDefault="00B318F5">
      <w:pPr>
        <w:ind w:left="851" w:right="899"/>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sz w:val="22"/>
          <w:szCs w:val="22"/>
        </w:rPr>
        <w:t>“</w:t>
      </w:r>
      <w:r w:rsidRPr="000F54CB">
        <w:rPr>
          <w:rFonts w:ascii="Palatino Linotype" w:eastAsia="Palatino Linotype" w:hAnsi="Palatino Linotype" w:cs="Palatino Linotype"/>
          <w:b/>
          <w:i/>
          <w:sz w:val="22"/>
          <w:szCs w:val="22"/>
        </w:rPr>
        <w:t>CRITERIO 0002-11</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F54C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5580C" w:rsidRPr="000F54CB" w:rsidRDefault="00B318F5">
      <w:pPr>
        <w:ind w:left="851" w:right="899"/>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5580C" w:rsidRPr="000F54CB" w:rsidRDefault="00B318F5">
      <w:pPr>
        <w:ind w:left="851" w:right="899"/>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Toluca, lo siguiente:</w:t>
      </w:r>
    </w:p>
    <w:p w:rsidR="00F5580C" w:rsidRPr="000F54CB" w:rsidRDefault="00F5580C">
      <w:pPr>
        <w:spacing w:after="240" w:line="360" w:lineRule="auto"/>
        <w:jc w:val="both"/>
        <w:rPr>
          <w:rFonts w:ascii="Palatino Linotype" w:eastAsia="Palatino Linotype" w:hAnsi="Palatino Linotype" w:cs="Palatino Linotype"/>
        </w:rPr>
      </w:pPr>
    </w:p>
    <w:p w:rsidR="00F5580C" w:rsidRPr="000F54CB" w:rsidRDefault="00B318F5">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color w:val="000000"/>
        </w:rPr>
        <w:t xml:space="preserve">TODAS LAS CERTIFICACIONES VIGENTES DE LOS TITULARES OBLIGADOS POR LA LEY. (OBRA PÚBLICA, CONTRALORIA, MEDIO </w:t>
      </w:r>
      <w:r w:rsidRPr="000F54CB">
        <w:rPr>
          <w:rFonts w:ascii="Palatino Linotype" w:eastAsia="Palatino Linotype" w:hAnsi="Palatino Linotype" w:cs="Palatino Linotype"/>
          <w:color w:val="000000"/>
        </w:rPr>
        <w:lastRenderedPageBreak/>
        <w:t>AMBIENTE, TRANSPARENCIA, TESORERIA, SECRETARIA DEL AYUNTAMIENTO, TITULAR DEL IMCUFIDET, CONTRALOR DE IMCUFIDET, DERECHOS HUMANOS)</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En respuesta la Dirección de Administración hizo entrega de las certificaciones de Coordinadora de Administración y Finanzas del Instituto Municipal de Cultura Física y Deporte de Toluca, Titular de Bienestar Social, Titular de la Contraloría Municipal, Titular de la dirección de Desarrollo Económico, Titular de la Dirección de Cultura y Turismo, Titular de la Dirección de Obra Pública, Titular de la Dirección de Desarrollo Urbano y Obra Pública, Titular de la Dirección de Medio Ambiente, Titular de la Secretaria del Ayuntamiento, Titular de la Tesorería Municipal, Titular de la Unidad de Transparencia (en derecho de protección de datos personales) y un diploma del Titular de la Mejora Regulatoria,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Respecto del  Instituto Municipal de Cultura Física y Deporte de Toluca, señaló que se remitía dos certificaciones correspondientes a la Coordinadora de Administración y Finanzas y de la Contraloría Interna de dicho Instituto,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B318F5">
      <w:pPr>
        <w:spacing w:before="240" w:line="360" w:lineRule="auto"/>
        <w:ind w:right="49"/>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color w:val="000000"/>
        </w:rPr>
        <w:t xml:space="preserve">Sin embargo el particular de sus motivos de inconformidad se advierte que se quejó porque la información es incompleta, al no entregarle la certificación de la Titular </w:t>
      </w:r>
      <w:r w:rsidRPr="000F54CB">
        <w:rPr>
          <w:rFonts w:ascii="Palatino Linotype" w:eastAsia="Palatino Linotype" w:hAnsi="Palatino Linotype" w:cs="Palatino Linotype"/>
          <w:color w:val="000000"/>
        </w:rPr>
        <w:lastRenderedPageBreak/>
        <w:t>de la Unidad de Transparencia, (me entregó una que no está obligada a hacer) entre otras.</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color w:val="000000"/>
        </w:rPr>
        <w:t xml:space="preserve">Mediante informe justificado el </w:t>
      </w:r>
      <w:r w:rsidRPr="000F54CB">
        <w:rPr>
          <w:rFonts w:ascii="Palatino Linotype" w:eastAsia="Palatino Linotype" w:hAnsi="Palatino Linotype" w:cs="Palatino Linotype"/>
          <w:b/>
          <w:color w:val="000000"/>
        </w:rPr>
        <w:t>SUJETO OBLIGADO</w:t>
      </w:r>
      <w:r w:rsidRPr="000F54CB">
        <w:rPr>
          <w:rFonts w:ascii="Palatino Linotype" w:eastAsia="Palatino Linotype" w:hAnsi="Palatino Linotype" w:cs="Palatino Linotype"/>
          <w:color w:val="000000"/>
        </w:rPr>
        <w:t>, hizo entrega de la certificación de competencia laboral de la Titular de la Unidad de Transparencia en derecho de acceso a la información pública.</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color w:val="000000"/>
        </w:rPr>
        <w:t>En virtud de lo anterior</w:t>
      </w:r>
      <w:r w:rsidRPr="000F54CB">
        <w:rPr>
          <w:rFonts w:ascii="Palatino Linotype" w:eastAsia="Palatino Linotype" w:hAnsi="Palatino Linotype" w:cs="Palatino Linotype"/>
        </w:rPr>
        <w:t xml:space="preserve">, se determina que la información emitida por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en su respuesta como informe justificado, cumple parcialmente con lo establecido por los artículos 4, 12, 24 último párrafo y 162 de la Ley de Transparencia y Acceso a la Información Pública del Estado de México y Municipios; de ahí que, los motivos de inconformidad acontecen fundados para modificar la respuesta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en razón de las consideraciones de derecho que a continuación se exponen:</w:t>
      </w:r>
    </w:p>
    <w:p w:rsidR="00F5580C" w:rsidRPr="000F54CB" w:rsidRDefault="000B525B">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De la revisión a la solicitud de acceso a la información pública, si bien es cierto que la particular requirió las certificaciones vigentes de los titulares obligados por la ley, lo cierto es que </w:t>
      </w:r>
      <w:r w:rsidR="005F48AA" w:rsidRPr="000F54CB">
        <w:rPr>
          <w:rFonts w:ascii="Palatino Linotype" w:eastAsia="Palatino Linotype" w:hAnsi="Palatino Linotype" w:cs="Palatino Linotype"/>
        </w:rPr>
        <w:t>especificó</w:t>
      </w:r>
      <w:r w:rsidRPr="000F54CB">
        <w:rPr>
          <w:rFonts w:ascii="Palatino Linotype" w:eastAsia="Palatino Linotype" w:hAnsi="Palatino Linotype" w:cs="Palatino Linotype"/>
        </w:rPr>
        <w:t xml:space="preserve"> de cuales titulare</w:t>
      </w:r>
      <w:r w:rsidR="005F48AA" w:rsidRPr="000F54CB">
        <w:rPr>
          <w:rFonts w:ascii="Palatino Linotype" w:eastAsia="Palatino Linotype" w:hAnsi="Palatino Linotype" w:cs="Palatino Linotype"/>
        </w:rPr>
        <w:t xml:space="preserve">s requería dicha certificación esto es de los titulares de </w:t>
      </w:r>
      <w:r w:rsidRPr="000F54CB">
        <w:rPr>
          <w:rFonts w:ascii="Palatino Linotype" w:eastAsia="Palatino Linotype" w:hAnsi="Palatino Linotype" w:cs="Palatino Linotype"/>
        </w:rPr>
        <w:t>Obra Pública, Contraloría, Medio Ambiente, Transparencia, Tesorería, Secretaria del Ayuntamiento, Titular del IMCUFIDET, Contralor de IMCUFIDET y Derechos Humanos, acotado lo anterior, p</w:t>
      </w:r>
      <w:r w:rsidR="00B318F5" w:rsidRPr="000F54CB">
        <w:rPr>
          <w:rFonts w:ascii="Palatino Linotype" w:eastAsia="Palatino Linotype" w:hAnsi="Palatino Linotype" w:cs="Palatino Linotype"/>
        </w:rPr>
        <w:t>ara esclarecer el presente asunto se procede hacer un cuadro comparativo de la información requerida con la entregada en respuesta como informe justificado, para determinar si colma o no el derecho de acceso a la información pública de la particular:</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Certificaciones de Competencia Laboral</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Respuesta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Informe justificado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Colma </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lastRenderedPageBreak/>
              <w:t>Obra Pública</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Entregó la certificación del Director de Obra Pública y Directora de Desarrollo Urbano y Obra Pública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Contraloría</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Entregó la certificación del Contralor Municipal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Medio Ambiente</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Entregó la certificación del Titular del Medio Ambiente</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F5580C">
            <w:pPr>
              <w:jc w:val="both"/>
              <w:rPr>
                <w:rFonts w:ascii="Palatino Linotype" w:eastAsia="Palatino Linotype" w:hAnsi="Palatino Linotype" w:cs="Palatino Linotype"/>
                <w:sz w:val="16"/>
                <w:szCs w:val="16"/>
              </w:rPr>
            </w:pP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Transparencia</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Entregó la certificación de la Titular de la Unidad de Transparencia en derecho de protección de datos personales.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Entregó la certificación de la Titular de la Unidad de Transparencia en derecho de acceso a la información pública.</w:t>
            </w:r>
          </w:p>
        </w:tc>
        <w:tc>
          <w:tcPr>
            <w:tcW w:w="2207" w:type="dxa"/>
          </w:tcPr>
          <w:p w:rsidR="00F5580C" w:rsidRPr="000F54CB" w:rsidRDefault="00B318F5">
            <w:pPr>
              <w:jc w:val="both"/>
              <w:rPr>
                <w:rFonts w:ascii="Palatino Linotype" w:eastAsia="Palatino Linotype" w:hAnsi="Palatino Linotype" w:cs="Palatino Linotype"/>
                <w:sz w:val="14"/>
                <w:szCs w:val="14"/>
              </w:rPr>
            </w:pPr>
            <w:r w:rsidRPr="000F54CB">
              <w:rPr>
                <w:rFonts w:ascii="Palatino Linotype" w:eastAsia="Palatino Linotype" w:hAnsi="Palatino Linotype" w:cs="Palatino Linotype"/>
                <w:sz w:val="14"/>
                <w:szCs w:val="14"/>
              </w:rPr>
              <w:t>Sí</w:t>
            </w:r>
          </w:p>
          <w:p w:rsidR="00F5580C" w:rsidRPr="000F54CB" w:rsidRDefault="00F5580C">
            <w:pPr>
              <w:jc w:val="both"/>
              <w:rPr>
                <w:rFonts w:ascii="Palatino Linotype" w:eastAsia="Palatino Linotype" w:hAnsi="Palatino Linotype" w:cs="Palatino Linotype"/>
                <w:sz w:val="14"/>
                <w:szCs w:val="14"/>
              </w:rPr>
            </w:pPr>
          </w:p>
          <w:p w:rsidR="00F5580C" w:rsidRPr="000F54CB" w:rsidRDefault="00B318F5">
            <w:pPr>
              <w:jc w:val="both"/>
              <w:rPr>
                <w:rFonts w:ascii="Palatino Linotype" w:eastAsia="Palatino Linotype" w:hAnsi="Palatino Linotype" w:cs="Palatino Linotype"/>
                <w:sz w:val="14"/>
                <w:szCs w:val="14"/>
              </w:rPr>
            </w:pPr>
            <w:r w:rsidRPr="000F54CB">
              <w:rPr>
                <w:rFonts w:ascii="Palatino Linotype" w:eastAsia="Palatino Linotype" w:hAnsi="Palatino Linotype" w:cs="Palatino Linotype"/>
                <w:sz w:val="14"/>
                <w:szCs w:val="14"/>
              </w:rPr>
              <w:t>La certificación en derecho de protección de datos personales, actos consentidos</w:t>
            </w:r>
          </w:p>
          <w:p w:rsidR="00F5580C" w:rsidRPr="000F54CB" w:rsidRDefault="00F5580C">
            <w:pPr>
              <w:jc w:val="both"/>
              <w:rPr>
                <w:rFonts w:ascii="Palatino Linotype" w:eastAsia="Palatino Linotype" w:hAnsi="Palatino Linotype" w:cs="Palatino Linotype"/>
                <w:sz w:val="14"/>
                <w:szCs w:val="14"/>
              </w:rPr>
            </w:pPr>
          </w:p>
          <w:p w:rsidR="00F5580C" w:rsidRPr="000F54CB" w:rsidRDefault="00B318F5">
            <w:pPr>
              <w:jc w:val="both"/>
              <w:rPr>
                <w:rFonts w:ascii="Palatino Linotype" w:eastAsia="Palatino Linotype" w:hAnsi="Palatino Linotype" w:cs="Palatino Linotype"/>
                <w:sz w:val="14"/>
                <w:szCs w:val="14"/>
              </w:rPr>
            </w:pPr>
            <w:r w:rsidRPr="000F54CB">
              <w:rPr>
                <w:rFonts w:ascii="Palatino Linotype" w:eastAsia="Palatino Linotype" w:hAnsi="Palatino Linotype" w:cs="Palatino Linotype"/>
                <w:sz w:val="14"/>
                <w:szCs w:val="14"/>
              </w:rPr>
              <w:t>La certificación en derecho de acceso a la información pública, se tiene por colmando ya que la entregó en versión pública, a través del acuerdo número AT/CT/01/2022, aprobado en la septingentésima septuagésima sexta sesión extraordinaria del Comité de Transparencia del Ayuntamiento de Toluca de fecha 13 de diciembre del año 2022</w:t>
            </w:r>
          </w:p>
          <w:p w:rsidR="00F5580C" w:rsidRPr="000F54CB" w:rsidRDefault="00F5580C">
            <w:pPr>
              <w:jc w:val="both"/>
              <w:rPr>
                <w:rFonts w:ascii="Palatino Linotype" w:eastAsia="Palatino Linotype" w:hAnsi="Palatino Linotype" w:cs="Palatino Linotype"/>
                <w:sz w:val="14"/>
                <w:szCs w:val="14"/>
              </w:rPr>
            </w:pP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Tesorería</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Entregó la certificación del Tesorero Municipal.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Secretaria Del Ayuntamiento.</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Entregó la certificación del Secretaría del Ayuntamiento</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Titular Del IMCUFIDET.</w:t>
            </w:r>
          </w:p>
        </w:tc>
        <w:tc>
          <w:tcPr>
            <w:tcW w:w="2207" w:type="dxa"/>
          </w:tcPr>
          <w:p w:rsidR="00F5580C" w:rsidRPr="000F54CB" w:rsidRDefault="00B318F5">
            <w:pPr>
              <w:spacing w:before="240"/>
              <w:ind w:right="49"/>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En respuesta señaló que entregaba dos certificaciones correspondientes a la Coordinadora de Administración y Finanzas y de la Contraloría Interna Instituto Municipal de Cultura Física y Deporte de Toluca,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F5580C">
            <w:pPr>
              <w:ind w:right="49"/>
              <w:jc w:val="both"/>
              <w:rPr>
                <w:rFonts w:ascii="Palatino Linotype" w:eastAsia="Palatino Linotype" w:hAnsi="Palatino Linotype" w:cs="Palatino Linotype"/>
                <w:sz w:val="16"/>
                <w:szCs w:val="16"/>
              </w:rPr>
            </w:pPr>
          </w:p>
          <w:p w:rsidR="00F5580C" w:rsidRPr="000F54CB" w:rsidRDefault="00B318F5">
            <w:pPr>
              <w:ind w:right="49"/>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Sin embargo, sólo adjunto de la Coordinadora de </w:t>
            </w:r>
            <w:r w:rsidRPr="000F54CB">
              <w:rPr>
                <w:rFonts w:ascii="Palatino Linotype" w:eastAsia="Palatino Linotype" w:hAnsi="Palatino Linotype" w:cs="Palatino Linotype"/>
                <w:sz w:val="16"/>
                <w:szCs w:val="16"/>
              </w:rPr>
              <w:lastRenderedPageBreak/>
              <w:t>Administración y Finanzas y Contraloría Interna, de la primera no se solicitó.</w:t>
            </w:r>
          </w:p>
          <w:p w:rsidR="00F5580C" w:rsidRPr="000F54CB" w:rsidRDefault="00F5580C">
            <w:pPr>
              <w:jc w:val="both"/>
              <w:rPr>
                <w:rFonts w:ascii="Palatino Linotype" w:eastAsia="Palatino Linotype" w:hAnsi="Palatino Linotype" w:cs="Palatino Linotype"/>
                <w:sz w:val="16"/>
                <w:szCs w:val="16"/>
              </w:rPr>
            </w:pP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lastRenderedPageBreak/>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w:t>
            </w:r>
          </w:p>
          <w:p w:rsidR="00F5580C" w:rsidRPr="000F54CB" w:rsidRDefault="00F5580C">
            <w:pPr>
              <w:jc w:val="both"/>
              <w:rPr>
                <w:rFonts w:ascii="Palatino Linotype" w:eastAsia="Palatino Linotype" w:hAnsi="Palatino Linotype" w:cs="Palatino Linotype"/>
                <w:sz w:val="16"/>
                <w:szCs w:val="16"/>
              </w:rPr>
            </w:pP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lastRenderedPageBreak/>
              <w:t>Contralor de IMCUFIDET.</w:t>
            </w:r>
          </w:p>
        </w:tc>
        <w:tc>
          <w:tcPr>
            <w:tcW w:w="2207" w:type="dxa"/>
          </w:tcPr>
          <w:p w:rsidR="00F5580C" w:rsidRPr="000F54CB" w:rsidRDefault="00B318F5">
            <w:pPr>
              <w:spacing w:before="240"/>
              <w:ind w:right="49"/>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En respuesta entregó la certificación de la Contralora Interna del Instituto Municipal de Cultura Física, en versión pública conforme al acuerdo número AT/CT/01/2022, aprobado en la septingentésima septuagésima sexta sesión extraordinaria del Comité de Transparencia del Ayuntamiento de Toluca de fecha 13 de diciembre del año 2022.</w:t>
            </w:r>
          </w:p>
          <w:p w:rsidR="00F5580C" w:rsidRPr="000F54CB" w:rsidRDefault="00F5580C">
            <w:pPr>
              <w:jc w:val="both"/>
              <w:rPr>
                <w:rFonts w:ascii="Palatino Linotype" w:eastAsia="Palatino Linotype" w:hAnsi="Palatino Linotype" w:cs="Palatino Linotype"/>
                <w:sz w:val="16"/>
                <w:szCs w:val="16"/>
              </w:rPr>
            </w:pPr>
          </w:p>
          <w:p w:rsidR="00F5580C" w:rsidRPr="000F54CB" w:rsidRDefault="00F5580C">
            <w:pPr>
              <w:jc w:val="both"/>
              <w:rPr>
                <w:rFonts w:ascii="Palatino Linotype" w:eastAsia="Palatino Linotype" w:hAnsi="Palatino Linotype" w:cs="Palatino Linotype"/>
                <w:sz w:val="16"/>
                <w:szCs w:val="16"/>
              </w:rPr>
            </w:pP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Sí </w:t>
            </w:r>
          </w:p>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Actos consentidos</w:t>
            </w:r>
          </w:p>
        </w:tc>
      </w:tr>
      <w:tr w:rsidR="00F5580C" w:rsidRPr="000F54CB">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Derechos Humanos</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 xml:space="preserve">No se pronunció </w:t>
            </w:r>
          </w:p>
        </w:tc>
        <w:tc>
          <w:tcPr>
            <w:tcW w:w="2207" w:type="dxa"/>
          </w:tcPr>
          <w:p w:rsidR="00F5580C" w:rsidRPr="000F54CB" w:rsidRDefault="00B318F5">
            <w:pPr>
              <w:jc w:val="both"/>
              <w:rPr>
                <w:rFonts w:ascii="Palatino Linotype" w:eastAsia="Palatino Linotype" w:hAnsi="Palatino Linotype" w:cs="Palatino Linotype"/>
                <w:sz w:val="16"/>
                <w:szCs w:val="16"/>
              </w:rPr>
            </w:pPr>
            <w:r w:rsidRPr="000F54CB">
              <w:rPr>
                <w:rFonts w:ascii="Palatino Linotype" w:eastAsia="Palatino Linotype" w:hAnsi="Palatino Linotype" w:cs="Palatino Linotype"/>
                <w:sz w:val="16"/>
                <w:szCs w:val="16"/>
              </w:rPr>
              <w:t>No</w:t>
            </w:r>
          </w:p>
        </w:tc>
      </w:tr>
    </w:tbl>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Ahora bien, del cuadro comparativo anterior, de los motivos de inconformidad de la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se advierte que está conforme con la información proporcionada en respuesta, correspondiente a las certificaciones del Titular de la Dirección de Obra Pública, Titular de la Contraloría Municipal, Titular de la Dirección de Medio Ambiente, Titular de la Unidad de Transparencia  en derecho de protección de datos personales, Tesorero Municipal y Secretario del Ayuntamiento, ya que de los motivos de inconformidad sólo que inconforma porque no se le entregó la información de manera completa, </w:t>
      </w:r>
      <w:r w:rsidRPr="000F54CB">
        <w:rPr>
          <w:rFonts w:ascii="Palatino Linotype" w:eastAsia="Palatino Linotype" w:hAnsi="Palatino Linotype" w:cs="Palatino Linotype"/>
          <w:b/>
          <w:u w:val="single"/>
        </w:rPr>
        <w:t>faltando la certificación de la Titular de la Unidad de Transparencia, (me entregó una que no está obligada a hacer) entre otras</w:t>
      </w:r>
      <w:r w:rsidRPr="000F54CB">
        <w:rPr>
          <w:rFonts w:ascii="Palatino Linotype" w:eastAsia="Palatino Linotype" w:hAnsi="Palatino Linotype" w:cs="Palatino Linotype"/>
          <w:b/>
        </w:rPr>
        <w:t xml:space="preserve">, </w:t>
      </w:r>
      <w:r w:rsidRPr="000F54CB">
        <w:rPr>
          <w:rFonts w:ascii="Palatino Linotype" w:eastAsia="Palatino Linotype" w:hAnsi="Palatino Linotype" w:cs="Palatino Linotype"/>
        </w:rPr>
        <w:t>es decir, que se queja de las certificaciones faltantes.</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Por consiguiente, cuando el solicitante no expresa razón o motivo de inconformidad en contra de todos los rubros de la respuesta que pudieran ser un agravio a su </w:t>
      </w:r>
      <w:r w:rsidRPr="000F54CB">
        <w:rPr>
          <w:rFonts w:ascii="Palatino Linotype" w:eastAsia="Palatino Linotype" w:hAnsi="Palatino Linotype" w:cs="Palatino Linotype"/>
        </w:rPr>
        <w:lastRenderedPageBreak/>
        <w:t>derecho, los mismos deben estimarse atendidos. Sirve de apoyo a lo anterior, por analogía, la Tesis Jurisprudencial Número 3ª./J.7/91, publicada en el Semanario Judicial de la Federación y su Gaceta bajo el número de registro 174,177, que establece lo siguiente:</w:t>
      </w:r>
    </w:p>
    <w:p w:rsidR="00F5580C" w:rsidRPr="000F54CB" w:rsidRDefault="00B318F5">
      <w:pPr>
        <w:spacing w:before="240" w:after="240" w:line="276" w:lineRule="auto"/>
        <w:ind w:left="567" w:right="567"/>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sz w:val="22"/>
          <w:szCs w:val="22"/>
        </w:rPr>
        <w:t>“</w:t>
      </w:r>
      <w:r w:rsidRPr="000F54CB">
        <w:rPr>
          <w:rFonts w:ascii="Palatino Linotype" w:eastAsia="Palatino Linotype" w:hAnsi="Palatino Linotype" w:cs="Palatino Linotype"/>
          <w:b/>
          <w:i/>
          <w:sz w:val="22"/>
          <w:szCs w:val="22"/>
        </w:rPr>
        <w:t>REVISIÓN EN AMPARO. LOS RESOLUTIVOS NO COMBATIDOS DEBEN DECLARARSE FIRMES</w:t>
      </w:r>
      <w:r w:rsidRPr="000F54CB">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F5580C" w:rsidRPr="000F54CB" w:rsidRDefault="00B318F5">
      <w:pPr>
        <w:spacing w:before="240" w:after="240" w:line="276" w:lineRule="auto"/>
        <w:ind w:left="567" w:right="567"/>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ACTOS CONSENTIDOS. SON LOS QUE NO SE IMPUGNAN MEDIANTE EL RECURSO IDÓNEO</w:t>
      </w:r>
      <w:r w:rsidRPr="000F54CB">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Ahora bien sobre las certificaciones faltantes:</w:t>
      </w: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u w:val="single"/>
        </w:rPr>
        <w:t xml:space="preserve">Del Titular del Instituto Municipal de Cultura Física y Deporte de Toluca, </w:t>
      </w:r>
      <w:r w:rsidRPr="000F54CB">
        <w:rPr>
          <w:rFonts w:ascii="Palatino Linotype" w:eastAsia="Palatino Linotype" w:hAnsi="Palatino Linotype" w:cs="Palatino Linotype"/>
        </w:rPr>
        <w:t xml:space="preserve">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se concretó a señalar que se remitía dos certificaciones correspondientes a la Coordinadora de Administración y Finanzas y de la Contraloría Interna de dicho Instituto, en versión pública conforme al acuerdo número AT/CT/01/2022, aprobado en la septingentésima septuagésima sexta sesión extraordinaria del Comité de Transparencia del Ayuntamiento de Toluca de fecha 13 de diciembre del año 2022; sin embargo, sólo remitió la certificación de la Coordinador</w:t>
      </w:r>
      <w:r w:rsidR="00166F59" w:rsidRPr="000F54CB">
        <w:rPr>
          <w:rFonts w:ascii="Palatino Linotype" w:eastAsia="Palatino Linotype" w:hAnsi="Palatino Linotype" w:cs="Palatino Linotype"/>
        </w:rPr>
        <w:t xml:space="preserve">a de Administración y Finanzas </w:t>
      </w:r>
      <w:r w:rsidRPr="000F54CB">
        <w:rPr>
          <w:rFonts w:ascii="Palatino Linotype" w:eastAsia="Palatino Linotype" w:hAnsi="Palatino Linotype" w:cs="Palatino Linotype"/>
        </w:rPr>
        <w:t xml:space="preserve">y Contralora Interna, omitiendo pronunciarse sobre la certificación del Titular de dicho Instituto, por consiguiente la respuesta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F5580C" w:rsidRPr="000F54CB" w:rsidRDefault="00B318F5">
      <w:pPr>
        <w:spacing w:before="80"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0F54C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F54C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F54CB">
        <w:rPr>
          <w:rFonts w:ascii="Palatino Linotype" w:eastAsia="Palatino Linotype" w:hAnsi="Palatino Linotype" w:cs="Palatino Linotype"/>
          <w:i/>
          <w:sz w:val="22"/>
          <w:szCs w:val="22"/>
        </w:rPr>
        <w:t xml:space="preserve">; mientras que </w:t>
      </w:r>
      <w:r w:rsidRPr="000F54CB">
        <w:rPr>
          <w:rFonts w:ascii="Palatino Linotype" w:eastAsia="Palatino Linotype" w:hAnsi="Palatino Linotype" w:cs="Palatino Linotype"/>
          <w:b/>
          <w:i/>
          <w:sz w:val="22"/>
          <w:szCs w:val="22"/>
        </w:rPr>
        <w:t>la exhaustividad significa que dicha respuesta se refiera expresamente a cada uno de los puntos solicitados</w:t>
      </w:r>
      <w:r w:rsidRPr="000F54C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 xml:space="preserve">En ese sentido, </w:t>
      </w:r>
      <w:r w:rsidR="00166F59" w:rsidRPr="000F54CB">
        <w:rPr>
          <w:rFonts w:ascii="Palatino Linotype" w:eastAsia="Palatino Linotype" w:hAnsi="Palatino Linotype" w:cs="Palatino Linotype"/>
        </w:rPr>
        <w:t>es pertinente precisar sobre l</w:t>
      </w:r>
      <w:r w:rsidRPr="000F54CB">
        <w:rPr>
          <w:rFonts w:ascii="Palatino Linotype" w:eastAsia="Palatino Linotype" w:hAnsi="Palatino Linotype" w:cs="Palatino Linotype"/>
        </w:rPr>
        <w:t xml:space="preserve">a certificación del Titular del Instituto Municipal de Cultura Física y Deporte de Toluca, </w:t>
      </w:r>
      <w:r w:rsidR="00166F59" w:rsidRPr="000F54CB">
        <w:rPr>
          <w:rFonts w:ascii="Palatino Linotype" w:eastAsia="Palatino Linotype" w:hAnsi="Palatino Linotype" w:cs="Palatino Linotype"/>
        </w:rPr>
        <w:t>que los</w:t>
      </w:r>
      <w:r w:rsidRPr="000F54CB">
        <w:rPr>
          <w:rFonts w:ascii="Palatino Linotype" w:eastAsia="Palatino Linotype" w:hAnsi="Palatino Linotype" w:cs="Palatino Linotype"/>
        </w:rPr>
        <w:t xml:space="preserve"> artículo</w:t>
      </w:r>
      <w:r w:rsidR="00166F59" w:rsidRPr="000F54CB">
        <w:rPr>
          <w:rFonts w:ascii="Palatino Linotype" w:eastAsia="Palatino Linotype" w:hAnsi="Palatino Linotype" w:cs="Palatino Linotype"/>
        </w:rPr>
        <w:t>s</w:t>
      </w:r>
      <w:r w:rsidRPr="000F54CB">
        <w:rPr>
          <w:rFonts w:ascii="Palatino Linotype" w:eastAsia="Palatino Linotype" w:hAnsi="Palatino Linotype" w:cs="Palatino Linotype"/>
        </w:rPr>
        <w:t xml:space="preserve"> 32, 123 </w:t>
      </w:r>
      <w:proofErr w:type="gramStart"/>
      <w:r w:rsidRPr="000F54CB">
        <w:rPr>
          <w:rFonts w:ascii="Palatino Linotype" w:eastAsia="Palatino Linotype" w:hAnsi="Palatino Linotype" w:cs="Palatino Linotype"/>
        </w:rPr>
        <w:t>bis</w:t>
      </w:r>
      <w:proofErr w:type="gramEnd"/>
      <w:r w:rsidRPr="000F54CB">
        <w:rPr>
          <w:rFonts w:ascii="Palatino Linotype" w:eastAsia="Palatino Linotype" w:hAnsi="Palatino Linotype" w:cs="Palatino Linotype"/>
        </w:rPr>
        <w:t xml:space="preserve"> con relación al artículo 96</w:t>
      </w:r>
      <w:r w:rsidRPr="000F54CB">
        <w:t xml:space="preserve"> </w:t>
      </w:r>
      <w:proofErr w:type="spellStart"/>
      <w:r w:rsidRPr="000F54CB">
        <w:rPr>
          <w:rFonts w:ascii="Palatino Linotype" w:eastAsia="Palatino Linotype" w:hAnsi="Palatino Linotype" w:cs="Palatino Linotype"/>
        </w:rPr>
        <w:t>Quindecies</w:t>
      </w:r>
      <w:proofErr w:type="spellEnd"/>
      <w:r w:rsidRPr="000F54CB">
        <w:rPr>
          <w:rFonts w:ascii="Palatino Linotype" w:eastAsia="Palatino Linotype" w:hAnsi="Palatino Linotype" w:cs="Palatino Linotype"/>
        </w:rPr>
        <w:t xml:space="preserve">, de la Ley Orgánica Municipal del Estado de México, </w:t>
      </w:r>
      <w:r w:rsidR="00166F59" w:rsidRPr="000F54CB">
        <w:rPr>
          <w:rFonts w:ascii="Palatino Linotype" w:eastAsia="Palatino Linotype" w:hAnsi="Palatino Linotype" w:cs="Palatino Linotype"/>
        </w:rPr>
        <w:t>que se señalan</w:t>
      </w:r>
      <w:r w:rsidRPr="000F54CB">
        <w:rPr>
          <w:rFonts w:ascii="Palatino Linotype" w:eastAsia="Palatino Linotype" w:hAnsi="Palatino Linotype" w:cs="Palatino Linotype"/>
        </w:rPr>
        <w:t>:</w:t>
      </w:r>
    </w:p>
    <w:p w:rsidR="00F5580C" w:rsidRPr="000F54CB" w:rsidRDefault="00B318F5">
      <w:pPr>
        <w:spacing w:before="240"/>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color w:val="000000"/>
          <w:sz w:val="22"/>
          <w:szCs w:val="22"/>
        </w:rPr>
        <w:t>Artículo 32. Para ocupar las titularidades</w:t>
      </w:r>
      <w:r w:rsidRPr="000F54CB">
        <w:rPr>
          <w:rFonts w:ascii="Palatino Linotype" w:eastAsia="Palatino Linotype" w:hAnsi="Palatino Linotype" w:cs="Palatino Linotype"/>
          <w:i/>
          <w:color w:val="000000"/>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0F54CB">
        <w:rPr>
          <w:rFonts w:ascii="Palatino Linotype" w:eastAsia="Palatino Linotype" w:hAnsi="Palatino Linotype" w:cs="Palatino Linotype"/>
          <w:b/>
          <w:i/>
          <w:color w:val="000000"/>
          <w:sz w:val="22"/>
          <w:szCs w:val="22"/>
        </w:rPr>
        <w:t>de las unidades administrativas</w:t>
      </w:r>
      <w:r w:rsidRPr="000F54CB">
        <w:rPr>
          <w:rFonts w:ascii="Palatino Linotype" w:eastAsia="Palatino Linotype" w:hAnsi="Palatino Linotype" w:cs="Palatino Linotype"/>
          <w:i/>
          <w:color w:val="000000"/>
          <w:sz w:val="22"/>
          <w:szCs w:val="22"/>
        </w:rPr>
        <w:t xml:space="preserve"> y de los organismos auxiliares, se deberán satisfacer los siguientes requisitos: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I. Ser persona ciudadana del Estado, en pleno uso de sus derechos;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II. No estar inhabilitada o inhabilitado para desempeñar cargo, empleo, o comisión pública;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III. Contar con título profesional o acreditar experiencia mínima de un año en la materia, ante la o el Presidente o el Ayuntamiento, cuando sea el caso, para el desempeño de los cargos que así lo requieran; </w:t>
      </w:r>
    </w:p>
    <w:p w:rsidR="00F5580C" w:rsidRPr="000F54CB" w:rsidRDefault="00B318F5">
      <w:pPr>
        <w:ind w:left="567" w:right="902"/>
        <w:jc w:val="both"/>
        <w:rPr>
          <w:rFonts w:ascii="Palatino Linotype" w:eastAsia="Palatino Linotype" w:hAnsi="Palatino Linotype" w:cs="Palatino Linotype"/>
          <w:b/>
          <w:i/>
          <w:color w:val="000000"/>
          <w:sz w:val="22"/>
          <w:szCs w:val="22"/>
        </w:rPr>
      </w:pPr>
      <w:r w:rsidRPr="000F54CB">
        <w:rPr>
          <w:rFonts w:ascii="Palatino Linotype" w:eastAsia="Palatino Linotype" w:hAnsi="Palatino Linotype" w:cs="Palatino Linotype"/>
          <w:b/>
          <w:i/>
          <w:color w:val="000000"/>
          <w:sz w:val="22"/>
          <w:szCs w:val="22"/>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V. No estar condenada o condenado por sentencia ejecutoriada por el delito de violencia política contra las mujeres en razón de género;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VI. No estar inscrito en el Registro de Deudores Alimentarios Morosos en el Estado, ni en otra entidad federativa, y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 xml:space="preserve">VII. No estar condenada o condenado por sentencia ejecutoriada por delitos de violencia familiar, contra la libertad sexual o de violencia de género. </w:t>
      </w:r>
    </w:p>
    <w:p w:rsidR="00F5580C" w:rsidRPr="000F54CB" w:rsidRDefault="00B318F5">
      <w:pPr>
        <w:ind w:left="567" w:right="902"/>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F5580C" w:rsidRPr="000F54CB" w:rsidRDefault="00B318F5">
      <w:pPr>
        <w:spacing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spacing w:before="80"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 </w:t>
      </w:r>
    </w:p>
    <w:p w:rsidR="00F5580C" w:rsidRPr="000F54CB" w:rsidRDefault="00B318F5">
      <w:pPr>
        <w:spacing w:before="80" w:after="240"/>
        <w:ind w:left="567" w:right="900"/>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lastRenderedPageBreak/>
        <w:t xml:space="preserve">Para acceder al cargo, la titular del Instituto Municipal de la Mujer, deberá cumplir con los requisitos previstos en el artículo 96 </w:t>
      </w:r>
      <w:proofErr w:type="spellStart"/>
      <w:r w:rsidRPr="000F54CB">
        <w:rPr>
          <w:rFonts w:ascii="Palatino Linotype" w:eastAsia="Palatino Linotype" w:hAnsi="Palatino Linotype" w:cs="Palatino Linotype"/>
          <w:b/>
          <w:i/>
          <w:sz w:val="22"/>
          <w:szCs w:val="22"/>
        </w:rPr>
        <w:t>Quindecies</w:t>
      </w:r>
      <w:proofErr w:type="spellEnd"/>
    </w:p>
    <w:p w:rsidR="00F5580C" w:rsidRPr="000F54CB" w:rsidRDefault="00B318F5">
      <w:pPr>
        <w:spacing w:before="80"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spacing w:before="80"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Artículo 96 </w:t>
      </w:r>
      <w:proofErr w:type="spellStart"/>
      <w:r w:rsidRPr="000F54CB">
        <w:rPr>
          <w:rFonts w:ascii="Palatino Linotype" w:eastAsia="Palatino Linotype" w:hAnsi="Palatino Linotype" w:cs="Palatino Linotype"/>
          <w:i/>
          <w:sz w:val="22"/>
          <w:szCs w:val="22"/>
        </w:rPr>
        <w:t>Quindecies</w:t>
      </w:r>
      <w:proofErr w:type="spellEnd"/>
      <w:r w:rsidRPr="000F54CB">
        <w:rPr>
          <w:rFonts w:ascii="Palatino Linotype" w:eastAsia="Palatino Linotype" w:hAnsi="Palatino Linotype" w:cs="Palatino Linotype"/>
          <w:i/>
          <w:sz w:val="22"/>
          <w:szCs w:val="22"/>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rsidR="00F5580C" w:rsidRPr="000F54CB" w:rsidRDefault="00B318F5">
      <w:pPr>
        <w:spacing w:before="80" w:after="240"/>
        <w:ind w:left="567" w:right="900"/>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r w:rsidRPr="000F54CB">
        <w:rPr>
          <w:rFonts w:ascii="Palatino Linotype" w:eastAsia="Palatino Linotype" w:hAnsi="Palatino Linotype" w:cs="Palatino Linotype"/>
          <w:i/>
          <w:sz w:val="22"/>
          <w:szCs w:val="22"/>
        </w:rPr>
        <w:t>.” (Sic)</w:t>
      </w:r>
    </w:p>
    <w:p w:rsidR="00F5580C" w:rsidRPr="000F54CB" w:rsidRDefault="00166F59">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En donde s</w:t>
      </w:r>
      <w:r w:rsidR="00B318F5" w:rsidRPr="000F54CB">
        <w:rPr>
          <w:rFonts w:ascii="Palatino Linotype" w:eastAsia="Palatino Linotype" w:hAnsi="Palatino Linotype" w:cs="Palatino Linotype"/>
        </w:rPr>
        <w:t>e establece que el Titular del Instituto Municipal de Cultura Física y Deporte de Toluca, deberá acreditar dentro de los seis meses siguientes a la fecha que inicie sus funciones la certificación de competencia laboral en la materia</w:t>
      </w:r>
      <w:r w:rsidRPr="000F54CB">
        <w:rPr>
          <w:rFonts w:ascii="Palatino Linotype" w:eastAsia="Palatino Linotype" w:hAnsi="Palatino Linotype" w:cs="Palatino Linotype"/>
        </w:rPr>
        <w:t xml:space="preserve"> de deporte</w:t>
      </w:r>
      <w:r w:rsidR="00B318F5" w:rsidRPr="000F54CB">
        <w:rPr>
          <w:rFonts w:ascii="Palatino Linotype" w:eastAsia="Palatino Linotype" w:hAnsi="Palatino Linotype" w:cs="Palatino Linotype"/>
        </w:rPr>
        <w:t>, en ese sentido se localizó dentro de la página de la Información Pública de Oficio Mexiquense (IPOMEX), en específico dentro del Directorio de todos los Servidores Públicos del ayuntamiento de Toluca, que el Director del Instituto Municipal de Cultura Física y Deporte de Toluca, entró en funciones el pasado dieciséis de octubre del año 2022, lo que se acredita con la siguiente imagen, que se inserta a continuación:</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noProof/>
          <w:lang w:val="es-MX"/>
        </w:rPr>
        <w:lastRenderedPageBreak/>
        <w:drawing>
          <wp:inline distT="0" distB="0" distL="0" distR="0">
            <wp:extent cx="5345619" cy="3147474"/>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0028" t="21574" r="37366" b="10069"/>
                    <a:stretch>
                      <a:fillRect/>
                    </a:stretch>
                  </pic:blipFill>
                  <pic:spPr>
                    <a:xfrm>
                      <a:off x="0" y="0"/>
                      <a:ext cx="5345619" cy="3147474"/>
                    </a:xfrm>
                    <a:prstGeom prst="rect">
                      <a:avLst/>
                    </a:prstGeom>
                    <a:ln/>
                  </pic:spPr>
                </pic:pic>
              </a:graphicData>
            </a:graphic>
          </wp:inline>
        </w:drawing>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Sin embargo,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omitió pronunciarse al respecto, careciendo su respuesta de los principios de congruencia y exhaustividad, como refuerzo de lo anterior, resulta crucial el Criterio 02/17, emitido por el Pleno del Instituto Nacional de Transparencia y Acceso a la Información y Protección de Datos Personales, ya referido.</w:t>
      </w: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Ahora bien, este Organismo Garante encontró la existencia de fuente obligacional para ordenar la información del Titular del Instituto Municipal de Cultura Física y Deporte de Toluca del cual la Ley Orgánica Municipal del Estado de México, establece dicha obligación de manera concreta.</w:t>
      </w:r>
    </w:p>
    <w:p w:rsidR="00F5580C" w:rsidRPr="000F54CB" w:rsidRDefault="00F5580C">
      <w:pPr>
        <w:spacing w:line="360" w:lineRule="auto"/>
        <w:ind w:right="-150"/>
        <w:jc w:val="both"/>
        <w:rPr>
          <w:rFonts w:ascii="Palatino Linotype" w:eastAsia="Palatino Linotype" w:hAnsi="Palatino Linotype" w:cs="Palatino Linotype"/>
        </w:rPr>
      </w:pP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Así, deberá entregar el certificado de competencia laboral que no fue entregado en respuesta, esto en atención a que el artículo 32 de la Ley Orgánica Municipal del Estado de México ya invocado en líneas anteriores, constriñe los titulares de las </w:t>
      </w:r>
      <w:r w:rsidRPr="000F54CB">
        <w:rPr>
          <w:rFonts w:ascii="Palatino Linotype" w:eastAsia="Palatino Linotype" w:hAnsi="Palatino Linotype" w:cs="Palatino Linotype"/>
        </w:rPr>
        <w:lastRenderedPageBreak/>
        <w:t>unidades administrativas a contar con certificación de competencia laboral en la materia del cargo que se desempeñará, expedida por institución con reconocimiento de validez oficial.</w:t>
      </w:r>
    </w:p>
    <w:p w:rsidR="00F5580C" w:rsidRPr="000F54CB" w:rsidRDefault="00F5580C">
      <w:pPr>
        <w:spacing w:line="360" w:lineRule="auto"/>
        <w:ind w:right="-150"/>
        <w:jc w:val="both"/>
        <w:rPr>
          <w:rFonts w:ascii="Palatino Linotype" w:eastAsia="Palatino Linotype" w:hAnsi="Palatino Linotype" w:cs="Palatino Linotype"/>
        </w:rPr>
      </w:pP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Este requisito debe ser cubierto en un plazo de seis meses a partir del inicio de funciones de los titulares, por tanto, se entiende que la única causa justificada para no contar con un documento para acreditar la competencia laboral es que lleve en su encargo, un periodo menor a 6 meses, contados desde su inicio de funciones y la fecha de la solicitud de acceso a la información pública.</w:t>
      </w:r>
    </w:p>
    <w:p w:rsidR="00F5580C" w:rsidRPr="000F54CB" w:rsidRDefault="00F5580C">
      <w:pPr>
        <w:spacing w:line="360" w:lineRule="auto"/>
        <w:ind w:right="-150"/>
        <w:jc w:val="both"/>
        <w:rPr>
          <w:rFonts w:ascii="Palatino Linotype" w:eastAsia="Palatino Linotype" w:hAnsi="Palatino Linotype" w:cs="Palatino Linotype"/>
        </w:rPr>
      </w:pP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En ese sentido, para el caso que derivado de la búsqueda exhaustiva y razonable no se cuente con la certificación del Titular del Instituto Municipal de Cultura Física y Deporte de Toluca, deberá manifestarlo en términos del segundo párrafo del artículo 19 de la Ley de la Materia.</w:t>
      </w:r>
    </w:p>
    <w:p w:rsidR="00F5580C" w:rsidRPr="000F54CB" w:rsidRDefault="00F5580C">
      <w:pPr>
        <w:spacing w:line="360" w:lineRule="auto"/>
        <w:ind w:right="-150"/>
        <w:jc w:val="both"/>
        <w:rPr>
          <w:rFonts w:ascii="Palatino Linotype" w:eastAsia="Palatino Linotype" w:hAnsi="Palatino Linotype" w:cs="Palatino Linotype"/>
        </w:rPr>
      </w:pPr>
    </w:p>
    <w:p w:rsidR="00F5580C" w:rsidRPr="000F54CB" w:rsidRDefault="00B318F5">
      <w:pPr>
        <w:spacing w:line="360" w:lineRule="auto"/>
        <w:ind w:right="-150"/>
        <w:jc w:val="both"/>
        <w:rPr>
          <w:rFonts w:ascii="Palatino Linotype" w:eastAsia="Palatino Linotype" w:hAnsi="Palatino Linotype" w:cs="Palatino Linotype"/>
          <w:b/>
          <w:u w:val="single"/>
        </w:rPr>
      </w:pPr>
      <w:r w:rsidRPr="000F54CB">
        <w:rPr>
          <w:rFonts w:ascii="Palatino Linotype" w:eastAsia="Palatino Linotype" w:hAnsi="Palatino Linotype" w:cs="Palatino Linotype"/>
          <w:b/>
          <w:u w:val="single"/>
        </w:rPr>
        <w:t>De la Defensoría de Derechos Humanos:</w:t>
      </w:r>
    </w:p>
    <w:p w:rsidR="00F5580C" w:rsidRPr="000F54CB" w:rsidRDefault="00F5580C">
      <w:pPr>
        <w:spacing w:line="360" w:lineRule="auto"/>
        <w:ind w:right="-150"/>
        <w:jc w:val="both"/>
        <w:rPr>
          <w:rFonts w:ascii="Palatino Linotype" w:eastAsia="Palatino Linotype" w:hAnsi="Palatino Linotype" w:cs="Palatino Linotype"/>
          <w:b/>
          <w:u w:val="single"/>
        </w:rPr>
      </w:pP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Dentro del Bando Municipal del Ayuntamiento de Toluca, se establece en su artículo 23 fracción IV, lo siguiente:</w:t>
      </w:r>
    </w:p>
    <w:p w:rsidR="00F5580C" w:rsidRPr="000F54CB" w:rsidRDefault="00F5580C">
      <w:pPr>
        <w:spacing w:line="360" w:lineRule="auto"/>
        <w:ind w:right="-150"/>
        <w:jc w:val="both"/>
        <w:rPr>
          <w:rFonts w:ascii="Palatino Linotype" w:eastAsia="Palatino Linotype" w:hAnsi="Palatino Linotype" w:cs="Palatino Linotype"/>
        </w:rPr>
      </w:pP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 “Artículo 23. Para la consulta, estudio, planeación y despacho de los asuntos en los diversos ramos de la Administración Pública Municipal, la o el Presidente Municipal se auxiliará de la Secretaría del Ayuntamiento y de las siguientes: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IV. ÓRGANO AUTÓNOMO: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1. Defensoría Municipal de los Derechos Humanos de Toluca.” (Sic) </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 xml:space="preserve">En donde se establece que dentro de la Administración Pública del Ayuntamiento de Toluca 2022-2024, existirá un órgano autónomo denominado Defensoría Municipal de los Derechos Humanos de Toluca.  </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Defensoría Municipal de los Derechos Humanos de Toluca, que en términos 147 I de la Ley Orgánica Municipal del Estado de México, deberá reunir los siguientes requisitos:</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“Artículo 147 I.- La o el Defensor Municipal de Derechos Humanos debe reunir los requisitos siguientes:</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 I. Ser mexicano en pleno goce y ejercicio de sus derechos políticos y civiles;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II. Tener residencia efectiva en el municipio no menor a tres años;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III. Contar preferentemente con título de licenciado en derecho o disciplinas afines, así como experiencia o estudios en derechos humanos;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IV. Tener más de 23 años al momento de su designación;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V. Gozar de buena fama pública y no haber sido condenado por sentencia ejecutoriada por delito intencional.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VI. No haber sido sancionado en el desempeño de empleo, cargo o comisión en los servicios públicos federal, estatal o municipal, con motivo de alguna recomendación emitida por organismos públicos de derechos humanos; y </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VII. No haber sido objeto de sanción de inhabilitación o destitución administrativas para el desempeño de empleo, cargo o comisión en el servicio público, mediante resolución que haya causado estado. </w:t>
      </w:r>
    </w:p>
    <w:p w:rsidR="00F5580C" w:rsidRPr="000F54CB" w:rsidRDefault="00B318F5">
      <w:pPr>
        <w:ind w:left="851" w:right="899"/>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VIII. Certificación en materia de derechos humanos, que para tal efecto emita la Comisión de Derechos Humanos del Estado de México.</w:t>
      </w:r>
    </w:p>
    <w:p w:rsidR="00F5580C" w:rsidRPr="000F54CB" w:rsidRDefault="00B318F5">
      <w:pPr>
        <w:ind w:left="851" w:right="89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 (Sic)</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Entre las que se destaca la fracción VIII, que establece que el o la Titular de la Defensoría de Derechos Humanos, deberá contar una certificación en materia de derechos humanos, expedida por Comisión de Derechos Humanos del Estado de México, en ese sentido se localizó dentro de la página de la Información Pública de </w:t>
      </w:r>
      <w:r w:rsidRPr="000F54CB">
        <w:rPr>
          <w:rFonts w:ascii="Palatino Linotype" w:eastAsia="Palatino Linotype" w:hAnsi="Palatino Linotype" w:cs="Palatino Linotype"/>
        </w:rPr>
        <w:lastRenderedPageBreak/>
        <w:t>Oficio Mexiquense (IPOMEX), en específico dentro del Directorio de todos los Servidores Públicos del Ayuntamiento de Toluca, que la Titular de la Defensoría de Derechos Humanos del Ayuntamiento de Toluca, entró en funciones el pasado diecinueve de abril del año 2022, lo que se acredita con la siguiente imagen, que se inserta a continuación</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noProof/>
          <w:lang w:val="es-MX"/>
        </w:rPr>
        <w:drawing>
          <wp:inline distT="0" distB="0" distL="0" distR="0">
            <wp:extent cx="5477603" cy="3160078"/>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0158" t="12081" r="37293" b="19108"/>
                    <a:stretch>
                      <a:fillRect/>
                    </a:stretch>
                  </pic:blipFill>
                  <pic:spPr>
                    <a:xfrm>
                      <a:off x="0" y="0"/>
                      <a:ext cx="5477603" cy="3160078"/>
                    </a:xfrm>
                    <a:prstGeom prst="rect">
                      <a:avLst/>
                    </a:prstGeom>
                    <a:ln/>
                  </pic:spPr>
                </pic:pic>
              </a:graphicData>
            </a:graphic>
          </wp:inline>
        </w:drawing>
      </w:r>
    </w:p>
    <w:p w:rsidR="00F5580C" w:rsidRPr="000F54CB" w:rsidRDefault="00B318F5">
      <w:pPr>
        <w:spacing w:line="360" w:lineRule="auto"/>
        <w:ind w:right="-150"/>
        <w:jc w:val="both"/>
        <w:rPr>
          <w:rFonts w:ascii="Palatino Linotype" w:eastAsia="Palatino Linotype" w:hAnsi="Palatino Linotype" w:cs="Palatino Linotype"/>
        </w:rPr>
      </w:pPr>
      <w:r w:rsidRPr="000F54CB">
        <w:rPr>
          <w:rFonts w:ascii="Palatino Linotype" w:eastAsia="Palatino Linotype" w:hAnsi="Palatino Linotype" w:cs="Palatino Linotype"/>
        </w:rPr>
        <w:t>Con lo cual se acredita que al Ayuntamiento de Toluca, si cuenta con una Defensora de Derecho Humanos; razones por las cuales lo procedente es ordenar una nueva búsqueda exhaustiva y razonable, de la certificación de la Titular de la Defensoría de los Derechos Humanos, y entregarla de ser procedente conforme a lo señalado por el considerando quinto del presente fallo.</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Derivado de la búsqueda exhaustiva y razonable que se ordena, no localice la información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deberá declarar a través de su Comité de </w:t>
      </w:r>
      <w:r w:rsidRPr="000F54CB">
        <w:rPr>
          <w:rFonts w:ascii="Palatino Linotype" w:eastAsia="Palatino Linotype" w:hAnsi="Palatino Linotype" w:cs="Palatino Linotype"/>
        </w:rPr>
        <w:lastRenderedPageBreak/>
        <w:t>Transparencia la inexistencia, teniendo aplicación al respecto, el criterio de interpretación en el orden administrativo número 0004-11 emitido por este Instituto, cuyo contenido literal se señala enseguida:</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rPr>
        <w:t>“</w:t>
      </w:r>
      <w:r w:rsidRPr="000F54CB">
        <w:rPr>
          <w:rFonts w:ascii="Palatino Linotype" w:eastAsia="Palatino Linotype" w:hAnsi="Palatino Linotype" w:cs="Palatino Linotype"/>
          <w:i/>
          <w:sz w:val="22"/>
          <w:szCs w:val="22"/>
        </w:rPr>
        <w:t>CRITERIO 0004-11</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Bajo el entendido de que dicha búsqueda exhaustiva permitirá dos determinaciones:</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F5580C" w:rsidRPr="000F54CB" w:rsidRDefault="00F5580C">
      <w:pPr>
        <w:ind w:left="567" w:right="618"/>
        <w:jc w:val="both"/>
        <w:rPr>
          <w:rFonts w:ascii="Palatino Linotype" w:eastAsia="Palatino Linotype" w:hAnsi="Palatino Linotype" w:cs="Palatino Linotype"/>
          <w:i/>
          <w:sz w:val="22"/>
          <w:szCs w:val="22"/>
        </w:rPr>
      </w:pP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rsidR="00F5580C" w:rsidRPr="000F54CB" w:rsidRDefault="00F5580C">
      <w:pPr>
        <w:spacing w:line="360" w:lineRule="auto"/>
        <w:ind w:right="49"/>
        <w:jc w:val="both"/>
        <w:rPr>
          <w:rFonts w:ascii="Palatino Linotype" w:eastAsia="Palatino Linotype" w:hAnsi="Palatino Linotype" w:cs="Palatino Linotype"/>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0F54CB">
        <w:rPr>
          <w:rFonts w:ascii="Palatino Linotype" w:eastAsia="Palatino Linotype" w:hAnsi="Palatino Linotype" w:cs="Palatino Linotype"/>
          <w:i/>
          <w:sz w:val="22"/>
          <w:szCs w:val="22"/>
        </w:rPr>
        <w:t>ninguna</w:t>
      </w:r>
      <w:proofErr w:type="gramEnd"/>
      <w:r w:rsidRPr="000F54CB">
        <w:rPr>
          <w:rFonts w:ascii="Palatino Linotype" w:eastAsia="Palatino Linotype" w:hAnsi="Palatino Linotype" w:cs="Palatino Linotype"/>
          <w:i/>
          <w:sz w:val="22"/>
          <w:szCs w:val="22"/>
        </w:rPr>
        <w:t xml:space="preserve"> de esas acciones.</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Transparencia.”(Sic)</w:t>
      </w:r>
    </w:p>
    <w:p w:rsidR="00F5580C" w:rsidRPr="000F54CB" w:rsidRDefault="00F5580C">
      <w:pPr>
        <w:ind w:left="567" w:right="618"/>
        <w:jc w:val="both"/>
        <w:rPr>
          <w:rFonts w:ascii="Palatino Linotype" w:eastAsia="Palatino Linotype" w:hAnsi="Palatino Linotype" w:cs="Palatino Linotype"/>
          <w:i/>
        </w:rPr>
      </w:pP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lastRenderedPageBreak/>
        <w:t xml:space="preserve">Por lo que al haberse estudiado que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con los que podría ocurrir la inexistencia de la misma;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deberá emitir la declaratoria de inexistencia correspondiente.</w:t>
      </w: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rsidR="00F5580C" w:rsidRPr="000F54CB" w:rsidRDefault="00F5580C">
      <w:pPr>
        <w:ind w:left="567" w:right="618"/>
        <w:jc w:val="both"/>
        <w:rPr>
          <w:rFonts w:ascii="Palatino Linotype" w:eastAsia="Palatino Linotype" w:hAnsi="Palatino Linotype" w:cs="Palatino Linotype"/>
          <w:i/>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19</w:t>
      </w:r>
      <w:r w:rsidRPr="000F54CB">
        <w:rPr>
          <w:rFonts w:ascii="Palatino Linotype" w:eastAsia="Palatino Linotype" w:hAnsi="Palatino Linotype" w:cs="Palatino Linotype"/>
          <w:i/>
          <w:sz w:val="22"/>
          <w:szCs w:val="22"/>
        </w:rPr>
        <w:t>. (…)</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5580C" w:rsidRPr="000F54CB" w:rsidRDefault="00F5580C">
      <w:pPr>
        <w:ind w:left="567" w:right="618"/>
        <w:jc w:val="both"/>
        <w:rPr>
          <w:rFonts w:ascii="Palatino Linotype" w:eastAsia="Palatino Linotype" w:hAnsi="Palatino Linotype" w:cs="Palatino Linotype"/>
          <w:i/>
          <w:sz w:val="22"/>
          <w:szCs w:val="22"/>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49</w:t>
      </w:r>
      <w:r w:rsidRPr="000F54CB">
        <w:rPr>
          <w:rFonts w:ascii="Palatino Linotype" w:eastAsia="Palatino Linotype" w:hAnsi="Palatino Linotype" w:cs="Palatino Linotype"/>
          <w:i/>
          <w:sz w:val="22"/>
          <w:szCs w:val="22"/>
        </w:rPr>
        <w:t>. Los Comités de Transparencia tendrán las siguientes atribuciones:</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F5580C" w:rsidRPr="000F54CB" w:rsidRDefault="00F5580C">
      <w:pPr>
        <w:ind w:left="567" w:right="618"/>
        <w:jc w:val="both"/>
        <w:rPr>
          <w:rFonts w:ascii="Palatino Linotype" w:eastAsia="Palatino Linotype" w:hAnsi="Palatino Linotype" w:cs="Palatino Linotype"/>
          <w:i/>
          <w:sz w:val="22"/>
          <w:szCs w:val="22"/>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169.</w:t>
      </w:r>
      <w:r w:rsidRPr="000F54CB">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 Analizará el caso y tomará las medidas necesarias para localizar la información;</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 Expedirá una resolución que confirme la inexistencia del documento;</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lastRenderedPageBreak/>
        <w:t>La Unidad de Transparencia deberá notificarlo al solicitante por escrito, en un plazo que no exceda de quince días hábiles contados a partir del día siguiente a la presentación de la solicitud.</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F5580C" w:rsidRPr="000F54CB" w:rsidRDefault="00F5580C">
      <w:pPr>
        <w:ind w:left="567" w:right="618"/>
        <w:jc w:val="both"/>
        <w:rPr>
          <w:rFonts w:ascii="Palatino Linotype" w:eastAsia="Palatino Linotype" w:hAnsi="Palatino Linotype" w:cs="Palatino Linotype"/>
          <w:i/>
          <w:sz w:val="22"/>
          <w:szCs w:val="22"/>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170</w:t>
      </w:r>
      <w:r w:rsidRPr="000F54CB">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F5580C" w:rsidRPr="000F54CB" w:rsidRDefault="00F5580C">
      <w:pPr>
        <w:spacing w:line="360" w:lineRule="auto"/>
        <w:ind w:right="49"/>
        <w:jc w:val="both"/>
        <w:rPr>
          <w:rFonts w:ascii="Palatino Linotype" w:eastAsia="Palatino Linotype" w:hAnsi="Palatino Linotype" w:cs="Palatino Linotype"/>
        </w:rPr>
      </w:pP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la inexistencia de la información, solicitada por parte del Comité de Transparencia del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Finalmente, en cuanto a la certificación del Titular de la Unidad de Transparencia, es pertinente señalar, que si bien es cierto que en respuesta se entregó la certificación de la Titular en derecho de protección de datos, de la cual no se inconformó la particular, ya que sus motivos de inconformidad sólo se concretó a señalar “faltó la certificación de la Titular de la Unidad de Transparencia, (me entregó una que no está obligada a hacer)”; sin embargo, a través del informe justificado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entregó la siguiente certificación en versión pública: </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 </w:t>
      </w:r>
    </w:p>
    <w:p w:rsidR="00F5580C" w:rsidRPr="000F54CB" w:rsidRDefault="00F5580C">
      <w:pPr>
        <w:spacing w:line="360" w:lineRule="auto"/>
        <w:jc w:val="both"/>
      </w:pPr>
    </w:p>
    <w:p w:rsidR="00F5580C" w:rsidRPr="000F54CB" w:rsidRDefault="00B318F5">
      <w:pPr>
        <w:spacing w:line="360" w:lineRule="auto"/>
        <w:jc w:val="both"/>
        <w:rPr>
          <w:rFonts w:ascii="Palatino Linotype" w:eastAsia="Palatino Linotype" w:hAnsi="Palatino Linotype" w:cs="Palatino Linotype"/>
        </w:rPr>
      </w:pPr>
      <w:r w:rsidRPr="000F54CB">
        <w:rPr>
          <w:noProof/>
          <w:lang w:val="es-MX"/>
        </w:rPr>
        <w:drawing>
          <wp:inline distT="0" distB="0" distL="0" distR="0">
            <wp:extent cx="5267657" cy="3614653"/>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7685" t="12082" r="37909" b="10005"/>
                    <a:stretch>
                      <a:fillRect/>
                    </a:stretch>
                  </pic:blipFill>
                  <pic:spPr>
                    <a:xfrm>
                      <a:off x="0" y="0"/>
                      <a:ext cx="5267657" cy="3614653"/>
                    </a:xfrm>
                    <a:prstGeom prst="rect">
                      <a:avLst/>
                    </a:prstGeom>
                    <a:ln/>
                  </pic:spPr>
                </pic:pic>
              </a:graphicData>
            </a:graphic>
          </wp:inline>
        </w:drawing>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La cual corresponde a la certificación de la Titular de la Unidad de Transparencia del Ayuntamiento de Toluca en derecho de acceso a la información pública, cuya versión pública se sustentó a través del acuerdo número AT/CT/01/2022, aprobado en la septingentésima septuagésima sexta sesión extraordinaria del Comité de Transparencia del Ayuntamiento de Toluca de fecha 13 de diciembre del año 2022, servidora pública que efectivamente corresponde a la actual Titular de dicha Unidad, lo que se acredita con la siguiente imagen que inserta a continuación, sustraída de la página de la Información Pública de Oficio Mexiquense (IPOMEX), </w:t>
      </w:r>
      <w:r w:rsidRPr="000F54CB">
        <w:rPr>
          <w:rFonts w:ascii="Palatino Linotype" w:eastAsia="Palatino Linotype" w:hAnsi="Palatino Linotype" w:cs="Palatino Linotype"/>
        </w:rPr>
        <w:lastRenderedPageBreak/>
        <w:t>en específico dentro del Directorio de todos los Servidores Públicos del Ayuntamiento de Toluca:</w:t>
      </w:r>
    </w:p>
    <w:p w:rsidR="00F5580C" w:rsidRPr="000F54CB" w:rsidRDefault="00B318F5">
      <w:pPr>
        <w:spacing w:line="360" w:lineRule="auto"/>
        <w:jc w:val="both"/>
        <w:rPr>
          <w:rFonts w:ascii="Palatino Linotype" w:eastAsia="Palatino Linotype" w:hAnsi="Palatino Linotype" w:cs="Palatino Linotype"/>
        </w:rPr>
      </w:pPr>
      <w:r w:rsidRPr="000F54CB">
        <w:rPr>
          <w:noProof/>
          <w:lang w:val="es-MX"/>
        </w:rPr>
        <w:drawing>
          <wp:inline distT="0" distB="0" distL="0" distR="0">
            <wp:extent cx="5466552" cy="267473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19696" t="22103" r="37448" b="9635"/>
                    <a:stretch>
                      <a:fillRect/>
                    </a:stretch>
                  </pic:blipFill>
                  <pic:spPr>
                    <a:xfrm>
                      <a:off x="0" y="0"/>
                      <a:ext cx="5466552" cy="2674730"/>
                    </a:xfrm>
                    <a:prstGeom prst="rect">
                      <a:avLst/>
                    </a:prstGeom>
                    <a:ln/>
                  </pic:spPr>
                </pic:pic>
              </a:graphicData>
            </a:graphic>
          </wp:inline>
        </w:drawing>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Al mismo tiempo, dicha certificación da por satisfecho lo señalado por el artículo 57 fracción I de la Ley de Transparencia y Acceso a la Información Pública del Estado de México y Municipios, que señala:</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F5580C" w:rsidRPr="000F54CB" w:rsidRDefault="00B318F5">
      <w:pPr>
        <w:ind w:left="567" w:right="618"/>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I. Contar</w:t>
      </w:r>
      <w:r w:rsidRPr="000F54CB">
        <w:rPr>
          <w:rFonts w:ascii="Palatino Linotype" w:eastAsia="Palatino Linotype" w:hAnsi="Palatino Linotype" w:cs="Palatino Linotype"/>
          <w:i/>
          <w:sz w:val="22"/>
          <w:szCs w:val="22"/>
        </w:rPr>
        <w:t xml:space="preserve"> con conocimiento o, tratándose de las entidades gubernamentales estatales y los municipios </w:t>
      </w:r>
      <w:r w:rsidRPr="000F54CB">
        <w:rPr>
          <w:rFonts w:ascii="Palatino Linotype" w:eastAsia="Palatino Linotype" w:hAnsi="Palatino Linotype" w:cs="Palatino Linotype"/>
          <w:b/>
          <w:i/>
          <w:sz w:val="22"/>
          <w:szCs w:val="22"/>
        </w:rPr>
        <w:t xml:space="preserve">certificación en materia de acceso a la información, transparencia y protección de datos personales, que para tal efecto emita el Instituto; </w:t>
      </w:r>
    </w:p>
    <w:p w:rsidR="00F5580C" w:rsidRPr="000F54CB" w:rsidRDefault="00B318F5">
      <w:pPr>
        <w:ind w:left="567" w:right="618"/>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 Experiencia en materia de acceso a la información y protección de datos personales; y III. Habilidades de organización y comunicación, así como visión y liderazgo” (Sic)</w:t>
      </w:r>
    </w:p>
    <w:p w:rsidR="00F5580C" w:rsidRPr="000F54CB" w:rsidRDefault="00F5580C">
      <w:pPr>
        <w:ind w:right="618"/>
        <w:jc w:val="both"/>
        <w:rPr>
          <w:rFonts w:ascii="Palatino Linotype" w:eastAsia="Palatino Linotype" w:hAnsi="Palatino Linotype" w:cs="Palatino Linotype"/>
          <w:i/>
          <w:sz w:val="22"/>
          <w:szCs w:val="22"/>
        </w:rPr>
      </w:pPr>
    </w:p>
    <w:p w:rsidR="00F5580C" w:rsidRPr="000F54CB" w:rsidRDefault="00F5580C">
      <w:pPr>
        <w:ind w:right="618"/>
        <w:jc w:val="both"/>
        <w:rPr>
          <w:rFonts w:ascii="Palatino Linotype" w:eastAsia="Palatino Linotype" w:hAnsi="Palatino Linotype" w:cs="Palatino Linotype"/>
          <w:i/>
          <w:sz w:val="22"/>
          <w:szCs w:val="22"/>
        </w:rPr>
      </w:pPr>
    </w:p>
    <w:p w:rsidR="00F5580C" w:rsidRPr="000F54CB" w:rsidRDefault="00B318F5">
      <w:pPr>
        <w:spacing w:after="12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En consecuencia de lo anterior, se tiene por atendido el derecho de acceso a la información del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en cuanto el presente punto, máxime que este </w:t>
      </w:r>
      <w:r w:rsidRPr="000F54CB">
        <w:rPr>
          <w:rFonts w:ascii="Palatino Linotype" w:eastAsia="Palatino Linotype" w:hAnsi="Palatino Linotype" w:cs="Palatino Linotype"/>
        </w:rPr>
        <w:lastRenderedPageBreak/>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F5580C" w:rsidRPr="000F54CB" w:rsidRDefault="00B318F5">
      <w:pPr>
        <w:spacing w:before="120" w:after="120"/>
        <w:ind w:left="851" w:right="85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F54C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De lo anterior, este Órgano </w:t>
      </w:r>
      <w:proofErr w:type="spellStart"/>
      <w:r w:rsidRPr="000F54CB">
        <w:rPr>
          <w:rFonts w:ascii="Palatino Linotype" w:eastAsia="Palatino Linotype" w:hAnsi="Palatino Linotype" w:cs="Palatino Linotype"/>
        </w:rPr>
        <w:t>Resolutor</w:t>
      </w:r>
      <w:proofErr w:type="spellEnd"/>
      <w:r w:rsidRPr="000F54CB">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 </w:t>
      </w:r>
      <w:r w:rsidRPr="000F54CB">
        <w:rPr>
          <w:rFonts w:ascii="Palatino Linotype" w:eastAsia="Palatino Linotype" w:hAnsi="Palatino Linotype" w:cs="Palatino Linotype"/>
          <w:b/>
        </w:rPr>
        <w:t xml:space="preserve">Quinto. Versión Pública. </w:t>
      </w:r>
      <w:r w:rsidRPr="000F54CB">
        <w:rPr>
          <w:rFonts w:ascii="Palatino Linotype" w:eastAsia="Palatino Linotype" w:hAnsi="Palatino Linotype" w:cs="Palatino Linotype"/>
        </w:rPr>
        <w:t xml:space="preserve">Para la entrega de la información, en razón de que el derecho de acceso a la información pública no es absoluto, sino que encuentra como </w:t>
      </w:r>
      <w:r w:rsidRPr="000F54CB">
        <w:rPr>
          <w:rFonts w:ascii="Palatino Linotype" w:eastAsia="Palatino Linotype" w:hAnsi="Palatino Linotype" w:cs="Palatino Linotype"/>
        </w:rPr>
        <w:lastRenderedPageBreak/>
        <w:t xml:space="preserve">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sin menoscabar el derecho a la protección de los datos personales de terceros.</w:t>
      </w:r>
    </w:p>
    <w:p w:rsidR="00F5580C" w:rsidRPr="000F54CB" w:rsidRDefault="00B318F5">
      <w:pPr>
        <w:spacing w:before="240" w:after="240" w:line="360" w:lineRule="auto"/>
        <w:ind w:right="50"/>
        <w:jc w:val="both"/>
        <w:rPr>
          <w:rFonts w:ascii="Palatino Linotype" w:eastAsia="Palatino Linotype" w:hAnsi="Palatino Linotype" w:cs="Palatino Linotype"/>
        </w:rPr>
      </w:pPr>
      <w:r w:rsidRPr="000F54CB">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F5580C" w:rsidRPr="000F54CB" w:rsidRDefault="00B318F5">
      <w:pPr>
        <w:ind w:left="993" w:right="1041"/>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 xml:space="preserve"> “Artículo 3. Para los efectos de la presente Ley se entenderá por:</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IX. Datos personales:</w:t>
      </w:r>
      <w:r w:rsidRPr="000F54CB">
        <w:rPr>
          <w:rFonts w:ascii="Palatino Linotype" w:eastAsia="Palatino Linotype" w:hAnsi="Palatino Linotype" w:cs="Palatino Linotype"/>
          <w:i/>
          <w:sz w:val="22"/>
          <w:szCs w:val="22"/>
        </w:rPr>
        <w:t xml:space="preserve"> </w:t>
      </w:r>
      <w:r w:rsidRPr="000F54CB">
        <w:rPr>
          <w:rFonts w:ascii="Palatino Linotype" w:eastAsia="Palatino Linotype" w:hAnsi="Palatino Linotype" w:cs="Palatino Linotype"/>
          <w:b/>
          <w:i/>
          <w:sz w:val="22"/>
          <w:szCs w:val="22"/>
        </w:rPr>
        <w:t>La información concerniente a una persona, identificada o identificable</w:t>
      </w:r>
      <w:r w:rsidRPr="000F54CB">
        <w:rPr>
          <w:rFonts w:ascii="Palatino Linotype" w:eastAsia="Palatino Linotype" w:hAnsi="Palatino Linotype" w:cs="Palatino Linotype"/>
          <w:i/>
          <w:sz w:val="22"/>
          <w:szCs w:val="22"/>
        </w:rPr>
        <w:t xml:space="preserve"> según lo dispuesto por la Ley de Protección de Datos Personales del Estado de México;</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XX. Información clasificada:</w:t>
      </w:r>
      <w:r w:rsidRPr="000F54CB">
        <w:rPr>
          <w:rFonts w:ascii="Palatino Linotype" w:eastAsia="Palatino Linotype" w:hAnsi="Palatino Linotype" w:cs="Palatino Linotype"/>
          <w:i/>
          <w:sz w:val="22"/>
          <w:szCs w:val="22"/>
        </w:rPr>
        <w:t xml:space="preserve"> Aquella considerada por la presente Ley como reservada o confidencial;</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XXXII. Protección de Datos Personales:</w:t>
      </w:r>
      <w:r w:rsidRPr="000F54C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XLV. Versión pública</w:t>
      </w:r>
      <w:r w:rsidRPr="000F54C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5580C" w:rsidRPr="000F54CB" w:rsidRDefault="00F5580C">
      <w:pPr>
        <w:ind w:left="993" w:right="1041"/>
        <w:jc w:val="both"/>
        <w:rPr>
          <w:rFonts w:ascii="Palatino Linotype" w:eastAsia="Palatino Linotype" w:hAnsi="Palatino Linotype" w:cs="Palatino Linotype"/>
          <w:i/>
          <w:sz w:val="22"/>
          <w:szCs w:val="22"/>
        </w:rPr>
      </w:pP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“Artículo 6.</w:t>
      </w:r>
      <w:r w:rsidRPr="000F54C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5580C" w:rsidRPr="000F54CB" w:rsidRDefault="00F5580C">
      <w:pPr>
        <w:ind w:left="993" w:right="1041"/>
        <w:jc w:val="both"/>
        <w:rPr>
          <w:rFonts w:ascii="Palatino Linotype" w:eastAsia="Palatino Linotype" w:hAnsi="Palatino Linotype" w:cs="Palatino Linotype"/>
          <w:i/>
          <w:sz w:val="22"/>
          <w:szCs w:val="22"/>
        </w:rPr>
      </w:pPr>
    </w:p>
    <w:p w:rsidR="00F5580C" w:rsidRPr="000F54CB" w:rsidRDefault="00B318F5">
      <w:pPr>
        <w:ind w:left="993" w:right="1041"/>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lastRenderedPageBreak/>
        <w:t>“Artículo 137.</w:t>
      </w:r>
      <w:r w:rsidRPr="000F54C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5580C" w:rsidRPr="000F54CB" w:rsidRDefault="00F5580C">
      <w:pPr>
        <w:ind w:left="993" w:right="1041"/>
        <w:jc w:val="both"/>
        <w:rPr>
          <w:rFonts w:ascii="Palatino Linotype" w:eastAsia="Palatino Linotype" w:hAnsi="Palatino Linotype" w:cs="Palatino Linotype"/>
          <w:b/>
          <w:i/>
          <w:sz w:val="22"/>
          <w:szCs w:val="22"/>
        </w:rPr>
      </w:pP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“Artículo 143</w:t>
      </w:r>
      <w:r w:rsidRPr="000F54C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w:t>
      </w:r>
      <w:r w:rsidRPr="000F54C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F5580C" w:rsidRPr="000F54CB" w:rsidRDefault="00B318F5">
      <w:pPr>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F5580C" w:rsidRPr="000F54CB" w:rsidRDefault="00F5580C">
      <w:pPr>
        <w:ind w:left="993" w:right="1041"/>
        <w:jc w:val="both"/>
        <w:rPr>
          <w:rFonts w:ascii="Palatino Linotype" w:eastAsia="Palatino Linotype" w:hAnsi="Palatino Linotype" w:cs="Palatino Linotype"/>
          <w:i/>
          <w:sz w:val="22"/>
          <w:szCs w:val="22"/>
        </w:rPr>
      </w:pPr>
    </w:p>
    <w:p w:rsidR="00F5580C" w:rsidRPr="000F54CB" w:rsidRDefault="00B318F5">
      <w:pPr>
        <w:spacing w:line="360" w:lineRule="auto"/>
        <w:ind w:right="51"/>
        <w:jc w:val="both"/>
        <w:rPr>
          <w:rFonts w:ascii="Palatino Linotype" w:eastAsia="Palatino Linotype" w:hAnsi="Palatino Linotype" w:cs="Palatino Linotype"/>
        </w:rPr>
      </w:pPr>
      <w:r w:rsidRPr="000F54CB">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5580C" w:rsidRPr="000F54CB" w:rsidRDefault="00F5580C">
      <w:pPr>
        <w:spacing w:line="360" w:lineRule="auto"/>
        <w:ind w:right="51"/>
        <w:jc w:val="both"/>
        <w:rPr>
          <w:rFonts w:ascii="Palatino Linotype" w:eastAsia="Palatino Linotype" w:hAnsi="Palatino Linotype" w:cs="Palatino Linotype"/>
        </w:rPr>
      </w:pPr>
    </w:p>
    <w:p w:rsidR="00F5580C" w:rsidRPr="000F54CB" w:rsidRDefault="00B318F5">
      <w:pPr>
        <w:spacing w:line="360" w:lineRule="auto"/>
        <w:ind w:right="50"/>
        <w:jc w:val="both"/>
        <w:rPr>
          <w:rFonts w:ascii="Palatino Linotype" w:eastAsia="Palatino Linotype" w:hAnsi="Palatino Linotype" w:cs="Palatino Linotype"/>
        </w:rPr>
      </w:pPr>
      <w:r w:rsidRPr="000F54C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5580C" w:rsidRPr="000F54CB" w:rsidRDefault="00F5580C">
      <w:pPr>
        <w:spacing w:line="360" w:lineRule="auto"/>
        <w:ind w:right="50"/>
        <w:jc w:val="both"/>
        <w:rPr>
          <w:rFonts w:ascii="Palatino Linotype" w:eastAsia="Palatino Linotype" w:hAnsi="Palatino Linotype" w:cs="Palatino Linotype"/>
        </w:rPr>
      </w:pPr>
    </w:p>
    <w:p w:rsidR="00F5580C" w:rsidRPr="000F54CB" w:rsidRDefault="00B318F5">
      <w:pPr>
        <w:spacing w:line="360" w:lineRule="auto"/>
        <w:ind w:right="51"/>
        <w:jc w:val="both"/>
        <w:rPr>
          <w:rFonts w:ascii="Palatino Linotype" w:eastAsia="Palatino Linotype" w:hAnsi="Palatino Linotype" w:cs="Palatino Linotype"/>
        </w:rPr>
      </w:pPr>
      <w:r w:rsidRPr="000F54CB">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5580C" w:rsidRPr="000F54CB" w:rsidRDefault="00F5580C">
      <w:pPr>
        <w:spacing w:line="360" w:lineRule="auto"/>
        <w:ind w:right="51"/>
        <w:jc w:val="both"/>
        <w:rPr>
          <w:rFonts w:ascii="Palatino Linotype" w:eastAsia="Palatino Linotype" w:hAnsi="Palatino Linotype" w:cs="Palatino Linotype"/>
        </w:rPr>
      </w:pP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“Artículo 49.</w:t>
      </w:r>
      <w:r w:rsidRPr="000F54CB">
        <w:rPr>
          <w:rFonts w:ascii="Palatino Linotype" w:eastAsia="Palatino Linotype" w:hAnsi="Palatino Linotype" w:cs="Palatino Linotype"/>
          <w:i/>
          <w:sz w:val="22"/>
          <w:szCs w:val="22"/>
        </w:rPr>
        <w:t xml:space="preserve"> </w:t>
      </w:r>
      <w:r w:rsidRPr="000F54CB">
        <w:rPr>
          <w:rFonts w:ascii="Palatino Linotype" w:eastAsia="Palatino Linotype" w:hAnsi="Palatino Linotype" w:cs="Palatino Linotype"/>
          <w:b/>
          <w:i/>
          <w:sz w:val="22"/>
          <w:szCs w:val="22"/>
        </w:rPr>
        <w:t>Los Comités de Transparencia</w:t>
      </w:r>
      <w:r w:rsidRPr="000F54CB">
        <w:rPr>
          <w:rFonts w:ascii="Palatino Linotype" w:eastAsia="Palatino Linotype" w:hAnsi="Palatino Linotype" w:cs="Palatino Linotype"/>
          <w:i/>
          <w:sz w:val="22"/>
          <w:szCs w:val="22"/>
        </w:rPr>
        <w:t xml:space="preserve"> tendrán las siguientes atribuciones:</w:t>
      </w: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VIII. Aprobar, modificar o revocar la clasificación de la información</w:t>
      </w:r>
      <w:r w:rsidRPr="000F54CB">
        <w:rPr>
          <w:rFonts w:ascii="Palatino Linotype" w:eastAsia="Palatino Linotype" w:hAnsi="Palatino Linotype" w:cs="Palatino Linotype"/>
          <w:i/>
          <w:sz w:val="22"/>
          <w:szCs w:val="22"/>
        </w:rPr>
        <w:t>…”</w:t>
      </w: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53.</w:t>
      </w:r>
      <w:r w:rsidRPr="000F54CB">
        <w:rPr>
          <w:rFonts w:ascii="Palatino Linotype" w:eastAsia="Palatino Linotype" w:hAnsi="Palatino Linotype" w:cs="Palatino Linotype"/>
          <w:i/>
          <w:sz w:val="22"/>
          <w:szCs w:val="22"/>
        </w:rPr>
        <w:t xml:space="preserve"> Las </w:t>
      </w:r>
      <w:r w:rsidRPr="000F54CB">
        <w:rPr>
          <w:rFonts w:ascii="Palatino Linotype" w:eastAsia="Palatino Linotype" w:hAnsi="Palatino Linotype" w:cs="Palatino Linotype"/>
          <w:b/>
          <w:i/>
          <w:sz w:val="22"/>
          <w:szCs w:val="22"/>
        </w:rPr>
        <w:t>Unidades de Transparencia</w:t>
      </w:r>
      <w:r w:rsidRPr="000F54CB">
        <w:rPr>
          <w:rFonts w:ascii="Palatino Linotype" w:eastAsia="Palatino Linotype" w:hAnsi="Palatino Linotype" w:cs="Palatino Linotype"/>
          <w:i/>
          <w:sz w:val="22"/>
          <w:szCs w:val="22"/>
        </w:rPr>
        <w:t xml:space="preserve"> tendrán las siguientes </w:t>
      </w:r>
      <w:r w:rsidRPr="000F54CB">
        <w:rPr>
          <w:rFonts w:ascii="Palatino Linotype" w:eastAsia="Palatino Linotype" w:hAnsi="Palatino Linotype" w:cs="Palatino Linotype"/>
          <w:b/>
          <w:i/>
          <w:sz w:val="22"/>
          <w:szCs w:val="22"/>
        </w:rPr>
        <w:t>funciones</w:t>
      </w:r>
      <w:r w:rsidRPr="000F54CB">
        <w:rPr>
          <w:rFonts w:ascii="Palatino Linotype" w:eastAsia="Palatino Linotype" w:hAnsi="Palatino Linotype" w:cs="Palatino Linotype"/>
          <w:i/>
          <w:sz w:val="22"/>
          <w:szCs w:val="22"/>
        </w:rPr>
        <w:t>:</w:t>
      </w: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X. Presentar ante el Comité, el proyecto de clasificación de información</w:t>
      </w:r>
      <w:r w:rsidRPr="000F54CB">
        <w:rPr>
          <w:rFonts w:ascii="Palatino Linotype" w:eastAsia="Palatino Linotype" w:hAnsi="Palatino Linotype" w:cs="Palatino Linotype"/>
          <w:i/>
          <w:sz w:val="22"/>
          <w:szCs w:val="22"/>
        </w:rPr>
        <w:t xml:space="preserve">…” </w:t>
      </w: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“Artículo 59.</w:t>
      </w:r>
      <w:r w:rsidRPr="000F54CB">
        <w:rPr>
          <w:rFonts w:ascii="Palatino Linotype" w:eastAsia="Palatino Linotype" w:hAnsi="Palatino Linotype" w:cs="Palatino Linotype"/>
          <w:i/>
          <w:sz w:val="22"/>
          <w:szCs w:val="22"/>
        </w:rPr>
        <w:t xml:space="preserve"> Los </w:t>
      </w:r>
      <w:r w:rsidRPr="000F54CB">
        <w:rPr>
          <w:rFonts w:ascii="Palatino Linotype" w:eastAsia="Palatino Linotype" w:hAnsi="Palatino Linotype" w:cs="Palatino Linotype"/>
          <w:b/>
          <w:i/>
          <w:sz w:val="22"/>
          <w:szCs w:val="22"/>
        </w:rPr>
        <w:t>servidores públicos habilitados</w:t>
      </w:r>
      <w:r w:rsidRPr="000F54CB">
        <w:rPr>
          <w:rFonts w:ascii="Palatino Linotype" w:eastAsia="Palatino Linotype" w:hAnsi="Palatino Linotype" w:cs="Palatino Linotype"/>
          <w:i/>
          <w:sz w:val="22"/>
          <w:szCs w:val="22"/>
        </w:rPr>
        <w:t xml:space="preserve"> tendrán las </w:t>
      </w:r>
      <w:r w:rsidRPr="000F54CB">
        <w:rPr>
          <w:rFonts w:ascii="Palatino Linotype" w:eastAsia="Palatino Linotype" w:hAnsi="Palatino Linotype" w:cs="Palatino Linotype"/>
          <w:b/>
          <w:i/>
          <w:sz w:val="22"/>
          <w:szCs w:val="22"/>
        </w:rPr>
        <w:t>funciones</w:t>
      </w:r>
      <w:r w:rsidRPr="000F54CB">
        <w:rPr>
          <w:rFonts w:ascii="Palatino Linotype" w:eastAsia="Palatino Linotype" w:hAnsi="Palatino Linotype" w:cs="Palatino Linotype"/>
          <w:i/>
          <w:sz w:val="22"/>
          <w:szCs w:val="22"/>
        </w:rPr>
        <w:t xml:space="preserve"> siguientes:</w:t>
      </w:r>
    </w:p>
    <w:p w:rsidR="00F5580C" w:rsidRPr="000F54CB" w:rsidRDefault="00B318F5">
      <w:pPr>
        <w:ind w:left="992" w:right="1043"/>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F54CB">
        <w:rPr>
          <w:rFonts w:ascii="Palatino Linotype" w:eastAsia="Palatino Linotype" w:hAnsi="Palatino Linotype" w:cs="Palatino Linotype"/>
          <w:i/>
          <w:sz w:val="22"/>
          <w:szCs w:val="22"/>
        </w:rPr>
        <w:t>, la cual tendrá los fundamentos y argumentos en que se basa dicha propuesta…”(Sic)</w:t>
      </w:r>
    </w:p>
    <w:p w:rsidR="00F5580C" w:rsidRPr="000F54CB" w:rsidRDefault="00F5580C">
      <w:pPr>
        <w:ind w:left="992" w:right="1043"/>
        <w:jc w:val="both"/>
        <w:rPr>
          <w:rFonts w:ascii="Palatino Linotype" w:eastAsia="Palatino Linotype" w:hAnsi="Palatino Linotype" w:cs="Palatino Linotype"/>
          <w:i/>
          <w:sz w:val="22"/>
          <w:szCs w:val="22"/>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0F54CB">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after="240"/>
        <w:ind w:left="993" w:right="1041"/>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Artículo 149.</w:t>
      </w:r>
      <w:r w:rsidRPr="000F54CB">
        <w:rPr>
          <w:rFonts w:ascii="Palatino Linotype" w:eastAsia="Palatino Linotype" w:hAnsi="Palatino Linotype" w:cs="Palatino Linotype"/>
          <w:i/>
          <w:sz w:val="22"/>
          <w:szCs w:val="22"/>
        </w:rPr>
        <w:t xml:space="preserve"> El </w:t>
      </w:r>
      <w:r w:rsidRPr="000F54CB">
        <w:rPr>
          <w:rFonts w:ascii="Palatino Linotype" w:eastAsia="Palatino Linotype" w:hAnsi="Palatino Linotype" w:cs="Palatino Linotype"/>
          <w:b/>
          <w:i/>
          <w:sz w:val="22"/>
          <w:szCs w:val="22"/>
        </w:rPr>
        <w:t>acuerdo que clasifique la información como confidencial</w:t>
      </w:r>
      <w:r w:rsidRPr="000F54C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F5580C" w:rsidRPr="000F54CB" w:rsidRDefault="00F5580C">
      <w:pPr>
        <w:spacing w:before="240" w:line="360" w:lineRule="auto"/>
        <w:ind w:right="51"/>
        <w:jc w:val="both"/>
        <w:rPr>
          <w:rFonts w:ascii="Palatino Linotype" w:eastAsia="Palatino Linotype" w:hAnsi="Palatino Linotype" w:cs="Palatino Linotype"/>
          <w:i/>
          <w:sz w:val="22"/>
          <w:szCs w:val="22"/>
        </w:rPr>
      </w:pPr>
    </w:p>
    <w:p w:rsidR="00F5580C" w:rsidRPr="000F54CB" w:rsidRDefault="00B318F5">
      <w:pPr>
        <w:spacing w:line="360" w:lineRule="auto"/>
        <w:ind w:right="51"/>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Es decir,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5580C" w:rsidRPr="000F54CB" w:rsidRDefault="00F5580C">
      <w:pPr>
        <w:spacing w:line="360" w:lineRule="auto"/>
        <w:ind w:right="51"/>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Al respecto, se destaca que la versión pública que elabore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debe cumplir con las formalidades exigidas en la Ley; es decir, resulta necesario que </w:t>
      </w:r>
      <w:r w:rsidRPr="000F54CB">
        <w:rPr>
          <w:rFonts w:ascii="Palatino Linotype" w:eastAsia="Palatino Linotype" w:hAnsi="Palatino Linotype" w:cs="Palatino Linotype"/>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F54C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F54CB">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F5580C" w:rsidRPr="000F54CB" w:rsidRDefault="00F5580C">
      <w:pPr>
        <w:ind w:left="709" w:right="709"/>
        <w:jc w:val="both"/>
        <w:rPr>
          <w:rFonts w:ascii="Palatino Linotype" w:eastAsia="Palatino Linotype" w:hAnsi="Palatino Linotype" w:cs="Palatino Linotype"/>
          <w:b/>
          <w:i/>
          <w:sz w:val="22"/>
          <w:szCs w:val="22"/>
        </w:rPr>
      </w:pPr>
    </w:p>
    <w:p w:rsidR="00F5580C" w:rsidRPr="000F54CB" w:rsidRDefault="00B318F5">
      <w:pPr>
        <w:ind w:left="709" w:right="709"/>
        <w:jc w:val="both"/>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r w:rsidRPr="000F54CB">
        <w:rPr>
          <w:rFonts w:ascii="Palatino Linotype" w:eastAsia="Palatino Linotype" w:hAnsi="Palatino Linotype" w:cs="Palatino Linotype"/>
          <w:b/>
          <w:i/>
          <w:sz w:val="22"/>
          <w:szCs w:val="22"/>
        </w:rPr>
        <w:t>Segundo.-</w:t>
      </w:r>
      <w:r w:rsidRPr="000F54CB">
        <w:rPr>
          <w:rFonts w:ascii="Palatino Linotype" w:eastAsia="Palatino Linotype" w:hAnsi="Palatino Linotype" w:cs="Palatino Linotype"/>
          <w:i/>
          <w:sz w:val="22"/>
          <w:szCs w:val="22"/>
        </w:rPr>
        <w:t xml:space="preserve"> Para efectos de los presentes Lineamientos Generales, se entenderá por:</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XVIII.</w:t>
      </w:r>
      <w:r w:rsidRPr="000F54CB">
        <w:rPr>
          <w:rFonts w:ascii="Palatino Linotype" w:eastAsia="Palatino Linotype" w:hAnsi="Palatino Linotype" w:cs="Palatino Linotype"/>
          <w:i/>
          <w:sz w:val="22"/>
          <w:szCs w:val="22"/>
        </w:rPr>
        <w:t xml:space="preserve"> </w:t>
      </w:r>
      <w:r w:rsidRPr="000F54CB">
        <w:rPr>
          <w:rFonts w:ascii="Palatino Linotype" w:eastAsia="Palatino Linotype" w:hAnsi="Palatino Linotype" w:cs="Palatino Linotype"/>
          <w:b/>
          <w:i/>
          <w:sz w:val="22"/>
          <w:szCs w:val="22"/>
        </w:rPr>
        <w:t>Versión pública:</w:t>
      </w:r>
      <w:r w:rsidRPr="000F54C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F54CB">
        <w:rPr>
          <w:rFonts w:ascii="Palatino Linotype" w:eastAsia="Palatino Linotype" w:hAnsi="Palatino Linotype" w:cs="Palatino Linotype"/>
          <w:b/>
          <w:i/>
          <w:sz w:val="22"/>
          <w:szCs w:val="22"/>
          <w:u w:val="single"/>
        </w:rPr>
        <w:t>fundando y motivando la</w:t>
      </w:r>
      <w:r w:rsidRPr="000F54CB">
        <w:rPr>
          <w:rFonts w:ascii="Palatino Linotype" w:eastAsia="Palatino Linotype" w:hAnsi="Palatino Linotype" w:cs="Palatino Linotype"/>
          <w:i/>
          <w:sz w:val="22"/>
          <w:szCs w:val="22"/>
        </w:rPr>
        <w:t xml:space="preserve"> reserva o </w:t>
      </w:r>
      <w:r w:rsidRPr="000F54CB">
        <w:rPr>
          <w:rFonts w:ascii="Palatino Linotype" w:eastAsia="Palatino Linotype" w:hAnsi="Palatino Linotype" w:cs="Palatino Linotype"/>
          <w:b/>
          <w:i/>
          <w:sz w:val="22"/>
          <w:szCs w:val="22"/>
          <w:u w:val="single"/>
        </w:rPr>
        <w:t>confidencialidad</w:t>
      </w:r>
      <w:r w:rsidRPr="000F54CB">
        <w:rPr>
          <w:rFonts w:ascii="Palatino Linotype" w:eastAsia="Palatino Linotype" w:hAnsi="Palatino Linotype" w:cs="Palatino Linotype"/>
          <w:i/>
          <w:sz w:val="22"/>
          <w:szCs w:val="22"/>
        </w:rPr>
        <w:t>, a través de la resolución que para tal efecto emita el Comité de Transparencia.</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Cuarto.</w:t>
      </w:r>
      <w:r w:rsidRPr="000F54C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Quinto.</w:t>
      </w:r>
      <w:r w:rsidRPr="000F54C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0F54CB">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Sexto.</w:t>
      </w:r>
      <w:r w:rsidRPr="000F54C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Séptimo.</w:t>
      </w:r>
      <w:r w:rsidRPr="000F54CB">
        <w:rPr>
          <w:rFonts w:ascii="Palatino Linotype" w:eastAsia="Palatino Linotype" w:hAnsi="Palatino Linotype" w:cs="Palatino Linotype"/>
          <w:i/>
          <w:sz w:val="22"/>
          <w:szCs w:val="22"/>
        </w:rPr>
        <w:t xml:space="preserve"> La clasificación de la información se llevará a cabo en el momento en que:</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w:t>
      </w:r>
      <w:r w:rsidRPr="000F54CB">
        <w:rPr>
          <w:rFonts w:ascii="Palatino Linotype" w:eastAsia="Palatino Linotype" w:hAnsi="Palatino Linotype" w:cs="Palatino Linotype"/>
          <w:i/>
          <w:sz w:val="22"/>
          <w:szCs w:val="22"/>
        </w:rPr>
        <w:t xml:space="preserve"> Se reciba una solicitud de acceso a la información;</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II.</w:t>
      </w:r>
      <w:r w:rsidRPr="000F54CB">
        <w:rPr>
          <w:rFonts w:ascii="Palatino Linotype" w:eastAsia="Palatino Linotype" w:hAnsi="Palatino Linotype" w:cs="Palatino Linotype"/>
          <w:i/>
          <w:sz w:val="22"/>
          <w:szCs w:val="22"/>
        </w:rPr>
        <w:t xml:space="preserve"> Se determine mediante resolución de autoridad competente, o</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III.</w:t>
      </w:r>
      <w:r w:rsidRPr="000F54C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Octavo.</w:t>
      </w:r>
      <w:r w:rsidRPr="000F54C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Noveno.</w:t>
      </w:r>
      <w:r w:rsidRPr="000F54C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Décimo.</w:t>
      </w:r>
      <w:r w:rsidRPr="000F54C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0F54CB">
        <w:rPr>
          <w:rFonts w:ascii="Palatino Linotype" w:eastAsia="Palatino Linotype" w:hAnsi="Palatino Linotype" w:cs="Palatino Linotype"/>
          <w:i/>
          <w:sz w:val="22"/>
          <w:szCs w:val="22"/>
        </w:rPr>
        <w:lastRenderedPageBreak/>
        <w:t>información clasificada, en los términos de los Lineamientos para la Organización y Conservación de Archivos.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Décimo primero.</w:t>
      </w:r>
      <w:r w:rsidRPr="000F54C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ind w:left="709" w:right="709"/>
        <w:jc w:val="center"/>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CAPÍTULO VIII</w:t>
      </w:r>
    </w:p>
    <w:p w:rsidR="00F5580C" w:rsidRPr="000F54CB" w:rsidRDefault="00B318F5">
      <w:pPr>
        <w:ind w:left="709" w:right="709"/>
        <w:jc w:val="center"/>
        <w:rPr>
          <w:rFonts w:ascii="Palatino Linotype" w:eastAsia="Palatino Linotype" w:hAnsi="Palatino Linotype" w:cs="Palatino Linotype"/>
          <w:b/>
          <w:i/>
          <w:sz w:val="22"/>
          <w:szCs w:val="22"/>
        </w:rPr>
      </w:pPr>
      <w:r w:rsidRPr="000F54CB">
        <w:rPr>
          <w:rFonts w:ascii="Palatino Linotype" w:eastAsia="Palatino Linotype" w:hAnsi="Palatino Linotype" w:cs="Palatino Linotype"/>
          <w:b/>
          <w:i/>
          <w:sz w:val="22"/>
          <w:szCs w:val="22"/>
        </w:rPr>
        <w:t>DE LA LEYENDA DE CLASIFICACIÓN</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 xml:space="preserve">Quincuagésimo. </w:t>
      </w:r>
      <w:r w:rsidRPr="000F54C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0F54C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5580C" w:rsidRPr="000F54CB" w:rsidRDefault="00B318F5">
      <w:pPr>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i/>
          <w:sz w:val="22"/>
          <w:szCs w:val="22"/>
        </w:rPr>
        <w:t>[…]</w:t>
      </w:r>
    </w:p>
    <w:p w:rsidR="00F5580C" w:rsidRPr="000F54CB" w:rsidRDefault="00B318F5">
      <w:pPr>
        <w:spacing w:after="160"/>
        <w:ind w:left="709" w:right="709"/>
        <w:jc w:val="both"/>
        <w:rPr>
          <w:rFonts w:ascii="Palatino Linotype" w:eastAsia="Palatino Linotype" w:hAnsi="Palatino Linotype" w:cs="Palatino Linotype"/>
          <w:i/>
          <w:sz w:val="22"/>
          <w:szCs w:val="22"/>
        </w:rPr>
      </w:pPr>
      <w:r w:rsidRPr="000F54CB">
        <w:rPr>
          <w:rFonts w:ascii="Palatino Linotype" w:eastAsia="Palatino Linotype" w:hAnsi="Palatino Linotype" w:cs="Palatino Linotype"/>
          <w:b/>
          <w:i/>
          <w:sz w:val="22"/>
          <w:szCs w:val="22"/>
        </w:rPr>
        <w:t xml:space="preserve">Quincuagésimo tercero. </w:t>
      </w:r>
      <w:r w:rsidRPr="000F54CB">
        <w:rPr>
          <w:rFonts w:ascii="Palatino Linotype" w:eastAsia="Palatino Linotype" w:hAnsi="Palatino Linotype" w:cs="Palatino Linotype"/>
          <w:b/>
          <w:i/>
          <w:sz w:val="22"/>
          <w:szCs w:val="22"/>
          <w:u w:val="single"/>
        </w:rPr>
        <w:t>El formato para señalar la clasificación parcial de un documento</w:t>
      </w:r>
      <w:r w:rsidRPr="000F54CB">
        <w:rPr>
          <w:rFonts w:ascii="Palatino Linotype" w:eastAsia="Palatino Linotype" w:hAnsi="Palatino Linotype" w:cs="Palatino Linotype"/>
          <w:i/>
          <w:sz w:val="22"/>
          <w:szCs w:val="22"/>
        </w:rPr>
        <w:t>, es el siguiente:</w:t>
      </w:r>
    </w:p>
    <w:tbl>
      <w:tblPr>
        <w:tblStyle w:val="a4"/>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5580C" w:rsidRPr="000F54CB">
        <w:trPr>
          <w:jc w:val="center"/>
        </w:trPr>
        <w:tc>
          <w:tcPr>
            <w:tcW w:w="1159" w:type="dxa"/>
            <w:tcBorders>
              <w:top w:val="nil"/>
              <w:left w:val="nil"/>
              <w:bottom w:val="single" w:sz="4" w:space="0" w:color="000000"/>
              <w:right w:val="single" w:sz="4" w:space="0" w:color="000000"/>
            </w:tcBorders>
          </w:tcPr>
          <w:p w:rsidR="00F5580C" w:rsidRPr="000F54CB" w:rsidRDefault="00F5580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b/>
                <w:i/>
              </w:rPr>
            </w:pPr>
            <w:r w:rsidRPr="000F54C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b/>
                <w:i/>
              </w:rPr>
            </w:pPr>
            <w:r w:rsidRPr="000F54CB">
              <w:rPr>
                <w:rFonts w:ascii="Palatino Linotype" w:eastAsia="Palatino Linotype" w:hAnsi="Palatino Linotype" w:cs="Palatino Linotype"/>
                <w:b/>
                <w:i/>
              </w:rPr>
              <w:t>Dónde:</w:t>
            </w:r>
          </w:p>
        </w:tc>
      </w:tr>
      <w:tr w:rsidR="00F5580C" w:rsidRPr="000F54C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F5580C" w:rsidRPr="000F54CB" w:rsidRDefault="00B318F5">
            <w:pPr>
              <w:jc w:val="center"/>
              <w:rPr>
                <w:rFonts w:ascii="Palatino Linotype" w:eastAsia="Palatino Linotype" w:hAnsi="Palatino Linotype" w:cs="Palatino Linotype"/>
                <w:b/>
                <w:i/>
              </w:rPr>
            </w:pPr>
            <w:r w:rsidRPr="000F54C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anotará la fecha en la que el Comité de Transparencia confirmó la clasificación del documento, en su caso.</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señalará el nombre del área del cual es titular quien clasifica.</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0F54CB">
              <w:rPr>
                <w:rFonts w:ascii="Palatino Linotype" w:eastAsia="Palatino Linotype" w:hAnsi="Palatino Linotype" w:cs="Palatino Linotype"/>
                <w:i/>
              </w:rPr>
              <w:t>anotarán</w:t>
            </w:r>
            <w:proofErr w:type="gramEnd"/>
            <w:r w:rsidRPr="000F54CB">
              <w:rPr>
                <w:rFonts w:ascii="Palatino Linotype" w:eastAsia="Palatino Linotype" w:hAnsi="Palatino Linotype" w:cs="Palatino Linotype"/>
                <w:i/>
              </w:rPr>
              <w:t xml:space="preserve"> todas las páginas que lo conforman. Si el documento no contiene información reservada, se tachará este apartado.</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anotará el número de años o meses por los que se mantendrá el documento o las partes del mismo como reservado.</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señalará el nombre del ordenamiento, el o los artículos, fracción(es), párrafo(s) con base en los cuales se sustente la reserva.</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Rúbrica autógrafa de quien clasifica.</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both"/>
              <w:rPr>
                <w:rFonts w:ascii="Palatino Linotype" w:eastAsia="Palatino Linotype" w:hAnsi="Palatino Linotype" w:cs="Palatino Linotype"/>
                <w:i/>
              </w:rPr>
            </w:pPr>
            <w:r w:rsidRPr="000F54CB">
              <w:rPr>
                <w:rFonts w:ascii="Palatino Linotype" w:eastAsia="Palatino Linotype" w:hAnsi="Palatino Linotype" w:cs="Palatino Linotype"/>
                <w:i/>
              </w:rPr>
              <w:t>Se anotará la fecha en que se desclasifica el documento.</w:t>
            </w:r>
          </w:p>
        </w:tc>
      </w:tr>
      <w:tr w:rsidR="00F5580C" w:rsidRPr="000F54C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5580C" w:rsidRPr="000F54CB" w:rsidRDefault="00F5580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5580C" w:rsidRPr="000F54CB" w:rsidRDefault="00B318F5">
            <w:pPr>
              <w:jc w:val="center"/>
              <w:rPr>
                <w:rFonts w:ascii="Palatino Linotype" w:eastAsia="Palatino Linotype" w:hAnsi="Palatino Linotype" w:cs="Palatino Linotype"/>
                <w:i/>
              </w:rPr>
            </w:pPr>
            <w:r w:rsidRPr="000F54C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5580C" w:rsidRPr="000F54CB" w:rsidRDefault="00B318F5">
            <w:pPr>
              <w:rPr>
                <w:rFonts w:ascii="Palatino Linotype" w:eastAsia="Palatino Linotype" w:hAnsi="Palatino Linotype" w:cs="Palatino Linotype"/>
                <w:i/>
              </w:rPr>
            </w:pPr>
            <w:r w:rsidRPr="000F54CB">
              <w:rPr>
                <w:rFonts w:ascii="Palatino Linotype" w:eastAsia="Palatino Linotype" w:hAnsi="Palatino Linotype" w:cs="Palatino Linotype"/>
                <w:i/>
              </w:rPr>
              <w:t>Rúbrica autógrafa de quien desclasifica.</w:t>
            </w:r>
          </w:p>
        </w:tc>
      </w:tr>
    </w:tbl>
    <w:p w:rsidR="00F5580C" w:rsidRPr="000F54CB" w:rsidRDefault="00F5580C">
      <w:pPr>
        <w:spacing w:before="240" w:line="360" w:lineRule="auto"/>
        <w:ind w:right="51"/>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hd w:val="clear" w:color="auto" w:fill="FFFFFF"/>
        <w:spacing w:line="360" w:lineRule="auto"/>
        <w:ind w:right="51"/>
        <w:jc w:val="both"/>
        <w:rPr>
          <w:rFonts w:ascii="Palatino Linotype" w:eastAsia="Palatino Linotype" w:hAnsi="Palatino Linotype" w:cs="Palatino Linotype"/>
        </w:rPr>
      </w:pPr>
      <w:r w:rsidRPr="000F54C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w:t>
      </w:r>
      <w:r w:rsidRPr="000F54CB">
        <w:rPr>
          <w:rFonts w:ascii="Palatino Linotype" w:eastAsia="Palatino Linotype" w:hAnsi="Palatino Linotype" w:cs="Palatino Linotype"/>
        </w:rPr>
        <w:lastRenderedPageBreak/>
        <w:t xml:space="preserve">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F5580C" w:rsidRPr="000F54CB" w:rsidRDefault="00F5580C">
      <w:pPr>
        <w:spacing w:line="360" w:lineRule="auto"/>
        <w:jc w:val="both"/>
        <w:rPr>
          <w:rFonts w:ascii="Palatino Linotype" w:eastAsia="Palatino Linotype" w:hAnsi="Palatino Linotype" w:cs="Palatino Linotype"/>
        </w:rPr>
      </w:pPr>
    </w:p>
    <w:p w:rsidR="00F5580C" w:rsidRPr="000F54CB" w:rsidRDefault="00B318F5">
      <w:pPr>
        <w:spacing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5580C" w:rsidRPr="000F54CB" w:rsidRDefault="00B318F5">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0F54CB">
        <w:rPr>
          <w:rFonts w:ascii="Palatino Linotype" w:eastAsia="Palatino Linotype" w:hAnsi="Palatino Linotype" w:cs="Palatino Linotype"/>
          <w:b/>
          <w:color w:val="000000"/>
          <w:sz w:val="22"/>
          <w:szCs w:val="22"/>
        </w:rPr>
        <w:t>R E S U E L V E:</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Primero. </w:t>
      </w:r>
      <w:r w:rsidRPr="000F54CB">
        <w:rPr>
          <w:rFonts w:ascii="Palatino Linotype" w:eastAsia="Palatino Linotype" w:hAnsi="Palatino Linotype" w:cs="Palatino Linotype"/>
        </w:rPr>
        <w:t xml:space="preserve">Resultan fundados los motivos de inconformidad hechos valer por el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en el Recurso de Revisión </w:t>
      </w:r>
      <w:r w:rsidRPr="000F54CB">
        <w:rPr>
          <w:rFonts w:ascii="Palatino Linotype" w:eastAsia="Palatino Linotype" w:hAnsi="Palatino Linotype" w:cs="Palatino Linotype"/>
          <w:b/>
        </w:rPr>
        <w:t xml:space="preserve">00034/INFOEM/IP/RR/2023; </w:t>
      </w:r>
      <w:r w:rsidRPr="000F54CB">
        <w:rPr>
          <w:rFonts w:ascii="Palatino Linotype" w:eastAsia="Palatino Linotype" w:hAnsi="Palatino Linotype" w:cs="Palatino Linotype"/>
        </w:rPr>
        <w:t xml:space="preserve">por lo que, </w:t>
      </w:r>
      <w:r w:rsidRPr="000F54CB">
        <w:rPr>
          <w:rFonts w:ascii="Palatino Linotype" w:eastAsia="Palatino Linotype" w:hAnsi="Palatino Linotype" w:cs="Palatino Linotype"/>
        </w:rPr>
        <w:lastRenderedPageBreak/>
        <w:t xml:space="preserve">en términos del considerando </w:t>
      </w:r>
      <w:r w:rsidRPr="000F54CB">
        <w:rPr>
          <w:rFonts w:ascii="Palatino Linotype" w:eastAsia="Palatino Linotype" w:hAnsi="Palatino Linotype" w:cs="Palatino Linotype"/>
          <w:b/>
        </w:rPr>
        <w:t xml:space="preserve">Cuarto </w:t>
      </w:r>
      <w:r w:rsidRPr="000F54CB">
        <w:rPr>
          <w:rFonts w:ascii="Palatino Linotype" w:eastAsia="Palatino Linotype" w:hAnsi="Palatino Linotype" w:cs="Palatino Linotype"/>
        </w:rPr>
        <w:t xml:space="preserve">de esta resolución, se </w:t>
      </w:r>
      <w:r w:rsidRPr="000F54CB">
        <w:rPr>
          <w:rFonts w:ascii="Palatino Linotype" w:eastAsia="Palatino Linotype" w:hAnsi="Palatino Linotype" w:cs="Palatino Linotype"/>
          <w:b/>
        </w:rPr>
        <w:t xml:space="preserve">MODIFICA </w:t>
      </w:r>
      <w:r w:rsidRPr="000F54CB">
        <w:rPr>
          <w:rFonts w:ascii="Palatino Linotype" w:eastAsia="Palatino Linotype" w:hAnsi="Palatino Linotype" w:cs="Palatino Linotype"/>
        </w:rPr>
        <w:t xml:space="preserve">la respuesta emitida por el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w:t>
      </w:r>
    </w:p>
    <w:p w:rsidR="00F5580C" w:rsidRPr="000F54CB" w:rsidRDefault="00B318F5">
      <w:pPr>
        <w:spacing w:before="240" w:after="240"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b/>
        </w:rPr>
        <w:t xml:space="preserve">Segundo. </w:t>
      </w:r>
      <w:r w:rsidRPr="000F54CB">
        <w:rPr>
          <w:rFonts w:ascii="Palatino Linotype" w:eastAsia="Palatino Linotype" w:hAnsi="Palatino Linotype" w:cs="Palatino Linotype"/>
        </w:rPr>
        <w:t>Se</w:t>
      </w:r>
      <w:r w:rsidRPr="000F54CB">
        <w:rPr>
          <w:rFonts w:ascii="Palatino Linotype" w:eastAsia="Palatino Linotype" w:hAnsi="Palatino Linotype" w:cs="Palatino Linotype"/>
          <w:b/>
        </w:rPr>
        <w:t xml:space="preserve"> ORDENA </w:t>
      </w:r>
      <w:r w:rsidRPr="000F54CB">
        <w:rPr>
          <w:rFonts w:ascii="Palatino Linotype" w:eastAsia="Palatino Linotype" w:hAnsi="Palatino Linotype" w:cs="Palatino Linotype"/>
        </w:rPr>
        <w:t xml:space="preserve">al </w:t>
      </w:r>
      <w:r w:rsidRPr="000F54CB">
        <w:rPr>
          <w:rFonts w:ascii="Palatino Linotype" w:eastAsia="Palatino Linotype" w:hAnsi="Palatino Linotype" w:cs="Palatino Linotype"/>
          <w:b/>
        </w:rPr>
        <w:t>SUJETO OBLIGADO</w:t>
      </w:r>
      <w:r w:rsidRPr="000F54CB">
        <w:rPr>
          <w:rFonts w:ascii="Palatino Linotype" w:eastAsia="Palatino Linotype" w:hAnsi="Palatino Linotype" w:cs="Palatino Linotype"/>
        </w:rPr>
        <w:t xml:space="preserve"> a que,</w:t>
      </w:r>
      <w:r w:rsidRPr="000F54CB">
        <w:rPr>
          <w:rFonts w:ascii="Palatino Linotype" w:eastAsia="Palatino Linotype" w:hAnsi="Palatino Linotype" w:cs="Palatino Linotype"/>
          <w:b/>
        </w:rPr>
        <w:t xml:space="preserve"> </w:t>
      </w:r>
      <w:r w:rsidRPr="000F54CB">
        <w:rPr>
          <w:rFonts w:ascii="Palatino Linotype" w:eastAsia="Palatino Linotype" w:hAnsi="Palatino Linotype" w:cs="Palatino Linotype"/>
        </w:rPr>
        <w:t>en términos del Considerando Cuarto y Quinto, haga entrega previa búsqueda exhaustiva y razonable, vía SAIMEX, en versión pública de ser procedente, lo siguiente:</w:t>
      </w:r>
    </w:p>
    <w:p w:rsidR="00F5580C" w:rsidRPr="000F54CB" w:rsidRDefault="00B318F5">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rPr>
        <w:t>C</w:t>
      </w:r>
      <w:r w:rsidRPr="000F54CB">
        <w:rPr>
          <w:rFonts w:ascii="Palatino Linotype" w:eastAsia="Palatino Linotype" w:hAnsi="Palatino Linotype" w:cs="Palatino Linotype"/>
          <w:color w:val="000000"/>
        </w:rPr>
        <w:t>ertificado de competencia laboral del Titular del Instituto Municipal de Cultura Física y Deporte de Toluca, vigente al veintinueve de noviembre del año dos mil veintidós.</w:t>
      </w:r>
    </w:p>
    <w:p w:rsidR="00F5580C" w:rsidRPr="000F54CB" w:rsidRDefault="00B318F5">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rPr>
        <w:t>C</w:t>
      </w:r>
      <w:r w:rsidRPr="000F54CB">
        <w:rPr>
          <w:rFonts w:ascii="Palatino Linotype" w:eastAsia="Palatino Linotype" w:hAnsi="Palatino Linotype" w:cs="Palatino Linotype"/>
          <w:color w:val="000000"/>
        </w:rPr>
        <w:t>ertificación en materia de Derechos Humanos de la Titular de la Defensoría de Derechos Humanos del Ayuntamiento de Toluca, vigente al veintinueve de noviembre del año dos mil veintidós.</w:t>
      </w:r>
    </w:p>
    <w:p w:rsidR="00F5580C" w:rsidRPr="000F54CB" w:rsidRDefault="00B318F5">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De ser procedente,</w:t>
      </w:r>
      <w:r w:rsidRPr="000F54CB">
        <w:rPr>
          <w:rFonts w:ascii="Palatino Linotype" w:eastAsia="Palatino Linotype" w:hAnsi="Palatino Linotype" w:cs="Palatino Linotype"/>
          <w:color w:val="000000"/>
        </w:rPr>
        <w:t xml:space="preserve"> </w:t>
      </w:r>
      <w:r w:rsidRPr="000F54CB">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F5580C" w:rsidRPr="000F54CB" w:rsidRDefault="00F5580C">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p>
    <w:p w:rsidR="00F5580C" w:rsidRPr="000F54CB" w:rsidRDefault="00B318F5">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r w:rsidRPr="000F54CB">
        <w:rPr>
          <w:rFonts w:ascii="Palatino Linotype" w:eastAsia="Palatino Linotype" w:hAnsi="Palatino Linotype" w:cs="Palatino Linotype"/>
          <w:i/>
          <w:color w:val="000000"/>
          <w:sz w:val="22"/>
          <w:szCs w:val="22"/>
        </w:rPr>
        <w:t>Para el caso de que no hay generado la información que se ordenar en el inciso “a”, bastara que así se lo haga saber de manera fundada y motivada en términos de lo señalado por el segundo párrafo del artículo 19 de la Ley en la materia.</w:t>
      </w:r>
    </w:p>
    <w:p w:rsidR="00F5580C" w:rsidRPr="000F54CB" w:rsidRDefault="00F5580C">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p>
    <w:p w:rsidR="00F5580C" w:rsidRPr="000F54CB" w:rsidRDefault="00B318F5">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bookmarkStart w:id="5" w:name="_heading=h.17dp8vu" w:colFirst="0" w:colLast="0"/>
      <w:bookmarkEnd w:id="5"/>
      <w:r w:rsidRPr="000F54CB">
        <w:rPr>
          <w:rFonts w:ascii="Palatino Linotype" w:eastAsia="Palatino Linotype" w:hAnsi="Palatino Linotype" w:cs="Palatino Linotype"/>
          <w:i/>
          <w:color w:val="000000"/>
          <w:sz w:val="22"/>
          <w:szCs w:val="22"/>
        </w:rPr>
        <w:t>El caso que derivado de la búsqueda exhaustiva y razonable no se localice la información que se ordena en el inciso “</w:t>
      </w:r>
      <w:r w:rsidR="00166F59" w:rsidRPr="000F54CB">
        <w:rPr>
          <w:rFonts w:ascii="Palatino Linotype" w:eastAsia="Palatino Linotype" w:hAnsi="Palatino Linotype" w:cs="Palatino Linotype"/>
          <w:i/>
          <w:color w:val="000000"/>
          <w:sz w:val="22"/>
          <w:szCs w:val="22"/>
        </w:rPr>
        <w:t>b</w:t>
      </w:r>
      <w:r w:rsidRPr="000F54CB">
        <w:rPr>
          <w:rFonts w:ascii="Palatino Linotype" w:eastAsia="Palatino Linotype" w:hAnsi="Palatino Linotype" w:cs="Palatino Linotype"/>
          <w:i/>
          <w:color w:val="000000"/>
          <w:sz w:val="22"/>
          <w:szCs w:val="22"/>
        </w:rPr>
        <w:t xml:space="preserve">”, el </w:t>
      </w:r>
      <w:r w:rsidRPr="000F54CB">
        <w:rPr>
          <w:rFonts w:ascii="Palatino Linotype" w:eastAsia="Palatino Linotype" w:hAnsi="Palatino Linotype" w:cs="Palatino Linotype"/>
          <w:b/>
          <w:i/>
          <w:color w:val="000000"/>
          <w:sz w:val="22"/>
          <w:szCs w:val="22"/>
        </w:rPr>
        <w:t>SUJETO OBLIGADO</w:t>
      </w:r>
      <w:r w:rsidRPr="000F54CB">
        <w:rPr>
          <w:rFonts w:ascii="Palatino Linotype" w:eastAsia="Palatino Linotype" w:hAnsi="Palatino Linotype" w:cs="Palatino Linotype"/>
          <w:i/>
          <w:color w:val="000000"/>
          <w:sz w:val="22"/>
          <w:szCs w:val="22"/>
        </w:rPr>
        <w:t xml:space="preserve"> deberá emitir el Acuerdo de Inexistencia en términos de los artículos 49, fracciones II y XIII, 169 y 170 de la Ley de Transparencia y Acceso a la Información Pública del Estado de México y Municipios, debiendo notificarlo a la </w:t>
      </w:r>
      <w:r w:rsidRPr="000F54CB">
        <w:rPr>
          <w:rFonts w:ascii="Palatino Linotype" w:eastAsia="Palatino Linotype" w:hAnsi="Palatino Linotype" w:cs="Palatino Linotype"/>
          <w:b/>
          <w:i/>
          <w:color w:val="000000"/>
          <w:sz w:val="22"/>
          <w:szCs w:val="22"/>
        </w:rPr>
        <w:t>RECURRENTE</w:t>
      </w:r>
      <w:r w:rsidRPr="000F54CB">
        <w:rPr>
          <w:rFonts w:ascii="Palatino Linotype" w:eastAsia="Palatino Linotype" w:hAnsi="Palatino Linotype" w:cs="Palatino Linotype"/>
          <w:i/>
          <w:color w:val="000000"/>
          <w:sz w:val="22"/>
          <w:szCs w:val="22"/>
        </w:rPr>
        <w:t xml:space="preserve"> al momento de dar cumplimiento a la presente resolución.</w:t>
      </w:r>
    </w:p>
    <w:p w:rsidR="00F5580C" w:rsidRPr="000F54CB" w:rsidRDefault="00F5580C">
      <w:pPr>
        <w:pBdr>
          <w:top w:val="nil"/>
          <w:left w:val="nil"/>
          <w:bottom w:val="nil"/>
          <w:right w:val="nil"/>
          <w:between w:val="nil"/>
        </w:pBdr>
        <w:spacing w:after="240" w:line="276" w:lineRule="auto"/>
        <w:ind w:left="720" w:right="49"/>
        <w:jc w:val="both"/>
        <w:rPr>
          <w:rFonts w:ascii="Palatino Linotype" w:eastAsia="Palatino Linotype" w:hAnsi="Palatino Linotype" w:cs="Palatino Linotype"/>
          <w:i/>
          <w:color w:val="000000"/>
          <w:sz w:val="22"/>
          <w:szCs w:val="22"/>
        </w:rPr>
      </w:pPr>
    </w:p>
    <w:p w:rsidR="00F5580C" w:rsidRPr="000F54CB" w:rsidRDefault="00B318F5">
      <w:pPr>
        <w:spacing w:before="240" w:after="240" w:line="360" w:lineRule="auto"/>
        <w:ind w:right="49"/>
        <w:jc w:val="both"/>
        <w:rPr>
          <w:rFonts w:ascii="Palatino Linotype" w:eastAsia="Palatino Linotype" w:hAnsi="Palatino Linotype" w:cs="Palatino Linotype"/>
          <w:color w:val="000000"/>
        </w:rPr>
      </w:pPr>
      <w:r w:rsidRPr="000F54CB">
        <w:rPr>
          <w:rFonts w:ascii="Palatino Linotype" w:eastAsia="Palatino Linotype" w:hAnsi="Palatino Linotype" w:cs="Palatino Linotype"/>
          <w:b/>
        </w:rPr>
        <w:lastRenderedPageBreak/>
        <w:t>Tercero. Notifíquese vía SAIMEX,</w:t>
      </w:r>
      <w:r w:rsidRPr="000F54CB">
        <w:rPr>
          <w:rFonts w:ascii="Palatino Linotype" w:eastAsia="Palatino Linotype" w:hAnsi="Palatino Linotype" w:cs="Palatino Linotype"/>
          <w:b/>
          <w:i/>
        </w:rPr>
        <w:t xml:space="preserve"> </w:t>
      </w:r>
      <w:r w:rsidRPr="000F54CB">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F5580C" w:rsidRPr="000F54CB" w:rsidRDefault="00B318F5">
      <w:pPr>
        <w:spacing w:line="360" w:lineRule="auto"/>
        <w:ind w:right="49"/>
        <w:jc w:val="both"/>
        <w:rPr>
          <w:rFonts w:ascii="Palatino Linotype" w:eastAsia="Palatino Linotype" w:hAnsi="Palatino Linotype" w:cs="Palatino Linotype"/>
        </w:rPr>
      </w:pPr>
      <w:r w:rsidRPr="000F54CB">
        <w:rPr>
          <w:rFonts w:ascii="Palatino Linotype" w:eastAsia="Palatino Linotype" w:hAnsi="Palatino Linotype" w:cs="Palatino Linotype"/>
          <w:b/>
        </w:rPr>
        <w:t>Cuarto. Notifíquese vía SAIMEX</w:t>
      </w:r>
      <w:r w:rsidRPr="000F54CB">
        <w:rPr>
          <w:rFonts w:ascii="Palatino Linotype" w:eastAsia="Palatino Linotype" w:hAnsi="Palatino Linotype" w:cs="Palatino Linotype"/>
        </w:rPr>
        <w:t xml:space="preserve">, a la parte </w:t>
      </w:r>
      <w:r w:rsidRPr="000F54CB">
        <w:rPr>
          <w:rFonts w:ascii="Palatino Linotype" w:eastAsia="Palatino Linotype" w:hAnsi="Palatino Linotype" w:cs="Palatino Linotype"/>
          <w:b/>
        </w:rPr>
        <w:t>RECURRENTE</w:t>
      </w:r>
      <w:r w:rsidRPr="000F54C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F5580C" w:rsidRPr="000F54CB" w:rsidRDefault="00B318F5">
      <w:pPr>
        <w:spacing w:before="240" w:after="240" w:line="360" w:lineRule="auto"/>
        <w:jc w:val="both"/>
        <w:rPr>
          <w:rFonts w:ascii="Palatino Linotype" w:eastAsia="Palatino Linotype" w:hAnsi="Palatino Linotype" w:cs="Palatino Linotype"/>
          <w:b/>
        </w:rPr>
      </w:pPr>
      <w:r w:rsidRPr="000F54CB">
        <w:rPr>
          <w:rFonts w:ascii="Palatino Linotype" w:eastAsia="Palatino Linotype" w:hAnsi="Palatino Linotype" w:cs="Palatino Linotype"/>
          <w:b/>
        </w:rPr>
        <w:t>Quinto.</w:t>
      </w:r>
      <w:r w:rsidRPr="000F54C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5580C" w:rsidRPr="000F54CB" w:rsidRDefault="00B318F5">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0F54CB">
        <w:rPr>
          <w:rFonts w:ascii="Palatino Linotype" w:eastAsia="Palatino Linotype" w:hAnsi="Palatino Linotype" w:cs="Palatino Linotype"/>
        </w:rPr>
        <w:t xml:space="preserve">DÉCIMA TERCERA SESIÓN ORDINARIA CELEBRADA </w:t>
      </w:r>
      <w:r w:rsidRPr="000F54CB">
        <w:rPr>
          <w:rFonts w:ascii="Palatino Linotype" w:eastAsia="Palatino Linotype" w:hAnsi="Palatino Linotype" w:cs="Palatino Linotype"/>
        </w:rPr>
        <w:lastRenderedPageBreak/>
        <w:t xml:space="preserve">EL DOCE DE ABRIL DEL DOS MIL </w:t>
      </w:r>
      <w:r w:rsidR="00B452B2" w:rsidRPr="000F54CB">
        <w:rPr>
          <w:rFonts w:ascii="Palatino Linotype" w:eastAsia="Palatino Linotype" w:hAnsi="Palatino Linotype" w:cs="Palatino Linotype"/>
        </w:rPr>
        <w:t>VEINTITRÉS</w:t>
      </w:r>
      <w:r w:rsidRPr="000F54CB">
        <w:rPr>
          <w:rFonts w:ascii="Palatino Linotype" w:eastAsia="Palatino Linotype" w:hAnsi="Palatino Linotype" w:cs="Palatino Linotype"/>
        </w:rPr>
        <w:t>, ANTE EL SECRETARIO TÉCNICO DEL PLENO ALEXIS TAPIA RAMÍREZ.</w:t>
      </w:r>
    </w:p>
    <w:p w:rsidR="00B452B2" w:rsidRDefault="00B452B2">
      <w:pPr>
        <w:spacing w:before="240" w:after="240" w:line="360" w:lineRule="auto"/>
        <w:jc w:val="both"/>
        <w:rPr>
          <w:rFonts w:ascii="Palatino Linotype" w:eastAsia="Palatino Linotype" w:hAnsi="Palatino Linotype" w:cs="Palatino Linotype"/>
        </w:rPr>
      </w:pPr>
      <w:r w:rsidRPr="000F54CB">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100964</wp:posOffset>
                </wp:positionH>
                <wp:positionV relativeFrom="paragraph">
                  <wp:posOffset>229235</wp:posOffset>
                </wp:positionV>
                <wp:extent cx="5438775" cy="61150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438775" cy="61150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3BA60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8.05pt" to="436.2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" strokecolor="#f68c36 [3049]"/>
            </w:pict>
          </mc:Fallback>
        </mc:AlternateContent>
      </w: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p w:rsidR="00B452B2" w:rsidRDefault="00B452B2">
      <w:pPr>
        <w:spacing w:before="240" w:after="240" w:line="360" w:lineRule="auto"/>
        <w:jc w:val="both"/>
        <w:rPr>
          <w:rFonts w:ascii="Palatino Linotype" w:eastAsia="Palatino Linotype" w:hAnsi="Palatino Linotype" w:cs="Palatino Linotype"/>
        </w:rPr>
      </w:pPr>
    </w:p>
    <w:sectPr w:rsidR="00B452B2">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427" w:rsidRDefault="00AE6427">
      <w:r>
        <w:separator/>
      </w:r>
    </w:p>
  </w:endnote>
  <w:endnote w:type="continuationSeparator" w:id="0">
    <w:p w:rsidR="00AE6427" w:rsidRDefault="00AE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0C" w:rsidRDefault="00B318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679E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679E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F5580C" w:rsidRDefault="00F558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0C" w:rsidRDefault="00B318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679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679E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F5580C" w:rsidRDefault="00F558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427" w:rsidRDefault="00AE6427">
      <w:r>
        <w:separator/>
      </w:r>
    </w:p>
  </w:footnote>
  <w:footnote w:type="continuationSeparator" w:id="0">
    <w:p w:rsidR="00AE6427" w:rsidRDefault="00AE6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0C" w:rsidRDefault="00B318F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F5580C">
      <w:tc>
        <w:tcPr>
          <w:tcW w:w="2489" w:type="dxa"/>
          <w:shd w:val="clear" w:color="auto" w:fill="auto"/>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5580C" w:rsidRDefault="00B318F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00034/INFOEM/IP/RR/2023</w:t>
          </w:r>
        </w:p>
      </w:tc>
    </w:tr>
    <w:tr w:rsidR="00F5580C">
      <w:trPr>
        <w:trHeight w:val="228"/>
      </w:trPr>
      <w:tc>
        <w:tcPr>
          <w:tcW w:w="2489" w:type="dxa"/>
          <w:shd w:val="clear" w:color="auto" w:fill="auto"/>
          <w:vAlign w:val="center"/>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5580C" w:rsidRDefault="00B318F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5580C">
      <w:tc>
        <w:tcPr>
          <w:tcW w:w="2489" w:type="dxa"/>
          <w:shd w:val="clear" w:color="auto" w:fill="auto"/>
          <w:vAlign w:val="center"/>
        </w:tcPr>
        <w:p w:rsidR="00F5580C" w:rsidRDefault="00B318F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5580C" w:rsidRDefault="00B318F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5580C" w:rsidRDefault="00B318F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0C" w:rsidRDefault="00F5580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F5580C">
      <w:tc>
        <w:tcPr>
          <w:tcW w:w="2551" w:type="dxa"/>
          <w:shd w:val="clear" w:color="auto" w:fill="auto"/>
          <w:vAlign w:val="center"/>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5580C" w:rsidRDefault="00B318F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00034/INFOEM/IP/RR/2023</w:t>
          </w:r>
        </w:p>
      </w:tc>
    </w:tr>
    <w:tr w:rsidR="00F5580C">
      <w:trPr>
        <w:trHeight w:val="130"/>
      </w:trPr>
      <w:tc>
        <w:tcPr>
          <w:tcW w:w="2551" w:type="dxa"/>
          <w:shd w:val="clear" w:color="auto" w:fill="auto"/>
          <w:vAlign w:val="center"/>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5580C" w:rsidRDefault="00F679E7" w:rsidP="00F679E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F5580C">
      <w:trPr>
        <w:trHeight w:val="228"/>
      </w:trPr>
      <w:tc>
        <w:tcPr>
          <w:tcW w:w="2551" w:type="dxa"/>
          <w:shd w:val="clear" w:color="auto" w:fill="auto"/>
          <w:vAlign w:val="center"/>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5580C" w:rsidRDefault="00B318F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5580C">
      <w:tc>
        <w:tcPr>
          <w:tcW w:w="2551" w:type="dxa"/>
          <w:shd w:val="clear" w:color="auto" w:fill="auto"/>
          <w:vAlign w:val="center"/>
        </w:tcPr>
        <w:p w:rsidR="00F5580C" w:rsidRDefault="00B318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5580C" w:rsidRDefault="00B318F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5580C" w:rsidRDefault="00B318F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02814"/>
    <w:multiLevelType w:val="multilevel"/>
    <w:tmpl w:val="721658AA"/>
    <w:lvl w:ilvl="0">
      <w:start w:val="1"/>
      <w:numFmt w:val="lowerLetter"/>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4572C7C"/>
    <w:multiLevelType w:val="multilevel"/>
    <w:tmpl w:val="872656B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EF50ACB"/>
    <w:multiLevelType w:val="multilevel"/>
    <w:tmpl w:val="7D98C5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0071501"/>
    <w:multiLevelType w:val="multilevel"/>
    <w:tmpl w:val="DE0C3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80C"/>
    <w:rsid w:val="000B525B"/>
    <w:rsid w:val="000F54CB"/>
    <w:rsid w:val="00166F59"/>
    <w:rsid w:val="005010F9"/>
    <w:rsid w:val="005F48AA"/>
    <w:rsid w:val="00787AD4"/>
    <w:rsid w:val="008D4EAD"/>
    <w:rsid w:val="00A95546"/>
    <w:rsid w:val="00AE6427"/>
    <w:rsid w:val="00B318F5"/>
    <w:rsid w:val="00B452B2"/>
    <w:rsid w:val="00F203FD"/>
    <w:rsid w:val="00F5580C"/>
    <w:rsid w:val="00F679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C4B80-AE5F-4BD1-855D-6F0E334F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1614.page" TargetMode="External"/><Relationship Id="rId13" Type="http://schemas.openxmlformats.org/officeDocument/2006/relationships/hyperlink" Target="https://saimex.org.mx/saimex/solicitud/downloadAttach/1686592.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686591.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7161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saimex.org.mx/saimex/solicitud/downloadAttach/167161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671615.page" TargetMode="External"/><Relationship Id="rId14" Type="http://schemas.openxmlformats.org/officeDocument/2006/relationships/hyperlink" Target="https://saimex.org.mx/saimex/solicitud/downloadAttach/1686593.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eScMmDG9QgFlPSYsOs+LMH3EA==">AMUW2mWSrFWs27H1mE3IdYZFUPYu0mg+dpA53qiC+spH56aFUO3jTX0F32cQovrNK5La1wuj+eCPBf6JSnp8xPsmcWJyocLzfqmxztV1Sxt3rFpyElyZW9USs7o+BEIxnaSwzBV5dkP9YCDMV9Ff8Q4tR9oCM7y16kkuNXzDV6wGq9QOX4An6m4=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12329</Words>
  <Characters>67814</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2023-04-14T16:11:00Z</cp:lastPrinted>
  <dcterms:created xsi:type="dcterms:W3CDTF">2023-04-19T20:54:00Z</dcterms:created>
  <dcterms:modified xsi:type="dcterms:W3CDTF">2023-04-19T20:54:00Z</dcterms:modified>
</cp:coreProperties>
</file>