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96FFF" w14:textId="77777777" w:rsidR="00515A88" w:rsidRPr="00D05B59" w:rsidRDefault="00096237">
      <w:pP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6C5A1E" w:rsidRPr="00D05B59">
        <w:rPr>
          <w:rFonts w:ascii="Palatino Linotype" w:eastAsia="Palatino Linotype" w:hAnsi="Palatino Linotype" w:cs="Palatino Linotype"/>
          <w:b/>
        </w:rPr>
        <w:t>doce de abril</w:t>
      </w:r>
      <w:r w:rsidR="00E740D5" w:rsidRPr="00D05B59">
        <w:rPr>
          <w:rFonts w:ascii="Palatino Linotype" w:eastAsia="Palatino Linotype" w:hAnsi="Palatino Linotype" w:cs="Palatino Linotype"/>
          <w:b/>
        </w:rPr>
        <w:t xml:space="preserve"> de dos mil veintitré</w:t>
      </w:r>
      <w:r w:rsidRPr="00D05B59">
        <w:rPr>
          <w:rFonts w:ascii="Palatino Linotype" w:eastAsia="Palatino Linotype" w:hAnsi="Palatino Linotype" w:cs="Palatino Linotype"/>
          <w:b/>
        </w:rPr>
        <w:t>s</w:t>
      </w:r>
      <w:r w:rsidRPr="00D05B59">
        <w:rPr>
          <w:rFonts w:ascii="Palatino Linotype" w:eastAsia="Palatino Linotype" w:hAnsi="Palatino Linotype" w:cs="Palatino Linotype"/>
        </w:rPr>
        <w:t xml:space="preserve">. </w:t>
      </w:r>
    </w:p>
    <w:p w14:paraId="70BA414E" w14:textId="1E583010" w:rsidR="00515A88" w:rsidRPr="00D05B59" w:rsidRDefault="00096237">
      <w:pP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b/>
        </w:rPr>
        <w:t>Visto</w:t>
      </w:r>
      <w:r w:rsidRPr="00D05B59">
        <w:rPr>
          <w:rFonts w:ascii="Palatino Linotype" w:eastAsia="Palatino Linotype" w:hAnsi="Palatino Linotype" w:cs="Palatino Linotype"/>
        </w:rPr>
        <w:t xml:space="preserve"> el expediente formado con motivo del recurso de revisión </w:t>
      </w:r>
      <w:r w:rsidR="006C5A1E" w:rsidRPr="00D05B59">
        <w:rPr>
          <w:rFonts w:ascii="Palatino Linotype" w:eastAsia="Palatino Linotype" w:hAnsi="Palatino Linotype" w:cs="Palatino Linotype"/>
          <w:b/>
        </w:rPr>
        <w:t>14754</w:t>
      </w:r>
      <w:r w:rsidR="005B47E5" w:rsidRPr="00D05B59">
        <w:rPr>
          <w:rFonts w:ascii="Palatino Linotype" w:eastAsia="Palatino Linotype" w:hAnsi="Palatino Linotype" w:cs="Palatino Linotype"/>
          <w:b/>
        </w:rPr>
        <w:t>/INFOEM/IP/RR/2022</w:t>
      </w:r>
      <w:r w:rsidRPr="00D05B59">
        <w:rPr>
          <w:rFonts w:ascii="Palatino Linotype" w:eastAsia="Palatino Linotype" w:hAnsi="Palatino Linotype" w:cs="Palatino Linotype"/>
        </w:rPr>
        <w:t>, interpuesto por</w:t>
      </w:r>
      <w:r w:rsidRPr="00D05B59">
        <w:rPr>
          <w:rFonts w:ascii="Palatino Linotype" w:eastAsia="Palatino Linotype" w:hAnsi="Palatino Linotype" w:cs="Palatino Linotype"/>
          <w:b/>
        </w:rPr>
        <w:t xml:space="preserve"> </w:t>
      </w:r>
      <w:r w:rsidR="008455D4">
        <w:rPr>
          <w:rFonts w:ascii="Palatino Linotype" w:eastAsia="Palatino Linotype" w:hAnsi="Palatino Linotype" w:cs="Palatino Linotype"/>
          <w:b/>
        </w:rPr>
        <w:t>XXXXXXX XXXXXX XXXXXXX</w:t>
      </w:r>
      <w:r w:rsidRPr="00D05B59">
        <w:rPr>
          <w:rFonts w:ascii="Palatino Linotype" w:eastAsia="Palatino Linotype" w:hAnsi="Palatino Linotype" w:cs="Palatino Linotype"/>
          <w:b/>
        </w:rPr>
        <w:t xml:space="preserve">, </w:t>
      </w:r>
      <w:r w:rsidRPr="00D05B59">
        <w:rPr>
          <w:rFonts w:ascii="Palatino Linotype" w:eastAsia="Palatino Linotype" w:hAnsi="Palatino Linotype" w:cs="Palatino Linotype"/>
        </w:rPr>
        <w:t>quien en lo sucesivo</w:t>
      </w:r>
      <w:r w:rsidRPr="00D05B59">
        <w:rPr>
          <w:rFonts w:ascii="Palatino Linotype" w:eastAsia="Palatino Linotype" w:hAnsi="Palatino Linotype" w:cs="Palatino Linotype"/>
          <w:b/>
        </w:rPr>
        <w:t xml:space="preserve"> </w:t>
      </w:r>
      <w:r w:rsidR="00CD2849" w:rsidRPr="00D05B59">
        <w:rPr>
          <w:rFonts w:ascii="Palatino Linotype" w:eastAsia="Palatino Linotype" w:hAnsi="Palatino Linotype" w:cs="Palatino Linotype"/>
        </w:rPr>
        <w:t>será identificada</w:t>
      </w:r>
      <w:r w:rsidRPr="00D05B59">
        <w:rPr>
          <w:rFonts w:ascii="Palatino Linotype" w:eastAsia="Palatino Linotype" w:hAnsi="Palatino Linotype" w:cs="Palatino Linotype"/>
        </w:rPr>
        <w:t xml:space="preserve"> como </w:t>
      </w:r>
      <w:r w:rsidR="00834379" w:rsidRPr="00D05B59">
        <w:rPr>
          <w:rFonts w:ascii="Palatino Linotype" w:eastAsia="Palatino Linotype" w:hAnsi="Palatino Linotype" w:cs="Palatino Linotype"/>
          <w:b/>
        </w:rPr>
        <w:t>la</w:t>
      </w:r>
      <w:r w:rsidRPr="00D05B59">
        <w:rPr>
          <w:rFonts w:ascii="Palatino Linotype" w:eastAsia="Palatino Linotype" w:hAnsi="Palatino Linotype" w:cs="Palatino Linotype"/>
        </w:rPr>
        <w:t xml:space="preserve"> </w:t>
      </w:r>
      <w:r w:rsidRPr="00D05B59">
        <w:rPr>
          <w:rFonts w:ascii="Palatino Linotype" w:eastAsia="Palatino Linotype" w:hAnsi="Palatino Linotype" w:cs="Palatino Linotype"/>
          <w:b/>
        </w:rPr>
        <w:t>Recurrente,</w:t>
      </w:r>
      <w:r w:rsidRPr="00D05B59">
        <w:rPr>
          <w:rFonts w:ascii="Palatino Linotype" w:eastAsia="Palatino Linotype" w:hAnsi="Palatino Linotype" w:cs="Palatino Linotype"/>
        </w:rPr>
        <w:t xml:space="preserve"> en contra de la respuesta del </w:t>
      </w:r>
      <w:r w:rsidR="006C5A1E" w:rsidRPr="00D05B59">
        <w:rPr>
          <w:rFonts w:ascii="Palatino Linotype" w:eastAsia="Palatino Linotype" w:hAnsi="Palatino Linotype" w:cs="Palatino Linotype"/>
          <w:b/>
        </w:rPr>
        <w:t>Sistema Municipal Para el Desarrollo Integral de la Familia de Tlalnepantla de Baz</w:t>
      </w:r>
      <w:r w:rsidRPr="00D05B59">
        <w:rPr>
          <w:rFonts w:ascii="Palatino Linotype" w:eastAsia="Palatino Linotype" w:hAnsi="Palatino Linotype" w:cs="Palatino Linotype"/>
          <w:b/>
        </w:rPr>
        <w:t xml:space="preserve">, </w:t>
      </w:r>
      <w:r w:rsidRPr="00D05B59">
        <w:rPr>
          <w:rFonts w:ascii="Palatino Linotype" w:eastAsia="Palatino Linotype" w:hAnsi="Palatino Linotype" w:cs="Palatino Linotype"/>
        </w:rPr>
        <w:t xml:space="preserve">en lo sucesivo el </w:t>
      </w:r>
      <w:r w:rsidRPr="00D05B59">
        <w:rPr>
          <w:rFonts w:ascii="Palatino Linotype" w:eastAsia="Palatino Linotype" w:hAnsi="Palatino Linotype" w:cs="Palatino Linotype"/>
          <w:b/>
        </w:rPr>
        <w:t xml:space="preserve">Sujeto Obligado, </w:t>
      </w:r>
      <w:r w:rsidRPr="00D05B59">
        <w:rPr>
          <w:rFonts w:ascii="Palatino Linotype" w:eastAsia="Palatino Linotype" w:hAnsi="Palatino Linotype" w:cs="Palatino Linotype"/>
        </w:rPr>
        <w:t xml:space="preserve">se procede a dictar la presente resolución con base en los siguientes: </w:t>
      </w:r>
    </w:p>
    <w:p w14:paraId="34684BF7" w14:textId="77777777" w:rsidR="00515A88" w:rsidRPr="00D05B59" w:rsidRDefault="00096237">
      <w:pPr>
        <w:spacing w:before="240" w:after="240" w:line="360" w:lineRule="auto"/>
        <w:jc w:val="center"/>
        <w:rPr>
          <w:rFonts w:ascii="Palatino Linotype" w:eastAsia="Palatino Linotype" w:hAnsi="Palatino Linotype" w:cs="Palatino Linotype"/>
          <w:b/>
          <w:sz w:val="28"/>
          <w:szCs w:val="28"/>
        </w:rPr>
      </w:pPr>
      <w:r w:rsidRPr="00D05B59">
        <w:rPr>
          <w:rFonts w:ascii="Palatino Linotype" w:eastAsia="Palatino Linotype" w:hAnsi="Palatino Linotype" w:cs="Palatino Linotype"/>
          <w:b/>
        </w:rPr>
        <w:t>I. A N T E C E D E N T E S</w:t>
      </w:r>
    </w:p>
    <w:p w14:paraId="20371BAC" w14:textId="77777777" w:rsidR="00515A88" w:rsidRPr="00D05B59" w:rsidRDefault="00096237">
      <w:pP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b/>
        </w:rPr>
        <w:t>1. Solicitud de acceso a la información.</w:t>
      </w:r>
      <w:r w:rsidRPr="00D05B59">
        <w:rPr>
          <w:rFonts w:ascii="Palatino Linotype" w:eastAsia="Palatino Linotype" w:hAnsi="Palatino Linotype" w:cs="Palatino Linotype"/>
        </w:rPr>
        <w:t xml:space="preserve"> El </w:t>
      </w:r>
      <w:r w:rsidR="006C5A1E" w:rsidRPr="00D05B59">
        <w:rPr>
          <w:rFonts w:ascii="Palatino Linotype" w:eastAsia="Palatino Linotype" w:hAnsi="Palatino Linotype" w:cs="Palatino Linotype"/>
          <w:b/>
        </w:rPr>
        <w:t>trece de julio</w:t>
      </w:r>
      <w:r w:rsidRPr="00D05B59">
        <w:rPr>
          <w:rFonts w:ascii="Palatino Linotype" w:eastAsia="Palatino Linotype" w:hAnsi="Palatino Linotype" w:cs="Palatino Linotype"/>
          <w:b/>
        </w:rPr>
        <w:t xml:space="preserve"> de dos mil veintidós,</w:t>
      </w:r>
      <w:r w:rsidRPr="00D05B59">
        <w:rPr>
          <w:rFonts w:ascii="Palatino Linotype" w:eastAsia="Palatino Linotype" w:hAnsi="Palatino Linotype" w:cs="Palatino Linotype"/>
        </w:rPr>
        <w:t xml:space="preserve"> </w:t>
      </w:r>
      <w:r w:rsidR="00CE2686" w:rsidRPr="00D05B59">
        <w:rPr>
          <w:rFonts w:ascii="Palatino Linotype" w:eastAsia="Palatino Linotype" w:hAnsi="Palatino Linotype" w:cs="Palatino Linotype"/>
          <w:b/>
        </w:rPr>
        <w:t>la</w:t>
      </w:r>
      <w:r w:rsidRPr="00D05B59">
        <w:rPr>
          <w:rFonts w:ascii="Palatino Linotype" w:eastAsia="Palatino Linotype" w:hAnsi="Palatino Linotype" w:cs="Palatino Linotype"/>
        </w:rPr>
        <w:t xml:space="preserve"> </w:t>
      </w:r>
      <w:r w:rsidRPr="00D05B59">
        <w:rPr>
          <w:rFonts w:ascii="Palatino Linotype" w:eastAsia="Palatino Linotype" w:hAnsi="Palatino Linotype" w:cs="Palatino Linotype"/>
          <w:b/>
        </w:rPr>
        <w:t xml:space="preserve">Recurrente </w:t>
      </w:r>
      <w:r w:rsidRPr="00D05B59">
        <w:rPr>
          <w:rFonts w:ascii="Palatino Linotype" w:eastAsia="Palatino Linotype" w:hAnsi="Palatino Linotype" w:cs="Palatino Linotype"/>
        </w:rPr>
        <w:t>presentó a través del Sistema de Acceso a la Información Mexiquense (</w:t>
      </w:r>
      <w:r w:rsidRPr="00D05B59">
        <w:rPr>
          <w:rFonts w:ascii="Palatino Linotype" w:eastAsia="Palatino Linotype" w:hAnsi="Palatino Linotype" w:cs="Palatino Linotype"/>
          <w:b/>
        </w:rPr>
        <w:t>SAIMEX),</w:t>
      </w:r>
      <w:r w:rsidRPr="00D05B59">
        <w:rPr>
          <w:rFonts w:ascii="Palatino Linotype" w:eastAsia="Palatino Linotype" w:hAnsi="Palatino Linotype" w:cs="Palatino Linotype"/>
        </w:rPr>
        <w:t xml:space="preserve"> la solicitud de acceso a la información pública registrada con el número </w:t>
      </w:r>
      <w:r w:rsidR="006C5A1E" w:rsidRPr="00D05B59">
        <w:rPr>
          <w:rFonts w:ascii="Palatino Linotype" w:eastAsia="Palatino Linotype" w:hAnsi="Palatino Linotype" w:cs="Palatino Linotype"/>
          <w:b/>
        </w:rPr>
        <w:t>00106/DIFTLALNE/IP/2022</w:t>
      </w:r>
      <w:r w:rsidRPr="00D05B59">
        <w:rPr>
          <w:rFonts w:ascii="Palatino Linotype" w:eastAsia="Palatino Linotype" w:hAnsi="Palatino Linotype" w:cs="Palatino Linotype"/>
          <w:b/>
        </w:rPr>
        <w:t xml:space="preserve">, </w:t>
      </w:r>
      <w:r w:rsidRPr="00D05B59">
        <w:rPr>
          <w:rFonts w:ascii="Palatino Linotype" w:eastAsia="Palatino Linotype" w:hAnsi="Palatino Linotype" w:cs="Palatino Linotype"/>
        </w:rPr>
        <w:t xml:space="preserve">mediante la cual requirió la información siguiente: </w:t>
      </w:r>
    </w:p>
    <w:p w14:paraId="7D2D6042" w14:textId="77777777" w:rsidR="000B55B6" w:rsidRPr="00D05B59" w:rsidRDefault="00096237" w:rsidP="00834379">
      <w:pPr>
        <w:spacing w:before="240" w:after="240" w:line="276" w:lineRule="auto"/>
        <w:ind w:left="567" w:right="900"/>
        <w:jc w:val="both"/>
        <w:rPr>
          <w:rFonts w:ascii="Palatino Linotype" w:eastAsia="Palatino Linotype" w:hAnsi="Palatino Linotype" w:cs="Palatino Linotype"/>
          <w:b/>
          <w:i/>
          <w:sz w:val="22"/>
          <w:szCs w:val="22"/>
        </w:rPr>
      </w:pPr>
      <w:bookmarkStart w:id="0" w:name="_heading=h.gjdgxs" w:colFirst="0" w:colLast="0"/>
      <w:bookmarkEnd w:id="0"/>
      <w:r w:rsidRPr="00D05B59">
        <w:rPr>
          <w:rFonts w:ascii="Palatino Linotype" w:eastAsia="Palatino Linotype" w:hAnsi="Palatino Linotype" w:cs="Palatino Linotype"/>
          <w:i/>
          <w:sz w:val="22"/>
          <w:szCs w:val="22"/>
        </w:rPr>
        <w:t>“</w:t>
      </w:r>
      <w:r w:rsidR="006C5A1E" w:rsidRPr="00D05B59">
        <w:rPr>
          <w:rFonts w:ascii="Palatino Linotype" w:eastAsia="Palatino Linotype" w:hAnsi="Palatino Linotype" w:cs="Palatino Linotype"/>
          <w:i/>
          <w:sz w:val="22"/>
          <w:szCs w:val="22"/>
        </w:rPr>
        <w:t>Se solicita del Sujeto Obligado lo siguiente</w:t>
      </w:r>
      <w:r w:rsidR="006C5A1E" w:rsidRPr="00D05B59">
        <w:rPr>
          <w:rFonts w:ascii="Palatino Linotype" w:eastAsia="Palatino Linotype" w:hAnsi="Palatino Linotype" w:cs="Palatino Linotype"/>
          <w:b/>
          <w:i/>
          <w:sz w:val="22"/>
          <w:szCs w:val="22"/>
        </w:rPr>
        <w:t>: 1) Listado de las Cédulas de Bases de Datos Personales (CBDP) con las que cuenta, 2) Copia individual de todas y cada una de las CBDP referidas en el listado del numeral previo, 3) Avisos de Privacidad Integrales vigentes, 4) Avisos de Privacidad Simplificados vigentes, 4) Versión Pública de los Documentos de Seguridad, 5) Todos los informes PASAI de los ejercicios fiscales 2018, 2019, 2020, 2021 y primer trimestre de 2022.</w:t>
      </w:r>
      <w:r w:rsidRPr="00D05B59">
        <w:rPr>
          <w:rFonts w:ascii="Palatino Linotype" w:eastAsia="Palatino Linotype" w:hAnsi="Palatino Linotype" w:cs="Palatino Linotype"/>
          <w:i/>
          <w:sz w:val="22"/>
          <w:szCs w:val="22"/>
        </w:rPr>
        <w:t>” (Sic)</w:t>
      </w:r>
      <w:r w:rsidR="00834379" w:rsidRPr="00D05B59">
        <w:rPr>
          <w:rFonts w:ascii="Palatino Linotype" w:eastAsia="Palatino Linotype" w:hAnsi="Palatino Linotype" w:cs="Palatino Linotype"/>
          <w:i/>
          <w:sz w:val="22"/>
          <w:szCs w:val="22"/>
        </w:rPr>
        <w:t xml:space="preserve"> (Énfasis añadido)</w:t>
      </w:r>
    </w:p>
    <w:p w14:paraId="50D2CED1" w14:textId="77777777" w:rsidR="00E740D5" w:rsidRPr="00D05B59" w:rsidRDefault="00096237" w:rsidP="006C5A1E">
      <w:pP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b/>
        </w:rPr>
        <w:lastRenderedPageBreak/>
        <w:t>Modalidad de Entrega:</w:t>
      </w:r>
      <w:r w:rsidRPr="00D05B59">
        <w:rPr>
          <w:rFonts w:ascii="Palatino Linotype" w:eastAsia="Palatino Linotype" w:hAnsi="Palatino Linotype" w:cs="Palatino Linotype"/>
        </w:rPr>
        <w:t xml:space="preserve"> A través del Sistema de Acceso a la Información Mexiquense (</w:t>
      </w:r>
      <w:r w:rsidRPr="00D05B59">
        <w:rPr>
          <w:rFonts w:ascii="Palatino Linotype" w:eastAsia="Palatino Linotype" w:hAnsi="Palatino Linotype" w:cs="Palatino Linotype"/>
          <w:b/>
        </w:rPr>
        <w:t>SAIMEX</w:t>
      </w:r>
      <w:r w:rsidRPr="00D05B59">
        <w:rPr>
          <w:rFonts w:ascii="Palatino Linotype" w:eastAsia="Palatino Linotype" w:hAnsi="Palatino Linotype" w:cs="Palatino Linotype"/>
        </w:rPr>
        <w:t>)</w:t>
      </w:r>
    </w:p>
    <w:p w14:paraId="42551818" w14:textId="77777777" w:rsidR="00515A88" w:rsidRPr="00D05B59" w:rsidRDefault="00EE57D2">
      <w:pP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b/>
        </w:rPr>
        <w:t>2</w:t>
      </w:r>
      <w:r w:rsidR="00E740D5" w:rsidRPr="00D05B59">
        <w:rPr>
          <w:rFonts w:ascii="Palatino Linotype" w:eastAsia="Palatino Linotype" w:hAnsi="Palatino Linotype" w:cs="Palatino Linotype"/>
          <w:b/>
        </w:rPr>
        <w:t xml:space="preserve">. </w:t>
      </w:r>
      <w:r w:rsidR="00096237" w:rsidRPr="00D05B59">
        <w:rPr>
          <w:rFonts w:ascii="Palatino Linotype" w:eastAsia="Palatino Linotype" w:hAnsi="Palatino Linotype" w:cs="Palatino Linotype"/>
          <w:b/>
        </w:rPr>
        <w:t xml:space="preserve">Respuesta. </w:t>
      </w:r>
      <w:r w:rsidR="00096237" w:rsidRPr="00D05B59">
        <w:rPr>
          <w:rFonts w:ascii="Palatino Linotype" w:eastAsia="Palatino Linotype" w:hAnsi="Palatino Linotype" w:cs="Palatino Linotype"/>
        </w:rPr>
        <w:t xml:space="preserve"> El </w:t>
      </w:r>
      <w:r w:rsidR="006C5A1E" w:rsidRPr="00D05B59">
        <w:rPr>
          <w:rFonts w:ascii="Palatino Linotype" w:eastAsia="Palatino Linotype" w:hAnsi="Palatino Linotype" w:cs="Palatino Linotype"/>
          <w:b/>
        </w:rPr>
        <w:t>veintiséis</w:t>
      </w:r>
      <w:r w:rsidRPr="00D05B59">
        <w:rPr>
          <w:rFonts w:ascii="Palatino Linotype" w:eastAsia="Palatino Linotype" w:hAnsi="Palatino Linotype" w:cs="Palatino Linotype"/>
          <w:b/>
        </w:rPr>
        <w:t xml:space="preserve"> de </w:t>
      </w:r>
      <w:r w:rsidR="006C5A1E" w:rsidRPr="00D05B59">
        <w:rPr>
          <w:rFonts w:ascii="Palatino Linotype" w:eastAsia="Palatino Linotype" w:hAnsi="Palatino Linotype" w:cs="Palatino Linotype"/>
          <w:b/>
        </w:rPr>
        <w:t>agosto</w:t>
      </w:r>
      <w:r w:rsidR="00096237" w:rsidRPr="00D05B59">
        <w:rPr>
          <w:rFonts w:ascii="Palatino Linotype" w:eastAsia="Palatino Linotype" w:hAnsi="Palatino Linotype" w:cs="Palatino Linotype"/>
          <w:b/>
        </w:rPr>
        <w:t xml:space="preserve"> de dos mil veintidós</w:t>
      </w:r>
      <w:r w:rsidR="00096237" w:rsidRPr="00D05B59">
        <w:rPr>
          <w:rFonts w:ascii="Palatino Linotype" w:eastAsia="Palatino Linotype" w:hAnsi="Palatino Linotype" w:cs="Palatino Linotype"/>
        </w:rPr>
        <w:t xml:space="preserve">, el </w:t>
      </w:r>
      <w:r w:rsidR="00096237" w:rsidRPr="00D05B59">
        <w:rPr>
          <w:rFonts w:ascii="Palatino Linotype" w:eastAsia="Palatino Linotype" w:hAnsi="Palatino Linotype" w:cs="Palatino Linotype"/>
          <w:b/>
        </w:rPr>
        <w:t>Sujeto Obligado</w:t>
      </w:r>
      <w:r w:rsidR="00096237" w:rsidRPr="00D05B59">
        <w:rPr>
          <w:rFonts w:ascii="Palatino Linotype" w:eastAsia="Palatino Linotype" w:hAnsi="Palatino Linotype" w:cs="Palatino Linotype"/>
        </w:rPr>
        <w:t xml:space="preserve"> respondió a la solicitud de acceso a la información en los términos siguientes:   </w:t>
      </w:r>
    </w:p>
    <w:p w14:paraId="558A2756" w14:textId="77777777" w:rsidR="006C5A1E" w:rsidRPr="00D05B59" w:rsidRDefault="00096237" w:rsidP="006C5A1E">
      <w:pPr>
        <w:spacing w:before="240" w:after="240" w:line="276" w:lineRule="auto"/>
        <w:ind w:left="851"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w:t>
      </w:r>
      <w:r w:rsidR="006C5A1E" w:rsidRPr="00D05B5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13E72F" w14:textId="77777777" w:rsidR="006C5A1E" w:rsidRPr="00D05B59" w:rsidRDefault="006C5A1E" w:rsidP="006C5A1E">
      <w:pPr>
        <w:spacing w:before="240" w:after="240" w:line="276" w:lineRule="auto"/>
        <w:ind w:left="851"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Me refiero a la Solicitud de Información Pública con número de folio 00106/DIFTLALNE/IP/2022, en consecuencia, se emite la presente respuesta en atención a lo dispuesto en los artículos 12 segundo párrafo, 18, 19, 59 fracciones I, II y III y 163 primer párrafo de la Ley de Transparencia y Acceso a la Información Pública del Estado de México y Municipios, para los efectos legales a que haya lugar.</w:t>
      </w:r>
    </w:p>
    <w:p w14:paraId="0698C0DB" w14:textId="77777777" w:rsidR="006C5A1E" w:rsidRPr="00D05B59" w:rsidRDefault="006C5A1E" w:rsidP="006C5A1E">
      <w:pPr>
        <w:spacing w:before="240" w:after="240" w:line="276" w:lineRule="auto"/>
        <w:ind w:left="851"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ATENTAMENTE</w:t>
      </w:r>
    </w:p>
    <w:p w14:paraId="2D2B4FAD" w14:textId="77777777" w:rsidR="00515A88" w:rsidRPr="00D05B59" w:rsidRDefault="006C5A1E" w:rsidP="006C5A1E">
      <w:pPr>
        <w:spacing w:before="240" w:after="240" w:line="276" w:lineRule="auto"/>
        <w:ind w:left="851"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LIC. BRUNO JORGE ORTA JIMENEZ</w:t>
      </w:r>
      <w:r w:rsidR="00834379" w:rsidRPr="00D05B59">
        <w:rPr>
          <w:rFonts w:ascii="Palatino Linotype" w:eastAsia="Palatino Linotype" w:hAnsi="Palatino Linotype" w:cs="Palatino Linotype"/>
          <w:i/>
          <w:sz w:val="22"/>
          <w:szCs w:val="22"/>
        </w:rPr>
        <w:t>” (S</w:t>
      </w:r>
      <w:r w:rsidR="00096237" w:rsidRPr="00D05B59">
        <w:rPr>
          <w:rFonts w:ascii="Palatino Linotype" w:eastAsia="Palatino Linotype" w:hAnsi="Palatino Linotype" w:cs="Palatino Linotype"/>
          <w:i/>
          <w:sz w:val="22"/>
          <w:szCs w:val="22"/>
        </w:rPr>
        <w:t>ic)</w:t>
      </w:r>
      <w:r w:rsidR="00834379" w:rsidRPr="00D05B59">
        <w:rPr>
          <w:rFonts w:ascii="Palatino Linotype" w:eastAsia="Palatino Linotype" w:hAnsi="Palatino Linotype" w:cs="Palatino Linotype"/>
          <w:i/>
          <w:sz w:val="22"/>
          <w:szCs w:val="22"/>
        </w:rPr>
        <w:t xml:space="preserve"> </w:t>
      </w:r>
    </w:p>
    <w:p w14:paraId="719C6993" w14:textId="77777777" w:rsidR="00084E8B" w:rsidRPr="00D05B59" w:rsidRDefault="00096237" w:rsidP="00084E8B">
      <w:pPr>
        <w:spacing w:before="240" w:after="240" w:line="276" w:lineRule="auto"/>
        <w:ind w:left="851" w:right="900"/>
        <w:jc w:val="both"/>
        <w:rPr>
          <w:rFonts w:ascii="Palatino Linotype" w:eastAsia="Palatino Linotype" w:hAnsi="Palatino Linotype" w:cs="Palatino Linotype"/>
          <w:b/>
          <w:sz w:val="22"/>
          <w:szCs w:val="22"/>
        </w:rPr>
      </w:pPr>
      <w:r w:rsidRPr="00D05B59">
        <w:rPr>
          <w:rFonts w:ascii="Palatino Linotype" w:eastAsia="Palatino Linotype" w:hAnsi="Palatino Linotype" w:cs="Palatino Linotype"/>
          <w:b/>
          <w:sz w:val="22"/>
          <w:szCs w:val="22"/>
        </w:rPr>
        <w:t>Archivos adjuntos:</w:t>
      </w:r>
    </w:p>
    <w:p w14:paraId="188B226B" w14:textId="77777777" w:rsidR="006C5A1E" w:rsidRPr="00D05B59" w:rsidRDefault="006C5A1E" w:rsidP="006C5A1E">
      <w:pPr>
        <w:spacing w:before="240" w:after="240" w:line="360" w:lineRule="auto"/>
        <w:ind w:left="851" w:right="900"/>
        <w:jc w:val="both"/>
        <w:rPr>
          <w:rFonts w:ascii="Palatino Linotype" w:eastAsia="Palatino Linotype" w:hAnsi="Palatino Linotype" w:cs="Palatino Linotype"/>
          <w:szCs w:val="22"/>
        </w:rPr>
      </w:pPr>
      <w:r w:rsidRPr="00D05B59">
        <w:rPr>
          <w:rFonts w:ascii="Palatino Linotype" w:eastAsia="Palatino Linotype" w:hAnsi="Palatino Linotype" w:cs="Palatino Linotype"/>
          <w:b/>
          <w:i/>
          <w:sz w:val="22"/>
          <w:szCs w:val="22"/>
        </w:rPr>
        <w:t xml:space="preserve">“SAIMEX 106.zip”: </w:t>
      </w:r>
      <w:r w:rsidRPr="00D05B59">
        <w:rPr>
          <w:rFonts w:ascii="Palatino Linotype" w:eastAsia="Palatino Linotype" w:hAnsi="Palatino Linotype" w:cs="Palatino Linotype"/>
          <w:szCs w:val="22"/>
        </w:rPr>
        <w:t>Carpeta comprimida que contiene treinta y cinco documentos de seguridad.</w:t>
      </w:r>
    </w:p>
    <w:p w14:paraId="2CB419A5" w14:textId="77777777" w:rsidR="006C5A1E" w:rsidRPr="00D05B59" w:rsidRDefault="006C5A1E" w:rsidP="006C5A1E">
      <w:pPr>
        <w:spacing w:before="240" w:after="240" w:line="276" w:lineRule="auto"/>
        <w:ind w:left="851" w:right="900"/>
        <w:jc w:val="both"/>
        <w:rPr>
          <w:rFonts w:ascii="Palatino Linotype" w:eastAsia="Palatino Linotype" w:hAnsi="Palatino Linotype" w:cs="Palatino Linotype"/>
          <w:szCs w:val="22"/>
        </w:rPr>
      </w:pPr>
      <w:r w:rsidRPr="00D05B59">
        <w:rPr>
          <w:rFonts w:ascii="Palatino Linotype" w:eastAsia="Palatino Linotype" w:hAnsi="Palatino Linotype" w:cs="Palatino Linotype"/>
          <w:noProof/>
          <w:szCs w:val="22"/>
        </w:rPr>
        <w:lastRenderedPageBreak/>
        <w:drawing>
          <wp:inline distT="0" distB="0" distL="0" distR="0" wp14:anchorId="7FBD01D6" wp14:editId="10FC73A9">
            <wp:extent cx="4265137" cy="7086600"/>
            <wp:effectExtent l="19050" t="19050" r="2159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3061" cy="7099766"/>
                    </a:xfrm>
                    <a:prstGeom prst="rect">
                      <a:avLst/>
                    </a:prstGeom>
                    <a:ln>
                      <a:solidFill>
                        <a:schemeClr val="tx1"/>
                      </a:solidFill>
                    </a:ln>
                  </pic:spPr>
                </pic:pic>
              </a:graphicData>
            </a:graphic>
          </wp:inline>
        </w:drawing>
      </w:r>
    </w:p>
    <w:p w14:paraId="1448A051" w14:textId="77777777" w:rsidR="006C5A1E" w:rsidRPr="00D05B59" w:rsidRDefault="006C5A1E" w:rsidP="006C5A1E">
      <w:pPr>
        <w:spacing w:before="240" w:after="240" w:line="276" w:lineRule="auto"/>
        <w:ind w:left="851" w:right="900"/>
        <w:jc w:val="both"/>
        <w:rPr>
          <w:rFonts w:ascii="Palatino Linotype" w:eastAsia="Palatino Linotype" w:hAnsi="Palatino Linotype" w:cs="Palatino Linotype"/>
          <w:sz w:val="22"/>
          <w:szCs w:val="22"/>
        </w:rPr>
      </w:pPr>
      <w:r w:rsidRPr="00D05B59">
        <w:rPr>
          <w:rFonts w:ascii="Palatino Linotype" w:eastAsia="Palatino Linotype" w:hAnsi="Palatino Linotype" w:cs="Palatino Linotype"/>
          <w:b/>
          <w:i/>
          <w:sz w:val="22"/>
          <w:szCs w:val="22"/>
        </w:rPr>
        <w:lastRenderedPageBreak/>
        <w:t xml:space="preserve">“SAIMEX 106 anexo Listado CBDP.pdf”: </w:t>
      </w:r>
      <w:r w:rsidRPr="00D05B59">
        <w:rPr>
          <w:rFonts w:ascii="Palatino Linotype" w:eastAsia="Palatino Linotype" w:hAnsi="Palatino Linotype" w:cs="Palatino Linotype"/>
          <w:szCs w:val="22"/>
        </w:rPr>
        <w:t>Listado de 225 cédulas de bases de datos personales (CBDP) del Sujeto Obligado.</w:t>
      </w:r>
    </w:p>
    <w:p w14:paraId="413B00F1" w14:textId="77777777" w:rsidR="006C5A1E" w:rsidRPr="00D05B59" w:rsidRDefault="006C5A1E" w:rsidP="006C5A1E">
      <w:pPr>
        <w:spacing w:before="240" w:after="240" w:line="276" w:lineRule="auto"/>
        <w:ind w:left="851" w:right="900"/>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b/>
          <w:i/>
          <w:noProof/>
          <w:sz w:val="22"/>
          <w:szCs w:val="22"/>
        </w:rPr>
        <w:drawing>
          <wp:inline distT="0" distB="0" distL="0" distR="0" wp14:anchorId="3FEDC794" wp14:editId="200E408D">
            <wp:extent cx="4299075" cy="5657850"/>
            <wp:effectExtent l="19050" t="19050" r="2540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3003" cy="5663020"/>
                    </a:xfrm>
                    <a:prstGeom prst="rect">
                      <a:avLst/>
                    </a:prstGeom>
                    <a:ln>
                      <a:solidFill>
                        <a:schemeClr val="tx1"/>
                      </a:solidFill>
                    </a:ln>
                  </pic:spPr>
                </pic:pic>
              </a:graphicData>
            </a:graphic>
          </wp:inline>
        </w:drawing>
      </w:r>
    </w:p>
    <w:p w14:paraId="0F9FFC43" w14:textId="77777777" w:rsidR="003E2D6B" w:rsidRPr="00D05B59" w:rsidRDefault="006C5A1E" w:rsidP="006F783B">
      <w:pPr>
        <w:spacing w:before="240" w:after="240" w:line="360" w:lineRule="auto"/>
        <w:ind w:left="851" w:right="900"/>
        <w:jc w:val="both"/>
        <w:rPr>
          <w:rFonts w:ascii="Palatino Linotype" w:eastAsia="Palatino Linotype" w:hAnsi="Palatino Linotype" w:cs="Palatino Linotype"/>
          <w:szCs w:val="22"/>
        </w:rPr>
      </w:pPr>
      <w:r w:rsidRPr="00D05B59">
        <w:rPr>
          <w:rFonts w:ascii="Palatino Linotype" w:eastAsia="Palatino Linotype" w:hAnsi="Palatino Linotype" w:cs="Palatino Linotype"/>
          <w:b/>
          <w:i/>
          <w:sz w:val="22"/>
          <w:szCs w:val="22"/>
        </w:rPr>
        <w:t xml:space="preserve">“OFICIO CONTESTACION.PDF”: </w:t>
      </w:r>
      <w:r w:rsidRPr="00D05B59">
        <w:rPr>
          <w:rFonts w:ascii="Palatino Linotype" w:eastAsia="Palatino Linotype" w:hAnsi="Palatino Linotype" w:cs="Palatino Linotype"/>
          <w:szCs w:val="22"/>
        </w:rPr>
        <w:t xml:space="preserve">Documento que se compone de cinco fojas, en el que el Sujeto Obligado señala que </w:t>
      </w:r>
      <w:r w:rsidR="006F783B" w:rsidRPr="00D05B59">
        <w:rPr>
          <w:rFonts w:ascii="Palatino Linotype" w:eastAsia="Palatino Linotype" w:hAnsi="Palatino Linotype" w:cs="Palatino Linotype"/>
          <w:szCs w:val="22"/>
        </w:rPr>
        <w:t xml:space="preserve">las cédulas de </w:t>
      </w:r>
      <w:r w:rsidR="006F783B" w:rsidRPr="00D05B59">
        <w:rPr>
          <w:rFonts w:ascii="Palatino Linotype" w:eastAsia="Palatino Linotype" w:hAnsi="Palatino Linotype" w:cs="Palatino Linotype"/>
          <w:szCs w:val="22"/>
        </w:rPr>
        <w:lastRenderedPageBreak/>
        <w:t xml:space="preserve">bases de dato se clasificaron como reservadas, remite los avisos de privacidad, por cuanto hace a los documentos de seguridad, se decidió entregar una versión pública. </w:t>
      </w:r>
    </w:p>
    <w:p w14:paraId="079D6099" w14:textId="77777777" w:rsidR="006F783B" w:rsidRPr="00D05B59" w:rsidRDefault="006F783B" w:rsidP="006F783B">
      <w:pPr>
        <w:spacing w:before="240" w:after="240" w:line="360" w:lineRule="auto"/>
        <w:ind w:left="851" w:right="900"/>
        <w:jc w:val="both"/>
        <w:rPr>
          <w:rFonts w:ascii="Palatino Linotype" w:eastAsia="Palatino Linotype" w:hAnsi="Palatino Linotype" w:cs="Palatino Linotype"/>
          <w:szCs w:val="22"/>
        </w:rPr>
      </w:pPr>
      <w:r w:rsidRPr="00D05B59">
        <w:rPr>
          <w:rFonts w:ascii="Palatino Linotype" w:eastAsia="Palatino Linotype" w:hAnsi="Palatino Linotype" w:cs="Palatino Linotype"/>
          <w:noProof/>
          <w:sz w:val="22"/>
          <w:szCs w:val="22"/>
        </w:rPr>
        <w:drawing>
          <wp:anchor distT="0" distB="0" distL="114300" distR="114300" simplePos="0" relativeHeight="251673600" behindDoc="0" locked="0" layoutInCell="1" allowOverlap="1" wp14:anchorId="5DCF1525" wp14:editId="6C6B27EC">
            <wp:simplePos x="0" y="0"/>
            <wp:positionH relativeFrom="column">
              <wp:posOffset>1253490</wp:posOffset>
            </wp:positionH>
            <wp:positionV relativeFrom="paragraph">
              <wp:posOffset>872490</wp:posOffset>
            </wp:positionV>
            <wp:extent cx="3590925" cy="5057775"/>
            <wp:effectExtent l="19050" t="19050" r="28575" b="2857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90925" cy="5057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05B59">
        <w:rPr>
          <w:rFonts w:ascii="Palatino Linotype" w:eastAsia="Palatino Linotype" w:hAnsi="Palatino Linotype" w:cs="Palatino Linotype"/>
          <w:szCs w:val="22"/>
        </w:rPr>
        <w:t>Finalmente, respecto a los informes PASAI de los ejercicios fiscales 2018, 2019, 2021 y primer trimestre de 2022, se declaró la inexistencia de estas documentales.</w:t>
      </w:r>
    </w:p>
    <w:p w14:paraId="3B8F8148" w14:textId="77777777" w:rsidR="00084E8B" w:rsidRPr="00D05B59" w:rsidRDefault="00A514DD" w:rsidP="00834379">
      <w:pPr>
        <w:spacing w:before="240" w:after="240" w:line="360" w:lineRule="auto"/>
        <w:ind w:right="49"/>
        <w:jc w:val="both"/>
        <w:rPr>
          <w:rFonts w:ascii="Palatino Linotype" w:eastAsia="Palatino Linotype" w:hAnsi="Palatino Linotype" w:cs="Palatino Linotype"/>
        </w:rPr>
      </w:pPr>
      <w:r w:rsidRPr="00D05B59">
        <w:rPr>
          <w:rFonts w:ascii="Palatino Linotype" w:eastAsia="Palatino Linotype" w:hAnsi="Palatino Linotype" w:cs="Palatino Linotype"/>
          <w:b/>
        </w:rPr>
        <w:lastRenderedPageBreak/>
        <w:t>3</w:t>
      </w:r>
      <w:r w:rsidR="00096237" w:rsidRPr="00D05B59">
        <w:rPr>
          <w:rFonts w:ascii="Palatino Linotype" w:eastAsia="Palatino Linotype" w:hAnsi="Palatino Linotype" w:cs="Palatino Linotype"/>
          <w:b/>
        </w:rPr>
        <w:t xml:space="preserve">. Interposición del recurso de revisión.  </w:t>
      </w:r>
      <w:r w:rsidR="00096237" w:rsidRPr="00D05B59">
        <w:rPr>
          <w:rFonts w:ascii="Palatino Linotype" w:eastAsia="Palatino Linotype" w:hAnsi="Palatino Linotype" w:cs="Palatino Linotype"/>
        </w:rPr>
        <w:t xml:space="preserve">El </w:t>
      </w:r>
      <w:r w:rsidR="006F783B" w:rsidRPr="00D05B59">
        <w:rPr>
          <w:rFonts w:ascii="Palatino Linotype" w:eastAsia="Palatino Linotype" w:hAnsi="Palatino Linotype" w:cs="Palatino Linotype"/>
          <w:b/>
        </w:rPr>
        <w:t>catorce</w:t>
      </w:r>
      <w:r w:rsidR="00843C1A" w:rsidRPr="00D05B59">
        <w:rPr>
          <w:rFonts w:ascii="Palatino Linotype" w:eastAsia="Palatino Linotype" w:hAnsi="Palatino Linotype" w:cs="Palatino Linotype"/>
          <w:b/>
        </w:rPr>
        <w:t xml:space="preserve"> de septiembre</w:t>
      </w:r>
      <w:r w:rsidR="00834379" w:rsidRPr="00D05B59">
        <w:rPr>
          <w:rFonts w:ascii="Palatino Linotype" w:eastAsia="Palatino Linotype" w:hAnsi="Palatino Linotype" w:cs="Palatino Linotype"/>
          <w:b/>
        </w:rPr>
        <w:t xml:space="preserve"> de dos mil veintidós, la</w:t>
      </w:r>
      <w:r w:rsidR="00843C1A" w:rsidRPr="00D05B59">
        <w:rPr>
          <w:rFonts w:ascii="Palatino Linotype" w:eastAsia="Palatino Linotype" w:hAnsi="Palatino Linotype" w:cs="Palatino Linotype"/>
          <w:b/>
        </w:rPr>
        <w:t xml:space="preserve"> </w:t>
      </w:r>
      <w:r w:rsidR="00096237" w:rsidRPr="00D05B59">
        <w:rPr>
          <w:rFonts w:ascii="Palatino Linotype" w:eastAsia="Palatino Linotype" w:hAnsi="Palatino Linotype" w:cs="Palatino Linotype"/>
          <w:b/>
        </w:rPr>
        <w:t xml:space="preserve">Recurrente, </w:t>
      </w:r>
      <w:r w:rsidR="00096237" w:rsidRPr="00D05B59">
        <w:rPr>
          <w:rFonts w:ascii="Palatino Linotype" w:eastAsia="Palatino Linotype" w:hAnsi="Palatino Linotype" w:cs="Palatino Linotype"/>
        </w:rPr>
        <w:t>inconforme con la respuesta, presentó el recurso de revisión a través del cual expresó lo siguiente:</w:t>
      </w:r>
    </w:p>
    <w:p w14:paraId="0B5F8DBD" w14:textId="77777777" w:rsidR="00515A88" w:rsidRPr="00D05B59" w:rsidRDefault="00096237">
      <w:pPr>
        <w:spacing w:before="240" w:after="240" w:line="360" w:lineRule="auto"/>
        <w:ind w:left="567"/>
        <w:rPr>
          <w:rFonts w:ascii="Palatino Linotype" w:eastAsia="Palatino Linotype" w:hAnsi="Palatino Linotype" w:cs="Palatino Linotype"/>
          <w:b/>
        </w:rPr>
      </w:pPr>
      <w:r w:rsidRPr="00D05B59">
        <w:rPr>
          <w:rFonts w:ascii="Palatino Linotype" w:eastAsia="Palatino Linotype" w:hAnsi="Palatino Linotype" w:cs="Palatino Linotype"/>
          <w:b/>
        </w:rPr>
        <w:t>a) Acto impugnado.</w:t>
      </w:r>
    </w:p>
    <w:p w14:paraId="6BCD3252" w14:textId="77777777" w:rsidR="00515A88" w:rsidRPr="00D05B59" w:rsidRDefault="00096237">
      <w:pPr>
        <w:spacing w:before="240" w:after="240" w:line="276" w:lineRule="auto"/>
        <w:ind w:left="851"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w:t>
      </w:r>
      <w:r w:rsidR="006F783B" w:rsidRPr="00D05B59">
        <w:rPr>
          <w:rFonts w:ascii="Palatino Linotype" w:eastAsia="Palatino Linotype" w:hAnsi="Palatino Linotype" w:cs="Palatino Linotype"/>
          <w:i/>
          <w:sz w:val="22"/>
          <w:szCs w:val="22"/>
        </w:rPr>
        <w:t>Información incompleta y que no corresponde a lo solicitado.</w:t>
      </w:r>
      <w:r w:rsidRPr="00D05B59">
        <w:rPr>
          <w:rFonts w:ascii="Palatino Linotype" w:eastAsia="Palatino Linotype" w:hAnsi="Palatino Linotype" w:cs="Palatino Linotype"/>
          <w:i/>
          <w:sz w:val="22"/>
          <w:szCs w:val="22"/>
        </w:rPr>
        <w:t>” (Sic)</w:t>
      </w:r>
    </w:p>
    <w:p w14:paraId="3A106981" w14:textId="77777777" w:rsidR="00515A88" w:rsidRPr="00D05B59" w:rsidRDefault="00096237">
      <w:pPr>
        <w:spacing w:before="240" w:after="240" w:line="360" w:lineRule="auto"/>
        <w:ind w:left="567"/>
        <w:jc w:val="both"/>
        <w:rPr>
          <w:rFonts w:ascii="Palatino Linotype" w:eastAsia="Palatino Linotype" w:hAnsi="Palatino Linotype" w:cs="Palatino Linotype"/>
          <w:b/>
        </w:rPr>
      </w:pPr>
      <w:r w:rsidRPr="00D05B59">
        <w:rPr>
          <w:rFonts w:ascii="Palatino Linotype" w:eastAsia="Palatino Linotype" w:hAnsi="Palatino Linotype" w:cs="Palatino Linotype"/>
          <w:b/>
        </w:rPr>
        <w:t>b) Motivos de inconformidad.</w:t>
      </w:r>
    </w:p>
    <w:p w14:paraId="22AC3B21" w14:textId="77777777" w:rsidR="00515A88" w:rsidRPr="00D05B59" w:rsidRDefault="00096237">
      <w:pPr>
        <w:spacing w:before="240" w:after="240" w:line="276" w:lineRule="auto"/>
        <w:ind w:left="851"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w:t>
      </w:r>
      <w:r w:rsidR="006F783B" w:rsidRPr="00D05B59">
        <w:rPr>
          <w:rFonts w:ascii="Palatino Linotype" w:eastAsia="Palatino Linotype" w:hAnsi="Palatino Linotype" w:cs="Palatino Linotype"/>
          <w:b/>
          <w:i/>
          <w:sz w:val="22"/>
          <w:szCs w:val="22"/>
        </w:rPr>
        <w:t>No se entregaron las copias simples de las cédulas, y la información que refieren para su clasificación no actualiza los supuestos, ya que las cédulas referidas en el intranet no cuentan con datos personales. Los documentos de seguridad que refieren están incompletos.</w:t>
      </w:r>
      <w:r w:rsidRPr="00D05B59">
        <w:rPr>
          <w:rFonts w:ascii="Palatino Linotype" w:eastAsia="Palatino Linotype" w:hAnsi="Palatino Linotype" w:cs="Palatino Linotype"/>
          <w:i/>
          <w:sz w:val="22"/>
          <w:szCs w:val="22"/>
        </w:rPr>
        <w:t>” (Sic)</w:t>
      </w:r>
      <w:r w:rsidR="00CE2686" w:rsidRPr="00D05B59">
        <w:rPr>
          <w:rFonts w:ascii="Palatino Linotype" w:eastAsia="Palatino Linotype" w:hAnsi="Palatino Linotype" w:cs="Palatino Linotype"/>
          <w:i/>
          <w:sz w:val="22"/>
          <w:szCs w:val="22"/>
        </w:rPr>
        <w:t xml:space="preserve"> (Énfasis añadido)</w:t>
      </w:r>
    </w:p>
    <w:p w14:paraId="44651C7B" w14:textId="77777777" w:rsidR="00515A88" w:rsidRPr="00D05B59" w:rsidRDefault="00A514DD">
      <w:pP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b/>
        </w:rPr>
        <w:t>4</w:t>
      </w:r>
      <w:r w:rsidR="00096237" w:rsidRPr="00D05B59">
        <w:rPr>
          <w:rFonts w:ascii="Palatino Linotype" w:eastAsia="Palatino Linotype" w:hAnsi="Palatino Linotype" w:cs="Palatino Linotype"/>
          <w:b/>
        </w:rPr>
        <w:t>. Turno.</w:t>
      </w:r>
      <w:r w:rsidR="00096237" w:rsidRPr="00D05B59">
        <w:rPr>
          <w:rFonts w:ascii="Palatino Linotype" w:eastAsia="Palatino Linotype" w:hAnsi="Palatino Linotype" w:cs="Palatino Linotype"/>
          <w:b/>
          <w:sz w:val="28"/>
          <w:szCs w:val="28"/>
        </w:rPr>
        <w:t xml:space="preserve"> </w:t>
      </w:r>
      <w:r w:rsidR="00096237" w:rsidRPr="00D05B5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096237" w:rsidRPr="00D05B59">
        <w:rPr>
          <w:rFonts w:ascii="Palatino Linotype" w:eastAsia="Palatino Linotype" w:hAnsi="Palatino Linotype" w:cs="Palatino Linotype"/>
          <w:b/>
        </w:rPr>
        <w:t xml:space="preserve">Comisionada Guadalupe Ramírez Peña, </w:t>
      </w:r>
      <w:r w:rsidR="00096237" w:rsidRPr="00D05B59">
        <w:rPr>
          <w:rFonts w:ascii="Palatino Linotype" w:eastAsia="Palatino Linotype" w:hAnsi="Palatino Linotype" w:cs="Palatino Linotype"/>
        </w:rPr>
        <w:t xml:space="preserve">a efecto de que analizara sobre su admisión o su </w:t>
      </w:r>
      <w:proofErr w:type="spellStart"/>
      <w:r w:rsidR="00096237" w:rsidRPr="00D05B59">
        <w:rPr>
          <w:rFonts w:ascii="Palatino Linotype" w:eastAsia="Palatino Linotype" w:hAnsi="Palatino Linotype" w:cs="Palatino Linotype"/>
        </w:rPr>
        <w:t>desechamiento</w:t>
      </w:r>
      <w:proofErr w:type="spellEnd"/>
      <w:r w:rsidR="00096237" w:rsidRPr="00D05B59">
        <w:rPr>
          <w:rFonts w:ascii="Palatino Linotype" w:eastAsia="Palatino Linotype" w:hAnsi="Palatino Linotype" w:cs="Palatino Linotype"/>
        </w:rPr>
        <w:t>.</w:t>
      </w:r>
    </w:p>
    <w:p w14:paraId="76027D10" w14:textId="77777777" w:rsidR="00515A88" w:rsidRPr="00D05B59" w:rsidRDefault="00A514DD">
      <w:pPr>
        <w:spacing w:before="240" w:after="240" w:line="360" w:lineRule="auto"/>
        <w:jc w:val="both"/>
        <w:rPr>
          <w:rFonts w:ascii="Palatino Linotype" w:eastAsia="Palatino Linotype" w:hAnsi="Palatino Linotype" w:cs="Palatino Linotype"/>
          <w:b/>
        </w:rPr>
      </w:pPr>
      <w:r w:rsidRPr="00D05B59">
        <w:rPr>
          <w:rFonts w:ascii="Palatino Linotype" w:eastAsia="Palatino Linotype" w:hAnsi="Palatino Linotype" w:cs="Palatino Linotype"/>
          <w:b/>
        </w:rPr>
        <w:t>5</w:t>
      </w:r>
      <w:r w:rsidR="00096237" w:rsidRPr="00D05B59">
        <w:rPr>
          <w:rFonts w:ascii="Palatino Linotype" w:eastAsia="Palatino Linotype" w:hAnsi="Palatino Linotype" w:cs="Palatino Linotype"/>
          <w:b/>
        </w:rPr>
        <w:t>.</w:t>
      </w:r>
      <w:r w:rsidR="00096237" w:rsidRPr="00D05B59">
        <w:rPr>
          <w:rFonts w:ascii="Palatino Linotype" w:eastAsia="Palatino Linotype" w:hAnsi="Palatino Linotype" w:cs="Palatino Linotype"/>
          <w:b/>
          <w:i/>
        </w:rPr>
        <w:t xml:space="preserve"> </w:t>
      </w:r>
      <w:r w:rsidR="00096237" w:rsidRPr="00D05B59">
        <w:rPr>
          <w:rFonts w:ascii="Palatino Linotype" w:eastAsia="Palatino Linotype" w:hAnsi="Palatino Linotype" w:cs="Palatino Linotype"/>
          <w:b/>
        </w:rPr>
        <w:t>Admisión del Recurso de revisión.</w:t>
      </w:r>
      <w:r w:rsidR="00096237" w:rsidRPr="00D05B59">
        <w:rPr>
          <w:rFonts w:ascii="Palatino Linotype" w:eastAsia="Palatino Linotype" w:hAnsi="Palatino Linotype" w:cs="Palatino Linotype"/>
          <w:sz w:val="28"/>
          <w:szCs w:val="28"/>
        </w:rPr>
        <w:t xml:space="preserve"> El</w:t>
      </w:r>
      <w:r w:rsidR="006F783B" w:rsidRPr="00D05B59">
        <w:rPr>
          <w:rFonts w:ascii="Palatino Linotype" w:eastAsia="Palatino Linotype" w:hAnsi="Palatino Linotype" w:cs="Palatino Linotype"/>
          <w:b/>
        </w:rPr>
        <w:t xml:space="preserve"> veint</w:t>
      </w:r>
      <w:r w:rsidRPr="00D05B59">
        <w:rPr>
          <w:rFonts w:ascii="Palatino Linotype" w:eastAsia="Palatino Linotype" w:hAnsi="Palatino Linotype" w:cs="Palatino Linotype"/>
          <w:b/>
        </w:rPr>
        <w:t>e</w:t>
      </w:r>
      <w:r w:rsidR="00084E8B" w:rsidRPr="00D05B59">
        <w:rPr>
          <w:rFonts w:ascii="Palatino Linotype" w:eastAsia="Palatino Linotype" w:hAnsi="Palatino Linotype" w:cs="Palatino Linotype"/>
          <w:b/>
        </w:rPr>
        <w:t xml:space="preserve"> </w:t>
      </w:r>
      <w:r w:rsidR="00CE2686" w:rsidRPr="00D05B59">
        <w:rPr>
          <w:rFonts w:ascii="Palatino Linotype" w:eastAsia="Palatino Linotype" w:hAnsi="Palatino Linotype" w:cs="Palatino Linotype"/>
          <w:b/>
        </w:rPr>
        <w:t xml:space="preserve">de </w:t>
      </w:r>
      <w:r w:rsidR="00843C1A" w:rsidRPr="00D05B59">
        <w:rPr>
          <w:rFonts w:ascii="Palatino Linotype" w:eastAsia="Palatino Linotype" w:hAnsi="Palatino Linotype" w:cs="Palatino Linotype"/>
          <w:b/>
        </w:rPr>
        <w:t>septiembre</w:t>
      </w:r>
      <w:r w:rsidR="00096237" w:rsidRPr="00D05B59">
        <w:rPr>
          <w:rFonts w:ascii="Palatino Linotype" w:eastAsia="Palatino Linotype" w:hAnsi="Palatino Linotype" w:cs="Palatino Linotype"/>
          <w:b/>
        </w:rPr>
        <w:t xml:space="preserve"> de dos mil veintidós, </w:t>
      </w:r>
      <w:r w:rsidR="00096237" w:rsidRPr="00D05B5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w:t>
      </w:r>
      <w:r w:rsidR="00096237" w:rsidRPr="00D05B59">
        <w:rPr>
          <w:rFonts w:ascii="Palatino Linotype" w:eastAsia="Palatino Linotype" w:hAnsi="Palatino Linotype" w:cs="Palatino Linotype"/>
        </w:rPr>
        <w:lastRenderedPageBreak/>
        <w:t xml:space="preserve">las partes manifestaran lo que a su derecho resultara conveniente, ofrecieran pruebas, formularan alegatos y el </w:t>
      </w:r>
      <w:r w:rsidR="00096237" w:rsidRPr="00D05B59">
        <w:rPr>
          <w:rFonts w:ascii="Palatino Linotype" w:eastAsia="Palatino Linotype" w:hAnsi="Palatino Linotype" w:cs="Palatino Linotype"/>
          <w:b/>
        </w:rPr>
        <w:t>Sujeto Obligado</w:t>
      </w:r>
      <w:r w:rsidR="00096237" w:rsidRPr="00D05B59">
        <w:rPr>
          <w:rFonts w:ascii="Palatino Linotype" w:eastAsia="Palatino Linotype" w:hAnsi="Palatino Linotype" w:cs="Palatino Linotype"/>
        </w:rPr>
        <w:t xml:space="preserve"> presentara su informe justificado.</w:t>
      </w:r>
    </w:p>
    <w:p w14:paraId="5884BB9B" w14:textId="77777777" w:rsidR="00515A88" w:rsidRPr="00D05B59" w:rsidRDefault="00A514DD">
      <w:pPr>
        <w:widowControl w:val="0"/>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b/>
        </w:rPr>
        <w:t>6</w:t>
      </w:r>
      <w:r w:rsidR="00096237" w:rsidRPr="00D05B59">
        <w:rPr>
          <w:rFonts w:ascii="Palatino Linotype" w:eastAsia="Palatino Linotype" w:hAnsi="Palatino Linotype" w:cs="Palatino Linotype"/>
          <w:b/>
        </w:rPr>
        <w:t>. Manifestaciones</w:t>
      </w:r>
      <w:r w:rsidR="00096237" w:rsidRPr="00D05B59">
        <w:rPr>
          <w:rFonts w:ascii="Palatino Linotype" w:eastAsia="Palatino Linotype" w:hAnsi="Palatino Linotype" w:cs="Palatino Linotype"/>
        </w:rPr>
        <w:t>.</w:t>
      </w:r>
      <w:r w:rsidR="00096237" w:rsidRPr="00D05B59">
        <w:rPr>
          <w:rFonts w:ascii="Palatino Linotype" w:eastAsia="Palatino Linotype" w:hAnsi="Palatino Linotype" w:cs="Palatino Linotype"/>
          <w:sz w:val="28"/>
          <w:szCs w:val="28"/>
        </w:rPr>
        <w:t xml:space="preserve"> </w:t>
      </w:r>
      <w:r w:rsidR="00096237" w:rsidRPr="00D05B59">
        <w:rPr>
          <w:rFonts w:ascii="Palatino Linotype" w:eastAsia="Palatino Linotype" w:hAnsi="Palatino Linotype" w:cs="Palatino Linotype"/>
        </w:rPr>
        <w:t xml:space="preserve">El </w:t>
      </w:r>
      <w:r w:rsidR="00096237" w:rsidRPr="00D05B59">
        <w:rPr>
          <w:rFonts w:ascii="Palatino Linotype" w:eastAsia="Palatino Linotype" w:hAnsi="Palatino Linotype" w:cs="Palatino Linotype"/>
          <w:b/>
        </w:rPr>
        <w:t xml:space="preserve">Sujeto Obligado </w:t>
      </w:r>
      <w:r w:rsidR="00096237" w:rsidRPr="00D05B59">
        <w:rPr>
          <w:rFonts w:ascii="Palatino Linotype" w:eastAsia="Palatino Linotype" w:hAnsi="Palatino Linotype" w:cs="Palatino Linotype"/>
        </w:rPr>
        <w:t xml:space="preserve">rindió </w:t>
      </w:r>
      <w:r w:rsidRPr="00D05B59">
        <w:rPr>
          <w:rFonts w:ascii="Palatino Linotype" w:eastAsia="Palatino Linotype" w:hAnsi="Palatino Linotype" w:cs="Palatino Linotype"/>
        </w:rPr>
        <w:t xml:space="preserve">su </w:t>
      </w:r>
      <w:r w:rsidR="00096237" w:rsidRPr="00D05B59">
        <w:rPr>
          <w:rFonts w:ascii="Palatino Linotype" w:eastAsia="Palatino Linotype" w:hAnsi="Palatino Linotype" w:cs="Palatino Linotype"/>
        </w:rPr>
        <w:t xml:space="preserve">informe justificado </w:t>
      </w:r>
      <w:r w:rsidRPr="00D05B59">
        <w:rPr>
          <w:rFonts w:ascii="Palatino Linotype" w:eastAsia="Palatino Linotype" w:hAnsi="Palatino Linotype" w:cs="Palatino Linotype"/>
        </w:rPr>
        <w:t xml:space="preserve">el </w:t>
      </w:r>
      <w:r w:rsidR="006F783B" w:rsidRPr="00D05B59">
        <w:rPr>
          <w:rFonts w:ascii="Palatino Linotype" w:eastAsia="Palatino Linotype" w:hAnsi="Palatino Linotype" w:cs="Palatino Linotype"/>
          <w:b/>
        </w:rPr>
        <w:t>veintinueve de sept</w:t>
      </w:r>
      <w:r w:rsidRPr="00D05B59">
        <w:rPr>
          <w:rFonts w:ascii="Palatino Linotype" w:eastAsia="Palatino Linotype" w:hAnsi="Palatino Linotype" w:cs="Palatino Linotype"/>
          <w:b/>
        </w:rPr>
        <w:t>iembre de dos mil veintidós</w:t>
      </w:r>
      <w:r w:rsidRPr="00D05B59">
        <w:rPr>
          <w:rFonts w:ascii="Palatino Linotype" w:eastAsia="Palatino Linotype" w:hAnsi="Palatino Linotype" w:cs="Palatino Linotype"/>
        </w:rPr>
        <w:t xml:space="preserve">, mediante </w:t>
      </w:r>
      <w:r w:rsidR="006F783B" w:rsidRPr="00D05B59">
        <w:rPr>
          <w:rFonts w:ascii="Palatino Linotype" w:eastAsia="Palatino Linotype" w:hAnsi="Palatino Linotype" w:cs="Palatino Linotype"/>
        </w:rPr>
        <w:t>los siguientes archivos electrónicos:</w:t>
      </w:r>
    </w:p>
    <w:p w14:paraId="771E1F9E" w14:textId="77777777" w:rsidR="006F783B" w:rsidRPr="00D05B59" w:rsidRDefault="006F783B" w:rsidP="006F783B">
      <w:pPr>
        <w:widowControl w:val="0"/>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b/>
          <w:i/>
        </w:rPr>
        <w:t xml:space="preserve">“InformeJustificado-RR14754-IP00106.pdf”: </w:t>
      </w:r>
      <w:r w:rsidRPr="00D05B59">
        <w:rPr>
          <w:rFonts w:ascii="Palatino Linotype" w:eastAsia="Palatino Linotype" w:hAnsi="Palatino Linotype" w:cs="Palatino Linotype"/>
        </w:rPr>
        <w:t>Archivo electrónico de ocho fojas en el que se manifiesta que se anexa carpeta con copia digital de las Cédulas de Bases de Datos Personales del Sistema Municipal DIF Tlalnepantla de Baz, de conformidad con lo establecido por los artículos 3 fracción II, 12, 18, 21, 23 fracción IV, 24, último párrafo. 59 fracciones I, II, III y 173 de Transparencia y Acceso a la Información Pública del Estado de México y Municipios, asimismo por cuanto hace a los documentos de seguridad señala que el documento de seguridad no se puede proporcionar al recurrente, por contener información de carácter confidencial, ya que podría vulnerar la seguridad sobre la protección de datos personales que obran en archivos del Sistema Municipal DIF Tlalnepantla de Baz.</w:t>
      </w:r>
      <w:r w:rsidRPr="00D05B59">
        <w:rPr>
          <w:rFonts w:ascii="Palatino Linotype" w:eastAsia="Palatino Linotype" w:hAnsi="Palatino Linotype" w:cs="Palatino Linotype"/>
          <w:b/>
          <w:i/>
        </w:rPr>
        <w:tab/>
      </w:r>
    </w:p>
    <w:p w14:paraId="59AFE955" w14:textId="77777777" w:rsidR="006F783B" w:rsidRPr="00D05B59" w:rsidRDefault="006F783B" w:rsidP="006F783B">
      <w:pPr>
        <w:widowControl w:val="0"/>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b/>
          <w:i/>
          <w:sz w:val="22"/>
        </w:rPr>
        <w:t xml:space="preserve">“CBDP-1.zip”: </w:t>
      </w:r>
      <w:r w:rsidRPr="00D05B59">
        <w:rPr>
          <w:rFonts w:ascii="Palatino Linotype" w:eastAsia="Palatino Linotype" w:hAnsi="Palatino Linotype" w:cs="Palatino Linotype"/>
        </w:rPr>
        <w:t>Carpeta comprimida que contiene 107 cédulas de bases de datos personales.</w:t>
      </w:r>
    </w:p>
    <w:p w14:paraId="4C974250" w14:textId="77777777" w:rsidR="00871C09" w:rsidRPr="00D05B59" w:rsidRDefault="006F783B" w:rsidP="006F783B">
      <w:pPr>
        <w:widowControl w:val="0"/>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rPr>
        <w:t xml:space="preserve">Es de precisar </w:t>
      </w:r>
      <w:proofErr w:type="gramStart"/>
      <w:r w:rsidRPr="00D05B59">
        <w:rPr>
          <w:rFonts w:ascii="Palatino Linotype" w:eastAsia="Palatino Linotype" w:hAnsi="Palatino Linotype" w:cs="Palatino Linotype"/>
        </w:rPr>
        <w:t>que</w:t>
      </w:r>
      <w:proofErr w:type="gramEnd"/>
      <w:r w:rsidRPr="00D05B59">
        <w:rPr>
          <w:rFonts w:ascii="Palatino Linotype" w:eastAsia="Palatino Linotype" w:hAnsi="Palatino Linotype" w:cs="Palatino Linotype"/>
        </w:rPr>
        <w:t xml:space="preserve"> una vez analizada esta documentación, se determinó poner a la vista parcialmente dichas documentales, lo anterior es así en virtud de que </w:t>
      </w:r>
      <w:r w:rsidR="00871C09" w:rsidRPr="00D05B59">
        <w:rPr>
          <w:rFonts w:ascii="Palatino Linotype" w:eastAsia="Palatino Linotype" w:hAnsi="Palatino Linotype" w:cs="Palatino Linotype"/>
        </w:rPr>
        <w:t xml:space="preserve">en las cédulas de bases de datos se dejó visible información susceptible de clasificar como confidencial, asimismo por cuanto hace a la particular, se tiene que no emitió </w:t>
      </w:r>
      <w:r w:rsidR="00871C09" w:rsidRPr="00D05B59">
        <w:rPr>
          <w:rFonts w:ascii="Palatino Linotype" w:eastAsia="Palatino Linotype" w:hAnsi="Palatino Linotype" w:cs="Palatino Linotype"/>
        </w:rPr>
        <w:lastRenderedPageBreak/>
        <w:t>alegatos, manifestaciones o pronunciamiento alguno que a su derecho conviniera, por lo que se tiene por precluido su derecho para tal efecto.</w:t>
      </w:r>
    </w:p>
    <w:p w14:paraId="61D7C822" w14:textId="77777777" w:rsidR="006F783B" w:rsidRPr="00D05B59" w:rsidRDefault="00871C09" w:rsidP="006F783B">
      <w:pPr>
        <w:widowControl w:val="0"/>
        <w:spacing w:before="240" w:after="240" w:line="360" w:lineRule="auto"/>
        <w:jc w:val="both"/>
        <w:rPr>
          <w:rFonts w:ascii="Palatino Linotype" w:eastAsia="Palatino Linotype" w:hAnsi="Palatino Linotype" w:cs="Palatino Linotype"/>
          <w:i/>
        </w:rPr>
      </w:pPr>
      <w:r w:rsidRPr="00D05B59">
        <w:rPr>
          <w:rFonts w:ascii="Palatino Linotype" w:eastAsia="Palatino Linotype" w:hAnsi="Palatino Linotype" w:cs="Palatino Linotype"/>
          <w:i/>
          <w:noProof/>
        </w:rPr>
        <w:drawing>
          <wp:inline distT="0" distB="0" distL="0" distR="0" wp14:anchorId="65E76FC2" wp14:editId="7AB75C62">
            <wp:extent cx="5612130" cy="2025650"/>
            <wp:effectExtent l="19050" t="19050" r="26670"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025650"/>
                    </a:xfrm>
                    <a:prstGeom prst="rect">
                      <a:avLst/>
                    </a:prstGeom>
                    <a:ln>
                      <a:solidFill>
                        <a:schemeClr val="tx1"/>
                      </a:solidFill>
                    </a:ln>
                  </pic:spPr>
                </pic:pic>
              </a:graphicData>
            </a:graphic>
          </wp:inline>
        </w:drawing>
      </w:r>
    </w:p>
    <w:p w14:paraId="2E25AEB9" w14:textId="77777777" w:rsidR="00084E8B" w:rsidRPr="00D05B59" w:rsidRDefault="00A514DD" w:rsidP="00084E8B">
      <w:pPr>
        <w:spacing w:before="240" w:after="240" w:line="360" w:lineRule="auto"/>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b/>
          <w:lang w:eastAsia="es-ES"/>
        </w:rPr>
        <w:t>7</w:t>
      </w:r>
      <w:r w:rsidR="00084E8B" w:rsidRPr="00D05B59">
        <w:rPr>
          <w:rFonts w:ascii="Palatino Linotype" w:eastAsia="Palatino Linotype" w:hAnsi="Palatino Linotype" w:cs="Palatino Linotype"/>
          <w:b/>
          <w:lang w:eastAsia="es-ES"/>
        </w:rPr>
        <w:t xml:space="preserve">. Ampliación de plazo. </w:t>
      </w:r>
      <w:r w:rsidR="00CE2686" w:rsidRPr="00D05B59">
        <w:rPr>
          <w:rFonts w:ascii="Palatino Linotype" w:eastAsia="Palatino Linotype" w:hAnsi="Palatino Linotype" w:cs="Palatino Linotype"/>
          <w:lang w:eastAsia="es-ES"/>
        </w:rPr>
        <w:t xml:space="preserve">El </w:t>
      </w:r>
      <w:r w:rsidR="00871C09" w:rsidRPr="00D05B59">
        <w:rPr>
          <w:rFonts w:ascii="Palatino Linotype" w:eastAsia="Palatino Linotype" w:hAnsi="Palatino Linotype" w:cs="Palatino Linotype"/>
          <w:b/>
          <w:lang w:eastAsia="es-ES"/>
        </w:rPr>
        <w:t>veintidós</w:t>
      </w:r>
      <w:r w:rsidR="00084E8B" w:rsidRPr="00D05B59">
        <w:rPr>
          <w:rFonts w:ascii="Palatino Linotype" w:eastAsia="Palatino Linotype" w:hAnsi="Palatino Linotype" w:cs="Palatino Linotype"/>
          <w:b/>
          <w:lang w:eastAsia="es-ES"/>
        </w:rPr>
        <w:t xml:space="preserve"> de </w:t>
      </w:r>
      <w:r w:rsidR="00871C09" w:rsidRPr="00D05B59">
        <w:rPr>
          <w:rFonts w:ascii="Palatino Linotype" w:eastAsia="Palatino Linotype" w:hAnsi="Palatino Linotype" w:cs="Palatino Linotype"/>
          <w:b/>
          <w:lang w:eastAsia="es-ES"/>
        </w:rPr>
        <w:t>marz</w:t>
      </w:r>
      <w:r w:rsidR="00843C1A" w:rsidRPr="00D05B59">
        <w:rPr>
          <w:rFonts w:ascii="Palatino Linotype" w:eastAsia="Palatino Linotype" w:hAnsi="Palatino Linotype" w:cs="Palatino Linotype"/>
          <w:b/>
          <w:lang w:eastAsia="es-ES"/>
        </w:rPr>
        <w:t>o de dos mil veintitré</w:t>
      </w:r>
      <w:r w:rsidR="00084E8B" w:rsidRPr="00D05B59">
        <w:rPr>
          <w:rFonts w:ascii="Palatino Linotype" w:eastAsia="Palatino Linotype" w:hAnsi="Palatino Linotype" w:cs="Palatino Linotype"/>
          <w:b/>
          <w:lang w:eastAsia="es-ES"/>
        </w:rPr>
        <w:t>s</w:t>
      </w:r>
      <w:r w:rsidR="00084E8B" w:rsidRPr="00D05B59">
        <w:rPr>
          <w:rFonts w:ascii="Palatino Linotype" w:eastAsia="Palatino Linotype" w:hAnsi="Palatino Linotype" w:cs="Palatino Linotype"/>
          <w:lang w:eastAsia="es-ES"/>
        </w:rPr>
        <w:t>, se notificó a las partes el Acuerdo de Ampli</w:t>
      </w:r>
      <w:r w:rsidR="00513B2D" w:rsidRPr="00D05B59">
        <w:rPr>
          <w:rFonts w:ascii="Palatino Linotype" w:eastAsia="Palatino Linotype" w:hAnsi="Palatino Linotype" w:cs="Palatino Linotype"/>
          <w:lang w:eastAsia="es-ES"/>
        </w:rPr>
        <w:t>ación de Plazo para resolver el medio de impugnación que nos ocupa</w:t>
      </w:r>
      <w:r w:rsidR="00084E8B" w:rsidRPr="00D05B59">
        <w:rPr>
          <w:rFonts w:ascii="Palatino Linotype" w:eastAsia="Palatino Linotype" w:hAnsi="Palatino Linotype" w:cs="Palatino Linotype"/>
          <w:lang w:eastAsia="es-ES"/>
        </w:rPr>
        <w:t>, en términos de lo dispuesto por el artículo 181, párrafo tercero de la Ley de Transparencia y Acceso a la Información Pública del Estado de México y Municipios.</w:t>
      </w:r>
    </w:p>
    <w:p w14:paraId="76ACB809" w14:textId="77777777" w:rsidR="00084E8B" w:rsidRPr="00D05B59" w:rsidRDefault="00084E8B" w:rsidP="00084E8B">
      <w:pPr>
        <w:spacing w:before="240" w:after="240" w:line="360" w:lineRule="auto"/>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lang w:eastAsia="es-ES"/>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w:t>
      </w:r>
      <w:r w:rsidR="00500DF7" w:rsidRPr="00D05B59">
        <w:rPr>
          <w:rFonts w:ascii="Palatino Linotype" w:eastAsia="Palatino Linotype" w:hAnsi="Palatino Linotype" w:cs="Palatino Linotype"/>
          <w:lang w:eastAsia="es-ES"/>
        </w:rPr>
        <w:t xml:space="preserve">dos mil veintiuno </w:t>
      </w:r>
      <w:r w:rsidRPr="00D05B59">
        <w:rPr>
          <w:rFonts w:ascii="Palatino Linotype" w:eastAsia="Palatino Linotype" w:hAnsi="Palatino Linotype" w:cs="Palatino Linotype"/>
          <w:lang w:eastAsia="es-ES"/>
        </w:rPr>
        <w:t>dentro del mismo periodo, se ha incrementado aproximadamente un 400%, circunstancia atípica que ha rebasado las capacidades técnicas y humanas del personal encargado de la proyección de las resoluciones a dichos medios de impugnación.</w:t>
      </w:r>
    </w:p>
    <w:p w14:paraId="5B1D2063" w14:textId="77777777" w:rsidR="00084E8B" w:rsidRPr="00D05B59" w:rsidRDefault="00084E8B" w:rsidP="00084E8B">
      <w:pPr>
        <w:spacing w:before="240" w:after="240" w:line="360" w:lineRule="auto"/>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lang w:eastAsia="es-ES"/>
        </w:rPr>
        <w:lastRenderedPageBreak/>
        <w:t xml:space="preserve">Por ello, es menester precisar </w:t>
      </w:r>
      <w:proofErr w:type="gramStart"/>
      <w:r w:rsidRPr="00D05B59">
        <w:rPr>
          <w:rFonts w:ascii="Palatino Linotype" w:eastAsia="Palatino Linotype" w:hAnsi="Palatino Linotype" w:cs="Palatino Linotype"/>
          <w:lang w:eastAsia="es-ES"/>
        </w:rPr>
        <w:t>que</w:t>
      </w:r>
      <w:proofErr w:type="gramEnd"/>
      <w:r w:rsidRPr="00D05B59">
        <w:rPr>
          <w:rFonts w:ascii="Palatino Linotype" w:eastAsia="Palatino Linotype" w:hAnsi="Palatino Linotype" w:cs="Palatino Linotype"/>
          <w:lang w:eastAsia="es-ES"/>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7705E32" w14:textId="77777777" w:rsidR="00084E8B" w:rsidRPr="00D05B59" w:rsidRDefault="00084E8B" w:rsidP="00084E8B">
      <w:pPr>
        <w:spacing w:before="240" w:after="240" w:line="360" w:lineRule="auto"/>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DA4AAC" w14:textId="77777777" w:rsidR="00084E8B" w:rsidRPr="00D05B59" w:rsidRDefault="00084E8B" w:rsidP="00084E8B">
      <w:pPr>
        <w:spacing w:before="240" w:after="240" w:line="360" w:lineRule="auto"/>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lang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D6FB69F" w14:textId="77777777" w:rsidR="00CE2686" w:rsidRPr="00D05B59" w:rsidRDefault="00084E8B" w:rsidP="00CE2686">
      <w:pPr>
        <w:spacing w:before="240" w:after="240" w:line="360" w:lineRule="auto"/>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lang w:eastAsia="es-ES"/>
        </w:rPr>
        <w:t>Por ello, excepcionalmente, si un asunto es resuelto con posterioridad a los plazos señalados por la norma debe analizarse la razonabilidad del tiempo necesario para su resolución atentos a los siguientes</w:t>
      </w:r>
      <w:r w:rsidR="00CE2686" w:rsidRPr="00D05B59">
        <w:rPr>
          <w:rFonts w:ascii="Palatino Linotype" w:eastAsia="Palatino Linotype" w:hAnsi="Palatino Linotype" w:cs="Palatino Linotype"/>
          <w:lang w:eastAsia="es-ES"/>
        </w:rPr>
        <w:t xml:space="preserve"> criterios:</w:t>
      </w:r>
    </w:p>
    <w:p w14:paraId="21BDE1A2" w14:textId="77777777" w:rsidR="00CE2686" w:rsidRPr="00D05B59" w:rsidRDefault="00084E8B" w:rsidP="00CE2686">
      <w:pPr>
        <w:pStyle w:val="Prrafodelista"/>
        <w:numPr>
          <w:ilvl w:val="0"/>
          <w:numId w:val="6"/>
        </w:numPr>
        <w:spacing w:before="240" w:after="240" w:line="360" w:lineRule="auto"/>
        <w:ind w:left="426" w:right="900"/>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b/>
          <w:lang w:eastAsia="es-ES"/>
        </w:rPr>
        <w:t>Complejidad del Asunto:</w:t>
      </w:r>
      <w:r w:rsidRPr="00D05B59">
        <w:rPr>
          <w:rFonts w:ascii="Palatino Linotype" w:eastAsia="Palatino Linotype" w:hAnsi="Palatino Linotype" w:cs="Palatino Linotype"/>
          <w:lang w:eastAsia="es-ES"/>
        </w:rPr>
        <w:t xml:space="preserve"> La complejidad de la prueba, la pluralidad de sujetos procesales, el tiempo transcurrido, las características y contexto del recurso. </w:t>
      </w:r>
    </w:p>
    <w:p w14:paraId="0C85BE99" w14:textId="77777777" w:rsidR="00CE2686" w:rsidRPr="00D05B59" w:rsidRDefault="00084E8B" w:rsidP="00CE2686">
      <w:pPr>
        <w:pStyle w:val="Prrafodelista"/>
        <w:numPr>
          <w:ilvl w:val="0"/>
          <w:numId w:val="6"/>
        </w:numPr>
        <w:spacing w:before="240" w:after="240" w:line="360" w:lineRule="auto"/>
        <w:ind w:left="426" w:right="900"/>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b/>
          <w:lang w:eastAsia="es-ES"/>
        </w:rPr>
        <w:lastRenderedPageBreak/>
        <w:t>Actividad Procesal del interesado.</w:t>
      </w:r>
      <w:r w:rsidRPr="00D05B59">
        <w:rPr>
          <w:rFonts w:ascii="Palatino Linotype" w:eastAsia="Palatino Linotype" w:hAnsi="Palatino Linotype" w:cs="Palatino Linotype"/>
          <w:lang w:eastAsia="es-ES"/>
        </w:rPr>
        <w:t xml:space="preserve"> Acciones u omisiones del interesado.</w:t>
      </w:r>
    </w:p>
    <w:p w14:paraId="01EDB6A6" w14:textId="77777777" w:rsidR="00CE2686" w:rsidRPr="00D05B59" w:rsidRDefault="00084E8B" w:rsidP="00CE2686">
      <w:pPr>
        <w:pStyle w:val="Prrafodelista"/>
        <w:numPr>
          <w:ilvl w:val="0"/>
          <w:numId w:val="6"/>
        </w:numPr>
        <w:spacing w:before="240" w:after="240" w:line="360" w:lineRule="auto"/>
        <w:ind w:left="426" w:right="900"/>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b/>
          <w:lang w:eastAsia="es-ES"/>
        </w:rPr>
        <w:t>Conducta de la Autoridad:</w:t>
      </w:r>
      <w:r w:rsidRPr="00D05B59">
        <w:rPr>
          <w:rFonts w:ascii="Palatino Linotype" w:eastAsia="Palatino Linotype" w:hAnsi="Palatino Linotype" w:cs="Palatino Linotype"/>
          <w:lang w:eastAsia="es-ES"/>
        </w:rPr>
        <w:t xml:space="preserve"> Las Acciones u omisiones realizadas en el procedimiento. Así como si la autoridad actuó con la debida diligencia.</w:t>
      </w:r>
    </w:p>
    <w:p w14:paraId="1784A139" w14:textId="77777777" w:rsidR="00084E8B" w:rsidRPr="00D05B59" w:rsidRDefault="00084E8B" w:rsidP="00CE2686">
      <w:pPr>
        <w:pStyle w:val="Prrafodelista"/>
        <w:numPr>
          <w:ilvl w:val="0"/>
          <w:numId w:val="6"/>
        </w:numPr>
        <w:spacing w:before="240" w:after="240" w:line="360" w:lineRule="auto"/>
        <w:ind w:left="426" w:right="900"/>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b/>
          <w:lang w:eastAsia="es-ES"/>
        </w:rPr>
        <w:t>La afectación generada en la situación jurídica de la persona involucrada en el proceso:</w:t>
      </w:r>
      <w:r w:rsidRPr="00D05B59">
        <w:rPr>
          <w:rFonts w:ascii="Palatino Linotype" w:eastAsia="Palatino Linotype" w:hAnsi="Palatino Linotype" w:cs="Palatino Linotype"/>
          <w:lang w:eastAsia="es-ES"/>
        </w:rPr>
        <w:t xml:space="preserve"> Violación a sus derechos humanos.</w:t>
      </w:r>
    </w:p>
    <w:p w14:paraId="5629D3E9" w14:textId="77777777" w:rsidR="00084E8B" w:rsidRPr="00D05B59" w:rsidRDefault="00084E8B" w:rsidP="00084E8B">
      <w:pPr>
        <w:spacing w:before="240" w:after="240" w:line="360" w:lineRule="auto"/>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DB37813" w14:textId="77777777" w:rsidR="00084E8B" w:rsidRPr="00D05B59" w:rsidRDefault="00084E8B" w:rsidP="00084E8B">
      <w:pPr>
        <w:spacing w:before="240" w:after="240" w:line="360" w:lineRule="auto"/>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lang w:eastAsia="es-ES"/>
        </w:rPr>
        <w:t xml:space="preserve">Argumento que encuentra sustento en la jurisprudencia P./J. 32/92 emitida por el Pleno de la Suprema Corte de Justicia de la Nación de rubro </w:t>
      </w:r>
      <w:r w:rsidRPr="00D05B59">
        <w:rPr>
          <w:rFonts w:ascii="Palatino Linotype" w:eastAsia="Palatino Linotype" w:hAnsi="Palatino Linotype" w:cs="Palatino Linotype"/>
          <w:i/>
          <w:lang w:eastAsia="es-ES"/>
        </w:rPr>
        <w:t>“TÉRMINOS PROCESALES. PARA DETERMINAR SI UN FUNCIONARIO JUDICIAL ACTUÓ INDEBIDAMENTE POR NO RESPETARLOS SE DEBE ATENDER AL PRESUPUESTO QUE CONSIDERÓ EL LEGISLADOR AL FIJARLOS Y LAS CARACTERÍSTICAS DEL CASO.”</w:t>
      </w:r>
      <w:r w:rsidRPr="00D05B59">
        <w:rPr>
          <w:rFonts w:ascii="Palatino Linotype" w:eastAsia="Palatino Linotype" w:hAnsi="Palatino Linotype" w:cs="Palatino Linotype"/>
          <w:lang w:eastAsia="es-ES"/>
        </w:rPr>
        <w:t>, visible en la Gaceta del Seminario Judicial de la Federación con el registro digital 205635.</w:t>
      </w:r>
    </w:p>
    <w:p w14:paraId="09122FFF" w14:textId="77777777" w:rsidR="00084E8B" w:rsidRPr="00D05B59" w:rsidRDefault="00084E8B" w:rsidP="00084E8B">
      <w:pPr>
        <w:spacing w:before="240" w:after="240" w:line="360" w:lineRule="auto"/>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lang w:eastAsia="es-E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9C7FADE" w14:textId="77777777" w:rsidR="00084E8B" w:rsidRPr="00D05B59" w:rsidRDefault="00084E8B" w:rsidP="00084E8B">
      <w:pPr>
        <w:spacing w:before="240" w:after="240" w:line="360" w:lineRule="auto"/>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lang w:eastAsia="es-ES"/>
        </w:rPr>
        <w:t>Al respecto, también son de considerar los criterios sostenidos por el Cuarto Tribunal Colegiado en Materia Administrativa del Primer Circuito, cuyos rubros y datos de identificación son los siguientes:</w:t>
      </w:r>
    </w:p>
    <w:p w14:paraId="27EFD717" w14:textId="77777777" w:rsidR="00084E8B" w:rsidRPr="00D05B59" w:rsidRDefault="00084E8B" w:rsidP="00084E8B">
      <w:pPr>
        <w:spacing w:before="240" w:after="240" w:line="360" w:lineRule="auto"/>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lang w:eastAsia="es-ES"/>
        </w:rPr>
        <w:t> </w:t>
      </w:r>
      <w:r w:rsidRPr="00D05B59">
        <w:rPr>
          <w:rFonts w:ascii="Palatino Linotype" w:eastAsia="Palatino Linotype" w:hAnsi="Palatino Linotype" w:cs="Palatino Linotype"/>
          <w:i/>
          <w:lang w:eastAsia="es-ES"/>
        </w:rPr>
        <w:t>“PLAZO RAZONABLE PARA RESOLVER. DIMENSIÓN Y EFECTOS DE ESTE CONCEPTO CUANDO SE ADUCE EXCESIVA CARGA DE TRABAJO.”</w:t>
      </w:r>
      <w:r w:rsidRPr="00D05B59">
        <w:rPr>
          <w:rFonts w:ascii="Palatino Linotype" w:eastAsia="Palatino Linotype" w:hAnsi="Palatino Linotype" w:cs="Palatino Linotype"/>
          <w:lang w:eastAsia="es-ES"/>
        </w:rPr>
        <w:t xml:space="preserve"> consultable en el Seminario Judicial de la Federación y su gaceta, con el registro digital 2002351.</w:t>
      </w:r>
    </w:p>
    <w:p w14:paraId="371B48ED" w14:textId="77777777" w:rsidR="00084E8B" w:rsidRPr="00D05B59" w:rsidRDefault="00084E8B" w:rsidP="00084E8B">
      <w:pPr>
        <w:spacing w:before="240" w:after="240" w:line="360" w:lineRule="auto"/>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i/>
          <w:lang w:eastAsia="es-ES"/>
        </w:rPr>
        <w:t>“PLAZO RAZONABLE PARA RESOLVER. CONCEPTO Y ELEMENTOS QUE LO INTEGRAN A LA LUZ DEL DERECHO INTERNACIONAL DE LOS DERECHOS HUMANOS.”</w:t>
      </w:r>
      <w:r w:rsidRPr="00D05B59">
        <w:rPr>
          <w:rFonts w:ascii="Palatino Linotype" w:eastAsia="Palatino Linotype" w:hAnsi="Palatino Linotype" w:cs="Palatino Linotype"/>
          <w:lang w:eastAsia="es-ES"/>
        </w:rPr>
        <w:t>, visible en el Seminario Judicial de la Federación y su gaceta, con el registro digital 2002350.</w:t>
      </w:r>
    </w:p>
    <w:p w14:paraId="2CC96F16" w14:textId="77777777" w:rsidR="00084E8B" w:rsidRPr="00D05B59" w:rsidRDefault="00084E8B" w:rsidP="00084E8B">
      <w:pPr>
        <w:spacing w:before="240" w:after="240" w:line="360" w:lineRule="auto"/>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lang w:eastAsia="es-ES"/>
        </w:rPr>
        <w:lastRenderedPageBreak/>
        <w:t>Por ello, este organismo garante comprometido con la tutela de los derechos humanos confiados, señala que este exceso del plazo legal para resolver el presente asunto, resulta de carácter excepcional.</w:t>
      </w:r>
    </w:p>
    <w:p w14:paraId="46B7614E" w14:textId="77777777" w:rsidR="00515A88" w:rsidRPr="00D05B59" w:rsidRDefault="00A514DD">
      <w:pP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b/>
        </w:rPr>
        <w:t>8</w:t>
      </w:r>
      <w:r w:rsidR="00096237" w:rsidRPr="00D05B59">
        <w:rPr>
          <w:rFonts w:ascii="Palatino Linotype" w:eastAsia="Palatino Linotype" w:hAnsi="Palatino Linotype" w:cs="Palatino Linotype"/>
          <w:b/>
        </w:rPr>
        <w:t xml:space="preserve">. Cierre de instrucción. </w:t>
      </w:r>
      <w:r w:rsidR="00096237" w:rsidRPr="00D05B59">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00242A7D" w:rsidRPr="00D05B59">
        <w:rPr>
          <w:rFonts w:ascii="Palatino Linotype" w:eastAsia="Palatino Linotype" w:hAnsi="Palatino Linotype" w:cs="Palatino Linotype"/>
        </w:rPr>
        <w:t xml:space="preserve">mediante acuerdo de fecha </w:t>
      </w:r>
      <w:r w:rsidR="00FF3646" w:rsidRPr="00D05B59">
        <w:rPr>
          <w:rFonts w:ascii="Palatino Linotype" w:eastAsia="Palatino Linotype" w:hAnsi="Palatino Linotype" w:cs="Palatino Linotype"/>
          <w:b/>
        </w:rPr>
        <w:t>diez de abril</w:t>
      </w:r>
      <w:r w:rsidR="00843C1A" w:rsidRPr="00D05B59">
        <w:rPr>
          <w:rFonts w:ascii="Palatino Linotype" w:eastAsia="Palatino Linotype" w:hAnsi="Palatino Linotype" w:cs="Palatino Linotype"/>
          <w:b/>
        </w:rPr>
        <w:t xml:space="preserve"> de dos mil veintitrés</w:t>
      </w:r>
      <w:r w:rsidR="00096237" w:rsidRPr="00D05B5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41CBDAA" w14:textId="77777777" w:rsidR="009B37CD" w:rsidRPr="00D05B59" w:rsidRDefault="00084E8B">
      <w:pPr>
        <w:spacing w:before="240" w:after="240" w:line="360" w:lineRule="auto"/>
        <w:jc w:val="both"/>
        <w:rPr>
          <w:rFonts w:ascii="Palatino Linotype" w:eastAsia="Palatino Linotype" w:hAnsi="Palatino Linotype" w:cs="Palatino Linotype"/>
          <w:lang w:eastAsia="es-ES"/>
        </w:rPr>
      </w:pPr>
      <w:r w:rsidRPr="00D05B59">
        <w:rPr>
          <w:rFonts w:ascii="Palatino Linotype" w:eastAsia="Palatino Linotype" w:hAnsi="Palatino Linotype" w:cs="Palatino Linotype"/>
          <w:lang w:eastAsia="es-ES"/>
        </w:rPr>
        <w:t xml:space="preserve">En razón de que fue debidamente sustanciado el expediente electrónico y no existen diligencias pendientes de desahogo, se emite la Resolución que conforme a Derecho proceda, de acuerdo con los siguientes: </w:t>
      </w:r>
    </w:p>
    <w:p w14:paraId="5DA4CB71" w14:textId="77777777" w:rsidR="00515A88" w:rsidRPr="00D05B59" w:rsidRDefault="00096237">
      <w:pPr>
        <w:widowControl w:val="0"/>
        <w:spacing w:before="240" w:after="240" w:line="360" w:lineRule="auto"/>
        <w:jc w:val="center"/>
        <w:rPr>
          <w:rFonts w:ascii="Palatino Linotype" w:eastAsia="Palatino Linotype" w:hAnsi="Palatino Linotype" w:cs="Palatino Linotype"/>
          <w:b/>
        </w:rPr>
      </w:pPr>
      <w:r w:rsidRPr="00D05B59">
        <w:rPr>
          <w:rFonts w:ascii="Palatino Linotype" w:eastAsia="Palatino Linotype" w:hAnsi="Palatino Linotype" w:cs="Palatino Linotype"/>
          <w:b/>
        </w:rPr>
        <w:t>II. C O N S I D E R A N D O</w:t>
      </w:r>
    </w:p>
    <w:p w14:paraId="161DA018" w14:textId="77777777" w:rsidR="00515A88" w:rsidRPr="00D05B59" w:rsidRDefault="00096237">
      <w:pP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b/>
        </w:rPr>
        <w:t>Primero. Competencia.</w:t>
      </w:r>
      <w:r w:rsidRPr="00D05B5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w:t>
      </w:r>
      <w:r w:rsidRPr="00D05B59">
        <w:rPr>
          <w:rFonts w:ascii="Palatino Linotype" w:eastAsia="Palatino Linotype" w:hAnsi="Palatino Linotype" w:cs="Palatino Linotype"/>
        </w:rPr>
        <w:lastRenderedPageBreak/>
        <w:t>Pública del Estado de México y Municipios; 9, fracciones I y XXIV y 11 del Reglamento Interior del Instituto de Transparencia, Acceso a la Información Pública y Protección de Datos Personales del Estado de México y Municipios.</w:t>
      </w:r>
    </w:p>
    <w:p w14:paraId="09937DBB" w14:textId="77777777" w:rsidR="00515A88" w:rsidRPr="00D05B59" w:rsidRDefault="00096237">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D05B59">
        <w:rPr>
          <w:rFonts w:ascii="Palatino Linotype" w:eastAsia="Palatino Linotype" w:hAnsi="Palatino Linotype" w:cs="Palatino Linotype"/>
          <w:b/>
        </w:rPr>
        <w:t>Segundo. Oportunidad y Procedibilidad del Recurso de Revisión</w:t>
      </w:r>
      <w:r w:rsidRPr="00D05B59">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A4B2D92" w14:textId="77777777" w:rsidR="008D7615" w:rsidRPr="00D05B59" w:rsidRDefault="00096237" w:rsidP="006D21D9">
      <w:pP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D05B59">
        <w:rPr>
          <w:rFonts w:ascii="Palatino Linotype" w:eastAsia="Palatino Linotype" w:hAnsi="Palatino Linotype" w:cs="Palatino Linotype"/>
          <w:b/>
        </w:rPr>
        <w:t>Sujeto Obligado</w:t>
      </w:r>
      <w:r w:rsidRPr="00D05B59">
        <w:rPr>
          <w:rFonts w:ascii="Palatino Linotype" w:eastAsia="Palatino Linotype" w:hAnsi="Palatino Linotype" w:cs="Palatino Linotype"/>
        </w:rPr>
        <w:t xml:space="preserve"> respondió a la solicitud de información el </w:t>
      </w:r>
      <w:r w:rsidR="00871C09" w:rsidRPr="00D05B59">
        <w:rPr>
          <w:rFonts w:ascii="Palatino Linotype" w:eastAsia="Palatino Linotype" w:hAnsi="Palatino Linotype" w:cs="Palatino Linotype"/>
          <w:b/>
        </w:rPr>
        <w:t>veintiséis</w:t>
      </w:r>
      <w:r w:rsidR="00983D45" w:rsidRPr="00D05B59">
        <w:rPr>
          <w:rFonts w:ascii="Palatino Linotype" w:eastAsia="Palatino Linotype" w:hAnsi="Palatino Linotype" w:cs="Palatino Linotype"/>
          <w:b/>
        </w:rPr>
        <w:t xml:space="preserve"> de</w:t>
      </w:r>
      <w:r w:rsidR="00871C09" w:rsidRPr="00D05B59">
        <w:rPr>
          <w:rFonts w:ascii="Palatino Linotype" w:eastAsia="Palatino Linotype" w:hAnsi="Palatino Linotype" w:cs="Palatino Linotype"/>
          <w:b/>
        </w:rPr>
        <w:t xml:space="preserve"> agosto</w:t>
      </w:r>
      <w:r w:rsidRPr="00D05B59">
        <w:rPr>
          <w:rFonts w:ascii="Palatino Linotype" w:eastAsia="Palatino Linotype" w:hAnsi="Palatino Linotype" w:cs="Palatino Linotype"/>
          <w:b/>
        </w:rPr>
        <w:t xml:space="preserve"> de dos mil veintidós, </w:t>
      </w:r>
      <w:r w:rsidRPr="00D05B59">
        <w:rPr>
          <w:rFonts w:ascii="Palatino Linotype" w:eastAsia="Palatino Linotype" w:hAnsi="Palatino Linotype" w:cs="Palatino Linotype"/>
        </w:rPr>
        <w:t xml:space="preserve">mientras que el recurso de revisión se interpuso el </w:t>
      </w:r>
      <w:r w:rsidR="00871C09" w:rsidRPr="00D05B59">
        <w:rPr>
          <w:rFonts w:ascii="Palatino Linotype" w:eastAsia="Palatino Linotype" w:hAnsi="Palatino Linotype" w:cs="Palatino Linotype"/>
          <w:b/>
        </w:rPr>
        <w:t>catorce</w:t>
      </w:r>
      <w:r w:rsidR="008D7615" w:rsidRPr="00D05B59">
        <w:rPr>
          <w:rFonts w:ascii="Palatino Linotype" w:eastAsia="Palatino Linotype" w:hAnsi="Palatino Linotype" w:cs="Palatino Linotype"/>
          <w:b/>
        </w:rPr>
        <w:t xml:space="preserve"> de </w:t>
      </w:r>
      <w:r w:rsidR="00453E74" w:rsidRPr="00D05B59">
        <w:rPr>
          <w:rFonts w:ascii="Palatino Linotype" w:eastAsia="Palatino Linotype" w:hAnsi="Palatino Linotype" w:cs="Palatino Linotype"/>
          <w:b/>
        </w:rPr>
        <w:t>septiembre</w:t>
      </w:r>
      <w:r w:rsidRPr="00D05B59">
        <w:rPr>
          <w:rFonts w:ascii="Palatino Linotype" w:eastAsia="Palatino Linotype" w:hAnsi="Palatino Linotype" w:cs="Palatino Linotype"/>
          <w:b/>
        </w:rPr>
        <w:t xml:space="preserve"> de dos mil veintidós</w:t>
      </w:r>
      <w:r w:rsidRPr="00D05B59">
        <w:rPr>
          <w:rFonts w:ascii="Palatino Linotype" w:eastAsia="Palatino Linotype" w:hAnsi="Palatino Linotype" w:cs="Palatino Linotype"/>
        </w:rPr>
        <w:t xml:space="preserve">, esto es, el </w:t>
      </w:r>
      <w:r w:rsidR="00871C09" w:rsidRPr="00D05B59">
        <w:rPr>
          <w:rFonts w:ascii="Palatino Linotype" w:eastAsia="Palatino Linotype" w:hAnsi="Palatino Linotype" w:cs="Palatino Linotype"/>
          <w:b/>
        </w:rPr>
        <w:t>décimo tercer</w:t>
      </w:r>
      <w:r w:rsidRPr="00D05B59">
        <w:rPr>
          <w:rFonts w:ascii="Palatino Linotype" w:eastAsia="Palatino Linotype" w:hAnsi="Palatino Linotype" w:cs="Palatino Linotype"/>
          <w:b/>
        </w:rPr>
        <w:t xml:space="preserve"> día hábil</w:t>
      </w:r>
      <w:r w:rsidRPr="00D05B59">
        <w:rPr>
          <w:rFonts w:ascii="Palatino Linotype" w:eastAsia="Palatino Linotype" w:hAnsi="Palatino Linotype" w:cs="Palatino Linotype"/>
        </w:rPr>
        <w:t xml:space="preserve"> posterior en que tuvo conocimiento de la respuesta impugnada.</w:t>
      </w:r>
    </w:p>
    <w:p w14:paraId="3120348C" w14:textId="77777777" w:rsidR="00515A88" w:rsidRPr="00D05B59" w:rsidRDefault="00096237">
      <w:pP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rPr>
        <w:t>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B8CB819" w14:textId="77777777" w:rsidR="00515A88" w:rsidRPr="00D05B59" w:rsidRDefault="00096237">
      <w:pP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rPr>
        <w:lastRenderedPageBreak/>
        <w:t>Finalmente, se advierte que resulta procedente la interposición del recu</w:t>
      </w:r>
      <w:r w:rsidR="009B37CD" w:rsidRPr="00D05B59">
        <w:rPr>
          <w:rFonts w:ascii="Palatino Linotype" w:eastAsia="Palatino Linotype" w:hAnsi="Palatino Linotype" w:cs="Palatino Linotype"/>
        </w:rPr>
        <w:t>rso, según lo manifestado por la</w:t>
      </w:r>
      <w:r w:rsidRPr="00D05B59">
        <w:rPr>
          <w:rFonts w:ascii="Palatino Linotype" w:eastAsia="Palatino Linotype" w:hAnsi="Palatino Linotype" w:cs="Palatino Linotype"/>
        </w:rPr>
        <w:t xml:space="preserve"> </w:t>
      </w:r>
      <w:r w:rsidR="009A1637" w:rsidRPr="00D05B59">
        <w:rPr>
          <w:rFonts w:ascii="Palatino Linotype" w:eastAsia="Palatino Linotype" w:hAnsi="Palatino Linotype" w:cs="Palatino Linotype"/>
        </w:rPr>
        <w:t xml:space="preserve">parte </w:t>
      </w:r>
      <w:r w:rsidRPr="00D05B59">
        <w:rPr>
          <w:rFonts w:ascii="Palatino Linotype" w:eastAsia="Palatino Linotype" w:hAnsi="Palatino Linotype" w:cs="Palatino Linotype"/>
        </w:rPr>
        <w:t>recurrente en sus motivos de inconformidad, de acu</w:t>
      </w:r>
      <w:r w:rsidR="00983D45" w:rsidRPr="00D05B59">
        <w:rPr>
          <w:rFonts w:ascii="Palatino Linotype" w:eastAsia="Palatino Linotype" w:hAnsi="Palatino Linotype" w:cs="Palatino Linotype"/>
        </w:rPr>
        <w:t>erdo al ar</w:t>
      </w:r>
      <w:r w:rsidR="00B80784" w:rsidRPr="00D05B59">
        <w:rPr>
          <w:rFonts w:ascii="Palatino Linotype" w:eastAsia="Palatino Linotype" w:hAnsi="Palatino Linotype" w:cs="Palatino Linotype"/>
        </w:rPr>
        <w:t>tículo 179, fracciones II y</w:t>
      </w:r>
      <w:r w:rsidR="008D7615" w:rsidRPr="00D05B59">
        <w:rPr>
          <w:rFonts w:ascii="Palatino Linotype" w:eastAsia="Palatino Linotype" w:hAnsi="Palatino Linotype" w:cs="Palatino Linotype"/>
        </w:rPr>
        <w:t xml:space="preserve"> V</w:t>
      </w:r>
      <w:r w:rsidRPr="00D05B59">
        <w:rPr>
          <w:rFonts w:ascii="Palatino Linotype" w:eastAsia="Palatino Linotype" w:hAnsi="Palatino Linotype" w:cs="Palatino Linotype"/>
        </w:rPr>
        <w:t xml:space="preserve"> del ordenamiento legal citado, que a la letra dice: </w:t>
      </w:r>
    </w:p>
    <w:p w14:paraId="207F7DBC" w14:textId="77777777" w:rsidR="008D7615" w:rsidRPr="00D05B59" w:rsidRDefault="00096237">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w:t>
      </w:r>
      <w:r w:rsidRPr="00D05B59">
        <w:rPr>
          <w:rFonts w:ascii="Palatino Linotype" w:eastAsia="Palatino Linotype" w:hAnsi="Palatino Linotype" w:cs="Palatino Linotype"/>
          <w:b/>
          <w:i/>
          <w:sz w:val="22"/>
          <w:szCs w:val="22"/>
        </w:rPr>
        <w:t>Artículo 179.</w:t>
      </w:r>
      <w:r w:rsidRPr="00D05B5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607694A" w14:textId="77777777" w:rsidR="008D7615" w:rsidRPr="00D05B59" w:rsidRDefault="008D7615">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w:t>
      </w:r>
    </w:p>
    <w:p w14:paraId="755F2D79" w14:textId="77777777" w:rsidR="00B80784" w:rsidRPr="00D05B59" w:rsidRDefault="00B80784">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b/>
          <w:i/>
          <w:sz w:val="22"/>
          <w:szCs w:val="22"/>
        </w:rPr>
        <w:t>II. La clasificación de la información;</w:t>
      </w:r>
    </w:p>
    <w:p w14:paraId="5F6062E2" w14:textId="77777777" w:rsidR="00B80784" w:rsidRPr="00D05B59" w:rsidRDefault="00B80784">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b/>
          <w:i/>
          <w:sz w:val="22"/>
          <w:szCs w:val="22"/>
        </w:rPr>
        <w:t>…</w:t>
      </w:r>
    </w:p>
    <w:p w14:paraId="0FBE4F8C" w14:textId="77777777" w:rsidR="00515A88" w:rsidRPr="00D05B59" w:rsidRDefault="008D7615">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b/>
          <w:i/>
          <w:sz w:val="22"/>
          <w:szCs w:val="22"/>
        </w:rPr>
        <w:t>V. La entrega de información incompleta</w:t>
      </w:r>
      <w:r w:rsidR="00096237" w:rsidRPr="00D05B59">
        <w:rPr>
          <w:rFonts w:ascii="Palatino Linotype" w:eastAsia="Palatino Linotype" w:hAnsi="Palatino Linotype" w:cs="Palatino Linotype"/>
          <w:b/>
          <w:i/>
          <w:sz w:val="22"/>
          <w:szCs w:val="22"/>
        </w:rPr>
        <w:t>;</w:t>
      </w:r>
    </w:p>
    <w:p w14:paraId="12FE605D" w14:textId="77777777" w:rsidR="00515A88" w:rsidRPr="00D05B59" w:rsidRDefault="00096237">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w:t>
      </w:r>
      <w:r w:rsidRPr="00D05B59">
        <w:rPr>
          <w:rFonts w:ascii="Palatino Linotype" w:eastAsia="Palatino Linotype" w:hAnsi="Palatino Linotype" w:cs="Palatino Linotype"/>
          <w:i/>
          <w:sz w:val="22"/>
          <w:szCs w:val="22"/>
        </w:rPr>
        <w:t>”</w:t>
      </w:r>
    </w:p>
    <w:p w14:paraId="43C39398" w14:textId="77777777" w:rsidR="00515A88" w:rsidRPr="00D05B59" w:rsidRDefault="00B80784">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 </w:t>
      </w:r>
      <w:r w:rsidR="00A14567" w:rsidRPr="00D05B59">
        <w:rPr>
          <w:rFonts w:ascii="Palatino Linotype" w:eastAsia="Palatino Linotype" w:hAnsi="Palatino Linotype" w:cs="Palatino Linotype"/>
          <w:i/>
          <w:sz w:val="22"/>
          <w:szCs w:val="22"/>
        </w:rPr>
        <w:t xml:space="preserve">(Sic) </w:t>
      </w:r>
      <w:r w:rsidR="00096237" w:rsidRPr="00D05B59">
        <w:rPr>
          <w:rFonts w:ascii="Palatino Linotype" w:eastAsia="Palatino Linotype" w:hAnsi="Palatino Linotype" w:cs="Palatino Linotype"/>
          <w:i/>
          <w:sz w:val="22"/>
          <w:szCs w:val="22"/>
        </w:rPr>
        <w:t>(Énfasis añadido)</w:t>
      </w:r>
    </w:p>
    <w:p w14:paraId="410216D2" w14:textId="77777777" w:rsidR="00983D45" w:rsidRPr="00D05B59" w:rsidRDefault="00983D45" w:rsidP="00983D45">
      <w:pP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b/>
        </w:rPr>
        <w:t xml:space="preserve">Tercero. Materia de la revisión. </w:t>
      </w:r>
      <w:r w:rsidRPr="00D05B5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D05B5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A14567" w:rsidRPr="00D05B59">
        <w:rPr>
          <w:rFonts w:ascii="Palatino Linotype" w:eastAsia="Palatino Linotype" w:hAnsi="Palatino Linotype" w:cs="Palatino Linotype"/>
        </w:rPr>
        <w:t xml:space="preserve">de </w:t>
      </w:r>
      <w:r w:rsidR="00A14567" w:rsidRPr="00D05B59">
        <w:rPr>
          <w:rFonts w:ascii="Palatino Linotype" w:eastAsia="Palatino Linotype" w:hAnsi="Palatino Linotype" w:cs="Palatino Linotype"/>
          <w:b/>
        </w:rPr>
        <w:t>la</w:t>
      </w:r>
      <w:r w:rsidRPr="00D05B59">
        <w:rPr>
          <w:rFonts w:ascii="Palatino Linotype" w:eastAsia="Palatino Linotype" w:hAnsi="Palatino Linotype" w:cs="Palatino Linotype"/>
          <w:b/>
        </w:rPr>
        <w:t xml:space="preserve"> Recurrente</w:t>
      </w:r>
      <w:r w:rsidRPr="00D05B59">
        <w:rPr>
          <w:rFonts w:ascii="Palatino Linotype" w:eastAsia="Palatino Linotype" w:hAnsi="Palatino Linotype" w:cs="Palatino Linotype"/>
        </w:rPr>
        <w:t>, o en su defecto, en caso de ser procedente, ordenar la entrega de información oportuna.</w:t>
      </w:r>
    </w:p>
    <w:p w14:paraId="08323FA6" w14:textId="77777777" w:rsidR="00983D45" w:rsidRPr="00D05B59" w:rsidRDefault="00983D45" w:rsidP="00983D45">
      <w:pPr>
        <w:pBdr>
          <w:top w:val="nil"/>
          <w:left w:val="nil"/>
          <w:bottom w:val="nil"/>
          <w:right w:val="nil"/>
          <w:between w:val="nil"/>
        </w:pBdr>
        <w:spacing w:before="240" w:after="240" w:line="360" w:lineRule="auto"/>
        <w:jc w:val="both"/>
      </w:pPr>
      <w:r w:rsidRPr="00D05B59">
        <w:rPr>
          <w:rFonts w:ascii="Palatino Linotype" w:eastAsia="Palatino Linotype" w:hAnsi="Palatino Linotype" w:cs="Palatino Linotype"/>
          <w:b/>
        </w:rPr>
        <w:t xml:space="preserve">Cuarto. Estudio del asunto. </w:t>
      </w:r>
      <w:r w:rsidRPr="00D05B59">
        <w:rPr>
          <w:rFonts w:ascii="Palatino Linotype" w:eastAsia="Palatino Linotype" w:hAnsi="Palatino Linotype" w:cs="Palatino Linotype"/>
        </w:rPr>
        <w:t xml:space="preserve">Antes de entrar al análisis de los pronunciamientos del </w:t>
      </w:r>
      <w:r w:rsidRPr="00D05B59">
        <w:rPr>
          <w:rFonts w:ascii="Palatino Linotype" w:eastAsia="Palatino Linotype" w:hAnsi="Palatino Linotype" w:cs="Palatino Linotype"/>
          <w:b/>
        </w:rPr>
        <w:t>Sujeto Obligado</w:t>
      </w:r>
      <w:r w:rsidRPr="00D05B59">
        <w:rPr>
          <w:rFonts w:ascii="Palatino Linotype" w:eastAsia="Palatino Linotype" w:hAnsi="Palatino Linotype" w:cs="Palatino Linotype"/>
        </w:rPr>
        <w:t xml:space="preserve"> en la respuesta proporcionada, es necesario mencionar que el </w:t>
      </w:r>
      <w:r w:rsidRPr="00D05B59">
        <w:rPr>
          <w:rFonts w:ascii="Palatino Linotype" w:eastAsia="Palatino Linotype" w:hAnsi="Palatino Linotype" w:cs="Palatino Linotype"/>
        </w:rPr>
        <w:lastRenderedPageBreak/>
        <w:t>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AC0701E" w14:textId="77777777" w:rsidR="00983D45" w:rsidRPr="00D05B59" w:rsidRDefault="00983D45" w:rsidP="00983D45">
      <w:pPr>
        <w:pBdr>
          <w:top w:val="nil"/>
          <w:left w:val="nil"/>
          <w:bottom w:val="nil"/>
          <w:right w:val="nil"/>
          <w:between w:val="nil"/>
        </w:pBdr>
        <w:spacing w:before="240" w:after="240"/>
        <w:ind w:left="851" w:right="850"/>
        <w:jc w:val="both"/>
      </w:pPr>
      <w:r w:rsidRPr="00D05B5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05B5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399D3D7" w14:textId="77777777" w:rsidR="00983D45" w:rsidRPr="00D05B59" w:rsidRDefault="00983D45" w:rsidP="00983D45">
      <w:pPr>
        <w:pBdr>
          <w:top w:val="nil"/>
          <w:left w:val="nil"/>
          <w:bottom w:val="nil"/>
          <w:right w:val="nil"/>
          <w:between w:val="nil"/>
        </w:pBdr>
        <w:spacing w:before="240" w:after="240"/>
        <w:ind w:left="851" w:right="850"/>
        <w:jc w:val="both"/>
      </w:pPr>
      <w:r w:rsidRPr="00D05B5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F60A7A4" w14:textId="77777777" w:rsidR="00983D45" w:rsidRPr="00D05B59" w:rsidRDefault="00983D45" w:rsidP="00983D45">
      <w:pPr>
        <w:pBdr>
          <w:top w:val="nil"/>
          <w:left w:val="nil"/>
          <w:bottom w:val="nil"/>
          <w:right w:val="nil"/>
          <w:between w:val="nil"/>
        </w:pBdr>
        <w:spacing w:before="240" w:after="240"/>
        <w:ind w:left="851" w:right="850"/>
        <w:jc w:val="both"/>
      </w:pPr>
      <w:r w:rsidRPr="00D05B5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05B5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A0BEB77" w14:textId="77777777" w:rsidR="00983D45" w:rsidRPr="00D05B59" w:rsidRDefault="00983D45" w:rsidP="00983D45">
      <w:pPr>
        <w:pBdr>
          <w:top w:val="nil"/>
          <w:left w:val="nil"/>
          <w:bottom w:val="nil"/>
          <w:right w:val="nil"/>
          <w:between w:val="nil"/>
        </w:pBdr>
        <w:spacing w:before="240" w:after="240"/>
        <w:ind w:left="851" w:right="850"/>
        <w:jc w:val="both"/>
      </w:pPr>
      <w:r w:rsidRPr="00D05B59">
        <w:rPr>
          <w:rFonts w:ascii="Palatino Linotype" w:eastAsia="Palatino Linotype" w:hAnsi="Palatino Linotype" w:cs="Palatino Linotype"/>
          <w:i/>
          <w:sz w:val="22"/>
          <w:szCs w:val="22"/>
        </w:rPr>
        <w:t>[…]</w:t>
      </w:r>
    </w:p>
    <w:p w14:paraId="0654E024" w14:textId="77777777" w:rsidR="00983D45" w:rsidRPr="00D05B59" w:rsidRDefault="00983D45" w:rsidP="00983D45">
      <w:pPr>
        <w:pBdr>
          <w:top w:val="nil"/>
          <w:left w:val="nil"/>
          <w:bottom w:val="nil"/>
          <w:right w:val="nil"/>
          <w:between w:val="nil"/>
        </w:pBdr>
        <w:spacing w:before="240" w:after="240"/>
        <w:ind w:left="851" w:right="901"/>
        <w:jc w:val="both"/>
      </w:pPr>
      <w:r w:rsidRPr="00D05B59">
        <w:rPr>
          <w:rFonts w:ascii="Palatino Linotype" w:eastAsia="Palatino Linotype" w:hAnsi="Palatino Linotype" w:cs="Palatino Linotype"/>
          <w:b/>
          <w:i/>
          <w:sz w:val="22"/>
          <w:szCs w:val="22"/>
        </w:rPr>
        <w:t>“Artículo 6o.</w:t>
      </w:r>
    </w:p>
    <w:p w14:paraId="0127897E" w14:textId="77777777" w:rsidR="00983D45" w:rsidRPr="00D05B59" w:rsidRDefault="00983D45" w:rsidP="00983D45">
      <w:pPr>
        <w:pBdr>
          <w:top w:val="nil"/>
          <w:left w:val="nil"/>
          <w:bottom w:val="nil"/>
          <w:right w:val="nil"/>
          <w:between w:val="nil"/>
        </w:pBdr>
        <w:spacing w:before="240" w:after="240"/>
        <w:ind w:left="851" w:right="901"/>
        <w:jc w:val="both"/>
      </w:pPr>
      <w:r w:rsidRPr="00D05B59">
        <w:rPr>
          <w:rFonts w:ascii="Palatino Linotype" w:eastAsia="Palatino Linotype" w:hAnsi="Palatino Linotype" w:cs="Palatino Linotype"/>
          <w:i/>
          <w:sz w:val="22"/>
          <w:szCs w:val="22"/>
        </w:rPr>
        <w:t>[...]</w:t>
      </w:r>
    </w:p>
    <w:p w14:paraId="64D25407" w14:textId="77777777" w:rsidR="00983D45" w:rsidRPr="00D05B59" w:rsidRDefault="00983D45" w:rsidP="00983D45">
      <w:pPr>
        <w:pBdr>
          <w:top w:val="nil"/>
          <w:left w:val="nil"/>
          <w:bottom w:val="nil"/>
          <w:right w:val="nil"/>
          <w:between w:val="nil"/>
        </w:pBdr>
        <w:spacing w:before="240" w:after="240"/>
        <w:ind w:left="851" w:right="851"/>
        <w:jc w:val="both"/>
      </w:pPr>
      <w:r w:rsidRPr="00D05B59">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D05B59">
        <w:rPr>
          <w:rFonts w:ascii="Palatino Linotype" w:eastAsia="Palatino Linotype" w:hAnsi="Palatino Linotype" w:cs="Palatino Linotype"/>
          <w:b/>
          <w:i/>
          <w:sz w:val="22"/>
          <w:szCs w:val="22"/>
          <w:u w:val="single"/>
        </w:rPr>
        <w:t>las entidades federativas</w:t>
      </w:r>
      <w:r w:rsidRPr="00D05B59">
        <w:rPr>
          <w:rFonts w:ascii="Palatino Linotype" w:eastAsia="Palatino Linotype" w:hAnsi="Palatino Linotype" w:cs="Palatino Linotype"/>
          <w:b/>
          <w:i/>
          <w:sz w:val="22"/>
          <w:szCs w:val="22"/>
        </w:rPr>
        <w:t>,</w:t>
      </w:r>
      <w:r w:rsidRPr="00D05B59">
        <w:rPr>
          <w:rFonts w:ascii="Palatino Linotype" w:eastAsia="Palatino Linotype" w:hAnsi="Palatino Linotype" w:cs="Palatino Linotype"/>
          <w:i/>
          <w:sz w:val="22"/>
          <w:szCs w:val="22"/>
        </w:rPr>
        <w:t xml:space="preserve"> en el ámbito de sus respectivas competencias, se regirán por los siguientes principios y bases:</w:t>
      </w:r>
    </w:p>
    <w:p w14:paraId="73EE85A7" w14:textId="77777777" w:rsidR="00983D45" w:rsidRPr="00D05B59" w:rsidRDefault="00983D45" w:rsidP="00983D45">
      <w:pPr>
        <w:pBdr>
          <w:top w:val="nil"/>
          <w:left w:val="nil"/>
          <w:bottom w:val="nil"/>
          <w:right w:val="nil"/>
          <w:between w:val="nil"/>
        </w:pBdr>
        <w:spacing w:before="240" w:after="240"/>
        <w:ind w:left="851" w:right="851"/>
        <w:jc w:val="both"/>
      </w:pPr>
      <w:r w:rsidRPr="00D05B59">
        <w:rPr>
          <w:rFonts w:ascii="Palatino Linotype" w:eastAsia="Palatino Linotype" w:hAnsi="Palatino Linotype" w:cs="Palatino Linotype"/>
          <w:i/>
          <w:sz w:val="22"/>
          <w:szCs w:val="22"/>
        </w:rPr>
        <w:t> </w:t>
      </w:r>
      <w:r w:rsidRPr="00D05B59">
        <w:rPr>
          <w:rFonts w:ascii="Palatino Linotype" w:eastAsia="Palatino Linotype" w:hAnsi="Palatino Linotype" w:cs="Palatino Linotype"/>
          <w:b/>
          <w:i/>
          <w:sz w:val="22"/>
          <w:szCs w:val="22"/>
        </w:rPr>
        <w:t xml:space="preserve">I. </w:t>
      </w:r>
      <w:r w:rsidRPr="00D05B5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05B59">
        <w:rPr>
          <w:rFonts w:ascii="Palatino Linotype" w:eastAsia="Palatino Linotype" w:hAnsi="Palatino Linotype" w:cs="Palatino Linotype"/>
          <w:i/>
          <w:sz w:val="22"/>
          <w:szCs w:val="22"/>
        </w:rPr>
        <w:t xml:space="preserve"> Ejecutivo, Legislativo </w:t>
      </w:r>
      <w:r w:rsidRPr="00D05B59">
        <w:rPr>
          <w:rFonts w:ascii="Palatino Linotype" w:eastAsia="Palatino Linotype" w:hAnsi="Palatino Linotype" w:cs="Palatino Linotype"/>
          <w:b/>
          <w:i/>
          <w:sz w:val="22"/>
          <w:szCs w:val="22"/>
          <w:u w:val="single"/>
        </w:rPr>
        <w:t>y Judicial</w:t>
      </w:r>
      <w:r w:rsidRPr="00D05B59">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05B59">
        <w:rPr>
          <w:rFonts w:ascii="Palatino Linotype" w:eastAsia="Palatino Linotype" w:hAnsi="Palatino Linotype" w:cs="Palatino Linotype"/>
          <w:b/>
          <w:i/>
          <w:sz w:val="22"/>
          <w:szCs w:val="22"/>
        </w:rPr>
        <w:t>es pública y sólo podrá ser reservada temporalmente por razones de interés público y seguridad nacional,</w:t>
      </w:r>
      <w:r w:rsidRPr="00D05B5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08A5FAA" w14:textId="77777777" w:rsidR="00983D45" w:rsidRPr="00D05B59" w:rsidRDefault="00983D45" w:rsidP="00983D45">
      <w:pPr>
        <w:pBdr>
          <w:top w:val="nil"/>
          <w:left w:val="nil"/>
          <w:bottom w:val="nil"/>
          <w:right w:val="nil"/>
          <w:between w:val="nil"/>
        </w:pBdr>
        <w:spacing w:before="240" w:after="240"/>
        <w:ind w:left="851" w:right="851"/>
        <w:jc w:val="both"/>
      </w:pPr>
      <w:r w:rsidRPr="00D05B59">
        <w:rPr>
          <w:rFonts w:ascii="Palatino Linotype" w:eastAsia="Palatino Linotype" w:hAnsi="Palatino Linotype" w:cs="Palatino Linotype"/>
          <w:i/>
          <w:sz w:val="22"/>
          <w:szCs w:val="22"/>
        </w:rPr>
        <w:t> </w:t>
      </w:r>
      <w:r w:rsidRPr="00D05B5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784CA4E" w14:textId="77777777" w:rsidR="00983D45" w:rsidRPr="00D05B59" w:rsidRDefault="00983D45" w:rsidP="00983D45">
      <w:pPr>
        <w:pBdr>
          <w:top w:val="nil"/>
          <w:left w:val="nil"/>
          <w:bottom w:val="nil"/>
          <w:right w:val="nil"/>
          <w:between w:val="nil"/>
        </w:pBdr>
        <w:spacing w:before="240" w:after="240"/>
        <w:ind w:left="851" w:right="851"/>
        <w:jc w:val="both"/>
      </w:pPr>
      <w:r w:rsidRPr="00D05B59">
        <w:rPr>
          <w:rFonts w:ascii="Palatino Linotype" w:eastAsia="Palatino Linotype" w:hAnsi="Palatino Linotype" w:cs="Palatino Linotype"/>
          <w:i/>
          <w:sz w:val="22"/>
          <w:szCs w:val="22"/>
        </w:rPr>
        <w:t> </w:t>
      </w:r>
      <w:r w:rsidRPr="00D05B59">
        <w:rPr>
          <w:rFonts w:ascii="Palatino Linotype" w:eastAsia="Palatino Linotype" w:hAnsi="Palatino Linotype" w:cs="Palatino Linotype"/>
          <w:b/>
          <w:i/>
          <w:sz w:val="22"/>
          <w:szCs w:val="22"/>
        </w:rPr>
        <w:t xml:space="preserve">III. </w:t>
      </w:r>
      <w:r w:rsidRPr="00D05B5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05B59">
        <w:rPr>
          <w:rFonts w:ascii="Palatino Linotype" w:eastAsia="Palatino Linotype" w:hAnsi="Palatino Linotype" w:cs="Palatino Linotype"/>
          <w:i/>
          <w:sz w:val="22"/>
          <w:szCs w:val="22"/>
        </w:rPr>
        <w:t xml:space="preserve"> a sus datos personales o a la rectificación de éstos.</w:t>
      </w:r>
    </w:p>
    <w:p w14:paraId="3C521277" w14:textId="77777777" w:rsidR="00983D45" w:rsidRPr="00D05B59" w:rsidRDefault="00983D45" w:rsidP="00983D45">
      <w:pPr>
        <w:pBdr>
          <w:top w:val="nil"/>
          <w:left w:val="nil"/>
          <w:bottom w:val="nil"/>
          <w:right w:val="nil"/>
          <w:between w:val="nil"/>
        </w:pBdr>
        <w:spacing w:before="240" w:after="240"/>
        <w:ind w:left="851" w:right="851"/>
        <w:jc w:val="both"/>
      </w:pPr>
      <w:r w:rsidRPr="00D05B59">
        <w:rPr>
          <w:rFonts w:ascii="Palatino Linotype" w:eastAsia="Palatino Linotype" w:hAnsi="Palatino Linotype" w:cs="Palatino Linotype"/>
          <w:i/>
          <w:sz w:val="22"/>
          <w:szCs w:val="22"/>
        </w:rPr>
        <w:t> </w:t>
      </w:r>
      <w:r w:rsidRPr="00D05B59">
        <w:rPr>
          <w:rFonts w:ascii="Palatino Linotype" w:eastAsia="Palatino Linotype" w:hAnsi="Palatino Linotype" w:cs="Palatino Linotype"/>
          <w:b/>
          <w:i/>
          <w:sz w:val="22"/>
          <w:szCs w:val="22"/>
        </w:rPr>
        <w:t xml:space="preserve">IV. </w:t>
      </w:r>
      <w:r w:rsidRPr="00D05B5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39B2A16" w14:textId="77777777" w:rsidR="00983D45" w:rsidRPr="00D05B59" w:rsidRDefault="00983D45" w:rsidP="00983D45">
      <w:pPr>
        <w:pBdr>
          <w:top w:val="nil"/>
          <w:left w:val="nil"/>
          <w:bottom w:val="nil"/>
          <w:right w:val="nil"/>
          <w:between w:val="nil"/>
        </w:pBdr>
        <w:spacing w:before="240" w:after="240"/>
        <w:ind w:left="851" w:right="851"/>
        <w:jc w:val="both"/>
      </w:pPr>
      <w:r w:rsidRPr="00D05B59">
        <w:rPr>
          <w:rFonts w:ascii="Palatino Linotype" w:eastAsia="Palatino Linotype" w:hAnsi="Palatino Linotype" w:cs="Palatino Linotype"/>
          <w:b/>
          <w:i/>
          <w:sz w:val="22"/>
          <w:szCs w:val="22"/>
        </w:rPr>
        <w:t xml:space="preserve">V. </w:t>
      </w:r>
      <w:r w:rsidRPr="00D05B5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2AA5313" w14:textId="77777777" w:rsidR="00983D45" w:rsidRPr="00D05B59" w:rsidRDefault="00983D45" w:rsidP="00983D45">
      <w:pPr>
        <w:pBdr>
          <w:top w:val="nil"/>
          <w:left w:val="nil"/>
          <w:bottom w:val="nil"/>
          <w:right w:val="nil"/>
          <w:between w:val="nil"/>
        </w:pBdr>
        <w:spacing w:before="240" w:after="240"/>
        <w:ind w:left="851" w:right="851"/>
        <w:jc w:val="both"/>
      </w:pPr>
      <w:r w:rsidRPr="00D05B59">
        <w:rPr>
          <w:rFonts w:ascii="Palatino Linotype" w:eastAsia="Palatino Linotype" w:hAnsi="Palatino Linotype" w:cs="Palatino Linotype"/>
          <w:i/>
          <w:sz w:val="22"/>
          <w:szCs w:val="22"/>
        </w:rPr>
        <w:t> </w:t>
      </w:r>
      <w:r w:rsidRPr="00D05B59">
        <w:rPr>
          <w:rFonts w:ascii="Palatino Linotype" w:eastAsia="Palatino Linotype" w:hAnsi="Palatino Linotype" w:cs="Palatino Linotype"/>
          <w:b/>
          <w:i/>
          <w:sz w:val="22"/>
          <w:szCs w:val="22"/>
        </w:rPr>
        <w:t xml:space="preserve">VI. </w:t>
      </w:r>
      <w:r w:rsidRPr="00D05B5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B41EBE0" w14:textId="77777777" w:rsidR="00983D45" w:rsidRPr="00D05B59" w:rsidRDefault="00983D45" w:rsidP="00983D45">
      <w:pPr>
        <w:pBdr>
          <w:top w:val="nil"/>
          <w:left w:val="nil"/>
          <w:bottom w:val="nil"/>
          <w:right w:val="nil"/>
          <w:between w:val="nil"/>
        </w:pBdr>
        <w:spacing w:before="240" w:after="240"/>
        <w:ind w:left="851" w:right="851"/>
        <w:jc w:val="both"/>
      </w:pPr>
      <w:r w:rsidRPr="00D05B59">
        <w:rPr>
          <w:rFonts w:ascii="Palatino Linotype" w:eastAsia="Palatino Linotype" w:hAnsi="Palatino Linotype" w:cs="Palatino Linotype"/>
          <w:i/>
          <w:sz w:val="22"/>
          <w:szCs w:val="22"/>
        </w:rPr>
        <w:lastRenderedPageBreak/>
        <w:t> </w:t>
      </w:r>
      <w:r w:rsidRPr="00D05B59">
        <w:rPr>
          <w:rFonts w:ascii="Palatino Linotype" w:eastAsia="Palatino Linotype" w:hAnsi="Palatino Linotype" w:cs="Palatino Linotype"/>
          <w:b/>
          <w:i/>
          <w:sz w:val="22"/>
          <w:szCs w:val="22"/>
        </w:rPr>
        <w:t xml:space="preserve">VII. </w:t>
      </w:r>
      <w:r w:rsidRPr="00D05B5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B02C065" w14:textId="77777777" w:rsidR="00983D45" w:rsidRPr="00D05B59" w:rsidRDefault="00983D45" w:rsidP="00983D45">
      <w:pPr>
        <w:pBdr>
          <w:top w:val="nil"/>
          <w:left w:val="nil"/>
          <w:bottom w:val="nil"/>
          <w:right w:val="nil"/>
          <w:between w:val="nil"/>
        </w:pBdr>
        <w:spacing w:before="240" w:after="240" w:line="360" w:lineRule="auto"/>
        <w:jc w:val="both"/>
      </w:pPr>
      <w:r w:rsidRPr="00D05B59">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39BE298" w14:textId="77777777" w:rsidR="00983D45" w:rsidRPr="00D05B59" w:rsidRDefault="00983D45" w:rsidP="00983D45">
      <w:pPr>
        <w:pBdr>
          <w:top w:val="nil"/>
          <w:left w:val="nil"/>
          <w:bottom w:val="nil"/>
          <w:right w:val="nil"/>
          <w:between w:val="nil"/>
        </w:pBdr>
        <w:spacing w:before="240" w:after="240"/>
        <w:ind w:left="709" w:right="760"/>
        <w:jc w:val="both"/>
      </w:pPr>
      <w:r w:rsidRPr="00D05B59">
        <w:rPr>
          <w:rFonts w:ascii="Palatino Linotype" w:eastAsia="Palatino Linotype" w:hAnsi="Palatino Linotype" w:cs="Palatino Linotype"/>
          <w:i/>
          <w:sz w:val="22"/>
          <w:szCs w:val="22"/>
        </w:rPr>
        <w:t>“</w:t>
      </w:r>
      <w:r w:rsidRPr="00D05B59">
        <w:rPr>
          <w:rFonts w:ascii="Palatino Linotype" w:eastAsia="Palatino Linotype" w:hAnsi="Palatino Linotype" w:cs="Palatino Linotype"/>
          <w:b/>
          <w:i/>
          <w:sz w:val="22"/>
          <w:szCs w:val="22"/>
        </w:rPr>
        <w:t>Artículo 4</w:t>
      </w:r>
      <w:r w:rsidRPr="00D05B59">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E50BD74" w14:textId="77777777" w:rsidR="00983D45" w:rsidRPr="00D05B59" w:rsidRDefault="00983D45" w:rsidP="00983D45">
      <w:pPr>
        <w:pBdr>
          <w:top w:val="nil"/>
          <w:left w:val="nil"/>
          <w:bottom w:val="nil"/>
          <w:right w:val="nil"/>
          <w:between w:val="nil"/>
        </w:pBdr>
        <w:spacing w:before="240" w:after="240"/>
        <w:ind w:left="709" w:right="760"/>
        <w:jc w:val="both"/>
      </w:pPr>
      <w:r w:rsidRPr="00D05B5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80FBFC" w14:textId="77777777" w:rsidR="00983D45" w:rsidRPr="00D05B59" w:rsidRDefault="00983D45" w:rsidP="00983D45">
      <w:pPr>
        <w:pBdr>
          <w:top w:val="nil"/>
          <w:left w:val="nil"/>
          <w:bottom w:val="nil"/>
          <w:right w:val="nil"/>
          <w:between w:val="nil"/>
        </w:pBdr>
        <w:spacing w:before="240" w:after="240"/>
        <w:ind w:left="709" w:right="760"/>
        <w:jc w:val="both"/>
      </w:pPr>
      <w:r w:rsidRPr="00D05B59">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D05B59">
        <w:rPr>
          <w:rFonts w:ascii="Palatino Linotype" w:eastAsia="Palatino Linotype" w:hAnsi="Palatino Linotype" w:cs="Palatino Linotype"/>
          <w:i/>
          <w:sz w:val="22"/>
          <w:szCs w:val="22"/>
        </w:rPr>
        <w:t>.”(</w:t>
      </w:r>
      <w:proofErr w:type="gramEnd"/>
      <w:r w:rsidRPr="00D05B59">
        <w:rPr>
          <w:rFonts w:ascii="Palatino Linotype" w:eastAsia="Palatino Linotype" w:hAnsi="Palatino Linotype" w:cs="Palatino Linotype"/>
          <w:i/>
          <w:sz w:val="22"/>
          <w:szCs w:val="22"/>
        </w:rPr>
        <w:t>Sic)</w:t>
      </w:r>
    </w:p>
    <w:p w14:paraId="314FBB4E" w14:textId="77777777" w:rsidR="00983D45" w:rsidRPr="00D05B59" w:rsidRDefault="00983D45" w:rsidP="00983D45">
      <w:pPr>
        <w:pBdr>
          <w:top w:val="nil"/>
          <w:left w:val="nil"/>
          <w:bottom w:val="nil"/>
          <w:right w:val="nil"/>
          <w:between w:val="nil"/>
        </w:pBdr>
        <w:spacing w:before="240" w:after="240" w:line="360" w:lineRule="auto"/>
        <w:jc w:val="both"/>
      </w:pPr>
      <w:r w:rsidRPr="00D05B59">
        <w:rPr>
          <w:rFonts w:ascii="Palatino Linotype" w:eastAsia="Palatino Linotype" w:hAnsi="Palatino Linotype" w:cs="Palatino Linotype"/>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AD1611F" w14:textId="77777777" w:rsidR="00983D45" w:rsidRPr="00D05B59" w:rsidRDefault="00983D45" w:rsidP="00983D45">
      <w:pPr>
        <w:pBdr>
          <w:top w:val="nil"/>
          <w:left w:val="nil"/>
          <w:bottom w:val="nil"/>
          <w:right w:val="nil"/>
          <w:between w:val="nil"/>
        </w:pBdr>
        <w:spacing w:before="240" w:after="240"/>
        <w:ind w:left="567" w:right="758"/>
        <w:jc w:val="both"/>
      </w:pPr>
      <w:r w:rsidRPr="00D05B59">
        <w:rPr>
          <w:rFonts w:ascii="Palatino Linotype" w:eastAsia="Palatino Linotype" w:hAnsi="Palatino Linotype" w:cs="Palatino Linotype"/>
          <w:i/>
          <w:sz w:val="22"/>
          <w:szCs w:val="22"/>
        </w:rPr>
        <w:t>“</w:t>
      </w:r>
      <w:r w:rsidRPr="00D05B59">
        <w:rPr>
          <w:rFonts w:ascii="Palatino Linotype" w:eastAsia="Palatino Linotype" w:hAnsi="Palatino Linotype" w:cs="Palatino Linotype"/>
          <w:b/>
          <w:i/>
          <w:sz w:val="22"/>
          <w:szCs w:val="22"/>
        </w:rPr>
        <w:t>Artículo 12</w:t>
      </w:r>
      <w:r w:rsidRPr="00D05B59">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2D87CE89" w14:textId="77777777" w:rsidR="00983D45" w:rsidRPr="00D05B59" w:rsidRDefault="00983D45" w:rsidP="00983D45">
      <w:pPr>
        <w:pBdr>
          <w:top w:val="nil"/>
          <w:left w:val="nil"/>
          <w:bottom w:val="nil"/>
          <w:right w:val="nil"/>
          <w:between w:val="nil"/>
        </w:pBdr>
        <w:spacing w:before="240" w:after="240"/>
        <w:ind w:left="567" w:right="758"/>
        <w:jc w:val="both"/>
      </w:pPr>
      <w:r w:rsidRPr="00D05B5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E0B234D" w14:textId="77777777" w:rsidR="00983D45" w:rsidRPr="00D05B59" w:rsidRDefault="00983D45" w:rsidP="00983D45">
      <w:pPr>
        <w:pBdr>
          <w:top w:val="nil"/>
          <w:left w:val="nil"/>
          <w:bottom w:val="nil"/>
          <w:right w:val="nil"/>
          <w:between w:val="nil"/>
        </w:pBdr>
        <w:spacing w:before="240" w:after="240" w:line="360" w:lineRule="auto"/>
        <w:jc w:val="both"/>
      </w:pPr>
      <w:r w:rsidRPr="00D05B59">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D05B59">
        <w:rPr>
          <w:rFonts w:ascii="Palatino Linotype" w:eastAsia="Palatino Linotype" w:hAnsi="Palatino Linotype" w:cs="Palatino Linotype"/>
          <w:b/>
        </w:rPr>
        <w:t xml:space="preserve"> </w:t>
      </w:r>
      <w:r w:rsidRPr="00D05B59">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D05B59">
        <w:rPr>
          <w:rFonts w:ascii="Palatino Linotype" w:eastAsia="Palatino Linotype" w:hAnsi="Palatino Linotype" w:cs="Palatino Linotype"/>
          <w:i/>
        </w:rPr>
        <w:t>ad hoc</w:t>
      </w:r>
      <w:r w:rsidRPr="00D05B59">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C563065" w14:textId="77777777" w:rsidR="00983D45" w:rsidRPr="00D05B59" w:rsidRDefault="00983D45" w:rsidP="00983D45">
      <w:pPr>
        <w:pBdr>
          <w:top w:val="nil"/>
          <w:left w:val="nil"/>
          <w:bottom w:val="nil"/>
          <w:right w:val="nil"/>
          <w:between w:val="nil"/>
        </w:pBdr>
        <w:spacing w:before="240" w:after="240"/>
        <w:ind w:left="567" w:right="567"/>
        <w:jc w:val="both"/>
      </w:pPr>
      <w:r w:rsidRPr="00D05B59">
        <w:rPr>
          <w:rFonts w:ascii="Palatino Linotype" w:eastAsia="Palatino Linotype" w:hAnsi="Palatino Linotype" w:cs="Palatino Linotype"/>
          <w:b/>
          <w:i/>
          <w:sz w:val="22"/>
          <w:szCs w:val="22"/>
        </w:rPr>
        <w:t>03/17</w:t>
      </w:r>
    </w:p>
    <w:p w14:paraId="318B49FD" w14:textId="77777777" w:rsidR="00983D45" w:rsidRPr="00D05B59" w:rsidRDefault="00983D45" w:rsidP="00983D45">
      <w:pPr>
        <w:pBdr>
          <w:top w:val="nil"/>
          <w:left w:val="nil"/>
          <w:bottom w:val="nil"/>
          <w:right w:val="nil"/>
          <w:between w:val="nil"/>
        </w:pBdr>
        <w:spacing w:before="240" w:after="240"/>
        <w:ind w:left="567" w:right="567"/>
        <w:jc w:val="both"/>
      </w:pPr>
      <w:r w:rsidRPr="00D05B59">
        <w:rPr>
          <w:rFonts w:ascii="Palatino Linotype" w:eastAsia="Palatino Linotype" w:hAnsi="Palatino Linotype" w:cs="Palatino Linotype"/>
          <w:b/>
          <w:i/>
          <w:sz w:val="22"/>
          <w:szCs w:val="22"/>
        </w:rPr>
        <w:t>“NO EXISTE OBLIGACIÓN DE ELABORAR DOCUMENTOS AD HOC PARA ATENDER LAS SOLICITUDES DE ACCESO A LA INFORMACIÓN.</w:t>
      </w:r>
    </w:p>
    <w:p w14:paraId="47A24AB2" w14:textId="77777777" w:rsidR="00983D45" w:rsidRPr="00D05B59" w:rsidRDefault="00983D45" w:rsidP="00983D45">
      <w:pPr>
        <w:pBdr>
          <w:top w:val="nil"/>
          <w:left w:val="nil"/>
          <w:bottom w:val="nil"/>
          <w:right w:val="nil"/>
          <w:between w:val="nil"/>
        </w:pBdr>
        <w:spacing w:before="240" w:after="240"/>
        <w:ind w:left="567" w:right="567"/>
        <w:jc w:val="both"/>
      </w:pPr>
      <w:r w:rsidRPr="00D05B59">
        <w:rPr>
          <w:rFonts w:ascii="Palatino Linotype" w:eastAsia="Palatino Linotype" w:hAnsi="Palatino Linotype" w:cs="Palatino Linotype"/>
          <w:i/>
          <w:sz w:val="22"/>
          <w:szCs w:val="22"/>
        </w:rPr>
        <w:lastRenderedPageBreak/>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8187C0F" w14:textId="77777777" w:rsidR="00983D45" w:rsidRPr="00D05B59" w:rsidRDefault="00983D45" w:rsidP="00983D45">
      <w:pPr>
        <w:pBdr>
          <w:top w:val="nil"/>
          <w:left w:val="nil"/>
          <w:bottom w:val="nil"/>
          <w:right w:val="nil"/>
          <w:between w:val="nil"/>
        </w:pBdr>
        <w:spacing w:before="240" w:after="240" w:line="360" w:lineRule="auto"/>
        <w:jc w:val="both"/>
      </w:pPr>
      <w:r w:rsidRPr="00D05B59">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E5C2CC9" w14:textId="77777777" w:rsidR="00983D45" w:rsidRPr="00D05B59" w:rsidRDefault="00983D45" w:rsidP="00983D45">
      <w:pPr>
        <w:pBdr>
          <w:top w:val="nil"/>
          <w:left w:val="nil"/>
          <w:bottom w:val="nil"/>
          <w:right w:val="nil"/>
          <w:between w:val="nil"/>
        </w:pBdr>
        <w:spacing w:before="240" w:after="240" w:line="360" w:lineRule="auto"/>
        <w:ind w:right="49"/>
        <w:jc w:val="both"/>
      </w:pPr>
      <w:r w:rsidRPr="00D05B5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12ECC9F" w14:textId="77777777" w:rsidR="00983D45" w:rsidRPr="00D05B59" w:rsidRDefault="00983D45" w:rsidP="00983D45">
      <w:pPr>
        <w:pBdr>
          <w:top w:val="nil"/>
          <w:left w:val="nil"/>
          <w:bottom w:val="nil"/>
          <w:right w:val="nil"/>
          <w:between w:val="nil"/>
        </w:pBdr>
        <w:spacing w:before="240" w:after="240" w:line="360" w:lineRule="auto"/>
        <w:jc w:val="both"/>
      </w:pPr>
      <w:r w:rsidRPr="00D05B5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sidRPr="00D05B59">
        <w:rPr>
          <w:rFonts w:ascii="Palatino Linotype" w:eastAsia="Palatino Linotype" w:hAnsi="Palatino Linotype" w:cs="Palatino Linotype"/>
        </w:rPr>
        <w:lastRenderedPageBreak/>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B6CD30C" w14:textId="77777777" w:rsidR="00983D45" w:rsidRPr="00D05B59" w:rsidRDefault="00983D45" w:rsidP="00983D45">
      <w:pPr>
        <w:pBdr>
          <w:top w:val="nil"/>
          <w:left w:val="nil"/>
          <w:bottom w:val="nil"/>
          <w:right w:val="nil"/>
          <w:between w:val="nil"/>
        </w:pBdr>
        <w:spacing w:before="240" w:after="240"/>
        <w:ind w:left="567" w:right="567"/>
        <w:jc w:val="both"/>
      </w:pPr>
      <w:r w:rsidRPr="00D05B59">
        <w:rPr>
          <w:rFonts w:ascii="Palatino Linotype" w:eastAsia="Palatino Linotype" w:hAnsi="Palatino Linotype" w:cs="Palatino Linotype"/>
          <w:i/>
          <w:sz w:val="22"/>
          <w:szCs w:val="22"/>
        </w:rPr>
        <w:t>“</w:t>
      </w:r>
      <w:r w:rsidRPr="00D05B59">
        <w:rPr>
          <w:rFonts w:ascii="Palatino Linotype" w:eastAsia="Palatino Linotype" w:hAnsi="Palatino Linotype" w:cs="Palatino Linotype"/>
          <w:b/>
          <w:i/>
          <w:sz w:val="22"/>
          <w:szCs w:val="22"/>
        </w:rPr>
        <w:t xml:space="preserve">Artículo 3. </w:t>
      </w:r>
      <w:r w:rsidRPr="00D05B59">
        <w:rPr>
          <w:rFonts w:ascii="Palatino Linotype" w:eastAsia="Palatino Linotype" w:hAnsi="Palatino Linotype" w:cs="Palatino Linotype"/>
          <w:i/>
          <w:sz w:val="22"/>
          <w:szCs w:val="22"/>
        </w:rPr>
        <w:t>Para los efectos de la presente Ley se entenderá por:</w:t>
      </w:r>
    </w:p>
    <w:p w14:paraId="68E91A52" w14:textId="77777777" w:rsidR="00983D45" w:rsidRPr="00D05B59" w:rsidRDefault="00983D45" w:rsidP="00983D45">
      <w:pPr>
        <w:pBdr>
          <w:top w:val="nil"/>
          <w:left w:val="nil"/>
          <w:bottom w:val="nil"/>
          <w:right w:val="nil"/>
          <w:between w:val="nil"/>
        </w:pBdr>
        <w:spacing w:before="240" w:after="240"/>
        <w:ind w:left="567" w:right="567"/>
        <w:jc w:val="both"/>
      </w:pPr>
      <w:r w:rsidRPr="00D05B59">
        <w:rPr>
          <w:rFonts w:ascii="Palatino Linotype" w:eastAsia="Palatino Linotype" w:hAnsi="Palatino Linotype" w:cs="Palatino Linotype"/>
          <w:i/>
          <w:sz w:val="22"/>
          <w:szCs w:val="22"/>
        </w:rPr>
        <w:t>…</w:t>
      </w:r>
    </w:p>
    <w:p w14:paraId="51A3A703" w14:textId="77777777" w:rsidR="00983D45" w:rsidRPr="00D05B59" w:rsidRDefault="00983D45" w:rsidP="00983D45">
      <w:pPr>
        <w:pBdr>
          <w:top w:val="nil"/>
          <w:left w:val="nil"/>
          <w:bottom w:val="nil"/>
          <w:right w:val="nil"/>
          <w:between w:val="nil"/>
        </w:pBdr>
        <w:spacing w:before="240" w:after="240"/>
        <w:ind w:left="567" w:right="567"/>
        <w:jc w:val="both"/>
      </w:pPr>
      <w:r w:rsidRPr="00D05B59">
        <w:rPr>
          <w:rFonts w:ascii="Palatino Linotype" w:eastAsia="Palatino Linotype" w:hAnsi="Palatino Linotype" w:cs="Palatino Linotype"/>
          <w:b/>
          <w:i/>
          <w:sz w:val="22"/>
          <w:szCs w:val="22"/>
        </w:rPr>
        <w:t>XI. Documento:</w:t>
      </w:r>
      <w:r w:rsidRPr="00D05B59">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D05B59">
        <w:rPr>
          <w:rFonts w:ascii="Palatino Linotype" w:eastAsia="Palatino Linotype" w:hAnsi="Palatino Linotype" w:cs="Palatino Linotype"/>
          <w:b/>
          <w:i/>
          <w:sz w:val="22"/>
          <w:szCs w:val="22"/>
        </w:rPr>
        <w:t>…</w:t>
      </w:r>
      <w:r w:rsidRPr="00D05B59">
        <w:rPr>
          <w:rFonts w:ascii="Palatino Linotype" w:eastAsia="Palatino Linotype" w:hAnsi="Palatino Linotype" w:cs="Palatino Linotype"/>
          <w:i/>
          <w:sz w:val="22"/>
          <w:szCs w:val="22"/>
        </w:rPr>
        <w:t>” (Sic)</w:t>
      </w:r>
    </w:p>
    <w:p w14:paraId="0E4AF529" w14:textId="77777777" w:rsidR="00983D45" w:rsidRPr="00D05B59" w:rsidRDefault="00983D45" w:rsidP="00983D45">
      <w:pPr>
        <w:pBdr>
          <w:top w:val="nil"/>
          <w:left w:val="nil"/>
          <w:bottom w:val="nil"/>
          <w:right w:val="nil"/>
          <w:between w:val="nil"/>
        </w:pBdr>
        <w:spacing w:before="240" w:after="240" w:line="360" w:lineRule="auto"/>
        <w:jc w:val="both"/>
      </w:pPr>
      <w:r w:rsidRPr="00D05B5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CABDBEA" w14:textId="77777777" w:rsidR="00983D45" w:rsidRPr="00D05B59" w:rsidRDefault="00983D45" w:rsidP="00983D45">
      <w:pPr>
        <w:pBdr>
          <w:top w:val="nil"/>
          <w:left w:val="nil"/>
          <w:bottom w:val="nil"/>
          <w:right w:val="nil"/>
          <w:between w:val="nil"/>
        </w:pBdr>
        <w:spacing w:before="240" w:after="240"/>
        <w:ind w:left="567" w:right="567"/>
        <w:jc w:val="both"/>
      </w:pPr>
      <w:r w:rsidRPr="00D05B59">
        <w:rPr>
          <w:rFonts w:ascii="Palatino Linotype" w:eastAsia="Palatino Linotype" w:hAnsi="Palatino Linotype" w:cs="Palatino Linotype"/>
          <w:b/>
          <w:sz w:val="22"/>
          <w:szCs w:val="22"/>
        </w:rPr>
        <w:t>“</w:t>
      </w:r>
      <w:r w:rsidRPr="00D05B59">
        <w:rPr>
          <w:rFonts w:ascii="Palatino Linotype" w:eastAsia="Palatino Linotype" w:hAnsi="Palatino Linotype" w:cs="Palatino Linotype"/>
          <w:b/>
          <w:i/>
          <w:sz w:val="22"/>
          <w:szCs w:val="22"/>
        </w:rPr>
        <w:t>CRITERIO 0002-11</w:t>
      </w:r>
    </w:p>
    <w:p w14:paraId="18209ECA" w14:textId="77777777" w:rsidR="00983D45" w:rsidRPr="00D05B59" w:rsidRDefault="00983D45" w:rsidP="00983D45">
      <w:pPr>
        <w:pBdr>
          <w:top w:val="nil"/>
          <w:left w:val="nil"/>
          <w:bottom w:val="nil"/>
          <w:right w:val="nil"/>
          <w:between w:val="nil"/>
        </w:pBdr>
        <w:spacing w:before="240" w:after="240"/>
        <w:ind w:left="567" w:right="567"/>
        <w:jc w:val="both"/>
      </w:pPr>
      <w:r w:rsidRPr="00D05B59">
        <w:rPr>
          <w:rFonts w:ascii="Palatino Linotype" w:eastAsia="Palatino Linotype" w:hAnsi="Palatino Linotype" w:cs="Palatino Linotype"/>
          <w:b/>
          <w:i/>
          <w:sz w:val="22"/>
          <w:szCs w:val="22"/>
        </w:rPr>
        <w:t xml:space="preserve">INFORMACIÓN PÚBLICA, CONCEPTO DE, EN MATERIA DE TRANSPARENCIA. INTERPRETACIÓN SISTEMÁTICA DE LOS </w:t>
      </w:r>
      <w:r w:rsidRPr="00D05B59">
        <w:rPr>
          <w:rFonts w:ascii="Palatino Linotype" w:eastAsia="Palatino Linotype" w:hAnsi="Palatino Linotype" w:cs="Palatino Linotype"/>
          <w:b/>
          <w:i/>
          <w:sz w:val="22"/>
          <w:szCs w:val="22"/>
        </w:rPr>
        <w:lastRenderedPageBreak/>
        <w:t>ARTÍCULOS 2°, FRACCIÓN V, XV, Y XVI, 3°, 4°, 11 Y 41.</w:t>
      </w:r>
      <w:r w:rsidRPr="00D05B5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6786BBF" w14:textId="77777777" w:rsidR="00983D45" w:rsidRPr="00D05B59" w:rsidRDefault="00983D45" w:rsidP="00983D45">
      <w:pPr>
        <w:pBdr>
          <w:top w:val="nil"/>
          <w:left w:val="nil"/>
          <w:bottom w:val="nil"/>
          <w:right w:val="nil"/>
          <w:between w:val="nil"/>
        </w:pBdr>
        <w:spacing w:before="240" w:after="240"/>
        <w:ind w:left="567" w:right="567"/>
        <w:jc w:val="both"/>
      </w:pPr>
      <w:r w:rsidRPr="00D05B59">
        <w:rPr>
          <w:rFonts w:ascii="Palatino Linotype" w:eastAsia="Palatino Linotype" w:hAnsi="Palatino Linotype" w:cs="Palatino Linotype"/>
          <w:i/>
          <w:sz w:val="22"/>
          <w:szCs w:val="22"/>
        </w:rPr>
        <w:t xml:space="preserve">En </w:t>
      </w:r>
      <w:proofErr w:type="gramStart"/>
      <w:r w:rsidRPr="00D05B59">
        <w:rPr>
          <w:rFonts w:ascii="Palatino Linotype" w:eastAsia="Palatino Linotype" w:hAnsi="Palatino Linotype" w:cs="Palatino Linotype"/>
          <w:i/>
          <w:sz w:val="22"/>
          <w:szCs w:val="22"/>
        </w:rPr>
        <w:t>consecuencia</w:t>
      </w:r>
      <w:proofErr w:type="gramEnd"/>
      <w:r w:rsidRPr="00D05B5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4CA595A" w14:textId="77777777" w:rsidR="00983D45" w:rsidRPr="00D05B59" w:rsidRDefault="00983D45" w:rsidP="00983D45">
      <w:pPr>
        <w:numPr>
          <w:ilvl w:val="0"/>
          <w:numId w:val="8"/>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Que se trate de información registrada en cualquier soporte documental, </w:t>
      </w:r>
      <w:proofErr w:type="gramStart"/>
      <w:r w:rsidRPr="00D05B59">
        <w:rPr>
          <w:rFonts w:ascii="Palatino Linotype" w:eastAsia="Palatino Linotype" w:hAnsi="Palatino Linotype" w:cs="Palatino Linotype"/>
          <w:i/>
          <w:sz w:val="22"/>
          <w:szCs w:val="22"/>
        </w:rPr>
        <w:t>que</w:t>
      </w:r>
      <w:proofErr w:type="gramEnd"/>
      <w:r w:rsidRPr="00D05B59">
        <w:rPr>
          <w:rFonts w:ascii="Palatino Linotype" w:eastAsia="Palatino Linotype" w:hAnsi="Palatino Linotype" w:cs="Palatino Linotype"/>
          <w:i/>
          <w:sz w:val="22"/>
          <w:szCs w:val="22"/>
        </w:rPr>
        <w:t xml:space="preserve"> en ejercicio de las atribuciones conferidas, sea generada por los Sujetos Obligados;</w:t>
      </w:r>
    </w:p>
    <w:p w14:paraId="21D298CE" w14:textId="77777777" w:rsidR="00983D45" w:rsidRPr="00D05B59" w:rsidRDefault="00983D45" w:rsidP="00983D45">
      <w:pPr>
        <w:numPr>
          <w:ilvl w:val="0"/>
          <w:numId w:val="8"/>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Que se trate de información registrada en cualquier soporte documental, </w:t>
      </w:r>
      <w:proofErr w:type="gramStart"/>
      <w:r w:rsidRPr="00D05B59">
        <w:rPr>
          <w:rFonts w:ascii="Palatino Linotype" w:eastAsia="Palatino Linotype" w:hAnsi="Palatino Linotype" w:cs="Palatino Linotype"/>
          <w:i/>
          <w:sz w:val="22"/>
          <w:szCs w:val="22"/>
        </w:rPr>
        <w:t>que</w:t>
      </w:r>
      <w:proofErr w:type="gramEnd"/>
      <w:r w:rsidRPr="00D05B59">
        <w:rPr>
          <w:rFonts w:ascii="Palatino Linotype" w:eastAsia="Palatino Linotype" w:hAnsi="Palatino Linotype" w:cs="Palatino Linotype"/>
          <w:i/>
          <w:sz w:val="22"/>
          <w:szCs w:val="22"/>
        </w:rPr>
        <w:t xml:space="preserve"> en ejercicio de las atribuciones conferidas, sea administrada por los Sujetos Obligados, y</w:t>
      </w:r>
    </w:p>
    <w:p w14:paraId="273CD8C6" w14:textId="77777777" w:rsidR="00983D45" w:rsidRPr="00D05B59" w:rsidRDefault="00983D45" w:rsidP="00983D45">
      <w:pPr>
        <w:pBdr>
          <w:top w:val="nil"/>
          <w:left w:val="nil"/>
          <w:bottom w:val="nil"/>
          <w:right w:val="nil"/>
          <w:between w:val="nil"/>
        </w:pBdr>
        <w:spacing w:before="240" w:after="240"/>
        <w:ind w:left="567" w:right="567" w:hanging="284"/>
        <w:jc w:val="both"/>
      </w:pPr>
      <w:r w:rsidRPr="00D05B59">
        <w:rPr>
          <w:rFonts w:ascii="Palatino Linotype" w:eastAsia="Palatino Linotype" w:hAnsi="Palatino Linotype" w:cs="Palatino Linotype"/>
          <w:i/>
          <w:sz w:val="22"/>
          <w:szCs w:val="22"/>
        </w:rPr>
        <w:t xml:space="preserve">3. </w:t>
      </w:r>
      <w:r w:rsidRPr="00D05B59">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D05B59">
        <w:rPr>
          <w:rFonts w:ascii="Palatino Linotype" w:eastAsia="Palatino Linotype" w:hAnsi="Palatino Linotype" w:cs="Palatino Linotype"/>
          <w:b/>
          <w:i/>
          <w:sz w:val="22"/>
          <w:szCs w:val="22"/>
        </w:rPr>
        <w:t>que</w:t>
      </w:r>
      <w:proofErr w:type="gramEnd"/>
      <w:r w:rsidRPr="00D05B59">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6454F7C6" w14:textId="77777777" w:rsidR="00983D45" w:rsidRPr="00D05B59" w:rsidRDefault="00983D45" w:rsidP="00983D45">
      <w:pPr>
        <w:pBdr>
          <w:top w:val="nil"/>
          <w:left w:val="nil"/>
          <w:bottom w:val="nil"/>
          <w:right w:val="nil"/>
          <w:between w:val="nil"/>
        </w:pBdr>
        <w:spacing w:before="240" w:after="240" w:line="360" w:lineRule="auto"/>
        <w:jc w:val="both"/>
      </w:pPr>
      <w:r w:rsidRPr="00D05B59">
        <w:rPr>
          <w:rFonts w:ascii="Palatino Linotype" w:eastAsia="Palatino Linotype" w:hAnsi="Palatino Linotype" w:cs="Palatino Linotype"/>
        </w:rPr>
        <w:t xml:space="preserve">De ahí que el </w:t>
      </w:r>
      <w:r w:rsidRPr="00D05B59">
        <w:rPr>
          <w:rFonts w:ascii="Palatino Linotype" w:eastAsia="Palatino Linotype" w:hAnsi="Palatino Linotype" w:cs="Palatino Linotype"/>
          <w:b/>
        </w:rPr>
        <w:t>Sujeto Obligado</w:t>
      </w:r>
      <w:r w:rsidRPr="00D05B5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AB24A96" w14:textId="77777777" w:rsidR="00983D45" w:rsidRPr="00D05B59" w:rsidRDefault="00983D45" w:rsidP="00983D4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rPr>
        <w:t xml:space="preserve">Ahora bien, para profundizar en el estudio del presente asunto, es conveniente recordar que la solicitante requirió al </w:t>
      </w:r>
      <w:r w:rsidRPr="00D05B59">
        <w:rPr>
          <w:rFonts w:ascii="Palatino Linotype" w:eastAsia="Palatino Linotype" w:hAnsi="Palatino Linotype" w:cs="Palatino Linotype"/>
          <w:b/>
        </w:rPr>
        <w:t>Sujeto Obligado</w:t>
      </w:r>
      <w:r w:rsidRPr="00D05B59">
        <w:rPr>
          <w:rFonts w:ascii="Palatino Linotype" w:eastAsia="Palatino Linotype" w:hAnsi="Palatino Linotype" w:cs="Palatino Linotype"/>
        </w:rPr>
        <w:t>, le proporcionara lo siguiente:</w:t>
      </w:r>
    </w:p>
    <w:p w14:paraId="14E4264D" w14:textId="77777777" w:rsidR="006D21D9" w:rsidRPr="00D05B59" w:rsidRDefault="006D21D9" w:rsidP="006D21D9">
      <w:pPr>
        <w:spacing w:before="240" w:after="240" w:line="360" w:lineRule="auto"/>
        <w:ind w:left="567" w:right="900"/>
        <w:jc w:val="both"/>
        <w:rPr>
          <w:rFonts w:ascii="Palatino Linotype" w:eastAsia="Palatino Linotype" w:hAnsi="Palatino Linotype" w:cs="Palatino Linotype"/>
          <w:b/>
          <w:sz w:val="22"/>
          <w:szCs w:val="22"/>
          <w:lang w:val="es-ES"/>
        </w:rPr>
      </w:pPr>
      <w:r w:rsidRPr="00D05B59">
        <w:rPr>
          <w:rFonts w:ascii="Palatino Linotype" w:eastAsia="Palatino Linotype" w:hAnsi="Palatino Linotype" w:cs="Palatino Linotype"/>
          <w:b/>
          <w:sz w:val="22"/>
          <w:szCs w:val="22"/>
          <w:lang w:val="es-ES"/>
        </w:rPr>
        <w:lastRenderedPageBreak/>
        <w:t xml:space="preserve">1) Listado de las Cédulas de Bases de Datos Personales (CBDP) con las que cuenta </w:t>
      </w:r>
    </w:p>
    <w:p w14:paraId="0F9E083B" w14:textId="77777777" w:rsidR="006D21D9" w:rsidRPr="00D05B59" w:rsidRDefault="006D21D9" w:rsidP="006D21D9">
      <w:pPr>
        <w:spacing w:before="240" w:after="240" w:line="360" w:lineRule="auto"/>
        <w:ind w:left="567" w:right="900"/>
        <w:jc w:val="both"/>
        <w:rPr>
          <w:rFonts w:ascii="Palatino Linotype" w:eastAsia="Palatino Linotype" w:hAnsi="Palatino Linotype" w:cs="Palatino Linotype"/>
          <w:b/>
          <w:sz w:val="22"/>
          <w:szCs w:val="22"/>
          <w:lang w:val="es-ES"/>
        </w:rPr>
      </w:pPr>
      <w:r w:rsidRPr="00D05B59">
        <w:rPr>
          <w:rFonts w:ascii="Palatino Linotype" w:eastAsia="Palatino Linotype" w:hAnsi="Palatino Linotype" w:cs="Palatino Linotype"/>
          <w:b/>
          <w:sz w:val="22"/>
          <w:szCs w:val="22"/>
          <w:lang w:val="es-ES"/>
        </w:rPr>
        <w:t>2) Copia individual de todas y cada una de las CBDP referidas en el listado del numeral previo</w:t>
      </w:r>
    </w:p>
    <w:p w14:paraId="3CAE7203" w14:textId="77777777" w:rsidR="006D21D9" w:rsidRPr="00D05B59" w:rsidRDefault="006D21D9" w:rsidP="006D21D9">
      <w:pPr>
        <w:spacing w:before="240" w:after="240" w:line="360" w:lineRule="auto"/>
        <w:ind w:left="567" w:right="900"/>
        <w:jc w:val="both"/>
        <w:rPr>
          <w:rFonts w:ascii="Palatino Linotype" w:eastAsia="Palatino Linotype" w:hAnsi="Palatino Linotype" w:cs="Palatino Linotype"/>
          <w:b/>
          <w:sz w:val="22"/>
          <w:szCs w:val="22"/>
          <w:lang w:val="es-ES"/>
        </w:rPr>
      </w:pPr>
      <w:r w:rsidRPr="00D05B59">
        <w:rPr>
          <w:rFonts w:ascii="Palatino Linotype" w:eastAsia="Palatino Linotype" w:hAnsi="Palatino Linotype" w:cs="Palatino Linotype"/>
          <w:b/>
          <w:sz w:val="22"/>
          <w:szCs w:val="22"/>
          <w:lang w:val="es-ES"/>
        </w:rPr>
        <w:t>3) Avisos de Privacidad Integrales vigentes, 4) Avisos de Privacidad Simplificados vigentes</w:t>
      </w:r>
    </w:p>
    <w:p w14:paraId="0B58A7DF" w14:textId="77777777" w:rsidR="006D21D9" w:rsidRPr="00D05B59" w:rsidRDefault="006D21D9" w:rsidP="006D21D9">
      <w:pPr>
        <w:spacing w:before="240" w:after="240" w:line="360" w:lineRule="auto"/>
        <w:ind w:left="567" w:right="900"/>
        <w:jc w:val="both"/>
        <w:rPr>
          <w:rFonts w:ascii="Palatino Linotype" w:eastAsia="Palatino Linotype" w:hAnsi="Palatino Linotype" w:cs="Palatino Linotype"/>
          <w:b/>
          <w:sz w:val="22"/>
          <w:szCs w:val="22"/>
          <w:lang w:val="es-ES"/>
        </w:rPr>
      </w:pPr>
      <w:r w:rsidRPr="00D05B59">
        <w:rPr>
          <w:rFonts w:ascii="Palatino Linotype" w:eastAsia="Palatino Linotype" w:hAnsi="Palatino Linotype" w:cs="Palatino Linotype"/>
          <w:b/>
          <w:sz w:val="22"/>
          <w:szCs w:val="22"/>
          <w:lang w:val="es-ES"/>
        </w:rPr>
        <w:t>4) Versión Pública de los Documentos de Seguridad</w:t>
      </w:r>
    </w:p>
    <w:p w14:paraId="632CD420" w14:textId="77777777" w:rsidR="006D21D9" w:rsidRPr="00D05B59" w:rsidRDefault="006D21D9" w:rsidP="006D21D9">
      <w:pPr>
        <w:spacing w:before="240" w:after="240" w:line="360" w:lineRule="auto"/>
        <w:ind w:left="567" w:right="900"/>
        <w:jc w:val="both"/>
        <w:rPr>
          <w:rFonts w:ascii="Palatino Linotype" w:eastAsia="Palatino Linotype" w:hAnsi="Palatino Linotype" w:cs="Palatino Linotype"/>
          <w:b/>
          <w:sz w:val="22"/>
          <w:szCs w:val="22"/>
          <w:lang w:val="es-ES"/>
        </w:rPr>
      </w:pPr>
      <w:r w:rsidRPr="00D05B59">
        <w:rPr>
          <w:rFonts w:ascii="Palatino Linotype" w:eastAsia="Palatino Linotype" w:hAnsi="Palatino Linotype" w:cs="Palatino Linotype"/>
          <w:b/>
          <w:sz w:val="22"/>
          <w:szCs w:val="22"/>
          <w:lang w:val="es-ES"/>
        </w:rPr>
        <w:t xml:space="preserve"> 5) Todos los informes PASAI de los ejercicios fiscales 2018, 2019, 2020, 2021 y primer trimestre de 2022.</w:t>
      </w:r>
    </w:p>
    <w:p w14:paraId="49D2BFB8" w14:textId="77777777" w:rsidR="006D21D9" w:rsidRPr="00D05B59" w:rsidRDefault="00096237" w:rsidP="006D21D9">
      <w:pPr>
        <w:spacing w:before="240" w:after="240" w:line="360" w:lineRule="auto"/>
        <w:ind w:right="49"/>
        <w:jc w:val="both"/>
        <w:rPr>
          <w:rFonts w:ascii="Palatino Linotype" w:eastAsia="Palatino Linotype" w:hAnsi="Palatino Linotype" w:cs="Palatino Linotype"/>
          <w:b/>
          <w:i/>
        </w:rPr>
      </w:pPr>
      <w:r w:rsidRPr="00D05B59">
        <w:rPr>
          <w:rFonts w:ascii="Palatino Linotype" w:eastAsia="Palatino Linotype" w:hAnsi="Palatino Linotype" w:cs="Palatino Linotype"/>
        </w:rPr>
        <w:t xml:space="preserve">En su respuesta, el </w:t>
      </w:r>
      <w:r w:rsidRPr="00D05B59">
        <w:rPr>
          <w:rFonts w:ascii="Palatino Linotype" w:eastAsia="Palatino Linotype" w:hAnsi="Palatino Linotype" w:cs="Palatino Linotype"/>
          <w:b/>
        </w:rPr>
        <w:t xml:space="preserve">Sujeto Obligado </w:t>
      </w:r>
      <w:r w:rsidR="00EB00E8" w:rsidRPr="00D05B59">
        <w:rPr>
          <w:rFonts w:ascii="Palatino Linotype" w:eastAsia="Palatino Linotype" w:hAnsi="Palatino Linotype" w:cs="Palatino Linotype"/>
        </w:rPr>
        <w:t xml:space="preserve">remitió </w:t>
      </w:r>
      <w:r w:rsidR="006D21D9" w:rsidRPr="00D05B59">
        <w:rPr>
          <w:rFonts w:ascii="Palatino Linotype" w:eastAsia="Palatino Linotype" w:hAnsi="Palatino Linotype" w:cs="Palatino Linotype"/>
        </w:rPr>
        <w:t>treinta y cinco documentos de seguridad, un listado de 225 cédulas de bases de datos personales (CBDP), asimismo refiere que las cédulas de bases de dato se clasificaron como reservadas, remite los avisos de privacidad, por cuanto hace a los documentos de seguridad, se decidió entregar una versión pública, finalmente, respecto a los informes PASAI de los ejercicios fiscales 2018, 2019, 2021 y primer trimestre de 2022, se declaró la inexistencia de estas documentales.</w:t>
      </w:r>
    </w:p>
    <w:p w14:paraId="3511C57E" w14:textId="77777777" w:rsidR="006D21D9" w:rsidRPr="00D05B59" w:rsidRDefault="00397CAD" w:rsidP="006D21D9">
      <w:pPr>
        <w:tabs>
          <w:tab w:val="left" w:pos="1418"/>
        </w:tabs>
        <w:spacing w:before="240" w:after="240" w:line="360" w:lineRule="auto"/>
        <w:ind w:right="49"/>
        <w:jc w:val="both"/>
        <w:rPr>
          <w:rFonts w:ascii="Palatino Linotype" w:eastAsia="Palatino Linotype" w:hAnsi="Palatino Linotype" w:cs="Palatino Linotype"/>
          <w:b/>
          <w:i/>
        </w:rPr>
      </w:pPr>
      <w:r w:rsidRPr="00D05B59">
        <w:rPr>
          <w:rFonts w:ascii="Palatino Linotype" w:eastAsia="Palatino Linotype" w:hAnsi="Palatino Linotype" w:cs="Palatino Linotype"/>
        </w:rPr>
        <w:t>Una</w:t>
      </w:r>
      <w:r w:rsidR="00EB00E8" w:rsidRPr="00D05B59">
        <w:rPr>
          <w:rFonts w:ascii="Palatino Linotype" w:eastAsia="Palatino Linotype" w:hAnsi="Palatino Linotype" w:cs="Palatino Linotype"/>
        </w:rPr>
        <w:t xml:space="preserve"> vez conocida esta respuesta, el</w:t>
      </w:r>
      <w:r w:rsidRPr="00D05B59">
        <w:rPr>
          <w:rFonts w:ascii="Palatino Linotype" w:eastAsia="Palatino Linotype" w:hAnsi="Palatino Linotype" w:cs="Palatino Linotype"/>
        </w:rPr>
        <w:t xml:space="preserve"> particular interpuso el medio de impugnación que nos ocupa, expresando dentro de sus razones o motivos de inconformidad, lo siguiente: </w:t>
      </w:r>
      <w:r w:rsidR="006D21D9" w:rsidRPr="00D05B59">
        <w:rPr>
          <w:rFonts w:ascii="Palatino Linotype" w:eastAsia="Palatino Linotype" w:hAnsi="Palatino Linotype" w:cs="Palatino Linotype"/>
          <w:b/>
          <w:i/>
        </w:rPr>
        <w:t xml:space="preserve">“No se entregaron las copias simples de las cédulas, y la información que refieren para su clasificación no actualiza los supuestos, ya que las cédulas </w:t>
      </w:r>
      <w:r w:rsidR="006D21D9" w:rsidRPr="00D05B59">
        <w:rPr>
          <w:rFonts w:ascii="Palatino Linotype" w:eastAsia="Palatino Linotype" w:hAnsi="Palatino Linotype" w:cs="Palatino Linotype"/>
          <w:b/>
          <w:i/>
        </w:rPr>
        <w:lastRenderedPageBreak/>
        <w:t>referidas en el intranet no cuentan con datos personales. Los documentos de seguridad que refieren están incompletos.”</w:t>
      </w:r>
      <w:r w:rsidR="006D21D9" w:rsidRPr="00D05B59">
        <w:rPr>
          <w:rFonts w:ascii="Palatino Linotype" w:eastAsia="Palatino Linotype" w:hAnsi="Palatino Linotype" w:cs="Palatino Linotype"/>
          <w:i/>
        </w:rPr>
        <w:t xml:space="preserve"> (Sic) (Énfasis añadido)</w:t>
      </w:r>
    </w:p>
    <w:p w14:paraId="05D24FD7" w14:textId="77777777" w:rsidR="007C76BF" w:rsidRPr="00D05B59" w:rsidRDefault="00397CAD" w:rsidP="00EB00E8">
      <w:pPr>
        <w:tabs>
          <w:tab w:val="left" w:pos="1418"/>
        </w:tabs>
        <w:spacing w:before="240" w:after="240" w:line="360" w:lineRule="auto"/>
        <w:ind w:right="49"/>
        <w:jc w:val="both"/>
        <w:rPr>
          <w:rFonts w:ascii="Palatino Linotype" w:eastAsia="Palatino Linotype" w:hAnsi="Palatino Linotype" w:cs="Palatino Linotype"/>
        </w:rPr>
      </w:pPr>
      <w:r w:rsidRPr="00D05B59">
        <w:rPr>
          <w:rFonts w:ascii="Palatino Linotype" w:eastAsia="Palatino Linotype" w:hAnsi="Palatino Linotype" w:cs="Palatino Linotype"/>
        </w:rPr>
        <w:t xml:space="preserve">Una vez admitido el recurso de revisión a trámite, debe mencionarse que </w:t>
      </w:r>
      <w:r w:rsidR="00EB00E8" w:rsidRPr="00D05B59">
        <w:rPr>
          <w:rFonts w:ascii="Palatino Linotype" w:eastAsia="Palatino Linotype" w:hAnsi="Palatino Linotype" w:cs="Palatino Linotype"/>
        </w:rPr>
        <w:t xml:space="preserve">el </w:t>
      </w:r>
      <w:r w:rsidR="00EB00E8" w:rsidRPr="00D05B59">
        <w:rPr>
          <w:rFonts w:ascii="Palatino Linotype" w:eastAsia="Palatino Linotype" w:hAnsi="Palatino Linotype" w:cs="Palatino Linotype"/>
          <w:b/>
        </w:rPr>
        <w:t>Sujeto Obligado</w:t>
      </w:r>
      <w:r w:rsidR="00EB00E8" w:rsidRPr="00D05B59">
        <w:rPr>
          <w:rFonts w:ascii="Palatino Linotype" w:eastAsia="Palatino Linotype" w:hAnsi="Palatino Linotype" w:cs="Palatino Linotype"/>
        </w:rPr>
        <w:t xml:space="preserve"> rindió su informe justificado, </w:t>
      </w:r>
      <w:r w:rsidR="006D21D9" w:rsidRPr="00D05B59">
        <w:rPr>
          <w:rFonts w:ascii="Palatino Linotype" w:eastAsia="Palatino Linotype" w:hAnsi="Palatino Linotype" w:cs="Palatino Linotype"/>
        </w:rPr>
        <w:t>en el cual anexó carpeta con copia digital 107 Cédulas de Bases de Datos Personales del Sistema Municipal DIF Tlalnepantla de Baz, asimismo por cuanto hace a los documentos de seguridad señala que el documento de seguridad no se puede proporcionar al recurrente, por contener información de carácter confidencial, ya que podría vulnerar la seguridad sobre la protección de datos personales que obran en archivos del Sistema Municipal DIF Tlalnepantla de Baz</w:t>
      </w:r>
      <w:r w:rsidR="00EB00E8" w:rsidRPr="00D05B59">
        <w:rPr>
          <w:rFonts w:ascii="Palatino Linotype" w:eastAsia="Palatino Linotype" w:hAnsi="Palatino Linotype" w:cs="Palatino Linotype"/>
        </w:rPr>
        <w:t>, sin embargo, parcialmente se puso a disposición de la parte Recurrente, toda vez que en</w:t>
      </w:r>
      <w:r w:rsidR="006D21D9" w:rsidRPr="00D05B59">
        <w:rPr>
          <w:rFonts w:ascii="Palatino Linotype" w:eastAsia="Palatino Linotype" w:hAnsi="Palatino Linotype" w:cs="Palatino Linotype"/>
        </w:rPr>
        <w:t xml:space="preserve"> la carpeta comprimida de las cédulas de bases de datos personales, se aprecia información susceptible de ser clasificada como confidencial</w:t>
      </w:r>
      <w:r w:rsidR="00EB00E8" w:rsidRPr="00D05B59">
        <w:rPr>
          <w:rFonts w:ascii="Palatino Linotype" w:eastAsia="Palatino Linotype" w:hAnsi="Palatino Linotype" w:cs="Palatino Linotype"/>
        </w:rPr>
        <w:t>.</w:t>
      </w:r>
    </w:p>
    <w:p w14:paraId="704D8F25" w14:textId="77777777" w:rsidR="00F87701" w:rsidRPr="00D05B59" w:rsidRDefault="00F87701" w:rsidP="00F87701">
      <w:pPr>
        <w:spacing w:before="240" w:after="240" w:line="360" w:lineRule="auto"/>
        <w:jc w:val="both"/>
        <w:rPr>
          <w:rFonts w:ascii="Palatino Linotype" w:hAnsi="Palatino Linotype"/>
        </w:rPr>
      </w:pPr>
      <w:r w:rsidRPr="00D05B59">
        <w:rPr>
          <w:rFonts w:ascii="Palatino Linotype" w:hAnsi="Palatino Linotype"/>
        </w:rPr>
        <w:t>Por lo antes señalado, primeramente es necesario precisar que de la lectura a l</w:t>
      </w:r>
      <w:r w:rsidR="001C6371" w:rsidRPr="00D05B59">
        <w:rPr>
          <w:rFonts w:ascii="Palatino Linotype" w:hAnsi="Palatino Linotype"/>
        </w:rPr>
        <w:t xml:space="preserve">os motivos de inconformidad de </w:t>
      </w:r>
      <w:r w:rsidR="001C6371" w:rsidRPr="00D05B59">
        <w:rPr>
          <w:rFonts w:ascii="Palatino Linotype" w:hAnsi="Palatino Linotype"/>
          <w:b/>
        </w:rPr>
        <w:t xml:space="preserve">la </w:t>
      </w:r>
      <w:r w:rsidRPr="00D05B59">
        <w:rPr>
          <w:rFonts w:ascii="Palatino Linotype" w:hAnsi="Palatino Linotype"/>
          <w:b/>
        </w:rPr>
        <w:t>Recurrente</w:t>
      </w:r>
      <w:r w:rsidRPr="00D05B59">
        <w:rPr>
          <w:rFonts w:ascii="Palatino Linotype" w:hAnsi="Palatino Linotype"/>
        </w:rPr>
        <w:t xml:space="preserve"> se tiene que no fue impugnada en su totalidad la respuesta del </w:t>
      </w:r>
      <w:r w:rsidRPr="00D05B59">
        <w:rPr>
          <w:rFonts w:ascii="Palatino Linotype" w:hAnsi="Palatino Linotype"/>
          <w:b/>
        </w:rPr>
        <w:t>Sujeto Obligado</w:t>
      </w:r>
      <w:r w:rsidRPr="00D05B59">
        <w:rPr>
          <w:rFonts w:ascii="Palatino Linotype" w:hAnsi="Palatino Linotype"/>
        </w:rPr>
        <w:t xml:space="preserve">, lo anterior en virtud de que </w:t>
      </w:r>
      <w:r w:rsidRPr="00D05B59">
        <w:rPr>
          <w:rFonts w:ascii="Palatino Linotype" w:hAnsi="Palatino Linotype"/>
          <w:b/>
        </w:rPr>
        <w:t xml:space="preserve">únicamente expresa que </w:t>
      </w:r>
      <w:r w:rsidR="001C6371" w:rsidRPr="00D05B59">
        <w:rPr>
          <w:rFonts w:ascii="Palatino Linotype" w:hAnsi="Palatino Linotype"/>
          <w:b/>
        </w:rPr>
        <w:t>no se entregaron las copias simples de las cédulas y los documentos de seguridad que refieren están incompletos</w:t>
      </w:r>
      <w:r w:rsidRPr="00D05B59">
        <w:rPr>
          <w:rFonts w:ascii="Palatino Linotype" w:hAnsi="Palatino Linotype"/>
        </w:rPr>
        <w:t xml:space="preserve">, por lo que al no haber realizado manifestaciones de inconformidad sobre la totalidad de la respuesta vertida, se infiere que la información proporcionada por el </w:t>
      </w:r>
      <w:r w:rsidRPr="00D05B59">
        <w:rPr>
          <w:rFonts w:ascii="Palatino Linotype" w:hAnsi="Palatino Linotype"/>
          <w:b/>
          <w:bCs/>
        </w:rPr>
        <w:t>Sujeto Obligado</w:t>
      </w:r>
      <w:r w:rsidRPr="00D05B59">
        <w:rPr>
          <w:rFonts w:ascii="Palatino Linotype" w:hAnsi="Palatino Linotype"/>
        </w:rPr>
        <w:t>, satisface los demás puntos de las solicitudes presentadas.</w:t>
      </w:r>
    </w:p>
    <w:p w14:paraId="6A796671" w14:textId="77777777" w:rsidR="00F87701" w:rsidRPr="00D05B59" w:rsidRDefault="00F87701" w:rsidP="00F87701">
      <w:pPr>
        <w:spacing w:before="240" w:after="240" w:line="360" w:lineRule="auto"/>
        <w:jc w:val="both"/>
      </w:pPr>
      <w:r w:rsidRPr="00D05B59">
        <w:rPr>
          <w:rFonts w:ascii="Palatino Linotype" w:hAnsi="Palatino Linotype"/>
        </w:rPr>
        <w:lastRenderedPageBreak/>
        <w:t xml:space="preserve">Lo anterior es así, debido a que cuando un </w:t>
      </w:r>
      <w:r w:rsidRPr="00D05B59">
        <w:rPr>
          <w:rFonts w:ascii="Palatino Linotype" w:hAnsi="Palatino Linotype"/>
          <w:bCs/>
        </w:rPr>
        <w:t>Recurrente</w:t>
      </w:r>
      <w:r w:rsidRPr="00D05B59">
        <w:rPr>
          <w:rFonts w:ascii="Palatino Linotype" w:hAnsi="Palatino Linotype"/>
        </w:rPr>
        <w:t xml:space="preserve"> impugna la respuesta del </w:t>
      </w:r>
      <w:r w:rsidRPr="00D05B59">
        <w:rPr>
          <w:rFonts w:ascii="Palatino Linotype" w:hAnsi="Palatino Linotype"/>
          <w:bCs/>
        </w:rPr>
        <w:t>Sujeto Obligado</w:t>
      </w:r>
      <w:r w:rsidRPr="00D05B59">
        <w:rPr>
          <w:rFonts w:ascii="Palatino Linotype" w:hAnsi="Palatino Linotype"/>
        </w:rPr>
        <w:t xml:space="preserve">, y este no expresa Razón o Motivo de Inconformidad en contra de todos los rubros solicitados, dichos rubros deben declararse atendidos, pues se entiende que </w:t>
      </w:r>
      <w:r w:rsidRPr="00D05B59">
        <w:rPr>
          <w:rFonts w:ascii="Palatino Linotype" w:hAnsi="Palatino Linotype"/>
          <w:bCs/>
        </w:rPr>
        <w:t>el Recurrente</w:t>
      </w:r>
      <w:r w:rsidRPr="00D05B59">
        <w:rPr>
          <w:rFonts w:ascii="Palatino Linotype" w:hAnsi="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E5BDB63" w14:textId="77777777" w:rsidR="00F87701" w:rsidRPr="00D05B59" w:rsidRDefault="00F87701" w:rsidP="00F87701">
      <w:pPr>
        <w:spacing w:before="240" w:after="240" w:line="276" w:lineRule="auto"/>
        <w:ind w:left="851" w:right="900"/>
        <w:jc w:val="both"/>
      </w:pPr>
      <w:r w:rsidRPr="00D05B59">
        <w:rPr>
          <w:rFonts w:ascii="Palatino Linotype" w:hAnsi="Palatino Linotype"/>
          <w:b/>
          <w:bCs/>
          <w:i/>
          <w:iCs/>
          <w:sz w:val="22"/>
          <w:szCs w:val="22"/>
        </w:rPr>
        <w:t xml:space="preserve">“REVISIÓN EN AMPARO. LOS RESOLUTIVOS NO COMBATIDOS DEBEN DECLARARSE FIRMES. </w:t>
      </w:r>
      <w:r w:rsidRPr="00D05B59">
        <w:rPr>
          <w:rFonts w:ascii="Palatino Linotype" w:hAnsi="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4FC32BE" w14:textId="77777777" w:rsidR="00F87701" w:rsidRPr="00D05B59" w:rsidRDefault="00F87701" w:rsidP="00F87701">
      <w:pPr>
        <w:spacing w:before="240" w:after="240" w:line="360" w:lineRule="auto"/>
        <w:jc w:val="both"/>
      </w:pPr>
      <w:r w:rsidRPr="00D05B59">
        <w:rPr>
          <w:rFonts w:ascii="Palatino Linotype" w:hAnsi="Palatino Linotype"/>
        </w:rPr>
        <w:t xml:space="preserve">Consecuentemente, se reitera que la parte de la solicitud que no fue impugnada debe declararse consentida por </w:t>
      </w:r>
      <w:r w:rsidR="001C6371" w:rsidRPr="00D05B59">
        <w:rPr>
          <w:rFonts w:ascii="Palatino Linotype" w:hAnsi="Palatino Linotype"/>
          <w:b/>
          <w:bCs/>
        </w:rPr>
        <w:t>la</w:t>
      </w:r>
      <w:r w:rsidRPr="00D05B59">
        <w:rPr>
          <w:rFonts w:ascii="Palatino Linotype" w:hAnsi="Palatino Linotype"/>
          <w:b/>
          <w:bCs/>
        </w:rPr>
        <w:t xml:space="preserve"> Recurrente</w:t>
      </w:r>
      <w:r w:rsidRPr="00D05B59">
        <w:rPr>
          <w:rFonts w:ascii="Palatino Linotype" w:hAnsi="Palatino Linotype"/>
        </w:rPr>
        <w:t>,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14:paraId="4A336B54" w14:textId="77777777" w:rsidR="00F87701" w:rsidRPr="00D05B59" w:rsidRDefault="00F87701" w:rsidP="00F87701">
      <w:pPr>
        <w:spacing w:before="240" w:after="240" w:line="360" w:lineRule="auto"/>
        <w:jc w:val="both"/>
      </w:pPr>
      <w:r w:rsidRPr="00D05B59">
        <w:rPr>
          <w:rFonts w:ascii="Palatino Linotype" w:hAnsi="Palatino Linotype"/>
        </w:rPr>
        <w:t>Sirve de sustento a lo anterior por analogía la tesis jurisprudencial número VI.3o.C. J/60, publicada en el Semanario Judicial de la Federación y su Gaceta bajo el número de registro 176,608 que a la letra dice:</w:t>
      </w:r>
    </w:p>
    <w:p w14:paraId="31A95A38" w14:textId="77777777" w:rsidR="00F87701" w:rsidRPr="00D05B59" w:rsidRDefault="00F87701" w:rsidP="001C6371">
      <w:pPr>
        <w:spacing w:before="240" w:after="240" w:line="276" w:lineRule="auto"/>
        <w:ind w:left="851" w:right="900"/>
        <w:jc w:val="both"/>
      </w:pPr>
      <w:r w:rsidRPr="00D05B59">
        <w:rPr>
          <w:rFonts w:ascii="Palatino Linotype" w:hAnsi="Palatino Linotype"/>
          <w:b/>
          <w:bCs/>
          <w:i/>
          <w:iCs/>
          <w:smallCaps/>
          <w:sz w:val="22"/>
          <w:szCs w:val="22"/>
        </w:rPr>
        <w:lastRenderedPageBreak/>
        <w:t xml:space="preserve">“ACTOS CONSENTIDOS. SON LOS QUE NO SE IMPUGNAN MEDIANTE EL RECURSO IDÓNEO. </w:t>
      </w:r>
      <w:r w:rsidRPr="00D05B59">
        <w:rPr>
          <w:rFonts w:ascii="Palatino Linotype" w:hAnsi="Palatino Linotype"/>
          <w:i/>
          <w:iCs/>
          <w:sz w:val="22"/>
          <w:szCs w:val="22"/>
        </w:rPr>
        <w:t xml:space="preserve">Debe reputarse como consentido el acto que no se impugnó por el medio establecido por la ley, </w:t>
      </w:r>
      <w:proofErr w:type="gramStart"/>
      <w:r w:rsidRPr="00D05B59">
        <w:rPr>
          <w:rFonts w:ascii="Palatino Linotype" w:hAnsi="Palatino Linotype"/>
          <w:i/>
          <w:iCs/>
          <w:sz w:val="22"/>
          <w:szCs w:val="22"/>
        </w:rPr>
        <w:t>ya que</w:t>
      </w:r>
      <w:proofErr w:type="gramEnd"/>
      <w:r w:rsidRPr="00D05B59">
        <w:rPr>
          <w:rFonts w:ascii="Palatino Linotype" w:hAnsi="Palatino Linotype"/>
          <w:i/>
          <w:iCs/>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8F6F4FA" w14:textId="77777777" w:rsidR="00F87701" w:rsidRPr="00D05B59" w:rsidRDefault="00B975AF" w:rsidP="00B343D4">
      <w:pPr>
        <w:spacing w:before="240" w:after="240" w:line="360" w:lineRule="auto"/>
        <w:ind w:right="49"/>
        <w:jc w:val="both"/>
        <w:rPr>
          <w:rFonts w:ascii="Palatino Linotype" w:eastAsia="Palatino Linotype" w:hAnsi="Palatino Linotype" w:cs="Palatino Linotype"/>
        </w:rPr>
      </w:pPr>
      <w:r w:rsidRPr="00D05B59">
        <w:rPr>
          <w:rFonts w:ascii="Palatino Linotype" w:eastAsia="Palatino Linotype" w:hAnsi="Palatino Linotype" w:cs="Palatino Linotype"/>
        </w:rPr>
        <w:t xml:space="preserve">Acotado lo anterior, resulta pertinente señalar que el presente estudio versará sobre la falta de entrega </w:t>
      </w:r>
      <w:r w:rsidR="00E94E2E" w:rsidRPr="00D05B59">
        <w:rPr>
          <w:rFonts w:ascii="Palatino Linotype" w:eastAsia="Palatino Linotype" w:hAnsi="Palatino Linotype" w:cs="Palatino Linotype"/>
        </w:rPr>
        <w:t>de información</w:t>
      </w:r>
      <w:r w:rsidR="001C6371" w:rsidRPr="00D05B59">
        <w:rPr>
          <w:rFonts w:ascii="Palatino Linotype" w:eastAsia="Palatino Linotype" w:hAnsi="Palatino Linotype" w:cs="Palatino Linotype"/>
        </w:rPr>
        <w:t>, es decir, las cédulas de bases de datos personales y los documentos de seguridad</w:t>
      </w:r>
      <w:r w:rsidRPr="00D05B59">
        <w:rPr>
          <w:rFonts w:ascii="Palatino Linotype" w:eastAsia="Palatino Linotype" w:hAnsi="Palatino Linotype" w:cs="Palatino Linotype"/>
        </w:rPr>
        <w:t>.</w:t>
      </w:r>
    </w:p>
    <w:p w14:paraId="45210478" w14:textId="77777777" w:rsidR="001C6371" w:rsidRPr="00D05B59" w:rsidRDefault="00AA7082" w:rsidP="00AA7082">
      <w:pPr>
        <w:pStyle w:val="Prrafodelista"/>
        <w:numPr>
          <w:ilvl w:val="0"/>
          <w:numId w:val="17"/>
        </w:numPr>
        <w:spacing w:before="240" w:after="240" w:line="360" w:lineRule="auto"/>
        <w:ind w:right="49"/>
        <w:jc w:val="both"/>
        <w:rPr>
          <w:rFonts w:ascii="Palatino Linotype" w:eastAsia="Palatino Linotype" w:hAnsi="Palatino Linotype" w:cs="Palatino Linotype"/>
          <w:b/>
        </w:rPr>
      </w:pPr>
      <w:r w:rsidRPr="00D05B59">
        <w:rPr>
          <w:rFonts w:ascii="Palatino Linotype" w:eastAsia="Palatino Linotype" w:hAnsi="Palatino Linotype" w:cs="Palatino Linotype"/>
          <w:b/>
        </w:rPr>
        <w:t>De las cédulas de bases de datos personales</w:t>
      </w:r>
    </w:p>
    <w:p w14:paraId="1EB54DC8" w14:textId="77777777" w:rsidR="001C6371" w:rsidRPr="00D05B59" w:rsidRDefault="00545639" w:rsidP="00B343D4">
      <w:pPr>
        <w:spacing w:before="240" w:after="240" w:line="360" w:lineRule="auto"/>
        <w:ind w:right="49"/>
        <w:jc w:val="both"/>
        <w:rPr>
          <w:rFonts w:ascii="Palatino Linotype" w:eastAsia="Palatino Linotype" w:hAnsi="Palatino Linotype" w:cs="Palatino Linotype"/>
        </w:rPr>
      </w:pPr>
      <w:r w:rsidRPr="00D05B59">
        <w:rPr>
          <w:rFonts w:ascii="Palatino Linotype" w:eastAsia="Palatino Linotype" w:hAnsi="Palatino Linotype" w:cs="Palatino Linotype"/>
        </w:rPr>
        <w:t xml:space="preserve">En primera instancia, conviene traer a colación el contenido normativo de los siguientes artículos de la Ley de Protección de Datos Personales en Posesión de Sujetos Obligados del Estado de México y Municipios: </w:t>
      </w:r>
    </w:p>
    <w:p w14:paraId="2C75B17F" w14:textId="77777777" w:rsidR="00545639" w:rsidRPr="00D05B59" w:rsidRDefault="00545639" w:rsidP="00545639">
      <w:pPr>
        <w:spacing w:before="240" w:after="240" w:line="276" w:lineRule="auto"/>
        <w:ind w:left="567" w:right="758"/>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w:t>
      </w:r>
    </w:p>
    <w:p w14:paraId="3A2725AF" w14:textId="77777777" w:rsidR="00545639" w:rsidRPr="00D05B59" w:rsidRDefault="00545639" w:rsidP="00545639">
      <w:pPr>
        <w:spacing w:before="240" w:after="240" w:line="276" w:lineRule="auto"/>
        <w:ind w:left="567" w:right="758"/>
        <w:jc w:val="both"/>
        <w:rPr>
          <w:rFonts w:ascii="Palatino Linotype" w:eastAsia="Palatino Linotype" w:hAnsi="Palatino Linotype" w:cs="Palatino Linotype"/>
          <w:i/>
          <w:sz w:val="22"/>
        </w:rPr>
      </w:pPr>
      <w:r w:rsidRPr="00D05B59">
        <w:rPr>
          <w:rFonts w:ascii="Palatino Linotype" w:eastAsia="Palatino Linotype" w:hAnsi="Palatino Linotype" w:cs="Palatino Linotype"/>
          <w:b/>
          <w:i/>
          <w:sz w:val="22"/>
        </w:rPr>
        <w:t>XI. Datos personales</w:t>
      </w:r>
      <w:r w:rsidRPr="00D05B59">
        <w:rPr>
          <w:rFonts w:ascii="Palatino Linotype" w:eastAsia="Palatino Linotype" w:hAnsi="Palatino Linotype" w:cs="Palatino Linotype"/>
          <w:i/>
          <w:sz w:val="22"/>
        </w:rPr>
        <w:t xml:space="preserve">: a </w:t>
      </w:r>
      <w:r w:rsidRPr="00D05B59">
        <w:rPr>
          <w:rFonts w:ascii="Palatino Linotype" w:eastAsia="Palatino Linotype" w:hAnsi="Palatino Linotype" w:cs="Palatino Linotype"/>
          <w:b/>
          <w:i/>
          <w:sz w:val="22"/>
        </w:rPr>
        <w:t>la información concerniente a una persona física o jurídica colectiva identificada o identificable, establecida en cualquier formato o modalidad, y</w:t>
      </w:r>
      <w:r w:rsidRPr="00D05B59">
        <w:rPr>
          <w:rFonts w:ascii="Palatino Linotype" w:eastAsia="Palatino Linotype" w:hAnsi="Palatino Linotype" w:cs="Palatino Linotype"/>
          <w:i/>
          <w:sz w:val="22"/>
        </w:rPr>
        <w:t xml:space="preserve"> </w:t>
      </w:r>
      <w:r w:rsidRPr="00D05B59">
        <w:rPr>
          <w:rFonts w:ascii="Palatino Linotype" w:eastAsia="Palatino Linotype" w:hAnsi="Palatino Linotype" w:cs="Palatino Linotype"/>
          <w:b/>
          <w:i/>
          <w:sz w:val="22"/>
        </w:rPr>
        <w:t>que esté almacenada en los sistemas y bases de datos</w:t>
      </w:r>
      <w:r w:rsidRPr="00D05B59">
        <w:rPr>
          <w:rFonts w:ascii="Palatino Linotype" w:eastAsia="Palatino Linotype" w:hAnsi="Palatino Linotype" w:cs="Palatino Linotype"/>
          <w:i/>
          <w:sz w:val="22"/>
        </w:rPr>
        <w:t>, se considerará que una persona es identificable cuando su identidad pueda determinarse directa o indirectamente a través de cualquier documento informativo físico o electrónico.</w:t>
      </w:r>
    </w:p>
    <w:p w14:paraId="0ADD8E88" w14:textId="77777777" w:rsidR="00545639" w:rsidRPr="00D05B59" w:rsidRDefault="00545639" w:rsidP="00545639">
      <w:pPr>
        <w:spacing w:before="240" w:after="240" w:line="276" w:lineRule="auto"/>
        <w:ind w:left="567" w:right="758"/>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w:t>
      </w:r>
    </w:p>
    <w:p w14:paraId="70B1B6B8" w14:textId="77777777" w:rsidR="00545639" w:rsidRPr="00D05B59" w:rsidRDefault="00545639" w:rsidP="00545639">
      <w:pPr>
        <w:spacing w:before="240" w:after="240" w:line="276" w:lineRule="auto"/>
        <w:ind w:left="567" w:right="758"/>
        <w:jc w:val="both"/>
        <w:rPr>
          <w:rFonts w:ascii="Palatino Linotype" w:eastAsia="Palatino Linotype" w:hAnsi="Palatino Linotype" w:cs="Palatino Linotype"/>
          <w:b/>
          <w:i/>
          <w:sz w:val="22"/>
        </w:rPr>
      </w:pPr>
      <w:r w:rsidRPr="00D05B59">
        <w:rPr>
          <w:rFonts w:ascii="Palatino Linotype" w:eastAsia="Palatino Linotype" w:hAnsi="Palatino Linotype" w:cs="Palatino Linotype"/>
          <w:b/>
          <w:i/>
          <w:sz w:val="22"/>
        </w:rPr>
        <w:lastRenderedPageBreak/>
        <w:t>XLIII. Sistema de datos personales</w:t>
      </w:r>
      <w:r w:rsidRPr="00D05B59">
        <w:rPr>
          <w:rFonts w:ascii="Palatino Linotype" w:eastAsia="Palatino Linotype" w:hAnsi="Palatino Linotype" w:cs="Palatino Linotype"/>
          <w:i/>
          <w:sz w:val="22"/>
        </w:rPr>
        <w:t xml:space="preserve">: </w:t>
      </w:r>
      <w:r w:rsidRPr="00D05B59">
        <w:rPr>
          <w:rFonts w:ascii="Palatino Linotype" w:eastAsia="Palatino Linotype" w:hAnsi="Palatino Linotype" w:cs="Palatino Linotype"/>
          <w:b/>
          <w:i/>
          <w:sz w:val="22"/>
        </w:rPr>
        <w:t>a los datos personales contenidos en los archivos de un sujeto obligado que puede comprender el tratamiento de una o diversas bases de datos para el cumplimiento de una o diversas finalidades.</w:t>
      </w:r>
    </w:p>
    <w:p w14:paraId="6CBB9D56" w14:textId="77777777" w:rsidR="00545639" w:rsidRPr="00D05B59" w:rsidRDefault="00545639" w:rsidP="00545639">
      <w:pPr>
        <w:spacing w:before="240" w:after="240" w:line="276" w:lineRule="auto"/>
        <w:ind w:left="567" w:right="758"/>
        <w:jc w:val="both"/>
        <w:rPr>
          <w:rFonts w:ascii="Palatino Linotype" w:eastAsia="Palatino Linotype" w:hAnsi="Palatino Linotype" w:cs="Palatino Linotype"/>
          <w:b/>
          <w:i/>
          <w:sz w:val="22"/>
        </w:rPr>
      </w:pPr>
      <w:r w:rsidRPr="00D05B59">
        <w:rPr>
          <w:rFonts w:ascii="Palatino Linotype" w:eastAsia="Palatino Linotype" w:hAnsi="Palatino Linotype" w:cs="Palatino Linotype"/>
          <w:b/>
          <w:i/>
          <w:sz w:val="22"/>
        </w:rPr>
        <w:t>…</w:t>
      </w:r>
    </w:p>
    <w:p w14:paraId="748FED0B" w14:textId="77777777" w:rsidR="00545639" w:rsidRPr="00D05B59" w:rsidRDefault="00545639" w:rsidP="00545639">
      <w:pPr>
        <w:spacing w:before="240" w:after="240" w:line="276" w:lineRule="auto"/>
        <w:ind w:left="567" w:right="758"/>
        <w:jc w:val="both"/>
        <w:rPr>
          <w:rFonts w:ascii="Palatino Linotype" w:eastAsia="Palatino Linotype" w:hAnsi="Palatino Linotype" w:cs="Palatino Linotype"/>
          <w:b/>
          <w:i/>
          <w:sz w:val="22"/>
        </w:rPr>
      </w:pPr>
      <w:r w:rsidRPr="00D05B59">
        <w:rPr>
          <w:rFonts w:ascii="Palatino Linotype" w:eastAsia="Palatino Linotype" w:hAnsi="Palatino Linotype" w:cs="Palatino Linotype"/>
          <w:b/>
          <w:i/>
          <w:sz w:val="22"/>
        </w:rPr>
        <w:t>Artículo 35. Corresponde a cada sujeto obligado determinar, a través de su titular, órgano competente o Comité de Transparencia, la creación, modificación o supresión de sistemas y bases de datos personales, conforme a su respectivo ámbito de competencia.</w:t>
      </w:r>
    </w:p>
    <w:p w14:paraId="5085A220" w14:textId="77777777" w:rsidR="00545639" w:rsidRPr="00D05B59" w:rsidRDefault="00DB0FE0" w:rsidP="00DB0FE0">
      <w:pPr>
        <w:spacing w:before="240" w:after="240" w:line="360" w:lineRule="auto"/>
        <w:ind w:right="49"/>
        <w:jc w:val="both"/>
        <w:rPr>
          <w:rFonts w:ascii="Palatino Linotype" w:eastAsia="Palatino Linotype" w:hAnsi="Palatino Linotype" w:cs="Palatino Linotype"/>
        </w:rPr>
      </w:pPr>
      <w:r w:rsidRPr="00D05B59">
        <w:rPr>
          <w:rFonts w:ascii="Palatino Linotype" w:eastAsia="Palatino Linotype" w:hAnsi="Palatino Linotype" w:cs="Palatino Linotype"/>
        </w:rPr>
        <w:t xml:space="preserve">Como se puede visualizar en la cita insertada previamente, </w:t>
      </w:r>
      <w:r w:rsidR="000F3286" w:rsidRPr="00D05B59">
        <w:rPr>
          <w:rFonts w:ascii="Palatino Linotype" w:eastAsia="Palatino Linotype" w:hAnsi="Palatino Linotype" w:cs="Palatino Linotype"/>
        </w:rPr>
        <w:t xml:space="preserve">los datos personales podrán almacenarse en bases de datos, las cuales son creadas previamente por el Comité de Transparencia de los sujetos obligados y deberán ceñirse al cumplimiento de los siguientes preceptos legales de la legislación referida con antelación: </w:t>
      </w:r>
    </w:p>
    <w:p w14:paraId="31A98B74"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b/>
          <w:i/>
          <w:sz w:val="22"/>
        </w:rPr>
      </w:pPr>
      <w:r w:rsidRPr="00D05B59">
        <w:rPr>
          <w:rFonts w:ascii="Palatino Linotype" w:eastAsia="Palatino Linotype" w:hAnsi="Palatino Linotype" w:cs="Palatino Linotype"/>
          <w:i/>
          <w:sz w:val="22"/>
        </w:rPr>
        <w:t>“</w:t>
      </w:r>
      <w:r w:rsidRPr="00D05B59">
        <w:rPr>
          <w:rFonts w:ascii="Palatino Linotype" w:eastAsia="Palatino Linotype" w:hAnsi="Palatino Linotype" w:cs="Palatino Linotype"/>
          <w:b/>
          <w:i/>
          <w:sz w:val="22"/>
        </w:rPr>
        <w:t xml:space="preserve">Artículo 36. La integración, tratamiento y tutela de los sistemas de datos personales se regirán por las disposiciones siguientes: </w:t>
      </w:r>
    </w:p>
    <w:p w14:paraId="5057B536"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b/>
          <w:i/>
          <w:sz w:val="22"/>
        </w:rPr>
      </w:pPr>
      <w:r w:rsidRPr="00D05B59">
        <w:rPr>
          <w:rFonts w:ascii="Palatino Linotype" w:eastAsia="Palatino Linotype" w:hAnsi="Palatino Linotype" w:cs="Palatino Linotype"/>
          <w:b/>
          <w:i/>
          <w:sz w:val="22"/>
        </w:rPr>
        <w:t xml:space="preserve">I. Cada sujeto obligado deberá informar al Instituto sobre la creación, modificación o supresión de sus sistemas de datos personales. </w:t>
      </w:r>
    </w:p>
    <w:p w14:paraId="4FCFAAD0"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 xml:space="preserve">II. En caso de creación o modificación de sistemas de datos personales, se incluirá en el registro, los datos previstos la presente Ley. </w:t>
      </w:r>
    </w:p>
    <w:p w14:paraId="6CD8D15D"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 xml:space="preserve">III. En las disposiciones que se dicten para la supresión de los sistemas de datos personales, se establecerá el destino de los datos contenidos en los mismos o, en su caso, las previsiones que se adopten para su destrucción. </w:t>
      </w:r>
    </w:p>
    <w:p w14:paraId="54E4DAE3"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lastRenderedPageBreak/>
        <w:t xml:space="preserve">IV. De la destrucción de los datos personales podrán ser excluidos aquellos que, con finalidades estadísticas o históricas, sean previamente sometidos al procedimiento de disociación. </w:t>
      </w:r>
    </w:p>
    <w:p w14:paraId="6AAE2B47"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 xml:space="preserve">El registro de Sistemas de Datos Personales deberá realizarse a más tardar dentro de los seis meses siguientes al inicio del tratamiento por parte del responsable. </w:t>
      </w:r>
    </w:p>
    <w:p w14:paraId="36BF2374"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b/>
          <w:i/>
          <w:sz w:val="22"/>
        </w:rPr>
      </w:pPr>
      <w:r w:rsidRPr="00D05B59">
        <w:rPr>
          <w:rFonts w:ascii="Palatino Linotype" w:eastAsia="Palatino Linotype" w:hAnsi="Palatino Linotype" w:cs="Palatino Linotype"/>
          <w:b/>
          <w:i/>
          <w:sz w:val="22"/>
        </w:rPr>
        <w:t xml:space="preserve">Registro de Sistemas de Datos Personales </w:t>
      </w:r>
    </w:p>
    <w:p w14:paraId="5DBFD8C1"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b/>
          <w:i/>
          <w:sz w:val="22"/>
        </w:rPr>
      </w:pPr>
      <w:r w:rsidRPr="00D05B59">
        <w:rPr>
          <w:rFonts w:ascii="Palatino Linotype" w:eastAsia="Palatino Linotype" w:hAnsi="Palatino Linotype" w:cs="Palatino Linotype"/>
          <w:b/>
          <w:i/>
          <w:sz w:val="22"/>
        </w:rPr>
        <w:t xml:space="preserve">Artículo 37. Los sujetos obligados registrarán ante el Instituto los sistemas de datos personales que posean. </w:t>
      </w:r>
    </w:p>
    <w:p w14:paraId="23EB461F"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 xml:space="preserve">El registro deberá indicar por lo menos los datos siguientes: </w:t>
      </w:r>
    </w:p>
    <w:p w14:paraId="13EDDD38"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 xml:space="preserve">I. El sujeto obligado que tiene a su cargo el sistema de datos personales. </w:t>
      </w:r>
    </w:p>
    <w:p w14:paraId="274C6B89"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 xml:space="preserve">II. La denominación del sistema de datos personales, la base de datos y el tipo de datos personales objeto de tratamiento. </w:t>
      </w:r>
    </w:p>
    <w:p w14:paraId="39C63778"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 xml:space="preserve">III. El nombre y cargo del administrador, así como el área o unidad administrativa a la que se encuentra adscrito. </w:t>
      </w:r>
    </w:p>
    <w:p w14:paraId="044AC220"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 xml:space="preserve">IV. El nombre y cargo del encargado. </w:t>
      </w:r>
    </w:p>
    <w:p w14:paraId="4305FCB3"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 xml:space="preserve">V. La normatividad aplicable que dé fundamento al tratamiento en términos de los principios de finalidad y licitud. </w:t>
      </w:r>
    </w:p>
    <w:p w14:paraId="57BC25E9"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 xml:space="preserve">VI. La finalidad del tratamiento. </w:t>
      </w:r>
    </w:p>
    <w:p w14:paraId="68072F0A"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 xml:space="preserve">VII. El origen, la forma de recolección y actualización de datos. </w:t>
      </w:r>
    </w:p>
    <w:p w14:paraId="76A472D6"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VIII. Datos transferidos, lugar de destino e identidad de los destinatarios, en el caso de que se registren transferencias.</w:t>
      </w:r>
    </w:p>
    <w:p w14:paraId="1DD684A3"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 xml:space="preserve">IX. El modo de interrelacionar la información registrada, o en su caso, la trazabilidad de los datos en el sistema de datos personales. </w:t>
      </w:r>
    </w:p>
    <w:p w14:paraId="49AB35A9"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lastRenderedPageBreak/>
        <w:t xml:space="preserve">X. El domicilio de la Unidad de Transparencia, así como de las áreas o unidades administrativas ante las que podrán ejercitarse de manera directa los derechos ARCO. </w:t>
      </w:r>
    </w:p>
    <w:p w14:paraId="48366312" w14:textId="77777777" w:rsidR="000F3286" w:rsidRPr="00D05B59" w:rsidRDefault="000F3286" w:rsidP="000F3286">
      <w:pPr>
        <w:spacing w:before="240" w:after="240" w:line="276" w:lineRule="auto"/>
        <w:ind w:left="567" w:right="49"/>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 xml:space="preserve">XI. El tiempo de conservación de los datos. </w:t>
      </w:r>
    </w:p>
    <w:p w14:paraId="698378BC" w14:textId="77777777" w:rsidR="000F3286" w:rsidRPr="00D05B59" w:rsidRDefault="000F3286" w:rsidP="000F3286">
      <w:pPr>
        <w:spacing w:before="240" w:after="240" w:line="276" w:lineRule="auto"/>
        <w:ind w:left="567" w:right="49"/>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 xml:space="preserve">XII. El nivel de seguridad. </w:t>
      </w:r>
    </w:p>
    <w:p w14:paraId="73BBC446" w14:textId="77777777" w:rsidR="000F3286" w:rsidRPr="00D05B59" w:rsidRDefault="000F3286" w:rsidP="000F3286">
      <w:pPr>
        <w:spacing w:before="240" w:after="240" w:line="276" w:lineRule="auto"/>
        <w:ind w:left="567" w:right="900"/>
        <w:jc w:val="both"/>
        <w:rPr>
          <w:rFonts w:ascii="Palatino Linotype" w:eastAsia="Palatino Linotype" w:hAnsi="Palatino Linotype" w:cs="Palatino Linotype"/>
          <w:i/>
          <w:sz w:val="22"/>
        </w:rPr>
      </w:pPr>
      <w:r w:rsidRPr="00D05B59">
        <w:rPr>
          <w:rFonts w:ascii="Palatino Linotype" w:eastAsia="Palatino Linotype" w:hAnsi="Palatino Linotype" w:cs="Palatino Linotype"/>
          <w:i/>
          <w:sz w:val="22"/>
        </w:rPr>
        <w:t>XIII. En caso de que se hubiera presentado una violación de la seguridad de los datos personales se indicará la fecha de ocurrencia, la de detección y la de atención. Dicha información deberá permanecer en el registro un año calendario posterior a la fecha de su atención.” (Sic) (Énfasis añadido)</w:t>
      </w:r>
    </w:p>
    <w:p w14:paraId="05659490" w14:textId="77777777" w:rsidR="000F3286" w:rsidRPr="00D05B59" w:rsidRDefault="00333FE7" w:rsidP="00333FE7">
      <w:pPr>
        <w:spacing w:before="240" w:after="240" w:line="360" w:lineRule="auto"/>
        <w:ind w:right="49"/>
        <w:jc w:val="both"/>
        <w:rPr>
          <w:rFonts w:ascii="Palatino Linotype" w:eastAsia="Palatino Linotype" w:hAnsi="Palatino Linotype" w:cs="Palatino Linotype"/>
        </w:rPr>
      </w:pPr>
      <w:r w:rsidRPr="00D05B59">
        <w:rPr>
          <w:rFonts w:ascii="Palatino Linotype" w:eastAsia="Palatino Linotype" w:hAnsi="Palatino Linotype" w:cs="Palatino Linotype"/>
        </w:rPr>
        <w:t>Bajo esta línea de pensamiento, se tiene que efectivamente las bases de datos generadas para almacenar los datos personales, deberá registrarse ante este Instituto y dicho registro deberá contener una serie de elementos, de entre los cuales destaca la denominación de la base de datos, tipo de datos personales objeto del tratamiento, finalidad del tratamiento, tiempo de conservación de los datos, nivel de seguridad, etc.</w:t>
      </w:r>
    </w:p>
    <w:p w14:paraId="250117C7" w14:textId="77777777" w:rsidR="00333FE7" w:rsidRPr="00D05B59" w:rsidRDefault="00333FE7" w:rsidP="00333FE7">
      <w:pPr>
        <w:spacing w:before="240" w:after="240" w:line="360" w:lineRule="auto"/>
        <w:ind w:right="49"/>
        <w:jc w:val="both"/>
        <w:rPr>
          <w:rFonts w:ascii="Palatino Linotype" w:eastAsia="Palatino Linotype" w:hAnsi="Palatino Linotype" w:cs="Palatino Linotype"/>
        </w:rPr>
      </w:pPr>
      <w:r w:rsidRPr="00D05B59">
        <w:rPr>
          <w:rFonts w:ascii="Palatino Linotype" w:eastAsia="Palatino Linotype" w:hAnsi="Palatino Linotype" w:cs="Palatino Linotype"/>
        </w:rPr>
        <w:t>Una vez establecido el marco normativo que determina la naturaleza de este registro, conviene señalar q</w:t>
      </w:r>
      <w:r w:rsidR="00AD2054" w:rsidRPr="00D05B59">
        <w:rPr>
          <w:rFonts w:ascii="Palatino Linotype" w:eastAsia="Palatino Linotype" w:hAnsi="Palatino Linotype" w:cs="Palatino Linotype"/>
        </w:rPr>
        <w:t>ue del análisis a</w:t>
      </w:r>
      <w:r w:rsidRPr="00D05B59">
        <w:rPr>
          <w:rFonts w:ascii="Palatino Linotype" w:eastAsia="Palatino Linotype" w:hAnsi="Palatino Linotype" w:cs="Palatino Linotype"/>
        </w:rPr>
        <w:t xml:space="preserve"> su respuesta, el </w:t>
      </w:r>
      <w:r w:rsidRPr="00D05B59">
        <w:rPr>
          <w:rFonts w:ascii="Palatino Linotype" w:eastAsia="Palatino Linotype" w:hAnsi="Palatino Linotype" w:cs="Palatino Linotype"/>
          <w:b/>
        </w:rPr>
        <w:t>Sujeto Obligado</w:t>
      </w:r>
      <w:r w:rsidRPr="00D05B59">
        <w:rPr>
          <w:rFonts w:ascii="Palatino Linotype" w:eastAsia="Palatino Linotype" w:hAnsi="Palatino Linotype" w:cs="Palatino Linotype"/>
        </w:rPr>
        <w:t xml:space="preserve"> determinó su clasificación como reservada, no obstante, en informe justificado remitió una carpeta comprimida que contiene 107 cédulas de bases de datos personales, en las cuales dejó visible información que es susceptible de clas</w:t>
      </w:r>
      <w:r w:rsidR="005125AD" w:rsidRPr="00D05B59">
        <w:rPr>
          <w:rFonts w:ascii="Palatino Linotype" w:eastAsia="Palatino Linotype" w:hAnsi="Palatino Linotype" w:cs="Palatino Linotype"/>
        </w:rPr>
        <w:t>ificarse como confidencial, es decir, las medidas de seguridad par</w:t>
      </w:r>
      <w:r w:rsidR="0005040C" w:rsidRPr="00D05B59">
        <w:rPr>
          <w:rFonts w:ascii="Palatino Linotype" w:eastAsia="Palatino Linotype" w:hAnsi="Palatino Linotype" w:cs="Palatino Linotype"/>
        </w:rPr>
        <w:t>a resguardar las bases de datos, es por ello que no fue posible hacer del conocimiento del particular estas documentales.</w:t>
      </w:r>
    </w:p>
    <w:p w14:paraId="35FA015D" w14:textId="77777777" w:rsidR="005125AD" w:rsidRPr="00D05B59" w:rsidRDefault="00324778" w:rsidP="00324778">
      <w:pPr>
        <w:spacing w:before="240" w:after="240" w:line="360" w:lineRule="auto"/>
        <w:ind w:right="49"/>
        <w:jc w:val="both"/>
        <w:rPr>
          <w:rFonts w:ascii="Palatino Linotype" w:eastAsia="Palatino Linotype" w:hAnsi="Palatino Linotype" w:cs="Palatino Linotype"/>
        </w:rPr>
      </w:pPr>
      <w:r w:rsidRPr="00D05B59">
        <w:rPr>
          <w:rFonts w:ascii="Palatino Linotype" w:eastAsia="Palatino Linotype" w:hAnsi="Palatino Linotype" w:cs="Palatino Linotype"/>
        </w:rPr>
        <w:lastRenderedPageBreak/>
        <w:t xml:space="preserve"> En esta tesitura, resulta importante destacar el hecho de que el artículo 43 de la Ley de Protección de Datos Personales en Posesión de Sujetos Obligados del Estado de México y Municipios establece que </w:t>
      </w:r>
      <w:r w:rsidRPr="00D05B59">
        <w:rPr>
          <w:rFonts w:ascii="Palatino Linotype" w:eastAsia="Palatino Linotype" w:hAnsi="Palatino Linotype" w:cs="Palatino Linotype"/>
          <w:b/>
          <w:u w:val="single"/>
        </w:rPr>
        <w:t>las medidas de seguridad que se adopten serán consideradas confidenciales y únicamente se comunicará</w:t>
      </w:r>
      <w:r w:rsidR="00AB2CFE" w:rsidRPr="00D05B59">
        <w:rPr>
          <w:rFonts w:ascii="Palatino Linotype" w:eastAsia="Palatino Linotype" w:hAnsi="Palatino Linotype" w:cs="Palatino Linotype"/>
          <w:b/>
          <w:u w:val="single"/>
        </w:rPr>
        <w:t>n</w:t>
      </w:r>
      <w:r w:rsidRPr="00D05B59">
        <w:rPr>
          <w:rFonts w:ascii="Palatino Linotype" w:eastAsia="Palatino Linotype" w:hAnsi="Palatino Linotype" w:cs="Palatino Linotype"/>
          <w:b/>
          <w:u w:val="single"/>
        </w:rPr>
        <w:t xml:space="preserve"> al Instituto, para su registro</w:t>
      </w:r>
      <w:r w:rsidRPr="00D05B59">
        <w:rPr>
          <w:rFonts w:ascii="Palatino Linotype" w:eastAsia="Palatino Linotype" w:hAnsi="Palatino Linotype" w:cs="Palatino Linotype"/>
        </w:rPr>
        <w:t>, por lo tanto, no es procedente la divulgación de las mismas en sus c</w:t>
      </w:r>
      <w:r w:rsidR="00AB2CFE" w:rsidRPr="00D05B59">
        <w:rPr>
          <w:rFonts w:ascii="Palatino Linotype" w:eastAsia="Palatino Linotype" w:hAnsi="Palatino Linotype" w:cs="Palatino Linotype"/>
        </w:rPr>
        <w:t xml:space="preserve">édulas de bases de datos y, por el contrario, debieron clasificarse como confidenciales. </w:t>
      </w:r>
    </w:p>
    <w:p w14:paraId="53131EFB" w14:textId="77777777" w:rsidR="00AB2CFE" w:rsidRPr="00D05B59" w:rsidRDefault="00AB2CFE" w:rsidP="00AB2CFE">
      <w:pPr>
        <w:spacing w:before="240" w:after="240" w:line="360" w:lineRule="auto"/>
        <w:jc w:val="both"/>
        <w:rPr>
          <w:rFonts w:ascii="Palatino Linotype" w:eastAsia="Calibri" w:hAnsi="Palatino Linotype" w:cs="Arial"/>
          <w:lang w:val="es-ES" w:eastAsia="es-ES"/>
        </w:rPr>
      </w:pPr>
      <w:r w:rsidRPr="00D05B59">
        <w:rPr>
          <w:rFonts w:ascii="Palatino Linotype" w:eastAsia="Calibri" w:hAnsi="Palatino Linotype" w:cs="Arial"/>
          <w:lang w:val="es-ES" w:eastAsia="es-ES"/>
        </w:rPr>
        <w:t>Con base en lo anterior, se actualiza el supuesto de restricción de acceso a la información pública que contempla el artículo 91 de la Ley de Transparencia y Acceso a la Información Pública del Estado de México y Municipios</w:t>
      </w:r>
      <w:r w:rsidRPr="00D05B59">
        <w:rPr>
          <w:rFonts w:ascii="Palatino Linotype" w:eastAsia="Calibri" w:hAnsi="Palatino Linotype" w:cs="Arial"/>
          <w:vertAlign w:val="superscript"/>
          <w:lang w:val="es-ES" w:eastAsia="es-ES"/>
        </w:rPr>
        <w:footnoteReference w:id="1"/>
      </w:r>
      <w:r w:rsidRPr="00D05B59">
        <w:rPr>
          <w:rFonts w:ascii="Palatino Linotype" w:eastAsia="Calibri" w:hAnsi="Palatino Linotype" w:cs="Arial"/>
          <w:lang w:val="es-ES" w:eastAsia="es-ES"/>
        </w:rPr>
        <w:t xml:space="preserve">, aunado a lo que señala el artículo 143, penúltimo párrafo de la misma Ley, que a la letra dice: </w:t>
      </w:r>
    </w:p>
    <w:p w14:paraId="1F9866FE" w14:textId="77777777" w:rsidR="00AB2CFE" w:rsidRPr="00D05B59" w:rsidRDefault="00AB2CFE" w:rsidP="00AB2CFE">
      <w:pPr>
        <w:tabs>
          <w:tab w:val="left" w:pos="851"/>
        </w:tabs>
        <w:spacing w:before="120" w:after="120"/>
        <w:ind w:left="851" w:right="902"/>
        <w:jc w:val="both"/>
        <w:rPr>
          <w:rFonts w:ascii="Palatino Linotype" w:hAnsi="Palatino Linotype" w:cs="Arial"/>
          <w:i/>
          <w:sz w:val="22"/>
          <w:szCs w:val="22"/>
          <w:lang w:val="es-ES_tradnl" w:eastAsia="es-ES"/>
        </w:rPr>
      </w:pPr>
      <w:r w:rsidRPr="00D05B59">
        <w:rPr>
          <w:rFonts w:ascii="Palatino Linotype" w:hAnsi="Palatino Linotype" w:cs="Arial"/>
          <w:i/>
          <w:sz w:val="22"/>
          <w:szCs w:val="22"/>
          <w:lang w:val="es-ES_tradnl" w:eastAsia="es-ES"/>
        </w:rPr>
        <w:t>“</w:t>
      </w:r>
      <w:r w:rsidRPr="00D05B59">
        <w:rPr>
          <w:rFonts w:ascii="Palatino Linotype" w:hAnsi="Palatino Linotype" w:cs="Arial"/>
          <w:b/>
          <w:i/>
          <w:sz w:val="22"/>
          <w:szCs w:val="22"/>
          <w:lang w:val="es-ES_tradnl" w:eastAsia="es-ES"/>
        </w:rPr>
        <w:t>Artículo 143.</w:t>
      </w:r>
      <w:r w:rsidRPr="00D05B59">
        <w:rPr>
          <w:rFonts w:ascii="Palatino Linotype" w:hAnsi="Palatino Linotype" w:cs="Arial"/>
          <w:i/>
          <w:sz w:val="22"/>
          <w:szCs w:val="22"/>
          <w:lang w:val="es-ES_tradnl" w:eastAsia="es-ES"/>
        </w:rPr>
        <w:t xml:space="preserve"> …</w:t>
      </w:r>
    </w:p>
    <w:p w14:paraId="34B3CFA7" w14:textId="77777777" w:rsidR="00AB2CFE" w:rsidRPr="00D05B59" w:rsidRDefault="00AB2CFE" w:rsidP="00AB2CFE">
      <w:pPr>
        <w:tabs>
          <w:tab w:val="left" w:pos="851"/>
        </w:tabs>
        <w:spacing w:before="120" w:after="120"/>
        <w:ind w:left="851" w:right="902"/>
        <w:jc w:val="both"/>
        <w:rPr>
          <w:rFonts w:ascii="Palatino Linotype" w:hAnsi="Palatino Linotype" w:cs="Arial"/>
          <w:i/>
          <w:sz w:val="22"/>
          <w:szCs w:val="22"/>
          <w:lang w:val="es-ES_tradnl" w:eastAsia="es-ES"/>
        </w:rPr>
      </w:pPr>
      <w:r w:rsidRPr="00D05B59">
        <w:rPr>
          <w:rFonts w:ascii="Palatino Linotype" w:hAnsi="Palatino Linotype" w:cs="Arial"/>
          <w:i/>
          <w:sz w:val="22"/>
          <w:szCs w:val="22"/>
          <w:lang w:val="es-ES_tradnl" w:eastAsia="es-ES"/>
        </w:rPr>
        <w:t>…</w:t>
      </w:r>
    </w:p>
    <w:p w14:paraId="7132080A" w14:textId="77777777" w:rsidR="00AB2CFE" w:rsidRPr="00D05B59" w:rsidRDefault="00AB2CFE" w:rsidP="00AB2CFE">
      <w:pPr>
        <w:tabs>
          <w:tab w:val="left" w:pos="851"/>
        </w:tabs>
        <w:spacing w:before="120" w:after="120"/>
        <w:ind w:left="851" w:right="902"/>
        <w:jc w:val="both"/>
        <w:rPr>
          <w:rFonts w:ascii="Palatino Linotype" w:hAnsi="Palatino Linotype" w:cs="Arial"/>
          <w:i/>
          <w:sz w:val="22"/>
          <w:szCs w:val="22"/>
          <w:lang w:val="es-ES_tradnl" w:eastAsia="es-ES"/>
        </w:rPr>
      </w:pPr>
      <w:r w:rsidRPr="00D05B59">
        <w:rPr>
          <w:rFonts w:ascii="Palatino Linotype" w:hAnsi="Palatino Linotype" w:cs="Arial"/>
          <w:i/>
          <w:sz w:val="22"/>
          <w:szCs w:val="22"/>
          <w:lang w:val="es-ES_tradnl" w:eastAsia="es-ES"/>
        </w:rPr>
        <w:t>La información confidencial no estará sujeta a temporalidad alguna y sólo podrán tener acceso a ella los titulares de la misma, sus representantes y los servidores públicos facultados para ello</w:t>
      </w:r>
      <w:proofErr w:type="gramStart"/>
      <w:r w:rsidRPr="00D05B59">
        <w:rPr>
          <w:rFonts w:ascii="Palatino Linotype" w:hAnsi="Palatino Linotype" w:cs="Arial"/>
          <w:i/>
          <w:sz w:val="22"/>
          <w:szCs w:val="22"/>
          <w:lang w:val="es-ES_tradnl" w:eastAsia="es-ES"/>
        </w:rPr>
        <w:t>.”(</w:t>
      </w:r>
      <w:proofErr w:type="gramEnd"/>
      <w:r w:rsidRPr="00D05B59">
        <w:rPr>
          <w:rFonts w:ascii="Palatino Linotype" w:hAnsi="Palatino Linotype" w:cs="Arial"/>
          <w:i/>
          <w:sz w:val="22"/>
          <w:szCs w:val="22"/>
          <w:lang w:val="es-ES_tradnl" w:eastAsia="es-ES"/>
        </w:rPr>
        <w:t>Sic)</w:t>
      </w:r>
    </w:p>
    <w:p w14:paraId="276B67B0" w14:textId="77777777" w:rsidR="00486B35" w:rsidRPr="00D05B59" w:rsidRDefault="00AB2CFE" w:rsidP="00AB2CFE">
      <w:pPr>
        <w:spacing w:before="240" w:after="240" w:line="360" w:lineRule="auto"/>
        <w:jc w:val="both"/>
        <w:rPr>
          <w:rFonts w:ascii="Palatino Linotype" w:eastAsia="Calibri" w:hAnsi="Palatino Linotype" w:cs="Arial"/>
          <w:lang w:val="es-ES" w:eastAsia="es-ES"/>
        </w:rPr>
      </w:pPr>
      <w:r w:rsidRPr="00D05B59">
        <w:rPr>
          <w:rFonts w:ascii="Palatino Linotype" w:eastAsia="Calibri" w:hAnsi="Palatino Linotype" w:cs="Arial"/>
          <w:lang w:val="es-ES" w:eastAsia="es-ES"/>
        </w:rPr>
        <w:t>En concordancia con expuesto, el numeral Trigésimo Octavo, párrafo segundo de los “Lineamientos Generales en materia de Clasificación y Desclasificación de la información, así como para la elaboración de Versiones Públicas”</w:t>
      </w:r>
      <w:r w:rsidRPr="00D05B59">
        <w:rPr>
          <w:rFonts w:ascii="Palatino Linotype" w:eastAsia="Calibri" w:hAnsi="Palatino Linotype" w:cs="Arial"/>
          <w:vertAlign w:val="superscript"/>
          <w:lang w:val="es-ES" w:eastAsia="es-ES"/>
        </w:rPr>
        <w:footnoteReference w:id="2"/>
      </w:r>
      <w:r w:rsidRPr="00D05B59">
        <w:rPr>
          <w:rFonts w:ascii="Palatino Linotype" w:eastAsia="Calibri" w:hAnsi="Palatino Linotype" w:cs="Arial"/>
          <w:lang w:val="es-ES" w:eastAsia="es-ES"/>
        </w:rPr>
        <w:t xml:space="preserve">, señala lo siguiente: </w:t>
      </w:r>
    </w:p>
    <w:p w14:paraId="5E758EBF" w14:textId="77777777" w:rsidR="00AB2CFE" w:rsidRPr="00D05B59" w:rsidRDefault="00AB2CFE" w:rsidP="00AB2CFE">
      <w:pPr>
        <w:tabs>
          <w:tab w:val="left" w:pos="851"/>
        </w:tabs>
        <w:spacing w:before="120" w:after="120"/>
        <w:ind w:left="851" w:right="902"/>
        <w:jc w:val="both"/>
        <w:rPr>
          <w:rFonts w:ascii="Palatino Linotype" w:hAnsi="Palatino Linotype" w:cs="Arial"/>
          <w:i/>
          <w:sz w:val="22"/>
          <w:szCs w:val="22"/>
          <w:lang w:val="es-ES_tradnl" w:eastAsia="es-ES"/>
        </w:rPr>
      </w:pPr>
      <w:r w:rsidRPr="00D05B59">
        <w:rPr>
          <w:rFonts w:ascii="Palatino Linotype" w:hAnsi="Palatino Linotype" w:cs="Arial"/>
          <w:i/>
          <w:sz w:val="22"/>
          <w:szCs w:val="22"/>
          <w:lang w:val="es-ES_tradnl" w:eastAsia="es-ES"/>
        </w:rPr>
        <w:t>“</w:t>
      </w:r>
      <w:r w:rsidRPr="00D05B59">
        <w:rPr>
          <w:rFonts w:ascii="Palatino Linotype" w:hAnsi="Palatino Linotype" w:cs="Arial"/>
          <w:b/>
          <w:i/>
          <w:sz w:val="22"/>
          <w:szCs w:val="22"/>
          <w:lang w:val="es-ES_tradnl" w:eastAsia="es-ES"/>
        </w:rPr>
        <w:t>Trigésimo octavo.</w:t>
      </w:r>
      <w:r w:rsidRPr="00D05B59">
        <w:rPr>
          <w:rFonts w:ascii="Palatino Linotype" w:hAnsi="Palatino Linotype" w:cs="Arial"/>
          <w:i/>
          <w:sz w:val="22"/>
          <w:szCs w:val="22"/>
          <w:lang w:val="es-ES_tradnl" w:eastAsia="es-ES"/>
        </w:rPr>
        <w:t xml:space="preserve"> …</w:t>
      </w:r>
    </w:p>
    <w:p w14:paraId="5EF21DFC" w14:textId="77777777" w:rsidR="0005040C" w:rsidRPr="00D05B59" w:rsidRDefault="00AB2CFE" w:rsidP="0005040C">
      <w:pPr>
        <w:tabs>
          <w:tab w:val="left" w:pos="851"/>
        </w:tabs>
        <w:spacing w:before="120" w:after="120"/>
        <w:ind w:left="851" w:right="902"/>
        <w:jc w:val="both"/>
        <w:rPr>
          <w:rFonts w:ascii="Palatino Linotype" w:hAnsi="Palatino Linotype" w:cs="Arial"/>
          <w:i/>
          <w:sz w:val="22"/>
          <w:szCs w:val="22"/>
          <w:lang w:val="es-ES_tradnl" w:eastAsia="es-ES"/>
        </w:rPr>
      </w:pPr>
      <w:r w:rsidRPr="00D05B59">
        <w:rPr>
          <w:rFonts w:ascii="Palatino Linotype" w:hAnsi="Palatino Linotype" w:cs="Arial"/>
          <w:i/>
          <w:sz w:val="22"/>
          <w:szCs w:val="22"/>
          <w:lang w:val="es-ES_tradnl" w:eastAsia="es-ES"/>
        </w:rPr>
        <w:lastRenderedPageBreak/>
        <w:t>La información confidencial no estará sujeta a temporalidad alguna y sólo podrán tener acceso a ella los titulares de la misma, sus representantes y los servidores públicos facultados para ello.” (Sic)</w:t>
      </w:r>
    </w:p>
    <w:p w14:paraId="09753C45" w14:textId="77777777" w:rsidR="00AB2CFE" w:rsidRPr="00D05B59" w:rsidRDefault="00324778" w:rsidP="00324778">
      <w:pPr>
        <w:spacing w:before="240" w:after="240" w:line="360" w:lineRule="auto"/>
        <w:ind w:right="49"/>
        <w:jc w:val="both"/>
        <w:rPr>
          <w:rFonts w:ascii="Palatino Linotype" w:eastAsia="Palatino Linotype" w:hAnsi="Palatino Linotype" w:cs="Palatino Linotype"/>
        </w:rPr>
      </w:pPr>
      <w:r w:rsidRPr="00D05B59">
        <w:rPr>
          <w:rFonts w:ascii="Palatino Linotype" w:eastAsia="Palatino Linotype" w:hAnsi="Palatino Linotype" w:cs="Palatino Linotype"/>
        </w:rPr>
        <w:t>Continuando con el an</w:t>
      </w:r>
      <w:r w:rsidR="00AB2CFE" w:rsidRPr="00D05B59">
        <w:rPr>
          <w:rFonts w:ascii="Palatino Linotype" w:eastAsia="Palatino Linotype" w:hAnsi="Palatino Linotype" w:cs="Palatino Linotype"/>
        </w:rPr>
        <w:t xml:space="preserve">álisis, es importante destacar el hecho de que el </w:t>
      </w:r>
      <w:r w:rsidR="00AB2CFE" w:rsidRPr="00D05B59">
        <w:rPr>
          <w:rFonts w:ascii="Palatino Linotype" w:eastAsia="Palatino Linotype" w:hAnsi="Palatino Linotype" w:cs="Palatino Linotype"/>
          <w:b/>
        </w:rPr>
        <w:t>Sujeto Obligado</w:t>
      </w:r>
      <w:r w:rsidR="00AB2CFE" w:rsidRPr="00D05B59">
        <w:rPr>
          <w:rFonts w:ascii="Palatino Linotype" w:eastAsia="Palatino Linotype" w:hAnsi="Palatino Linotype" w:cs="Palatino Linotype"/>
        </w:rPr>
        <w:t xml:space="preserve"> en lo concerniente al listado de cédulas de bases de datos, en su respuesta refirió contar con 225 cédulas de bases de datos personales, sirven de referencia las siguientes ilustraciones:</w:t>
      </w:r>
    </w:p>
    <w:p w14:paraId="7195CFDF" w14:textId="77777777" w:rsidR="00AB2CFE" w:rsidRPr="00D05B59" w:rsidRDefault="00AB2CFE" w:rsidP="00324778">
      <w:pPr>
        <w:spacing w:before="240" w:after="240" w:line="360" w:lineRule="auto"/>
        <w:ind w:right="49"/>
        <w:jc w:val="both"/>
        <w:rPr>
          <w:rFonts w:ascii="Palatino Linotype" w:eastAsia="Palatino Linotype" w:hAnsi="Palatino Linotype" w:cs="Palatino Linotype"/>
        </w:rPr>
      </w:pPr>
      <w:r w:rsidRPr="00D05B59">
        <w:rPr>
          <w:rFonts w:ascii="Palatino Linotype" w:eastAsia="Palatino Linotype" w:hAnsi="Palatino Linotype" w:cs="Palatino Linotype"/>
          <w:noProof/>
        </w:rPr>
        <w:drawing>
          <wp:inline distT="0" distB="0" distL="0" distR="0" wp14:anchorId="676025EB" wp14:editId="6E9B8E32">
            <wp:extent cx="5220429" cy="4201111"/>
            <wp:effectExtent l="19050" t="19050" r="18415"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0429" cy="4201111"/>
                    </a:xfrm>
                    <a:prstGeom prst="rect">
                      <a:avLst/>
                    </a:prstGeom>
                    <a:ln>
                      <a:solidFill>
                        <a:schemeClr val="tx1"/>
                      </a:solidFill>
                    </a:ln>
                  </pic:spPr>
                </pic:pic>
              </a:graphicData>
            </a:graphic>
          </wp:inline>
        </w:drawing>
      </w:r>
    </w:p>
    <w:p w14:paraId="1B548FAE" w14:textId="77777777" w:rsidR="00AB2CFE" w:rsidRPr="00D05B59" w:rsidRDefault="00AB2CFE" w:rsidP="0005040C">
      <w:pPr>
        <w:spacing w:before="240" w:after="240" w:line="360" w:lineRule="auto"/>
        <w:ind w:right="49"/>
        <w:jc w:val="center"/>
        <w:rPr>
          <w:rFonts w:ascii="Palatino Linotype" w:eastAsia="Palatino Linotype" w:hAnsi="Palatino Linotype" w:cs="Palatino Linotype"/>
        </w:rPr>
      </w:pPr>
      <w:r w:rsidRPr="00D05B59">
        <w:rPr>
          <w:rFonts w:ascii="Palatino Linotype" w:eastAsia="Palatino Linotype" w:hAnsi="Palatino Linotype" w:cs="Palatino Linotype"/>
          <w:noProof/>
        </w:rPr>
        <w:lastRenderedPageBreak/>
        <w:drawing>
          <wp:inline distT="0" distB="0" distL="0" distR="0" wp14:anchorId="60AB0E98" wp14:editId="1D5BD5EE">
            <wp:extent cx="4528747" cy="2505075"/>
            <wp:effectExtent l="19050" t="19050" r="2476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8747" cy="2505075"/>
                    </a:xfrm>
                    <a:prstGeom prst="rect">
                      <a:avLst/>
                    </a:prstGeom>
                    <a:ln>
                      <a:solidFill>
                        <a:schemeClr val="tx1"/>
                      </a:solidFill>
                    </a:ln>
                  </pic:spPr>
                </pic:pic>
              </a:graphicData>
            </a:graphic>
          </wp:inline>
        </w:drawing>
      </w:r>
    </w:p>
    <w:p w14:paraId="1618CED2" w14:textId="77777777" w:rsidR="00324778" w:rsidRPr="00D05B59" w:rsidRDefault="00AB2CFE" w:rsidP="00324778">
      <w:pPr>
        <w:spacing w:before="240" w:after="240" w:line="360" w:lineRule="auto"/>
        <w:ind w:right="49"/>
        <w:jc w:val="both"/>
        <w:rPr>
          <w:rFonts w:ascii="Palatino Linotype" w:eastAsia="Palatino Linotype" w:hAnsi="Palatino Linotype" w:cs="Palatino Linotype"/>
        </w:rPr>
      </w:pPr>
      <w:r w:rsidRPr="00D05B59">
        <w:rPr>
          <w:rFonts w:ascii="Palatino Linotype" w:eastAsia="Palatino Linotype" w:hAnsi="Palatino Linotype" w:cs="Palatino Linotype"/>
        </w:rPr>
        <w:t xml:space="preserve"> </w:t>
      </w:r>
      <w:r w:rsidR="0005040C" w:rsidRPr="00D05B59">
        <w:rPr>
          <w:rFonts w:ascii="Palatino Linotype" w:eastAsia="Palatino Linotype" w:hAnsi="Palatino Linotype" w:cs="Palatino Linotype"/>
        </w:rPr>
        <w:t xml:space="preserve">Ahora bien, como se ha reiterado en líneas argumentativas, es mediante informe justificado que el </w:t>
      </w:r>
      <w:r w:rsidR="0005040C" w:rsidRPr="00D05B59">
        <w:rPr>
          <w:rFonts w:ascii="Palatino Linotype" w:eastAsia="Palatino Linotype" w:hAnsi="Palatino Linotype" w:cs="Palatino Linotype"/>
          <w:b/>
        </w:rPr>
        <w:t>Sujeto Obligado</w:t>
      </w:r>
      <w:r w:rsidR="0005040C" w:rsidRPr="00D05B59">
        <w:rPr>
          <w:rFonts w:ascii="Palatino Linotype" w:eastAsia="Palatino Linotype" w:hAnsi="Palatino Linotype" w:cs="Palatino Linotype"/>
        </w:rPr>
        <w:t xml:space="preserve"> remite 107 cédulas de bases de datos personales, cifra que es incongruente en contraposición de lo reportado en respuesta, por lo que nos encontramos ante una duda razonable, además no debemos perder de vista que la esencia de este requerimiento de información es obtener las copias de todas y cada una de las cédulas de bases de datos personales referidas en el listado, es decir, las 225, por lo que resulta dable ordenar al </w:t>
      </w:r>
      <w:r w:rsidR="0005040C" w:rsidRPr="00D05B59">
        <w:rPr>
          <w:rFonts w:ascii="Palatino Linotype" w:eastAsia="Palatino Linotype" w:hAnsi="Palatino Linotype" w:cs="Palatino Linotype"/>
          <w:b/>
        </w:rPr>
        <w:t xml:space="preserve">Sujeto Obligado </w:t>
      </w:r>
      <w:r w:rsidR="0005040C" w:rsidRPr="00D05B59">
        <w:rPr>
          <w:rFonts w:ascii="Palatino Linotype" w:eastAsia="Palatino Linotype" w:hAnsi="Palatino Linotype" w:cs="Palatino Linotype"/>
        </w:rPr>
        <w:t xml:space="preserve">efectuar una búsqueda exhaustiva y razonable para efecto de que haga entrega las cédulas de bases de datos personales, en versión pública, esto es, testando las medidas de seguridad </w:t>
      </w:r>
      <w:r w:rsidR="00FC6073" w:rsidRPr="00D05B59">
        <w:rPr>
          <w:rFonts w:ascii="Palatino Linotype" w:eastAsia="Palatino Linotype" w:hAnsi="Palatino Linotype" w:cs="Palatino Linotype"/>
        </w:rPr>
        <w:t>pues como se apuntó en líneas argumentativas anteriores, no son susceptibles de hacerlas del conocimiento de los particulares.</w:t>
      </w:r>
    </w:p>
    <w:p w14:paraId="50C30224" w14:textId="77777777" w:rsidR="005125AD" w:rsidRPr="00D05B59" w:rsidRDefault="00380BC7" w:rsidP="00380BC7">
      <w:pPr>
        <w:pStyle w:val="Prrafodelista"/>
        <w:numPr>
          <w:ilvl w:val="0"/>
          <w:numId w:val="17"/>
        </w:numPr>
        <w:spacing w:before="240" w:after="240" w:line="360" w:lineRule="auto"/>
        <w:ind w:right="49"/>
        <w:jc w:val="both"/>
        <w:rPr>
          <w:rFonts w:ascii="Palatino Linotype" w:eastAsia="Palatino Linotype" w:hAnsi="Palatino Linotype" w:cs="Palatino Linotype"/>
          <w:b/>
        </w:rPr>
      </w:pPr>
      <w:r w:rsidRPr="00D05B59">
        <w:rPr>
          <w:rFonts w:ascii="Palatino Linotype" w:eastAsia="Palatino Linotype" w:hAnsi="Palatino Linotype" w:cs="Palatino Linotype"/>
          <w:b/>
        </w:rPr>
        <w:t>De los documentos de seguridad</w:t>
      </w:r>
    </w:p>
    <w:p w14:paraId="6435ED3A" w14:textId="77777777" w:rsidR="00380BC7" w:rsidRPr="00D05B59" w:rsidRDefault="00843025" w:rsidP="00380BC7">
      <w:pPr>
        <w:spacing w:before="240" w:after="240" w:line="360" w:lineRule="auto"/>
        <w:ind w:right="49"/>
        <w:jc w:val="both"/>
        <w:rPr>
          <w:rFonts w:ascii="Palatino Linotype" w:eastAsia="Palatino Linotype" w:hAnsi="Palatino Linotype" w:cs="Palatino Linotype"/>
        </w:rPr>
      </w:pPr>
      <w:r w:rsidRPr="00D05B59">
        <w:rPr>
          <w:rFonts w:ascii="Palatino Linotype" w:eastAsia="Palatino Linotype" w:hAnsi="Palatino Linotype" w:cs="Palatino Linotype"/>
        </w:rPr>
        <w:lastRenderedPageBreak/>
        <w:t xml:space="preserve">En lo tocante a este punto, el </w:t>
      </w:r>
      <w:r w:rsidRPr="00D05B59">
        <w:rPr>
          <w:rFonts w:ascii="Palatino Linotype" w:eastAsia="Palatino Linotype" w:hAnsi="Palatino Linotype" w:cs="Palatino Linotype"/>
          <w:b/>
        </w:rPr>
        <w:t>Sujeto Obligado</w:t>
      </w:r>
      <w:r w:rsidRPr="00D05B59">
        <w:rPr>
          <w:rFonts w:ascii="Palatino Linotype" w:eastAsia="Palatino Linotype" w:hAnsi="Palatino Linotype" w:cs="Palatino Linotype"/>
        </w:rPr>
        <w:t xml:space="preserve"> manifestó que los documentos de seguridad eran susceptibles de entregar en una versión pública, lo anterior en base a las siguientes consideraciones:</w:t>
      </w:r>
      <w:r w:rsidRPr="00D05B59">
        <w:rPr>
          <w:rFonts w:ascii="Palatino Linotype" w:eastAsia="Palatino Linotype" w:hAnsi="Palatino Linotype" w:cs="Palatino Linotype"/>
        </w:rPr>
        <w:br/>
      </w:r>
    </w:p>
    <w:p w14:paraId="03DAB539" w14:textId="77777777" w:rsidR="00843025" w:rsidRPr="00D05B59" w:rsidRDefault="00843025" w:rsidP="00843025">
      <w:pPr>
        <w:spacing w:before="240" w:after="240" w:line="360" w:lineRule="auto"/>
        <w:ind w:right="49"/>
        <w:jc w:val="center"/>
        <w:rPr>
          <w:rFonts w:ascii="Palatino Linotype" w:eastAsia="Palatino Linotype" w:hAnsi="Palatino Linotype" w:cs="Palatino Linotype"/>
        </w:rPr>
      </w:pPr>
      <w:r w:rsidRPr="00D05B59">
        <w:rPr>
          <w:rFonts w:ascii="Palatino Linotype" w:eastAsia="Palatino Linotype" w:hAnsi="Palatino Linotype" w:cs="Palatino Linotype"/>
          <w:noProof/>
        </w:rPr>
        <w:drawing>
          <wp:inline distT="0" distB="0" distL="0" distR="0" wp14:anchorId="672AD6D6" wp14:editId="7180C59A">
            <wp:extent cx="4363059" cy="4858428"/>
            <wp:effectExtent l="19050" t="19050" r="19050" b="184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63059" cy="4858428"/>
                    </a:xfrm>
                    <a:prstGeom prst="rect">
                      <a:avLst/>
                    </a:prstGeom>
                    <a:ln>
                      <a:solidFill>
                        <a:schemeClr val="tx1"/>
                      </a:solidFill>
                    </a:ln>
                  </pic:spPr>
                </pic:pic>
              </a:graphicData>
            </a:graphic>
          </wp:inline>
        </w:drawing>
      </w:r>
    </w:p>
    <w:p w14:paraId="7866F570" w14:textId="77777777" w:rsidR="002E72C9" w:rsidRPr="00D05B59" w:rsidRDefault="00843025" w:rsidP="00B80784">
      <w:pPr>
        <w:spacing w:before="240" w:after="240" w:line="360" w:lineRule="auto"/>
        <w:ind w:right="49"/>
        <w:jc w:val="center"/>
        <w:rPr>
          <w:rFonts w:ascii="Palatino Linotype" w:eastAsia="Palatino Linotype" w:hAnsi="Palatino Linotype" w:cs="Palatino Linotype"/>
        </w:rPr>
      </w:pPr>
      <w:r w:rsidRPr="00D05B59">
        <w:rPr>
          <w:rFonts w:ascii="Palatino Linotype" w:eastAsia="Palatino Linotype" w:hAnsi="Palatino Linotype" w:cs="Palatino Linotype"/>
          <w:noProof/>
        </w:rPr>
        <w:lastRenderedPageBreak/>
        <w:drawing>
          <wp:inline distT="0" distB="0" distL="0" distR="0" wp14:anchorId="74299A6E" wp14:editId="7B1666F8">
            <wp:extent cx="4086795" cy="952633"/>
            <wp:effectExtent l="19050" t="19050" r="9525"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6795" cy="952633"/>
                    </a:xfrm>
                    <a:prstGeom prst="rect">
                      <a:avLst/>
                    </a:prstGeom>
                    <a:ln>
                      <a:solidFill>
                        <a:schemeClr val="tx1"/>
                      </a:solidFill>
                    </a:ln>
                  </pic:spPr>
                </pic:pic>
              </a:graphicData>
            </a:graphic>
          </wp:inline>
        </w:drawing>
      </w:r>
    </w:p>
    <w:p w14:paraId="20E2D090" w14:textId="77777777" w:rsidR="00C877E0" w:rsidRPr="00D05B59" w:rsidRDefault="00C877E0" w:rsidP="00C877E0">
      <w:pPr>
        <w:spacing w:before="240" w:line="360" w:lineRule="auto"/>
        <w:ind w:right="49"/>
        <w:jc w:val="both"/>
        <w:rPr>
          <w:rFonts w:ascii="Palatino Linotype" w:eastAsia="Palatino Linotype" w:hAnsi="Palatino Linotype" w:cs="Palatino Linotype"/>
        </w:rPr>
      </w:pPr>
      <w:r w:rsidRPr="00D05B59">
        <w:rPr>
          <w:rFonts w:ascii="Palatino Linotype" w:eastAsia="Palatino Linotype" w:hAnsi="Palatino Linotype" w:cs="Palatino Linotype"/>
        </w:rPr>
        <w:t xml:space="preserve">En primera instancia, resulta importante señalar que del análisis al acuerdo que sustenta la versión pública de los documentos de seguridad, se advierte que únicamente se insertó un extracto del Acuerdo 57/CT/15-EXT/2022 de la Décima Quinta Sesión Extraordinaria del Comité Interno de Transparencia, Acceso a la Información Pública y Protección de Datos Personales del </w:t>
      </w:r>
      <w:r w:rsidRPr="00D05B59">
        <w:rPr>
          <w:rFonts w:ascii="Palatino Linotype" w:eastAsia="Palatino Linotype" w:hAnsi="Palatino Linotype" w:cs="Palatino Linotype"/>
          <w:b/>
        </w:rPr>
        <w:t xml:space="preserve">Sujeto Obligado, </w:t>
      </w:r>
      <w:r w:rsidRPr="00D05B59">
        <w:rPr>
          <w:rFonts w:ascii="Palatino Linotype" w:eastAsia="Palatino Linotype" w:hAnsi="Palatino Linotype" w:cs="Palatino Linotype"/>
        </w:rPr>
        <w:t>por lo cual se procede al análisis de dicho acuerdo para determinar si se realizó conforme a derecho, para ello se inserta el siguiente cuadro de análisis:</w:t>
      </w:r>
    </w:p>
    <w:tbl>
      <w:tblPr>
        <w:tblStyle w:val="Tablaconcuadrcula1"/>
        <w:tblW w:w="9067" w:type="dxa"/>
        <w:tblLayout w:type="fixed"/>
        <w:tblLook w:val="04A0" w:firstRow="1" w:lastRow="0" w:firstColumn="1" w:lastColumn="0" w:noHBand="0" w:noVBand="1"/>
      </w:tblPr>
      <w:tblGrid>
        <w:gridCol w:w="1548"/>
        <w:gridCol w:w="7"/>
        <w:gridCol w:w="6013"/>
        <w:gridCol w:w="1499"/>
      </w:tblGrid>
      <w:tr w:rsidR="00D05B59" w:rsidRPr="00D05B59" w14:paraId="1520BDAF" w14:textId="77777777" w:rsidTr="003708BD">
        <w:trPr>
          <w:trHeight w:val="569"/>
        </w:trPr>
        <w:tc>
          <w:tcPr>
            <w:tcW w:w="1548" w:type="dxa"/>
            <w:shd w:val="clear" w:color="auto" w:fill="00B050"/>
          </w:tcPr>
          <w:p w14:paraId="3867D5FE" w14:textId="77777777" w:rsidR="00C877E0" w:rsidRPr="00D05B59" w:rsidRDefault="00C877E0" w:rsidP="003708BD">
            <w:pPr>
              <w:spacing w:before="100" w:after="200" w:line="276" w:lineRule="auto"/>
              <w:jc w:val="center"/>
              <w:rPr>
                <w:rFonts w:ascii="Palatino Linotype" w:hAnsi="Palatino Linotype"/>
                <w:b/>
                <w:sz w:val="18"/>
                <w:szCs w:val="18"/>
                <w:lang w:eastAsia="en-US"/>
              </w:rPr>
            </w:pPr>
            <w:r w:rsidRPr="00D05B59">
              <w:rPr>
                <w:rFonts w:ascii="Palatino Linotype" w:hAnsi="Palatino Linotype"/>
                <w:b/>
                <w:sz w:val="18"/>
                <w:szCs w:val="18"/>
                <w:lang w:eastAsia="en-US"/>
              </w:rPr>
              <w:t>Elementos del acuerdo de clasificación</w:t>
            </w:r>
          </w:p>
        </w:tc>
        <w:tc>
          <w:tcPr>
            <w:tcW w:w="6020" w:type="dxa"/>
            <w:gridSpan w:val="2"/>
            <w:shd w:val="clear" w:color="auto" w:fill="00B050"/>
          </w:tcPr>
          <w:p w14:paraId="0289352A" w14:textId="77777777" w:rsidR="00C877E0" w:rsidRPr="00D05B59" w:rsidRDefault="00C877E0" w:rsidP="003708BD">
            <w:pPr>
              <w:spacing w:before="100" w:after="200" w:line="276" w:lineRule="auto"/>
              <w:jc w:val="center"/>
              <w:rPr>
                <w:rFonts w:ascii="Palatino Linotype" w:hAnsi="Palatino Linotype"/>
                <w:b/>
                <w:sz w:val="18"/>
                <w:szCs w:val="18"/>
                <w:lang w:eastAsia="en-US"/>
              </w:rPr>
            </w:pPr>
            <w:r w:rsidRPr="00D05B59">
              <w:rPr>
                <w:rFonts w:ascii="Palatino Linotype" w:hAnsi="Palatino Linotype"/>
                <w:b/>
                <w:sz w:val="18"/>
                <w:szCs w:val="18"/>
                <w:lang w:eastAsia="en-US"/>
              </w:rPr>
              <w:t>Contenido</w:t>
            </w:r>
          </w:p>
        </w:tc>
        <w:tc>
          <w:tcPr>
            <w:tcW w:w="1499" w:type="dxa"/>
            <w:shd w:val="clear" w:color="auto" w:fill="00B050"/>
          </w:tcPr>
          <w:p w14:paraId="64C92F19" w14:textId="77777777" w:rsidR="00C877E0" w:rsidRPr="00D05B59" w:rsidRDefault="00C877E0" w:rsidP="003708BD">
            <w:pPr>
              <w:spacing w:before="100" w:after="200" w:line="276" w:lineRule="auto"/>
              <w:jc w:val="center"/>
              <w:rPr>
                <w:rFonts w:ascii="Palatino Linotype" w:hAnsi="Palatino Linotype"/>
                <w:b/>
                <w:sz w:val="18"/>
                <w:szCs w:val="18"/>
                <w:lang w:eastAsia="en-US"/>
              </w:rPr>
            </w:pPr>
            <w:r w:rsidRPr="00D05B59">
              <w:rPr>
                <w:rFonts w:ascii="Palatino Linotype" w:hAnsi="Palatino Linotype"/>
                <w:b/>
                <w:sz w:val="18"/>
                <w:szCs w:val="18"/>
                <w:lang w:eastAsia="en-US"/>
              </w:rPr>
              <w:t>¿Cumple?</w:t>
            </w:r>
          </w:p>
        </w:tc>
      </w:tr>
      <w:tr w:rsidR="00D05B59" w:rsidRPr="00D05B59" w14:paraId="30182F12" w14:textId="77777777" w:rsidTr="003708BD">
        <w:tc>
          <w:tcPr>
            <w:tcW w:w="1548" w:type="dxa"/>
          </w:tcPr>
          <w:p w14:paraId="2419A6C3" w14:textId="77777777" w:rsidR="00C877E0" w:rsidRPr="00D05B59" w:rsidRDefault="00C877E0" w:rsidP="003708BD">
            <w:pPr>
              <w:spacing w:before="100" w:after="200" w:line="276" w:lineRule="auto"/>
              <w:jc w:val="center"/>
              <w:rPr>
                <w:rFonts w:ascii="Palatino Linotype" w:hAnsi="Palatino Linotype"/>
                <w:sz w:val="18"/>
                <w:szCs w:val="18"/>
                <w:lang w:eastAsia="en-US"/>
              </w:rPr>
            </w:pPr>
            <w:r w:rsidRPr="00D05B59">
              <w:rPr>
                <w:rFonts w:ascii="Palatino Linotype" w:hAnsi="Palatino Linotype"/>
                <w:b/>
                <w:sz w:val="18"/>
                <w:szCs w:val="18"/>
                <w:lang w:eastAsia="en-US"/>
              </w:rPr>
              <w:t>Número de folio de la solicitud</w:t>
            </w:r>
          </w:p>
        </w:tc>
        <w:tc>
          <w:tcPr>
            <w:tcW w:w="6020" w:type="dxa"/>
            <w:gridSpan w:val="2"/>
          </w:tcPr>
          <w:p w14:paraId="071F458F" w14:textId="77777777" w:rsidR="00C877E0" w:rsidRPr="00D05B59" w:rsidRDefault="00C877E0" w:rsidP="003708BD">
            <w:pPr>
              <w:spacing w:before="100" w:after="200" w:line="276" w:lineRule="auto"/>
              <w:rPr>
                <w:rFonts w:ascii="Calibri" w:hAnsi="Calibri"/>
                <w:sz w:val="20"/>
                <w:szCs w:val="20"/>
                <w:lang w:eastAsia="en-US"/>
              </w:rPr>
            </w:pPr>
            <w:r w:rsidRPr="00D05B59">
              <w:rPr>
                <w:rFonts w:ascii="Calibri" w:hAnsi="Calibri"/>
                <w:noProof/>
                <w:sz w:val="20"/>
                <w:szCs w:val="20"/>
              </w:rPr>
              <w:drawing>
                <wp:inline distT="0" distB="0" distL="0" distR="0" wp14:anchorId="25791F6C" wp14:editId="32B7384B">
                  <wp:extent cx="3685540" cy="540385"/>
                  <wp:effectExtent l="19050" t="19050" r="10160" b="120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5540" cy="540385"/>
                          </a:xfrm>
                          <a:prstGeom prst="rect">
                            <a:avLst/>
                          </a:prstGeom>
                          <a:ln>
                            <a:solidFill>
                              <a:schemeClr val="tx1"/>
                            </a:solidFill>
                          </a:ln>
                        </pic:spPr>
                      </pic:pic>
                    </a:graphicData>
                  </a:graphic>
                </wp:inline>
              </w:drawing>
            </w:r>
          </w:p>
        </w:tc>
        <w:tc>
          <w:tcPr>
            <w:tcW w:w="1499" w:type="dxa"/>
          </w:tcPr>
          <w:p w14:paraId="55BC33B3" w14:textId="77777777" w:rsidR="00C877E0" w:rsidRPr="00D05B59" w:rsidRDefault="00C37C63" w:rsidP="003708BD">
            <w:pPr>
              <w:spacing w:before="100" w:after="200" w:line="276" w:lineRule="auto"/>
              <w:jc w:val="center"/>
              <w:rPr>
                <w:rFonts w:ascii="Palatino Linotype" w:hAnsi="Palatino Linotype"/>
                <w:b/>
                <w:sz w:val="20"/>
                <w:szCs w:val="20"/>
                <w:lang w:eastAsia="en-US"/>
              </w:rPr>
            </w:pPr>
            <w:r w:rsidRPr="00D05B59">
              <w:rPr>
                <w:rFonts w:ascii="Palatino Linotype" w:hAnsi="Palatino Linotype"/>
                <w:b/>
                <w:sz w:val="20"/>
                <w:szCs w:val="20"/>
                <w:lang w:eastAsia="en-US"/>
              </w:rPr>
              <w:t>Sí</w:t>
            </w:r>
          </w:p>
        </w:tc>
      </w:tr>
      <w:tr w:rsidR="00D05B59" w:rsidRPr="00D05B59" w14:paraId="337F2153" w14:textId="77777777" w:rsidTr="003708BD">
        <w:tc>
          <w:tcPr>
            <w:tcW w:w="1548" w:type="dxa"/>
          </w:tcPr>
          <w:p w14:paraId="2AD2A599" w14:textId="77777777" w:rsidR="00C877E0" w:rsidRPr="00D05B59" w:rsidRDefault="00C877E0" w:rsidP="003708BD">
            <w:pPr>
              <w:spacing w:before="100" w:after="200" w:line="276" w:lineRule="auto"/>
              <w:jc w:val="center"/>
              <w:rPr>
                <w:rFonts w:ascii="Palatino Linotype" w:hAnsi="Palatino Linotype"/>
                <w:sz w:val="18"/>
                <w:szCs w:val="18"/>
                <w:lang w:eastAsia="en-US"/>
              </w:rPr>
            </w:pPr>
            <w:r w:rsidRPr="00D05B59">
              <w:rPr>
                <w:rFonts w:ascii="Palatino Linotype" w:hAnsi="Palatino Linotype"/>
                <w:b/>
                <w:sz w:val="18"/>
                <w:szCs w:val="18"/>
                <w:lang w:eastAsia="en-US"/>
              </w:rPr>
              <w:t>Referencia de la información solicitada</w:t>
            </w:r>
          </w:p>
        </w:tc>
        <w:tc>
          <w:tcPr>
            <w:tcW w:w="6020" w:type="dxa"/>
            <w:gridSpan w:val="2"/>
          </w:tcPr>
          <w:p w14:paraId="6E27B32C" w14:textId="77777777" w:rsidR="00C877E0" w:rsidRPr="00D05B59" w:rsidRDefault="00C37C63" w:rsidP="003708BD">
            <w:pPr>
              <w:spacing w:before="100" w:after="200" w:line="276" w:lineRule="auto"/>
              <w:jc w:val="center"/>
              <w:rPr>
                <w:rFonts w:ascii="Palatino Linotype" w:hAnsi="Palatino Linotype"/>
                <w:lang w:eastAsia="en-US"/>
              </w:rPr>
            </w:pPr>
            <w:r w:rsidRPr="00D05B59">
              <w:rPr>
                <w:rFonts w:ascii="Palatino Linotype" w:hAnsi="Palatino Linotype"/>
                <w:noProof/>
              </w:rPr>
              <mc:AlternateContent>
                <mc:Choice Requires="wps">
                  <w:drawing>
                    <wp:anchor distT="0" distB="0" distL="114300" distR="114300" simplePos="0" relativeHeight="251678720" behindDoc="0" locked="0" layoutInCell="1" allowOverlap="1" wp14:anchorId="39F768B8" wp14:editId="63791BA8">
                      <wp:simplePos x="0" y="0"/>
                      <wp:positionH relativeFrom="column">
                        <wp:posOffset>17780</wp:posOffset>
                      </wp:positionH>
                      <wp:positionV relativeFrom="paragraph">
                        <wp:posOffset>386080</wp:posOffset>
                      </wp:positionV>
                      <wp:extent cx="3637915" cy="235585"/>
                      <wp:effectExtent l="57150" t="38100" r="76835" b="88265"/>
                      <wp:wrapNone/>
                      <wp:docPr id="18" name="Rectángulo 18"/>
                      <wp:cNvGraphicFramePr/>
                      <a:graphic xmlns:a="http://schemas.openxmlformats.org/drawingml/2006/main">
                        <a:graphicData uri="http://schemas.microsoft.com/office/word/2010/wordprocessingShape">
                          <wps:wsp>
                            <wps:cNvSpPr/>
                            <wps:spPr>
                              <a:xfrm>
                                <a:off x="0" y="0"/>
                                <a:ext cx="3637915" cy="235585"/>
                              </a:xfrm>
                              <a:prstGeom prst="rect">
                                <a:avLst/>
                              </a:prstGeom>
                              <a:noFill/>
                              <a:ln w="28575">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19AE3E" id="Rectángulo 18" o:spid="_x0000_s1026" style="position:absolute;margin-left:1.4pt;margin-top:30.4pt;width:286.45pt;height:18.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" filled="f" strokecolor="#0070c0" strokeweight="2.25pt">
                      <v:shadow on="t" color="black" opacity="22937f" origin=",.5" offset="0,.63889mm"/>
                    </v:rect>
                  </w:pict>
                </mc:Fallback>
              </mc:AlternateContent>
            </w:r>
            <w:r w:rsidR="00C877E0" w:rsidRPr="00D05B59">
              <w:rPr>
                <w:rFonts w:ascii="Palatino Linotype" w:hAnsi="Palatino Linotype"/>
                <w:noProof/>
              </w:rPr>
              <w:drawing>
                <wp:inline distT="0" distB="0" distL="0" distR="0" wp14:anchorId="3826DA71" wp14:editId="4596F5CB">
                  <wp:extent cx="3685540" cy="540385"/>
                  <wp:effectExtent l="19050" t="19050" r="10160" b="120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5540" cy="540385"/>
                          </a:xfrm>
                          <a:prstGeom prst="rect">
                            <a:avLst/>
                          </a:prstGeom>
                          <a:ln>
                            <a:solidFill>
                              <a:schemeClr val="tx1"/>
                            </a:solidFill>
                          </a:ln>
                        </pic:spPr>
                      </pic:pic>
                    </a:graphicData>
                  </a:graphic>
                </wp:inline>
              </w:drawing>
            </w:r>
          </w:p>
        </w:tc>
        <w:tc>
          <w:tcPr>
            <w:tcW w:w="1499" w:type="dxa"/>
          </w:tcPr>
          <w:p w14:paraId="0411A1F7" w14:textId="77777777" w:rsidR="00C877E0" w:rsidRPr="00D05B59" w:rsidRDefault="00C37C63" w:rsidP="003708BD">
            <w:pPr>
              <w:spacing w:before="100" w:after="200" w:line="276" w:lineRule="auto"/>
              <w:jc w:val="center"/>
              <w:rPr>
                <w:rFonts w:ascii="Palatino Linotype" w:hAnsi="Palatino Linotype"/>
                <w:b/>
                <w:sz w:val="20"/>
                <w:lang w:eastAsia="en-US"/>
              </w:rPr>
            </w:pPr>
            <w:r w:rsidRPr="00D05B59">
              <w:rPr>
                <w:rFonts w:ascii="Palatino Linotype" w:hAnsi="Palatino Linotype"/>
                <w:b/>
                <w:sz w:val="20"/>
                <w:lang w:eastAsia="en-US"/>
              </w:rPr>
              <w:t>Sí</w:t>
            </w:r>
          </w:p>
        </w:tc>
      </w:tr>
      <w:tr w:rsidR="00D05B59" w:rsidRPr="00D05B59" w14:paraId="40C8EA72" w14:textId="77777777" w:rsidTr="003708BD">
        <w:tc>
          <w:tcPr>
            <w:tcW w:w="1548" w:type="dxa"/>
          </w:tcPr>
          <w:p w14:paraId="2F2E4784" w14:textId="77777777" w:rsidR="00C877E0" w:rsidRPr="00D05B59" w:rsidRDefault="00C877E0" w:rsidP="003708BD">
            <w:pPr>
              <w:spacing w:before="100" w:after="200" w:line="276" w:lineRule="auto"/>
              <w:jc w:val="center"/>
              <w:rPr>
                <w:rFonts w:ascii="Palatino Linotype" w:hAnsi="Palatino Linotype"/>
                <w:b/>
                <w:sz w:val="18"/>
                <w:szCs w:val="18"/>
                <w:lang w:eastAsia="en-US"/>
              </w:rPr>
            </w:pPr>
            <w:r w:rsidRPr="00D05B59">
              <w:rPr>
                <w:rFonts w:ascii="Palatino Linotype" w:hAnsi="Palatino Linotype"/>
                <w:b/>
                <w:sz w:val="18"/>
                <w:szCs w:val="18"/>
                <w:lang w:eastAsia="en-US"/>
              </w:rPr>
              <w:t xml:space="preserve">Artículo, fracción, inciso, párrafo o numeral de la ley que le otorga el </w:t>
            </w:r>
            <w:r w:rsidRPr="00D05B59">
              <w:rPr>
                <w:rFonts w:ascii="Palatino Linotype" w:hAnsi="Palatino Linotype"/>
                <w:b/>
                <w:sz w:val="18"/>
                <w:szCs w:val="18"/>
                <w:lang w:eastAsia="en-US"/>
              </w:rPr>
              <w:lastRenderedPageBreak/>
              <w:t>carácter de confidencial.</w:t>
            </w:r>
          </w:p>
        </w:tc>
        <w:tc>
          <w:tcPr>
            <w:tcW w:w="6020" w:type="dxa"/>
            <w:gridSpan w:val="2"/>
          </w:tcPr>
          <w:p w14:paraId="1D7A6F0B" w14:textId="77777777" w:rsidR="00C877E0" w:rsidRPr="00D05B59" w:rsidRDefault="00C877E0" w:rsidP="003708BD">
            <w:pPr>
              <w:spacing w:before="100" w:after="200" w:line="276" w:lineRule="auto"/>
              <w:rPr>
                <w:rFonts w:ascii="Calibri" w:hAnsi="Calibri"/>
                <w:sz w:val="20"/>
                <w:szCs w:val="20"/>
                <w:lang w:eastAsia="en-US"/>
              </w:rPr>
            </w:pPr>
            <w:r w:rsidRPr="00D05B59">
              <w:rPr>
                <w:rFonts w:ascii="Calibri" w:hAnsi="Calibri"/>
                <w:noProof/>
                <w:sz w:val="20"/>
                <w:szCs w:val="20"/>
              </w:rPr>
              <w:lastRenderedPageBreak/>
              <w:drawing>
                <wp:inline distT="0" distB="0" distL="0" distR="0" wp14:anchorId="4B60574B" wp14:editId="4A01BD53">
                  <wp:extent cx="3685540" cy="431165"/>
                  <wp:effectExtent l="19050" t="19050" r="10160" b="260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5540" cy="431165"/>
                          </a:xfrm>
                          <a:prstGeom prst="rect">
                            <a:avLst/>
                          </a:prstGeom>
                          <a:ln>
                            <a:solidFill>
                              <a:schemeClr val="tx1"/>
                            </a:solidFill>
                          </a:ln>
                        </pic:spPr>
                      </pic:pic>
                    </a:graphicData>
                  </a:graphic>
                </wp:inline>
              </w:drawing>
            </w:r>
          </w:p>
          <w:p w14:paraId="7D02B589" w14:textId="77777777" w:rsidR="00C877E0" w:rsidRPr="00D05B59" w:rsidRDefault="00C877E0" w:rsidP="003708BD">
            <w:pPr>
              <w:spacing w:before="100" w:after="200" w:line="276" w:lineRule="auto"/>
              <w:rPr>
                <w:rFonts w:ascii="Calibri" w:hAnsi="Calibri"/>
                <w:sz w:val="20"/>
                <w:szCs w:val="20"/>
                <w:lang w:eastAsia="en-US"/>
              </w:rPr>
            </w:pPr>
          </w:p>
        </w:tc>
        <w:tc>
          <w:tcPr>
            <w:tcW w:w="1499" w:type="dxa"/>
          </w:tcPr>
          <w:p w14:paraId="6BFB3FFA" w14:textId="77777777" w:rsidR="00C877E0" w:rsidRPr="00D05B59" w:rsidRDefault="00C37C63" w:rsidP="003708BD">
            <w:pPr>
              <w:spacing w:before="100" w:after="200" w:line="276" w:lineRule="auto"/>
              <w:jc w:val="center"/>
              <w:rPr>
                <w:rFonts w:ascii="Palatino Linotype" w:hAnsi="Palatino Linotype"/>
                <w:b/>
                <w:sz w:val="18"/>
                <w:szCs w:val="20"/>
                <w:lang w:eastAsia="en-US"/>
              </w:rPr>
            </w:pPr>
            <w:r w:rsidRPr="00D05B59">
              <w:rPr>
                <w:rFonts w:ascii="Palatino Linotype" w:hAnsi="Palatino Linotype"/>
                <w:b/>
                <w:sz w:val="18"/>
                <w:szCs w:val="20"/>
                <w:lang w:eastAsia="en-US"/>
              </w:rPr>
              <w:t>No</w:t>
            </w:r>
          </w:p>
          <w:p w14:paraId="20D259BA" w14:textId="77777777" w:rsidR="00C877E0" w:rsidRPr="00D05B59" w:rsidRDefault="00C877E0" w:rsidP="003708BD">
            <w:pPr>
              <w:spacing w:before="100" w:after="200"/>
              <w:jc w:val="both"/>
              <w:rPr>
                <w:rFonts w:ascii="Palatino Linotype" w:hAnsi="Palatino Linotype"/>
                <w:sz w:val="18"/>
                <w:szCs w:val="20"/>
                <w:lang w:eastAsia="en-US"/>
              </w:rPr>
            </w:pPr>
            <w:r w:rsidRPr="00D05B59">
              <w:rPr>
                <w:rFonts w:ascii="Palatino Linotype" w:hAnsi="Palatino Linotype"/>
                <w:b/>
                <w:sz w:val="18"/>
                <w:szCs w:val="20"/>
                <w:lang w:eastAsia="en-US"/>
              </w:rPr>
              <w:t xml:space="preserve">Observaciones: </w:t>
            </w:r>
            <w:r w:rsidRPr="00D05B59">
              <w:rPr>
                <w:rFonts w:ascii="Palatino Linotype" w:hAnsi="Palatino Linotype"/>
                <w:sz w:val="18"/>
                <w:szCs w:val="20"/>
                <w:lang w:eastAsia="en-US"/>
              </w:rPr>
              <w:t xml:space="preserve">No </w:t>
            </w:r>
            <w:r w:rsidR="00C37C63" w:rsidRPr="00D05B59">
              <w:rPr>
                <w:rFonts w:ascii="Palatino Linotype" w:hAnsi="Palatino Linotype"/>
                <w:sz w:val="18"/>
                <w:szCs w:val="20"/>
                <w:lang w:eastAsia="en-US"/>
              </w:rPr>
              <w:t xml:space="preserve">se considera que el fundamento legal insertado sea el aplicable, </w:t>
            </w:r>
            <w:r w:rsidR="00C37C63" w:rsidRPr="00D05B59">
              <w:rPr>
                <w:rFonts w:ascii="Palatino Linotype" w:hAnsi="Palatino Linotype"/>
                <w:sz w:val="18"/>
                <w:szCs w:val="20"/>
                <w:lang w:eastAsia="en-US"/>
              </w:rPr>
              <w:lastRenderedPageBreak/>
              <w:t xml:space="preserve">pues no se trata propiamente de un dato personal, como se verá en líneas subsecuentes, únicamente se clasificarán las medidas de seguridad, aunado al hecho de que invocan una reserva de </w:t>
            </w:r>
            <w:proofErr w:type="gramStart"/>
            <w:r w:rsidR="00C37C63" w:rsidRPr="00D05B59">
              <w:rPr>
                <w:rFonts w:ascii="Palatino Linotype" w:hAnsi="Palatino Linotype"/>
                <w:sz w:val="18"/>
                <w:szCs w:val="20"/>
                <w:lang w:eastAsia="en-US"/>
              </w:rPr>
              <w:t>información  para</w:t>
            </w:r>
            <w:proofErr w:type="gramEnd"/>
            <w:r w:rsidR="00C37C63" w:rsidRPr="00D05B59">
              <w:rPr>
                <w:rFonts w:ascii="Palatino Linotype" w:hAnsi="Palatino Linotype"/>
                <w:sz w:val="18"/>
                <w:szCs w:val="20"/>
                <w:lang w:eastAsia="en-US"/>
              </w:rPr>
              <w:t xml:space="preserve"> sustentar una versión pública con artículos específicos para la clasificación de la información como confidencial</w:t>
            </w:r>
            <w:r w:rsidR="000331B2" w:rsidRPr="00D05B59">
              <w:rPr>
                <w:rFonts w:ascii="Palatino Linotype" w:hAnsi="Palatino Linotype"/>
                <w:sz w:val="18"/>
                <w:szCs w:val="20"/>
                <w:lang w:eastAsia="en-US"/>
              </w:rPr>
              <w:t xml:space="preserve">, por lo tanto, </w:t>
            </w:r>
            <w:r w:rsidR="000331B2" w:rsidRPr="00D05B59">
              <w:rPr>
                <w:rFonts w:ascii="Palatino Linotype" w:hAnsi="Palatino Linotype"/>
                <w:b/>
                <w:sz w:val="18"/>
                <w:szCs w:val="20"/>
                <w:lang w:eastAsia="en-US"/>
              </w:rPr>
              <w:t>no existe congruencia entre los supuestos fácticos y la normativa invocada.</w:t>
            </w:r>
          </w:p>
        </w:tc>
      </w:tr>
      <w:tr w:rsidR="00D05B59" w:rsidRPr="00D05B59" w14:paraId="20FA5F03" w14:textId="77777777" w:rsidTr="003708BD">
        <w:tc>
          <w:tcPr>
            <w:tcW w:w="1548" w:type="dxa"/>
          </w:tcPr>
          <w:p w14:paraId="76D6E1E4" w14:textId="77777777" w:rsidR="00C877E0" w:rsidRPr="00D05B59" w:rsidRDefault="00C877E0" w:rsidP="003708BD">
            <w:pPr>
              <w:spacing w:before="100" w:after="200" w:line="276" w:lineRule="auto"/>
              <w:jc w:val="center"/>
              <w:rPr>
                <w:rFonts w:ascii="Palatino Linotype" w:hAnsi="Palatino Linotype"/>
                <w:sz w:val="18"/>
                <w:szCs w:val="18"/>
                <w:lang w:eastAsia="en-US"/>
              </w:rPr>
            </w:pPr>
            <w:r w:rsidRPr="00D05B59">
              <w:rPr>
                <w:rFonts w:ascii="Palatino Linotype" w:hAnsi="Palatino Linotype" w:cs="Palatino Linotype"/>
                <w:b/>
                <w:sz w:val="18"/>
                <w:szCs w:val="18"/>
              </w:rPr>
              <w:lastRenderedPageBreak/>
              <w:t>Motivación Legal</w:t>
            </w:r>
          </w:p>
        </w:tc>
        <w:tc>
          <w:tcPr>
            <w:tcW w:w="6020" w:type="dxa"/>
            <w:gridSpan w:val="2"/>
          </w:tcPr>
          <w:p w14:paraId="2CA4D6CC" w14:textId="77777777" w:rsidR="00C877E0" w:rsidRPr="00D05B59" w:rsidRDefault="00C877E0" w:rsidP="003708BD">
            <w:pPr>
              <w:spacing w:before="100" w:after="200" w:line="276" w:lineRule="auto"/>
              <w:rPr>
                <w:rFonts w:ascii="Calibri" w:hAnsi="Calibri"/>
                <w:sz w:val="20"/>
                <w:szCs w:val="20"/>
                <w:lang w:eastAsia="en-US"/>
              </w:rPr>
            </w:pPr>
          </w:p>
          <w:p w14:paraId="4AD12A66" w14:textId="77777777" w:rsidR="00C877E0" w:rsidRPr="00D05B59" w:rsidRDefault="00C877E0" w:rsidP="003708BD">
            <w:pPr>
              <w:spacing w:before="100" w:after="200" w:line="276" w:lineRule="auto"/>
              <w:rPr>
                <w:rFonts w:ascii="Calibri" w:hAnsi="Calibri"/>
                <w:sz w:val="20"/>
                <w:szCs w:val="20"/>
                <w:lang w:eastAsia="en-US"/>
              </w:rPr>
            </w:pPr>
            <w:r w:rsidRPr="00D05B59">
              <w:rPr>
                <w:rFonts w:ascii="Calibri" w:hAnsi="Calibri"/>
                <w:noProof/>
                <w:sz w:val="20"/>
                <w:szCs w:val="20"/>
              </w:rPr>
              <w:lastRenderedPageBreak/>
              <w:drawing>
                <wp:inline distT="0" distB="0" distL="0" distR="0" wp14:anchorId="3FC8F444" wp14:editId="1B4FA9C0">
                  <wp:extent cx="3685540" cy="3041650"/>
                  <wp:effectExtent l="19050" t="19050" r="10160" b="254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5540" cy="3041650"/>
                          </a:xfrm>
                          <a:prstGeom prst="rect">
                            <a:avLst/>
                          </a:prstGeom>
                          <a:ln>
                            <a:solidFill>
                              <a:schemeClr val="tx1"/>
                            </a:solidFill>
                          </a:ln>
                        </pic:spPr>
                      </pic:pic>
                    </a:graphicData>
                  </a:graphic>
                </wp:inline>
              </w:drawing>
            </w:r>
          </w:p>
        </w:tc>
        <w:tc>
          <w:tcPr>
            <w:tcW w:w="1499" w:type="dxa"/>
          </w:tcPr>
          <w:p w14:paraId="5554602C" w14:textId="77777777" w:rsidR="00C877E0" w:rsidRPr="00D05B59" w:rsidRDefault="00C37C63" w:rsidP="00C37C63">
            <w:pPr>
              <w:spacing w:before="100" w:after="200" w:line="276" w:lineRule="auto"/>
              <w:jc w:val="center"/>
              <w:rPr>
                <w:rFonts w:ascii="Palatino Linotype" w:hAnsi="Palatino Linotype"/>
                <w:b/>
                <w:sz w:val="20"/>
                <w:szCs w:val="20"/>
                <w:lang w:eastAsia="en-US"/>
              </w:rPr>
            </w:pPr>
            <w:r w:rsidRPr="00D05B59">
              <w:rPr>
                <w:rFonts w:ascii="Palatino Linotype" w:hAnsi="Palatino Linotype"/>
                <w:b/>
                <w:sz w:val="18"/>
                <w:szCs w:val="20"/>
                <w:lang w:eastAsia="en-US"/>
              </w:rPr>
              <w:lastRenderedPageBreak/>
              <w:t>No</w:t>
            </w:r>
          </w:p>
        </w:tc>
      </w:tr>
      <w:tr w:rsidR="00D05B59" w:rsidRPr="00D05B59" w14:paraId="0BA3910A" w14:textId="77777777" w:rsidTr="003708BD">
        <w:tc>
          <w:tcPr>
            <w:tcW w:w="1555" w:type="dxa"/>
            <w:gridSpan w:val="2"/>
            <w:shd w:val="clear" w:color="auto" w:fill="auto"/>
          </w:tcPr>
          <w:p w14:paraId="401BC690" w14:textId="77777777" w:rsidR="00C877E0" w:rsidRPr="00D05B59" w:rsidRDefault="00C877E0" w:rsidP="003708BD">
            <w:pPr>
              <w:spacing w:before="100" w:after="200" w:line="276" w:lineRule="auto"/>
              <w:jc w:val="center"/>
              <w:rPr>
                <w:rFonts w:ascii="Palatino Linotype" w:hAnsi="Palatino Linotype"/>
                <w:b/>
                <w:sz w:val="22"/>
                <w:szCs w:val="20"/>
                <w:lang w:eastAsia="en-US"/>
              </w:rPr>
            </w:pPr>
            <w:r w:rsidRPr="00D05B59">
              <w:rPr>
                <w:rFonts w:ascii="Palatino Linotype" w:hAnsi="Palatino Linotype" w:cs="Palatino Linotype"/>
                <w:b/>
                <w:sz w:val="18"/>
                <w:szCs w:val="16"/>
              </w:rPr>
              <w:t>Autoridades competentes.</w:t>
            </w:r>
          </w:p>
        </w:tc>
        <w:tc>
          <w:tcPr>
            <w:tcW w:w="6013" w:type="dxa"/>
            <w:shd w:val="clear" w:color="auto" w:fill="auto"/>
          </w:tcPr>
          <w:p w14:paraId="049D5F4D" w14:textId="77777777" w:rsidR="00C877E0" w:rsidRPr="00D05B59" w:rsidRDefault="00C877E0" w:rsidP="003708BD">
            <w:pPr>
              <w:spacing w:before="100" w:after="200" w:line="276" w:lineRule="auto"/>
            </w:pPr>
          </w:p>
          <w:p w14:paraId="245DD069" w14:textId="77777777" w:rsidR="00C877E0" w:rsidRPr="00D05B59" w:rsidRDefault="00C877E0" w:rsidP="00C877E0">
            <w:pPr>
              <w:spacing w:before="100" w:after="200" w:line="276" w:lineRule="auto"/>
              <w:jc w:val="center"/>
              <w:rPr>
                <w:rFonts w:ascii="Palatino Linotype" w:hAnsi="Palatino Linotype"/>
                <w:b/>
                <w:sz w:val="22"/>
              </w:rPr>
            </w:pPr>
            <w:r w:rsidRPr="00D05B59">
              <w:rPr>
                <w:rFonts w:ascii="Palatino Linotype" w:hAnsi="Palatino Linotype"/>
                <w:b/>
                <w:sz w:val="22"/>
              </w:rPr>
              <w:t>No se localizaron las firmas</w:t>
            </w:r>
          </w:p>
          <w:p w14:paraId="3E1111E7" w14:textId="77777777" w:rsidR="00C877E0" w:rsidRPr="00D05B59" w:rsidRDefault="00C877E0" w:rsidP="003708BD">
            <w:pPr>
              <w:spacing w:before="100" w:after="200" w:line="276" w:lineRule="auto"/>
            </w:pPr>
          </w:p>
        </w:tc>
        <w:tc>
          <w:tcPr>
            <w:tcW w:w="1499" w:type="dxa"/>
            <w:shd w:val="clear" w:color="auto" w:fill="auto"/>
          </w:tcPr>
          <w:p w14:paraId="2FE8A8E1" w14:textId="77777777" w:rsidR="00C877E0" w:rsidRPr="00D05B59" w:rsidRDefault="00C877E0" w:rsidP="00C877E0">
            <w:pPr>
              <w:spacing w:before="100" w:after="200" w:line="276" w:lineRule="auto"/>
              <w:jc w:val="center"/>
              <w:rPr>
                <w:rFonts w:ascii="Palatino Linotype" w:hAnsi="Palatino Linotype"/>
                <w:b/>
                <w:sz w:val="22"/>
                <w:szCs w:val="20"/>
                <w:lang w:eastAsia="en-US"/>
              </w:rPr>
            </w:pPr>
            <w:r w:rsidRPr="00D05B59">
              <w:rPr>
                <w:rFonts w:ascii="Palatino Linotype" w:hAnsi="Palatino Linotype"/>
                <w:b/>
                <w:sz w:val="18"/>
                <w:szCs w:val="20"/>
                <w:lang w:eastAsia="en-US"/>
              </w:rPr>
              <w:t>No</w:t>
            </w:r>
          </w:p>
        </w:tc>
      </w:tr>
    </w:tbl>
    <w:p w14:paraId="1CFFE32F" w14:textId="77777777" w:rsidR="00C877E0" w:rsidRPr="00D05B59" w:rsidRDefault="00C877E0" w:rsidP="00C877E0">
      <w:pPr>
        <w:spacing w:before="240" w:after="240" w:line="360" w:lineRule="auto"/>
        <w:ind w:right="49"/>
        <w:jc w:val="both"/>
        <w:rPr>
          <w:rFonts w:ascii="Palatino Linotype" w:eastAsia="Palatino Linotype" w:hAnsi="Palatino Linotype" w:cs="Palatino Linotype"/>
        </w:rPr>
      </w:pPr>
      <w:r w:rsidRPr="00D05B59">
        <w:rPr>
          <w:rFonts w:ascii="Palatino Linotype" w:eastAsia="Palatino Linotype" w:hAnsi="Palatino Linotype" w:cs="Palatino Linotype"/>
        </w:rPr>
        <w:t xml:space="preserve">Determinado lo anterior, se advierte que el acuerdo </w:t>
      </w:r>
      <w:r w:rsidR="00C37C63" w:rsidRPr="00D05B59">
        <w:rPr>
          <w:rFonts w:ascii="Palatino Linotype" w:eastAsia="Palatino Linotype" w:hAnsi="Palatino Linotype" w:cs="Palatino Linotype"/>
        </w:rPr>
        <w:t xml:space="preserve">57/CT/15-EXT/2022 de la Décima Quinta Sesión Extraordinaria del Comité Interno de Transparencia, Acceso a la Información Pública y Protección de Datos Personales del </w:t>
      </w:r>
      <w:r w:rsidR="00C37C63" w:rsidRPr="00D05B59">
        <w:rPr>
          <w:rFonts w:ascii="Palatino Linotype" w:eastAsia="Palatino Linotype" w:hAnsi="Palatino Linotype" w:cs="Palatino Linotype"/>
          <w:b/>
        </w:rPr>
        <w:t>Sujeto Obligado</w:t>
      </w:r>
      <w:r w:rsidR="00C37C63" w:rsidRPr="00D05B59">
        <w:rPr>
          <w:rFonts w:ascii="Palatino Linotype" w:eastAsia="Palatino Linotype" w:hAnsi="Palatino Linotype" w:cs="Palatino Linotype"/>
        </w:rPr>
        <w:t xml:space="preserve">, carece de los siguientes </w:t>
      </w:r>
      <w:r w:rsidRPr="00D05B59">
        <w:rPr>
          <w:rFonts w:ascii="Palatino Linotype" w:eastAsia="Palatino Linotype" w:hAnsi="Palatino Linotype" w:cs="Palatino Linotype"/>
        </w:rPr>
        <w:t>elementos a saber:</w:t>
      </w:r>
    </w:p>
    <w:p w14:paraId="1FBB3E8B" w14:textId="77777777" w:rsidR="00C877E0" w:rsidRPr="00D05B59" w:rsidRDefault="00C877E0" w:rsidP="00C877E0">
      <w:pPr>
        <w:spacing w:before="240" w:after="240" w:line="360" w:lineRule="auto"/>
        <w:ind w:left="567" w:right="900"/>
        <w:jc w:val="both"/>
        <w:rPr>
          <w:rFonts w:ascii="Palatino Linotype" w:eastAsia="Palatino Linotype" w:hAnsi="Palatino Linotype" w:cs="Palatino Linotype"/>
          <w:b/>
          <w:i/>
          <w:sz w:val="22"/>
          <w:u w:val="single"/>
        </w:rPr>
      </w:pPr>
      <w:r w:rsidRPr="00D05B59">
        <w:rPr>
          <w:rFonts w:ascii="Palatino Linotype" w:eastAsia="Palatino Linotype" w:hAnsi="Palatino Linotype" w:cs="Palatino Linotype"/>
          <w:b/>
          <w:sz w:val="22"/>
        </w:rPr>
        <w:t xml:space="preserve">1.- No cuenta con el </w:t>
      </w:r>
      <w:r w:rsidRPr="00D05B59">
        <w:rPr>
          <w:rFonts w:ascii="Palatino Linotype" w:eastAsia="Palatino Linotype" w:hAnsi="Palatino Linotype" w:cs="Palatino Linotype"/>
          <w:b/>
          <w:i/>
          <w:sz w:val="22"/>
          <w:u w:val="single"/>
        </w:rPr>
        <w:t>artículo, fracción, inciso, párrafo o numeral de la ley o tratado internacional suscrito por el Estado mexicano que expresamente le otorga el carácter de confidencial.</w:t>
      </w:r>
    </w:p>
    <w:p w14:paraId="6D5B245F" w14:textId="77777777" w:rsidR="00C877E0" w:rsidRPr="00D05B59" w:rsidRDefault="00C877E0" w:rsidP="00C877E0">
      <w:pPr>
        <w:spacing w:before="240" w:after="240" w:line="360" w:lineRule="auto"/>
        <w:ind w:left="567" w:right="900"/>
        <w:jc w:val="both"/>
        <w:rPr>
          <w:rFonts w:ascii="Palatino Linotype" w:eastAsia="Palatino Linotype" w:hAnsi="Palatino Linotype" w:cs="Palatino Linotype"/>
          <w:b/>
          <w:sz w:val="22"/>
        </w:rPr>
      </w:pPr>
      <w:r w:rsidRPr="00D05B59">
        <w:rPr>
          <w:rFonts w:ascii="Palatino Linotype" w:eastAsia="Palatino Linotype" w:hAnsi="Palatino Linotype" w:cs="Palatino Linotype"/>
          <w:b/>
          <w:sz w:val="22"/>
        </w:rPr>
        <w:lastRenderedPageBreak/>
        <w:t>2.- No se encuentra firmado por las autoridades competentes.</w:t>
      </w:r>
    </w:p>
    <w:p w14:paraId="5C8F5476" w14:textId="77777777" w:rsidR="00C877E0" w:rsidRPr="00D05B59" w:rsidRDefault="00C877E0" w:rsidP="00C877E0">
      <w:pPr>
        <w:spacing w:before="240" w:after="240" w:line="360" w:lineRule="auto"/>
        <w:ind w:left="567" w:right="900"/>
        <w:jc w:val="both"/>
        <w:rPr>
          <w:rFonts w:ascii="Palatino Linotype" w:hAnsi="Palatino Linotype"/>
          <w:b/>
          <w:sz w:val="22"/>
          <w:szCs w:val="22"/>
          <w:lang w:eastAsia="en-US"/>
        </w:rPr>
      </w:pPr>
      <w:r w:rsidRPr="00D05B59">
        <w:rPr>
          <w:rFonts w:ascii="Palatino Linotype" w:eastAsia="Palatino Linotype" w:hAnsi="Palatino Linotype" w:cs="Palatino Linotype"/>
          <w:b/>
          <w:sz w:val="22"/>
          <w:szCs w:val="22"/>
        </w:rPr>
        <w:t>3. No se hace referencia a la clasificación del dato</w:t>
      </w:r>
      <w:r w:rsidR="00C37C63" w:rsidRPr="00D05B59">
        <w:rPr>
          <w:rFonts w:ascii="Palatino Linotype" w:eastAsia="Palatino Linotype" w:hAnsi="Palatino Linotype" w:cs="Palatino Linotype"/>
          <w:b/>
          <w:sz w:val="22"/>
          <w:szCs w:val="22"/>
        </w:rPr>
        <w:t xml:space="preserve"> en específico</w:t>
      </w:r>
    </w:p>
    <w:p w14:paraId="01A807C4" w14:textId="77777777" w:rsidR="00C37C63" w:rsidRPr="00D05B59" w:rsidRDefault="00C37C63" w:rsidP="00C877E0">
      <w:pPr>
        <w:spacing w:before="240" w:after="240" w:line="360" w:lineRule="auto"/>
        <w:ind w:left="567" w:right="900"/>
        <w:jc w:val="both"/>
        <w:rPr>
          <w:rFonts w:ascii="Palatino Linotype" w:hAnsi="Palatino Linotype"/>
          <w:b/>
          <w:sz w:val="22"/>
          <w:szCs w:val="22"/>
          <w:lang w:eastAsia="en-US"/>
        </w:rPr>
      </w:pPr>
      <w:r w:rsidRPr="00D05B59">
        <w:rPr>
          <w:rFonts w:ascii="Palatino Linotype" w:hAnsi="Palatino Linotype"/>
          <w:b/>
          <w:sz w:val="22"/>
          <w:szCs w:val="22"/>
          <w:lang w:eastAsia="en-US"/>
        </w:rPr>
        <w:t>4.- No hay fundamentación legal adecuada</w:t>
      </w:r>
    </w:p>
    <w:p w14:paraId="263E95F7" w14:textId="77777777" w:rsidR="00C37C63" w:rsidRPr="00D05B59" w:rsidRDefault="00C37C63" w:rsidP="00C877E0">
      <w:pPr>
        <w:spacing w:before="240" w:after="240" w:line="360" w:lineRule="auto"/>
        <w:ind w:left="567" w:right="900"/>
        <w:jc w:val="both"/>
        <w:rPr>
          <w:rFonts w:ascii="Palatino Linotype" w:hAnsi="Palatino Linotype"/>
          <w:b/>
          <w:sz w:val="22"/>
          <w:szCs w:val="22"/>
          <w:lang w:eastAsia="en-US"/>
        </w:rPr>
      </w:pPr>
      <w:r w:rsidRPr="00D05B59">
        <w:rPr>
          <w:rFonts w:ascii="Palatino Linotype" w:hAnsi="Palatino Linotype"/>
          <w:b/>
          <w:sz w:val="22"/>
          <w:szCs w:val="22"/>
          <w:lang w:eastAsia="en-US"/>
        </w:rPr>
        <w:t>5.- Se le está otorgando la calidad de reservada aun cuando se empleó el precepto legal de clasificación de la información como confidencial para sustentar una entrega de información en versión pública.</w:t>
      </w:r>
    </w:p>
    <w:p w14:paraId="4A0BDB34" w14:textId="77777777" w:rsidR="002E72C9" w:rsidRPr="00D05B59" w:rsidRDefault="002E72C9" w:rsidP="00AE7259">
      <w:pPr>
        <w:spacing w:before="240" w:line="360" w:lineRule="auto"/>
        <w:ind w:right="49"/>
        <w:jc w:val="both"/>
        <w:rPr>
          <w:rFonts w:ascii="Palatino Linotype" w:eastAsia="Palatino Linotype" w:hAnsi="Palatino Linotype" w:cs="Palatino Linotype"/>
        </w:rPr>
      </w:pPr>
      <w:r w:rsidRPr="00D05B59">
        <w:rPr>
          <w:rFonts w:ascii="Palatino Linotype" w:eastAsia="Palatino Linotype" w:hAnsi="Palatino Linotype" w:cs="Palatino Linotype"/>
        </w:rPr>
        <w:t>Acotado lo anterior, es necesario señalar que acuerdo del Comité de Transparencia</w:t>
      </w:r>
      <w:r w:rsidR="000331B2" w:rsidRPr="00D05B59">
        <w:rPr>
          <w:rFonts w:ascii="Palatino Linotype" w:eastAsia="Palatino Linotype" w:hAnsi="Palatino Linotype" w:cs="Palatino Linotype"/>
        </w:rPr>
        <w:t xml:space="preserve"> </w:t>
      </w:r>
      <w:r w:rsidR="00AE7259" w:rsidRPr="00D05B59">
        <w:rPr>
          <w:rFonts w:ascii="Palatino Linotype" w:eastAsia="Palatino Linotype" w:hAnsi="Palatino Linotype" w:cs="Palatino Linotype"/>
        </w:rPr>
        <w:t xml:space="preserve">que aprueba la versión pública del documento de seguridad debió elaborarse conforme a las formalidades establecidas por </w:t>
      </w:r>
      <w:r w:rsidRPr="00D05B59">
        <w:rPr>
          <w:rFonts w:ascii="Palatino Linotype" w:eastAsia="Palatino Linotype" w:hAnsi="Palatino Linotype" w:cs="Palatino Linotype"/>
        </w:rPr>
        <w:t>los artículos 3, fracciones XX, XXI, XXXIV</w:t>
      </w:r>
      <w:r w:rsidR="00C33DB6" w:rsidRPr="00D05B59">
        <w:rPr>
          <w:rFonts w:ascii="Palatino Linotype" w:eastAsia="Palatino Linotype" w:hAnsi="Palatino Linotype" w:cs="Palatino Linotype"/>
        </w:rPr>
        <w:t xml:space="preserve"> y XLV, 91, 122, 135, 143 </w:t>
      </w:r>
      <w:r w:rsidRPr="00D05B59">
        <w:rPr>
          <w:rFonts w:ascii="Palatino Linotype" w:eastAsia="Palatino Linotype" w:hAnsi="Palatino Linotype" w:cs="Palatino Linotype"/>
        </w:rPr>
        <w:t>y 149 de la Ley de Transparencia Local, los cuales establecen lo siguiente:</w:t>
      </w:r>
    </w:p>
    <w:p w14:paraId="43E54141" w14:textId="77777777" w:rsidR="002E72C9" w:rsidRPr="00D05B59" w:rsidRDefault="002E72C9" w:rsidP="002E72C9">
      <w:pPr>
        <w:tabs>
          <w:tab w:val="left" w:pos="709"/>
        </w:tabs>
        <w:ind w:left="567" w:right="567"/>
        <w:jc w:val="both"/>
        <w:rPr>
          <w:rFonts w:ascii="Palatino Linotype" w:eastAsia="Palatino Linotype" w:hAnsi="Palatino Linotype" w:cs="Palatino Linotype"/>
          <w:i/>
          <w:sz w:val="22"/>
          <w:szCs w:val="22"/>
        </w:rPr>
      </w:pPr>
    </w:p>
    <w:p w14:paraId="4D053739" w14:textId="77777777" w:rsidR="002E72C9" w:rsidRPr="00D05B59" w:rsidRDefault="002E72C9" w:rsidP="002E72C9">
      <w:pPr>
        <w:tabs>
          <w:tab w:val="left" w:pos="709"/>
        </w:tabs>
        <w:ind w:left="567" w:righ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w:t>
      </w:r>
      <w:r w:rsidRPr="00D05B59">
        <w:rPr>
          <w:rFonts w:ascii="Palatino Linotype" w:eastAsia="Palatino Linotype" w:hAnsi="Palatino Linotype" w:cs="Palatino Linotype"/>
          <w:b/>
          <w:i/>
          <w:sz w:val="22"/>
          <w:szCs w:val="22"/>
        </w:rPr>
        <w:t>Artículo 3.</w:t>
      </w:r>
      <w:r w:rsidRPr="00D05B59">
        <w:rPr>
          <w:rFonts w:ascii="Palatino Linotype" w:eastAsia="Palatino Linotype" w:hAnsi="Palatino Linotype" w:cs="Palatino Linotype"/>
          <w:i/>
          <w:sz w:val="22"/>
          <w:szCs w:val="22"/>
        </w:rPr>
        <w:t xml:space="preserve"> Para los efectos de la presente Ley se entenderá </w:t>
      </w:r>
      <w:proofErr w:type="gramStart"/>
      <w:r w:rsidRPr="00D05B59">
        <w:rPr>
          <w:rFonts w:ascii="Palatino Linotype" w:eastAsia="Palatino Linotype" w:hAnsi="Palatino Linotype" w:cs="Palatino Linotype"/>
          <w:i/>
          <w:sz w:val="22"/>
          <w:szCs w:val="22"/>
        </w:rPr>
        <w:t>por:…</w:t>
      </w:r>
      <w:proofErr w:type="gramEnd"/>
    </w:p>
    <w:p w14:paraId="5C247307" w14:textId="77777777" w:rsidR="002E72C9" w:rsidRPr="00D05B59" w:rsidRDefault="002E72C9" w:rsidP="002E72C9">
      <w:pPr>
        <w:tabs>
          <w:tab w:val="left" w:pos="709"/>
        </w:tabs>
        <w:ind w:left="567" w:righ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XX.</w:t>
      </w:r>
      <w:r w:rsidRPr="00D05B59">
        <w:rPr>
          <w:rFonts w:ascii="Palatino Linotype" w:eastAsia="Palatino Linotype" w:hAnsi="Palatino Linotype" w:cs="Palatino Linotype"/>
          <w:i/>
          <w:sz w:val="22"/>
          <w:szCs w:val="22"/>
        </w:rPr>
        <w:t xml:space="preserve"> Información clasificada: Aquella considerada por la presente Ley como reservada o confidencial; </w:t>
      </w:r>
    </w:p>
    <w:p w14:paraId="7D5DADE7" w14:textId="77777777" w:rsidR="002E72C9" w:rsidRPr="00D05B59" w:rsidRDefault="002E72C9" w:rsidP="002E72C9">
      <w:pPr>
        <w:tabs>
          <w:tab w:val="left" w:pos="709"/>
        </w:tabs>
        <w:ind w:left="567" w:righ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XXI.</w:t>
      </w:r>
      <w:r w:rsidRPr="00D05B59">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DE5795F" w14:textId="77777777" w:rsidR="002E72C9" w:rsidRPr="00D05B59" w:rsidRDefault="002E72C9" w:rsidP="002E72C9">
      <w:pPr>
        <w:tabs>
          <w:tab w:val="left" w:pos="709"/>
        </w:tabs>
        <w:ind w:left="567" w:righ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w:t>
      </w:r>
    </w:p>
    <w:p w14:paraId="376DEE21" w14:textId="77777777" w:rsidR="002E72C9" w:rsidRPr="00D05B59" w:rsidRDefault="002E72C9" w:rsidP="002E72C9">
      <w:pPr>
        <w:tabs>
          <w:tab w:val="left" w:pos="709"/>
        </w:tabs>
        <w:ind w:left="567" w:righ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XXXIV</w:t>
      </w:r>
      <w:r w:rsidRPr="00D05B59">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0F553FCF" w14:textId="77777777" w:rsidR="002E72C9" w:rsidRPr="00D05B59" w:rsidRDefault="002E72C9" w:rsidP="002E72C9">
      <w:pPr>
        <w:tabs>
          <w:tab w:val="left" w:pos="709"/>
        </w:tabs>
        <w:ind w:left="567" w:righ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w:t>
      </w:r>
    </w:p>
    <w:p w14:paraId="547D972E" w14:textId="77777777" w:rsidR="002E72C9" w:rsidRPr="00D05B59" w:rsidRDefault="002E72C9" w:rsidP="002E72C9">
      <w:pPr>
        <w:tabs>
          <w:tab w:val="left" w:pos="709"/>
        </w:tabs>
        <w:ind w:left="567" w:right="567"/>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b/>
          <w:i/>
          <w:sz w:val="22"/>
          <w:szCs w:val="22"/>
        </w:rPr>
        <w:t>XLV.</w:t>
      </w:r>
      <w:r w:rsidRPr="00D05B59">
        <w:rPr>
          <w:rFonts w:ascii="Palatino Linotype" w:eastAsia="Palatino Linotype" w:hAnsi="Palatino Linotype" w:cs="Palatino Linotype"/>
          <w:i/>
          <w:sz w:val="22"/>
          <w:szCs w:val="22"/>
        </w:rPr>
        <w:t xml:space="preserve"> </w:t>
      </w:r>
      <w:r w:rsidRPr="00D05B59">
        <w:rPr>
          <w:rFonts w:ascii="Palatino Linotype" w:eastAsia="Palatino Linotype" w:hAnsi="Palatino Linotype" w:cs="Palatino Linotype"/>
          <w:b/>
          <w:i/>
          <w:sz w:val="22"/>
          <w:szCs w:val="22"/>
        </w:rPr>
        <w:t>Versión pública: Documento en el que se elimine, suprime o borra la información clasificada como reservada o confidencial para permitir su acceso</w:t>
      </w:r>
    </w:p>
    <w:p w14:paraId="711D9547" w14:textId="77777777" w:rsidR="002E72C9" w:rsidRPr="00D05B59" w:rsidRDefault="002E72C9" w:rsidP="002E72C9">
      <w:pPr>
        <w:tabs>
          <w:tab w:val="left" w:pos="709"/>
        </w:tabs>
        <w:ind w:left="567" w:right="567"/>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b/>
          <w:i/>
          <w:sz w:val="22"/>
          <w:szCs w:val="22"/>
        </w:rPr>
        <w:lastRenderedPageBreak/>
        <w:t>Artículo 91.</w:t>
      </w:r>
      <w:r w:rsidRPr="00D05B59">
        <w:rPr>
          <w:rFonts w:ascii="Palatino Linotype" w:eastAsia="Palatino Linotype" w:hAnsi="Palatino Linotype" w:cs="Palatino Linotype"/>
          <w:i/>
          <w:sz w:val="22"/>
          <w:szCs w:val="22"/>
        </w:rPr>
        <w:t xml:space="preserve"> </w:t>
      </w:r>
      <w:r w:rsidRPr="00D05B59">
        <w:rPr>
          <w:rFonts w:ascii="Palatino Linotype" w:eastAsia="Palatino Linotype" w:hAnsi="Palatino Linotype" w:cs="Palatino Linotype"/>
          <w:b/>
          <w:i/>
          <w:sz w:val="22"/>
          <w:szCs w:val="22"/>
        </w:rPr>
        <w:t>El acceso a la información pública será restringido excepcionalmente, cuando ésta sea clasificada como reservada o confidencial.</w:t>
      </w:r>
    </w:p>
    <w:p w14:paraId="16F4AF45" w14:textId="77777777" w:rsidR="002E72C9" w:rsidRPr="00D05B59" w:rsidRDefault="002E72C9" w:rsidP="002E72C9">
      <w:pPr>
        <w:tabs>
          <w:tab w:val="left" w:pos="709"/>
        </w:tabs>
        <w:ind w:left="567" w:right="567"/>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b/>
          <w:i/>
          <w:sz w:val="22"/>
          <w:szCs w:val="22"/>
        </w:rPr>
        <w:t>Artículo 122.</w:t>
      </w:r>
      <w:r w:rsidRPr="00D05B59">
        <w:rPr>
          <w:rFonts w:ascii="Palatino Linotype" w:eastAsia="Palatino Linotype" w:hAnsi="Palatino Linotype" w:cs="Palatino Linotype"/>
          <w:i/>
          <w:sz w:val="22"/>
          <w:szCs w:val="22"/>
        </w:rPr>
        <w:t xml:space="preserve"> </w:t>
      </w:r>
      <w:r w:rsidRPr="00D05B59">
        <w:rPr>
          <w:rFonts w:ascii="Palatino Linotype" w:eastAsia="Palatino Linotype" w:hAnsi="Palatino Linotype" w:cs="Palatino Linotype"/>
          <w:b/>
          <w:i/>
          <w:sz w:val="22"/>
          <w:szCs w:val="22"/>
        </w:rPr>
        <w:t xml:space="preserve">La clasificación es el proceso mediante el cual el sujeto obligado determina que la información en su poder </w:t>
      </w:r>
      <w:proofErr w:type="spellStart"/>
      <w:r w:rsidRPr="00D05B59">
        <w:rPr>
          <w:rFonts w:ascii="Palatino Linotype" w:eastAsia="Palatino Linotype" w:hAnsi="Palatino Linotype" w:cs="Palatino Linotype"/>
          <w:b/>
          <w:i/>
          <w:sz w:val="22"/>
          <w:szCs w:val="22"/>
        </w:rPr>
        <w:t>actualiza</w:t>
      </w:r>
      <w:proofErr w:type="spellEnd"/>
      <w:r w:rsidRPr="00D05B59">
        <w:rPr>
          <w:rFonts w:ascii="Palatino Linotype" w:eastAsia="Palatino Linotype" w:hAnsi="Palatino Linotype" w:cs="Palatino Linotype"/>
          <w:b/>
          <w:i/>
          <w:sz w:val="22"/>
          <w:szCs w:val="22"/>
        </w:rPr>
        <w:t xml:space="preserve"> alguno de los supuestos de reserva o confidencialidad, de conformidad con lo dispuesto en el presente título.</w:t>
      </w:r>
    </w:p>
    <w:p w14:paraId="43F4A1E3" w14:textId="77777777" w:rsidR="002E72C9" w:rsidRPr="00D05B59" w:rsidRDefault="002E72C9" w:rsidP="002E72C9">
      <w:pPr>
        <w:tabs>
          <w:tab w:val="left" w:pos="709"/>
        </w:tabs>
        <w:ind w:left="567" w:right="567"/>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b/>
          <w:i/>
          <w:sz w:val="22"/>
          <w:szCs w:val="22"/>
        </w:rPr>
        <w:t>Los supuestos de reserva o confidencialidad previstos en las leyes deberán ser acordes con las bases, principios y disposiciones establecidos en la Ley General y, en ningún caso, podrán contravenirla.</w:t>
      </w:r>
    </w:p>
    <w:p w14:paraId="1AF367AB" w14:textId="77777777" w:rsidR="002E72C9" w:rsidRPr="00D05B59" w:rsidRDefault="002E72C9" w:rsidP="002E72C9">
      <w:pPr>
        <w:tabs>
          <w:tab w:val="left" w:pos="709"/>
        </w:tabs>
        <w:ind w:left="567" w:right="567"/>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b/>
          <w:i/>
          <w:sz w:val="22"/>
          <w:szCs w:val="22"/>
        </w:rPr>
        <w:t>Los titulares de las áreas de los sujetos obligados serán los responsables de clasificar la información, de conformidad con lo dispuesto en la presente Ley y demás disposiciones jurídicas aplicables</w:t>
      </w:r>
    </w:p>
    <w:p w14:paraId="06DCDBAC" w14:textId="77777777" w:rsidR="002E72C9" w:rsidRPr="00D05B59" w:rsidRDefault="002E72C9" w:rsidP="002E72C9">
      <w:pPr>
        <w:tabs>
          <w:tab w:val="left" w:pos="709"/>
        </w:tabs>
        <w:ind w:left="567" w:righ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Artículo 135.</w:t>
      </w:r>
      <w:r w:rsidRPr="00D05B59">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61E41313" w14:textId="77777777" w:rsidR="002E72C9" w:rsidRPr="00D05B59" w:rsidRDefault="002E72C9" w:rsidP="00C33DB6">
      <w:pPr>
        <w:tabs>
          <w:tab w:val="left" w:pos="709"/>
        </w:tabs>
        <w:ind w:left="567" w:righ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Artículo 143</w:t>
      </w:r>
      <w:r w:rsidRPr="00D05B59">
        <w:rPr>
          <w:rFonts w:ascii="Palatino Linotype" w:eastAsia="Palatino Linotype" w:hAnsi="Palatino Linotype" w:cs="Palatino Linotype"/>
          <w:i/>
          <w:sz w:val="22"/>
          <w:szCs w:val="22"/>
        </w:rPr>
        <w:t xml:space="preserve">. </w:t>
      </w:r>
      <w:r w:rsidR="00C33DB6" w:rsidRPr="00D05B59">
        <w:rPr>
          <w:rFonts w:ascii="Palatino Linotype" w:eastAsia="Palatino Linotype" w:hAnsi="Palatino Linotype" w:cs="Palatino Linotype"/>
          <w:i/>
          <w:sz w:val="22"/>
          <w:szCs w:val="22"/>
        </w:rPr>
        <w:t>…</w:t>
      </w:r>
    </w:p>
    <w:p w14:paraId="05BCA595" w14:textId="77777777" w:rsidR="002E72C9" w:rsidRPr="00D05B59" w:rsidRDefault="002E72C9" w:rsidP="002E72C9">
      <w:pPr>
        <w:tabs>
          <w:tab w:val="left" w:pos="709"/>
        </w:tabs>
        <w:ind w:left="567" w:righ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1290B43" w14:textId="77777777" w:rsidR="002E72C9" w:rsidRPr="00D05B59" w:rsidRDefault="002E72C9" w:rsidP="002E72C9">
      <w:pPr>
        <w:tabs>
          <w:tab w:val="left" w:pos="709"/>
        </w:tabs>
        <w:ind w:left="567" w:righ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EA1E3C8" w14:textId="77777777" w:rsidR="002E72C9" w:rsidRPr="00D05B59" w:rsidRDefault="002E72C9" w:rsidP="002E72C9">
      <w:pPr>
        <w:tabs>
          <w:tab w:val="left" w:pos="709"/>
        </w:tabs>
        <w:ind w:left="567" w:righ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Artículo 149.</w:t>
      </w:r>
      <w:r w:rsidRPr="00D05B59">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73AC2C58" w14:textId="77777777" w:rsidR="002E72C9" w:rsidRPr="00D05B59" w:rsidRDefault="002E72C9" w:rsidP="002E72C9">
      <w:pPr>
        <w:tabs>
          <w:tab w:val="left" w:pos="709"/>
        </w:tabs>
        <w:ind w:left="567" w:right="567"/>
        <w:jc w:val="both"/>
        <w:rPr>
          <w:rFonts w:ascii="Palatino Linotype" w:eastAsia="Palatino Linotype" w:hAnsi="Palatino Linotype" w:cs="Palatino Linotype"/>
          <w:i/>
          <w:sz w:val="22"/>
          <w:szCs w:val="22"/>
        </w:rPr>
      </w:pPr>
    </w:p>
    <w:p w14:paraId="2F2E311E" w14:textId="77777777" w:rsidR="002E72C9" w:rsidRPr="00D05B59" w:rsidRDefault="002E72C9" w:rsidP="002E72C9">
      <w:pPr>
        <w:spacing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1A1F1D33" w14:textId="77777777" w:rsidR="002E72C9" w:rsidRPr="00D05B59" w:rsidRDefault="002E72C9" w:rsidP="002E72C9">
      <w:pPr>
        <w:spacing w:line="360" w:lineRule="auto"/>
        <w:ind w:right="49"/>
        <w:jc w:val="both"/>
        <w:rPr>
          <w:rFonts w:ascii="Palatino Linotype" w:eastAsia="Palatino Linotype" w:hAnsi="Palatino Linotype" w:cs="Palatino Linotype"/>
        </w:rPr>
      </w:pPr>
    </w:p>
    <w:p w14:paraId="36AFE413" w14:textId="77777777" w:rsidR="002E72C9" w:rsidRPr="00D05B59" w:rsidRDefault="002E72C9" w:rsidP="002E72C9">
      <w:pPr>
        <w:spacing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rPr>
        <w:lastRenderedPageBreak/>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14CD8FBC" w14:textId="77777777" w:rsidR="002E72C9" w:rsidRPr="00D05B59" w:rsidRDefault="002E72C9" w:rsidP="002E72C9">
      <w:pPr>
        <w:spacing w:line="360" w:lineRule="auto"/>
        <w:jc w:val="both"/>
        <w:rPr>
          <w:rFonts w:ascii="Palatino Linotype" w:eastAsia="Palatino Linotype" w:hAnsi="Palatino Linotype" w:cs="Palatino Linotype"/>
        </w:rPr>
      </w:pPr>
    </w:p>
    <w:p w14:paraId="2D0FE92D" w14:textId="77777777" w:rsidR="002E72C9" w:rsidRPr="00D05B59" w:rsidRDefault="002E72C9" w:rsidP="002E72C9">
      <w:pPr>
        <w:spacing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567140EF" w14:textId="77777777" w:rsidR="002E72C9" w:rsidRPr="00D05B59" w:rsidRDefault="002E72C9" w:rsidP="002E72C9">
      <w:pPr>
        <w:spacing w:line="360" w:lineRule="auto"/>
        <w:jc w:val="both"/>
        <w:rPr>
          <w:rFonts w:ascii="Palatino Linotype" w:eastAsia="Palatino Linotype" w:hAnsi="Palatino Linotype" w:cs="Palatino Linotype"/>
        </w:rPr>
      </w:pPr>
    </w:p>
    <w:p w14:paraId="51D4E5A4" w14:textId="77777777" w:rsidR="002E72C9" w:rsidRPr="00D05B59" w:rsidRDefault="002E72C9" w:rsidP="002E72C9">
      <w:pPr>
        <w:ind w:left="567" w:right="616"/>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w:t>
      </w:r>
      <w:r w:rsidRPr="00D05B59">
        <w:rPr>
          <w:rFonts w:ascii="Palatino Linotype" w:eastAsia="Palatino Linotype" w:hAnsi="Palatino Linotype" w:cs="Palatino Linotype"/>
          <w:b/>
          <w:i/>
          <w:sz w:val="22"/>
          <w:szCs w:val="22"/>
        </w:rPr>
        <w:t>Artículo 168</w:t>
      </w:r>
      <w:r w:rsidRPr="00D05B59">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6F7AB618" w14:textId="77777777" w:rsidR="002E72C9" w:rsidRPr="00D05B59" w:rsidRDefault="002E72C9" w:rsidP="002E72C9">
      <w:pPr>
        <w:ind w:left="567" w:right="616"/>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I.</w:t>
      </w:r>
      <w:r w:rsidRPr="00D05B59">
        <w:rPr>
          <w:rFonts w:ascii="Palatino Linotype" w:eastAsia="Palatino Linotype" w:hAnsi="Palatino Linotype" w:cs="Palatino Linotype"/>
          <w:i/>
          <w:sz w:val="22"/>
          <w:szCs w:val="22"/>
        </w:rPr>
        <w:t xml:space="preserve"> El Área deberá remitir la solicitud, así como un escrito en el que </w:t>
      </w:r>
      <w:r w:rsidRPr="00D05B59">
        <w:rPr>
          <w:rFonts w:ascii="Palatino Linotype" w:eastAsia="Palatino Linotype" w:hAnsi="Palatino Linotype" w:cs="Palatino Linotype"/>
          <w:b/>
          <w:i/>
          <w:sz w:val="22"/>
          <w:szCs w:val="22"/>
        </w:rPr>
        <w:t>funde y motive la clasificación al Comité de Transparencia</w:t>
      </w:r>
      <w:r w:rsidRPr="00D05B59">
        <w:rPr>
          <w:rFonts w:ascii="Palatino Linotype" w:eastAsia="Palatino Linotype" w:hAnsi="Palatino Linotype" w:cs="Palatino Linotype"/>
          <w:i/>
          <w:sz w:val="22"/>
          <w:szCs w:val="22"/>
        </w:rPr>
        <w:t>, mismo que deberá resolver para:</w:t>
      </w:r>
    </w:p>
    <w:p w14:paraId="51A897AD" w14:textId="77777777" w:rsidR="002E72C9" w:rsidRPr="00D05B59" w:rsidRDefault="002E72C9" w:rsidP="002E72C9">
      <w:pPr>
        <w:ind w:left="567" w:right="616"/>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i/>
          <w:sz w:val="22"/>
          <w:szCs w:val="22"/>
        </w:rPr>
        <w:t>a</w:t>
      </w:r>
      <w:r w:rsidRPr="00D05B59">
        <w:rPr>
          <w:rFonts w:ascii="Palatino Linotype" w:eastAsia="Palatino Linotype" w:hAnsi="Palatino Linotype" w:cs="Palatino Linotype"/>
          <w:b/>
          <w:i/>
          <w:sz w:val="22"/>
          <w:szCs w:val="22"/>
        </w:rPr>
        <w:t>) Confirmar la clasificación;</w:t>
      </w:r>
    </w:p>
    <w:p w14:paraId="4BCFA37C" w14:textId="77777777" w:rsidR="002E72C9" w:rsidRPr="00D05B59" w:rsidRDefault="002E72C9" w:rsidP="002E72C9">
      <w:pPr>
        <w:ind w:left="567" w:right="616"/>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77BFAB81" w14:textId="77777777" w:rsidR="002E72C9" w:rsidRPr="00D05B59" w:rsidRDefault="002E72C9" w:rsidP="002E72C9">
      <w:pPr>
        <w:ind w:left="567" w:right="616"/>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II.</w:t>
      </w:r>
      <w:r w:rsidRPr="00D05B59">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0F235D71" w14:textId="77777777" w:rsidR="002E72C9" w:rsidRPr="00D05B59" w:rsidRDefault="002E72C9" w:rsidP="002E72C9">
      <w:pPr>
        <w:ind w:left="567" w:right="616"/>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III.</w:t>
      </w:r>
      <w:r w:rsidRPr="00D05B59">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5AC468FA" w14:textId="77777777" w:rsidR="002E72C9" w:rsidRPr="00D05B59" w:rsidRDefault="002E72C9" w:rsidP="002E72C9">
      <w:pPr>
        <w:spacing w:line="360" w:lineRule="auto"/>
        <w:jc w:val="both"/>
        <w:rPr>
          <w:rFonts w:ascii="Palatino Linotype" w:eastAsia="Palatino Linotype" w:hAnsi="Palatino Linotype" w:cs="Palatino Linotype"/>
        </w:rPr>
      </w:pPr>
    </w:p>
    <w:p w14:paraId="3BFC301D" w14:textId="77777777" w:rsidR="002E72C9" w:rsidRPr="00D05B59" w:rsidRDefault="002E72C9" w:rsidP="002E72C9">
      <w:pPr>
        <w:spacing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rPr>
        <w:lastRenderedPageBreak/>
        <w:t xml:space="preserve">Asimismo, los Lineamientos Generales en Materia de Clasificación y Desclasificación de la Información, así como para la Elaboración de Versiones Públicas, señalan las formalidades que deberá llevar el acuerdo de clasificación que debió emitir el </w:t>
      </w:r>
      <w:r w:rsidRPr="00D05B59">
        <w:rPr>
          <w:rFonts w:ascii="Palatino Linotype" w:eastAsia="Palatino Linotype" w:hAnsi="Palatino Linotype" w:cs="Palatino Linotype"/>
          <w:b/>
        </w:rPr>
        <w:t>Sujeto Obligado</w:t>
      </w:r>
      <w:r w:rsidRPr="00D05B59">
        <w:rPr>
          <w:rFonts w:ascii="Palatino Linotype" w:eastAsia="Palatino Linotype" w:hAnsi="Palatino Linotype" w:cs="Palatino Linotype"/>
        </w:rPr>
        <w:t>, siendo estas las siguientes:</w:t>
      </w:r>
    </w:p>
    <w:p w14:paraId="54CE9496" w14:textId="77777777" w:rsidR="002E72C9" w:rsidRPr="00D05B59" w:rsidRDefault="002E72C9" w:rsidP="002E72C9">
      <w:pPr>
        <w:spacing w:line="276" w:lineRule="auto"/>
        <w:ind w:lef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“CAPÍTULO VIII </w:t>
      </w:r>
    </w:p>
    <w:p w14:paraId="14272659" w14:textId="77777777" w:rsidR="002E72C9" w:rsidRPr="00D05B59" w:rsidRDefault="002E72C9" w:rsidP="002E72C9">
      <w:pPr>
        <w:spacing w:line="276" w:lineRule="auto"/>
        <w:ind w:lef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DE LOS ELEMENTOS PARA LA CLASIFICACIÓN </w:t>
      </w:r>
    </w:p>
    <w:p w14:paraId="3CF6CE5E" w14:textId="77777777" w:rsidR="002E72C9" w:rsidRPr="00D05B59" w:rsidRDefault="002E72C9" w:rsidP="002E72C9">
      <w:pP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Quincuagésimo.</w:t>
      </w:r>
      <w:r w:rsidRPr="00D05B59">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357C22A" w14:textId="77777777" w:rsidR="002E72C9" w:rsidRPr="00D05B59" w:rsidRDefault="002E72C9" w:rsidP="002E72C9">
      <w:pP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Quincuagésimo primero.</w:t>
      </w:r>
      <w:r w:rsidRPr="00D05B59">
        <w:rPr>
          <w:rFonts w:ascii="Palatino Linotype" w:eastAsia="Palatino Linotype" w:hAnsi="Palatino Linotype" w:cs="Palatino Linotype"/>
          <w:i/>
          <w:sz w:val="22"/>
          <w:szCs w:val="22"/>
        </w:rPr>
        <w:t xml:space="preserve"> Toda acta del Comité de Transparencia deberá contener: </w:t>
      </w:r>
    </w:p>
    <w:p w14:paraId="38C0B32E" w14:textId="77777777" w:rsidR="002E72C9" w:rsidRPr="00D05B59" w:rsidRDefault="002E72C9" w:rsidP="002E72C9">
      <w:pPr>
        <w:numPr>
          <w:ilvl w:val="1"/>
          <w:numId w:val="20"/>
        </w:numPr>
        <w:pBdr>
          <w:top w:val="nil"/>
          <w:left w:val="nil"/>
          <w:bottom w:val="nil"/>
          <w:right w:val="nil"/>
          <w:between w:val="nil"/>
        </w:pBdr>
        <w:spacing w:after="160" w:line="276" w:lineRule="auto"/>
        <w:ind w:left="567" w:right="900" w:firstLine="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El número de sesión y fecha; </w:t>
      </w:r>
    </w:p>
    <w:p w14:paraId="53A6B118" w14:textId="77777777" w:rsidR="002E72C9" w:rsidRPr="00D05B59" w:rsidRDefault="002E72C9" w:rsidP="002E72C9">
      <w:pPr>
        <w:numPr>
          <w:ilvl w:val="1"/>
          <w:numId w:val="20"/>
        </w:numPr>
        <w:pBdr>
          <w:top w:val="nil"/>
          <w:left w:val="nil"/>
          <w:bottom w:val="nil"/>
          <w:right w:val="nil"/>
          <w:between w:val="nil"/>
        </w:pBdr>
        <w:spacing w:after="160" w:line="276" w:lineRule="auto"/>
        <w:ind w:left="426" w:right="900" w:firstLine="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El nombre del área que solicitó la clasificación de información; </w:t>
      </w:r>
    </w:p>
    <w:p w14:paraId="3CE4C733" w14:textId="77777777" w:rsidR="002E72C9" w:rsidRPr="00D05B59" w:rsidRDefault="002E72C9" w:rsidP="002E72C9">
      <w:pPr>
        <w:numPr>
          <w:ilvl w:val="1"/>
          <w:numId w:val="20"/>
        </w:numPr>
        <w:pBdr>
          <w:top w:val="nil"/>
          <w:left w:val="nil"/>
          <w:bottom w:val="nil"/>
          <w:right w:val="nil"/>
          <w:between w:val="nil"/>
        </w:pBdr>
        <w:spacing w:after="160" w:line="276" w:lineRule="auto"/>
        <w:ind w:left="567" w:right="900" w:hanging="141"/>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La fundamentación legal y motivación correspondiente; </w:t>
      </w:r>
    </w:p>
    <w:p w14:paraId="2FBAD56E" w14:textId="77777777" w:rsidR="002E72C9" w:rsidRPr="00D05B59" w:rsidRDefault="002E72C9" w:rsidP="002E72C9">
      <w:pPr>
        <w:numPr>
          <w:ilvl w:val="1"/>
          <w:numId w:val="20"/>
        </w:numPr>
        <w:pBdr>
          <w:top w:val="nil"/>
          <w:left w:val="nil"/>
          <w:bottom w:val="nil"/>
          <w:right w:val="nil"/>
          <w:between w:val="nil"/>
        </w:pBdr>
        <w:spacing w:after="160" w:line="276" w:lineRule="auto"/>
        <w:ind w:left="567" w:right="900" w:hanging="141"/>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La resolución o resoluciones aprobadas; y </w:t>
      </w:r>
    </w:p>
    <w:p w14:paraId="2D9AB800" w14:textId="77777777" w:rsidR="002E72C9" w:rsidRPr="00D05B59" w:rsidRDefault="002E72C9" w:rsidP="002E72C9">
      <w:pPr>
        <w:numPr>
          <w:ilvl w:val="1"/>
          <w:numId w:val="20"/>
        </w:numPr>
        <w:pBdr>
          <w:top w:val="nil"/>
          <w:left w:val="nil"/>
          <w:bottom w:val="nil"/>
          <w:right w:val="nil"/>
          <w:between w:val="nil"/>
        </w:pBdr>
        <w:spacing w:after="160" w:line="276" w:lineRule="auto"/>
        <w:ind w:left="567" w:right="900" w:hanging="141"/>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La rúbrica o firma digital de cada integrante del Comité de Transparencia. </w:t>
      </w:r>
    </w:p>
    <w:p w14:paraId="2391A614"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59D0B15"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I. Los motivos y razonamientos que sustenten la confirmación o modificación de la prueba de daño;</w:t>
      </w:r>
    </w:p>
    <w:p w14:paraId="14BEF8DA"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II. Descripción de las partes o secciones reservadas, en caso de clasificación parcial; </w:t>
      </w:r>
    </w:p>
    <w:p w14:paraId="7D5D7CF6"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III. El periodo por el que mantendrá su clasificación y fecha de expiración; y </w:t>
      </w:r>
    </w:p>
    <w:p w14:paraId="068FEB4C"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5A4274E3"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28AFDBC"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b/>
          <w:i/>
          <w:sz w:val="22"/>
          <w:szCs w:val="22"/>
        </w:rPr>
        <w:t xml:space="preserve">En los casos de resoluciones del Comité de Transparencia en las que se confirme la clasificación de información confidencial solo se deberán de </w:t>
      </w:r>
      <w:r w:rsidRPr="00D05B59">
        <w:rPr>
          <w:rFonts w:ascii="Palatino Linotype" w:eastAsia="Palatino Linotype" w:hAnsi="Palatino Linotype" w:cs="Palatino Linotype"/>
          <w:b/>
          <w:i/>
          <w:sz w:val="22"/>
          <w:szCs w:val="22"/>
        </w:rPr>
        <w:lastRenderedPageBreak/>
        <w:t>identificar los tipos de datos protegidos, de conformidad con el lineamiento trigésimo octavo.</w:t>
      </w:r>
    </w:p>
    <w:p w14:paraId="6934E3E5"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 xml:space="preserve">Quincuagésimo segundo. </w:t>
      </w:r>
      <w:r w:rsidRPr="00D05B59">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D17B6C9"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01CC1AC2"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I. Fijar la fecha en que se elaboró la versión pública y la fecha en la cual el Comité de</w:t>
      </w:r>
    </w:p>
    <w:p w14:paraId="0E2B40DF"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Transparencia confirmó dicha versión;</w:t>
      </w:r>
    </w:p>
    <w:p w14:paraId="2C646DED"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23D9EF72"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III. Señalar las personas o instancias autorizadas a acceder a la información clasificada.</w:t>
      </w:r>
    </w:p>
    <w:p w14:paraId="7AC3B3CA"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D05B59">
        <w:rPr>
          <w:noProof/>
        </w:rPr>
        <w:drawing>
          <wp:anchor distT="0" distB="0" distL="114300" distR="114300" simplePos="0" relativeHeight="251677696" behindDoc="0" locked="0" layoutInCell="1" hidden="0" allowOverlap="1" wp14:anchorId="5A2FE472" wp14:editId="7A5BBE01">
            <wp:simplePos x="0" y="0"/>
            <wp:positionH relativeFrom="column">
              <wp:posOffset>377190</wp:posOffset>
            </wp:positionH>
            <wp:positionV relativeFrom="paragraph">
              <wp:posOffset>798830</wp:posOffset>
            </wp:positionV>
            <wp:extent cx="4568190" cy="330200"/>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568190" cy="330200"/>
                    </a:xfrm>
                    <a:prstGeom prst="rect">
                      <a:avLst/>
                    </a:prstGeom>
                    <a:ln/>
                  </pic:spPr>
                </pic:pic>
              </a:graphicData>
            </a:graphic>
          </wp:anchor>
        </w:drawing>
      </w:r>
    </w:p>
    <w:p w14:paraId="40D5423F"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b/>
          <w:i/>
          <w:noProof/>
          <w:sz w:val="22"/>
          <w:szCs w:val="22"/>
        </w:rPr>
        <w:lastRenderedPageBreak/>
        <w:drawing>
          <wp:inline distT="0" distB="0" distL="0" distR="0" wp14:anchorId="2C952F57" wp14:editId="7245E38F">
            <wp:extent cx="4576404" cy="5139653"/>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4576404" cy="5139653"/>
                    </a:xfrm>
                    <a:prstGeom prst="rect">
                      <a:avLst/>
                    </a:prstGeom>
                    <a:ln/>
                  </pic:spPr>
                </pic:pic>
              </a:graphicData>
            </a:graphic>
          </wp:inline>
        </w:drawing>
      </w:r>
    </w:p>
    <w:p w14:paraId="505B3A16"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b/>
          <w:i/>
          <w:sz w:val="22"/>
          <w:szCs w:val="22"/>
        </w:rPr>
        <w:t xml:space="preserve">Quincuagésimo cuarto. </w:t>
      </w:r>
      <w:r w:rsidRPr="00D05B59">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6D0379B" w14:textId="77777777" w:rsidR="002E72C9" w:rsidRPr="00D05B59" w:rsidRDefault="002E72C9" w:rsidP="002E72C9">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 xml:space="preserve">Quincuagésimo quinto. </w:t>
      </w:r>
      <w:r w:rsidRPr="00D05B59">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D05B59">
        <w:rPr>
          <w:rFonts w:ascii="Palatino Linotype" w:eastAsia="Palatino Linotype" w:hAnsi="Palatino Linotype" w:cs="Palatino Linotype"/>
          <w:i/>
          <w:sz w:val="22"/>
          <w:szCs w:val="22"/>
        </w:rPr>
        <w:t>testado</w:t>
      </w:r>
      <w:proofErr w:type="spellEnd"/>
      <w:r w:rsidRPr="00D05B59">
        <w:rPr>
          <w:rFonts w:ascii="Palatino Linotype" w:eastAsia="Palatino Linotype" w:hAnsi="Palatino Linotype" w:cs="Palatino Linotype"/>
          <w:i/>
          <w:sz w:val="22"/>
          <w:szCs w:val="22"/>
        </w:rPr>
        <w:t xml:space="preserve">, que sean encargadas de la adecuada elaboración o supervisión de las versiones públicas de los documentos o </w:t>
      </w:r>
      <w:r w:rsidRPr="00D05B59">
        <w:rPr>
          <w:rFonts w:ascii="Palatino Linotype" w:eastAsia="Palatino Linotype" w:hAnsi="Palatino Linotype" w:cs="Palatino Linotype"/>
          <w:i/>
          <w:sz w:val="22"/>
          <w:szCs w:val="22"/>
        </w:rPr>
        <w:lastRenderedPageBreak/>
        <w:t xml:space="preserve">expedientes, verificando que cumplan con los requisitos señalados en las Leyes Generales, los presentes Lineamientos y demás normativa aplicable antes de su confirmación por el Comité de Transparencia.” (Sic) (Énfasis añadido) </w:t>
      </w:r>
    </w:p>
    <w:p w14:paraId="0CF21871" w14:textId="77777777" w:rsidR="00C33DB6" w:rsidRPr="00D05B59" w:rsidRDefault="00C33DB6" w:rsidP="002E72C9">
      <w:pPr>
        <w:spacing w:before="240" w:after="240" w:line="360" w:lineRule="auto"/>
        <w:contextualSpacing/>
        <w:jc w:val="both"/>
        <w:rPr>
          <w:rFonts w:ascii="Palatino Linotype" w:eastAsia="Palatino Linotype" w:hAnsi="Palatino Linotype" w:cs="Palatino Linotype"/>
        </w:rPr>
      </w:pPr>
    </w:p>
    <w:p w14:paraId="3EA06671" w14:textId="77777777" w:rsidR="002E72C9" w:rsidRPr="00D05B59" w:rsidRDefault="002E72C9" w:rsidP="002E72C9">
      <w:pPr>
        <w:spacing w:before="240" w:after="240" w:line="360" w:lineRule="auto"/>
        <w:contextualSpacing/>
        <w:jc w:val="both"/>
        <w:rPr>
          <w:rFonts w:ascii="Palatino Linotype" w:eastAsia="Palatino Linotype" w:hAnsi="Palatino Linotype" w:cs="Palatino Linotype"/>
        </w:rPr>
      </w:pPr>
      <w:r w:rsidRPr="00D05B59">
        <w:rPr>
          <w:rFonts w:ascii="Palatino Linotype" w:eastAsia="Palatino Linotype" w:hAnsi="Palatino Linotype" w:cs="Palatino Linotype"/>
        </w:rPr>
        <w:t xml:space="preserve">Hechas estas precisiones, se advierte que el </w:t>
      </w:r>
      <w:r w:rsidRPr="00D05B59">
        <w:rPr>
          <w:rFonts w:ascii="Palatino Linotype" w:eastAsia="Palatino Linotype" w:hAnsi="Palatino Linotype" w:cs="Palatino Linotype"/>
          <w:b/>
        </w:rPr>
        <w:t>Sujeto Obligado</w:t>
      </w:r>
      <w:r w:rsidRPr="00D05B59">
        <w:rPr>
          <w:rFonts w:ascii="Palatino Linotype" w:eastAsia="Palatino Linotype" w:hAnsi="Palatino Linotype" w:cs="Palatino Linotype"/>
        </w:rPr>
        <w:t xml:space="preserve"> no cumplió con lo señalado en lo procedente, pues </w:t>
      </w:r>
      <w:r w:rsidR="00B80784" w:rsidRPr="00D05B59">
        <w:rPr>
          <w:rFonts w:ascii="Palatino Linotype" w:eastAsia="Palatino Linotype" w:hAnsi="Palatino Linotype" w:cs="Palatino Linotype"/>
        </w:rPr>
        <w:t xml:space="preserve">pretendió </w:t>
      </w:r>
      <w:r w:rsidRPr="00D05B59">
        <w:rPr>
          <w:rFonts w:ascii="Palatino Linotype" w:eastAsia="Palatino Linotype" w:hAnsi="Palatino Linotype" w:cs="Palatino Linotype"/>
        </w:rPr>
        <w:t>realizar una versión pública de los</w:t>
      </w:r>
      <w:r w:rsidR="00C33DB6" w:rsidRPr="00D05B59">
        <w:rPr>
          <w:rFonts w:ascii="Palatino Linotype" w:eastAsia="Palatino Linotype" w:hAnsi="Palatino Linotype" w:cs="Palatino Linotype"/>
        </w:rPr>
        <w:t xml:space="preserve"> documentos de seguridad</w:t>
      </w:r>
      <w:r w:rsidR="00B80784" w:rsidRPr="00D05B59">
        <w:rPr>
          <w:rFonts w:ascii="Palatino Linotype" w:eastAsia="Palatino Linotype" w:hAnsi="Palatino Linotype" w:cs="Palatino Linotype"/>
        </w:rPr>
        <w:t xml:space="preserve"> sustentándola con un acuerdo que como ya se señaló en líneas anteriores, carece de diversos elementos conforme a la norma</w:t>
      </w:r>
      <w:r w:rsidRPr="00D05B59">
        <w:rPr>
          <w:rFonts w:ascii="Palatino Linotype" w:eastAsia="Palatino Linotype" w:hAnsi="Palatino Linotype" w:cs="Palatino Linotype"/>
        </w:rPr>
        <w:t xml:space="preserve">, en consecuencia, el actuar del </w:t>
      </w:r>
      <w:r w:rsidRPr="00D05B59">
        <w:rPr>
          <w:rFonts w:ascii="Palatino Linotype" w:eastAsia="Palatino Linotype" w:hAnsi="Palatino Linotype" w:cs="Palatino Linotype"/>
          <w:b/>
        </w:rPr>
        <w:t>Sujeto Obligado</w:t>
      </w:r>
      <w:r w:rsidR="00C33DB6" w:rsidRPr="00D05B59">
        <w:rPr>
          <w:rFonts w:ascii="Palatino Linotype" w:eastAsia="Palatino Linotype" w:hAnsi="Palatino Linotype" w:cs="Palatino Linotype"/>
        </w:rPr>
        <w:t xml:space="preserve"> no se encuentra apegado a derecho.</w:t>
      </w:r>
    </w:p>
    <w:p w14:paraId="2A86CA27" w14:textId="77777777" w:rsidR="00FB1382" w:rsidRPr="00D05B59" w:rsidRDefault="00FB1382" w:rsidP="002E72C9">
      <w:pPr>
        <w:spacing w:before="240" w:after="240" w:line="360" w:lineRule="auto"/>
        <w:contextualSpacing/>
        <w:jc w:val="both"/>
        <w:rPr>
          <w:rFonts w:ascii="Palatino Linotype" w:eastAsia="Palatino Linotype" w:hAnsi="Palatino Linotype" w:cs="Palatino Linotype"/>
        </w:rPr>
      </w:pPr>
    </w:p>
    <w:p w14:paraId="1006107D" w14:textId="77777777" w:rsidR="00C33DB6" w:rsidRPr="00D05B59" w:rsidRDefault="00C33DB6" w:rsidP="002574E7">
      <w:pPr>
        <w:spacing w:before="240" w:after="240" w:line="360" w:lineRule="auto"/>
        <w:contextualSpacing/>
        <w:jc w:val="both"/>
        <w:rPr>
          <w:rFonts w:ascii="Palatino Linotype" w:eastAsia="Palatino Linotype" w:hAnsi="Palatino Linotype" w:cs="Palatino Linotype"/>
        </w:rPr>
      </w:pPr>
      <w:r w:rsidRPr="00D05B59">
        <w:rPr>
          <w:rFonts w:ascii="Palatino Linotype" w:eastAsia="Palatino Linotype" w:hAnsi="Palatino Linotype" w:cs="Palatino Linotype"/>
        </w:rPr>
        <w:t xml:space="preserve">Aunado a lo anterior, del análisis al contenido de los documentos de seguridad remitidos en respuesta, se advierte que la totalidad de estos, únicamente comprenden </w:t>
      </w:r>
      <w:r w:rsidR="002574E7" w:rsidRPr="00D05B59">
        <w:rPr>
          <w:rFonts w:ascii="Palatino Linotype" w:eastAsia="Palatino Linotype" w:hAnsi="Palatino Linotype" w:cs="Palatino Linotype"/>
        </w:rPr>
        <w:t>a los rubros de carátula, guía de contenido del documento de seguridad, introducción e identificación del responsable, es decir, se encuentran incompletos, en virtud de que como se analizará a continuación, existe más información dentro de este documento que si es susceptible de entrega.</w:t>
      </w:r>
    </w:p>
    <w:p w14:paraId="53B3487A" w14:textId="77777777" w:rsidR="002E72C9" w:rsidRPr="00D05B59" w:rsidRDefault="002E72C9" w:rsidP="00380BC7">
      <w:pPr>
        <w:spacing w:before="240" w:after="240" w:line="360" w:lineRule="auto"/>
        <w:contextualSpacing/>
        <w:jc w:val="both"/>
        <w:rPr>
          <w:rFonts w:ascii="Palatino Linotype" w:hAnsi="Palatino Linotype" w:cs="Arial"/>
          <w:lang w:val="es-ES" w:eastAsia="es-ES"/>
        </w:rPr>
      </w:pPr>
    </w:p>
    <w:p w14:paraId="1FF04B96" w14:textId="77777777" w:rsidR="00380BC7" w:rsidRPr="00D05B59" w:rsidRDefault="002574E7" w:rsidP="00380BC7">
      <w:pPr>
        <w:spacing w:before="240" w:after="240" w:line="360" w:lineRule="auto"/>
        <w:contextualSpacing/>
        <w:jc w:val="both"/>
        <w:rPr>
          <w:rFonts w:ascii="Palatino Linotype" w:hAnsi="Palatino Linotype" w:cs="Arial"/>
          <w:lang w:val="es-ES" w:eastAsia="es-ES"/>
        </w:rPr>
      </w:pPr>
      <w:r w:rsidRPr="00D05B59">
        <w:rPr>
          <w:rFonts w:ascii="Palatino Linotype" w:hAnsi="Palatino Linotype" w:cs="Arial"/>
          <w:lang w:val="es-ES" w:eastAsia="es-ES"/>
        </w:rPr>
        <w:t xml:space="preserve">Bajo este orden de ideas, </w:t>
      </w:r>
      <w:r w:rsidR="00380BC7" w:rsidRPr="00D05B59">
        <w:rPr>
          <w:rFonts w:ascii="Palatino Linotype" w:hAnsi="Palatino Linotype" w:cs="Arial"/>
          <w:lang w:val="es-ES" w:eastAsia="es-ES"/>
        </w:rPr>
        <w:t>la Ley de Protección de Datos Personales en Posesión de Sujetos Obligados del Estado de México y Municipios, señala en sus artículos 4, fracción XVIII, 43, 44, 45, 46, 47, 48, 49 y 50, regula sobre el tema en comento, lo siguiente:</w:t>
      </w:r>
    </w:p>
    <w:p w14:paraId="6090761C"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“Artículo 4. Para los efectos de esta Ley se entenderá por</w:t>
      </w:r>
    </w:p>
    <w:p w14:paraId="210FE7FD"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w:t>
      </w:r>
    </w:p>
    <w:p w14:paraId="7A43AA40" w14:textId="77777777" w:rsidR="00380BC7" w:rsidRPr="00D05B59" w:rsidRDefault="00380BC7" w:rsidP="00380BC7">
      <w:pPr>
        <w:ind w:left="851" w:right="899"/>
        <w:jc w:val="both"/>
        <w:rPr>
          <w:rFonts w:ascii="Palatino Linotype" w:hAnsi="Palatino Linotype" w:cs="Arial"/>
          <w:b/>
          <w:i/>
          <w:sz w:val="22"/>
          <w:szCs w:val="22"/>
          <w:u w:val="single"/>
          <w:lang w:val="es-ES" w:eastAsia="es-ES"/>
        </w:rPr>
      </w:pPr>
      <w:r w:rsidRPr="00D05B59">
        <w:rPr>
          <w:rFonts w:ascii="Palatino Linotype" w:hAnsi="Palatino Linotype" w:cs="Arial"/>
          <w:b/>
          <w:i/>
          <w:sz w:val="22"/>
          <w:szCs w:val="22"/>
          <w:lang w:val="es-ES" w:eastAsia="es-ES"/>
        </w:rPr>
        <w:t>XVIII. Documento de seguridad:</w:t>
      </w:r>
      <w:r w:rsidRPr="00D05B59">
        <w:rPr>
          <w:rFonts w:ascii="Palatino Linotype" w:hAnsi="Palatino Linotype" w:cs="Arial"/>
          <w:i/>
          <w:sz w:val="22"/>
          <w:szCs w:val="22"/>
          <w:lang w:val="es-ES" w:eastAsia="es-ES"/>
        </w:rPr>
        <w:t xml:space="preserve"> </w:t>
      </w:r>
      <w:r w:rsidRPr="00D05B59">
        <w:rPr>
          <w:rFonts w:ascii="Palatino Linotype" w:hAnsi="Palatino Linotype" w:cs="Arial"/>
          <w:b/>
          <w:i/>
          <w:sz w:val="22"/>
          <w:szCs w:val="22"/>
          <w:u w:val="single"/>
          <w:lang w:val="es-ES" w:eastAsia="es-ES"/>
        </w:rPr>
        <w:t xml:space="preserve">al instrumento que describe y da cuenta de manera general sobre las medidas de seguridad técnicas, físicas y </w:t>
      </w:r>
      <w:r w:rsidRPr="00D05B59">
        <w:rPr>
          <w:rFonts w:ascii="Palatino Linotype" w:hAnsi="Palatino Linotype" w:cs="Arial"/>
          <w:b/>
          <w:i/>
          <w:sz w:val="22"/>
          <w:szCs w:val="22"/>
          <w:u w:val="single"/>
          <w:lang w:val="es-ES" w:eastAsia="es-ES"/>
        </w:rPr>
        <w:lastRenderedPageBreak/>
        <w:t>administrativas adoptadas por el responsable para garantizar la confidencialidad, integridad y disponibilidad de la información contenida en los sistemas y bases de datos personales.</w:t>
      </w:r>
    </w:p>
    <w:p w14:paraId="10E7552F"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b/>
          <w:i/>
          <w:sz w:val="22"/>
          <w:szCs w:val="22"/>
          <w:lang w:val="es-ES" w:eastAsia="es-ES"/>
        </w:rPr>
        <w:t>…</w:t>
      </w:r>
    </w:p>
    <w:p w14:paraId="15BBB056"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Naturaleza de las medidas de seguridad y registro del nivel de seguridad </w:t>
      </w:r>
    </w:p>
    <w:p w14:paraId="5C6898ED"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b/>
          <w:i/>
          <w:sz w:val="22"/>
          <w:szCs w:val="22"/>
          <w:lang w:val="es-ES" w:eastAsia="es-ES"/>
        </w:rPr>
        <w:t>Artículo 43</w:t>
      </w:r>
      <w:r w:rsidRPr="00D05B59">
        <w:rPr>
          <w:rFonts w:ascii="Palatino Linotype" w:hAnsi="Palatino Linotype" w:cs="Arial"/>
          <w:i/>
          <w:sz w:val="22"/>
          <w:szCs w:val="22"/>
          <w:lang w:val="es-ES" w:eastAsia="es-ES"/>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14:paraId="33BF9317" w14:textId="77777777" w:rsidR="00380BC7" w:rsidRPr="00D05B59" w:rsidRDefault="00380BC7" w:rsidP="00380BC7">
      <w:pPr>
        <w:ind w:left="851" w:right="899"/>
        <w:jc w:val="both"/>
        <w:rPr>
          <w:rFonts w:ascii="Palatino Linotype" w:hAnsi="Palatino Linotype" w:cs="Arial"/>
          <w:b/>
          <w:i/>
          <w:sz w:val="22"/>
          <w:szCs w:val="22"/>
          <w:lang w:val="es-ES" w:eastAsia="es-ES"/>
        </w:rPr>
      </w:pPr>
      <w:r w:rsidRPr="00D05B59">
        <w:rPr>
          <w:rFonts w:ascii="Palatino Linotype" w:hAnsi="Palatino Linotype" w:cs="Arial"/>
          <w:b/>
          <w:i/>
          <w:sz w:val="22"/>
          <w:szCs w:val="22"/>
          <w:lang w:val="es-ES" w:eastAsia="es-ES"/>
        </w:rPr>
        <w:t xml:space="preserve">Por la naturaleza de la información, las medidas de seguridad que se adopten serán consideradas confidenciales y únicamente se comunicará al Instituto, para su registro, el nivel de seguridad aplicable. </w:t>
      </w:r>
    </w:p>
    <w:p w14:paraId="577AAEC6"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188FBE78"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14:paraId="5D8AC195"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En el supuesto de actualización de estos datos, la modificación respectiva se notificará al Instituto en sus oficinas o en el portal que para tal efecto se cree, dentro de los treinta días hábiles siguientes a la fecha en que se efectuó. </w:t>
      </w:r>
    </w:p>
    <w:p w14:paraId="2F314F9D"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El responsable o el encargado, designarán a una o un administrador, quien tendrá bajo su responsabilidad directa la base y sistema de datos personales. </w:t>
      </w:r>
    </w:p>
    <w:p w14:paraId="11C815C0"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Tipos y Niveles de Seguridad </w:t>
      </w:r>
    </w:p>
    <w:p w14:paraId="43F726D0"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b/>
          <w:i/>
          <w:sz w:val="22"/>
          <w:szCs w:val="22"/>
          <w:lang w:val="es-ES" w:eastAsia="es-ES"/>
        </w:rPr>
        <w:t>Artículo 44</w:t>
      </w:r>
      <w:r w:rsidRPr="00D05B59">
        <w:rPr>
          <w:rFonts w:ascii="Palatino Linotype" w:hAnsi="Palatino Linotype" w:cs="Arial"/>
          <w:i/>
          <w:sz w:val="22"/>
          <w:szCs w:val="22"/>
          <w:lang w:val="es-ES" w:eastAsia="es-ES"/>
        </w:rPr>
        <w:t xml:space="preserve">. El responsable adoptará las medidas de seguridad, conforme a lo siguiente: </w:t>
      </w:r>
    </w:p>
    <w:p w14:paraId="7B98DF03"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A. Tipos de seguridad: </w:t>
      </w:r>
    </w:p>
    <w:p w14:paraId="32B0740C"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 Física: a la medida orientada a la protección de instalaciones, equipos, soportes, sistemas o bases de datos para la prevención de riesgos por caso fortuito o causas de fuerza mayor. </w:t>
      </w:r>
    </w:p>
    <w:p w14:paraId="3660B0E0"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II. Lógica: a las medidas de seguridad administrativas y de protección que permiten la identificación y autenticación de las usuarias y los usuarios autorizados para el tratamiento de los datos personales de acuerdo con su función. </w:t>
      </w:r>
    </w:p>
    <w:p w14:paraId="366E43EA"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III. De desarrollo y aplicaciones: a las autorizaciones con las que contará la creación o tratamiento de los sistemas o bases de datos personales, según su </w:t>
      </w:r>
      <w:r w:rsidRPr="00D05B59">
        <w:rPr>
          <w:rFonts w:ascii="Palatino Linotype" w:hAnsi="Palatino Linotype" w:cs="Arial"/>
          <w:i/>
          <w:sz w:val="22"/>
          <w:szCs w:val="22"/>
          <w:lang w:val="es-ES" w:eastAsia="es-ES"/>
        </w:rPr>
        <w:lastRenderedPageBreak/>
        <w:t xml:space="preserve">importancia, para garantizar el adecuado desarrollo y uso de los datos, previendo la participación de las usuarias y usuarios, la separación de entornos, la metodología a seguir, ciclos de vida y gestión, así como las consideraciones especiales respecto de aplicaciones y pruebas. </w:t>
      </w:r>
    </w:p>
    <w:p w14:paraId="3F3026DF"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IV. De cifrado: a la implementación de algoritmos, claves, contraseñas, así como dispositivos concretos de protección que garanticen la seguridad de la información. </w:t>
      </w:r>
    </w:p>
    <w:p w14:paraId="35502210"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V. De comunicaciones y redes: a las medidas de seguridad técnicas, así como restricciones preventivas y de riesgos que deberán observar los usuarios de datos o sistemas de datos personales para acceder a dominios o cargar programas autorizados, así como para el manejo de telecomunicaciones. </w:t>
      </w:r>
    </w:p>
    <w:p w14:paraId="5E378C9D"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B. Niveles de seguridad: </w:t>
      </w:r>
    </w:p>
    <w:p w14:paraId="141A43D8"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 Básico: a las medidas generales de seguridad cuya aplicación es obligatoria para todos los sistemas y bases de datos personales. Dichas medidas corresponden a los siguientes aspectos: </w:t>
      </w:r>
    </w:p>
    <w:p w14:paraId="4EA98305"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a) Documento de seguridad.</w:t>
      </w:r>
    </w:p>
    <w:p w14:paraId="58143094"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 b) Funciones y obligaciones del personal que intervenga en el tratamiento de las bases o sistemas de datos personales. </w:t>
      </w:r>
    </w:p>
    <w:p w14:paraId="19988ED6"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c) Registro de incidencias. </w:t>
      </w:r>
    </w:p>
    <w:p w14:paraId="0CAC5EE5"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d) Identificación y autenticación. </w:t>
      </w:r>
    </w:p>
    <w:p w14:paraId="4BC11EAE"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e) Control de acceso. </w:t>
      </w:r>
    </w:p>
    <w:p w14:paraId="4AC2C87C"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f) Gestión de soportes. </w:t>
      </w:r>
    </w:p>
    <w:p w14:paraId="2D921DA2"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g) Copias de respaldo y recuperación. </w:t>
      </w:r>
    </w:p>
    <w:p w14:paraId="5987887F"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II. Medio: a la adopción de medidas de seguridad cuya aplicación corresponde a bases o sistemas de datos relativos a la comisión de infracciones administrativas o penales, hacienda pública, servicios financieros, datos patrimoniales, así como a los que contengan datos de carácter personal suficientes que permitan obtener una evaluación de la personalidad del individuo. </w:t>
      </w:r>
    </w:p>
    <w:p w14:paraId="3F8C5644"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Este nivel de seguridad, de manera adicional a las medidas calificadas como básicas, considera los aspectos siguientes: </w:t>
      </w:r>
    </w:p>
    <w:p w14:paraId="05D63849"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a) Responsable de seguridad. </w:t>
      </w:r>
    </w:p>
    <w:p w14:paraId="063A0A3C"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b) Auditoría. </w:t>
      </w:r>
    </w:p>
    <w:p w14:paraId="7BA75EBC"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c) Control de acceso físico. </w:t>
      </w:r>
    </w:p>
    <w:p w14:paraId="5EEA4250"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d) Pruebas con datos reales. </w:t>
      </w:r>
    </w:p>
    <w:p w14:paraId="5BFEE62E"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III. Alto: a las medidas de seguridad aplicables a bases o sistemas de datos concernientes a la ideología, religión, creencias, afiliación política, origen racial o étnico, salud, biométricos, genéticos o vida sexual, así como los que contengan </w:t>
      </w:r>
      <w:r w:rsidRPr="00D05B59">
        <w:rPr>
          <w:rFonts w:ascii="Palatino Linotype" w:hAnsi="Palatino Linotype" w:cs="Arial"/>
          <w:i/>
          <w:sz w:val="22"/>
          <w:szCs w:val="22"/>
          <w:lang w:val="es-ES" w:eastAsia="es-ES"/>
        </w:rPr>
        <w:lastRenderedPageBreak/>
        <w:t xml:space="preserve">datos recabados para fines policiales, de seguridad pública, prevención, investigación y persecución de delitos. </w:t>
      </w:r>
    </w:p>
    <w:p w14:paraId="5CD15ADC"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En estos casos, además de incorporar las medidas de nivel básico y medio, deberán completar las que se detallan a continuación: </w:t>
      </w:r>
    </w:p>
    <w:p w14:paraId="66979631"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a) Distribución de soportes. </w:t>
      </w:r>
    </w:p>
    <w:p w14:paraId="6069C1B2"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b) Registro de acceso. </w:t>
      </w:r>
    </w:p>
    <w:p w14:paraId="5438B915"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c) Telecomunicaciones. </w:t>
      </w:r>
    </w:p>
    <w:p w14:paraId="1F21384B"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Los diferentes niveles de seguridad serán establecidos atendiendo a las características propias de la información. Elementos a considerar para la adopción de medidas de seguridad y su naturaleza </w:t>
      </w:r>
    </w:p>
    <w:p w14:paraId="58794AAB"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b/>
          <w:i/>
          <w:sz w:val="22"/>
          <w:szCs w:val="22"/>
          <w:lang w:val="es-ES" w:eastAsia="es-ES"/>
        </w:rPr>
        <w:t>Artículo 45</w:t>
      </w:r>
      <w:r w:rsidRPr="00D05B59">
        <w:rPr>
          <w:rFonts w:ascii="Palatino Linotype" w:hAnsi="Palatino Linotype" w:cs="Arial"/>
          <w:i/>
          <w:sz w:val="22"/>
          <w:szCs w:val="22"/>
          <w:lang w:val="es-ES" w:eastAsia="es-ES"/>
        </w:rPr>
        <w:t xml:space="preserve">. Las medidas de seguridad adoptadas por el responsable considerarán: I. El riesgo inherente a los datos personales tratados. </w:t>
      </w:r>
    </w:p>
    <w:p w14:paraId="40326F84"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II. La sensibilidad de los datos personales tratados. </w:t>
      </w:r>
    </w:p>
    <w:p w14:paraId="69ECFC48"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III. El desarrollo tecnológico. </w:t>
      </w:r>
    </w:p>
    <w:p w14:paraId="4397547C"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IV. Las posibles consecuencias de una vulneración para las y los titulares. </w:t>
      </w:r>
    </w:p>
    <w:p w14:paraId="1F90FC54"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V. Las transferencias de datos personales que se realicen. </w:t>
      </w:r>
    </w:p>
    <w:p w14:paraId="182CEFD8"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VI. El número de titulares. </w:t>
      </w:r>
    </w:p>
    <w:p w14:paraId="0EF9F655"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VII. Las violaciones a la seguridad previas ocurridas en los sistemas de tratamiento. </w:t>
      </w:r>
    </w:p>
    <w:p w14:paraId="266BCB96"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VIII. El riesgo por el valor potencial cuantitativo o cualitativo que pudieran tener los datos personales tratados para una tercera persona no autorizada para su posesión. Actividades interrelacionadas para establecer y mantener las medidas de seguridad.</w:t>
      </w:r>
    </w:p>
    <w:p w14:paraId="106DEF85"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b/>
          <w:i/>
          <w:sz w:val="22"/>
          <w:szCs w:val="22"/>
          <w:lang w:val="es-ES" w:eastAsia="es-ES"/>
        </w:rPr>
        <w:t>Artículo 46</w:t>
      </w:r>
      <w:r w:rsidRPr="00D05B59">
        <w:rPr>
          <w:rFonts w:ascii="Palatino Linotype" w:hAnsi="Palatino Linotype" w:cs="Arial"/>
          <w:i/>
          <w:sz w:val="22"/>
          <w:szCs w:val="22"/>
          <w:lang w:val="es-ES" w:eastAsia="es-ES"/>
        </w:rPr>
        <w:t xml:space="preserve">. Para establecer y mantener las medidas de seguridad para la protección de los datos personales, el responsable realizará, al menos, las actividades interrelacionadas siguientes: </w:t>
      </w:r>
    </w:p>
    <w:p w14:paraId="648A735E"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 Crear políticas internas para la gestión y tratamiento de los datos personales, que tomen en cuenta el contexto en el que ocurren los tratamientos y el ciclo de vida de los datos personales, es decir, su obtención, uso y posterior supresión. </w:t>
      </w:r>
    </w:p>
    <w:p w14:paraId="2E78C3E0"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II. Definir las funciones y obligaciones del personal involucrado en el tratamiento de datos personales. </w:t>
      </w:r>
    </w:p>
    <w:p w14:paraId="69FF4356"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III. Elaborar un inventario de datos personales y de las bases y o sistemas de tratamiento. </w:t>
      </w:r>
    </w:p>
    <w:p w14:paraId="00C727B7"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14:paraId="734B596A"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lastRenderedPageBreak/>
        <w:t xml:space="preserve">V. Realizar un análisis de brecha, comparando las medidas de seguridad existentes contra las faltantes en la organización del responsable. </w:t>
      </w:r>
    </w:p>
    <w:p w14:paraId="2CB231B8"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VI. Elaborar un plan de trabajo para la implementación de las medidas de seguridad faltantes, así como las medidas para el cumplimiento cotidiano de las políticas de gestión y tratamiento de los datos personales. </w:t>
      </w:r>
    </w:p>
    <w:p w14:paraId="4B2A28C0"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VII. Monitorear y revisar de manera periódica las medidas de seguridad implementadas, así como las amenazas y vulnerabilidades a las que están sujetos los datos personales. </w:t>
      </w:r>
    </w:p>
    <w:p w14:paraId="2B6A1D7A"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VIII. Diseñar y aplicar diferentes niveles de capacitación del personal bajo su mando, dependiendo de sus roles y responsabilidades respecto del tratamiento de los datos personales. </w:t>
      </w:r>
    </w:p>
    <w:p w14:paraId="20F98EFD" w14:textId="77777777" w:rsidR="00380BC7" w:rsidRPr="00D05B59" w:rsidRDefault="00380BC7" w:rsidP="00380BC7">
      <w:pPr>
        <w:ind w:left="851" w:right="899"/>
        <w:jc w:val="both"/>
        <w:rPr>
          <w:rFonts w:ascii="Palatino Linotype" w:hAnsi="Palatino Linotype" w:cs="Arial"/>
          <w:b/>
          <w:i/>
          <w:sz w:val="22"/>
          <w:szCs w:val="22"/>
          <w:lang w:val="es-ES" w:eastAsia="es-ES"/>
        </w:rPr>
      </w:pPr>
      <w:r w:rsidRPr="00D05B59">
        <w:rPr>
          <w:rFonts w:ascii="Palatino Linotype" w:hAnsi="Palatino Linotype" w:cs="Arial"/>
          <w:b/>
          <w:i/>
          <w:sz w:val="22"/>
          <w:szCs w:val="22"/>
          <w:lang w:val="es-ES" w:eastAsia="es-ES"/>
        </w:rPr>
        <w:t>Exigibilidad de Documentos y Registros derivados de un Sistema de Gestión de la Protección de Datos.</w:t>
      </w:r>
    </w:p>
    <w:p w14:paraId="20EF4632"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b/>
          <w:i/>
          <w:sz w:val="22"/>
          <w:szCs w:val="22"/>
          <w:lang w:val="es-ES" w:eastAsia="es-ES"/>
        </w:rPr>
        <w:t>Artículo 47.</w:t>
      </w:r>
      <w:r w:rsidRPr="00D05B59">
        <w:rPr>
          <w:rFonts w:ascii="Palatino Linotype" w:hAnsi="Palatino Linotype" w:cs="Arial"/>
          <w:i/>
          <w:sz w:val="22"/>
          <w:szCs w:val="22"/>
          <w:lang w:val="es-ES" w:eastAsia="es-ES"/>
        </w:rPr>
        <w:t xml:space="preserve"> Las acciones relacionadas con las medidas de seguridad para el tratamiento de los datos personales serán documentadas y contenidas en un sistema de gestión. 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legales aplicables. </w:t>
      </w:r>
    </w:p>
    <w:p w14:paraId="1664AE2E"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Obligatoriedad del Documento de Seguridad </w:t>
      </w:r>
    </w:p>
    <w:p w14:paraId="2F7ACF29" w14:textId="77777777" w:rsidR="00380BC7" w:rsidRPr="00D05B59" w:rsidRDefault="00380BC7" w:rsidP="00380BC7">
      <w:pPr>
        <w:ind w:left="851" w:right="899"/>
        <w:jc w:val="both"/>
        <w:rPr>
          <w:rFonts w:ascii="Palatino Linotype" w:hAnsi="Palatino Linotype" w:cs="Arial"/>
          <w:b/>
          <w:i/>
          <w:sz w:val="22"/>
          <w:szCs w:val="22"/>
          <w:lang w:val="es-ES" w:eastAsia="es-ES"/>
        </w:rPr>
      </w:pPr>
      <w:r w:rsidRPr="00D05B59">
        <w:rPr>
          <w:rFonts w:ascii="Palatino Linotype" w:hAnsi="Palatino Linotype" w:cs="Arial"/>
          <w:b/>
          <w:i/>
          <w:sz w:val="22"/>
          <w:szCs w:val="22"/>
          <w:lang w:val="es-ES" w:eastAsia="es-ES"/>
        </w:rPr>
        <w:t xml:space="preserve">Artículo 48. Los sujetos obligados elaborarán y aprobarán un documento que contenga las medidas de seguridad aplicables a las bases y sistemas de datos personales, tomando en cuenta los estándares internacionales de seguridad, la presente </w:t>
      </w:r>
      <w:proofErr w:type="gramStart"/>
      <w:r w:rsidRPr="00D05B59">
        <w:rPr>
          <w:rFonts w:ascii="Palatino Linotype" w:hAnsi="Palatino Linotype" w:cs="Arial"/>
          <w:b/>
          <w:i/>
          <w:sz w:val="22"/>
          <w:szCs w:val="22"/>
          <w:lang w:val="es-ES" w:eastAsia="es-ES"/>
        </w:rPr>
        <w:t>Ley</w:t>
      </w:r>
      <w:proofErr w:type="gramEnd"/>
      <w:r w:rsidRPr="00D05B59">
        <w:rPr>
          <w:rFonts w:ascii="Palatino Linotype" w:hAnsi="Palatino Linotype" w:cs="Arial"/>
          <w:b/>
          <w:i/>
          <w:sz w:val="22"/>
          <w:szCs w:val="22"/>
          <w:lang w:val="es-ES" w:eastAsia="es-ES"/>
        </w:rPr>
        <w:t xml:space="preserve"> así como los lineamientos que se expidan. El documento de seguridad será de observancia obligatoria para los responsables, encargados y demás personas que realizan algún tipo de tratamiento a los datos personales. A elección del sujeto obligado, éste podrá ser único e incluir todos los sistemas y bases de datos personales que posea, por unidad administrativa en que se incluyan los sistemas y bases de datos personales en custodia, individualizado para cada sistema, o mixto. </w:t>
      </w:r>
    </w:p>
    <w:p w14:paraId="156A376E"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b/>
          <w:i/>
          <w:sz w:val="22"/>
          <w:szCs w:val="22"/>
          <w:lang w:val="es-ES" w:eastAsia="es-ES"/>
        </w:rPr>
        <w:t>Contenido del Documento de Seguridad</w:t>
      </w:r>
      <w:r w:rsidRPr="00D05B59">
        <w:rPr>
          <w:rFonts w:ascii="Palatino Linotype" w:hAnsi="Palatino Linotype" w:cs="Arial"/>
          <w:i/>
          <w:sz w:val="22"/>
          <w:szCs w:val="22"/>
          <w:lang w:val="es-ES" w:eastAsia="es-ES"/>
        </w:rPr>
        <w:t xml:space="preserve"> </w:t>
      </w:r>
    </w:p>
    <w:p w14:paraId="26DD4124"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b/>
          <w:i/>
          <w:sz w:val="22"/>
          <w:szCs w:val="22"/>
          <w:lang w:val="es-ES" w:eastAsia="es-ES"/>
        </w:rPr>
        <w:t>Artículo 49. El documento de seguridad deberá contener como mínimo lo siguiente:</w:t>
      </w:r>
      <w:r w:rsidRPr="00D05B59">
        <w:rPr>
          <w:rFonts w:ascii="Palatino Linotype" w:hAnsi="Palatino Linotype" w:cs="Arial"/>
          <w:i/>
          <w:sz w:val="22"/>
          <w:szCs w:val="22"/>
          <w:lang w:val="es-ES" w:eastAsia="es-ES"/>
        </w:rPr>
        <w:t xml:space="preserve"> </w:t>
      </w:r>
    </w:p>
    <w:p w14:paraId="1118D52D"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 Respecto de los sistemas de datos personales: </w:t>
      </w:r>
    </w:p>
    <w:p w14:paraId="00B6E3B0"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a) El nombre.</w:t>
      </w:r>
    </w:p>
    <w:p w14:paraId="03497D3B"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lastRenderedPageBreak/>
        <w:t xml:space="preserve"> b) El nombre, cargo y adscripción del administrador de cada sistema y base de datos.</w:t>
      </w:r>
    </w:p>
    <w:p w14:paraId="3555ECF1"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 c) Las funciones y obligaciones del responsable, encargado o encargados y todas las personas que traten datos personales. </w:t>
      </w:r>
    </w:p>
    <w:p w14:paraId="3C6FBAD8" w14:textId="77777777" w:rsidR="00380BC7" w:rsidRPr="00D05B59" w:rsidRDefault="00380BC7" w:rsidP="00380BC7">
      <w:pPr>
        <w:ind w:left="851" w:right="899"/>
        <w:jc w:val="both"/>
        <w:rPr>
          <w:rFonts w:ascii="Palatino Linotype" w:hAnsi="Palatino Linotype" w:cs="Arial"/>
          <w:b/>
          <w:i/>
          <w:sz w:val="22"/>
          <w:szCs w:val="22"/>
          <w:lang w:val="es-ES" w:eastAsia="es-ES"/>
        </w:rPr>
      </w:pPr>
      <w:r w:rsidRPr="00D05B59">
        <w:rPr>
          <w:rFonts w:ascii="Palatino Linotype" w:hAnsi="Palatino Linotype" w:cs="Arial"/>
          <w:b/>
          <w:i/>
          <w:sz w:val="22"/>
          <w:szCs w:val="22"/>
          <w:lang w:val="es-ES" w:eastAsia="es-ES"/>
        </w:rPr>
        <w:t xml:space="preserve">d) El folio del registro del sistema y base de datos. </w:t>
      </w:r>
    </w:p>
    <w:p w14:paraId="255FC122"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b/>
          <w:i/>
          <w:sz w:val="22"/>
          <w:szCs w:val="22"/>
          <w:lang w:val="es-ES" w:eastAsia="es-ES"/>
        </w:rPr>
        <w:t>e) El inventario o la especificación detallada del tipo de datos personales contenidos</w:t>
      </w:r>
      <w:r w:rsidRPr="00D05B59">
        <w:rPr>
          <w:rFonts w:ascii="Palatino Linotype" w:hAnsi="Palatino Linotype" w:cs="Arial"/>
          <w:i/>
          <w:sz w:val="22"/>
          <w:szCs w:val="22"/>
          <w:lang w:val="es-ES" w:eastAsia="es-ES"/>
        </w:rPr>
        <w:t>.</w:t>
      </w:r>
    </w:p>
    <w:p w14:paraId="6580EA40"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b/>
          <w:i/>
          <w:sz w:val="22"/>
          <w:szCs w:val="22"/>
          <w:lang w:val="es-ES" w:eastAsia="es-ES"/>
        </w:rPr>
        <w:t>f) La estructura y descripción de los sistemas y bases de datos personales, lo cual consiste en precisar y describir el tipo de soporte, así como las características del lugar donde se resguardan</w:t>
      </w:r>
      <w:r w:rsidRPr="00D05B59">
        <w:rPr>
          <w:rFonts w:ascii="Palatino Linotype" w:hAnsi="Palatino Linotype" w:cs="Arial"/>
          <w:i/>
          <w:sz w:val="22"/>
          <w:szCs w:val="22"/>
          <w:lang w:val="es-ES" w:eastAsia="es-ES"/>
        </w:rPr>
        <w:t xml:space="preserve">. </w:t>
      </w:r>
    </w:p>
    <w:p w14:paraId="1DA77C3C"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II. Respecto de las medidas de seguridad implementadas deberá incluir lo siguiente: </w:t>
      </w:r>
    </w:p>
    <w:p w14:paraId="3D55BB40" w14:textId="77777777" w:rsidR="00380BC7" w:rsidRPr="00D05B59" w:rsidRDefault="00380BC7" w:rsidP="00380BC7">
      <w:pPr>
        <w:ind w:left="851" w:right="899"/>
        <w:jc w:val="both"/>
        <w:rPr>
          <w:rFonts w:ascii="Palatino Linotype" w:hAnsi="Palatino Linotype" w:cs="Arial"/>
          <w:b/>
          <w:i/>
          <w:sz w:val="22"/>
          <w:szCs w:val="22"/>
          <w:lang w:val="es-ES" w:eastAsia="es-ES"/>
        </w:rPr>
      </w:pPr>
      <w:r w:rsidRPr="00D05B59">
        <w:rPr>
          <w:rFonts w:ascii="Palatino Linotype" w:hAnsi="Palatino Linotype" w:cs="Arial"/>
          <w:i/>
          <w:sz w:val="22"/>
          <w:szCs w:val="22"/>
          <w:lang w:val="es-ES" w:eastAsia="es-ES"/>
        </w:rPr>
        <w:t xml:space="preserve">a) </w:t>
      </w:r>
      <w:r w:rsidRPr="00D05B59">
        <w:rPr>
          <w:rFonts w:ascii="Palatino Linotype" w:hAnsi="Palatino Linotype" w:cs="Arial"/>
          <w:b/>
          <w:i/>
          <w:sz w:val="22"/>
          <w:szCs w:val="22"/>
          <w:lang w:val="es-ES" w:eastAsia="es-ES"/>
        </w:rPr>
        <w:t xml:space="preserve">Transferencia y remisiones. </w:t>
      </w:r>
    </w:p>
    <w:p w14:paraId="1CFD5B99" w14:textId="77777777" w:rsidR="00380BC7" w:rsidRPr="00D05B59" w:rsidRDefault="00380BC7" w:rsidP="00380BC7">
      <w:pPr>
        <w:ind w:left="851" w:right="899"/>
        <w:jc w:val="both"/>
        <w:rPr>
          <w:rFonts w:ascii="Palatino Linotype" w:hAnsi="Palatino Linotype" w:cs="Arial"/>
          <w:b/>
          <w:i/>
          <w:sz w:val="22"/>
          <w:szCs w:val="22"/>
          <w:lang w:val="es-ES" w:eastAsia="es-ES"/>
        </w:rPr>
      </w:pPr>
      <w:r w:rsidRPr="00D05B59">
        <w:rPr>
          <w:rFonts w:ascii="Palatino Linotype" w:hAnsi="Palatino Linotype" w:cs="Arial"/>
          <w:b/>
          <w:i/>
          <w:sz w:val="22"/>
          <w:szCs w:val="22"/>
          <w:lang w:val="es-ES" w:eastAsia="es-ES"/>
        </w:rPr>
        <w:t xml:space="preserve">b) Resguardo de soportes físicos y electrónicos. </w:t>
      </w:r>
    </w:p>
    <w:p w14:paraId="3EAFABCA" w14:textId="77777777" w:rsidR="00380BC7" w:rsidRPr="00D05B59" w:rsidRDefault="00380BC7" w:rsidP="00380BC7">
      <w:pPr>
        <w:ind w:left="851" w:right="899"/>
        <w:jc w:val="both"/>
        <w:rPr>
          <w:rFonts w:ascii="Palatino Linotype" w:hAnsi="Palatino Linotype" w:cs="Arial"/>
          <w:b/>
          <w:i/>
          <w:sz w:val="22"/>
          <w:szCs w:val="22"/>
          <w:lang w:val="es-ES" w:eastAsia="es-ES"/>
        </w:rPr>
      </w:pPr>
      <w:r w:rsidRPr="00D05B59">
        <w:rPr>
          <w:rFonts w:ascii="Palatino Linotype" w:hAnsi="Palatino Linotype" w:cs="Arial"/>
          <w:b/>
          <w:i/>
          <w:sz w:val="22"/>
          <w:szCs w:val="22"/>
          <w:lang w:val="es-ES" w:eastAsia="es-ES"/>
        </w:rPr>
        <w:t xml:space="preserve">c) Bitácoras para accesos, operación cotidiana y violaciones a la seguridad de los datos personales. </w:t>
      </w:r>
    </w:p>
    <w:p w14:paraId="745E287D" w14:textId="77777777" w:rsidR="00380BC7" w:rsidRPr="00D05B59" w:rsidRDefault="00380BC7" w:rsidP="00380BC7">
      <w:pPr>
        <w:ind w:left="851" w:right="899"/>
        <w:jc w:val="both"/>
        <w:rPr>
          <w:rFonts w:ascii="Palatino Linotype" w:hAnsi="Palatino Linotype" w:cs="Arial"/>
          <w:b/>
          <w:i/>
          <w:sz w:val="22"/>
          <w:szCs w:val="22"/>
          <w:lang w:val="es-ES" w:eastAsia="es-ES"/>
        </w:rPr>
      </w:pPr>
      <w:r w:rsidRPr="00D05B59">
        <w:rPr>
          <w:rFonts w:ascii="Palatino Linotype" w:hAnsi="Palatino Linotype" w:cs="Arial"/>
          <w:b/>
          <w:i/>
          <w:sz w:val="22"/>
          <w:szCs w:val="22"/>
          <w:lang w:val="es-ES" w:eastAsia="es-ES"/>
        </w:rPr>
        <w:t xml:space="preserve">d) El análisis de riesgos. </w:t>
      </w:r>
    </w:p>
    <w:p w14:paraId="5B4447E2" w14:textId="77777777" w:rsidR="00380BC7" w:rsidRPr="00D05B59" w:rsidRDefault="00380BC7" w:rsidP="00380BC7">
      <w:pPr>
        <w:ind w:left="851" w:right="899"/>
        <w:jc w:val="both"/>
        <w:rPr>
          <w:rFonts w:ascii="Palatino Linotype" w:hAnsi="Palatino Linotype" w:cs="Arial"/>
          <w:b/>
          <w:i/>
          <w:sz w:val="22"/>
          <w:szCs w:val="22"/>
          <w:lang w:val="es-ES" w:eastAsia="es-ES"/>
        </w:rPr>
      </w:pPr>
      <w:r w:rsidRPr="00D05B59">
        <w:rPr>
          <w:rFonts w:ascii="Palatino Linotype" w:hAnsi="Palatino Linotype" w:cs="Arial"/>
          <w:b/>
          <w:i/>
          <w:sz w:val="22"/>
          <w:szCs w:val="22"/>
          <w:lang w:val="es-ES" w:eastAsia="es-ES"/>
        </w:rPr>
        <w:t xml:space="preserve">e) El análisis de brecha. </w:t>
      </w:r>
    </w:p>
    <w:p w14:paraId="65868855" w14:textId="77777777" w:rsidR="00380BC7" w:rsidRPr="00D05B59" w:rsidRDefault="00380BC7" w:rsidP="00380BC7">
      <w:pPr>
        <w:ind w:left="851" w:right="899"/>
        <w:jc w:val="both"/>
        <w:rPr>
          <w:rFonts w:ascii="Palatino Linotype" w:hAnsi="Palatino Linotype" w:cs="Arial"/>
          <w:b/>
          <w:i/>
          <w:sz w:val="22"/>
          <w:szCs w:val="22"/>
          <w:lang w:val="es-ES" w:eastAsia="es-ES"/>
        </w:rPr>
      </w:pPr>
      <w:r w:rsidRPr="00D05B59">
        <w:rPr>
          <w:rFonts w:ascii="Palatino Linotype" w:hAnsi="Palatino Linotype" w:cs="Arial"/>
          <w:b/>
          <w:i/>
          <w:sz w:val="22"/>
          <w:szCs w:val="22"/>
          <w:lang w:val="es-ES" w:eastAsia="es-ES"/>
        </w:rPr>
        <w:t>f) Gestión de incidentes.</w:t>
      </w:r>
    </w:p>
    <w:p w14:paraId="75291FE9" w14:textId="77777777" w:rsidR="00380BC7" w:rsidRPr="00D05B59" w:rsidRDefault="00380BC7" w:rsidP="00380BC7">
      <w:pPr>
        <w:ind w:left="851" w:right="899"/>
        <w:jc w:val="both"/>
        <w:rPr>
          <w:rFonts w:ascii="Palatino Linotype" w:hAnsi="Palatino Linotype" w:cs="Arial"/>
          <w:b/>
          <w:i/>
          <w:sz w:val="22"/>
          <w:szCs w:val="22"/>
          <w:lang w:val="es-ES" w:eastAsia="es-ES"/>
        </w:rPr>
      </w:pPr>
      <w:r w:rsidRPr="00D05B59">
        <w:rPr>
          <w:rFonts w:ascii="Palatino Linotype" w:hAnsi="Palatino Linotype" w:cs="Arial"/>
          <w:b/>
          <w:i/>
          <w:sz w:val="22"/>
          <w:szCs w:val="22"/>
          <w:lang w:val="es-ES" w:eastAsia="es-ES"/>
        </w:rPr>
        <w:t xml:space="preserve"> g) Acceso a las instalaciones.</w:t>
      </w:r>
    </w:p>
    <w:p w14:paraId="45BA1139" w14:textId="77777777" w:rsidR="00380BC7" w:rsidRPr="00D05B59" w:rsidRDefault="00380BC7" w:rsidP="00380BC7">
      <w:pPr>
        <w:ind w:left="851" w:right="899"/>
        <w:jc w:val="both"/>
        <w:rPr>
          <w:rFonts w:ascii="Palatino Linotype" w:hAnsi="Palatino Linotype" w:cs="Arial"/>
          <w:b/>
          <w:i/>
          <w:sz w:val="22"/>
          <w:szCs w:val="22"/>
          <w:lang w:val="es-ES" w:eastAsia="es-ES"/>
        </w:rPr>
      </w:pPr>
      <w:r w:rsidRPr="00D05B59">
        <w:rPr>
          <w:rFonts w:ascii="Palatino Linotype" w:hAnsi="Palatino Linotype" w:cs="Arial"/>
          <w:b/>
          <w:i/>
          <w:sz w:val="22"/>
          <w:szCs w:val="22"/>
          <w:lang w:val="es-ES" w:eastAsia="es-ES"/>
        </w:rPr>
        <w:t xml:space="preserve">h) Identificación y autenticación. </w:t>
      </w:r>
    </w:p>
    <w:p w14:paraId="0E33A0FC"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b/>
          <w:i/>
          <w:sz w:val="22"/>
          <w:szCs w:val="22"/>
          <w:lang w:val="es-ES" w:eastAsia="es-ES"/>
        </w:rPr>
        <w:t>i) Procedimientos de respaldo y recuperación de datos</w:t>
      </w:r>
      <w:r w:rsidRPr="00D05B59">
        <w:rPr>
          <w:rFonts w:ascii="Palatino Linotype" w:hAnsi="Palatino Linotype" w:cs="Arial"/>
          <w:i/>
          <w:sz w:val="22"/>
          <w:szCs w:val="22"/>
          <w:lang w:val="es-ES" w:eastAsia="es-ES"/>
        </w:rPr>
        <w:t xml:space="preserve">. </w:t>
      </w:r>
    </w:p>
    <w:p w14:paraId="6DB39EE3"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j) Plan de contingencia. </w:t>
      </w:r>
    </w:p>
    <w:p w14:paraId="1EE36546" w14:textId="77777777" w:rsidR="00380BC7" w:rsidRPr="00D05B59" w:rsidRDefault="00380BC7" w:rsidP="00380BC7">
      <w:pPr>
        <w:ind w:left="851" w:right="899"/>
        <w:jc w:val="both"/>
        <w:rPr>
          <w:rFonts w:ascii="Palatino Linotype" w:hAnsi="Palatino Linotype" w:cs="Arial"/>
          <w:b/>
          <w:i/>
          <w:sz w:val="22"/>
          <w:szCs w:val="22"/>
          <w:lang w:val="es-ES" w:eastAsia="es-ES"/>
        </w:rPr>
      </w:pPr>
      <w:r w:rsidRPr="00D05B59">
        <w:rPr>
          <w:rFonts w:ascii="Palatino Linotype" w:hAnsi="Palatino Linotype" w:cs="Arial"/>
          <w:b/>
          <w:i/>
          <w:sz w:val="22"/>
          <w:szCs w:val="22"/>
          <w:lang w:val="es-ES" w:eastAsia="es-ES"/>
        </w:rPr>
        <w:t xml:space="preserve">k) Auditorías. </w:t>
      </w:r>
    </w:p>
    <w:p w14:paraId="14B0FD2F" w14:textId="77777777" w:rsidR="00380BC7" w:rsidRPr="00D05B59" w:rsidRDefault="00380BC7" w:rsidP="00380BC7">
      <w:pPr>
        <w:ind w:left="851" w:right="899"/>
        <w:jc w:val="both"/>
        <w:rPr>
          <w:rFonts w:ascii="Palatino Linotype" w:hAnsi="Palatino Linotype" w:cs="Arial"/>
          <w:b/>
          <w:i/>
          <w:sz w:val="22"/>
          <w:szCs w:val="22"/>
          <w:lang w:val="es-ES" w:eastAsia="es-ES"/>
        </w:rPr>
      </w:pPr>
      <w:r w:rsidRPr="00D05B59">
        <w:rPr>
          <w:rFonts w:ascii="Palatino Linotype" w:hAnsi="Palatino Linotype" w:cs="Arial"/>
          <w:b/>
          <w:i/>
          <w:sz w:val="22"/>
          <w:szCs w:val="22"/>
          <w:lang w:val="es-ES" w:eastAsia="es-ES"/>
        </w:rPr>
        <w:t xml:space="preserve">l) Supresión y borrado seguro de datos. </w:t>
      </w:r>
    </w:p>
    <w:p w14:paraId="64EDA3E0"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b/>
          <w:i/>
          <w:sz w:val="22"/>
          <w:szCs w:val="22"/>
          <w:lang w:val="es-ES" w:eastAsia="es-ES"/>
        </w:rPr>
        <w:t>m) El plan de trabajo</w:t>
      </w:r>
      <w:r w:rsidRPr="00D05B59">
        <w:rPr>
          <w:rFonts w:ascii="Palatino Linotype" w:hAnsi="Palatino Linotype" w:cs="Arial"/>
          <w:i/>
          <w:sz w:val="22"/>
          <w:szCs w:val="22"/>
          <w:lang w:val="es-ES" w:eastAsia="es-ES"/>
        </w:rPr>
        <w:t xml:space="preserve">. </w:t>
      </w:r>
    </w:p>
    <w:p w14:paraId="0BB4C43C"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b/>
          <w:i/>
          <w:sz w:val="22"/>
          <w:szCs w:val="22"/>
          <w:lang w:val="es-ES" w:eastAsia="es-ES"/>
        </w:rPr>
        <w:t>n) Los mecanismos de monitoreo y revisión de las medidas de seguridad</w:t>
      </w:r>
      <w:r w:rsidRPr="00D05B59">
        <w:rPr>
          <w:rFonts w:ascii="Palatino Linotype" w:hAnsi="Palatino Linotype" w:cs="Arial"/>
          <w:i/>
          <w:sz w:val="22"/>
          <w:szCs w:val="22"/>
          <w:lang w:val="es-ES" w:eastAsia="es-ES"/>
        </w:rPr>
        <w:t>. o) El programa general de capacitación. Revisión y actualización del documento de seguridad.</w:t>
      </w:r>
    </w:p>
    <w:p w14:paraId="30D8EEF1"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 Artículo 50. El responsable revisará el documento de seguridad de manera periódica y actualizarlo cuando ocurran los eventos siguientes: </w:t>
      </w:r>
    </w:p>
    <w:p w14:paraId="0D534F6C"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 Se produzcan modificaciones sustanciales al tratamiento de datos personales que deriven en un cambio en el nivel de riesgo. </w:t>
      </w:r>
    </w:p>
    <w:p w14:paraId="501A9ABB"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 xml:space="preserve">II. Como resultado de un proceso de mejora continua, derivado del monitoreo y revisión del sistema de gestión. </w:t>
      </w:r>
    </w:p>
    <w:p w14:paraId="27AED020"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t>III. Como resultado de un proceso de mejora para mitigar el impacto de una vulneración a la seguridad ocurrida.</w:t>
      </w:r>
    </w:p>
    <w:p w14:paraId="78732D72" w14:textId="77777777" w:rsidR="00380BC7" w:rsidRPr="00D05B59" w:rsidRDefault="00380BC7" w:rsidP="00380BC7">
      <w:pPr>
        <w:ind w:left="851" w:right="899"/>
        <w:jc w:val="both"/>
        <w:rPr>
          <w:rFonts w:ascii="Palatino Linotype" w:hAnsi="Palatino Linotype" w:cs="Arial"/>
          <w:i/>
          <w:sz w:val="22"/>
          <w:szCs w:val="22"/>
          <w:lang w:val="es-ES" w:eastAsia="es-ES"/>
        </w:rPr>
      </w:pPr>
      <w:r w:rsidRPr="00D05B59">
        <w:rPr>
          <w:rFonts w:ascii="Palatino Linotype" w:hAnsi="Palatino Linotype" w:cs="Arial"/>
          <w:i/>
          <w:sz w:val="22"/>
          <w:szCs w:val="22"/>
          <w:lang w:val="es-ES" w:eastAsia="es-ES"/>
        </w:rPr>
        <w:lastRenderedPageBreak/>
        <w:t xml:space="preserve"> IV. Implementación de acciones correctivas y preventivas ante una violación de la seguridad de los datos personales</w:t>
      </w:r>
      <w:proofErr w:type="gramStart"/>
      <w:r w:rsidRPr="00D05B59">
        <w:rPr>
          <w:rFonts w:ascii="Palatino Linotype" w:hAnsi="Palatino Linotype" w:cs="Arial"/>
          <w:i/>
          <w:sz w:val="22"/>
          <w:szCs w:val="22"/>
          <w:lang w:val="es-ES" w:eastAsia="es-ES"/>
        </w:rPr>
        <w:t>.”(</w:t>
      </w:r>
      <w:proofErr w:type="gramEnd"/>
      <w:r w:rsidRPr="00D05B59">
        <w:rPr>
          <w:rFonts w:ascii="Palatino Linotype" w:hAnsi="Palatino Linotype" w:cs="Arial"/>
          <w:i/>
          <w:sz w:val="22"/>
          <w:szCs w:val="22"/>
          <w:lang w:val="es-ES" w:eastAsia="es-ES"/>
        </w:rPr>
        <w:t>Sic)</w:t>
      </w:r>
    </w:p>
    <w:p w14:paraId="75A355BD" w14:textId="77777777" w:rsidR="00380BC7" w:rsidRPr="00D05B59" w:rsidRDefault="00380BC7" w:rsidP="00380BC7">
      <w:pPr>
        <w:tabs>
          <w:tab w:val="left" w:pos="709"/>
        </w:tabs>
        <w:spacing w:before="240" w:after="240" w:line="360" w:lineRule="auto"/>
        <w:jc w:val="both"/>
        <w:rPr>
          <w:rFonts w:ascii="Palatino Linotype" w:hAnsi="Palatino Linotype" w:cs="Arial"/>
          <w:lang w:val="es-ES" w:eastAsia="es-ES"/>
        </w:rPr>
      </w:pPr>
      <w:r w:rsidRPr="00D05B59">
        <w:rPr>
          <w:rFonts w:ascii="Palatino Linotype" w:hAnsi="Palatino Linotype" w:cs="Arial"/>
          <w:lang w:val="es-ES" w:eastAsia="es-ES"/>
        </w:rPr>
        <w:t>Preceptos legales en donde se establece, que el documento de seguridad es el instrumento en donde se establecen las medidas de seguridad adoptadas por el responsable del tratamiento de los datos personales, con la finalidad de avalar el secreto, probidad y tratamiento de los datos personales contenida en los sistemas y base de datos creados por los Sujeto</w:t>
      </w:r>
      <w:r w:rsidR="002574E7" w:rsidRPr="00D05B59">
        <w:rPr>
          <w:rFonts w:ascii="Palatino Linotype" w:hAnsi="Palatino Linotype" w:cs="Arial"/>
          <w:lang w:val="es-ES" w:eastAsia="es-ES"/>
        </w:rPr>
        <w:t>s</w:t>
      </w:r>
      <w:r w:rsidRPr="00D05B59">
        <w:rPr>
          <w:rFonts w:ascii="Palatino Linotype" w:hAnsi="Palatino Linotype" w:cs="Arial"/>
          <w:lang w:val="es-ES" w:eastAsia="es-ES"/>
        </w:rPr>
        <w:t xml:space="preserve"> Obligado</w:t>
      </w:r>
      <w:r w:rsidR="002574E7" w:rsidRPr="00D05B59">
        <w:rPr>
          <w:rFonts w:ascii="Palatino Linotype" w:hAnsi="Palatino Linotype" w:cs="Arial"/>
          <w:lang w:val="es-ES" w:eastAsia="es-ES"/>
        </w:rPr>
        <w:t>s</w:t>
      </w:r>
      <w:r w:rsidRPr="00D05B59">
        <w:rPr>
          <w:rFonts w:ascii="Palatino Linotype" w:hAnsi="Palatino Linotype" w:cs="Arial"/>
          <w:lang w:val="es-ES" w:eastAsia="es-ES"/>
        </w:rPr>
        <w:t xml:space="preserve"> en el cumplimiento de sus obligaciones. </w:t>
      </w:r>
    </w:p>
    <w:p w14:paraId="161D2016" w14:textId="77777777" w:rsidR="00380BC7" w:rsidRPr="00D05B59" w:rsidRDefault="00380BC7" w:rsidP="00380BC7">
      <w:pPr>
        <w:spacing w:before="240" w:after="240" w:line="360" w:lineRule="auto"/>
        <w:jc w:val="both"/>
        <w:rPr>
          <w:rFonts w:ascii="Palatino Linotype" w:hAnsi="Palatino Linotype" w:cs="Arial"/>
          <w:b/>
          <w:i/>
          <w:sz w:val="22"/>
          <w:szCs w:val="22"/>
          <w:lang w:val="es-ES_tradnl" w:eastAsia="es-ES"/>
        </w:rPr>
      </w:pPr>
      <w:r w:rsidRPr="00D05B59">
        <w:rPr>
          <w:rFonts w:ascii="Palatino Linotype" w:hAnsi="Palatino Linotype" w:cs="Arial"/>
          <w:lang w:val="es-ES" w:eastAsia="es-ES"/>
        </w:rPr>
        <w:t xml:space="preserve">Por otra parte, la Ley de Protección de Datos Personales, referida, señala como obligatoriedad por parte de los Sujetos Obligados el de emitir y aprobar su documento de seguridad para el tratamiento de los datos personales que recabe en cumplimiento de sus funciones que se encuentren contenidos en sus sistemas o bases de datos; </w:t>
      </w:r>
      <w:r w:rsidR="002574E7" w:rsidRPr="00D05B59">
        <w:rPr>
          <w:rFonts w:ascii="Palatino Linotype" w:hAnsi="Palatino Linotype" w:cs="Arial"/>
          <w:lang w:val="es-ES" w:eastAsia="es-ES"/>
        </w:rPr>
        <w:t xml:space="preserve">asimismo es necesario </w:t>
      </w:r>
      <w:r w:rsidRPr="00D05B59">
        <w:rPr>
          <w:rFonts w:ascii="Palatino Linotype" w:hAnsi="Palatino Linotype"/>
          <w:lang w:val="es-ES" w:eastAsia="es-ES"/>
        </w:rPr>
        <w:t>reiterar que</w:t>
      </w:r>
      <w:r w:rsidR="002574E7" w:rsidRPr="00D05B59">
        <w:rPr>
          <w:rFonts w:ascii="Palatino Linotype" w:hAnsi="Palatino Linotype"/>
          <w:lang w:val="es-ES" w:eastAsia="es-ES"/>
        </w:rPr>
        <w:t xml:space="preserve"> como se citó en líneas anteriores, dicho soporte documental</w:t>
      </w:r>
      <w:r w:rsidRPr="00D05B59">
        <w:rPr>
          <w:rFonts w:ascii="Palatino Linotype" w:hAnsi="Palatino Linotype"/>
          <w:lang w:val="es-ES" w:eastAsia="es-ES"/>
        </w:rPr>
        <w:t xml:space="preserve">, contendrá las medidas de seguridad aplicables a las bases y sistemas de datos personales, en ese contexto, resulta aplicable lo </w:t>
      </w:r>
      <w:r w:rsidRPr="00D05B59">
        <w:rPr>
          <w:rFonts w:ascii="Palatino Linotype" w:eastAsia="Calibri" w:hAnsi="Palatino Linotype" w:cs="Arial"/>
          <w:lang w:val="es-ES" w:eastAsia="es-ES"/>
        </w:rPr>
        <w:t>dispuesto por el artículo 43 de la Ley de Protección de Datos Personales</w:t>
      </w:r>
      <w:r w:rsidR="002574E7" w:rsidRPr="00D05B59">
        <w:rPr>
          <w:rFonts w:ascii="Palatino Linotype" w:eastAsia="Calibri" w:hAnsi="Palatino Linotype" w:cs="Arial"/>
          <w:lang w:val="es-ES" w:eastAsia="es-ES"/>
        </w:rPr>
        <w:t xml:space="preserve"> local</w:t>
      </w:r>
      <w:r w:rsidRPr="00D05B59">
        <w:rPr>
          <w:rFonts w:ascii="Palatino Linotype" w:eastAsia="Calibri" w:hAnsi="Palatino Linotype" w:cs="Arial"/>
          <w:lang w:val="es-ES" w:eastAsia="es-ES"/>
        </w:rPr>
        <w:t xml:space="preserve">, </w:t>
      </w:r>
      <w:r w:rsidR="002574E7" w:rsidRPr="00D05B59">
        <w:rPr>
          <w:rFonts w:ascii="Palatino Linotype" w:hAnsi="Palatino Linotype" w:cs="Arial"/>
          <w:sz w:val="22"/>
          <w:szCs w:val="22"/>
          <w:lang w:val="es-ES_tradnl" w:eastAsia="es-ES"/>
        </w:rPr>
        <w:t xml:space="preserve">por lo tanto, </w:t>
      </w:r>
      <w:r w:rsidRPr="00D05B59">
        <w:rPr>
          <w:rFonts w:ascii="Palatino Linotype" w:eastAsia="Calibri" w:hAnsi="Palatino Linotype" w:cs="Arial"/>
          <w:lang w:val="es-ES" w:eastAsia="es-ES"/>
        </w:rPr>
        <w:t>se actualiza el supuesto de restricción de acceso a la información pública que contempla el artículo 91 de la Ley de Transparencia y Acceso a la Información Pública del Estado de México y Municipios</w:t>
      </w:r>
      <w:r w:rsidRPr="00D05B59">
        <w:rPr>
          <w:rFonts w:ascii="Palatino Linotype" w:eastAsia="Calibri" w:hAnsi="Palatino Linotype" w:cs="Arial"/>
          <w:vertAlign w:val="superscript"/>
          <w:lang w:val="es-ES" w:eastAsia="es-ES"/>
        </w:rPr>
        <w:footnoteReference w:id="3"/>
      </w:r>
      <w:r w:rsidRPr="00D05B59">
        <w:rPr>
          <w:rFonts w:ascii="Palatino Linotype" w:eastAsia="Calibri" w:hAnsi="Palatino Linotype" w:cs="Arial"/>
          <w:lang w:val="es-ES" w:eastAsia="es-ES"/>
        </w:rPr>
        <w:t xml:space="preserve">, aunado a lo que señala el artículo 143, penúltimo párrafo de la misma Ley, que a la letra dice: </w:t>
      </w:r>
    </w:p>
    <w:p w14:paraId="7664992C" w14:textId="77777777" w:rsidR="00380BC7" w:rsidRPr="00D05B59" w:rsidRDefault="00380BC7" w:rsidP="00380BC7">
      <w:pPr>
        <w:tabs>
          <w:tab w:val="left" w:pos="851"/>
        </w:tabs>
        <w:spacing w:before="120" w:after="120"/>
        <w:ind w:left="851" w:right="902"/>
        <w:jc w:val="both"/>
        <w:rPr>
          <w:rFonts w:ascii="Palatino Linotype" w:hAnsi="Palatino Linotype" w:cs="Arial"/>
          <w:i/>
          <w:sz w:val="22"/>
          <w:szCs w:val="22"/>
          <w:lang w:val="es-ES_tradnl" w:eastAsia="es-ES"/>
        </w:rPr>
      </w:pPr>
      <w:r w:rsidRPr="00D05B59">
        <w:rPr>
          <w:rFonts w:ascii="Palatino Linotype" w:hAnsi="Palatino Linotype" w:cs="Arial"/>
          <w:i/>
          <w:sz w:val="22"/>
          <w:szCs w:val="22"/>
          <w:lang w:val="es-ES_tradnl" w:eastAsia="es-ES"/>
        </w:rPr>
        <w:lastRenderedPageBreak/>
        <w:t>“</w:t>
      </w:r>
      <w:r w:rsidRPr="00D05B59">
        <w:rPr>
          <w:rFonts w:ascii="Palatino Linotype" w:hAnsi="Palatino Linotype" w:cs="Arial"/>
          <w:b/>
          <w:i/>
          <w:sz w:val="22"/>
          <w:szCs w:val="22"/>
          <w:lang w:val="es-ES_tradnl" w:eastAsia="es-ES"/>
        </w:rPr>
        <w:t>Artículo 143.</w:t>
      </w:r>
      <w:r w:rsidRPr="00D05B59">
        <w:rPr>
          <w:rFonts w:ascii="Palatino Linotype" w:hAnsi="Palatino Linotype" w:cs="Arial"/>
          <w:i/>
          <w:sz w:val="22"/>
          <w:szCs w:val="22"/>
          <w:lang w:val="es-ES_tradnl" w:eastAsia="es-ES"/>
        </w:rPr>
        <w:t xml:space="preserve"> …</w:t>
      </w:r>
    </w:p>
    <w:p w14:paraId="0C551B22" w14:textId="77777777" w:rsidR="00380BC7" w:rsidRPr="00D05B59" w:rsidRDefault="00380BC7" w:rsidP="00380BC7">
      <w:pPr>
        <w:tabs>
          <w:tab w:val="left" w:pos="851"/>
        </w:tabs>
        <w:spacing w:before="120" w:after="120"/>
        <w:ind w:left="851" w:right="902"/>
        <w:jc w:val="both"/>
        <w:rPr>
          <w:rFonts w:ascii="Palatino Linotype" w:hAnsi="Palatino Linotype" w:cs="Arial"/>
          <w:i/>
          <w:sz w:val="22"/>
          <w:szCs w:val="22"/>
          <w:lang w:val="es-ES_tradnl" w:eastAsia="es-ES"/>
        </w:rPr>
      </w:pPr>
      <w:r w:rsidRPr="00D05B59">
        <w:rPr>
          <w:rFonts w:ascii="Palatino Linotype" w:hAnsi="Palatino Linotype" w:cs="Arial"/>
          <w:i/>
          <w:sz w:val="22"/>
          <w:szCs w:val="22"/>
          <w:lang w:val="es-ES_tradnl" w:eastAsia="es-ES"/>
        </w:rPr>
        <w:t>…</w:t>
      </w:r>
    </w:p>
    <w:p w14:paraId="37FE9B6D" w14:textId="77777777" w:rsidR="00380BC7" w:rsidRPr="00D05B59" w:rsidRDefault="00380BC7" w:rsidP="00380BC7">
      <w:pPr>
        <w:tabs>
          <w:tab w:val="left" w:pos="851"/>
        </w:tabs>
        <w:spacing w:before="120" w:after="120"/>
        <w:ind w:left="851" w:right="902"/>
        <w:jc w:val="both"/>
        <w:rPr>
          <w:rFonts w:ascii="Palatino Linotype" w:hAnsi="Palatino Linotype" w:cs="Arial"/>
          <w:i/>
          <w:sz w:val="22"/>
          <w:szCs w:val="22"/>
          <w:lang w:val="es-ES_tradnl" w:eastAsia="es-ES"/>
        </w:rPr>
      </w:pPr>
      <w:r w:rsidRPr="00D05B59">
        <w:rPr>
          <w:rFonts w:ascii="Palatino Linotype" w:hAnsi="Palatino Linotype" w:cs="Arial"/>
          <w:i/>
          <w:sz w:val="22"/>
          <w:szCs w:val="22"/>
          <w:lang w:val="es-ES_tradnl" w:eastAsia="es-ES"/>
        </w:rPr>
        <w:t>La información confidencial no estará sujeta a temporalidad alguna y sólo podrán tener acceso a ella los titulares de la misma, sus representantes y los servidores públicos facultados para ello</w:t>
      </w:r>
      <w:proofErr w:type="gramStart"/>
      <w:r w:rsidRPr="00D05B59">
        <w:rPr>
          <w:rFonts w:ascii="Palatino Linotype" w:hAnsi="Palatino Linotype" w:cs="Arial"/>
          <w:i/>
          <w:sz w:val="22"/>
          <w:szCs w:val="22"/>
          <w:lang w:val="es-ES_tradnl" w:eastAsia="es-ES"/>
        </w:rPr>
        <w:t>.”(</w:t>
      </w:r>
      <w:proofErr w:type="gramEnd"/>
      <w:r w:rsidRPr="00D05B59">
        <w:rPr>
          <w:rFonts w:ascii="Palatino Linotype" w:hAnsi="Palatino Linotype" w:cs="Arial"/>
          <w:i/>
          <w:sz w:val="22"/>
          <w:szCs w:val="22"/>
          <w:lang w:val="es-ES_tradnl" w:eastAsia="es-ES"/>
        </w:rPr>
        <w:t>Sic)</w:t>
      </w:r>
    </w:p>
    <w:p w14:paraId="3D9D87A7" w14:textId="77777777" w:rsidR="00380BC7" w:rsidRPr="00D05B59" w:rsidRDefault="00380BC7" w:rsidP="00380BC7">
      <w:pPr>
        <w:spacing w:before="240" w:after="240" w:line="360" w:lineRule="auto"/>
        <w:jc w:val="both"/>
        <w:rPr>
          <w:rFonts w:ascii="Palatino Linotype" w:eastAsia="Calibri" w:hAnsi="Palatino Linotype" w:cs="Arial"/>
          <w:lang w:val="es-ES" w:eastAsia="es-ES"/>
        </w:rPr>
      </w:pPr>
      <w:r w:rsidRPr="00D05B59">
        <w:rPr>
          <w:rFonts w:ascii="Palatino Linotype" w:eastAsia="Calibri" w:hAnsi="Palatino Linotype" w:cs="Arial"/>
          <w:lang w:val="es-ES" w:eastAsia="es-ES"/>
        </w:rPr>
        <w:t>En concordancia con expuesto, el numeral Trigésimo Octavo, párrafo segundo de los “Lineamientos Generales en materia de Clasificación y Desclasificación de la información, así como para la elaboración de Versiones Públicas”</w:t>
      </w:r>
      <w:r w:rsidRPr="00D05B59">
        <w:rPr>
          <w:rFonts w:ascii="Palatino Linotype" w:eastAsia="Calibri" w:hAnsi="Palatino Linotype" w:cs="Arial"/>
          <w:vertAlign w:val="superscript"/>
          <w:lang w:val="es-ES" w:eastAsia="es-ES"/>
        </w:rPr>
        <w:footnoteReference w:id="4"/>
      </w:r>
      <w:r w:rsidRPr="00D05B59">
        <w:rPr>
          <w:rFonts w:ascii="Palatino Linotype" w:eastAsia="Calibri" w:hAnsi="Palatino Linotype" w:cs="Arial"/>
          <w:lang w:val="es-ES" w:eastAsia="es-ES"/>
        </w:rPr>
        <w:t xml:space="preserve">, señala lo siguiente: </w:t>
      </w:r>
    </w:p>
    <w:p w14:paraId="5F69F073" w14:textId="77777777" w:rsidR="00380BC7" w:rsidRPr="00D05B59" w:rsidRDefault="00380BC7" w:rsidP="00380BC7">
      <w:pPr>
        <w:tabs>
          <w:tab w:val="left" w:pos="851"/>
        </w:tabs>
        <w:spacing w:before="120" w:after="120"/>
        <w:ind w:left="851" w:right="902"/>
        <w:jc w:val="both"/>
        <w:rPr>
          <w:rFonts w:ascii="Palatino Linotype" w:hAnsi="Palatino Linotype" w:cs="Arial"/>
          <w:i/>
          <w:sz w:val="22"/>
          <w:szCs w:val="22"/>
          <w:lang w:val="es-ES_tradnl" w:eastAsia="es-ES"/>
        </w:rPr>
      </w:pPr>
      <w:r w:rsidRPr="00D05B59">
        <w:rPr>
          <w:rFonts w:ascii="Palatino Linotype" w:hAnsi="Palatino Linotype" w:cs="Arial"/>
          <w:i/>
          <w:sz w:val="22"/>
          <w:szCs w:val="22"/>
          <w:lang w:val="es-ES_tradnl" w:eastAsia="es-ES"/>
        </w:rPr>
        <w:t>“</w:t>
      </w:r>
      <w:r w:rsidRPr="00D05B59">
        <w:rPr>
          <w:rFonts w:ascii="Palatino Linotype" w:hAnsi="Palatino Linotype" w:cs="Arial"/>
          <w:b/>
          <w:i/>
          <w:sz w:val="22"/>
          <w:szCs w:val="22"/>
          <w:lang w:val="es-ES_tradnl" w:eastAsia="es-ES"/>
        </w:rPr>
        <w:t>Trigésimo octavo.</w:t>
      </w:r>
      <w:r w:rsidRPr="00D05B59">
        <w:rPr>
          <w:rFonts w:ascii="Palatino Linotype" w:hAnsi="Palatino Linotype" w:cs="Arial"/>
          <w:i/>
          <w:sz w:val="22"/>
          <w:szCs w:val="22"/>
          <w:lang w:val="es-ES_tradnl" w:eastAsia="es-ES"/>
        </w:rPr>
        <w:t xml:space="preserve"> …</w:t>
      </w:r>
    </w:p>
    <w:p w14:paraId="7E3A635C" w14:textId="77777777" w:rsidR="00380BC7" w:rsidRPr="00D05B59" w:rsidRDefault="00380BC7" w:rsidP="002E72C9">
      <w:pPr>
        <w:tabs>
          <w:tab w:val="left" w:pos="851"/>
        </w:tabs>
        <w:spacing w:before="120" w:after="120"/>
        <w:ind w:left="851" w:right="902"/>
        <w:jc w:val="both"/>
        <w:rPr>
          <w:rFonts w:ascii="Palatino Linotype" w:hAnsi="Palatino Linotype" w:cs="Arial"/>
          <w:i/>
          <w:sz w:val="22"/>
          <w:szCs w:val="22"/>
          <w:lang w:val="es-ES_tradnl" w:eastAsia="es-ES"/>
        </w:rPr>
      </w:pPr>
      <w:r w:rsidRPr="00D05B59">
        <w:rPr>
          <w:rFonts w:ascii="Palatino Linotype" w:hAnsi="Palatino Linotype" w:cs="Arial"/>
          <w:i/>
          <w:sz w:val="22"/>
          <w:szCs w:val="22"/>
          <w:lang w:val="es-ES_tradnl" w:eastAsia="es-ES"/>
        </w:rPr>
        <w:t>La información confidencial no estará sujeta a temporalidad alguna y sólo podrán tener acceso a ella los titulares de la misma, sus representantes y los servidores públicos facultados para ello.” (Sic)</w:t>
      </w:r>
    </w:p>
    <w:p w14:paraId="2102BCBB" w14:textId="77777777" w:rsidR="00380BC7" w:rsidRPr="00D05B59" w:rsidRDefault="00380BC7" w:rsidP="00380BC7">
      <w:pPr>
        <w:tabs>
          <w:tab w:val="left" w:pos="851"/>
        </w:tabs>
        <w:spacing w:before="120" w:after="120"/>
        <w:ind w:left="851" w:right="902"/>
        <w:jc w:val="both"/>
        <w:rPr>
          <w:rFonts w:ascii="Palatino Linotype" w:hAnsi="Palatino Linotype" w:cs="Arial"/>
          <w:i/>
          <w:sz w:val="22"/>
          <w:szCs w:val="22"/>
          <w:lang w:val="es-ES_tradnl" w:eastAsia="es-ES"/>
        </w:rPr>
      </w:pPr>
    </w:p>
    <w:p w14:paraId="010F129A" w14:textId="77777777" w:rsidR="00380BC7" w:rsidRPr="00D05B59" w:rsidRDefault="00380BC7" w:rsidP="00380BC7">
      <w:pPr>
        <w:spacing w:line="360" w:lineRule="auto"/>
        <w:jc w:val="both"/>
        <w:rPr>
          <w:rFonts w:ascii="Palatino Linotype" w:eastAsia="Calibri" w:hAnsi="Palatino Linotype" w:cs="Arial"/>
          <w:lang w:val="es-ES" w:eastAsia="es-ES"/>
        </w:rPr>
      </w:pPr>
      <w:r w:rsidRPr="00D05B59">
        <w:rPr>
          <w:rFonts w:ascii="Palatino Linotype" w:eastAsia="Calibri" w:hAnsi="Palatino Linotype" w:cs="Arial"/>
          <w:lang w:val="es-ES" w:eastAsia="es-ES"/>
        </w:rPr>
        <w:t xml:space="preserve">Bajo lo previo, resulta importante señalar que las medidas de seguridad aplicables a las bases de datos personales por parte del responsable es </w:t>
      </w:r>
      <w:r w:rsidRPr="00D05B59">
        <w:rPr>
          <w:rFonts w:ascii="Palatino Linotype" w:eastAsia="Calibri" w:hAnsi="Palatino Linotype" w:cs="Arial"/>
          <w:b/>
          <w:lang w:val="es-ES" w:eastAsia="es-ES"/>
        </w:rPr>
        <w:t xml:space="preserve">información de carácter confidencial </w:t>
      </w:r>
      <w:r w:rsidRPr="00D05B59">
        <w:rPr>
          <w:rFonts w:ascii="Palatino Linotype" w:eastAsia="Calibri" w:hAnsi="Palatino Linotype" w:cs="Arial"/>
          <w:lang w:val="es-ES" w:eastAsia="es-ES"/>
        </w:rPr>
        <w:t xml:space="preserve">por mandato expreso del artículo 43 de la Ley, razón por la cual las políticas y procedimientos de seguridad en materia de protección de datos personales, no pueden ser proporcionados, toda vez que la puesta a disposición de las mismas pudiesen causar un daño, alteración, pérdida, destrucción, o el uso, transferencia, acceso o cualquier tratamiento  no autorizado o ilícito a la información que se encuentra en tratamiento en bases y sistemas de datos personales. </w:t>
      </w:r>
    </w:p>
    <w:p w14:paraId="3A49480E"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lastRenderedPageBreak/>
        <w:t xml:space="preserve">Asimismo, es pertinente mencionar que conforme a lo dispuesto en el artículo 49 de la Ley de Protección de Datos Personales </w:t>
      </w:r>
      <w:proofErr w:type="spellStart"/>
      <w:r w:rsidRPr="00D05B59">
        <w:rPr>
          <w:rFonts w:ascii="Palatino Linotype" w:hAnsi="Palatino Linotype"/>
          <w:lang w:val="es-ES" w:eastAsia="es-ES"/>
        </w:rPr>
        <w:t>supraindicada</w:t>
      </w:r>
      <w:proofErr w:type="spellEnd"/>
      <w:r w:rsidRPr="00D05B59">
        <w:rPr>
          <w:rFonts w:ascii="Palatino Linotype" w:hAnsi="Palatino Linotype"/>
          <w:lang w:val="es-ES" w:eastAsia="es-ES"/>
        </w:rPr>
        <w:t xml:space="preserve">, el documento de seguridad debe contener, como mínimo, lo referente a: </w:t>
      </w:r>
    </w:p>
    <w:p w14:paraId="285E1E13" w14:textId="77777777" w:rsidR="00380BC7" w:rsidRPr="00D05B59" w:rsidRDefault="00380BC7" w:rsidP="00380BC7">
      <w:pPr>
        <w:numPr>
          <w:ilvl w:val="0"/>
          <w:numId w:val="18"/>
        </w:numPr>
        <w:spacing w:before="240" w:after="240" w:line="360" w:lineRule="auto"/>
        <w:ind w:left="284" w:right="49" w:firstLine="0"/>
        <w:jc w:val="both"/>
        <w:rPr>
          <w:rFonts w:ascii="Palatino Linotype" w:hAnsi="Palatino Linotype"/>
          <w:sz w:val="22"/>
          <w:szCs w:val="22"/>
          <w:lang w:val="es-ES" w:eastAsia="en-US"/>
        </w:rPr>
      </w:pPr>
      <w:r w:rsidRPr="00D05B59">
        <w:rPr>
          <w:rFonts w:ascii="Palatino Linotype" w:hAnsi="Palatino Linotype"/>
          <w:b/>
          <w:sz w:val="22"/>
          <w:szCs w:val="22"/>
          <w:lang w:val="es-ES" w:eastAsia="en-US"/>
        </w:rPr>
        <w:t>Sistemas de Datos Personales</w:t>
      </w:r>
      <w:r w:rsidRPr="00D05B59">
        <w:rPr>
          <w:rFonts w:ascii="Palatino Linotype" w:hAnsi="Palatino Linotype"/>
          <w:sz w:val="22"/>
          <w:szCs w:val="22"/>
          <w:lang w:val="es-ES" w:eastAsia="en-US"/>
        </w:rPr>
        <w:t xml:space="preserve">: a) el nombre, </w:t>
      </w:r>
      <w:r w:rsidRPr="00D05B59">
        <w:rPr>
          <w:rFonts w:ascii="Palatino Linotype" w:hAnsi="Palatino Linotype"/>
          <w:b/>
          <w:sz w:val="22"/>
          <w:szCs w:val="22"/>
          <w:lang w:val="es-ES" w:eastAsia="en-US"/>
        </w:rPr>
        <w:t xml:space="preserve">b) el nombre, cargo y adscripción del administrador de cada sistema y base de datos, c) las funciones y obligaciones del responsable o encargados y todas la personas  que traten datos personales, </w:t>
      </w:r>
      <w:r w:rsidRPr="00D05B59">
        <w:rPr>
          <w:rFonts w:ascii="Palatino Linotype" w:hAnsi="Palatino Linotype"/>
          <w:sz w:val="22"/>
          <w:szCs w:val="22"/>
          <w:lang w:val="es-ES" w:eastAsia="en-US"/>
        </w:rPr>
        <w:t xml:space="preserve">d) el folio del registro del sistema y base de datos, e) el inventario o especificación detallada del tipo de datos personales y f) la estructura y descripción de los sistemas y bases de datos personales, en las que deberá precisar y describir el tipo de soporte y características del lugar donde se resguardan.       </w:t>
      </w:r>
    </w:p>
    <w:p w14:paraId="3DB48DCD" w14:textId="77777777" w:rsidR="00380BC7" w:rsidRPr="00D05B59" w:rsidRDefault="00380BC7" w:rsidP="00380BC7">
      <w:pPr>
        <w:numPr>
          <w:ilvl w:val="0"/>
          <w:numId w:val="18"/>
        </w:numPr>
        <w:spacing w:before="240" w:after="240" w:line="360" w:lineRule="auto"/>
        <w:ind w:left="284" w:right="49" w:firstLine="0"/>
        <w:jc w:val="both"/>
        <w:rPr>
          <w:rFonts w:ascii="Palatino Linotype" w:hAnsi="Palatino Linotype"/>
          <w:sz w:val="22"/>
          <w:szCs w:val="22"/>
          <w:lang w:val="es-ES" w:eastAsia="en-US"/>
        </w:rPr>
      </w:pPr>
      <w:r w:rsidRPr="00D05B59">
        <w:rPr>
          <w:rFonts w:ascii="Palatino Linotype" w:hAnsi="Palatino Linotype"/>
          <w:b/>
          <w:sz w:val="22"/>
          <w:szCs w:val="22"/>
          <w:lang w:val="es-ES" w:eastAsia="en-US"/>
        </w:rPr>
        <w:t>Las Medidas de Seguridad implementadas</w:t>
      </w:r>
      <w:r w:rsidRPr="00D05B59">
        <w:rPr>
          <w:rFonts w:ascii="Palatino Linotype" w:hAnsi="Palatino Linotype"/>
          <w:sz w:val="22"/>
          <w:szCs w:val="22"/>
          <w:lang w:val="es-ES" w:eastAsia="en-US"/>
        </w:rPr>
        <w:t>, como son: a) transferencia y remisiones, b) resguardo de soportes físicos y electrónicos, c) bitácoras para accesos, operación cotidiana y violaciones a la seguridad de los datos personales, d) el análisis de riesgos, e) el análisis de brecha, f) Gestión de incidentes, g) acceso a las instalaciones, h) Identificación y autenticación, i) procedimientos de respaldo y recuperación de datos, j) plan de contingencia, k) auditorías, l) supresión y borrado seguro de datos, m) plan de trabajo, n) los mecanismos de monitoreo y revisión de las medidas de seguridad y o) el programa general de capacitación.</w:t>
      </w:r>
    </w:p>
    <w:p w14:paraId="52B0D593"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 xml:space="preserve">Es importante resaltar que la información relacionada con las medidas de seguridad, son susceptible de clasificarse como información confidencial. </w:t>
      </w:r>
    </w:p>
    <w:p w14:paraId="64FE5C04" w14:textId="77777777" w:rsidR="00380BC7" w:rsidRPr="00D05B59" w:rsidRDefault="00380BC7" w:rsidP="00380BC7">
      <w:pPr>
        <w:ind w:right="49"/>
        <w:jc w:val="both"/>
        <w:rPr>
          <w:rFonts w:ascii="Palatino Linotype" w:hAnsi="Palatino Linotype"/>
          <w:sz w:val="16"/>
          <w:szCs w:val="16"/>
          <w:lang w:val="es-ES" w:eastAsia="es-ES"/>
        </w:rPr>
      </w:pPr>
    </w:p>
    <w:p w14:paraId="0D1CE9B6"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 xml:space="preserve">Lo anterior, tiene sustento en atención a que el </w:t>
      </w:r>
      <w:r w:rsidRPr="00D05B59">
        <w:rPr>
          <w:rFonts w:ascii="Palatino Linotype" w:hAnsi="Palatino Linotype"/>
          <w:b/>
          <w:lang w:val="es-ES" w:eastAsia="es-ES"/>
        </w:rPr>
        <w:t>análisis de riesgo</w:t>
      </w:r>
      <w:r w:rsidRPr="00D05B59">
        <w:rPr>
          <w:rFonts w:ascii="Palatino Linotype" w:hAnsi="Palatino Linotype"/>
          <w:lang w:val="es-ES" w:eastAsia="es-ES"/>
        </w:rPr>
        <w:t xml:space="preserve"> contiene las consideraciones relacionadas con las amenazas y vulnerabilidades existentes.</w:t>
      </w:r>
    </w:p>
    <w:p w14:paraId="293E9FF1" w14:textId="77777777" w:rsidR="00380BC7" w:rsidRPr="00D05B59" w:rsidRDefault="00380BC7" w:rsidP="00380BC7">
      <w:pPr>
        <w:spacing w:line="360" w:lineRule="auto"/>
        <w:ind w:right="49"/>
        <w:jc w:val="both"/>
        <w:rPr>
          <w:rFonts w:ascii="Palatino Linotype" w:hAnsi="Palatino Linotype"/>
          <w:lang w:val="es-ES" w:eastAsia="es-ES"/>
        </w:rPr>
      </w:pPr>
    </w:p>
    <w:p w14:paraId="628ABC90"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 xml:space="preserve">El </w:t>
      </w:r>
      <w:r w:rsidRPr="00D05B59">
        <w:rPr>
          <w:rFonts w:ascii="Palatino Linotype" w:hAnsi="Palatino Linotype"/>
          <w:b/>
          <w:lang w:val="es-ES" w:eastAsia="es-ES"/>
        </w:rPr>
        <w:t>resguardo es el espacio destinado para almacenar o resguardar datos personales</w:t>
      </w:r>
      <w:r w:rsidRPr="00D05B59">
        <w:rPr>
          <w:rFonts w:ascii="Palatino Linotype" w:hAnsi="Palatino Linotype"/>
          <w:lang w:val="es-ES" w:eastAsia="es-ES"/>
        </w:rPr>
        <w:t xml:space="preserve"> que han recibido el tratamiento correspondiente, para que formen parte integral de uno o más Sistemas de Datos Personales en soporte electrónico.</w:t>
      </w:r>
    </w:p>
    <w:p w14:paraId="7F70BC3F" w14:textId="77777777" w:rsidR="00380BC7" w:rsidRPr="00D05B59" w:rsidRDefault="00380BC7" w:rsidP="00380BC7">
      <w:pPr>
        <w:spacing w:line="360" w:lineRule="auto"/>
        <w:ind w:right="49"/>
        <w:jc w:val="both"/>
        <w:rPr>
          <w:rFonts w:ascii="Palatino Linotype" w:hAnsi="Palatino Linotype"/>
          <w:lang w:val="es-ES" w:eastAsia="es-ES"/>
        </w:rPr>
      </w:pPr>
    </w:p>
    <w:p w14:paraId="22F2B839"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 xml:space="preserve">Las </w:t>
      </w:r>
      <w:r w:rsidRPr="00D05B59">
        <w:rPr>
          <w:rFonts w:ascii="Palatino Linotype" w:hAnsi="Palatino Linotype"/>
          <w:b/>
          <w:lang w:val="es-ES" w:eastAsia="es-ES"/>
        </w:rPr>
        <w:t>bitácoras</w:t>
      </w:r>
      <w:r w:rsidRPr="00D05B59">
        <w:rPr>
          <w:rFonts w:ascii="Palatino Linotype" w:hAnsi="Palatino Linotype"/>
          <w:lang w:val="es-ES" w:eastAsia="es-ES"/>
        </w:rPr>
        <w:t xml:space="preserve"> registran los accesos autorizados e incidencias para cada una de ellas. Asimismo, deberá establecer los procedimientos para el uso de bitácoras respecto de las acciones cotidianas llevadas a cabo en los SDPS.</w:t>
      </w:r>
    </w:p>
    <w:p w14:paraId="54921595" w14:textId="77777777" w:rsidR="00380BC7" w:rsidRPr="00D05B59" w:rsidRDefault="00380BC7" w:rsidP="00380BC7">
      <w:pPr>
        <w:ind w:right="49"/>
        <w:jc w:val="both"/>
        <w:rPr>
          <w:rFonts w:ascii="Palatino Linotype" w:hAnsi="Palatino Linotype"/>
          <w:sz w:val="16"/>
          <w:szCs w:val="16"/>
          <w:lang w:val="es-ES" w:eastAsia="es-ES"/>
        </w:rPr>
      </w:pPr>
    </w:p>
    <w:p w14:paraId="0352DBC9"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 xml:space="preserve">El </w:t>
      </w:r>
      <w:r w:rsidRPr="00D05B59">
        <w:rPr>
          <w:rFonts w:ascii="Palatino Linotype" w:hAnsi="Palatino Linotype"/>
          <w:b/>
          <w:lang w:val="es-ES" w:eastAsia="es-ES"/>
        </w:rPr>
        <w:t>análisis de brecha</w:t>
      </w:r>
      <w:r w:rsidRPr="00D05B59">
        <w:rPr>
          <w:rFonts w:ascii="Palatino Linotype" w:hAnsi="Palatino Linotype"/>
          <w:lang w:val="es-ES" w:eastAsia="es-ES"/>
        </w:rPr>
        <w:t xml:space="preserve">, contiene la comparación de las medidas de seguridad existentes y las medidas de </w:t>
      </w:r>
      <w:proofErr w:type="gramStart"/>
      <w:r w:rsidRPr="00D05B59">
        <w:rPr>
          <w:rFonts w:ascii="Palatino Linotype" w:hAnsi="Palatino Linotype"/>
          <w:lang w:val="es-ES" w:eastAsia="es-ES"/>
        </w:rPr>
        <w:t>seguridad  faltantes</w:t>
      </w:r>
      <w:proofErr w:type="gramEnd"/>
      <w:r w:rsidRPr="00D05B59">
        <w:rPr>
          <w:rFonts w:ascii="Palatino Linotype" w:hAnsi="Palatino Linotype"/>
          <w:lang w:val="es-ES" w:eastAsia="es-ES"/>
        </w:rPr>
        <w:t xml:space="preserve"> en la organización del responsable del tratamiento de datos personales. </w:t>
      </w:r>
    </w:p>
    <w:p w14:paraId="1CC65BA7"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 xml:space="preserve"> </w:t>
      </w:r>
    </w:p>
    <w:p w14:paraId="00B6E0E7"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 xml:space="preserve">La </w:t>
      </w:r>
      <w:r w:rsidRPr="00D05B59">
        <w:rPr>
          <w:rFonts w:ascii="Palatino Linotype" w:hAnsi="Palatino Linotype"/>
          <w:b/>
          <w:lang w:val="es-ES" w:eastAsia="es-ES"/>
        </w:rPr>
        <w:t>gestión de incidentes</w:t>
      </w:r>
      <w:r w:rsidRPr="00D05B59">
        <w:rPr>
          <w:rFonts w:ascii="Palatino Linotype" w:hAnsi="Palatino Linotype"/>
          <w:lang w:val="es-ES" w:eastAsia="es-ES"/>
        </w:rPr>
        <w:t xml:space="preserve"> son acciones que adoptan el titular del Sujeto Obligado y el responsable de los Sistemas de Datos Personales, a efecto de dar a conocer a las autoridades competentes, a los titulares de los datos y, en su caso, al público en general, los actos deliberados (intrusión, robo, etcétera) y los acontecimientos de caso fortuito o de fuerza mayor (desastres naturales, incendios, huelgas, etcétera) que hubieran ocasionado la pérdida total o parcial de los datos personales bajo su custodia;</w:t>
      </w:r>
    </w:p>
    <w:p w14:paraId="02DEB020" w14:textId="77777777" w:rsidR="00380BC7" w:rsidRPr="00D05B59" w:rsidRDefault="00380BC7" w:rsidP="00380BC7">
      <w:pPr>
        <w:spacing w:line="360" w:lineRule="auto"/>
        <w:ind w:right="49"/>
        <w:jc w:val="both"/>
        <w:rPr>
          <w:rFonts w:ascii="Palatino Linotype" w:hAnsi="Palatino Linotype"/>
          <w:lang w:val="es-ES" w:eastAsia="es-ES"/>
        </w:rPr>
      </w:pPr>
    </w:p>
    <w:p w14:paraId="34176390"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 xml:space="preserve">El </w:t>
      </w:r>
      <w:r w:rsidRPr="00D05B59">
        <w:rPr>
          <w:rFonts w:ascii="Palatino Linotype" w:hAnsi="Palatino Linotype"/>
          <w:b/>
          <w:lang w:val="es-ES" w:eastAsia="es-ES"/>
        </w:rPr>
        <w:t>acceso a instalaciones</w:t>
      </w:r>
      <w:r w:rsidRPr="00D05B59">
        <w:rPr>
          <w:rFonts w:ascii="Palatino Linotype" w:hAnsi="Palatino Linotype"/>
          <w:lang w:val="es-ES" w:eastAsia="es-ES"/>
        </w:rPr>
        <w:t xml:space="preserve"> donde se encuentren los Sistemas de Datos Personales, ya sea en soporte físico o electrónico, se permite únicamente a quienes estén </w:t>
      </w:r>
      <w:r w:rsidRPr="00D05B59">
        <w:rPr>
          <w:rFonts w:ascii="Palatino Linotype" w:hAnsi="Palatino Linotype"/>
          <w:lang w:val="es-ES" w:eastAsia="es-ES"/>
        </w:rPr>
        <w:lastRenderedPageBreak/>
        <w:t>expresamente autorizados en el documento de seguridad, por lo que dar a conocer esta información compromete la seguridad de los datos personales.</w:t>
      </w:r>
    </w:p>
    <w:p w14:paraId="00536989" w14:textId="77777777" w:rsidR="00380BC7" w:rsidRPr="00D05B59" w:rsidRDefault="00380BC7" w:rsidP="00380BC7">
      <w:pPr>
        <w:spacing w:line="360" w:lineRule="auto"/>
        <w:ind w:right="49"/>
        <w:jc w:val="both"/>
        <w:rPr>
          <w:rFonts w:ascii="Palatino Linotype" w:hAnsi="Palatino Linotype"/>
          <w:lang w:val="es-ES" w:eastAsia="es-ES"/>
        </w:rPr>
      </w:pPr>
    </w:p>
    <w:p w14:paraId="1B046C46"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 xml:space="preserve">Por cuanto hace a la </w:t>
      </w:r>
      <w:r w:rsidRPr="00D05B59">
        <w:rPr>
          <w:rFonts w:ascii="Palatino Linotype" w:hAnsi="Palatino Linotype"/>
          <w:b/>
          <w:lang w:val="es-ES" w:eastAsia="es-ES"/>
        </w:rPr>
        <w:t>identificación y autenticación</w:t>
      </w:r>
      <w:r w:rsidRPr="00D05B59">
        <w:rPr>
          <w:rFonts w:ascii="Palatino Linotype" w:hAnsi="Palatino Linotype"/>
          <w:lang w:val="es-ES" w:eastAsia="es-ES"/>
        </w:rPr>
        <w:t>, el responsable tendrá a su cargo la elaboración de una relación actualizada de los servidores públicos que tengan acceso autorizado a los Sistemas de Datos Personales y del establecimiento de procedimientos que permitan la correcta identificación y autenticación para dicho acceso. El responsable establecerá un mecanismo que permita la identificación, de forma inequívoca y personalizada, de toda persona que intente acceder a los Sistemas de Datos Personales y la verificación de que está autorizada.</w:t>
      </w:r>
    </w:p>
    <w:p w14:paraId="13BA7DCE"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 xml:space="preserve"> </w:t>
      </w:r>
    </w:p>
    <w:p w14:paraId="7479132C"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Cuando el mecanismo de autenticación se base en la existencia de contraseñas, se establecerá un procedimiento de asignación, distribución y almacenamiento que garantice su confidencialidad e integridad.</w:t>
      </w:r>
    </w:p>
    <w:p w14:paraId="63E1848B" w14:textId="77777777" w:rsidR="00380BC7" w:rsidRPr="00D05B59" w:rsidRDefault="00380BC7" w:rsidP="00380BC7">
      <w:pPr>
        <w:spacing w:line="360" w:lineRule="auto"/>
        <w:ind w:right="49"/>
        <w:jc w:val="both"/>
        <w:rPr>
          <w:rFonts w:ascii="Palatino Linotype" w:hAnsi="Palatino Linotype"/>
          <w:lang w:val="es-ES" w:eastAsia="es-ES"/>
        </w:rPr>
      </w:pPr>
    </w:p>
    <w:p w14:paraId="5DA6ACF9"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 xml:space="preserve">Respecto al procedimiento de </w:t>
      </w:r>
      <w:r w:rsidRPr="00D05B59">
        <w:rPr>
          <w:rFonts w:ascii="Palatino Linotype" w:hAnsi="Palatino Linotype"/>
          <w:b/>
          <w:lang w:val="es-ES" w:eastAsia="es-ES"/>
        </w:rPr>
        <w:t>respaldo y recuperación de datos</w:t>
      </w:r>
      <w:r w:rsidRPr="00D05B59">
        <w:rPr>
          <w:rFonts w:ascii="Palatino Linotype" w:hAnsi="Palatino Linotype"/>
          <w:lang w:val="es-ES" w:eastAsia="es-ES"/>
        </w:rPr>
        <w:t>, se advierte que dar a conocer los medios de almacenamiento no volátil autorizados para la generación y almacenamiento de copias de seguridad o respaldos compromete los tres pilares de la organización: confidencialidad, disponibilidad e integridad.</w:t>
      </w:r>
    </w:p>
    <w:p w14:paraId="5E46BC8C" w14:textId="77777777" w:rsidR="00380BC7" w:rsidRPr="00D05B59" w:rsidRDefault="00380BC7" w:rsidP="00380BC7">
      <w:pPr>
        <w:spacing w:line="360" w:lineRule="auto"/>
        <w:ind w:right="49"/>
        <w:jc w:val="both"/>
        <w:rPr>
          <w:rFonts w:ascii="Palatino Linotype" w:hAnsi="Palatino Linotype"/>
          <w:lang w:val="es-ES" w:eastAsia="es-ES"/>
        </w:rPr>
      </w:pPr>
    </w:p>
    <w:p w14:paraId="5ABC3CDF"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 xml:space="preserve">En la </w:t>
      </w:r>
      <w:r w:rsidRPr="00D05B59">
        <w:rPr>
          <w:rFonts w:ascii="Palatino Linotype" w:hAnsi="Palatino Linotype"/>
          <w:b/>
          <w:lang w:val="es-ES" w:eastAsia="es-ES"/>
        </w:rPr>
        <w:t>supresión de datos personales</w:t>
      </w:r>
      <w:r w:rsidRPr="00D05B59">
        <w:rPr>
          <w:rFonts w:ascii="Palatino Linotype" w:hAnsi="Palatino Linotype"/>
          <w:lang w:val="es-ES" w:eastAsia="es-ES"/>
        </w:rPr>
        <w:t xml:space="preserve">, los Sujetos Obligados deberán establecer las políticas, métodos y técnicas, por lo que el responsable deberá considerar, al menos, </w:t>
      </w:r>
      <w:r w:rsidRPr="00D05B59">
        <w:rPr>
          <w:rFonts w:ascii="Palatino Linotype" w:hAnsi="Palatino Linotype"/>
          <w:lang w:val="es-ES" w:eastAsia="es-ES"/>
        </w:rPr>
        <w:lastRenderedPageBreak/>
        <w:t xml:space="preserve">los siguientes atributos y el o los medios de almacenamiento, físicos y/o electrónicos en los que se encuentren los datos personales: </w:t>
      </w:r>
    </w:p>
    <w:p w14:paraId="02781414" w14:textId="77777777" w:rsidR="00380BC7" w:rsidRPr="00D05B59" w:rsidRDefault="00380BC7" w:rsidP="00380BC7">
      <w:pPr>
        <w:spacing w:line="360" w:lineRule="auto"/>
        <w:ind w:right="49"/>
        <w:jc w:val="both"/>
        <w:rPr>
          <w:rFonts w:ascii="Palatino Linotype" w:hAnsi="Palatino Linotype"/>
          <w:lang w:val="es-ES" w:eastAsia="es-ES"/>
        </w:rPr>
      </w:pPr>
    </w:p>
    <w:p w14:paraId="53A6E74E"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Irreversibilidad: que el proceso utilizado no permita recuperar los datos personales; Seguridad y confidencialidad: que en la eliminac</w:t>
      </w:r>
      <w:r w:rsidR="00B80784" w:rsidRPr="00D05B59">
        <w:rPr>
          <w:rFonts w:ascii="Palatino Linotype" w:hAnsi="Palatino Linotype"/>
          <w:lang w:val="es-ES" w:eastAsia="es-ES"/>
        </w:rPr>
        <w:t>ión definitiva de l</w:t>
      </w:r>
      <w:r w:rsidRPr="00D05B59">
        <w:rPr>
          <w:rFonts w:ascii="Palatino Linotype" w:hAnsi="Palatino Linotype"/>
          <w:lang w:val="es-ES" w:eastAsia="es-ES"/>
        </w:rPr>
        <w:t xml:space="preserve">os datos personales se consideren los deberes de confidencialidad y seguridad a que se refieren la Ley General y los presentes Lineamientos generales, </w:t>
      </w:r>
      <w:proofErr w:type="gramStart"/>
      <w:r w:rsidRPr="00D05B59">
        <w:rPr>
          <w:rFonts w:ascii="Palatino Linotype" w:hAnsi="Palatino Linotype"/>
          <w:lang w:val="es-ES" w:eastAsia="es-ES"/>
        </w:rPr>
        <w:t>y  Favorable</w:t>
      </w:r>
      <w:proofErr w:type="gramEnd"/>
      <w:r w:rsidRPr="00D05B59">
        <w:rPr>
          <w:rFonts w:ascii="Palatino Linotype" w:hAnsi="Palatino Linotype"/>
          <w:lang w:val="es-ES" w:eastAsia="es-ES"/>
        </w:rPr>
        <w:t xml:space="preserve"> al medio ambiente: que el método utilizado produzca el mínimo de emisiones y desperdicios que afecten el medio ambiente. Divulgar esta información pudiera representar que los datos personales no puedan ser reutilizados o susceptibles de un mal uso por terceros.</w:t>
      </w:r>
    </w:p>
    <w:p w14:paraId="45048357" w14:textId="77777777" w:rsidR="00380BC7" w:rsidRPr="00D05B59" w:rsidRDefault="00380BC7" w:rsidP="00380BC7">
      <w:pPr>
        <w:spacing w:line="360" w:lineRule="auto"/>
        <w:ind w:right="49"/>
        <w:jc w:val="both"/>
        <w:rPr>
          <w:rFonts w:ascii="Palatino Linotype" w:hAnsi="Palatino Linotype"/>
          <w:lang w:val="es-ES" w:eastAsia="es-ES"/>
        </w:rPr>
      </w:pPr>
    </w:p>
    <w:p w14:paraId="592F6F94"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 xml:space="preserve">Por lo que hace al </w:t>
      </w:r>
      <w:r w:rsidRPr="00D05B59">
        <w:rPr>
          <w:rFonts w:ascii="Palatino Linotype" w:hAnsi="Palatino Linotype"/>
          <w:b/>
          <w:lang w:val="es-ES" w:eastAsia="es-ES"/>
        </w:rPr>
        <w:t>plan de contingencia</w:t>
      </w:r>
      <w:r w:rsidRPr="00D05B59">
        <w:rPr>
          <w:rFonts w:ascii="Palatino Linotype" w:hAnsi="Palatino Linotype"/>
          <w:lang w:val="es-ES" w:eastAsia="es-ES"/>
        </w:rPr>
        <w:t>, éste se relaciona con una eventual “situación de emergencia”</w:t>
      </w:r>
      <w:r w:rsidRPr="00D05B59">
        <w:rPr>
          <w:rFonts w:ascii="Palatino Linotype" w:hAnsi="Palatino Linotype"/>
          <w:vertAlign w:val="superscript"/>
          <w:lang w:val="es-ES" w:eastAsia="es-ES"/>
        </w:rPr>
        <w:footnoteReference w:id="5"/>
      </w:r>
      <w:r w:rsidRPr="00D05B59">
        <w:rPr>
          <w:rFonts w:ascii="Palatino Linotype" w:hAnsi="Palatino Linotype"/>
          <w:lang w:val="es-ES" w:eastAsia="es-ES"/>
        </w:rPr>
        <w:t xml:space="preserve"> respecto al tratamiento de datos personales de los titulares, caso en el que se concreta una excepción al Principio de Consentimiento previsto en el artículo 21, fracción VI de la Ley de protección de Datos Personales en Posesión de Sujetos Obligados aplicable en la Entidad, que al respecto establece: </w:t>
      </w:r>
    </w:p>
    <w:p w14:paraId="0BD86BD7" w14:textId="77777777" w:rsidR="00380BC7" w:rsidRPr="00D05B59" w:rsidRDefault="00380BC7" w:rsidP="00380BC7">
      <w:pPr>
        <w:ind w:left="851" w:right="902"/>
        <w:contextualSpacing/>
        <w:jc w:val="both"/>
        <w:rPr>
          <w:rFonts w:ascii="Palatino Linotype" w:hAnsi="Palatino Linotype"/>
          <w:i/>
          <w:sz w:val="22"/>
          <w:szCs w:val="22"/>
          <w:lang w:val="es-ES" w:eastAsia="es-ES"/>
        </w:rPr>
      </w:pPr>
    </w:p>
    <w:p w14:paraId="08ADE03D" w14:textId="77777777" w:rsidR="00380BC7" w:rsidRPr="00D05B59" w:rsidRDefault="00380BC7" w:rsidP="00380BC7">
      <w:pPr>
        <w:spacing w:before="120" w:after="120"/>
        <w:ind w:left="567" w:right="902"/>
        <w:jc w:val="both"/>
        <w:rPr>
          <w:rFonts w:ascii="Palatino Linotype" w:hAnsi="Palatino Linotype"/>
          <w:i/>
          <w:sz w:val="22"/>
          <w:szCs w:val="22"/>
          <w:lang w:val="es-ES" w:eastAsia="es-ES"/>
        </w:rPr>
      </w:pPr>
      <w:r w:rsidRPr="00D05B59">
        <w:rPr>
          <w:rFonts w:ascii="Palatino Linotype" w:hAnsi="Palatino Linotype"/>
          <w:i/>
          <w:sz w:val="22"/>
          <w:szCs w:val="22"/>
          <w:lang w:val="es-ES" w:eastAsia="es-ES"/>
        </w:rPr>
        <w:lastRenderedPageBreak/>
        <w:t>“</w:t>
      </w:r>
      <w:r w:rsidRPr="00D05B59">
        <w:rPr>
          <w:rFonts w:ascii="Palatino Linotype" w:hAnsi="Palatino Linotype"/>
          <w:b/>
          <w:i/>
          <w:sz w:val="22"/>
          <w:szCs w:val="22"/>
          <w:lang w:val="es-ES" w:eastAsia="es-ES"/>
        </w:rPr>
        <w:t>Artículo 21.</w:t>
      </w:r>
      <w:r w:rsidRPr="00D05B59">
        <w:rPr>
          <w:rFonts w:ascii="Palatino Linotype" w:hAnsi="Palatino Linotype"/>
          <w:i/>
          <w:sz w:val="22"/>
          <w:szCs w:val="22"/>
          <w:lang w:val="es-ES" w:eastAsia="es-ES"/>
        </w:rPr>
        <w:t xml:space="preserve"> El responsable no estará obligado a recabar el consentimiento de la o el titular para el tratamiento de sus datos personales en los casos siguientes:</w:t>
      </w:r>
    </w:p>
    <w:p w14:paraId="1180426E" w14:textId="77777777" w:rsidR="00380BC7" w:rsidRPr="00D05B59" w:rsidRDefault="00380BC7" w:rsidP="00380BC7">
      <w:pPr>
        <w:spacing w:before="120" w:after="120"/>
        <w:ind w:right="902"/>
        <w:jc w:val="both"/>
        <w:rPr>
          <w:rFonts w:ascii="Palatino Linotype" w:hAnsi="Palatino Linotype"/>
          <w:i/>
          <w:sz w:val="22"/>
          <w:szCs w:val="22"/>
          <w:lang w:val="es-ES" w:eastAsia="es-ES"/>
        </w:rPr>
      </w:pPr>
      <w:r w:rsidRPr="00D05B59">
        <w:rPr>
          <w:rFonts w:ascii="Palatino Linotype" w:hAnsi="Palatino Linotype"/>
          <w:i/>
          <w:sz w:val="22"/>
          <w:szCs w:val="22"/>
          <w:lang w:val="es-ES" w:eastAsia="es-ES"/>
        </w:rPr>
        <w:t xml:space="preserve">           …</w:t>
      </w:r>
    </w:p>
    <w:p w14:paraId="00812745" w14:textId="77777777" w:rsidR="00380BC7" w:rsidRPr="00D05B59" w:rsidRDefault="00380BC7" w:rsidP="00380BC7">
      <w:pPr>
        <w:spacing w:before="120" w:after="120"/>
        <w:ind w:left="567" w:right="902"/>
        <w:jc w:val="both"/>
        <w:rPr>
          <w:rFonts w:ascii="Palatino Linotype" w:hAnsi="Palatino Linotype"/>
          <w:i/>
          <w:sz w:val="22"/>
          <w:szCs w:val="22"/>
          <w:lang w:val="es-ES" w:eastAsia="es-ES"/>
        </w:rPr>
      </w:pPr>
      <w:r w:rsidRPr="00D05B59">
        <w:rPr>
          <w:rFonts w:ascii="Palatino Linotype" w:hAnsi="Palatino Linotype"/>
          <w:b/>
          <w:i/>
          <w:sz w:val="22"/>
          <w:szCs w:val="22"/>
          <w:lang w:val="es-ES" w:eastAsia="es-ES"/>
        </w:rPr>
        <w:t>VI.</w:t>
      </w:r>
      <w:r w:rsidRPr="00D05B59">
        <w:rPr>
          <w:rFonts w:ascii="Palatino Linotype" w:hAnsi="Palatino Linotype"/>
          <w:i/>
          <w:sz w:val="22"/>
          <w:szCs w:val="22"/>
          <w:lang w:val="es-ES" w:eastAsia="es-ES"/>
        </w:rPr>
        <w:t xml:space="preserve"> </w:t>
      </w:r>
      <w:r w:rsidRPr="00D05B59">
        <w:rPr>
          <w:rFonts w:ascii="Palatino Linotype" w:hAnsi="Palatino Linotype"/>
          <w:b/>
          <w:i/>
          <w:sz w:val="22"/>
          <w:szCs w:val="22"/>
          <w:lang w:val="es-ES" w:eastAsia="es-ES"/>
        </w:rPr>
        <w:t>Exista una situación de emergencia</w:t>
      </w:r>
      <w:r w:rsidRPr="00D05B59">
        <w:rPr>
          <w:rFonts w:ascii="Palatino Linotype" w:hAnsi="Palatino Linotype"/>
          <w:i/>
          <w:sz w:val="22"/>
          <w:szCs w:val="22"/>
          <w:lang w:val="es-ES" w:eastAsia="es-ES"/>
        </w:rPr>
        <w:t xml:space="preserve"> que pueda dañar a un individuo en su persona o en sus bienes.” (Sic)</w:t>
      </w:r>
    </w:p>
    <w:p w14:paraId="75CC231B" w14:textId="77777777" w:rsidR="00380BC7" w:rsidRPr="00D05B59" w:rsidRDefault="00380BC7" w:rsidP="00380BC7">
      <w:pPr>
        <w:ind w:left="851" w:right="902"/>
        <w:contextualSpacing/>
        <w:jc w:val="both"/>
        <w:rPr>
          <w:rFonts w:ascii="Palatino Linotype" w:hAnsi="Palatino Linotype"/>
          <w:b/>
          <w:i/>
          <w:sz w:val="22"/>
          <w:szCs w:val="22"/>
          <w:lang w:val="es-ES" w:eastAsia="es-ES"/>
        </w:rPr>
      </w:pPr>
    </w:p>
    <w:p w14:paraId="336BC6FC"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Finalmente, el</w:t>
      </w:r>
      <w:r w:rsidRPr="00D05B59">
        <w:rPr>
          <w:rFonts w:ascii="Palatino Linotype" w:hAnsi="Palatino Linotype"/>
          <w:b/>
          <w:lang w:val="es-ES" w:eastAsia="es-ES"/>
        </w:rPr>
        <w:t xml:space="preserve"> Plan de trabajo</w:t>
      </w:r>
      <w:r w:rsidRPr="00D05B59">
        <w:rPr>
          <w:rFonts w:ascii="Palatino Linotype" w:hAnsi="Palatino Linotype"/>
          <w:lang w:val="es-ES" w:eastAsia="es-ES"/>
        </w:rPr>
        <w:t xml:space="preserve"> contiene lo relacionado con la implementación de las medidas de seguridad faltantes y las que dan complimiento cotidiano de las políticas de gestión y tratamiento de los datos personales.     </w:t>
      </w:r>
    </w:p>
    <w:p w14:paraId="48BD8072" w14:textId="77777777" w:rsidR="00380BC7" w:rsidRPr="00D05B59" w:rsidRDefault="00380BC7" w:rsidP="00380BC7">
      <w:pPr>
        <w:spacing w:line="360" w:lineRule="auto"/>
        <w:ind w:right="49"/>
        <w:jc w:val="both"/>
        <w:rPr>
          <w:rFonts w:ascii="Palatino Linotype" w:hAnsi="Palatino Linotype"/>
          <w:sz w:val="16"/>
          <w:szCs w:val="16"/>
          <w:lang w:val="es-ES" w:eastAsia="es-ES"/>
        </w:rPr>
      </w:pPr>
      <w:r w:rsidRPr="00D05B59">
        <w:rPr>
          <w:rFonts w:ascii="Palatino Linotype" w:hAnsi="Palatino Linotype"/>
          <w:lang w:val="es-ES" w:eastAsia="es-ES"/>
        </w:rPr>
        <w:t xml:space="preserve"> </w:t>
      </w:r>
    </w:p>
    <w:p w14:paraId="28F57985"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 xml:space="preserve">De lo expuesto, se advierte que los incisos señalados contienen concretamente, la información relacionada con la vulnerabilidad concerniente a las medidas de seguridad que en el caso concreto debe proteger el </w:t>
      </w:r>
      <w:r w:rsidRPr="00D05B59">
        <w:rPr>
          <w:rFonts w:ascii="Palatino Linotype" w:hAnsi="Palatino Linotype"/>
          <w:b/>
          <w:lang w:val="es-ES" w:eastAsia="es-ES"/>
        </w:rPr>
        <w:t>Sujeto Obligado</w:t>
      </w:r>
      <w:r w:rsidRPr="00D05B59">
        <w:rPr>
          <w:rFonts w:ascii="Palatino Linotype" w:hAnsi="Palatino Linotype"/>
          <w:lang w:val="es-ES" w:eastAsia="es-ES"/>
        </w:rPr>
        <w:t>,</w:t>
      </w:r>
      <w:r w:rsidRPr="00D05B59">
        <w:rPr>
          <w:rFonts w:ascii="Palatino Linotype" w:hAnsi="Palatino Linotype"/>
          <w:b/>
          <w:lang w:val="es-ES" w:eastAsia="es-ES"/>
        </w:rPr>
        <w:t xml:space="preserve"> </w:t>
      </w:r>
      <w:r w:rsidRPr="00D05B59">
        <w:rPr>
          <w:rFonts w:ascii="Palatino Linotype" w:hAnsi="Palatino Linotype"/>
          <w:lang w:val="es-ES" w:eastAsia="es-ES"/>
        </w:rPr>
        <w:t>pues se reitera,</w:t>
      </w:r>
      <w:r w:rsidRPr="00D05B59">
        <w:rPr>
          <w:rFonts w:ascii="Palatino Linotype" w:eastAsia="Calibri" w:hAnsi="Palatino Linotype" w:cs="Arial"/>
          <w:lang w:val="es-ES" w:eastAsia="es-ES"/>
        </w:rPr>
        <w:t xml:space="preserve"> la puesta a disposición de la información referida en los inciso expuestos, pudiese causar un daño, alteración, pérdida, destrucción, o el uso, transferencia, acceso o cualquier tratamiento no autorizado o ilícito a la información que se encuentra en tratamiento en bases y sistemas de datos personales. </w:t>
      </w:r>
      <w:r w:rsidRPr="00D05B59">
        <w:rPr>
          <w:rFonts w:ascii="Palatino Linotype" w:hAnsi="Palatino Linotype"/>
          <w:lang w:val="es-ES" w:eastAsia="es-ES"/>
        </w:rPr>
        <w:t xml:space="preserve"> </w:t>
      </w:r>
    </w:p>
    <w:p w14:paraId="6C43B091" w14:textId="77777777" w:rsidR="00380BC7" w:rsidRPr="00D05B59" w:rsidRDefault="00380BC7" w:rsidP="00380BC7">
      <w:pPr>
        <w:spacing w:line="360" w:lineRule="auto"/>
        <w:ind w:right="49"/>
        <w:jc w:val="both"/>
        <w:rPr>
          <w:rFonts w:ascii="Palatino Linotype" w:hAnsi="Palatino Linotype"/>
          <w:lang w:val="es-ES" w:eastAsia="es-ES"/>
        </w:rPr>
      </w:pPr>
    </w:p>
    <w:p w14:paraId="7BD98EED" w14:textId="77777777" w:rsidR="00380BC7" w:rsidRPr="00D05B59" w:rsidRDefault="00380BC7" w:rsidP="00380BC7">
      <w:pPr>
        <w:spacing w:line="360" w:lineRule="auto"/>
        <w:ind w:right="49"/>
        <w:jc w:val="both"/>
        <w:rPr>
          <w:rFonts w:ascii="Palatino Linotype" w:hAnsi="Palatino Linotype"/>
          <w:lang w:val="es-ES" w:eastAsia="es-ES"/>
        </w:rPr>
      </w:pPr>
      <w:r w:rsidRPr="00D05B59">
        <w:rPr>
          <w:rFonts w:ascii="Palatino Linotype" w:hAnsi="Palatino Linotype"/>
          <w:lang w:val="es-ES" w:eastAsia="es-ES"/>
        </w:rPr>
        <w:t xml:space="preserve">Finalmente se reitera que derivado del presente estudio se concluye que todo lo concerniente a la </w:t>
      </w:r>
      <w:r w:rsidRPr="00D05B59">
        <w:rPr>
          <w:rFonts w:ascii="Palatino Linotype" w:hAnsi="Palatino Linotype"/>
          <w:b/>
          <w:lang w:val="es-ES" w:eastAsia="es-ES"/>
        </w:rPr>
        <w:t>fracción I</w:t>
      </w:r>
      <w:r w:rsidRPr="00D05B59">
        <w:rPr>
          <w:rFonts w:ascii="Palatino Linotype" w:hAnsi="Palatino Linotype"/>
          <w:lang w:val="es-ES" w:eastAsia="es-ES"/>
        </w:rPr>
        <w:t xml:space="preserve"> del artículo 49 de la Ley de Protección de Datos Personales en Posesión de Sujetos Obligados del Estado de México y Municipios si deberá entregarse, mientras que lo previsto en la </w:t>
      </w:r>
      <w:r w:rsidRPr="00D05B59">
        <w:rPr>
          <w:rFonts w:ascii="Palatino Linotype" w:hAnsi="Palatino Linotype"/>
          <w:b/>
          <w:lang w:val="es-ES" w:eastAsia="es-ES"/>
        </w:rPr>
        <w:t>fracción II</w:t>
      </w:r>
      <w:r w:rsidRPr="00D05B59">
        <w:rPr>
          <w:rFonts w:ascii="Palatino Linotype" w:hAnsi="Palatino Linotype"/>
          <w:lang w:val="es-ES" w:eastAsia="es-ES"/>
        </w:rPr>
        <w:t xml:space="preserve"> de la citada normatividad no es susceptible de entrega, por las razones previamente expuestas en líneas argumentativas anteriores.</w:t>
      </w:r>
    </w:p>
    <w:p w14:paraId="644D1BCC" w14:textId="77777777" w:rsidR="00D10398" w:rsidRPr="00D05B59" w:rsidRDefault="002574E7" w:rsidP="00B80784">
      <w:pPr>
        <w:spacing w:line="360" w:lineRule="auto"/>
        <w:ind w:right="49"/>
        <w:jc w:val="both"/>
        <w:rPr>
          <w:rFonts w:ascii="Palatino Linotype" w:hAnsi="Palatino Linotype"/>
          <w:lang w:val="es-ES" w:eastAsia="es-ES"/>
        </w:rPr>
      </w:pPr>
      <w:r w:rsidRPr="00D05B59">
        <w:rPr>
          <w:rFonts w:ascii="Palatino Linotype" w:eastAsia="Palatino Linotype" w:hAnsi="Palatino Linotype" w:cs="Palatino Linotype"/>
        </w:rPr>
        <w:lastRenderedPageBreak/>
        <w:t xml:space="preserve">Es por lo anteriormente expuesto que se estima que al entregar </w:t>
      </w:r>
      <w:r w:rsidR="00B80784" w:rsidRPr="00D05B59">
        <w:rPr>
          <w:rFonts w:ascii="Palatino Linotype" w:eastAsia="Palatino Linotype" w:hAnsi="Palatino Linotype" w:cs="Palatino Linotype"/>
        </w:rPr>
        <w:t xml:space="preserve">el documento de seguridad en el que únicamente se visualice </w:t>
      </w:r>
      <w:r w:rsidRPr="00D05B59">
        <w:rPr>
          <w:rFonts w:ascii="Palatino Linotype" w:eastAsia="Palatino Linotype" w:hAnsi="Palatino Linotype" w:cs="Palatino Linotype"/>
        </w:rPr>
        <w:t xml:space="preserve"> la carátula, guía de contenido del documento de seguridad, introducción e identificación del responsable no es suficiente pues se insiste que</w:t>
      </w:r>
      <w:r w:rsidR="00B80784" w:rsidRPr="00D05B59">
        <w:rPr>
          <w:rFonts w:ascii="Palatino Linotype" w:eastAsia="Palatino Linotype" w:hAnsi="Palatino Linotype" w:cs="Palatino Linotype"/>
        </w:rPr>
        <w:t xml:space="preserve"> se encuentran incompletos y como se determinó a lo largo del estudio, existen más elementos dentro del documento de seguridad que son susceptibles de entrega, de manera que lo único que no es susceptible de dejar visibles son las medidas de seguridad pues </w:t>
      </w:r>
      <w:r w:rsidR="00B80784" w:rsidRPr="00D05B59">
        <w:rPr>
          <w:rFonts w:ascii="Palatino Linotype" w:eastAsia="Calibri" w:hAnsi="Palatino Linotype" w:cs="Arial"/>
          <w:lang w:val="es-ES" w:eastAsia="es-ES"/>
        </w:rPr>
        <w:t xml:space="preserve">si se deja a disposición de los particulares esta información, pudiese causar un daño, alteración, pérdida, destrucción, o el uso, transferencia, acceso o cualquier tratamiento no autorizado o ilícito a la información que se encuentra en tratamiento en bases y sistemas de datos personales, </w:t>
      </w:r>
      <w:r w:rsidRPr="00D05B59">
        <w:rPr>
          <w:rFonts w:ascii="Palatino Linotype" w:eastAsia="Palatino Linotype" w:hAnsi="Palatino Linotype" w:cs="Palatino Linotype"/>
        </w:rPr>
        <w:t xml:space="preserve">de ahí que se resalte el hecho de que se puede entregar los documentos de seguridad en su respectiva </w:t>
      </w:r>
      <w:r w:rsidR="00B80784" w:rsidRPr="00D05B59">
        <w:rPr>
          <w:rFonts w:ascii="Palatino Linotype" w:eastAsia="Palatino Linotype" w:hAnsi="Palatino Linotype" w:cs="Palatino Linotype"/>
        </w:rPr>
        <w:t>versión pública, esto es, adjuntando el respectivo acuerdo de clasificación de la información.</w:t>
      </w:r>
    </w:p>
    <w:p w14:paraId="7D304B21" w14:textId="77777777" w:rsidR="00515A88" w:rsidRPr="00D05B59" w:rsidRDefault="00096237" w:rsidP="00B343D4">
      <w:pPr>
        <w:spacing w:before="240" w:after="240" w:line="360" w:lineRule="auto"/>
        <w:ind w:right="49"/>
        <w:jc w:val="both"/>
        <w:rPr>
          <w:rFonts w:ascii="Palatino Linotype" w:eastAsia="Palatino Linotype" w:hAnsi="Palatino Linotype" w:cs="Palatino Linotype"/>
        </w:rPr>
      </w:pPr>
      <w:r w:rsidRPr="00D05B59">
        <w:rPr>
          <w:rFonts w:ascii="Palatino Linotype" w:eastAsia="Palatino Linotype" w:hAnsi="Palatino Linotype" w:cs="Palatino Linotype"/>
        </w:rPr>
        <w:t>En mérito de lo expuesto, esta autoridad estima que las razones o motivos de i</w:t>
      </w:r>
      <w:r w:rsidR="00F733EE" w:rsidRPr="00D05B59">
        <w:rPr>
          <w:rFonts w:ascii="Palatino Linotype" w:eastAsia="Palatino Linotype" w:hAnsi="Palatino Linotype" w:cs="Palatino Linotype"/>
        </w:rPr>
        <w:t xml:space="preserve">nconformidad hechos valer por </w:t>
      </w:r>
      <w:r w:rsidR="00F733EE" w:rsidRPr="00D05B59">
        <w:rPr>
          <w:rFonts w:ascii="Palatino Linotype" w:eastAsia="Palatino Linotype" w:hAnsi="Palatino Linotype" w:cs="Palatino Linotype"/>
          <w:b/>
        </w:rPr>
        <w:t>la</w:t>
      </w:r>
      <w:r w:rsidRPr="00D05B59">
        <w:rPr>
          <w:rFonts w:ascii="Palatino Linotype" w:eastAsia="Palatino Linotype" w:hAnsi="Palatino Linotype" w:cs="Palatino Linotype"/>
        </w:rPr>
        <w:t xml:space="preserve"> </w:t>
      </w:r>
      <w:r w:rsidRPr="00D05B59">
        <w:rPr>
          <w:rFonts w:ascii="Palatino Linotype" w:eastAsia="Palatino Linotype" w:hAnsi="Palatino Linotype" w:cs="Palatino Linotype"/>
          <w:b/>
        </w:rPr>
        <w:t>Recurrente</w:t>
      </w:r>
      <w:r w:rsidRPr="00D05B59">
        <w:rPr>
          <w:rFonts w:ascii="Palatino Linotype" w:eastAsia="Palatino Linotype" w:hAnsi="Palatino Linotype" w:cs="Palatino Linotype"/>
        </w:rPr>
        <w:t xml:space="preserve"> se </w:t>
      </w:r>
      <w:proofErr w:type="gramStart"/>
      <w:r w:rsidRPr="00D05B59">
        <w:rPr>
          <w:rFonts w:ascii="Palatino Linotype" w:eastAsia="Palatino Linotype" w:hAnsi="Palatino Linotype" w:cs="Palatino Linotype"/>
        </w:rPr>
        <w:t>estiman  fundados</w:t>
      </w:r>
      <w:proofErr w:type="gramEnd"/>
      <w:r w:rsidRPr="00D05B59">
        <w:rPr>
          <w:rFonts w:ascii="Palatino Linotype" w:eastAsia="Palatino Linotype" w:hAnsi="Palatino Linotype" w:cs="Palatino Linotype"/>
        </w:rPr>
        <w:t>; por lo que, lo procedente es </w:t>
      </w:r>
      <w:r w:rsidR="00B343D4" w:rsidRPr="00D05B59">
        <w:rPr>
          <w:rFonts w:ascii="Palatino Linotype" w:eastAsia="Palatino Linotype" w:hAnsi="Palatino Linotype" w:cs="Palatino Linotype"/>
          <w:b/>
        </w:rPr>
        <w:t>MODIFI</w:t>
      </w:r>
      <w:r w:rsidRPr="00D05B59">
        <w:rPr>
          <w:rFonts w:ascii="Palatino Linotype" w:eastAsia="Palatino Linotype" w:hAnsi="Palatino Linotype" w:cs="Palatino Linotype"/>
          <w:b/>
        </w:rPr>
        <w:t>CAR</w:t>
      </w:r>
      <w:r w:rsidRPr="00D05B59">
        <w:rPr>
          <w:rFonts w:ascii="Palatino Linotype" w:eastAsia="Palatino Linotype" w:hAnsi="Palatino Linotype" w:cs="Palatino Linotype"/>
        </w:rPr>
        <w:t xml:space="preserve"> la respuesta del </w:t>
      </w:r>
      <w:r w:rsidRPr="00D05B59">
        <w:rPr>
          <w:rFonts w:ascii="Palatino Linotype" w:eastAsia="Palatino Linotype" w:hAnsi="Palatino Linotype" w:cs="Palatino Linotype"/>
          <w:b/>
        </w:rPr>
        <w:t>Sujeto Obligado</w:t>
      </w:r>
      <w:r w:rsidR="00F733EE" w:rsidRPr="00D05B59">
        <w:rPr>
          <w:rFonts w:ascii="Palatino Linotype" w:eastAsia="Palatino Linotype" w:hAnsi="Palatino Linotype" w:cs="Palatino Linotype"/>
          <w:b/>
        </w:rPr>
        <w:t xml:space="preserve"> y ordenar la entrega </w:t>
      </w:r>
      <w:r w:rsidR="002574E7" w:rsidRPr="00D05B59">
        <w:rPr>
          <w:rFonts w:ascii="Palatino Linotype" w:eastAsia="Palatino Linotype" w:hAnsi="Palatino Linotype" w:cs="Palatino Linotype"/>
        </w:rPr>
        <w:t>de las 225 cédulas de bases de datos personales referidas en respuesta y documentos de seguridad</w:t>
      </w:r>
      <w:r w:rsidR="00F667A8" w:rsidRPr="00D05B59">
        <w:rPr>
          <w:rFonts w:ascii="Palatino Linotype" w:eastAsia="Palatino Linotype" w:hAnsi="Palatino Linotype" w:cs="Palatino Linotype"/>
        </w:rPr>
        <w:t>, vigentes al trece de julio de dos mil veintidós</w:t>
      </w:r>
      <w:r w:rsidR="00F733EE" w:rsidRPr="00D05B59">
        <w:rPr>
          <w:rFonts w:ascii="Palatino Linotype" w:eastAsia="Palatino Linotype" w:hAnsi="Palatino Linotype" w:cs="Palatino Linotype"/>
        </w:rPr>
        <w:t>, en versión pública, atendiendo a lo dispuesto por el considerando siguiente.</w:t>
      </w:r>
    </w:p>
    <w:p w14:paraId="40BF3204" w14:textId="77777777" w:rsidR="00B80784" w:rsidRPr="00D05B59" w:rsidRDefault="00B80784" w:rsidP="00B343D4">
      <w:pPr>
        <w:spacing w:before="240" w:after="240" w:line="360" w:lineRule="auto"/>
        <w:ind w:right="49"/>
        <w:jc w:val="both"/>
        <w:rPr>
          <w:rFonts w:ascii="Palatino Linotype" w:eastAsia="Palatino Linotype" w:hAnsi="Palatino Linotype" w:cs="Palatino Linotype"/>
        </w:rPr>
      </w:pPr>
    </w:p>
    <w:p w14:paraId="01EE9534" w14:textId="77777777" w:rsidR="0035052E" w:rsidRPr="00D05B59" w:rsidRDefault="0035052E" w:rsidP="0035052E">
      <w:pPr>
        <w:spacing w:line="360" w:lineRule="auto"/>
        <w:jc w:val="both"/>
        <w:rPr>
          <w:rFonts w:ascii="Palatino Linotype" w:eastAsia="Palatino Linotype" w:hAnsi="Palatino Linotype" w:cs="Palatino Linotype"/>
          <w:lang w:val="es-ES"/>
        </w:rPr>
      </w:pPr>
      <w:r w:rsidRPr="00D05B59">
        <w:rPr>
          <w:rFonts w:ascii="Palatino Linotype" w:eastAsia="Palatino Linotype" w:hAnsi="Palatino Linotype" w:cs="Palatino Linotype"/>
          <w:b/>
          <w:lang w:val="es-ES"/>
        </w:rPr>
        <w:lastRenderedPageBreak/>
        <w:t xml:space="preserve">Quinto. Versión Pública. </w:t>
      </w:r>
      <w:r w:rsidRPr="00D05B59">
        <w:rPr>
          <w:rFonts w:ascii="Palatino Linotype" w:eastAsia="Palatino Linotype" w:hAnsi="Palatino Linotype" w:cs="Palatino Linotype"/>
          <w:lang w:val="es-ES"/>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D05B59">
        <w:rPr>
          <w:rFonts w:ascii="Palatino Linotype" w:eastAsia="Palatino Linotype" w:hAnsi="Palatino Linotype" w:cs="Palatino Linotype"/>
          <w:b/>
          <w:lang w:val="es-ES"/>
        </w:rPr>
        <w:t>Sujeto Obligado</w:t>
      </w:r>
      <w:r w:rsidRPr="00D05B59">
        <w:rPr>
          <w:rFonts w:ascii="Palatino Linotype" w:eastAsia="Palatino Linotype" w:hAnsi="Palatino Linotype" w:cs="Palatino Linotype"/>
          <w:lang w:val="es-ES"/>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8DEA5E3" w14:textId="77777777" w:rsidR="0035052E" w:rsidRPr="00D05B59" w:rsidRDefault="0035052E" w:rsidP="0035052E">
      <w:pPr>
        <w:spacing w:before="240" w:after="240" w:line="360" w:lineRule="auto"/>
        <w:ind w:right="50"/>
        <w:jc w:val="both"/>
        <w:rPr>
          <w:rFonts w:ascii="Palatino Linotype" w:eastAsia="Palatino Linotype" w:hAnsi="Palatino Linotype" w:cs="Palatino Linotype"/>
          <w:lang w:val="es-ES"/>
        </w:rPr>
      </w:pPr>
      <w:r w:rsidRPr="00D05B59">
        <w:rPr>
          <w:rFonts w:ascii="Palatino Linotype" w:eastAsia="Palatino Linotype" w:hAnsi="Palatino Linotype" w:cs="Palatino Linotype"/>
          <w:lang w:val="es-ES"/>
        </w:rPr>
        <w:t>Lo anterior, de conformidad a lo que señalan los artículos 3 fracciones IX, XX, XXI y XLV, 91, 132 fracciones II y III, y 143 fracción I de la Ley de Transparencia y Acceso a la Información Pública del Estado de México y Municipios que establecen:</w:t>
      </w:r>
    </w:p>
    <w:p w14:paraId="508EBF92"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i/>
          <w:sz w:val="22"/>
          <w:szCs w:val="22"/>
          <w:lang w:val="es-ES"/>
        </w:rPr>
        <w:t>“</w:t>
      </w:r>
      <w:r w:rsidRPr="00D05B59">
        <w:rPr>
          <w:rFonts w:ascii="Palatino Linotype" w:eastAsia="Palatino Linotype" w:hAnsi="Palatino Linotype" w:cs="Palatino Linotype"/>
          <w:b/>
          <w:i/>
          <w:sz w:val="22"/>
          <w:szCs w:val="22"/>
          <w:lang w:val="es-ES"/>
        </w:rPr>
        <w:t>Artículo 3</w:t>
      </w:r>
      <w:r w:rsidRPr="00D05B59">
        <w:rPr>
          <w:rFonts w:ascii="Palatino Linotype" w:eastAsia="Palatino Linotype" w:hAnsi="Palatino Linotype" w:cs="Palatino Linotype"/>
          <w:i/>
          <w:sz w:val="22"/>
          <w:szCs w:val="22"/>
          <w:lang w:val="es-ES"/>
        </w:rPr>
        <w:t>. Para los efectos de la presente Ley se entenderá por:</w:t>
      </w:r>
    </w:p>
    <w:p w14:paraId="0F58272C"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i/>
          <w:sz w:val="22"/>
          <w:szCs w:val="22"/>
          <w:lang w:val="es-ES"/>
        </w:rPr>
        <w:t>[…]</w:t>
      </w:r>
    </w:p>
    <w:p w14:paraId="43E38260"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b/>
          <w:i/>
          <w:sz w:val="22"/>
          <w:szCs w:val="22"/>
          <w:lang w:val="es-ES"/>
        </w:rPr>
        <w:t>IX. Datos personales:</w:t>
      </w:r>
      <w:r w:rsidRPr="00D05B59">
        <w:rPr>
          <w:rFonts w:ascii="Palatino Linotype" w:eastAsia="Palatino Linotype" w:hAnsi="Palatino Linotype" w:cs="Palatino Linotype"/>
          <w:i/>
          <w:sz w:val="22"/>
          <w:szCs w:val="22"/>
          <w:lang w:val="es-ES"/>
        </w:rPr>
        <w:t xml:space="preserve"> La información concerniente a una persona, identificada o identificable según lo dispuesto por la Ley de Protección de Datos Personales del Estado de México; </w:t>
      </w:r>
    </w:p>
    <w:p w14:paraId="0A0D69FB"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b/>
          <w:i/>
          <w:sz w:val="22"/>
          <w:szCs w:val="22"/>
          <w:lang w:val="es-ES"/>
        </w:rPr>
        <w:t>XX. Información clasificada</w:t>
      </w:r>
      <w:r w:rsidRPr="00D05B59">
        <w:rPr>
          <w:rFonts w:ascii="Palatino Linotype" w:eastAsia="Palatino Linotype" w:hAnsi="Palatino Linotype" w:cs="Palatino Linotype"/>
          <w:i/>
          <w:sz w:val="22"/>
          <w:szCs w:val="22"/>
          <w:lang w:val="es-ES"/>
        </w:rPr>
        <w:t>: Aquella considerada por la presente Ley como reservada o confidencial;</w:t>
      </w:r>
    </w:p>
    <w:p w14:paraId="3FA77223"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b/>
          <w:i/>
          <w:sz w:val="22"/>
          <w:szCs w:val="22"/>
          <w:lang w:val="es-ES"/>
        </w:rPr>
        <w:t>XXI. Información confidencial:</w:t>
      </w:r>
      <w:r w:rsidRPr="00D05B59">
        <w:rPr>
          <w:rFonts w:ascii="Palatino Linotype" w:eastAsia="Palatino Linotype" w:hAnsi="Palatino Linotype" w:cs="Palatino Linotype"/>
          <w:i/>
          <w:sz w:val="22"/>
          <w:szCs w:val="22"/>
          <w:lang w:val="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5D28C26"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b/>
          <w:i/>
          <w:sz w:val="22"/>
          <w:szCs w:val="22"/>
          <w:lang w:val="es-ES"/>
        </w:rPr>
        <w:lastRenderedPageBreak/>
        <w:t>XLV. Versión pública:</w:t>
      </w:r>
      <w:r w:rsidRPr="00D05B59">
        <w:rPr>
          <w:rFonts w:ascii="Palatino Linotype" w:eastAsia="Palatino Linotype" w:hAnsi="Palatino Linotype" w:cs="Palatino Linotype"/>
          <w:i/>
          <w:sz w:val="22"/>
          <w:szCs w:val="22"/>
          <w:lang w:val="es-ES"/>
        </w:rPr>
        <w:t xml:space="preserve"> Documento en el que se elimine, suprime o borra la información clasificada como reservada o confidencial para permitir su acceso.</w:t>
      </w:r>
    </w:p>
    <w:p w14:paraId="495742B4"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i/>
          <w:sz w:val="22"/>
          <w:szCs w:val="22"/>
          <w:lang w:val="es-ES"/>
        </w:rPr>
        <w:t>[…]</w:t>
      </w:r>
    </w:p>
    <w:p w14:paraId="33A6D65F"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b/>
          <w:i/>
          <w:sz w:val="22"/>
          <w:szCs w:val="22"/>
          <w:lang w:val="es-ES"/>
        </w:rPr>
        <w:t xml:space="preserve">Artículo 91. </w:t>
      </w:r>
      <w:r w:rsidRPr="00D05B59">
        <w:rPr>
          <w:rFonts w:ascii="Palatino Linotype" w:eastAsia="Palatino Linotype" w:hAnsi="Palatino Linotype" w:cs="Palatino Linotype"/>
          <w:i/>
          <w:sz w:val="22"/>
          <w:szCs w:val="22"/>
          <w:lang w:val="es-ES"/>
        </w:rPr>
        <w:t>El acceso a la información pública será restringido excepcionalmente, cuando ésta sea clasificada como reservada o confidencial.</w:t>
      </w:r>
    </w:p>
    <w:p w14:paraId="227AD254"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b/>
          <w:i/>
          <w:sz w:val="22"/>
          <w:szCs w:val="22"/>
          <w:lang w:val="es-ES"/>
        </w:rPr>
        <w:t xml:space="preserve">Artículo 132. </w:t>
      </w:r>
      <w:r w:rsidRPr="00D05B59">
        <w:rPr>
          <w:rFonts w:ascii="Palatino Linotype" w:eastAsia="Palatino Linotype" w:hAnsi="Palatino Linotype" w:cs="Palatino Linotype"/>
          <w:i/>
          <w:sz w:val="22"/>
          <w:szCs w:val="22"/>
          <w:lang w:val="es-ES"/>
        </w:rPr>
        <w:t>La clasificación de la información se llevará a cabo en el momento en que:</w:t>
      </w:r>
    </w:p>
    <w:p w14:paraId="5CE3B5DC"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b/>
          <w:i/>
          <w:sz w:val="22"/>
          <w:szCs w:val="22"/>
          <w:lang w:val="es-ES"/>
        </w:rPr>
        <w:t>I</w:t>
      </w:r>
      <w:r w:rsidRPr="00D05B59">
        <w:rPr>
          <w:rFonts w:ascii="Palatino Linotype" w:eastAsia="Palatino Linotype" w:hAnsi="Palatino Linotype" w:cs="Palatino Linotype"/>
          <w:i/>
          <w:sz w:val="22"/>
          <w:szCs w:val="22"/>
          <w:lang w:val="es-ES"/>
        </w:rPr>
        <w:t>. Se reciba una solicitud de acceso a la información;</w:t>
      </w:r>
    </w:p>
    <w:p w14:paraId="26C48E7E"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b/>
          <w:i/>
          <w:sz w:val="22"/>
          <w:szCs w:val="22"/>
          <w:lang w:val="es-ES"/>
        </w:rPr>
        <w:t>II</w:t>
      </w:r>
      <w:r w:rsidRPr="00D05B59">
        <w:rPr>
          <w:rFonts w:ascii="Palatino Linotype" w:eastAsia="Palatino Linotype" w:hAnsi="Palatino Linotype" w:cs="Palatino Linotype"/>
          <w:i/>
          <w:sz w:val="22"/>
          <w:szCs w:val="22"/>
          <w:lang w:val="es-ES"/>
        </w:rPr>
        <w:t>. Se determine mediante resolución de autoridad competente; o</w:t>
      </w:r>
    </w:p>
    <w:p w14:paraId="5D9B3BE2"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b/>
          <w:i/>
          <w:sz w:val="22"/>
          <w:szCs w:val="22"/>
          <w:lang w:val="es-ES"/>
        </w:rPr>
        <w:t>III</w:t>
      </w:r>
      <w:r w:rsidRPr="00D05B59">
        <w:rPr>
          <w:rFonts w:ascii="Palatino Linotype" w:eastAsia="Palatino Linotype" w:hAnsi="Palatino Linotype" w:cs="Palatino Linotype"/>
          <w:i/>
          <w:sz w:val="22"/>
          <w:szCs w:val="22"/>
          <w:lang w:val="es-ES"/>
        </w:rPr>
        <w:t>. Se generen versiones públicas para dar cumplimiento a las obligaciones de transparencia previstas en esta Ley.</w:t>
      </w:r>
    </w:p>
    <w:p w14:paraId="27552B37"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i/>
          <w:sz w:val="22"/>
          <w:szCs w:val="22"/>
          <w:lang w:val="es-ES"/>
        </w:rPr>
        <w:t>[…]</w:t>
      </w:r>
    </w:p>
    <w:p w14:paraId="096795DB"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b/>
          <w:i/>
          <w:sz w:val="22"/>
          <w:szCs w:val="22"/>
          <w:lang w:val="es-ES"/>
        </w:rPr>
        <w:t>Artículo 143</w:t>
      </w:r>
      <w:r w:rsidRPr="00D05B59">
        <w:rPr>
          <w:rFonts w:ascii="Palatino Linotype" w:eastAsia="Palatino Linotype" w:hAnsi="Palatino Linotype" w:cs="Palatino Linotype"/>
          <w:i/>
          <w:sz w:val="22"/>
          <w:szCs w:val="22"/>
          <w:lang w:val="es-ES"/>
        </w:rPr>
        <w:t>. Para los efectos de esta Ley se considera información confidencial, la clasificada como tal, de manera permanente, por su naturaleza, cuando:</w:t>
      </w:r>
    </w:p>
    <w:p w14:paraId="65ECA0DD"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b/>
          <w:i/>
          <w:sz w:val="22"/>
          <w:szCs w:val="22"/>
          <w:lang w:val="es-ES"/>
        </w:rPr>
        <w:t>I.</w:t>
      </w:r>
      <w:r w:rsidRPr="00D05B59">
        <w:rPr>
          <w:rFonts w:ascii="Palatino Linotype" w:eastAsia="Palatino Linotype" w:hAnsi="Palatino Linotype" w:cs="Palatino Linotype"/>
          <w:i/>
          <w:sz w:val="22"/>
          <w:szCs w:val="22"/>
          <w:lang w:val="es-ES"/>
        </w:rPr>
        <w:t xml:space="preserve"> Se refiera a la información privada y los datos personales concernientes a una persona física o jurídico colectiva identificada o identificable;</w:t>
      </w:r>
    </w:p>
    <w:p w14:paraId="41E421DD"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b/>
          <w:i/>
          <w:sz w:val="22"/>
          <w:szCs w:val="22"/>
          <w:lang w:val="es-ES"/>
        </w:rPr>
        <w:t>II.</w:t>
      </w:r>
      <w:r w:rsidRPr="00D05B59">
        <w:rPr>
          <w:rFonts w:ascii="Palatino Linotype" w:eastAsia="Palatino Linotype" w:hAnsi="Palatino Linotype" w:cs="Palatino Linotype"/>
          <w:i/>
          <w:sz w:val="22"/>
          <w:szCs w:val="22"/>
          <w:lang w:val="es-ES"/>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7F4047B"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b/>
          <w:i/>
          <w:sz w:val="22"/>
          <w:szCs w:val="22"/>
          <w:lang w:val="es-ES"/>
        </w:rPr>
        <w:t>III</w:t>
      </w:r>
      <w:r w:rsidRPr="00D05B59">
        <w:rPr>
          <w:rFonts w:ascii="Palatino Linotype" w:eastAsia="Palatino Linotype" w:hAnsi="Palatino Linotype" w:cs="Palatino Linotype"/>
          <w:i/>
          <w:sz w:val="22"/>
          <w:szCs w:val="22"/>
          <w:lang w:val="es-ES"/>
        </w:rPr>
        <w:t>. La que presenten los particulares a los sujetos obligados, de conformidad con lo dispuesto por las leyes o los tratados internacionales.</w:t>
      </w:r>
    </w:p>
    <w:p w14:paraId="175CE3CA"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i/>
          <w:sz w:val="22"/>
          <w:szCs w:val="22"/>
          <w:lang w:val="es-ES"/>
        </w:rPr>
        <w:t>La información confidencial no estará sujeta a temporalidad alguna y sólo podrán tener acceso a ella los titulares de la misma, sus representantes y los servidores públicos facultados para ello.</w:t>
      </w:r>
    </w:p>
    <w:p w14:paraId="619B6E95" w14:textId="77777777" w:rsidR="0035052E" w:rsidRPr="00D05B59" w:rsidRDefault="0035052E" w:rsidP="0035052E">
      <w:pPr>
        <w:spacing w:before="120" w:after="120"/>
        <w:ind w:left="567" w:right="902"/>
        <w:jc w:val="both"/>
        <w:rPr>
          <w:rFonts w:ascii="Palatino Linotype" w:eastAsia="Palatino Linotype" w:hAnsi="Palatino Linotype" w:cs="Palatino Linotype"/>
          <w:i/>
          <w:sz w:val="22"/>
          <w:szCs w:val="22"/>
          <w:lang w:val="es-ES"/>
        </w:rPr>
      </w:pPr>
      <w:r w:rsidRPr="00D05B59">
        <w:rPr>
          <w:rFonts w:ascii="Palatino Linotype" w:eastAsia="Palatino Linotype" w:hAnsi="Palatino Linotype" w:cs="Palatino Linotype"/>
          <w:i/>
          <w:sz w:val="22"/>
          <w:szCs w:val="22"/>
          <w:lang w:val="es-ES"/>
        </w:rPr>
        <w:t>No se considerará confidencial la información que se encuentre en los registros públicos o en fuentes de acceso público, ni tampoco la que sea considerada por la presente ley como información pública.”</w:t>
      </w:r>
    </w:p>
    <w:p w14:paraId="22EE3ECB" w14:textId="77777777" w:rsidR="0035052E" w:rsidRPr="00D05B59" w:rsidRDefault="0035052E" w:rsidP="0035052E">
      <w:pPr>
        <w:spacing w:before="240" w:after="240" w:line="360" w:lineRule="auto"/>
        <w:jc w:val="both"/>
        <w:rPr>
          <w:rFonts w:ascii="Palatino Linotype" w:eastAsia="Palatino Linotype" w:hAnsi="Palatino Linotype" w:cs="Palatino Linotype"/>
          <w:lang w:val="es-ES"/>
        </w:rPr>
      </w:pPr>
      <w:r w:rsidRPr="00D05B59">
        <w:rPr>
          <w:rFonts w:ascii="Palatino Linotype" w:eastAsia="Palatino Linotype" w:hAnsi="Palatino Linotype" w:cs="Palatino Linotype"/>
          <w:lang w:val="es-ES"/>
        </w:rPr>
        <w:t xml:space="preserve">Igualmente, los Lineamientos Generales en Materia de Clasificación y Desclasificación de la Información, así como para la elaboración de Versiones </w:t>
      </w:r>
      <w:r w:rsidRPr="00D05B59">
        <w:rPr>
          <w:rFonts w:ascii="Palatino Linotype" w:eastAsia="Palatino Linotype" w:hAnsi="Palatino Linotype" w:cs="Palatino Linotype"/>
          <w:lang w:val="es-ES"/>
        </w:rPr>
        <w:lastRenderedPageBreak/>
        <w:t>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8EBC478" w14:textId="77777777" w:rsidR="0035052E" w:rsidRPr="00D05B59" w:rsidRDefault="0035052E" w:rsidP="0035052E">
      <w:pPr>
        <w:spacing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lang w:val="es-ES"/>
        </w:rPr>
        <w:t>Entorno a lo que aquí nos interesa,</w:t>
      </w:r>
      <w:r w:rsidRPr="00D05B59">
        <w:rPr>
          <w:rFonts w:ascii="Palatino Linotype" w:eastAsia="Palatino Linotype" w:hAnsi="Palatino Linotype" w:cs="Palatino Linotype"/>
        </w:rPr>
        <w:t xml:space="preserve"> los Lineamientos Quincuagésimo, Quincuagésimo primero, Quincuagésimo segundo, Quincuagésimo tercero, Quincuagésimo cuarto y Quincuagésimo quinto</w:t>
      </w:r>
      <w:r w:rsidRPr="00D05B59">
        <w:rPr>
          <w:rFonts w:ascii="Palatino Linotype" w:eastAsia="Palatino Linotype" w:hAnsi="Palatino Linotype" w:cs="Palatino Linotype"/>
          <w:lang w:val="es-ES"/>
        </w:rPr>
        <w:t xml:space="preserve"> </w:t>
      </w:r>
      <w:r w:rsidRPr="00D05B59">
        <w:rPr>
          <w:rFonts w:ascii="Palatino Linotype" w:eastAsia="Palatino Linotype" w:hAnsi="Palatino Linotype" w:cs="Palatino Linotype"/>
        </w:rPr>
        <w:t xml:space="preserve">señalan las formalidades que deberá llevar el acuerdo de clasificación que deberá emitir el </w:t>
      </w:r>
      <w:r w:rsidRPr="00D05B59">
        <w:rPr>
          <w:rFonts w:ascii="Palatino Linotype" w:eastAsia="Palatino Linotype" w:hAnsi="Palatino Linotype" w:cs="Palatino Linotype"/>
          <w:b/>
        </w:rPr>
        <w:t>Sujeto Obligado</w:t>
      </w:r>
      <w:r w:rsidRPr="00D05B59">
        <w:rPr>
          <w:rFonts w:ascii="Palatino Linotype" w:eastAsia="Palatino Linotype" w:hAnsi="Palatino Linotype" w:cs="Palatino Linotype"/>
        </w:rPr>
        <w:t>, siendo estas las siguientes:</w:t>
      </w:r>
    </w:p>
    <w:p w14:paraId="77DCF772" w14:textId="77777777" w:rsidR="0035052E" w:rsidRPr="00D05B59" w:rsidRDefault="0035052E" w:rsidP="0035052E">
      <w:pPr>
        <w:spacing w:line="360" w:lineRule="auto"/>
        <w:jc w:val="both"/>
        <w:rPr>
          <w:rFonts w:ascii="Palatino Linotype" w:eastAsia="Palatino Linotype" w:hAnsi="Palatino Linotype" w:cs="Palatino Linotype"/>
        </w:rPr>
      </w:pPr>
    </w:p>
    <w:p w14:paraId="730DD808" w14:textId="77777777" w:rsidR="0035052E" w:rsidRPr="00D05B59" w:rsidRDefault="0035052E" w:rsidP="0035052E">
      <w:pPr>
        <w:spacing w:line="276" w:lineRule="auto"/>
        <w:ind w:lef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“CAPÍTULO VIII </w:t>
      </w:r>
    </w:p>
    <w:p w14:paraId="7525A26A" w14:textId="77777777" w:rsidR="0035052E" w:rsidRPr="00D05B59" w:rsidRDefault="0035052E" w:rsidP="0035052E">
      <w:pPr>
        <w:spacing w:line="276" w:lineRule="auto"/>
        <w:ind w:left="567"/>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DE LOS ELEMENTOS PARA LA CLASIFICACIÓN </w:t>
      </w:r>
    </w:p>
    <w:p w14:paraId="3FD4B1EC" w14:textId="77777777" w:rsidR="0035052E" w:rsidRPr="00D05B59" w:rsidRDefault="0035052E" w:rsidP="0035052E">
      <w:pP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Quincuagésimo.</w:t>
      </w:r>
      <w:r w:rsidRPr="00D05B59">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DBA767C" w14:textId="77777777" w:rsidR="0035052E" w:rsidRPr="00D05B59" w:rsidRDefault="0035052E" w:rsidP="0035052E">
      <w:pP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Quincuagésimo primero.</w:t>
      </w:r>
      <w:r w:rsidRPr="00D05B59">
        <w:rPr>
          <w:rFonts w:ascii="Palatino Linotype" w:eastAsia="Palatino Linotype" w:hAnsi="Palatino Linotype" w:cs="Palatino Linotype"/>
          <w:i/>
          <w:sz w:val="22"/>
          <w:szCs w:val="22"/>
        </w:rPr>
        <w:t xml:space="preserve"> Toda acta del Comité de Transparencia deberá contener: </w:t>
      </w:r>
    </w:p>
    <w:p w14:paraId="55606563" w14:textId="77777777" w:rsidR="0035052E" w:rsidRPr="00D05B59" w:rsidRDefault="0035052E" w:rsidP="0035052E">
      <w:pPr>
        <w:numPr>
          <w:ilvl w:val="1"/>
          <w:numId w:val="19"/>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El número de sesión y fecha; </w:t>
      </w:r>
    </w:p>
    <w:p w14:paraId="6E1E67D8" w14:textId="77777777" w:rsidR="0035052E" w:rsidRPr="00D05B59" w:rsidRDefault="0035052E" w:rsidP="0035052E">
      <w:pPr>
        <w:numPr>
          <w:ilvl w:val="1"/>
          <w:numId w:val="19"/>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El nombre del área que solicitó la clasificación de información; </w:t>
      </w:r>
    </w:p>
    <w:p w14:paraId="1F82C45A" w14:textId="77777777" w:rsidR="0035052E" w:rsidRPr="00D05B59" w:rsidRDefault="0035052E" w:rsidP="0035052E">
      <w:pPr>
        <w:numPr>
          <w:ilvl w:val="1"/>
          <w:numId w:val="19"/>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La fundamentación legal y motivación correspondiente; </w:t>
      </w:r>
    </w:p>
    <w:p w14:paraId="76B38656" w14:textId="77777777" w:rsidR="0035052E" w:rsidRPr="00D05B59" w:rsidRDefault="0035052E" w:rsidP="0035052E">
      <w:pPr>
        <w:numPr>
          <w:ilvl w:val="1"/>
          <w:numId w:val="19"/>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La resolución o resoluciones aprobadas; y </w:t>
      </w:r>
    </w:p>
    <w:p w14:paraId="603582AF" w14:textId="77777777" w:rsidR="0035052E" w:rsidRPr="00D05B59" w:rsidRDefault="0035052E" w:rsidP="0035052E">
      <w:pPr>
        <w:numPr>
          <w:ilvl w:val="1"/>
          <w:numId w:val="19"/>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La rúbrica o firma digital de cada integrante del Comité de Transparencia. </w:t>
      </w:r>
    </w:p>
    <w:p w14:paraId="7FE34DB6"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lastRenderedPageBreak/>
        <w:t xml:space="preserve">Las resoluciones del Comité en las que se haya determinado confirmar o modificar la clasificación de información pública como reservada, deberán incluir, cuando menos: </w:t>
      </w:r>
    </w:p>
    <w:p w14:paraId="4E292CA9"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I. Los motivos y razonamientos que sustenten la confirmación o modificación de la prueba de daño;</w:t>
      </w:r>
    </w:p>
    <w:p w14:paraId="1CA33ED1"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II. Descripción de las partes o secciones reservadas, en caso de clasificación parcial; </w:t>
      </w:r>
    </w:p>
    <w:p w14:paraId="3DAD8F39"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III. El periodo por el que mantendrá su clasificación y fecha de expiración; y </w:t>
      </w:r>
    </w:p>
    <w:p w14:paraId="465C597E"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5FE2242B"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19266F5"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884769B"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 xml:space="preserve">Quincuagésimo segundo. </w:t>
      </w:r>
      <w:r w:rsidRPr="00D05B59">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CC6FB97"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38AEA8A5"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I. Fijar la fecha en que se elaboró la versión pública y la fecha en la cual el Comité de</w:t>
      </w:r>
    </w:p>
    <w:p w14:paraId="1F88A526"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Transparencia confirmó dicha versión;</w:t>
      </w:r>
    </w:p>
    <w:p w14:paraId="58346929"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DB3393C"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III. Señalar las personas o instancias autorizadas a acceder a la información clasificada.</w:t>
      </w:r>
    </w:p>
    <w:p w14:paraId="0FA7AFDB"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r w:rsidRPr="00D05B59">
        <w:rPr>
          <w:noProof/>
        </w:rPr>
        <w:drawing>
          <wp:anchor distT="0" distB="0" distL="114300" distR="114300" simplePos="0" relativeHeight="251675648" behindDoc="0" locked="0" layoutInCell="1" hidden="0" allowOverlap="1" wp14:anchorId="7E37E5AC" wp14:editId="4172FA16">
            <wp:simplePos x="0" y="0"/>
            <wp:positionH relativeFrom="column">
              <wp:posOffset>377190</wp:posOffset>
            </wp:positionH>
            <wp:positionV relativeFrom="paragraph">
              <wp:posOffset>798830</wp:posOffset>
            </wp:positionV>
            <wp:extent cx="4568190" cy="330200"/>
            <wp:effectExtent l="0" t="0" r="0" b="0"/>
            <wp:wrapTopAndBottom distT="0" dist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568190" cy="330200"/>
                    </a:xfrm>
                    <a:prstGeom prst="rect">
                      <a:avLst/>
                    </a:prstGeom>
                    <a:ln/>
                  </pic:spPr>
                </pic:pic>
              </a:graphicData>
            </a:graphic>
          </wp:anchor>
        </w:drawing>
      </w:r>
    </w:p>
    <w:p w14:paraId="2F121E2E"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b/>
          <w:i/>
          <w:noProof/>
          <w:sz w:val="22"/>
          <w:szCs w:val="22"/>
        </w:rPr>
        <w:drawing>
          <wp:inline distT="0" distB="0" distL="0" distR="0" wp14:anchorId="72F0E88B" wp14:editId="1F161270">
            <wp:extent cx="4576404" cy="513965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4576404" cy="5139653"/>
                    </a:xfrm>
                    <a:prstGeom prst="rect">
                      <a:avLst/>
                    </a:prstGeom>
                    <a:ln/>
                  </pic:spPr>
                </pic:pic>
              </a:graphicData>
            </a:graphic>
          </wp:inline>
        </w:drawing>
      </w:r>
    </w:p>
    <w:p w14:paraId="651C9856"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150CFBFA"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 xml:space="preserve">Quincuagésimo cuarto. </w:t>
      </w:r>
      <w:r w:rsidRPr="00D05B59">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w:t>
      </w:r>
      <w:r w:rsidRPr="00D05B59">
        <w:rPr>
          <w:rFonts w:ascii="Palatino Linotype" w:eastAsia="Palatino Linotype" w:hAnsi="Palatino Linotype" w:cs="Palatino Linotype"/>
          <w:i/>
          <w:sz w:val="22"/>
          <w:szCs w:val="22"/>
        </w:rPr>
        <w:lastRenderedPageBreak/>
        <w:t>se deberá anexar al expediente la resolución que determinó la clasificación o, en su defecto, identificar en la carátula del expediente del cual formen parte, la fecha y sesión del Comité de Transparencia en la que se confirmó dicha clasificación.</w:t>
      </w:r>
    </w:p>
    <w:p w14:paraId="2E2B6C67"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52EA894D" w14:textId="77777777" w:rsidR="0035052E" w:rsidRPr="00D05B59" w:rsidRDefault="0035052E" w:rsidP="0035052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b/>
          <w:i/>
          <w:sz w:val="22"/>
          <w:szCs w:val="22"/>
        </w:rPr>
        <w:t xml:space="preserve">Quincuagésimo quinto. </w:t>
      </w:r>
      <w:r w:rsidRPr="00D05B59">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D05B59">
        <w:rPr>
          <w:rFonts w:ascii="Palatino Linotype" w:eastAsia="Palatino Linotype" w:hAnsi="Palatino Linotype" w:cs="Palatino Linotype"/>
          <w:i/>
          <w:sz w:val="22"/>
          <w:szCs w:val="22"/>
        </w:rPr>
        <w:t>testado</w:t>
      </w:r>
      <w:proofErr w:type="spellEnd"/>
      <w:r w:rsidRPr="00D05B59">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0AA23FAB" w14:textId="77777777" w:rsidR="0035052E" w:rsidRPr="00D05B59" w:rsidRDefault="0035052E" w:rsidP="0035052E">
      <w:pPr>
        <w:spacing w:before="240" w:after="240" w:line="360" w:lineRule="auto"/>
        <w:jc w:val="both"/>
        <w:rPr>
          <w:rFonts w:ascii="Palatino Linotype" w:eastAsia="Palatino Linotype" w:hAnsi="Palatino Linotype" w:cs="Palatino Linotype"/>
          <w:lang w:val="es-ES"/>
        </w:rPr>
      </w:pPr>
      <w:r w:rsidRPr="00D05B59">
        <w:rPr>
          <w:rFonts w:ascii="Palatino Linotype" w:eastAsia="Palatino Linotype" w:hAnsi="Palatino Linotype" w:cs="Palatino Linotype"/>
          <w:lang w:val="es-ES"/>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D05B59">
        <w:rPr>
          <w:rFonts w:ascii="Palatino Linotype" w:eastAsia="Palatino Linotype" w:hAnsi="Palatino Linotype" w:cs="Palatino Linotype"/>
          <w:b/>
          <w:lang w:val="es-ES"/>
        </w:rPr>
        <w:t>Sujeto Obligado</w:t>
      </w:r>
      <w:r w:rsidRPr="00D05B59">
        <w:rPr>
          <w:rFonts w:ascii="Palatino Linotype" w:eastAsia="Palatino Linotype" w:hAnsi="Palatino Linotype" w:cs="Palatino Linotype"/>
          <w:lang w:val="es-ES"/>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D713DCB" w14:textId="77777777" w:rsidR="00515A88" w:rsidRPr="00D05B59" w:rsidRDefault="00096237">
      <w:pP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rPr>
        <w:t>Por lo anteriormente expuesto y con fundamento en lo prescrito en los artículos 5 párrafos vigésimo segundo, vigésimo tercero y vigésimo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4C5C50D7" w14:textId="77777777" w:rsidR="00515A88" w:rsidRPr="00D05B59" w:rsidRDefault="00096237">
      <w:pPr>
        <w:numPr>
          <w:ilvl w:val="0"/>
          <w:numId w:val="3"/>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D05B59">
        <w:rPr>
          <w:rFonts w:ascii="Palatino Linotype" w:eastAsia="Palatino Linotype" w:hAnsi="Palatino Linotype" w:cs="Palatino Linotype"/>
          <w:b/>
        </w:rPr>
        <w:lastRenderedPageBreak/>
        <w:t>R E S U E L V E:</w:t>
      </w:r>
    </w:p>
    <w:p w14:paraId="0C961583" w14:textId="77777777" w:rsidR="00515A88" w:rsidRPr="00D05B59" w:rsidRDefault="00096237">
      <w:pPr>
        <w:spacing w:before="240" w:after="240" w:line="360" w:lineRule="auto"/>
        <w:jc w:val="both"/>
        <w:rPr>
          <w:rFonts w:ascii="Palatino Linotype" w:eastAsia="Palatino Linotype" w:hAnsi="Palatino Linotype" w:cs="Palatino Linotype"/>
        </w:rPr>
      </w:pPr>
      <w:bookmarkStart w:id="2" w:name="_heading=h.3znysh7" w:colFirst="0" w:colLast="0"/>
      <w:bookmarkEnd w:id="2"/>
      <w:r w:rsidRPr="00D05B59">
        <w:rPr>
          <w:rFonts w:ascii="Palatino Linotype" w:eastAsia="Palatino Linotype" w:hAnsi="Palatino Linotype" w:cs="Palatino Linotype"/>
          <w:b/>
        </w:rPr>
        <w:t xml:space="preserve">Primero. </w:t>
      </w:r>
      <w:r w:rsidRPr="00D05B59">
        <w:rPr>
          <w:rFonts w:ascii="Palatino Linotype" w:eastAsia="Palatino Linotype" w:hAnsi="Palatino Linotype" w:cs="Palatino Linotype"/>
        </w:rPr>
        <w:t xml:space="preserve">Resultan </w:t>
      </w:r>
      <w:r w:rsidRPr="00D05B59">
        <w:rPr>
          <w:rFonts w:ascii="Palatino Linotype" w:eastAsia="Palatino Linotype" w:hAnsi="Palatino Linotype" w:cs="Palatino Linotype"/>
          <w:b/>
        </w:rPr>
        <w:t>fundadas</w:t>
      </w:r>
      <w:r w:rsidRPr="00D05B59">
        <w:rPr>
          <w:rFonts w:ascii="Palatino Linotype" w:eastAsia="Palatino Linotype" w:hAnsi="Palatino Linotype" w:cs="Palatino Linotype"/>
        </w:rPr>
        <w:t xml:space="preserve"> las razones o motivos de inconformidad hechos valer por </w:t>
      </w:r>
      <w:r w:rsidR="0035052E" w:rsidRPr="00D05B59">
        <w:rPr>
          <w:rFonts w:ascii="Palatino Linotype" w:eastAsia="Palatino Linotype" w:hAnsi="Palatino Linotype" w:cs="Palatino Linotype"/>
          <w:b/>
        </w:rPr>
        <w:t>la</w:t>
      </w:r>
      <w:r w:rsidR="00075816" w:rsidRPr="00D05B59">
        <w:rPr>
          <w:rFonts w:ascii="Palatino Linotype" w:eastAsia="Palatino Linotype" w:hAnsi="Palatino Linotype" w:cs="Palatino Linotype"/>
          <w:b/>
        </w:rPr>
        <w:t xml:space="preserve"> </w:t>
      </w:r>
      <w:r w:rsidRPr="00D05B59">
        <w:rPr>
          <w:rFonts w:ascii="Palatino Linotype" w:eastAsia="Palatino Linotype" w:hAnsi="Palatino Linotype" w:cs="Palatino Linotype"/>
          <w:b/>
        </w:rPr>
        <w:t>Recurrente</w:t>
      </w:r>
      <w:r w:rsidRPr="00D05B59">
        <w:rPr>
          <w:rFonts w:ascii="Palatino Linotype" w:eastAsia="Palatino Linotype" w:hAnsi="Palatino Linotype" w:cs="Palatino Linotype"/>
        </w:rPr>
        <w:t xml:space="preserve"> en el recurso de revisión </w:t>
      </w:r>
      <w:r w:rsidR="0035052E" w:rsidRPr="00D05B59">
        <w:rPr>
          <w:rFonts w:ascii="Palatino Linotype" w:eastAsia="Palatino Linotype" w:hAnsi="Palatino Linotype" w:cs="Palatino Linotype"/>
          <w:b/>
        </w:rPr>
        <w:t>14754</w:t>
      </w:r>
      <w:r w:rsidRPr="00D05B59">
        <w:rPr>
          <w:rFonts w:ascii="Palatino Linotype" w:eastAsia="Palatino Linotype" w:hAnsi="Palatino Linotype" w:cs="Palatino Linotype"/>
          <w:b/>
        </w:rPr>
        <w:t>/INFOEM/IP/RR/2022</w:t>
      </w:r>
      <w:r w:rsidRPr="00D05B59">
        <w:rPr>
          <w:rFonts w:ascii="Palatino Linotype" w:eastAsia="Palatino Linotype" w:hAnsi="Palatino Linotype" w:cs="Palatino Linotype"/>
        </w:rPr>
        <w:t xml:space="preserve">; por lo </w:t>
      </w:r>
      <w:r w:rsidR="00C41167" w:rsidRPr="00D05B59">
        <w:rPr>
          <w:rFonts w:ascii="Palatino Linotype" w:eastAsia="Palatino Linotype" w:hAnsi="Palatino Linotype" w:cs="Palatino Linotype"/>
        </w:rPr>
        <w:t xml:space="preserve">que, en términos del </w:t>
      </w:r>
      <w:r w:rsidR="00C41167" w:rsidRPr="00D05B59">
        <w:rPr>
          <w:rFonts w:ascii="Palatino Linotype" w:eastAsia="Palatino Linotype" w:hAnsi="Palatino Linotype" w:cs="Palatino Linotype"/>
          <w:b/>
        </w:rPr>
        <w:t>C</w:t>
      </w:r>
      <w:r w:rsidRPr="00D05B59">
        <w:rPr>
          <w:rFonts w:ascii="Palatino Linotype" w:eastAsia="Palatino Linotype" w:hAnsi="Palatino Linotype" w:cs="Palatino Linotype"/>
          <w:b/>
        </w:rPr>
        <w:t>onsiderando</w:t>
      </w:r>
      <w:r w:rsidRPr="00D05B59">
        <w:rPr>
          <w:rFonts w:ascii="Palatino Linotype" w:eastAsia="Palatino Linotype" w:hAnsi="Palatino Linotype" w:cs="Palatino Linotype"/>
        </w:rPr>
        <w:t xml:space="preserve"> </w:t>
      </w:r>
      <w:r w:rsidRPr="00D05B59">
        <w:rPr>
          <w:rFonts w:ascii="Palatino Linotype" w:eastAsia="Palatino Linotype" w:hAnsi="Palatino Linotype" w:cs="Palatino Linotype"/>
          <w:b/>
        </w:rPr>
        <w:t xml:space="preserve">Cuarto </w:t>
      </w:r>
      <w:r w:rsidRPr="00D05B59">
        <w:rPr>
          <w:rFonts w:ascii="Palatino Linotype" w:eastAsia="Palatino Linotype" w:hAnsi="Palatino Linotype" w:cs="Palatino Linotype"/>
        </w:rPr>
        <w:t xml:space="preserve">de esta resolución, se </w:t>
      </w:r>
      <w:r w:rsidR="00453E74" w:rsidRPr="00D05B59">
        <w:rPr>
          <w:rFonts w:ascii="Palatino Linotype" w:eastAsia="Palatino Linotype" w:hAnsi="Palatino Linotype" w:cs="Palatino Linotype"/>
          <w:b/>
        </w:rPr>
        <w:t>MODIFI</w:t>
      </w:r>
      <w:r w:rsidRPr="00D05B59">
        <w:rPr>
          <w:rFonts w:ascii="Palatino Linotype" w:eastAsia="Palatino Linotype" w:hAnsi="Palatino Linotype" w:cs="Palatino Linotype"/>
          <w:b/>
        </w:rPr>
        <w:t xml:space="preserve">CA </w:t>
      </w:r>
      <w:r w:rsidRPr="00D05B59">
        <w:rPr>
          <w:rFonts w:ascii="Palatino Linotype" w:eastAsia="Palatino Linotype" w:hAnsi="Palatino Linotype" w:cs="Palatino Linotype"/>
        </w:rPr>
        <w:t xml:space="preserve">la respuesta emitida por el </w:t>
      </w:r>
      <w:r w:rsidRPr="00D05B59">
        <w:rPr>
          <w:rFonts w:ascii="Palatino Linotype" w:eastAsia="Palatino Linotype" w:hAnsi="Palatino Linotype" w:cs="Palatino Linotype"/>
          <w:b/>
        </w:rPr>
        <w:t>Sujeto Obligado.</w:t>
      </w:r>
    </w:p>
    <w:p w14:paraId="74C3E80D" w14:textId="77777777" w:rsidR="00515A88" w:rsidRPr="00D05B59" w:rsidRDefault="00096237">
      <w:pPr>
        <w:spacing w:before="240" w:after="240" w:line="360" w:lineRule="auto"/>
        <w:ind w:right="49"/>
        <w:jc w:val="both"/>
        <w:rPr>
          <w:rFonts w:ascii="Palatino Linotype" w:eastAsia="Palatino Linotype" w:hAnsi="Palatino Linotype" w:cs="Palatino Linotype"/>
          <w:u w:val="single"/>
        </w:rPr>
      </w:pPr>
      <w:bookmarkStart w:id="3" w:name="_heading=h.1fob9te" w:colFirst="0" w:colLast="0"/>
      <w:bookmarkEnd w:id="3"/>
      <w:r w:rsidRPr="00D05B59">
        <w:rPr>
          <w:rFonts w:ascii="Palatino Linotype" w:eastAsia="Palatino Linotype" w:hAnsi="Palatino Linotype" w:cs="Palatino Linotype"/>
          <w:b/>
        </w:rPr>
        <w:t xml:space="preserve">Segundo. </w:t>
      </w:r>
      <w:r w:rsidRPr="00D05B59">
        <w:rPr>
          <w:rFonts w:ascii="Palatino Linotype" w:eastAsia="Palatino Linotype" w:hAnsi="Palatino Linotype" w:cs="Palatino Linotype"/>
        </w:rPr>
        <w:t xml:space="preserve">Se </w:t>
      </w:r>
      <w:r w:rsidRPr="00D05B59">
        <w:rPr>
          <w:rFonts w:ascii="Palatino Linotype" w:eastAsia="Palatino Linotype" w:hAnsi="Palatino Linotype" w:cs="Palatino Linotype"/>
          <w:b/>
        </w:rPr>
        <w:t xml:space="preserve">Ordena </w:t>
      </w:r>
      <w:r w:rsidRPr="00D05B59">
        <w:rPr>
          <w:rFonts w:ascii="Palatino Linotype" w:eastAsia="Palatino Linotype" w:hAnsi="Palatino Linotype" w:cs="Palatino Linotype"/>
        </w:rPr>
        <w:t xml:space="preserve">al </w:t>
      </w:r>
      <w:r w:rsidRPr="00D05B59">
        <w:rPr>
          <w:rFonts w:ascii="Palatino Linotype" w:eastAsia="Palatino Linotype" w:hAnsi="Palatino Linotype" w:cs="Palatino Linotype"/>
          <w:b/>
        </w:rPr>
        <w:t>Sujeto Obligado</w:t>
      </w:r>
      <w:r w:rsidRPr="00D05B59">
        <w:rPr>
          <w:rFonts w:ascii="Palatino Linotype" w:eastAsia="Palatino Linotype" w:hAnsi="Palatino Linotype" w:cs="Palatino Linotype"/>
        </w:rPr>
        <w:t xml:space="preserve"> haga entrega a </w:t>
      </w:r>
      <w:r w:rsidRPr="00D05B59">
        <w:rPr>
          <w:rFonts w:ascii="Palatino Linotype" w:eastAsia="Palatino Linotype" w:hAnsi="Palatino Linotype" w:cs="Palatino Linotype"/>
          <w:b/>
        </w:rPr>
        <w:t>la</w:t>
      </w:r>
      <w:r w:rsidRPr="00D05B59">
        <w:rPr>
          <w:rFonts w:ascii="Palatino Linotype" w:eastAsia="Palatino Linotype" w:hAnsi="Palatino Linotype" w:cs="Palatino Linotype"/>
        </w:rPr>
        <w:t xml:space="preserve"> </w:t>
      </w:r>
      <w:r w:rsidRPr="00D05B59">
        <w:rPr>
          <w:rFonts w:ascii="Palatino Linotype" w:eastAsia="Palatino Linotype" w:hAnsi="Palatino Linotype" w:cs="Palatino Linotype"/>
          <w:b/>
        </w:rPr>
        <w:t>Recurrente</w:t>
      </w:r>
      <w:r w:rsidRPr="00D05B59">
        <w:rPr>
          <w:rFonts w:ascii="Palatino Linotype" w:eastAsia="Palatino Linotype" w:hAnsi="Palatino Linotype" w:cs="Palatino Linotype"/>
        </w:rPr>
        <w:t xml:space="preserve"> vía SAIMEX</w:t>
      </w:r>
      <w:r w:rsidR="00CC746E" w:rsidRPr="00D05B59">
        <w:rPr>
          <w:rFonts w:ascii="Palatino Linotype" w:eastAsia="Palatino Linotype" w:hAnsi="Palatino Linotype" w:cs="Palatino Linotype"/>
          <w:b/>
        </w:rPr>
        <w:t>,</w:t>
      </w:r>
      <w:r w:rsidRPr="00D05B59">
        <w:rPr>
          <w:rFonts w:ascii="Palatino Linotype" w:eastAsia="Palatino Linotype" w:hAnsi="Palatino Linotype" w:cs="Palatino Linotype"/>
          <w:b/>
        </w:rPr>
        <w:t xml:space="preserve"> en versión pública</w:t>
      </w:r>
      <w:r w:rsidRPr="00D05B59">
        <w:rPr>
          <w:rFonts w:ascii="Palatino Linotype" w:eastAsia="Palatino Linotype" w:hAnsi="Palatino Linotype" w:cs="Palatino Linotype"/>
        </w:rPr>
        <w:t xml:space="preserve">, en términos de </w:t>
      </w:r>
      <w:r w:rsidRPr="00D05B59">
        <w:rPr>
          <w:rFonts w:ascii="Palatino Linotype" w:eastAsia="Palatino Linotype" w:hAnsi="Palatino Linotype" w:cs="Palatino Linotype"/>
          <w:b/>
        </w:rPr>
        <w:t>los Considerandos</w:t>
      </w:r>
      <w:r w:rsidRPr="00D05B59">
        <w:rPr>
          <w:rFonts w:ascii="Palatino Linotype" w:eastAsia="Palatino Linotype" w:hAnsi="Palatino Linotype" w:cs="Palatino Linotype"/>
        </w:rPr>
        <w:t xml:space="preserve"> </w:t>
      </w:r>
      <w:r w:rsidRPr="00D05B59">
        <w:rPr>
          <w:rFonts w:ascii="Palatino Linotype" w:eastAsia="Palatino Linotype" w:hAnsi="Palatino Linotype" w:cs="Palatino Linotype"/>
          <w:b/>
        </w:rPr>
        <w:t>Cuarto y Quinto</w:t>
      </w:r>
      <w:r w:rsidR="00B343D4" w:rsidRPr="00D05B59">
        <w:rPr>
          <w:rFonts w:ascii="Palatino Linotype" w:eastAsia="Palatino Linotype" w:hAnsi="Palatino Linotype" w:cs="Palatino Linotype"/>
          <w:b/>
        </w:rPr>
        <w:t xml:space="preserve">, </w:t>
      </w:r>
      <w:r w:rsidR="00B979FC" w:rsidRPr="00D05B59">
        <w:rPr>
          <w:rFonts w:ascii="Palatino Linotype" w:eastAsia="Palatino Linotype" w:hAnsi="Palatino Linotype" w:cs="Palatino Linotype"/>
          <w:b/>
        </w:rPr>
        <w:t xml:space="preserve">de </w:t>
      </w:r>
      <w:r w:rsidR="00B343D4" w:rsidRPr="00D05B59">
        <w:rPr>
          <w:rFonts w:ascii="Palatino Linotype" w:eastAsia="Palatino Linotype" w:hAnsi="Palatino Linotype" w:cs="Palatino Linotype"/>
          <w:b/>
        </w:rPr>
        <w:t>lo siguiente</w:t>
      </w:r>
      <w:r w:rsidRPr="00D05B59">
        <w:rPr>
          <w:rFonts w:ascii="Palatino Linotype" w:eastAsia="Palatino Linotype" w:hAnsi="Palatino Linotype" w:cs="Palatino Linotype"/>
        </w:rPr>
        <w:t>:</w:t>
      </w:r>
    </w:p>
    <w:p w14:paraId="1AAA3409" w14:textId="77777777" w:rsidR="00F667A8" w:rsidRPr="00D05B59" w:rsidRDefault="00F667A8" w:rsidP="00B343D4">
      <w:pPr>
        <w:spacing w:before="240" w:after="240" w:line="276" w:lineRule="auto"/>
        <w:ind w:left="567" w:right="900"/>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b/>
          <w:i/>
          <w:sz w:val="22"/>
          <w:szCs w:val="22"/>
        </w:rPr>
        <w:t xml:space="preserve">1.- Las 225 cédulas de bases de datos personales, referidas en respuesta </w:t>
      </w:r>
    </w:p>
    <w:p w14:paraId="0E9AF3BF" w14:textId="77777777" w:rsidR="00F667A8" w:rsidRPr="00D05B59" w:rsidRDefault="00F667A8" w:rsidP="00B343D4">
      <w:pPr>
        <w:spacing w:before="240" w:after="240" w:line="276" w:lineRule="auto"/>
        <w:ind w:left="567" w:right="900"/>
        <w:jc w:val="both"/>
        <w:rPr>
          <w:rFonts w:ascii="Palatino Linotype" w:eastAsia="Palatino Linotype" w:hAnsi="Palatino Linotype" w:cs="Palatino Linotype"/>
          <w:b/>
          <w:i/>
          <w:sz w:val="22"/>
          <w:szCs w:val="22"/>
        </w:rPr>
      </w:pPr>
      <w:r w:rsidRPr="00D05B59">
        <w:rPr>
          <w:rFonts w:ascii="Palatino Linotype" w:eastAsia="Palatino Linotype" w:hAnsi="Palatino Linotype" w:cs="Palatino Linotype"/>
          <w:b/>
          <w:i/>
          <w:sz w:val="22"/>
          <w:szCs w:val="22"/>
        </w:rPr>
        <w:t>2.- Documentos de seguridad, vigentes al trece de julio de dos mil veintidós</w:t>
      </w:r>
    </w:p>
    <w:p w14:paraId="69859BE2" w14:textId="77777777" w:rsidR="00515A88" w:rsidRPr="00D05B59" w:rsidRDefault="00096237" w:rsidP="00B343D4">
      <w:pPr>
        <w:spacing w:before="240" w:after="240" w:line="276" w:lineRule="auto"/>
        <w:ind w:left="567" w:right="900"/>
        <w:jc w:val="both"/>
        <w:rPr>
          <w:rFonts w:ascii="Palatino Linotype" w:eastAsia="Palatino Linotype" w:hAnsi="Palatino Linotype" w:cs="Palatino Linotype"/>
          <w:i/>
          <w:sz w:val="22"/>
          <w:szCs w:val="22"/>
        </w:rPr>
      </w:pPr>
      <w:r w:rsidRPr="00D05B59">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w:t>
      </w:r>
      <w:r w:rsidR="00FF5303" w:rsidRPr="00D05B59">
        <w:rPr>
          <w:rFonts w:ascii="Palatino Linotype" w:eastAsia="Palatino Linotype" w:hAnsi="Palatino Linotype" w:cs="Palatino Linotype"/>
          <w:i/>
          <w:sz w:val="22"/>
          <w:szCs w:val="22"/>
        </w:rPr>
        <w:t>disposición de</w:t>
      </w:r>
      <w:r w:rsidR="0099527C" w:rsidRPr="00D05B59">
        <w:rPr>
          <w:rFonts w:ascii="Palatino Linotype" w:eastAsia="Palatino Linotype" w:hAnsi="Palatino Linotype" w:cs="Palatino Linotype"/>
          <w:i/>
          <w:sz w:val="22"/>
          <w:szCs w:val="22"/>
        </w:rPr>
        <w:t xml:space="preserve"> </w:t>
      </w:r>
      <w:r w:rsidR="0099527C" w:rsidRPr="00D05B59">
        <w:rPr>
          <w:rFonts w:ascii="Palatino Linotype" w:eastAsia="Palatino Linotype" w:hAnsi="Palatino Linotype" w:cs="Palatino Linotype"/>
          <w:b/>
          <w:i/>
          <w:sz w:val="22"/>
          <w:szCs w:val="22"/>
        </w:rPr>
        <w:t xml:space="preserve">la </w:t>
      </w:r>
      <w:r w:rsidR="00075816" w:rsidRPr="00D05B59">
        <w:rPr>
          <w:rFonts w:ascii="Palatino Linotype" w:eastAsia="Palatino Linotype" w:hAnsi="Palatino Linotype" w:cs="Palatino Linotype"/>
          <w:b/>
          <w:i/>
          <w:sz w:val="22"/>
          <w:szCs w:val="22"/>
        </w:rPr>
        <w:t xml:space="preserve">parte </w:t>
      </w:r>
      <w:r w:rsidR="00FF5303" w:rsidRPr="00D05B59">
        <w:rPr>
          <w:rFonts w:ascii="Palatino Linotype" w:eastAsia="Palatino Linotype" w:hAnsi="Palatino Linotype" w:cs="Palatino Linotype"/>
          <w:b/>
          <w:i/>
          <w:sz w:val="22"/>
          <w:szCs w:val="22"/>
        </w:rPr>
        <w:t>R</w:t>
      </w:r>
      <w:r w:rsidRPr="00D05B59">
        <w:rPr>
          <w:rFonts w:ascii="Palatino Linotype" w:eastAsia="Palatino Linotype" w:hAnsi="Palatino Linotype" w:cs="Palatino Linotype"/>
          <w:b/>
          <w:i/>
          <w:sz w:val="22"/>
          <w:szCs w:val="22"/>
        </w:rPr>
        <w:t>ecurrente</w:t>
      </w:r>
      <w:r w:rsidRPr="00D05B59">
        <w:rPr>
          <w:rFonts w:ascii="Palatino Linotype" w:eastAsia="Palatino Linotype" w:hAnsi="Palatino Linotype" w:cs="Palatino Linotype"/>
          <w:i/>
          <w:sz w:val="22"/>
          <w:szCs w:val="22"/>
        </w:rPr>
        <w:t>.</w:t>
      </w:r>
    </w:p>
    <w:p w14:paraId="45BA2177" w14:textId="77777777" w:rsidR="00515A88" w:rsidRPr="00D05B59" w:rsidRDefault="00096237">
      <w:pP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b/>
        </w:rPr>
        <w:t>Tercero</w:t>
      </w:r>
      <w:r w:rsidRPr="00D05B59">
        <w:rPr>
          <w:rFonts w:ascii="Palatino Linotype" w:eastAsia="Palatino Linotype" w:hAnsi="Palatino Linotype" w:cs="Palatino Linotype"/>
          <w:b/>
          <w:sz w:val="28"/>
          <w:szCs w:val="28"/>
        </w:rPr>
        <w:t xml:space="preserve">.  </w:t>
      </w:r>
      <w:r w:rsidRPr="00D05B59">
        <w:rPr>
          <w:rFonts w:ascii="Palatino Linotype" w:eastAsia="Palatino Linotype" w:hAnsi="Palatino Linotype" w:cs="Palatino Linotype"/>
          <w:b/>
        </w:rPr>
        <w:t>Notifíquese vía SAIMEX,</w:t>
      </w:r>
      <w:r w:rsidRPr="00D05B59">
        <w:rPr>
          <w:rFonts w:ascii="Palatino Linotype" w:eastAsia="Palatino Linotype" w:hAnsi="Palatino Linotype" w:cs="Palatino Linotype"/>
          <w:b/>
          <w:sz w:val="28"/>
          <w:szCs w:val="28"/>
        </w:rPr>
        <w:t xml:space="preserve"> </w:t>
      </w:r>
      <w:r w:rsidRPr="00D05B59">
        <w:rPr>
          <w:rFonts w:ascii="Palatino Linotype" w:eastAsia="Palatino Linotype" w:hAnsi="Palatino Linotype" w:cs="Palatino Linotype"/>
        </w:rPr>
        <w:t xml:space="preserve">al </w:t>
      </w:r>
      <w:proofErr w:type="gramStart"/>
      <w:r w:rsidRPr="00D05B59">
        <w:rPr>
          <w:rFonts w:ascii="Palatino Linotype" w:eastAsia="Palatino Linotype" w:hAnsi="Palatino Linotype" w:cs="Palatino Linotype"/>
        </w:rPr>
        <w:t>Responsable</w:t>
      </w:r>
      <w:proofErr w:type="gramEnd"/>
      <w:r w:rsidRPr="00D05B59">
        <w:rPr>
          <w:rFonts w:ascii="Palatino Linotype" w:eastAsia="Palatino Linotype" w:hAnsi="Palatino Linotype" w:cs="Palatino Linotype"/>
        </w:rPr>
        <w:t xml:space="preserv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0A2AF72" w14:textId="77777777" w:rsidR="00515A88" w:rsidRPr="00D05B59" w:rsidRDefault="00096237">
      <w:pP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b/>
        </w:rPr>
        <w:lastRenderedPageBreak/>
        <w:t>Cuarto</w:t>
      </w:r>
      <w:r w:rsidRPr="00D05B59">
        <w:rPr>
          <w:rFonts w:ascii="Palatino Linotype" w:eastAsia="Palatino Linotype" w:hAnsi="Palatino Linotype" w:cs="Palatino Linotype"/>
          <w:b/>
          <w:sz w:val="28"/>
          <w:szCs w:val="28"/>
        </w:rPr>
        <w:t xml:space="preserve">. </w:t>
      </w:r>
      <w:r w:rsidRPr="00D05B5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05B59">
        <w:rPr>
          <w:rFonts w:ascii="Palatino Linotype" w:eastAsia="Palatino Linotype" w:hAnsi="Palatino Linotype" w:cs="Palatino Linotype"/>
          <w:b/>
        </w:rPr>
        <w:t>Sujeto Obligado</w:t>
      </w:r>
      <w:r w:rsidRPr="00D05B59">
        <w:rPr>
          <w:rFonts w:ascii="Palatino Linotype" w:eastAsia="Palatino Linotype" w:hAnsi="Palatino Linotype" w:cs="Palatino Linotype"/>
        </w:rPr>
        <w:t xml:space="preserve"> de manera fundada y motivada, podrá solicitar una ampliación de plazo para el cumplimiento de la presente resolución.</w:t>
      </w:r>
    </w:p>
    <w:p w14:paraId="4C315A64" w14:textId="77777777" w:rsidR="00515A88" w:rsidRPr="00D05B59" w:rsidRDefault="00096237">
      <w:pPr>
        <w:spacing w:before="240" w:after="240" w:line="360" w:lineRule="auto"/>
        <w:jc w:val="both"/>
        <w:rPr>
          <w:rFonts w:ascii="Palatino Linotype" w:eastAsia="Palatino Linotype" w:hAnsi="Palatino Linotype" w:cs="Palatino Linotype"/>
        </w:rPr>
      </w:pPr>
      <w:r w:rsidRPr="00D05B59">
        <w:rPr>
          <w:rFonts w:ascii="Palatino Linotype" w:eastAsia="Palatino Linotype" w:hAnsi="Palatino Linotype" w:cs="Palatino Linotype"/>
          <w:b/>
        </w:rPr>
        <w:t>Quinto</w:t>
      </w:r>
      <w:r w:rsidRPr="00D05B59">
        <w:rPr>
          <w:rFonts w:ascii="Palatino Linotype" w:eastAsia="Palatino Linotype" w:hAnsi="Palatino Linotype" w:cs="Palatino Linotype"/>
          <w:b/>
          <w:sz w:val="28"/>
          <w:szCs w:val="28"/>
        </w:rPr>
        <w:t xml:space="preserve">. </w:t>
      </w:r>
      <w:r w:rsidRPr="00D05B59">
        <w:rPr>
          <w:rFonts w:ascii="Palatino Linotype" w:eastAsia="Palatino Linotype" w:hAnsi="Palatino Linotype" w:cs="Palatino Linotype"/>
          <w:b/>
        </w:rPr>
        <w:t xml:space="preserve">Notifíquese vía SAIMEX, </w:t>
      </w:r>
      <w:r w:rsidR="00040630" w:rsidRPr="00D05B59">
        <w:rPr>
          <w:rFonts w:ascii="Palatino Linotype" w:eastAsia="Palatino Linotype" w:hAnsi="Palatino Linotype" w:cs="Palatino Linotype"/>
        </w:rPr>
        <w:t xml:space="preserve">a </w:t>
      </w:r>
      <w:r w:rsidR="00040630" w:rsidRPr="00D05B59">
        <w:rPr>
          <w:rFonts w:ascii="Palatino Linotype" w:eastAsia="Palatino Linotype" w:hAnsi="Palatino Linotype" w:cs="Palatino Linotype"/>
          <w:b/>
        </w:rPr>
        <w:t>la</w:t>
      </w:r>
      <w:r w:rsidR="00040630" w:rsidRPr="00D05B59">
        <w:rPr>
          <w:rFonts w:ascii="Palatino Linotype" w:eastAsia="Palatino Linotype" w:hAnsi="Palatino Linotype" w:cs="Palatino Linotype"/>
        </w:rPr>
        <w:t xml:space="preserve"> </w:t>
      </w:r>
      <w:r w:rsidRPr="00D05B59">
        <w:rPr>
          <w:rFonts w:ascii="Palatino Linotype" w:eastAsia="Palatino Linotype" w:hAnsi="Palatino Linotype" w:cs="Palatino Linotype"/>
          <w:b/>
        </w:rPr>
        <w:t>Recurrente</w:t>
      </w:r>
      <w:r w:rsidRPr="00D05B59">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1C658E17" w14:textId="77777777" w:rsidR="00C570DF" w:rsidRPr="00D05B59" w:rsidRDefault="00096237">
      <w:pPr>
        <w:spacing w:before="240" w:after="240" w:line="360" w:lineRule="auto"/>
        <w:jc w:val="both"/>
        <w:rPr>
          <w:rFonts w:ascii="Palatino Linotype" w:eastAsia="Palatino Linotype" w:hAnsi="Palatino Linotype" w:cs="Palatino Linotype"/>
        </w:rPr>
        <w:sectPr w:rsidR="00C570DF" w:rsidRPr="00D05B59">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pPr>
      <w:r w:rsidRPr="00D05B5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667A8" w:rsidRPr="00D05B59">
        <w:rPr>
          <w:rFonts w:ascii="Palatino Linotype" w:eastAsia="Palatino Linotype" w:hAnsi="Palatino Linotype" w:cs="Palatino Linotype"/>
        </w:rPr>
        <w:t>DÉCIMA TERCERA</w:t>
      </w:r>
      <w:r w:rsidR="00B979FC" w:rsidRPr="00D05B59">
        <w:rPr>
          <w:rFonts w:ascii="Palatino Linotype" w:eastAsia="Palatino Linotype" w:hAnsi="Palatino Linotype" w:cs="Palatino Linotype"/>
        </w:rPr>
        <w:t xml:space="preserve"> </w:t>
      </w:r>
      <w:r w:rsidRPr="00D05B59">
        <w:rPr>
          <w:rFonts w:ascii="Palatino Linotype" w:eastAsia="Palatino Linotype" w:hAnsi="Palatino Linotype" w:cs="Palatino Linotype"/>
        </w:rPr>
        <w:t>S</w:t>
      </w:r>
      <w:r w:rsidR="00040630" w:rsidRPr="00D05B59">
        <w:rPr>
          <w:rFonts w:ascii="Palatino Linotype" w:eastAsia="Palatino Linotype" w:hAnsi="Palatino Linotype" w:cs="Palatino Linotype"/>
        </w:rPr>
        <w:t xml:space="preserve">ESIÓN ORDINARIA </w:t>
      </w:r>
      <w:r w:rsidR="00F667A8" w:rsidRPr="00D05B59">
        <w:rPr>
          <w:rFonts w:ascii="Palatino Linotype" w:eastAsia="Palatino Linotype" w:hAnsi="Palatino Linotype" w:cs="Palatino Linotype"/>
        </w:rPr>
        <w:t>CELEBRADA EL DOCE</w:t>
      </w:r>
      <w:r w:rsidR="004363A0" w:rsidRPr="00D05B59">
        <w:rPr>
          <w:rFonts w:ascii="Palatino Linotype" w:eastAsia="Palatino Linotype" w:hAnsi="Palatino Linotype" w:cs="Palatino Linotype"/>
        </w:rPr>
        <w:t xml:space="preserve"> </w:t>
      </w:r>
      <w:r w:rsidR="00F667A8" w:rsidRPr="00D05B59">
        <w:rPr>
          <w:rFonts w:ascii="Palatino Linotype" w:eastAsia="Palatino Linotype" w:hAnsi="Palatino Linotype" w:cs="Palatino Linotype"/>
        </w:rPr>
        <w:t>DE ABRIL</w:t>
      </w:r>
      <w:r w:rsidRPr="00D05B59">
        <w:rPr>
          <w:rFonts w:ascii="Palatino Linotype" w:eastAsia="Palatino Linotype" w:hAnsi="Palatino Linotype" w:cs="Palatino Linotype"/>
        </w:rPr>
        <w:t xml:space="preserve"> D</w:t>
      </w:r>
      <w:r w:rsidR="00FD3859" w:rsidRPr="00D05B59">
        <w:rPr>
          <w:rFonts w:ascii="Palatino Linotype" w:eastAsia="Palatino Linotype" w:hAnsi="Palatino Linotype" w:cs="Palatino Linotype"/>
        </w:rPr>
        <w:t>E DOS MIL VEINTITRÉ</w:t>
      </w:r>
      <w:r w:rsidRPr="00D05B59">
        <w:rPr>
          <w:rFonts w:ascii="Palatino Linotype" w:eastAsia="Palatino Linotype" w:hAnsi="Palatino Linotype" w:cs="Palatino Linotype"/>
        </w:rPr>
        <w:t>S, ANTE EL SECRETARIO TÉCNICO DEL PLENO, ALEXIS TAPIA RAMÍREZ.</w:t>
      </w:r>
    </w:p>
    <w:p w14:paraId="7F08C113" w14:textId="77777777" w:rsidR="00515A88" w:rsidRPr="00D05B59" w:rsidRDefault="00515A88">
      <w:pPr>
        <w:spacing w:before="240" w:after="240" w:line="360" w:lineRule="auto"/>
        <w:jc w:val="both"/>
        <w:rPr>
          <w:rFonts w:ascii="Palatino Linotype" w:eastAsia="Palatino Linotype" w:hAnsi="Palatino Linotype" w:cs="Palatino Linotype"/>
          <w:sz w:val="20"/>
          <w:szCs w:val="20"/>
        </w:rPr>
      </w:pPr>
    </w:p>
    <w:p w14:paraId="0DE3E300" w14:textId="77777777" w:rsidR="00515A88" w:rsidRPr="00D05B59" w:rsidRDefault="00515A88">
      <w:pPr>
        <w:spacing w:before="240" w:after="240" w:line="360" w:lineRule="auto"/>
        <w:jc w:val="both"/>
        <w:rPr>
          <w:rFonts w:ascii="Palatino Linotype" w:eastAsia="Palatino Linotype" w:hAnsi="Palatino Linotype" w:cs="Palatino Linotype"/>
          <w:sz w:val="20"/>
          <w:szCs w:val="20"/>
        </w:rPr>
      </w:pPr>
    </w:p>
    <w:p w14:paraId="7A883C75" w14:textId="77777777" w:rsidR="00515A88" w:rsidRPr="00D05B59" w:rsidRDefault="00515A88">
      <w:pPr>
        <w:spacing w:before="240" w:after="240" w:line="360" w:lineRule="auto"/>
        <w:jc w:val="both"/>
        <w:rPr>
          <w:rFonts w:ascii="Palatino Linotype" w:eastAsia="Palatino Linotype" w:hAnsi="Palatino Linotype" w:cs="Palatino Linotype"/>
          <w:sz w:val="20"/>
          <w:szCs w:val="20"/>
        </w:rPr>
      </w:pPr>
    </w:p>
    <w:p w14:paraId="57843CF4" w14:textId="77777777" w:rsidR="00515A88" w:rsidRPr="00D05B59" w:rsidRDefault="00515A88">
      <w:pPr>
        <w:spacing w:before="240" w:after="240" w:line="360" w:lineRule="auto"/>
        <w:jc w:val="both"/>
        <w:rPr>
          <w:rFonts w:ascii="Palatino Linotype" w:eastAsia="Palatino Linotype" w:hAnsi="Palatino Linotype" w:cs="Palatino Linotype"/>
          <w:sz w:val="20"/>
          <w:szCs w:val="20"/>
        </w:rPr>
      </w:pPr>
    </w:p>
    <w:p w14:paraId="07233E93" w14:textId="77777777" w:rsidR="00515A88" w:rsidRPr="00D05B59" w:rsidRDefault="00515A88">
      <w:pPr>
        <w:spacing w:before="240" w:after="240" w:line="360" w:lineRule="auto"/>
        <w:jc w:val="both"/>
        <w:rPr>
          <w:rFonts w:ascii="Palatino Linotype" w:eastAsia="Palatino Linotype" w:hAnsi="Palatino Linotype" w:cs="Palatino Linotype"/>
          <w:sz w:val="20"/>
          <w:szCs w:val="20"/>
        </w:rPr>
      </w:pPr>
    </w:p>
    <w:p w14:paraId="6E245063" w14:textId="77777777" w:rsidR="00515A88" w:rsidRPr="00D05B59" w:rsidRDefault="00515A88">
      <w:pPr>
        <w:spacing w:before="240" w:after="240" w:line="360" w:lineRule="auto"/>
        <w:jc w:val="both"/>
        <w:rPr>
          <w:rFonts w:ascii="Palatino Linotype" w:eastAsia="Palatino Linotype" w:hAnsi="Palatino Linotype" w:cs="Palatino Linotype"/>
          <w:sz w:val="20"/>
          <w:szCs w:val="20"/>
        </w:rPr>
      </w:pPr>
    </w:p>
    <w:p w14:paraId="022CCEA5" w14:textId="77777777" w:rsidR="00515A88" w:rsidRPr="00D05B59" w:rsidRDefault="00515A88">
      <w:pPr>
        <w:spacing w:before="240" w:after="240" w:line="360" w:lineRule="auto"/>
        <w:jc w:val="both"/>
        <w:rPr>
          <w:rFonts w:ascii="Palatino Linotype" w:eastAsia="Palatino Linotype" w:hAnsi="Palatino Linotype" w:cs="Palatino Linotype"/>
          <w:sz w:val="20"/>
          <w:szCs w:val="20"/>
        </w:rPr>
      </w:pPr>
    </w:p>
    <w:p w14:paraId="0C0039FB" w14:textId="77777777" w:rsidR="00515A88" w:rsidRPr="00D05B59" w:rsidRDefault="00515A88">
      <w:pPr>
        <w:spacing w:before="240" w:after="240" w:line="360" w:lineRule="auto"/>
        <w:jc w:val="both"/>
        <w:rPr>
          <w:rFonts w:ascii="Palatino Linotype" w:eastAsia="Palatino Linotype" w:hAnsi="Palatino Linotype" w:cs="Palatino Linotype"/>
          <w:sz w:val="20"/>
          <w:szCs w:val="20"/>
        </w:rPr>
      </w:pPr>
    </w:p>
    <w:sectPr w:rsidR="00515A88" w:rsidRPr="00D05B59">
      <w:head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CBB26" w14:textId="77777777" w:rsidR="000D1E92" w:rsidRDefault="000D1E92">
      <w:r>
        <w:separator/>
      </w:r>
    </w:p>
  </w:endnote>
  <w:endnote w:type="continuationSeparator" w:id="0">
    <w:p w14:paraId="0C2E0B24" w14:textId="77777777" w:rsidR="000D1E92" w:rsidRDefault="000D1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7F1A" w14:textId="77777777" w:rsidR="00B80784" w:rsidRDefault="00B8078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05B59">
      <w:rPr>
        <w:rFonts w:ascii="Palatino Linotype" w:eastAsia="Palatino Linotype" w:hAnsi="Palatino Linotype" w:cs="Palatino Linotype"/>
        <w:b/>
        <w:noProof/>
        <w:color w:val="000000"/>
        <w:sz w:val="20"/>
        <w:szCs w:val="20"/>
      </w:rPr>
      <w:t>16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05B59">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14:paraId="0349DC25" w14:textId="77777777" w:rsidR="00B80784" w:rsidRDefault="00B8078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78EF" w14:textId="77777777" w:rsidR="00B80784" w:rsidRDefault="00B8078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05B5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05B59">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14:paraId="220A632F" w14:textId="77777777" w:rsidR="00B80784" w:rsidRDefault="00B8078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E0291" w14:textId="77777777" w:rsidR="000D1E92" w:rsidRDefault="000D1E92">
      <w:r>
        <w:separator/>
      </w:r>
    </w:p>
  </w:footnote>
  <w:footnote w:type="continuationSeparator" w:id="0">
    <w:p w14:paraId="5C468B19" w14:textId="77777777" w:rsidR="000D1E92" w:rsidRDefault="000D1E92">
      <w:r>
        <w:continuationSeparator/>
      </w:r>
    </w:p>
  </w:footnote>
  <w:footnote w:id="1">
    <w:p w14:paraId="54C53784" w14:textId="77777777" w:rsidR="00B80784" w:rsidRPr="00011265" w:rsidRDefault="00B80784" w:rsidP="00AB2CFE">
      <w:pPr>
        <w:autoSpaceDE w:val="0"/>
        <w:autoSpaceDN w:val="0"/>
        <w:adjustRightInd w:val="0"/>
        <w:jc w:val="both"/>
        <w:rPr>
          <w:rFonts w:ascii="Palatino Linotype" w:hAnsi="Palatino Linotype"/>
          <w:sz w:val="16"/>
          <w:szCs w:val="16"/>
        </w:rPr>
      </w:pPr>
      <w:r w:rsidRPr="00011265">
        <w:rPr>
          <w:rStyle w:val="Refdenotaalpie"/>
          <w:rFonts w:ascii="Palatino Linotype" w:hAnsi="Palatino Linotype"/>
          <w:sz w:val="16"/>
          <w:szCs w:val="16"/>
        </w:rPr>
        <w:footnoteRef/>
      </w:r>
      <w:r w:rsidRPr="00011265">
        <w:rPr>
          <w:rFonts w:ascii="Palatino Linotype" w:hAnsi="Palatino Linotype"/>
          <w:sz w:val="16"/>
          <w:szCs w:val="16"/>
        </w:rPr>
        <w:t xml:space="preserve"> </w:t>
      </w:r>
      <w:r w:rsidRPr="00AB2CFE">
        <w:rPr>
          <w:rFonts w:ascii="Palatino Linotype" w:hAnsi="Palatino Linotype" w:cs="Arial"/>
          <w:bCs/>
          <w:sz w:val="16"/>
          <w:szCs w:val="16"/>
        </w:rPr>
        <w:t xml:space="preserve">Artículo 91. </w:t>
      </w:r>
      <w:r w:rsidRPr="00AB2CFE">
        <w:rPr>
          <w:rFonts w:ascii="Palatino Linotype" w:hAnsi="Palatino Linotype" w:cs="Arial"/>
          <w:sz w:val="16"/>
          <w:szCs w:val="16"/>
        </w:rPr>
        <w:t>El acceso a la información pública será restringido excepcionalmente, cuando ésta sea clasificada como reservada o confidencial.</w:t>
      </w:r>
    </w:p>
  </w:footnote>
  <w:footnote w:id="2">
    <w:p w14:paraId="2CEFA8EF" w14:textId="77777777" w:rsidR="00B80784" w:rsidRPr="00011265" w:rsidRDefault="00B80784" w:rsidP="00AB2CFE">
      <w:pPr>
        <w:pStyle w:val="Textonotapie"/>
        <w:jc w:val="both"/>
        <w:rPr>
          <w:rFonts w:ascii="Palatino Linotype" w:hAnsi="Palatino Linotype"/>
          <w:sz w:val="16"/>
          <w:szCs w:val="16"/>
        </w:rPr>
      </w:pPr>
      <w:r w:rsidRPr="00011265">
        <w:rPr>
          <w:rStyle w:val="Refdenotaalpie"/>
          <w:rFonts w:ascii="Palatino Linotype" w:hAnsi="Palatino Linotype"/>
          <w:sz w:val="16"/>
          <w:szCs w:val="16"/>
        </w:rPr>
        <w:footnoteRef/>
      </w:r>
      <w:r w:rsidRPr="00011265">
        <w:rPr>
          <w:rFonts w:ascii="Palatino Linotype" w:hAnsi="Palatino Linotype"/>
          <w:sz w:val="16"/>
          <w:szCs w:val="16"/>
        </w:rPr>
        <w:t xml:space="preserve"> </w:t>
      </w:r>
      <w:r w:rsidRPr="00011265">
        <w:rPr>
          <w:rFonts w:ascii="Palatino Linotype" w:eastAsia="Calibri" w:hAnsi="Palatino Linotype" w:cs="Arial"/>
          <w:sz w:val="16"/>
          <w:szCs w:val="16"/>
        </w:rPr>
        <w:t>Publicado en el Diario Oficial de la Federación el 15 de abril de 2016.</w:t>
      </w:r>
    </w:p>
  </w:footnote>
  <w:footnote w:id="3">
    <w:p w14:paraId="01309479" w14:textId="77777777" w:rsidR="00B80784" w:rsidRPr="00011265" w:rsidRDefault="00B80784" w:rsidP="00380BC7">
      <w:pPr>
        <w:autoSpaceDE w:val="0"/>
        <w:autoSpaceDN w:val="0"/>
        <w:adjustRightInd w:val="0"/>
        <w:jc w:val="both"/>
        <w:rPr>
          <w:rFonts w:ascii="Palatino Linotype" w:hAnsi="Palatino Linotype"/>
          <w:sz w:val="16"/>
          <w:szCs w:val="16"/>
        </w:rPr>
      </w:pPr>
      <w:r w:rsidRPr="00011265">
        <w:rPr>
          <w:rStyle w:val="Refdenotaalpie"/>
          <w:rFonts w:ascii="Palatino Linotype" w:hAnsi="Palatino Linotype"/>
          <w:sz w:val="16"/>
          <w:szCs w:val="16"/>
        </w:rPr>
        <w:footnoteRef/>
      </w:r>
      <w:r w:rsidRPr="00011265">
        <w:rPr>
          <w:rFonts w:ascii="Palatino Linotype" w:hAnsi="Palatino Linotype"/>
          <w:sz w:val="16"/>
          <w:szCs w:val="16"/>
        </w:rPr>
        <w:t xml:space="preserve"> </w:t>
      </w:r>
      <w:r w:rsidRPr="00380BC7">
        <w:rPr>
          <w:rFonts w:ascii="Palatino Linotype" w:hAnsi="Palatino Linotype" w:cs="Arial"/>
          <w:bCs/>
          <w:sz w:val="16"/>
          <w:szCs w:val="16"/>
        </w:rPr>
        <w:t xml:space="preserve">Artículo 91. </w:t>
      </w:r>
      <w:r w:rsidRPr="00380BC7">
        <w:rPr>
          <w:rFonts w:ascii="Palatino Linotype" w:hAnsi="Palatino Linotype" w:cs="Arial"/>
          <w:sz w:val="16"/>
          <w:szCs w:val="16"/>
        </w:rPr>
        <w:t>El acceso a la información pública será restringido excepcionalmente, cuando ésta sea clasificada como reservada o confidencial.</w:t>
      </w:r>
    </w:p>
  </w:footnote>
  <w:footnote w:id="4">
    <w:p w14:paraId="3FBC898C" w14:textId="77777777" w:rsidR="00B80784" w:rsidRPr="00011265" w:rsidRDefault="00B80784" w:rsidP="00380BC7">
      <w:pPr>
        <w:pStyle w:val="Textonotapie"/>
        <w:jc w:val="both"/>
        <w:rPr>
          <w:rFonts w:ascii="Palatino Linotype" w:hAnsi="Palatino Linotype"/>
          <w:sz w:val="16"/>
          <w:szCs w:val="16"/>
        </w:rPr>
      </w:pPr>
      <w:r w:rsidRPr="00011265">
        <w:rPr>
          <w:rStyle w:val="Refdenotaalpie"/>
          <w:rFonts w:ascii="Palatino Linotype" w:hAnsi="Palatino Linotype"/>
          <w:sz w:val="16"/>
          <w:szCs w:val="16"/>
        </w:rPr>
        <w:footnoteRef/>
      </w:r>
      <w:r w:rsidRPr="00011265">
        <w:rPr>
          <w:rFonts w:ascii="Palatino Linotype" w:hAnsi="Palatino Linotype"/>
          <w:sz w:val="16"/>
          <w:szCs w:val="16"/>
        </w:rPr>
        <w:t xml:space="preserve"> </w:t>
      </w:r>
      <w:r w:rsidRPr="00011265">
        <w:rPr>
          <w:rFonts w:ascii="Palatino Linotype" w:eastAsia="Calibri" w:hAnsi="Palatino Linotype" w:cs="Arial"/>
          <w:sz w:val="16"/>
          <w:szCs w:val="16"/>
        </w:rPr>
        <w:t>Publicado en el Diario Oficial de la Federación el 15 de abril de 2016.</w:t>
      </w:r>
    </w:p>
  </w:footnote>
  <w:footnote w:id="5">
    <w:p w14:paraId="3EF5A46A" w14:textId="77777777" w:rsidR="00B80784" w:rsidRPr="00011265" w:rsidRDefault="00B80784" w:rsidP="00380BC7">
      <w:pPr>
        <w:pStyle w:val="Textonotapie"/>
        <w:jc w:val="both"/>
        <w:rPr>
          <w:rFonts w:ascii="Palatino Linotype" w:hAnsi="Palatino Linotype"/>
          <w:sz w:val="16"/>
          <w:szCs w:val="16"/>
        </w:rPr>
      </w:pPr>
      <w:r w:rsidRPr="00011265">
        <w:rPr>
          <w:rStyle w:val="Refdenotaalpie"/>
          <w:rFonts w:ascii="Palatino Linotype" w:hAnsi="Palatino Linotype"/>
          <w:sz w:val="16"/>
          <w:szCs w:val="16"/>
        </w:rPr>
        <w:footnoteRef/>
      </w:r>
      <w:r w:rsidRPr="00011265">
        <w:rPr>
          <w:rFonts w:ascii="Palatino Linotype" w:hAnsi="Palatino Linotype"/>
          <w:sz w:val="16"/>
          <w:szCs w:val="16"/>
        </w:rPr>
        <w:t xml:space="preserve"> Isabel Davara F. de Marcos (Coordinadora), “Diccionario de Protección de Datos Personales. Conceptos fundamentales”. INAI. México 2019. Páginas 828 y 829.</w:t>
      </w:r>
    </w:p>
    <w:p w14:paraId="70B152AB" w14:textId="77777777" w:rsidR="00B80784" w:rsidRPr="00011265" w:rsidRDefault="00B80784" w:rsidP="00380BC7">
      <w:pPr>
        <w:pStyle w:val="Textonotapie"/>
        <w:ind w:right="191"/>
        <w:jc w:val="both"/>
        <w:rPr>
          <w:rFonts w:ascii="Palatino Linotype" w:hAnsi="Palatino Linotype"/>
          <w:sz w:val="16"/>
          <w:szCs w:val="16"/>
        </w:rPr>
      </w:pPr>
      <w:r w:rsidRPr="00011265">
        <w:rPr>
          <w:rFonts w:ascii="Palatino Linotype" w:hAnsi="Palatino Linotype"/>
          <w:sz w:val="16"/>
          <w:szCs w:val="16"/>
        </w:rPr>
        <w:t>“…</w:t>
      </w:r>
    </w:p>
    <w:p w14:paraId="5DBD53FE" w14:textId="77777777" w:rsidR="00B80784" w:rsidRPr="00011265" w:rsidRDefault="00B80784" w:rsidP="00380BC7">
      <w:pPr>
        <w:pStyle w:val="Textonotapie"/>
        <w:ind w:right="191"/>
        <w:jc w:val="both"/>
        <w:rPr>
          <w:rFonts w:ascii="Palatino Linotype" w:hAnsi="Palatino Linotype"/>
          <w:sz w:val="16"/>
          <w:szCs w:val="16"/>
        </w:rPr>
      </w:pPr>
      <w:r w:rsidRPr="00011265">
        <w:rPr>
          <w:rFonts w:ascii="Palatino Linotype" w:hAnsi="Palatino Linotype"/>
          <w:sz w:val="16"/>
          <w:szCs w:val="16"/>
        </w:rPr>
        <w:t xml:space="preserve">Así, desde la perspectiva de la protección de datos personales, la situación de emergencia se presenta como un fundamento para el tratamiento de los datos personales </w:t>
      </w:r>
      <w:r w:rsidRPr="00011265">
        <w:rPr>
          <w:rFonts w:ascii="Palatino Linotype" w:hAnsi="Palatino Linotype"/>
          <w:sz w:val="16"/>
          <w:szCs w:val="16"/>
          <w:u w:val="single"/>
        </w:rPr>
        <w:t>para hacer frente a contingencias</w:t>
      </w:r>
      <w:r w:rsidRPr="00011265">
        <w:rPr>
          <w:rFonts w:ascii="Palatino Linotype" w:hAnsi="Palatino Linotype"/>
          <w:sz w:val="16"/>
          <w:szCs w:val="16"/>
        </w:rPr>
        <w:t xml:space="preserve"> que podrían afectar el bienestar y seguridad de las personas a una gran escala (epidemias, desastres naturales, terrorismo y pandemias) o en un nivel individual (violencia familiar), pues en caso de que dicho tratamiento se sujete a mecanismos como el consentimiento y no se cuente con este último, las consecuencias de no facilitar la información personal necesaria en situaciones de emergencia pueden ser funestas, ya que en un contexto de esta naturaleza el acceso oportuno a la información es fundamental para atender las contingencias y proteger los derechos de los titulares y/o de terceras personas.”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4172" w14:textId="77777777" w:rsidR="00B80784" w:rsidRDefault="00B80784">
    <w:pPr>
      <w:rPr>
        <w:rFonts w:ascii="Cambria" w:eastAsia="Cambria" w:hAnsi="Cambria" w:cs="Cambria"/>
        <w:color w:val="000000"/>
      </w:rPr>
    </w:pPr>
    <w:r>
      <w:rPr>
        <w:noProof/>
      </w:rPr>
      <w:drawing>
        <wp:anchor distT="0" distB="0" distL="0" distR="0" simplePos="0" relativeHeight="251658240" behindDoc="1" locked="0" layoutInCell="1" hidden="0" allowOverlap="1" wp14:anchorId="60E97087" wp14:editId="768ED7E9">
          <wp:simplePos x="0" y="0"/>
          <wp:positionH relativeFrom="column">
            <wp:posOffset>-1108075</wp:posOffset>
          </wp:positionH>
          <wp:positionV relativeFrom="paragraph">
            <wp:posOffset>-272415</wp:posOffset>
          </wp:positionV>
          <wp:extent cx="7809865" cy="10165715"/>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B80784" w14:paraId="1759DBFE" w14:textId="77777777">
      <w:tc>
        <w:tcPr>
          <w:tcW w:w="2489" w:type="dxa"/>
          <w:shd w:val="clear" w:color="auto" w:fill="auto"/>
        </w:tcPr>
        <w:p w14:paraId="618CB084" w14:textId="77777777" w:rsidR="00B80784" w:rsidRDefault="00B8078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6D5CACB0" w14:textId="77777777" w:rsidR="00B80784" w:rsidRDefault="00B80784">
          <w:pPr>
            <w:ind w:right="175"/>
            <w:jc w:val="both"/>
            <w:rPr>
              <w:rFonts w:ascii="Palatino Linotype" w:eastAsia="Palatino Linotype" w:hAnsi="Palatino Linotype" w:cs="Palatino Linotype"/>
              <w:b/>
            </w:rPr>
          </w:pPr>
          <w:r>
            <w:rPr>
              <w:rFonts w:ascii="Palatino Linotype" w:eastAsia="Palatino Linotype" w:hAnsi="Palatino Linotype" w:cs="Palatino Linotype"/>
              <w:b/>
            </w:rPr>
            <w:t>14754/INFOEM/IP/RR/2022</w:t>
          </w:r>
        </w:p>
      </w:tc>
    </w:tr>
    <w:tr w:rsidR="00B80784" w14:paraId="084471CB" w14:textId="77777777">
      <w:trPr>
        <w:trHeight w:val="228"/>
      </w:trPr>
      <w:tc>
        <w:tcPr>
          <w:tcW w:w="2489" w:type="dxa"/>
          <w:shd w:val="clear" w:color="auto" w:fill="auto"/>
          <w:vAlign w:val="center"/>
        </w:tcPr>
        <w:p w14:paraId="6D596315" w14:textId="77777777" w:rsidR="00B80784" w:rsidRDefault="00B8078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193B053B" w14:textId="77777777" w:rsidR="00B80784" w:rsidRDefault="00B80784" w:rsidP="006C5A1E">
          <w:pPr>
            <w:ind w:left="-45" w:right="452"/>
            <w:jc w:val="both"/>
            <w:rPr>
              <w:rFonts w:ascii="Palatino Linotype" w:eastAsia="Palatino Linotype" w:hAnsi="Palatino Linotype" w:cs="Palatino Linotype"/>
              <w:b/>
            </w:rPr>
          </w:pPr>
          <w:r w:rsidRPr="006C5A1E">
            <w:rPr>
              <w:rFonts w:ascii="Palatino Linotype" w:eastAsia="Palatino Linotype" w:hAnsi="Palatino Linotype" w:cs="Palatino Linotype"/>
              <w:b/>
            </w:rPr>
            <w:t>Sistema Municipal Para el Desarrollo Integral de la Familia de Tlalnepantla de Baz</w:t>
          </w:r>
        </w:p>
      </w:tc>
    </w:tr>
    <w:tr w:rsidR="00B80784" w14:paraId="57678A5C" w14:textId="77777777">
      <w:tc>
        <w:tcPr>
          <w:tcW w:w="2489" w:type="dxa"/>
          <w:shd w:val="clear" w:color="auto" w:fill="auto"/>
          <w:vAlign w:val="center"/>
        </w:tcPr>
        <w:p w14:paraId="44CE258E" w14:textId="77777777" w:rsidR="00B80784" w:rsidRDefault="00B80784">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338383E4" w14:textId="77777777" w:rsidR="00B80784" w:rsidRDefault="00B80784">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A33BEAB" w14:textId="77777777" w:rsidR="00B80784" w:rsidRDefault="00B8078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03228" w14:textId="77777777" w:rsidR="00B80784" w:rsidRDefault="00B8078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0FE02EC" wp14:editId="0BC30C8D">
          <wp:simplePos x="0" y="0"/>
          <wp:positionH relativeFrom="column">
            <wp:posOffset>-946150</wp:posOffset>
          </wp:positionH>
          <wp:positionV relativeFrom="paragraph">
            <wp:posOffset>-333375</wp:posOffset>
          </wp:positionV>
          <wp:extent cx="7809865" cy="10165715"/>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551"/>
      <w:gridCol w:w="3402"/>
    </w:tblGrid>
    <w:tr w:rsidR="00B80784" w14:paraId="0F3D9CB2" w14:textId="77777777">
      <w:tc>
        <w:tcPr>
          <w:tcW w:w="2551" w:type="dxa"/>
          <w:shd w:val="clear" w:color="auto" w:fill="auto"/>
          <w:vAlign w:val="center"/>
        </w:tcPr>
        <w:p w14:paraId="7F211566" w14:textId="77777777" w:rsidR="00B80784" w:rsidRDefault="00B8078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333EE756" w14:textId="77777777" w:rsidR="00B80784" w:rsidRDefault="00B80784">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14754/INFOEM/IP/RR/2022</w:t>
          </w:r>
        </w:p>
      </w:tc>
    </w:tr>
    <w:tr w:rsidR="00B80784" w14:paraId="5DB14D30" w14:textId="77777777">
      <w:trPr>
        <w:trHeight w:val="130"/>
      </w:trPr>
      <w:tc>
        <w:tcPr>
          <w:tcW w:w="2551" w:type="dxa"/>
          <w:shd w:val="clear" w:color="auto" w:fill="auto"/>
          <w:vAlign w:val="center"/>
        </w:tcPr>
        <w:p w14:paraId="49B112F5" w14:textId="77777777" w:rsidR="00B80784" w:rsidRDefault="00B80784">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293126FC" w14:textId="1A03B68C" w:rsidR="00B80784" w:rsidRDefault="008455D4">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XXXXXXX XXXXXX XXXXXXX</w:t>
          </w:r>
        </w:p>
      </w:tc>
    </w:tr>
    <w:tr w:rsidR="00B80784" w14:paraId="3C006AF8" w14:textId="77777777">
      <w:trPr>
        <w:trHeight w:val="228"/>
      </w:trPr>
      <w:tc>
        <w:tcPr>
          <w:tcW w:w="2551" w:type="dxa"/>
          <w:shd w:val="clear" w:color="auto" w:fill="auto"/>
          <w:vAlign w:val="center"/>
        </w:tcPr>
        <w:p w14:paraId="75EB1AC1" w14:textId="77777777" w:rsidR="00B80784" w:rsidRDefault="00B8078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576E42AA" w14:textId="77777777" w:rsidR="00B80784" w:rsidRDefault="00B80784" w:rsidP="006C5A1E">
          <w:pPr>
            <w:ind w:left="-45" w:right="452"/>
            <w:jc w:val="both"/>
            <w:rPr>
              <w:rFonts w:ascii="Palatino Linotype" w:eastAsia="Palatino Linotype" w:hAnsi="Palatino Linotype" w:cs="Palatino Linotype"/>
              <w:b/>
            </w:rPr>
          </w:pPr>
          <w:r w:rsidRPr="006C5A1E">
            <w:rPr>
              <w:rFonts w:ascii="Palatino Linotype" w:eastAsia="Palatino Linotype" w:hAnsi="Palatino Linotype" w:cs="Palatino Linotype"/>
              <w:b/>
            </w:rPr>
            <w:t>Sistema Municipal Para el Desarrollo Integral de la Familia de Tlalnepantla de Baz</w:t>
          </w:r>
        </w:p>
      </w:tc>
    </w:tr>
    <w:tr w:rsidR="00B80784" w14:paraId="6CC41725" w14:textId="77777777">
      <w:tc>
        <w:tcPr>
          <w:tcW w:w="2551" w:type="dxa"/>
          <w:shd w:val="clear" w:color="auto" w:fill="auto"/>
          <w:vAlign w:val="center"/>
        </w:tcPr>
        <w:p w14:paraId="7714858E" w14:textId="77777777" w:rsidR="00B80784" w:rsidRDefault="00B8078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69549424" w14:textId="77777777" w:rsidR="00B80784" w:rsidRDefault="00B80784">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9B8E020" w14:textId="77777777" w:rsidR="00B80784" w:rsidRDefault="00B80784">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CAC5" w14:textId="77777777" w:rsidR="00B80784" w:rsidRDefault="00B8078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7439BACF" w14:textId="77777777" w:rsidR="00B80784" w:rsidRDefault="00B8078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B5473"/>
    <w:multiLevelType w:val="hybridMultilevel"/>
    <w:tmpl w:val="DEA287F2"/>
    <w:lvl w:ilvl="0" w:tplc="E4A428F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D0232A9"/>
    <w:multiLevelType w:val="multilevel"/>
    <w:tmpl w:val="719CF458"/>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BF3FED"/>
    <w:multiLevelType w:val="hybridMultilevel"/>
    <w:tmpl w:val="40C41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8735A6"/>
    <w:multiLevelType w:val="multilevel"/>
    <w:tmpl w:val="AC244BF0"/>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BA70A01"/>
    <w:multiLevelType w:val="hybridMultilevel"/>
    <w:tmpl w:val="CF465426"/>
    <w:lvl w:ilvl="0" w:tplc="E9B43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99C010B"/>
    <w:multiLevelType w:val="multilevel"/>
    <w:tmpl w:val="5A5E40B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4E861BE"/>
    <w:multiLevelType w:val="multilevel"/>
    <w:tmpl w:val="FFA03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9356C72"/>
    <w:multiLevelType w:val="hybridMultilevel"/>
    <w:tmpl w:val="8F344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7C23ED"/>
    <w:multiLevelType w:val="multilevel"/>
    <w:tmpl w:val="0642919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0980DCC"/>
    <w:multiLevelType w:val="hybridMultilevel"/>
    <w:tmpl w:val="DE0E3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280AFB"/>
    <w:multiLevelType w:val="hybridMultilevel"/>
    <w:tmpl w:val="024C6FEC"/>
    <w:lvl w:ilvl="0" w:tplc="14B4C13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9E03780"/>
    <w:multiLevelType w:val="multilevel"/>
    <w:tmpl w:val="C2223210"/>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E1932BC"/>
    <w:multiLevelType w:val="multilevel"/>
    <w:tmpl w:val="337C8BD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E263062"/>
    <w:multiLevelType w:val="hybridMultilevel"/>
    <w:tmpl w:val="4CF0E6E8"/>
    <w:lvl w:ilvl="0" w:tplc="8BDA8E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9B661F"/>
    <w:multiLevelType w:val="hybridMultilevel"/>
    <w:tmpl w:val="F7B46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1B6216A"/>
    <w:multiLevelType w:val="hybridMultilevel"/>
    <w:tmpl w:val="10587C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77F82562"/>
    <w:multiLevelType w:val="multilevel"/>
    <w:tmpl w:val="CAD49C16"/>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DCD62C7"/>
    <w:multiLevelType w:val="hybridMultilevel"/>
    <w:tmpl w:val="13FCF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13"/>
  </w:num>
  <w:num w:numId="4">
    <w:abstractNumId w:val="1"/>
  </w:num>
  <w:num w:numId="5">
    <w:abstractNumId w:val="15"/>
  </w:num>
  <w:num w:numId="6">
    <w:abstractNumId w:val="6"/>
  </w:num>
  <w:num w:numId="7">
    <w:abstractNumId w:val="3"/>
  </w:num>
  <w:num w:numId="8">
    <w:abstractNumId w:val="7"/>
  </w:num>
  <w:num w:numId="9">
    <w:abstractNumId w:val="17"/>
  </w:num>
  <w:num w:numId="10">
    <w:abstractNumId w:val="2"/>
  </w:num>
  <w:num w:numId="11">
    <w:abstractNumId w:val="11"/>
  </w:num>
  <w:num w:numId="12">
    <w:abstractNumId w:val="10"/>
  </w:num>
  <w:num w:numId="13">
    <w:abstractNumId w:val="16"/>
  </w:num>
  <w:num w:numId="14">
    <w:abstractNumId w:val="0"/>
  </w:num>
  <w:num w:numId="15">
    <w:abstractNumId w:val="8"/>
  </w:num>
  <w:num w:numId="16">
    <w:abstractNumId w:val="5"/>
  </w:num>
  <w:num w:numId="17">
    <w:abstractNumId w:val="19"/>
  </w:num>
  <w:num w:numId="18">
    <w:abstractNumId w:val="4"/>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88"/>
    <w:rsid w:val="00003F45"/>
    <w:rsid w:val="00015372"/>
    <w:rsid w:val="0002303E"/>
    <w:rsid w:val="000331B2"/>
    <w:rsid w:val="00040630"/>
    <w:rsid w:val="0005040C"/>
    <w:rsid w:val="00056111"/>
    <w:rsid w:val="00060573"/>
    <w:rsid w:val="00071E5E"/>
    <w:rsid w:val="00075816"/>
    <w:rsid w:val="000818BC"/>
    <w:rsid w:val="00084E8B"/>
    <w:rsid w:val="00096237"/>
    <w:rsid w:val="00096F40"/>
    <w:rsid w:val="000B55B6"/>
    <w:rsid w:val="000D1E92"/>
    <w:rsid w:val="000D737D"/>
    <w:rsid w:val="000E7CB6"/>
    <w:rsid w:val="000F3286"/>
    <w:rsid w:val="00100CA7"/>
    <w:rsid w:val="00124786"/>
    <w:rsid w:val="00170434"/>
    <w:rsid w:val="001748BE"/>
    <w:rsid w:val="001C38C3"/>
    <w:rsid w:val="001C6371"/>
    <w:rsid w:val="002015C8"/>
    <w:rsid w:val="00242A7D"/>
    <w:rsid w:val="002574E7"/>
    <w:rsid w:val="00282711"/>
    <w:rsid w:val="002C1AF8"/>
    <w:rsid w:val="002C5664"/>
    <w:rsid w:val="002E72C9"/>
    <w:rsid w:val="003107F5"/>
    <w:rsid w:val="00324778"/>
    <w:rsid w:val="003331B2"/>
    <w:rsid w:val="00333FE7"/>
    <w:rsid w:val="0035052E"/>
    <w:rsid w:val="0036121E"/>
    <w:rsid w:val="003708BD"/>
    <w:rsid w:val="00380BC7"/>
    <w:rsid w:val="003822C0"/>
    <w:rsid w:val="00397CAD"/>
    <w:rsid w:val="003A55A9"/>
    <w:rsid w:val="003A73EB"/>
    <w:rsid w:val="003B2178"/>
    <w:rsid w:val="003E2D6B"/>
    <w:rsid w:val="003F0CE6"/>
    <w:rsid w:val="00411074"/>
    <w:rsid w:val="0041659A"/>
    <w:rsid w:val="004363A0"/>
    <w:rsid w:val="00452B43"/>
    <w:rsid w:val="004530DF"/>
    <w:rsid w:val="00453E74"/>
    <w:rsid w:val="00457DAC"/>
    <w:rsid w:val="0046653B"/>
    <w:rsid w:val="0048507D"/>
    <w:rsid w:val="00486B35"/>
    <w:rsid w:val="00500DF7"/>
    <w:rsid w:val="005125AD"/>
    <w:rsid w:val="00513B2D"/>
    <w:rsid w:val="00515A88"/>
    <w:rsid w:val="00545639"/>
    <w:rsid w:val="00562FB7"/>
    <w:rsid w:val="005B47E5"/>
    <w:rsid w:val="005B6E02"/>
    <w:rsid w:val="005E1F55"/>
    <w:rsid w:val="005E4719"/>
    <w:rsid w:val="00620C36"/>
    <w:rsid w:val="00676DCE"/>
    <w:rsid w:val="006A52DE"/>
    <w:rsid w:val="006C5A1E"/>
    <w:rsid w:val="006D0ACF"/>
    <w:rsid w:val="006D21D9"/>
    <w:rsid w:val="006F783B"/>
    <w:rsid w:val="00704700"/>
    <w:rsid w:val="007631D5"/>
    <w:rsid w:val="007A0DF3"/>
    <w:rsid w:val="007C1FFB"/>
    <w:rsid w:val="007C76BF"/>
    <w:rsid w:val="007E5A57"/>
    <w:rsid w:val="00802A06"/>
    <w:rsid w:val="00834379"/>
    <w:rsid w:val="00843025"/>
    <w:rsid w:val="00843C1A"/>
    <w:rsid w:val="008455D4"/>
    <w:rsid w:val="0085621C"/>
    <w:rsid w:val="00871C09"/>
    <w:rsid w:val="00874F41"/>
    <w:rsid w:val="008938D4"/>
    <w:rsid w:val="008D6A12"/>
    <w:rsid w:val="008D7615"/>
    <w:rsid w:val="008F5AC5"/>
    <w:rsid w:val="00911C7D"/>
    <w:rsid w:val="009127F8"/>
    <w:rsid w:val="0093400D"/>
    <w:rsid w:val="00963C72"/>
    <w:rsid w:val="00977E7A"/>
    <w:rsid w:val="00983D45"/>
    <w:rsid w:val="00994642"/>
    <w:rsid w:val="0099527C"/>
    <w:rsid w:val="009A1637"/>
    <w:rsid w:val="009B37CD"/>
    <w:rsid w:val="009C5781"/>
    <w:rsid w:val="009D1555"/>
    <w:rsid w:val="009F6525"/>
    <w:rsid w:val="00A02DE4"/>
    <w:rsid w:val="00A14567"/>
    <w:rsid w:val="00A41274"/>
    <w:rsid w:val="00A44359"/>
    <w:rsid w:val="00A514DD"/>
    <w:rsid w:val="00A65A04"/>
    <w:rsid w:val="00A71C60"/>
    <w:rsid w:val="00AA7082"/>
    <w:rsid w:val="00AB1D1B"/>
    <w:rsid w:val="00AB2CFE"/>
    <w:rsid w:val="00AD2054"/>
    <w:rsid w:val="00AE2490"/>
    <w:rsid w:val="00AE7259"/>
    <w:rsid w:val="00B343D4"/>
    <w:rsid w:val="00B40054"/>
    <w:rsid w:val="00B80784"/>
    <w:rsid w:val="00B975AF"/>
    <w:rsid w:val="00B979FC"/>
    <w:rsid w:val="00BF4AF2"/>
    <w:rsid w:val="00C07A96"/>
    <w:rsid w:val="00C30610"/>
    <w:rsid w:val="00C33DB6"/>
    <w:rsid w:val="00C37C63"/>
    <w:rsid w:val="00C41167"/>
    <w:rsid w:val="00C42411"/>
    <w:rsid w:val="00C47BFB"/>
    <w:rsid w:val="00C570DF"/>
    <w:rsid w:val="00C62E68"/>
    <w:rsid w:val="00C877E0"/>
    <w:rsid w:val="00CC5EF5"/>
    <w:rsid w:val="00CC746E"/>
    <w:rsid w:val="00CD2849"/>
    <w:rsid w:val="00CD66A8"/>
    <w:rsid w:val="00CE2686"/>
    <w:rsid w:val="00CE4889"/>
    <w:rsid w:val="00CF4BC4"/>
    <w:rsid w:val="00D0571A"/>
    <w:rsid w:val="00D05B59"/>
    <w:rsid w:val="00D07AFD"/>
    <w:rsid w:val="00D10398"/>
    <w:rsid w:val="00D15076"/>
    <w:rsid w:val="00D81334"/>
    <w:rsid w:val="00DB0FE0"/>
    <w:rsid w:val="00DB4449"/>
    <w:rsid w:val="00DC018A"/>
    <w:rsid w:val="00DE0CCB"/>
    <w:rsid w:val="00DE1801"/>
    <w:rsid w:val="00DE3E79"/>
    <w:rsid w:val="00DF0B62"/>
    <w:rsid w:val="00E04CF0"/>
    <w:rsid w:val="00E1375D"/>
    <w:rsid w:val="00E740D5"/>
    <w:rsid w:val="00E94E2E"/>
    <w:rsid w:val="00EA1D12"/>
    <w:rsid w:val="00EB00E8"/>
    <w:rsid w:val="00EE57D2"/>
    <w:rsid w:val="00F21B10"/>
    <w:rsid w:val="00F52CAD"/>
    <w:rsid w:val="00F667A8"/>
    <w:rsid w:val="00F70F3A"/>
    <w:rsid w:val="00F733EE"/>
    <w:rsid w:val="00F75CA6"/>
    <w:rsid w:val="00F87701"/>
    <w:rsid w:val="00FB1382"/>
    <w:rsid w:val="00FB244B"/>
    <w:rsid w:val="00FC2784"/>
    <w:rsid w:val="00FC6073"/>
    <w:rsid w:val="00FD3859"/>
    <w:rsid w:val="00FF285C"/>
    <w:rsid w:val="00FF3646"/>
    <w:rsid w:val="00FF53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B34B0"/>
  <w15:docId w15:val="{2B2C2BB1-FAAD-4BDD-B67E-B8E2341DA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46E"/>
    <w:rPr>
      <w:lang w:val="es-MX"/>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lang w:val="es-ES"/>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0"/>
    <w:rPr>
      <w:sz w:val="22"/>
      <w:szCs w:val="22"/>
    </w:rPr>
    <w:tblPr>
      <w:tblStyleRowBandSize w:val="1"/>
      <w:tblStyleColBandSize w:val="1"/>
      <w:tblCellMar>
        <w:left w:w="108" w:type="dxa"/>
        <w:right w:w="108" w:type="dxa"/>
      </w:tblCellMar>
    </w:tbl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115" w:type="dxa"/>
        <w:right w:w="115" w:type="dxa"/>
      </w:tblCellMar>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rPr>
      <w:sz w:val="22"/>
      <w:szCs w:val="22"/>
    </w:rPr>
    <w:tblPr>
      <w:tblStyleRowBandSize w:val="1"/>
      <w:tblStyleColBandSize w:val="1"/>
      <w:tblCellMar>
        <w:left w:w="115" w:type="dxa"/>
        <w:right w:w="115" w:type="dxa"/>
      </w:tblCellMar>
    </w:tblPr>
  </w:style>
  <w:style w:type="table" w:customStyle="1" w:styleId="a2">
    <w:basedOn w:val="TableNormal0"/>
    <w:rPr>
      <w:sz w:val="22"/>
      <w:szCs w:val="22"/>
    </w:rPr>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B979FC"/>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next w:val="Tablaconcuadrcula"/>
    <w:uiPriority w:val="59"/>
    <w:rsid w:val="00C877E0"/>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511107">
      <w:bodyDiv w:val="1"/>
      <w:marLeft w:val="0"/>
      <w:marRight w:val="0"/>
      <w:marTop w:val="0"/>
      <w:marBottom w:val="0"/>
      <w:divBdr>
        <w:top w:val="none" w:sz="0" w:space="0" w:color="auto"/>
        <w:left w:val="none" w:sz="0" w:space="0" w:color="auto"/>
        <w:bottom w:val="none" w:sz="0" w:space="0" w:color="auto"/>
        <w:right w:val="none" w:sz="0" w:space="0" w:color="auto"/>
      </w:divBdr>
    </w:div>
    <w:div w:id="1865317590">
      <w:bodyDiv w:val="1"/>
      <w:marLeft w:val="0"/>
      <w:marRight w:val="0"/>
      <w:marTop w:val="0"/>
      <w:marBottom w:val="0"/>
      <w:divBdr>
        <w:top w:val="none" w:sz="0" w:space="0" w:color="auto"/>
        <w:left w:val="none" w:sz="0" w:space="0" w:color="auto"/>
        <w:bottom w:val="none" w:sz="0" w:space="0" w:color="auto"/>
        <w:right w:val="none" w:sz="0" w:space="0" w:color="auto"/>
      </w:divBdr>
    </w:div>
    <w:div w:id="2101827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QCAsPePajk1u2+MeUXnOxRHelw==">AMUW2mV67eEc0bRYEcDQaPpdCixVyfuCxg8oEvXw9bDdNqJClE1Bf3sAIJKwM5ZX7OacGmAiVxM100+0WlCrxXyylDF0/OygUIsnLx43xrvBCHv/OlDK0Yw0mZQpGAOQeydobU3CUz3BUMmrssfuL90gYmvkxu9IPbnLN/CxefpDVDxYEJ49WJQ=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37D039-E1DA-499C-9B39-E056CC449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13524</Words>
  <Characters>74386</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dcterms:created xsi:type="dcterms:W3CDTF">2023-04-24T19:13:00Z</dcterms:created>
  <dcterms:modified xsi:type="dcterms:W3CDTF">2023-04-24T19:13:00Z</dcterms:modified>
</cp:coreProperties>
</file>